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5B81B20" w14:textId="3C289F3E" w:rsidR="008A663F" w:rsidRPr="00312A48" w:rsidRDefault="008A663F" w:rsidP="00312A48">
      <w:pPr>
        <w:snapToGrid w:val="0"/>
        <w:spacing w:line="360" w:lineRule="auto"/>
        <w:jc w:val="both"/>
        <w:rPr>
          <w:rFonts w:ascii="Book Antiqua" w:hAnsi="Book Antiqua"/>
          <w:i/>
          <w:iCs/>
        </w:rPr>
      </w:pPr>
      <w:r w:rsidRPr="00312A48">
        <w:rPr>
          <w:rFonts w:ascii="Book Antiqua" w:hAnsi="Book Antiqua"/>
          <w:b/>
          <w:bCs/>
        </w:rPr>
        <w:t xml:space="preserve">Name of Journal: </w:t>
      </w:r>
      <w:r w:rsidRPr="00312A48">
        <w:rPr>
          <w:rFonts w:ascii="Book Antiqua" w:hAnsi="Book Antiqua"/>
          <w:i/>
          <w:iCs/>
        </w:rPr>
        <w:t>World Journal of Gastroenterology</w:t>
      </w:r>
    </w:p>
    <w:p w14:paraId="437AE73D" w14:textId="25A50AEB" w:rsidR="008A663F" w:rsidRPr="00312A48" w:rsidRDefault="008A663F" w:rsidP="00312A48">
      <w:pPr>
        <w:snapToGrid w:val="0"/>
        <w:spacing w:line="360" w:lineRule="auto"/>
        <w:jc w:val="both"/>
        <w:rPr>
          <w:rFonts w:ascii="Book Antiqua" w:hAnsi="Book Antiqua"/>
        </w:rPr>
      </w:pPr>
      <w:r w:rsidRPr="00312A48">
        <w:rPr>
          <w:rFonts w:ascii="Book Antiqua" w:hAnsi="Book Antiqua"/>
          <w:b/>
          <w:bCs/>
        </w:rPr>
        <w:t xml:space="preserve">Manuscript NO: </w:t>
      </w:r>
      <w:r w:rsidRPr="00312A48">
        <w:rPr>
          <w:rFonts w:ascii="Book Antiqua" w:hAnsi="Book Antiqua"/>
        </w:rPr>
        <w:t>53857</w:t>
      </w:r>
    </w:p>
    <w:p w14:paraId="71D29139" w14:textId="563CBF45" w:rsidR="008A663F" w:rsidRPr="00312A48" w:rsidRDefault="008A663F" w:rsidP="00312A48">
      <w:pPr>
        <w:snapToGrid w:val="0"/>
        <w:spacing w:line="360" w:lineRule="auto"/>
        <w:jc w:val="both"/>
        <w:rPr>
          <w:rFonts w:ascii="Book Antiqua" w:hAnsi="Book Antiqua"/>
        </w:rPr>
      </w:pPr>
      <w:r w:rsidRPr="00312A48">
        <w:rPr>
          <w:rFonts w:ascii="Book Antiqua" w:hAnsi="Book Antiqua"/>
          <w:b/>
          <w:bCs/>
        </w:rPr>
        <w:t xml:space="preserve">Manuscript Type: </w:t>
      </w:r>
      <w:r w:rsidRPr="00312A48">
        <w:rPr>
          <w:rFonts w:ascii="Book Antiqua" w:hAnsi="Book Antiqua"/>
        </w:rPr>
        <w:t>MINIREVIEWS</w:t>
      </w:r>
    </w:p>
    <w:p w14:paraId="3B8DF415" w14:textId="77777777" w:rsidR="008A663F" w:rsidRPr="00312A48" w:rsidRDefault="008A663F" w:rsidP="00312A48">
      <w:pPr>
        <w:snapToGrid w:val="0"/>
        <w:spacing w:line="360" w:lineRule="auto"/>
        <w:jc w:val="both"/>
        <w:rPr>
          <w:rFonts w:ascii="Book Antiqua" w:hAnsi="Book Antiqua"/>
        </w:rPr>
      </w:pPr>
    </w:p>
    <w:p w14:paraId="2A48599E" w14:textId="76DA560B" w:rsidR="002E36F1" w:rsidRPr="00312A48" w:rsidRDefault="002E36F1" w:rsidP="00312A48">
      <w:pPr>
        <w:snapToGrid w:val="0"/>
        <w:spacing w:line="360" w:lineRule="auto"/>
        <w:jc w:val="both"/>
        <w:rPr>
          <w:rFonts w:ascii="Book Antiqua" w:hAnsi="Book Antiqua"/>
          <w:b/>
          <w:bCs/>
        </w:rPr>
      </w:pPr>
      <w:r w:rsidRPr="00312A48">
        <w:rPr>
          <w:rFonts w:ascii="Book Antiqua" w:hAnsi="Book Antiqua"/>
          <w:b/>
          <w:bCs/>
        </w:rPr>
        <w:t>Management of Barrett</w:t>
      </w:r>
      <w:r w:rsidR="008A663F" w:rsidRPr="00312A48">
        <w:rPr>
          <w:rFonts w:ascii="Book Antiqua" w:hAnsi="Book Antiqua"/>
          <w:b/>
          <w:bCs/>
        </w:rPr>
        <w:t>’</w:t>
      </w:r>
      <w:r w:rsidRPr="00312A48">
        <w:rPr>
          <w:rFonts w:ascii="Book Antiqua" w:hAnsi="Book Antiqua"/>
          <w:b/>
          <w:bCs/>
        </w:rPr>
        <w:t>s esophagus with dysplasia refractory to radiofrequency ablation</w:t>
      </w:r>
    </w:p>
    <w:p w14:paraId="34A2BC2B" w14:textId="55131767" w:rsidR="002E36F1" w:rsidRPr="00312A48" w:rsidRDefault="002E36F1" w:rsidP="00312A48">
      <w:pPr>
        <w:snapToGrid w:val="0"/>
        <w:spacing w:line="360" w:lineRule="auto"/>
        <w:jc w:val="both"/>
        <w:rPr>
          <w:rFonts w:ascii="Book Antiqua" w:hAnsi="Book Antiqua"/>
        </w:rPr>
      </w:pPr>
    </w:p>
    <w:p w14:paraId="58759E09" w14:textId="586FDB76" w:rsidR="008A663F" w:rsidRPr="00312A48" w:rsidRDefault="008A663F" w:rsidP="00312A48">
      <w:pPr>
        <w:snapToGrid w:val="0"/>
        <w:spacing w:line="360" w:lineRule="auto"/>
        <w:jc w:val="both"/>
        <w:rPr>
          <w:rFonts w:ascii="Book Antiqua" w:hAnsi="Book Antiqua"/>
        </w:rPr>
      </w:pPr>
      <w:r w:rsidRPr="00312A48">
        <w:rPr>
          <w:rFonts w:ascii="Book Antiqua" w:hAnsi="Book Antiqua"/>
        </w:rPr>
        <w:t xml:space="preserve">Raphael KL </w:t>
      </w:r>
      <w:r w:rsidRPr="00312A48">
        <w:rPr>
          <w:rFonts w:ascii="Book Antiqua" w:hAnsi="Book Antiqua"/>
          <w:i/>
          <w:iCs/>
        </w:rPr>
        <w:t xml:space="preserve">et al. </w:t>
      </w:r>
      <w:bookmarkStart w:id="0" w:name="OLE_LINK7"/>
      <w:r w:rsidRPr="00312A48">
        <w:rPr>
          <w:rFonts w:ascii="Book Antiqua" w:hAnsi="Book Antiqua" w:cs="Calibri"/>
        </w:rPr>
        <w:t>Management of RFA refractory Barrett’s</w:t>
      </w:r>
    </w:p>
    <w:bookmarkEnd w:id="0"/>
    <w:p w14:paraId="263D04D9" w14:textId="77777777" w:rsidR="008A663F" w:rsidRPr="00312A48" w:rsidRDefault="008A663F" w:rsidP="00312A48">
      <w:pPr>
        <w:snapToGrid w:val="0"/>
        <w:spacing w:line="360" w:lineRule="auto"/>
        <w:jc w:val="both"/>
        <w:rPr>
          <w:rFonts w:ascii="Book Antiqua" w:hAnsi="Book Antiqua"/>
        </w:rPr>
      </w:pPr>
    </w:p>
    <w:p w14:paraId="0B167891" w14:textId="4613550A" w:rsidR="002E36F1" w:rsidRPr="00312A48" w:rsidRDefault="002E36F1" w:rsidP="00312A48">
      <w:pPr>
        <w:snapToGrid w:val="0"/>
        <w:spacing w:line="360" w:lineRule="auto"/>
        <w:jc w:val="both"/>
        <w:rPr>
          <w:rFonts w:ascii="Book Antiqua" w:hAnsi="Book Antiqua"/>
        </w:rPr>
      </w:pPr>
      <w:r w:rsidRPr="00312A48">
        <w:rPr>
          <w:rFonts w:ascii="Book Antiqua" w:hAnsi="Book Antiqua"/>
        </w:rPr>
        <w:t>Kara L Raphael</w:t>
      </w:r>
      <w:r w:rsidR="008A663F" w:rsidRPr="00312A48">
        <w:rPr>
          <w:rFonts w:ascii="Book Antiqua" w:hAnsi="Book Antiqua"/>
        </w:rPr>
        <w:t>,</w:t>
      </w:r>
      <w:r w:rsidRPr="00312A48">
        <w:rPr>
          <w:rFonts w:ascii="Book Antiqua" w:hAnsi="Book Antiqua"/>
        </w:rPr>
        <w:t xml:space="preserve"> </w:t>
      </w:r>
      <w:bookmarkStart w:id="1" w:name="OLE_LINK1"/>
      <w:bookmarkStart w:id="2" w:name="OLE_LINK2"/>
      <w:r w:rsidRPr="00312A48">
        <w:rPr>
          <w:rFonts w:ascii="Book Antiqua" w:hAnsi="Book Antiqua"/>
        </w:rPr>
        <w:t>Arvind</w:t>
      </w:r>
      <w:bookmarkEnd w:id="1"/>
      <w:bookmarkEnd w:id="2"/>
      <w:r w:rsidRPr="00312A48">
        <w:rPr>
          <w:rFonts w:ascii="Book Antiqua" w:hAnsi="Book Antiqua"/>
        </w:rPr>
        <w:t xml:space="preserve"> J </w:t>
      </w:r>
      <w:bookmarkStart w:id="3" w:name="OLE_LINK3"/>
      <w:r w:rsidRPr="00312A48">
        <w:rPr>
          <w:rFonts w:ascii="Book Antiqua" w:hAnsi="Book Antiqua"/>
        </w:rPr>
        <w:t>Trindade</w:t>
      </w:r>
    </w:p>
    <w:bookmarkEnd w:id="3"/>
    <w:p w14:paraId="21900294" w14:textId="0A1908DA" w:rsidR="008A663F" w:rsidRPr="00312A48" w:rsidRDefault="008A663F" w:rsidP="00312A48">
      <w:pPr>
        <w:snapToGrid w:val="0"/>
        <w:spacing w:line="360" w:lineRule="auto"/>
        <w:jc w:val="both"/>
        <w:rPr>
          <w:rFonts w:ascii="Book Antiqua" w:hAnsi="Book Antiqua"/>
        </w:rPr>
      </w:pPr>
    </w:p>
    <w:p w14:paraId="691E9591" w14:textId="468C30E2" w:rsidR="002E36F1" w:rsidRPr="00312A48" w:rsidRDefault="008A663F" w:rsidP="00312A48">
      <w:pPr>
        <w:snapToGrid w:val="0"/>
        <w:spacing w:line="360" w:lineRule="auto"/>
        <w:jc w:val="both"/>
        <w:rPr>
          <w:rFonts w:ascii="Book Antiqua" w:hAnsi="Book Antiqua"/>
        </w:rPr>
      </w:pPr>
      <w:r w:rsidRPr="00312A48">
        <w:rPr>
          <w:rFonts w:ascii="Book Antiqua" w:hAnsi="Book Antiqua"/>
          <w:b/>
          <w:bCs/>
        </w:rPr>
        <w:t>Kara L Raphael, Arvind J Trindade</w:t>
      </w:r>
      <w:r w:rsidRPr="00312A48">
        <w:rPr>
          <w:rFonts w:ascii="Book Antiqua" w:hAnsi="Book Antiqua"/>
        </w:rPr>
        <w:t xml:space="preserve">, </w:t>
      </w:r>
      <w:r w:rsidR="002E36F1" w:rsidRPr="00312A48">
        <w:rPr>
          <w:rFonts w:ascii="Book Antiqua" w:hAnsi="Book Antiqua"/>
        </w:rPr>
        <w:t>Division of Gastroenterology, Long Island Jewish Medical Center, Zucker School of Medicine at Hofstra/Northwell, Northwell Health System, New Hyde Park, NY</w:t>
      </w:r>
      <w:r w:rsidR="00B646D3" w:rsidRPr="00312A48">
        <w:rPr>
          <w:rFonts w:ascii="Book Antiqua" w:hAnsi="Book Antiqua"/>
        </w:rPr>
        <w:t xml:space="preserve"> 11040, United States</w:t>
      </w:r>
    </w:p>
    <w:p w14:paraId="5E29A36B" w14:textId="77777777" w:rsidR="002A0FE8" w:rsidRPr="00312A48" w:rsidRDefault="002A0FE8" w:rsidP="00312A48">
      <w:pPr>
        <w:snapToGrid w:val="0"/>
        <w:spacing w:line="360" w:lineRule="auto"/>
        <w:jc w:val="both"/>
        <w:rPr>
          <w:rFonts w:ascii="Book Antiqua" w:hAnsi="Book Antiqua"/>
          <w:b/>
          <w:bCs/>
        </w:rPr>
      </w:pPr>
    </w:p>
    <w:p w14:paraId="4645B61F" w14:textId="28B13E5C" w:rsidR="0006269B" w:rsidRPr="00312A48" w:rsidRDefault="0006269B" w:rsidP="00312A48">
      <w:pPr>
        <w:snapToGrid w:val="0"/>
        <w:spacing w:line="360" w:lineRule="auto"/>
        <w:jc w:val="both"/>
        <w:rPr>
          <w:rFonts w:ascii="Book Antiqua" w:hAnsi="Book Antiqua"/>
        </w:rPr>
      </w:pPr>
      <w:r w:rsidRPr="00312A48">
        <w:rPr>
          <w:rFonts w:ascii="Book Antiqua" w:hAnsi="Book Antiqua"/>
          <w:b/>
          <w:bCs/>
        </w:rPr>
        <w:t xml:space="preserve">Author contributions: </w:t>
      </w:r>
      <w:r w:rsidRPr="00312A48">
        <w:rPr>
          <w:rFonts w:ascii="Book Antiqua" w:hAnsi="Book Antiqua"/>
        </w:rPr>
        <w:t>Raphael KL performed data acquisitio</w:t>
      </w:r>
      <w:r w:rsidR="00F330B9" w:rsidRPr="00312A48">
        <w:rPr>
          <w:rFonts w:ascii="Book Antiqua" w:hAnsi="Book Antiqua"/>
        </w:rPr>
        <w:t>n, drafted the manuscr</w:t>
      </w:r>
      <w:r w:rsidR="00B646D3" w:rsidRPr="00312A48">
        <w:rPr>
          <w:rFonts w:ascii="Book Antiqua" w:hAnsi="Book Antiqua"/>
        </w:rPr>
        <w:t>ipt and made critical revisions;</w:t>
      </w:r>
      <w:r w:rsidR="00F330B9" w:rsidRPr="00312A48">
        <w:rPr>
          <w:rFonts w:ascii="Book Antiqua" w:hAnsi="Book Antiqua"/>
        </w:rPr>
        <w:t xml:space="preserve"> </w:t>
      </w:r>
      <w:r w:rsidRPr="00312A48">
        <w:rPr>
          <w:rFonts w:ascii="Book Antiqua" w:hAnsi="Book Antiqua"/>
        </w:rPr>
        <w:t>Trindade AJ designed the outline</w:t>
      </w:r>
      <w:r w:rsidR="00F330B9" w:rsidRPr="00312A48">
        <w:rPr>
          <w:rFonts w:ascii="Book Antiqua" w:hAnsi="Book Antiqua"/>
        </w:rPr>
        <w:t xml:space="preserve">, </w:t>
      </w:r>
      <w:r w:rsidR="00805E6C" w:rsidRPr="00805E6C">
        <w:rPr>
          <w:rFonts w:ascii="Book Antiqua" w:hAnsi="Book Antiqua"/>
        </w:rPr>
        <w:t>wrote the paper</w:t>
      </w:r>
      <w:r w:rsidR="00F330B9" w:rsidRPr="00312A48">
        <w:rPr>
          <w:rFonts w:ascii="Book Antiqua" w:hAnsi="Book Antiqua"/>
        </w:rPr>
        <w:t xml:space="preserve">, made critical revisions, </w:t>
      </w:r>
      <w:r w:rsidRPr="00312A48">
        <w:rPr>
          <w:rFonts w:ascii="Book Antiqua" w:hAnsi="Book Antiqua"/>
        </w:rPr>
        <w:t>prepared the figures and tables</w:t>
      </w:r>
      <w:r w:rsidR="00F330B9" w:rsidRPr="00312A48">
        <w:rPr>
          <w:rFonts w:ascii="Book Antiqua" w:hAnsi="Book Antiqua"/>
        </w:rPr>
        <w:t xml:space="preserve">, and </w:t>
      </w:r>
      <w:r w:rsidR="002A0FE8" w:rsidRPr="00312A48">
        <w:rPr>
          <w:rFonts w:ascii="Book Antiqua" w:hAnsi="Book Antiqua"/>
        </w:rPr>
        <w:t>gave final approval for publication.</w:t>
      </w:r>
    </w:p>
    <w:p w14:paraId="0956F729" w14:textId="6854A8A6" w:rsidR="0006269B" w:rsidRPr="00312A48" w:rsidRDefault="0006269B" w:rsidP="00312A48">
      <w:pPr>
        <w:snapToGrid w:val="0"/>
        <w:spacing w:line="360" w:lineRule="auto"/>
        <w:jc w:val="both"/>
        <w:rPr>
          <w:rFonts w:ascii="Book Antiqua" w:hAnsi="Book Antiqua"/>
        </w:rPr>
      </w:pPr>
    </w:p>
    <w:p w14:paraId="30E2FACF" w14:textId="35A69899" w:rsidR="002A5B1A" w:rsidRPr="00312A48" w:rsidRDefault="0006269B" w:rsidP="00312A48">
      <w:pPr>
        <w:pStyle w:val="a7"/>
        <w:snapToGrid w:val="0"/>
        <w:spacing w:before="0" w:beforeAutospacing="0" w:after="0" w:afterAutospacing="0" w:line="360" w:lineRule="auto"/>
        <w:jc w:val="both"/>
        <w:rPr>
          <w:rFonts w:ascii="Book Antiqua" w:hAnsi="Book Antiqua"/>
          <w:u w:val="single"/>
        </w:rPr>
      </w:pPr>
      <w:r w:rsidRPr="00312A48">
        <w:rPr>
          <w:rFonts w:ascii="Book Antiqua" w:hAnsi="Book Antiqua"/>
          <w:b/>
          <w:bCs/>
        </w:rPr>
        <w:t xml:space="preserve">Corresponding author: </w:t>
      </w:r>
      <w:r w:rsidR="00B646D3" w:rsidRPr="00312A48">
        <w:rPr>
          <w:rFonts w:ascii="Book Antiqua" w:hAnsi="Book Antiqua"/>
          <w:b/>
          <w:bCs/>
        </w:rPr>
        <w:t>Arvind J</w:t>
      </w:r>
      <w:r w:rsidR="002A5B1A" w:rsidRPr="00312A48">
        <w:rPr>
          <w:rFonts w:ascii="Book Antiqua" w:hAnsi="Book Antiqua"/>
          <w:b/>
          <w:bCs/>
        </w:rPr>
        <w:t xml:space="preserve"> Trindade, </w:t>
      </w:r>
      <w:r w:rsidR="00B646D3" w:rsidRPr="00312A48">
        <w:rPr>
          <w:rFonts w:ascii="Book Antiqua" w:hAnsi="Book Antiqua"/>
          <w:b/>
          <w:bCs/>
        </w:rPr>
        <w:t xml:space="preserve">MD, Associate Professor, </w:t>
      </w:r>
      <w:r w:rsidR="002A5B1A" w:rsidRPr="00312A48">
        <w:rPr>
          <w:rFonts w:ascii="Book Antiqua" w:hAnsi="Book Antiqua"/>
          <w:b/>
          <w:bCs/>
        </w:rPr>
        <w:t>Director</w:t>
      </w:r>
      <w:r w:rsidR="00B646D3" w:rsidRPr="00312A48">
        <w:rPr>
          <w:rFonts w:ascii="Book Antiqua" w:hAnsi="Book Antiqua"/>
          <w:b/>
          <w:bCs/>
        </w:rPr>
        <w:t>,</w:t>
      </w:r>
      <w:r w:rsidR="002A5B1A" w:rsidRPr="00312A48">
        <w:rPr>
          <w:rFonts w:ascii="Book Antiqua" w:hAnsi="Book Antiqua"/>
          <w:b/>
          <w:bCs/>
        </w:rPr>
        <w:t xml:space="preserve"> </w:t>
      </w:r>
      <w:r w:rsidR="002A5B1A" w:rsidRPr="00312A48">
        <w:rPr>
          <w:rFonts w:ascii="Book Antiqua" w:hAnsi="Book Antiqua"/>
        </w:rPr>
        <w:t xml:space="preserve">Division of Gastroenterology, </w:t>
      </w:r>
      <w:r w:rsidR="00B646D3" w:rsidRPr="00312A48">
        <w:rPr>
          <w:rFonts w:ascii="Book Antiqua" w:hAnsi="Book Antiqua"/>
        </w:rPr>
        <w:t xml:space="preserve">Long Island Jewish Medical Center, </w:t>
      </w:r>
      <w:r w:rsidR="002A5B1A" w:rsidRPr="00312A48">
        <w:rPr>
          <w:rFonts w:ascii="Book Antiqua" w:hAnsi="Book Antiqua"/>
        </w:rPr>
        <w:t>Zucker School of Medicine at Hofstra/Northwell, Northwell Health System, 270-05 76</w:t>
      </w:r>
      <w:r w:rsidR="002A5B1A" w:rsidRPr="00312A48">
        <w:rPr>
          <w:rFonts w:ascii="Book Antiqua" w:hAnsi="Book Antiqua"/>
          <w:vertAlign w:val="superscript"/>
        </w:rPr>
        <w:t>th</w:t>
      </w:r>
      <w:r w:rsidR="002A5B1A" w:rsidRPr="00312A48">
        <w:rPr>
          <w:rFonts w:ascii="Book Antiqua" w:hAnsi="Book Antiqua"/>
        </w:rPr>
        <w:t xml:space="preserve"> Avenue, New Hyde Park, NY 11040, United States. </w:t>
      </w:r>
      <w:hyperlink r:id="rId8" w:history="1">
        <w:r w:rsidR="00B646D3" w:rsidRPr="00312A48">
          <w:rPr>
            <w:rStyle w:val="a3"/>
            <w:rFonts w:ascii="Book Antiqua" w:hAnsi="Book Antiqua"/>
          </w:rPr>
          <w:t>arvind.trindade@gmail.com</w:t>
        </w:r>
      </w:hyperlink>
    </w:p>
    <w:p w14:paraId="11A57AB5" w14:textId="77777777" w:rsidR="00B646D3" w:rsidRPr="00312A48" w:rsidRDefault="00B646D3" w:rsidP="00312A48">
      <w:pPr>
        <w:pStyle w:val="a7"/>
        <w:snapToGrid w:val="0"/>
        <w:spacing w:before="0" w:beforeAutospacing="0" w:after="0" w:afterAutospacing="0" w:line="360" w:lineRule="auto"/>
        <w:jc w:val="both"/>
        <w:rPr>
          <w:rFonts w:ascii="Book Antiqua" w:hAnsi="Book Antiqua"/>
          <w:u w:val="single"/>
        </w:rPr>
      </w:pPr>
    </w:p>
    <w:p w14:paraId="499AE736" w14:textId="4A32B11A" w:rsidR="00B646D3" w:rsidRPr="00312A48" w:rsidRDefault="00B646D3" w:rsidP="00312A48">
      <w:pPr>
        <w:snapToGrid w:val="0"/>
        <w:spacing w:line="360" w:lineRule="auto"/>
        <w:jc w:val="both"/>
        <w:rPr>
          <w:rFonts w:ascii="Book Antiqua" w:hAnsi="Book Antiqua"/>
          <w:b/>
          <w:lang w:eastAsia="zh-CN"/>
        </w:rPr>
      </w:pPr>
      <w:r w:rsidRPr="00312A48">
        <w:rPr>
          <w:rFonts w:ascii="Book Antiqua" w:hAnsi="Book Antiqua"/>
          <w:b/>
        </w:rPr>
        <w:t xml:space="preserve">Received: </w:t>
      </w:r>
      <w:r w:rsidRPr="00312A48">
        <w:rPr>
          <w:rFonts w:ascii="Book Antiqua" w:hAnsi="Book Antiqua"/>
          <w:lang w:eastAsia="zh-CN"/>
        </w:rPr>
        <w:t>Decem</w:t>
      </w:r>
      <w:r w:rsidR="004F0994" w:rsidRPr="00312A48">
        <w:rPr>
          <w:rFonts w:ascii="Book Antiqua" w:hAnsi="Book Antiqua"/>
          <w:lang w:eastAsia="zh-CN"/>
        </w:rPr>
        <w:t>ber</w:t>
      </w:r>
      <w:r w:rsidRPr="00312A48">
        <w:rPr>
          <w:rFonts w:ascii="Book Antiqua" w:hAnsi="Book Antiqua"/>
          <w:lang w:eastAsia="zh-CN"/>
        </w:rPr>
        <w:t xml:space="preserve"> </w:t>
      </w:r>
      <w:r w:rsidR="004F0994" w:rsidRPr="00312A48">
        <w:rPr>
          <w:rFonts w:ascii="Book Antiqua" w:hAnsi="Book Antiqua"/>
          <w:lang w:eastAsia="zh-CN"/>
        </w:rPr>
        <w:t>3</w:t>
      </w:r>
      <w:r w:rsidRPr="00312A48">
        <w:rPr>
          <w:rFonts w:ascii="Book Antiqua" w:hAnsi="Book Antiqua"/>
          <w:lang w:eastAsia="zh-CN"/>
        </w:rPr>
        <w:t>1, 2019</w:t>
      </w:r>
    </w:p>
    <w:p w14:paraId="56A4E885" w14:textId="250C0A6A" w:rsidR="00B646D3" w:rsidRPr="00312A48" w:rsidRDefault="00B646D3" w:rsidP="00312A48">
      <w:pPr>
        <w:snapToGrid w:val="0"/>
        <w:spacing w:line="360" w:lineRule="auto"/>
        <w:jc w:val="both"/>
        <w:rPr>
          <w:rFonts w:ascii="Book Antiqua" w:hAnsi="Book Antiqua"/>
          <w:b/>
          <w:lang w:eastAsia="zh-CN"/>
        </w:rPr>
      </w:pPr>
      <w:r w:rsidRPr="00312A48">
        <w:rPr>
          <w:rFonts w:ascii="Book Antiqua" w:hAnsi="Book Antiqua"/>
          <w:b/>
        </w:rPr>
        <w:t xml:space="preserve">Revised: </w:t>
      </w:r>
      <w:r w:rsidR="004F0994" w:rsidRPr="00312A48">
        <w:rPr>
          <w:rFonts w:ascii="Book Antiqua" w:hAnsi="Book Antiqua"/>
          <w:lang w:eastAsia="zh-CN"/>
        </w:rPr>
        <w:t>April 8, 2020</w:t>
      </w:r>
    </w:p>
    <w:p w14:paraId="0F79115C" w14:textId="3062C30C" w:rsidR="00B646D3" w:rsidRPr="00312A48" w:rsidRDefault="00B646D3" w:rsidP="00312A48">
      <w:pPr>
        <w:snapToGrid w:val="0"/>
        <w:spacing w:line="360" w:lineRule="auto"/>
        <w:jc w:val="both"/>
        <w:rPr>
          <w:rFonts w:ascii="Book Antiqua" w:hAnsi="Book Antiqua"/>
          <w:color w:val="000000"/>
        </w:rPr>
      </w:pPr>
      <w:r w:rsidRPr="00312A48">
        <w:rPr>
          <w:rFonts w:ascii="Book Antiqua" w:hAnsi="Book Antiqua"/>
          <w:b/>
        </w:rPr>
        <w:t>Accepted:</w:t>
      </w:r>
      <w:r w:rsidR="002C1ADC" w:rsidRPr="002C1ADC">
        <w:t xml:space="preserve"> </w:t>
      </w:r>
      <w:r w:rsidR="002C1ADC" w:rsidRPr="002C1ADC">
        <w:rPr>
          <w:rFonts w:ascii="Book Antiqua" w:hAnsi="Book Antiqua"/>
          <w:bCs/>
        </w:rPr>
        <w:t>April 24, 2020</w:t>
      </w:r>
      <w:r w:rsidRPr="002C1ADC">
        <w:rPr>
          <w:rFonts w:ascii="Book Antiqua" w:hAnsi="Book Antiqua"/>
          <w:bCs/>
        </w:rPr>
        <w:t xml:space="preserve"> </w:t>
      </w:r>
    </w:p>
    <w:p w14:paraId="329B9E23" w14:textId="77777777" w:rsidR="00B646D3" w:rsidRPr="00312A48" w:rsidRDefault="00B646D3" w:rsidP="00312A48">
      <w:pPr>
        <w:snapToGrid w:val="0"/>
        <w:spacing w:line="360" w:lineRule="auto"/>
        <w:jc w:val="both"/>
        <w:rPr>
          <w:rFonts w:ascii="Book Antiqua" w:hAnsi="Book Antiqua"/>
          <w:b/>
          <w:lang w:eastAsia="zh-CN"/>
        </w:rPr>
      </w:pPr>
      <w:r w:rsidRPr="00312A48">
        <w:rPr>
          <w:rFonts w:ascii="Book Antiqua" w:hAnsi="Book Antiqua"/>
          <w:b/>
        </w:rPr>
        <w:t xml:space="preserve">Published online: </w:t>
      </w:r>
    </w:p>
    <w:p w14:paraId="2A39AD25" w14:textId="77777777" w:rsidR="004F0994" w:rsidRPr="00312A48" w:rsidRDefault="004F0994" w:rsidP="00312A48">
      <w:pPr>
        <w:snapToGrid w:val="0"/>
        <w:spacing w:line="360" w:lineRule="auto"/>
        <w:jc w:val="both"/>
        <w:rPr>
          <w:rFonts w:ascii="Book Antiqua" w:hAnsi="Book Antiqua"/>
          <w:b/>
          <w:lang w:val="fr-FR"/>
        </w:rPr>
      </w:pPr>
      <w:r w:rsidRPr="00312A48">
        <w:rPr>
          <w:rFonts w:ascii="Book Antiqua" w:hAnsi="Book Antiqua"/>
          <w:b/>
        </w:rPr>
        <w:lastRenderedPageBreak/>
        <w:t>Abstract</w:t>
      </w:r>
    </w:p>
    <w:p w14:paraId="473885F7" w14:textId="7947F038" w:rsidR="002A5B1A" w:rsidRPr="00312A48" w:rsidRDefault="00AF46E5" w:rsidP="00312A48">
      <w:pPr>
        <w:shd w:val="clear" w:color="auto" w:fill="FFFFFF"/>
        <w:snapToGrid w:val="0"/>
        <w:spacing w:line="360" w:lineRule="auto"/>
        <w:jc w:val="both"/>
        <w:rPr>
          <w:rFonts w:ascii="Book Antiqua" w:hAnsi="Book Antiqua" w:cs="Times New Roman"/>
        </w:rPr>
      </w:pPr>
      <w:r w:rsidRPr="00312A48">
        <w:rPr>
          <w:rFonts w:ascii="Book Antiqua" w:hAnsi="Book Antiqua" w:cs="Times New Roman"/>
        </w:rPr>
        <w:t>Radiofrequency ablation (RFA) is very effective for eradication of flat Barrett’s mucosa in dysplastic Barrett’s esophagus after endoscopi</w:t>
      </w:r>
      <w:r w:rsidR="004F0994" w:rsidRPr="00312A48">
        <w:rPr>
          <w:rFonts w:ascii="Book Antiqua" w:hAnsi="Book Antiqua" w:cs="Times New Roman"/>
        </w:rPr>
        <w:t xml:space="preserve">c resection of raised lesions. </w:t>
      </w:r>
      <w:r w:rsidRPr="00312A48">
        <w:rPr>
          <w:rFonts w:ascii="Book Antiqua" w:hAnsi="Book Antiqua" w:cs="Times New Roman"/>
        </w:rPr>
        <w:t>However</w:t>
      </w:r>
      <w:r w:rsidR="007A1C7E" w:rsidRPr="00312A48">
        <w:rPr>
          <w:rFonts w:ascii="Book Antiqua" w:hAnsi="Book Antiqua" w:cs="Times New Roman"/>
        </w:rPr>
        <w:t>, in</w:t>
      </w:r>
      <w:r w:rsidRPr="00312A48">
        <w:rPr>
          <w:rFonts w:ascii="Book Antiqua" w:hAnsi="Book Antiqua" w:cs="Times New Roman"/>
        </w:rPr>
        <w:t xml:space="preserve"> a minority of the time, RFA may be ineffective at eradic</w:t>
      </w:r>
      <w:r w:rsidR="009F0A09">
        <w:rPr>
          <w:rFonts w:ascii="Book Antiqua" w:hAnsi="Book Antiqua" w:cs="Times New Roman"/>
        </w:rPr>
        <w:t xml:space="preserve">ation of the Barrett’s mucosa. </w:t>
      </w:r>
      <w:r w:rsidRPr="00312A48">
        <w:rPr>
          <w:rFonts w:ascii="Book Antiqua" w:hAnsi="Book Antiqua" w:cs="Times New Roman"/>
        </w:rPr>
        <w:t>Achieving complete eradication of intestinal metap</w:t>
      </w:r>
      <w:r w:rsidR="004F0994" w:rsidRPr="00312A48">
        <w:rPr>
          <w:rFonts w:ascii="Book Antiqua" w:hAnsi="Book Antiqua" w:cs="Times New Roman"/>
        </w:rPr>
        <w:t>lasia</w:t>
      </w:r>
      <w:r w:rsidRPr="00312A48">
        <w:rPr>
          <w:rFonts w:ascii="Book Antiqua" w:hAnsi="Book Antiqua" w:cs="Times New Roman"/>
        </w:rPr>
        <w:t xml:space="preserve"> can be challenging in these patients</w:t>
      </w:r>
      <w:r w:rsidR="007A1C7E" w:rsidRPr="00312A48">
        <w:rPr>
          <w:rFonts w:ascii="Book Antiqua" w:hAnsi="Book Antiqua" w:cs="Times New Roman"/>
        </w:rPr>
        <w:t xml:space="preserve">. </w:t>
      </w:r>
      <w:r w:rsidRPr="00312A48">
        <w:rPr>
          <w:rFonts w:ascii="Book Antiqua" w:hAnsi="Book Antiqua" w:cs="Times New Roman"/>
        </w:rPr>
        <w:t>This review article focuses on the management of patients with dysplastic Barrett’s esopha</w:t>
      </w:r>
      <w:r w:rsidR="009F0A09">
        <w:rPr>
          <w:rFonts w:ascii="Book Antiqua" w:hAnsi="Book Antiqua" w:cs="Times New Roman"/>
        </w:rPr>
        <w:t xml:space="preserve">gus refractory to RFA therapy. </w:t>
      </w:r>
      <w:r w:rsidRPr="00312A48">
        <w:rPr>
          <w:rFonts w:ascii="Book Antiqua" w:hAnsi="Book Antiqua" w:cs="Times New Roman"/>
        </w:rPr>
        <w:t xml:space="preserve">Management strategies discussed in this review include </w:t>
      </w:r>
      <w:r w:rsidR="00017989" w:rsidRPr="00312A48">
        <w:rPr>
          <w:rFonts w:ascii="Book Antiqua" w:hAnsi="Book Antiqua" w:cs="Times New Roman"/>
        </w:rPr>
        <w:t xml:space="preserve">optimizing the RFA procedure, </w:t>
      </w:r>
      <w:r w:rsidRPr="00312A48">
        <w:rPr>
          <w:rFonts w:ascii="Book Antiqua" w:hAnsi="Book Antiqua" w:cs="Times New Roman"/>
        </w:rPr>
        <w:t xml:space="preserve">optimizing acid suppression </w:t>
      </w:r>
      <w:r w:rsidR="00846186" w:rsidRPr="00312A48">
        <w:rPr>
          <w:rFonts w:ascii="Book Antiqua" w:hAnsi="Book Antiqua" w:cs="Times New Roman"/>
        </w:rPr>
        <w:t>(</w:t>
      </w:r>
      <w:r w:rsidRPr="00312A48">
        <w:rPr>
          <w:rFonts w:ascii="Book Antiqua" w:hAnsi="Book Antiqua" w:cs="Times New Roman"/>
        </w:rPr>
        <w:t>with medical</w:t>
      </w:r>
      <w:r w:rsidR="00846186" w:rsidRPr="00312A48">
        <w:rPr>
          <w:rFonts w:ascii="Book Antiqua" w:hAnsi="Book Antiqua" w:cs="Times New Roman"/>
        </w:rPr>
        <w:t>, endoscopic,</w:t>
      </w:r>
      <w:r w:rsidRPr="00312A48">
        <w:rPr>
          <w:rFonts w:ascii="Book Antiqua" w:hAnsi="Book Antiqua" w:cs="Times New Roman"/>
        </w:rPr>
        <w:t xml:space="preserve"> and surgical management</w:t>
      </w:r>
      <w:r w:rsidR="00846186" w:rsidRPr="00312A48">
        <w:rPr>
          <w:rFonts w:ascii="Book Antiqua" w:hAnsi="Book Antiqua" w:cs="Times New Roman"/>
        </w:rPr>
        <w:t>)</w:t>
      </w:r>
      <w:r w:rsidRPr="00312A48">
        <w:rPr>
          <w:rFonts w:ascii="Book Antiqua" w:hAnsi="Book Antiqua" w:cs="Times New Roman"/>
        </w:rPr>
        <w:t>, cryotherapy, hybrid argon plasma coagul</w:t>
      </w:r>
      <w:r w:rsidR="004F0994" w:rsidRPr="00312A48">
        <w:rPr>
          <w:rFonts w:ascii="Book Antiqua" w:hAnsi="Book Antiqua" w:cs="Times New Roman"/>
        </w:rPr>
        <w:t xml:space="preserve">ation, and </w:t>
      </w:r>
      <w:proofErr w:type="spellStart"/>
      <w:r w:rsidR="004F0994" w:rsidRPr="00312A48">
        <w:rPr>
          <w:rFonts w:ascii="Book Antiqua" w:hAnsi="Book Antiqua" w:cs="Times New Roman"/>
        </w:rPr>
        <w:t>EndoRotor</w:t>
      </w:r>
      <w:proofErr w:type="spellEnd"/>
      <w:r w:rsidR="004F0994" w:rsidRPr="00312A48">
        <w:rPr>
          <w:rFonts w:ascii="Book Antiqua" w:hAnsi="Book Antiqua" w:cs="Times New Roman"/>
        </w:rPr>
        <w:t xml:space="preserve"> resection.</w:t>
      </w:r>
    </w:p>
    <w:p w14:paraId="1DA1249B" w14:textId="77777777" w:rsidR="002A5B1A" w:rsidRPr="00312A48" w:rsidRDefault="002A5B1A" w:rsidP="00312A48">
      <w:pPr>
        <w:snapToGrid w:val="0"/>
        <w:spacing w:line="360" w:lineRule="auto"/>
        <w:jc w:val="both"/>
        <w:rPr>
          <w:rFonts w:ascii="Book Antiqua" w:hAnsi="Book Antiqua"/>
        </w:rPr>
      </w:pPr>
    </w:p>
    <w:p w14:paraId="4A06186A" w14:textId="7BF225BF" w:rsidR="002A5B1A" w:rsidRPr="00312A48" w:rsidRDefault="004F0994" w:rsidP="00312A48">
      <w:pPr>
        <w:snapToGrid w:val="0"/>
        <w:spacing w:line="360" w:lineRule="auto"/>
        <w:jc w:val="both"/>
        <w:rPr>
          <w:rFonts w:ascii="Book Antiqua" w:hAnsi="Book Antiqua" w:cs="Calibri"/>
        </w:rPr>
      </w:pPr>
      <w:r w:rsidRPr="00312A48">
        <w:rPr>
          <w:rFonts w:ascii="Book Antiqua" w:hAnsi="Book Antiqua"/>
          <w:b/>
        </w:rPr>
        <w:t>Key words:</w:t>
      </w:r>
      <w:r w:rsidR="002A5B1A" w:rsidRPr="00312A48">
        <w:rPr>
          <w:rFonts w:ascii="Book Antiqua" w:hAnsi="Book Antiqua" w:cs="Calibri"/>
        </w:rPr>
        <w:t xml:space="preserve"> Low-grade dysplasia; </w:t>
      </w:r>
      <w:r w:rsidRPr="00312A48">
        <w:rPr>
          <w:rFonts w:ascii="Book Antiqua" w:hAnsi="Book Antiqua" w:cs="Calibri"/>
        </w:rPr>
        <w:t>High</w:t>
      </w:r>
      <w:r w:rsidR="002A5B1A" w:rsidRPr="00312A48">
        <w:rPr>
          <w:rFonts w:ascii="Book Antiqua" w:hAnsi="Book Antiqua" w:cs="Calibri"/>
        </w:rPr>
        <w:t xml:space="preserve">-grade dysplasia; </w:t>
      </w:r>
      <w:r w:rsidRPr="00312A48">
        <w:rPr>
          <w:rFonts w:ascii="Book Antiqua" w:hAnsi="Book Antiqua" w:cs="Calibri"/>
        </w:rPr>
        <w:t xml:space="preserve">Radiofrequency </w:t>
      </w:r>
      <w:r w:rsidR="002A5B1A" w:rsidRPr="00312A48">
        <w:rPr>
          <w:rFonts w:ascii="Book Antiqua" w:hAnsi="Book Antiqua" w:cs="Calibri"/>
        </w:rPr>
        <w:t xml:space="preserve">ablation; </w:t>
      </w:r>
      <w:r w:rsidRPr="00312A48">
        <w:rPr>
          <w:rFonts w:ascii="Book Antiqua" w:hAnsi="Book Antiqua" w:cs="Calibri"/>
        </w:rPr>
        <w:t>Cryotherapy</w:t>
      </w:r>
      <w:r w:rsidR="002A5B1A" w:rsidRPr="00312A48">
        <w:rPr>
          <w:rFonts w:ascii="Book Antiqua" w:hAnsi="Book Antiqua" w:cs="Calibri"/>
        </w:rPr>
        <w:t xml:space="preserve">; </w:t>
      </w:r>
      <w:bookmarkStart w:id="4" w:name="OLE_LINK8"/>
      <w:bookmarkStart w:id="5" w:name="OLE_LINK9"/>
      <w:proofErr w:type="spellStart"/>
      <w:r w:rsidR="002A5B1A" w:rsidRPr="00312A48">
        <w:rPr>
          <w:rFonts w:ascii="Book Antiqua" w:hAnsi="Book Antiqua" w:cs="Calibri"/>
        </w:rPr>
        <w:t>EndoRotor</w:t>
      </w:r>
      <w:bookmarkEnd w:id="4"/>
      <w:bookmarkEnd w:id="5"/>
      <w:proofErr w:type="spellEnd"/>
      <w:r w:rsidR="002A5B1A" w:rsidRPr="00312A48">
        <w:rPr>
          <w:rFonts w:ascii="Book Antiqua" w:hAnsi="Book Antiqua" w:cs="Calibri"/>
        </w:rPr>
        <w:t xml:space="preserve">; </w:t>
      </w:r>
      <w:r w:rsidRPr="00312A48">
        <w:rPr>
          <w:rFonts w:ascii="Book Antiqua" w:hAnsi="Book Antiqua" w:cs="Calibri"/>
        </w:rPr>
        <w:t xml:space="preserve">Hybrid </w:t>
      </w:r>
      <w:r w:rsidR="002A5B1A" w:rsidRPr="00312A48">
        <w:rPr>
          <w:rFonts w:ascii="Book Antiqua" w:hAnsi="Book Antiqua" w:cs="Calibri"/>
        </w:rPr>
        <w:t xml:space="preserve">argon plasma coagulation; </w:t>
      </w:r>
      <w:r w:rsidRPr="00312A48">
        <w:rPr>
          <w:rFonts w:ascii="Book Antiqua" w:hAnsi="Book Antiqua" w:cs="Calibri"/>
        </w:rPr>
        <w:t>Argon plasma coagulation</w:t>
      </w:r>
    </w:p>
    <w:p w14:paraId="73A8480B" w14:textId="634D294D" w:rsidR="00F330B9" w:rsidRPr="00312A48" w:rsidRDefault="00F330B9" w:rsidP="00312A48">
      <w:pPr>
        <w:snapToGrid w:val="0"/>
        <w:spacing w:line="360" w:lineRule="auto"/>
        <w:jc w:val="both"/>
        <w:rPr>
          <w:rFonts w:ascii="Book Antiqua" w:hAnsi="Book Antiqua"/>
        </w:rPr>
      </w:pPr>
    </w:p>
    <w:p w14:paraId="49CA0B1D" w14:textId="31862576" w:rsidR="004F0994" w:rsidRPr="00312A48" w:rsidRDefault="004F0994" w:rsidP="00312A48">
      <w:pPr>
        <w:snapToGrid w:val="0"/>
        <w:spacing w:line="360" w:lineRule="auto"/>
        <w:jc w:val="both"/>
        <w:rPr>
          <w:rFonts w:ascii="Book Antiqua" w:hAnsi="Book Antiqua"/>
          <w:bCs/>
        </w:rPr>
      </w:pPr>
      <w:r w:rsidRPr="00312A48">
        <w:rPr>
          <w:rFonts w:ascii="Book Antiqua" w:hAnsi="Book Antiqua"/>
        </w:rPr>
        <w:t xml:space="preserve">Raphael KL, Trindade AJ. </w:t>
      </w:r>
      <w:r w:rsidRPr="00312A48">
        <w:rPr>
          <w:rFonts w:ascii="Book Antiqua" w:hAnsi="Book Antiqua"/>
          <w:bCs/>
        </w:rPr>
        <w:t xml:space="preserve">Management of Barrett’s esophagus with dysplasia refractory to radiofrequency ablation. </w:t>
      </w:r>
      <w:r w:rsidRPr="00312A48">
        <w:rPr>
          <w:rFonts w:ascii="Book Antiqua" w:hAnsi="Book Antiqua"/>
          <w:bCs/>
          <w:i/>
        </w:rPr>
        <w:t>World J Gastroenterol</w:t>
      </w:r>
      <w:r w:rsidRPr="00312A48">
        <w:rPr>
          <w:rFonts w:ascii="Book Antiqua" w:hAnsi="Book Antiqua"/>
          <w:bCs/>
        </w:rPr>
        <w:t xml:space="preserve"> </w:t>
      </w:r>
      <w:r w:rsidRPr="00312A48">
        <w:rPr>
          <w:rFonts w:ascii="Book Antiqua" w:hAnsi="Book Antiqua"/>
          <w:iCs/>
          <w:lang w:eastAsia="zh-CN"/>
        </w:rPr>
        <w:t xml:space="preserve">2020; </w:t>
      </w:r>
      <w:r w:rsidRPr="00312A48">
        <w:rPr>
          <w:rFonts w:ascii="Book Antiqua" w:hAnsi="Book Antiqua"/>
          <w:bCs/>
          <w:lang w:eastAsia="zh-CN"/>
        </w:rPr>
        <w:t>In press</w:t>
      </w:r>
    </w:p>
    <w:p w14:paraId="28793545" w14:textId="0829E1DA" w:rsidR="004F0994" w:rsidRPr="00312A48" w:rsidRDefault="004F0994" w:rsidP="00312A48">
      <w:pPr>
        <w:snapToGrid w:val="0"/>
        <w:spacing w:line="360" w:lineRule="auto"/>
        <w:jc w:val="both"/>
        <w:rPr>
          <w:rFonts w:ascii="Book Antiqua" w:hAnsi="Book Antiqua"/>
        </w:rPr>
      </w:pPr>
    </w:p>
    <w:p w14:paraId="57BEC7ED" w14:textId="427BDEE2" w:rsidR="00F330B9" w:rsidRPr="00312A48" w:rsidRDefault="004F0994" w:rsidP="00312A48">
      <w:pPr>
        <w:snapToGrid w:val="0"/>
        <w:spacing w:line="360" w:lineRule="auto"/>
        <w:jc w:val="both"/>
        <w:rPr>
          <w:rFonts w:ascii="Book Antiqua" w:hAnsi="Book Antiqua"/>
        </w:rPr>
      </w:pPr>
      <w:r w:rsidRPr="00312A48">
        <w:rPr>
          <w:rFonts w:ascii="Book Antiqua" w:hAnsi="Book Antiqua"/>
          <w:b/>
          <w:bCs/>
        </w:rPr>
        <w:t>Core tip</w:t>
      </w:r>
      <w:r w:rsidR="00F330B9" w:rsidRPr="00312A48">
        <w:rPr>
          <w:rFonts w:ascii="Book Antiqua" w:hAnsi="Book Antiqua"/>
          <w:b/>
          <w:bCs/>
        </w:rPr>
        <w:t xml:space="preserve">: </w:t>
      </w:r>
      <w:bookmarkStart w:id="6" w:name="OLE_LINK10"/>
      <w:r w:rsidR="009B192F" w:rsidRPr="00312A48">
        <w:rPr>
          <w:rFonts w:ascii="Book Antiqua" w:hAnsi="Book Antiqua"/>
        </w:rPr>
        <w:t>This review highlights management strategies for patients with Barrett’s esophagus who are refractory to ra</w:t>
      </w:r>
      <w:r w:rsidRPr="00312A48">
        <w:rPr>
          <w:rFonts w:ascii="Book Antiqua" w:hAnsi="Book Antiqua"/>
        </w:rPr>
        <w:t xml:space="preserve">diofrequency ablation therapy. </w:t>
      </w:r>
      <w:r w:rsidR="009B192F" w:rsidRPr="00312A48">
        <w:rPr>
          <w:rFonts w:ascii="Book Antiqua" w:hAnsi="Book Antiqua"/>
        </w:rPr>
        <w:t xml:space="preserve">A treatment algorithm is suggested that includes optimizing the </w:t>
      </w:r>
      <w:r w:rsidRPr="00312A48">
        <w:rPr>
          <w:rFonts w:ascii="Book Antiqua" w:hAnsi="Book Antiqua" w:cs="Times New Roman"/>
        </w:rPr>
        <w:t>radiofrequency ablation</w:t>
      </w:r>
      <w:r w:rsidR="009B192F" w:rsidRPr="00312A48">
        <w:rPr>
          <w:rFonts w:ascii="Book Antiqua" w:hAnsi="Book Antiqua"/>
        </w:rPr>
        <w:t xml:space="preserve"> procedure, optimizing acid control, </w:t>
      </w:r>
      <w:r w:rsidR="001B6EE5" w:rsidRPr="00312A48">
        <w:rPr>
          <w:rFonts w:ascii="Book Antiqua" w:hAnsi="Book Antiqua"/>
        </w:rPr>
        <w:t xml:space="preserve">repeating </w:t>
      </w:r>
      <w:r w:rsidRPr="00312A48">
        <w:rPr>
          <w:rFonts w:ascii="Book Antiqua" w:hAnsi="Book Antiqua" w:cs="Times New Roman"/>
        </w:rPr>
        <w:t>radiofrequency ablation</w:t>
      </w:r>
      <w:r w:rsidR="001B6EE5" w:rsidRPr="00312A48">
        <w:rPr>
          <w:rFonts w:ascii="Book Antiqua" w:hAnsi="Book Antiqua"/>
        </w:rPr>
        <w:t>, and then using novel ablative or resection techniques for those patients with persistent refractory disease.</w:t>
      </w:r>
    </w:p>
    <w:bookmarkEnd w:id="6"/>
    <w:p w14:paraId="0147B222" w14:textId="77777777" w:rsidR="004F0994" w:rsidRPr="00312A48" w:rsidRDefault="004F0994" w:rsidP="00312A48">
      <w:pPr>
        <w:snapToGrid w:val="0"/>
        <w:spacing w:line="360" w:lineRule="auto"/>
        <w:jc w:val="both"/>
        <w:rPr>
          <w:rFonts w:ascii="Book Antiqua" w:hAnsi="Book Antiqua"/>
          <w:b/>
          <w:bCs/>
        </w:rPr>
      </w:pPr>
      <w:r w:rsidRPr="00312A48">
        <w:rPr>
          <w:rFonts w:ascii="Book Antiqua" w:hAnsi="Book Antiqua"/>
          <w:b/>
          <w:bCs/>
        </w:rPr>
        <w:br w:type="page"/>
      </w:r>
    </w:p>
    <w:p w14:paraId="23005CC5" w14:textId="77777777" w:rsidR="004F0994" w:rsidRPr="00312A48" w:rsidRDefault="004F0994" w:rsidP="00312A48">
      <w:pPr>
        <w:snapToGrid w:val="0"/>
        <w:spacing w:line="360" w:lineRule="auto"/>
        <w:jc w:val="both"/>
        <w:rPr>
          <w:rFonts w:ascii="Book Antiqua" w:hAnsi="Book Antiqua"/>
        </w:rPr>
      </w:pPr>
      <w:r w:rsidRPr="00312A48">
        <w:rPr>
          <w:rFonts w:ascii="Book Antiqua" w:hAnsi="Book Antiqua"/>
          <w:b/>
          <w:u w:val="single"/>
        </w:rPr>
        <w:lastRenderedPageBreak/>
        <w:t>INTRODUCTION</w:t>
      </w:r>
    </w:p>
    <w:p w14:paraId="03BF9F05" w14:textId="00CA1A4F" w:rsidR="002B325E" w:rsidRPr="00312A48" w:rsidRDefault="00AF3A65" w:rsidP="00312A48">
      <w:pPr>
        <w:snapToGrid w:val="0"/>
        <w:spacing w:line="360" w:lineRule="auto"/>
        <w:jc w:val="both"/>
        <w:rPr>
          <w:rFonts w:ascii="Book Antiqua" w:hAnsi="Book Antiqua"/>
        </w:rPr>
      </w:pPr>
      <w:r w:rsidRPr="00312A48">
        <w:rPr>
          <w:rFonts w:ascii="Book Antiqua" w:hAnsi="Book Antiqua"/>
        </w:rPr>
        <w:t>Barrett’s esophagus</w:t>
      </w:r>
      <w:r w:rsidR="00196A52" w:rsidRPr="00312A48">
        <w:rPr>
          <w:rFonts w:ascii="Book Antiqua" w:hAnsi="Book Antiqua"/>
        </w:rPr>
        <w:t xml:space="preserve"> (BE)</w:t>
      </w:r>
      <w:r w:rsidRPr="00312A48">
        <w:rPr>
          <w:rFonts w:ascii="Book Antiqua" w:hAnsi="Book Antiqua"/>
        </w:rPr>
        <w:t xml:space="preserve"> is a </w:t>
      </w:r>
      <w:r w:rsidR="00A1427D" w:rsidRPr="00312A48">
        <w:rPr>
          <w:rFonts w:ascii="Book Antiqua" w:hAnsi="Book Antiqua"/>
        </w:rPr>
        <w:t>condition i</w:t>
      </w:r>
      <w:r w:rsidRPr="00312A48">
        <w:rPr>
          <w:rFonts w:ascii="Book Antiqua" w:hAnsi="Book Antiqua"/>
        </w:rPr>
        <w:t xml:space="preserve">n which </w:t>
      </w:r>
      <w:r w:rsidR="00A1427D" w:rsidRPr="00312A48">
        <w:rPr>
          <w:rFonts w:ascii="Book Antiqua" w:hAnsi="Book Antiqua"/>
        </w:rPr>
        <w:t xml:space="preserve">the </w:t>
      </w:r>
      <w:r w:rsidRPr="00312A48">
        <w:rPr>
          <w:rFonts w:ascii="Book Antiqua" w:hAnsi="Book Antiqua"/>
        </w:rPr>
        <w:t xml:space="preserve">esophageal mucosa extending </w:t>
      </w:r>
      <w:r w:rsidR="00F960BD" w:rsidRPr="00312A48">
        <w:rPr>
          <w:rFonts w:ascii="Book Antiqua" w:hAnsi="Book Antiqua"/>
        </w:rPr>
        <w:t>at least one centimeter</w:t>
      </w:r>
      <w:r w:rsidR="00A1427D" w:rsidRPr="00312A48">
        <w:rPr>
          <w:rFonts w:ascii="Book Antiqua" w:hAnsi="Book Antiqua"/>
        </w:rPr>
        <w:t xml:space="preserve"> above the gastroesophageal junction </w:t>
      </w:r>
      <w:r w:rsidRPr="00312A48">
        <w:rPr>
          <w:rFonts w:ascii="Book Antiqua" w:hAnsi="Book Antiqua"/>
        </w:rPr>
        <w:t xml:space="preserve">converts </w:t>
      </w:r>
      <w:r w:rsidR="00A1427D" w:rsidRPr="00312A48">
        <w:rPr>
          <w:rFonts w:ascii="Book Antiqua" w:hAnsi="Book Antiqua"/>
        </w:rPr>
        <w:t xml:space="preserve">from </w:t>
      </w:r>
      <w:r w:rsidR="00196A52" w:rsidRPr="00312A48">
        <w:rPr>
          <w:rFonts w:ascii="Book Antiqua" w:hAnsi="Book Antiqua"/>
        </w:rPr>
        <w:t xml:space="preserve">normal </w:t>
      </w:r>
      <w:r w:rsidRPr="00312A48">
        <w:rPr>
          <w:rFonts w:ascii="Book Antiqua" w:hAnsi="Book Antiqua"/>
        </w:rPr>
        <w:t xml:space="preserve">esophageal </w:t>
      </w:r>
      <w:r w:rsidR="00A1427D" w:rsidRPr="00312A48">
        <w:rPr>
          <w:rFonts w:ascii="Book Antiqua" w:hAnsi="Book Antiqua"/>
        </w:rPr>
        <w:t>squamous epithelium to a specialized intestinal co</w:t>
      </w:r>
      <w:r w:rsidR="00196A52" w:rsidRPr="00312A48">
        <w:rPr>
          <w:rFonts w:ascii="Book Antiqua" w:hAnsi="Book Antiqua"/>
        </w:rPr>
        <w:t>lumnar type epithelium.</w:t>
      </w:r>
      <w:r w:rsidRPr="00312A48">
        <w:rPr>
          <w:rFonts w:ascii="Book Antiqua" w:hAnsi="Book Antiqua"/>
        </w:rPr>
        <w:t xml:space="preserve"> </w:t>
      </w:r>
      <w:r w:rsidR="00196A52" w:rsidRPr="00312A48">
        <w:rPr>
          <w:rFonts w:ascii="Book Antiqua" w:hAnsi="Book Antiqua"/>
        </w:rPr>
        <w:t xml:space="preserve">BE </w:t>
      </w:r>
      <w:r w:rsidRPr="00312A48">
        <w:rPr>
          <w:rFonts w:ascii="Book Antiqua" w:hAnsi="Book Antiqua"/>
        </w:rPr>
        <w:t>is a premalignant condition in which intestinal metaplasia (IM) may progress to dysplasia and event</w:t>
      </w:r>
      <w:r w:rsidR="00DE0942" w:rsidRPr="00312A48">
        <w:rPr>
          <w:rFonts w:ascii="Book Antiqua" w:hAnsi="Book Antiqua"/>
        </w:rPr>
        <w:t>ually esophageal adenocarcinoma.</w:t>
      </w:r>
      <w:r w:rsidR="009F0A09">
        <w:rPr>
          <w:rFonts w:ascii="Book Antiqua" w:hAnsi="Book Antiqua"/>
        </w:rPr>
        <w:t xml:space="preserve"> </w:t>
      </w:r>
      <w:r w:rsidRPr="00312A48">
        <w:rPr>
          <w:rFonts w:ascii="Book Antiqua" w:hAnsi="Book Antiqua"/>
        </w:rPr>
        <w:t>While the</w:t>
      </w:r>
      <w:r w:rsidR="0032319D" w:rsidRPr="00312A48">
        <w:rPr>
          <w:rFonts w:ascii="Book Antiqua" w:hAnsi="Book Antiqua"/>
        </w:rPr>
        <w:t xml:space="preserve"> annual malignant conversion</w:t>
      </w:r>
      <w:r w:rsidRPr="00312A48">
        <w:rPr>
          <w:rFonts w:ascii="Book Antiqua" w:hAnsi="Book Antiqua"/>
        </w:rPr>
        <w:t xml:space="preserve"> risk of IM is </w:t>
      </w:r>
      <w:r w:rsidR="00196A52" w:rsidRPr="00312A48">
        <w:rPr>
          <w:rFonts w:ascii="Book Antiqua" w:hAnsi="Book Antiqua"/>
        </w:rPr>
        <w:t xml:space="preserve">only </w:t>
      </w:r>
      <w:r w:rsidRPr="00312A48">
        <w:rPr>
          <w:rFonts w:ascii="Book Antiqua" w:hAnsi="Book Antiqua"/>
        </w:rPr>
        <w:t xml:space="preserve">0.3%, the risk increases </w:t>
      </w:r>
      <w:r w:rsidR="0032319D" w:rsidRPr="00312A48">
        <w:rPr>
          <w:rFonts w:ascii="Book Antiqua" w:hAnsi="Book Antiqua"/>
        </w:rPr>
        <w:t>with low-grade dysplasia (LGD) to 0.5%, and with high-grade dysplasia</w:t>
      </w:r>
      <w:r w:rsidR="00F960BD" w:rsidRPr="00312A48">
        <w:rPr>
          <w:rFonts w:ascii="Book Antiqua" w:hAnsi="Book Antiqua"/>
        </w:rPr>
        <w:t xml:space="preserve"> </w:t>
      </w:r>
      <w:r w:rsidR="00AF46E5" w:rsidRPr="00312A48">
        <w:rPr>
          <w:rFonts w:ascii="Book Antiqua" w:hAnsi="Book Antiqua"/>
        </w:rPr>
        <w:t>to 6</w:t>
      </w:r>
      <w:r w:rsidR="0032319D" w:rsidRPr="00312A48">
        <w:rPr>
          <w:rFonts w:ascii="Book Antiqua" w:hAnsi="Book Antiqua"/>
        </w:rPr>
        <w:t>%</w:t>
      </w:r>
      <w:r w:rsidR="001E0531" w:rsidRPr="00312A48">
        <w:rPr>
          <w:rFonts w:ascii="Book Antiqua" w:hAnsi="Book Antiqua"/>
        </w:rPr>
        <w:fldChar w:fldCharType="begin" w:fldLock="1"/>
      </w:r>
      <w:r w:rsidR="00216FF9" w:rsidRPr="00312A48">
        <w:rPr>
          <w:rFonts w:ascii="Book Antiqua" w:hAnsi="Book Antiqua"/>
        </w:rPr>
        <w:instrText>ADDIN CSL_CITATION {"citationItems":[{"id":"ITEM-1","itemData":{"DOI":"10.1016/j.gie.2007.07.019","ISSN":"0016-5107 (Print)\r0016-5107 (Linking)","PMID":"18045592","abstract":"BACKGROUND: Patients with Barrett's esophagus (BE) and high-grade dysplasia (HGD) are at a high risk for developing esophageal adenocarcinoma. However, the reported rate of cancer development in patients with HGD who were undergoing surveillance has varied among published studies. OBJECTIVE: To determine an overall precise estimate of cancer incidence in patients with HGD who were undergoing surveillance endoscopy. DESIGN: Systematic review and meta-analysis. METHODS: We conducted a systematic search of the published literature and selected original articles that examined patients with histologically proven BE and HGD, patients who had not undergone endoscopic ablation or surgical therapy, patients with 6 months' follow-up, no esophageal cancer at the time of enrollment or within 6 months, and studies in which follow-up was reported in person-time. Two investigators independently conducted the search and abstraction. MAIN OUTCOME MEASUREMENT: The weighted mean event rate was calculated and expressed as the weighted incidence rate, and its CIs were calculated. RESULTS: The search yielded 4 articles that met the inclusion criteria, and these were analyzed. A total of 236 patients with HGD were followed for 1241 patient-years, and esophageal adenocarcinoma was reported in 69 patients, providing a crude incidence rate of 5.57 per 100 patient-years. The weighted incidence rate was 6.58 per 100 patient-years (95% CI, 4.97-8.19). LIMITATIONS: A small number of studies that met inclusion criteria. CONCLUSIONS: In patients with BE and with HGD who were undergoing surveillance, esophageal adenocarcinoma develops in approximately 6 per 100 patient-years during the first few years of follow-up. These data may better inform physicians and patients in management decisions.","author":[{"dropping-particle":"","family":"Rastogi","given":"A","non-dropping-particle":"","parse-names":false,"suffix":""},{"dropping-particle":"","family":"Puli","given":"S","non-dropping-particle":"","parse-names":false,"suffix":""},{"dropping-particle":"","family":"El-Serag","given":"H B","non-dropping-particle":"","parse-names":false,"suffix":""},{"dropping-particle":"","family":"Bansal","given":"A","non-dropping-particle":"","parse-names":false,"suffix":""},{"dropping-particle":"","family":"Wani","given":"S","non-dropping-particle":"","parse-names":false,"suffix":""},{"dropping-particle":"","family":"Sharma","given":"P","non-dropping-particle":"","parse-names":false,"suffix":""}],"container-title":"Gastrointestinal Endoscopy","id":"ITEM-1","issue":"3","issued":{"date-parts":[["2008"]]},"note":"Rastogi, Amit\rPuli, Srinivas\rEl-Serag, Hashem B\rBansal, Ajay\rWani, Sachin\rSharma, Prateek\reng\rMeta-Analysis\rResearch Support, Non-U.S. Gov't\rReview\rSystematic Review\r2007/11/30 09:00\rGastrointest Endosc. 2008 Mar;67(3):394-8. doi: 10.1016/j.gie.2007.07.019. Epub 2007 Nov 28.","page":"394-398","title":"Incidence of esophageal adenocarcinoma in patients with Barrett's esophagus and high-grade dysplasia: a meta-analysis","type":"article-journal","volume":"67"},"uris":["http://www.mendeley.com/documents/?uuid=f60b4159-723b-3ad9-8763-254bfa0b438f"]}],"mendeley":{"formattedCitation":"&lt;sup&gt;[1]&lt;/sup&gt;","plainTextFormattedCitation":"[1]","previouslyFormattedCitation":"&lt;sup&gt;[1]&lt;/sup&gt;"},"properties":{"noteIndex":0},"schema":"https://github.com/citation-style-language/schema/raw/master/csl-citation.json"}</w:instrText>
      </w:r>
      <w:r w:rsidR="001E0531" w:rsidRPr="00312A48">
        <w:rPr>
          <w:rFonts w:ascii="Book Antiqua" w:hAnsi="Book Antiqua"/>
        </w:rPr>
        <w:fldChar w:fldCharType="separate"/>
      </w:r>
      <w:r w:rsidR="001E0531" w:rsidRPr="00312A48">
        <w:rPr>
          <w:rFonts w:ascii="Book Antiqua" w:hAnsi="Book Antiqua"/>
          <w:noProof/>
          <w:vertAlign w:val="superscript"/>
        </w:rPr>
        <w:t>[1]</w:t>
      </w:r>
      <w:r w:rsidR="001E0531" w:rsidRPr="00312A48">
        <w:rPr>
          <w:rFonts w:ascii="Book Antiqua" w:hAnsi="Book Antiqua"/>
        </w:rPr>
        <w:fldChar w:fldCharType="end"/>
      </w:r>
      <w:r w:rsidR="00EF2B23" w:rsidRPr="00312A48">
        <w:rPr>
          <w:rFonts w:ascii="Book Antiqua" w:hAnsi="Book Antiqua"/>
        </w:rPr>
        <w:t>.</w:t>
      </w:r>
    </w:p>
    <w:p w14:paraId="1FA06D68" w14:textId="7A083AFE" w:rsidR="00AF3A65" w:rsidRPr="00312A48" w:rsidRDefault="00DE0942" w:rsidP="00312A48">
      <w:pPr>
        <w:snapToGrid w:val="0"/>
        <w:spacing w:line="360" w:lineRule="auto"/>
        <w:ind w:firstLineChars="100" w:firstLine="240"/>
        <w:jc w:val="both"/>
        <w:rPr>
          <w:rFonts w:ascii="Book Antiqua" w:hAnsi="Book Antiqua"/>
        </w:rPr>
      </w:pPr>
      <w:r w:rsidRPr="00312A48">
        <w:rPr>
          <w:rFonts w:ascii="Book Antiqua" w:hAnsi="Book Antiqua"/>
        </w:rPr>
        <w:t xml:space="preserve">While non-dysplastic BE can be adequately conservatively managed with chemoprevention </w:t>
      </w:r>
      <w:r w:rsidRPr="00312A48">
        <w:rPr>
          <w:rFonts w:ascii="Book Antiqua" w:hAnsi="Book Antiqua"/>
          <w:i/>
        </w:rPr>
        <w:t>via</w:t>
      </w:r>
      <w:r w:rsidRPr="00312A48">
        <w:rPr>
          <w:rFonts w:ascii="Book Antiqua" w:hAnsi="Book Antiqua"/>
        </w:rPr>
        <w:t xml:space="preserve"> proton-pump inhibitor ther</w:t>
      </w:r>
      <w:r w:rsidR="00625BBC" w:rsidRPr="00312A48">
        <w:rPr>
          <w:rFonts w:ascii="Book Antiqua" w:hAnsi="Book Antiqua"/>
        </w:rPr>
        <w:t>apy and endoscopic surveillance</w:t>
      </w:r>
      <w:r w:rsidR="002F2CDE" w:rsidRPr="00312A48">
        <w:rPr>
          <w:rFonts w:ascii="Book Antiqua" w:hAnsi="Book Antiqua"/>
        </w:rPr>
        <w:t xml:space="preserve"> programs</w:t>
      </w:r>
      <w:r w:rsidR="00216FF9" w:rsidRPr="00312A48">
        <w:rPr>
          <w:rFonts w:ascii="Book Antiqua" w:hAnsi="Book Antiqua"/>
        </w:rPr>
        <w:fldChar w:fldCharType="begin" w:fldLock="1"/>
      </w:r>
      <w:r w:rsidR="00216FF9" w:rsidRPr="00312A48">
        <w:rPr>
          <w:rFonts w:ascii="Book Antiqua" w:hAnsi="Book Antiqua"/>
        </w:rPr>
        <w:instrText>ADDIN CSL_CITATION {"citationItems":[{"id":"ITEM-1","itemData":{"DOI":"10.1136/gutjnl-2013-305997","ISSN":"1468-3288 (Electronic)\r0017-5749 (Linking)","PMID":"24221456","abstract":"BACKGROUND AND AIMS: Acid-suppressive medications, particularly proton pump inhibitors (PPIs), may decrease the risk of oesophageal adenocarcinoma (OAC) in patients with Barrett's oesophagus (BO). We performed a systematic review with meta-analysis of studies evaluating the association between acid-suppressive medications (PPIs and histamine receptor antagonists (H2RAs)) and risk of OAC or high-grade dysplasia (BO-HGD) in patients with BO. METHODS: We performed a systematic search of multiple electronic databases and conference proceedings up to June 2013 to identify studies reporting the association between use of acid-suppressive medications and risk of OAC and/or BO-HGD in patients with BO. Summary ORs with 95% CIs were estimated. RESULTS: We identified seven observational studies (2813 patients with BO, 317 cases of OAC or BO-HGD, 84.4% PPI users). On meta-analysis, PPI use was associated with a 71% reduction in risk of OAC and/or BO-HGD in patients with BO (adjusted OR 0.29; 95% CI 0.12 to 0.79). There was a trend towards a dose-response relationship with PPI use for &gt;2-3 years protective against OAC or BO-HGD (three studies; PPI use &gt;2-3 years vs &lt;2-3 years: OR 0.45 (95% CI 0.19 to 1.06) vs 1.09 (0.47 to 2.56)). Considerable heterogeneity was observed. Two studies reported the association between H2RA use and risk of OAC and/or BO-HGD (1352 patients with BO, 156 cases of OAC, 25.4% on H2RAs), and both studies did not show a significant effect. CONCLUSIONS: Based on meta-analysis of observational studies, the use of PPIs is associated with a decreased risk of OAC and/or BO-HGD in patients with BO. None of the studies showed an increased risk of OAC. PPI use should be considered in BO, and chemopreventive trials of PPIs in patients with BO are warranted.","author":[{"dropping-particle":"","family":"Singh","given":"S","non-dropping-particle":"","parse-names":false,"suffix":""},{"dropping-particle":"","family":"Garg","given":"S K","non-dropping-particle":"","parse-names":false,"suffix":""},{"dropping-particle":"","family":"Singh","given":"P P","non-dropping-particle":"","parse-names":false,"suffix":""},{"dropping-particle":"","family":"Iyer","given":"P G","non-dropping-particle":"","parse-names":false,"suffix":""},{"dropping-particle":"","family":"El-Serag","given":"H B","non-dropping-particle":"","parse-names":false,"suffix":""}],"container-title":"Gut","id":"ITEM-1","issue":"8","issued":{"date-parts":[["2014"]]},"note":"Singh, Siddharth\rGarg, Sushil Kumar\rSingh, Preet Paul\rIyer, Prasad G\rEl-Serag, Hashem B\reng\rK24 DK078154/DK/NIDDK NIH HHS/\rP30 DK056338/DK/NIDDK NIH HHS/\rT32 DK083266/DK/NIDDK NIH HHS/\rMeta-Analysis\rReview\rSystematic Review\rEngland\r2013/11/14 06:00\rGut. 2014 Aug;63(8):1229-37. doi: 10.1136/gutjnl-2013-305997. Epub 2013 Nov 12.","page":"1229-1237","title":"Acid-suppressive medications and risk of oesophageal adenocarcinoma in patients with Barrett's oesophagus: a systematic review and meta-analysis","type":"article-journal","volume":"63"},"uris":["http://www.mendeley.com/documents/?uuid=6da81d99-2af3-33e6-a47f-87c128792c06"]},{"id":"ITEM-2","itemData":{"DOI":"10.1038/ajg.2015.322","ISSN":"1572-0241 (Electronic)\r0002-9270 (Linking)","PMID":"26526079","abstract":"Barrett's esophagus (BE) is among the most common conditions encountered by the gastroenterologist. In this document, the American College of Gastroenterology updates its guidance for the best practices in caring for these patients. These guidelines continue to endorse screening of high-risk patients for BE; however, routine screening is limited to men with reflux symptoms and multiple other risk factors. Acknowledging recent data on the low risk of malignant progression in patients with nondysplastic BE, endoscopic surveillance intervals are attenuated in this population; patients with nondysplastic BE should undergo endoscopic surveillance no more frequently than every 3-5 years. Neither routine use of biomarker panels nor advanced endoscopic imaging techniques (beyond high-definition endoscopy) is recommended at this time. Endoscopic ablative therapy is recommended for patients with BE and high-grade dysplasia, as well as T1a esophageal adenocarcinoma. Based on recent level 1 evidence, endoscopic ablative therapy is also recommended for patients with BE and low-grade dysplasia, although endoscopic surveillance continues to be an acceptable alternative. Given the relatively common recurrence of BE after ablation, we suggest postablation endoscopic surveillance intervals. Although many of the recommendations provided are based on weak evidence or expert opinion, this document provides a pragmatic framework for the care of the patient with BE.","author":[{"dropping-particle":"","family":"Shaheen","given":"N J","non-dropping-particle":"","parse-names":false,"suffix":""},{"dropping-particle":"","family":"Falk","given":"G W","non-dropping-particle":"","parse-names":false,"suffix":""},{"dropping-particle":"","family":"Iyer","given":"P G","non-dropping-particle":"","parse-names":false,"suffix":""},{"dropping-particle":"","family":"Gerson","given":"L B","non-dropping-particle":"","parse-names":false,"suffix":""},{"dropping-particle":"","family":"American College of","given":"Gastroenterology","non-dropping-particle":"","parse-names":false,"suffix":""}],"container-title":"American Journal of Gastroenterology","id":"ITEM-2","issue":"1","issued":{"date-parts":[["2016"]]},"note":"Shaheen, Nicholas J\rFalk, Gary W\rIyer, Prasad G\rGerson, Lauren B\reng\rPractice Guideline\rResearch Support, Non-U.S. Gov't\r2015/11/04 06:00\rAm J Gastroenterol. 2016 Jan;111(1):30-50; quiz 51. doi: 10.1038/ajg.2015.322. Epub 2015 Nov 3.","page":"30-50; quiz 51","title":"ACG Clinical Guideline: Diagnosis and Management of Barrett's Esophagus","type":"article-journal","volume":"111"},"uris":["http://www.mendeley.com/documents/?uuid=3c23c96e-3484-38b6-bf4d-3bb763db7457"]}],"mendeley":{"formattedCitation":"&lt;sup&gt;[2,3]&lt;/sup&gt;","plainTextFormattedCitation":"[2,3]","previouslyFormattedCitation":"&lt;sup&gt;[2,3]&lt;/sup&gt;"},"properties":{"noteIndex":0},"schema":"https://github.com/citation-style-language/schema/raw/master/csl-citation.json"}</w:instrText>
      </w:r>
      <w:r w:rsidR="00216FF9" w:rsidRPr="00312A48">
        <w:rPr>
          <w:rFonts w:ascii="Book Antiqua" w:hAnsi="Book Antiqua"/>
        </w:rPr>
        <w:fldChar w:fldCharType="separate"/>
      </w:r>
      <w:r w:rsidR="00216FF9" w:rsidRPr="00312A48">
        <w:rPr>
          <w:rFonts w:ascii="Book Antiqua" w:hAnsi="Book Antiqua"/>
          <w:noProof/>
          <w:vertAlign w:val="superscript"/>
        </w:rPr>
        <w:t>[2,3]</w:t>
      </w:r>
      <w:r w:rsidR="00216FF9" w:rsidRPr="00312A48">
        <w:rPr>
          <w:rFonts w:ascii="Book Antiqua" w:hAnsi="Book Antiqua"/>
        </w:rPr>
        <w:fldChar w:fldCharType="end"/>
      </w:r>
      <w:r w:rsidR="00EF2B23" w:rsidRPr="00312A48">
        <w:rPr>
          <w:rFonts w:ascii="Book Antiqua" w:hAnsi="Book Antiqua"/>
        </w:rPr>
        <w:t>,</w:t>
      </w:r>
      <w:r w:rsidR="002F17E3" w:rsidRPr="00312A48">
        <w:rPr>
          <w:rFonts w:ascii="Book Antiqua" w:hAnsi="Book Antiqua"/>
        </w:rPr>
        <w:t xml:space="preserve"> </w:t>
      </w:r>
      <w:r w:rsidRPr="00312A48">
        <w:rPr>
          <w:rFonts w:ascii="Book Antiqua" w:hAnsi="Book Antiqua"/>
        </w:rPr>
        <w:t xml:space="preserve">dysplastic BE requires more aggressive intervention to mitigate the risk of development of </w:t>
      </w:r>
      <w:r w:rsidR="004F0994" w:rsidRPr="00312A48">
        <w:rPr>
          <w:rFonts w:ascii="Book Antiqua" w:hAnsi="Book Antiqua"/>
        </w:rPr>
        <w:t>esophageal adenocarcinoma</w:t>
      </w:r>
      <w:r w:rsidRPr="00312A48">
        <w:rPr>
          <w:rFonts w:ascii="Book Antiqua" w:hAnsi="Book Antiqua"/>
        </w:rPr>
        <w:t xml:space="preserve">. Historically, </w:t>
      </w:r>
      <w:r w:rsidR="00362EC7" w:rsidRPr="00312A48">
        <w:rPr>
          <w:rFonts w:ascii="Book Antiqua" w:hAnsi="Book Antiqua"/>
        </w:rPr>
        <w:t xml:space="preserve">esophagectomy was considered the only option for dysplastic and early neoplastic BE, however, over the </w:t>
      </w:r>
      <w:r w:rsidR="00682662" w:rsidRPr="00312A48">
        <w:rPr>
          <w:rFonts w:ascii="Book Antiqua" w:hAnsi="Book Antiqua"/>
        </w:rPr>
        <w:t xml:space="preserve">past </w:t>
      </w:r>
      <w:r w:rsidR="00362EC7" w:rsidRPr="00312A48">
        <w:rPr>
          <w:rFonts w:ascii="Book Antiqua" w:hAnsi="Book Antiqua"/>
        </w:rPr>
        <w:t xml:space="preserve">twenty years, </w:t>
      </w:r>
      <w:r w:rsidR="003A66AC" w:rsidRPr="00312A48">
        <w:rPr>
          <w:rFonts w:ascii="Book Antiqua" w:hAnsi="Book Antiqua"/>
        </w:rPr>
        <w:t xml:space="preserve">minimally invasive and </w:t>
      </w:r>
      <w:r w:rsidR="00682662" w:rsidRPr="00312A48">
        <w:rPr>
          <w:rFonts w:ascii="Book Antiqua" w:hAnsi="Book Antiqua"/>
        </w:rPr>
        <w:t>highly eff</w:t>
      </w:r>
      <w:r w:rsidR="00F960BD" w:rsidRPr="00312A48">
        <w:rPr>
          <w:rFonts w:ascii="Book Antiqua" w:hAnsi="Book Antiqua"/>
        </w:rPr>
        <w:t>icacious</w:t>
      </w:r>
      <w:r w:rsidR="00682662" w:rsidRPr="00312A48">
        <w:rPr>
          <w:rFonts w:ascii="Book Antiqua" w:hAnsi="Book Antiqua"/>
        </w:rPr>
        <w:t xml:space="preserve"> </w:t>
      </w:r>
      <w:r w:rsidR="00362EC7" w:rsidRPr="00312A48">
        <w:rPr>
          <w:rFonts w:ascii="Book Antiqua" w:hAnsi="Book Antiqua"/>
        </w:rPr>
        <w:t xml:space="preserve">endoscopic interventions </w:t>
      </w:r>
      <w:r w:rsidR="003A66AC" w:rsidRPr="00312A48">
        <w:rPr>
          <w:rFonts w:ascii="Book Antiqua" w:hAnsi="Book Antiqua"/>
        </w:rPr>
        <w:t xml:space="preserve">with low risk profiles </w:t>
      </w:r>
      <w:r w:rsidR="00362EC7" w:rsidRPr="00312A48">
        <w:rPr>
          <w:rFonts w:ascii="Book Antiqua" w:hAnsi="Book Antiqua"/>
        </w:rPr>
        <w:t>have been developed that have replaced esophagectomy as the mainstay of therapy</w:t>
      </w:r>
      <w:r w:rsidR="00216FF9" w:rsidRPr="00312A48">
        <w:rPr>
          <w:rFonts w:ascii="Book Antiqua" w:hAnsi="Book Antiqua"/>
        </w:rPr>
        <w:fldChar w:fldCharType="begin" w:fldLock="1"/>
      </w:r>
      <w:r w:rsidR="00216FF9" w:rsidRPr="00312A48">
        <w:rPr>
          <w:rFonts w:ascii="Book Antiqua" w:hAnsi="Book Antiqua"/>
        </w:rPr>
        <w:instrText>ADDIN CSL_CITATION {"citationItems":[{"id":"ITEM-1","itemData":{"DOI":"10.1097/SLA.0000000000001387","ISSN":"1528-1140 (Electronic)\r0003-4932 (Linking)","PMID":"26672723","abstract":"OBJECTIVE: The purpose of this study is to determine the comparative effectiveness of esophagectomy versus endoscopic mucosal resection followed by radiofrequency ablation (EMR-RFA) for the treatment of Barrett esophagus with high-grade dysplasia (HGD). BACKGROUND: HGD of the esophagus may be managed by surgical resection or EMR-RFA. National guidelines suggest that EMR-RFA is effective at eradicating HGD. The comparative effectiveness and cost-effectiveness of EMR-RFA versus esophagectomy for HGD remains unclear. METHODS: A decision-analysis model was constructed to represent 3 management strategies for HGD: (1) esophagectomy, (2) EMR-RFA, and (3) endoscopic surveillance. Estimates for model variables were obtained from literature review, and costs were estimated from Medicare fee schedules. Costs and utilities were discounted at an annual rate of 3%. The baseline model was adjusted for alternative age groups and high-risk dysplastic variants. One-way and multivariable probabilistic sensitivity analyses were conducted. RESULTS: For a 65-year-old patient, compared to esophagectomy, EMR-RFA yields equivalent utility (11.5 vs 11.4 discounted quality-adjusted life years) with lower total cost ($52.5K vs $74.3K) over the first 20 years. Dominance of EMR-RFA over esophagectomy persists for all age groups. Patients with diffuse or ulcerated HGD are more effectively treated with esophagectomy. Model outcomes are sensitive to estimated rates of disease progression and postintervention utility parameters. CONCLUSIONS: Existing evidence supports EMR-RFA over esophagectomy for the treatment of esophageal HGD. Long-term outcomes and more definitive quality-of-life studies for both interventions are crucial to better inform decision-making.","author":[{"dropping-particle":"","family":"Hu","given":"Y","non-dropping-particle":"","parse-names":false,"suffix":""},{"dropping-particle":"","family":"Puri","given":"V","non-dropping-particle":"","parse-names":false,"suffix":""},{"dropping-particle":"","family":"Shami","given":"V M","non-dropping-particle":"","parse-names":false,"suffix":""},{"dropping-particle":"","family":"Stukenborg","given":"G J","non-dropping-particle":"","parse-names":false,"suffix":""},{"dropping-particle":"","family":"Kozower","given":"B D","non-dropping-particle":"","parse-names":false,"suffix":""}],"container-title":"Annals of Surgery","id":"ITEM-1","issue":"4","issued":{"date-parts":[["2016"]]},"note":"Hu, Yinin\rPuri, Varun\rShami, Vanessa M\rStukenborg, George J\rKozower, Benjamin D\reng\rT32 CA163177/CA/NCI NIH HHS/\rComparative Study\rResearch Support, N.I.H., Extramural\r2015/12/18 06:00\rAnn Surg. 2016 Apr;263(4):719-26. doi: 10.1097/SLA.0000000000001387.","page":"719-726","title":"Comparative Effectiveness of Esophagectomy Versus Endoscopic Treatment for Esophageal High-grade Dysplasia","type":"article-journal","volume":"263"},"uris":["http://www.mendeley.com/documents/?uuid=6c82286c-338d-34b4-8ad4-21c1c69ed322"]},{"id":"ITEM-2","itemData":{"DOI":"10.1053/j.semtcvs.2014.12.004","ISSN":"1532-9488 (Electronic)\r1043-0679 (Linking)","PMID":"25837538","abstract":"Over the past several years, endoscopic ablation and resection have become a new standard of care in the management of Barrett esophagus (BE) with high-grade dysplasia (HGD) or intramucosal adenocarcinoma (IMC). Risk factors for failure of endoscopic therapy and the need for subsequent esophagectomy have not been well elucidated. The aims of this study were to determine the efficacy of radiofrequency ablation (RFA) with or without endoscopic mucosal resection (EMR) in the management of BE with HGD or IMC, to discern factors predictive of endoscopic treatment failure, and to assess the effect of endoscopic therapies on esophagectomy volume at our institution. Data were obtained retrospectively for all patients who underwent endoscopic therapies or esophagectomy for a diagnosis of BE with HGD or IMC in our department between January 1, 2004, and December 31, 2012. Complete remission (CR) of BE or HGD or IMC was defined as 2 consecutive biopsy sessions without BE or HGD or IMC and no subsequent recurrence. Recurrence was defined by the return of BE or HGD or IMC after initial remission. Progression was defined as worsening of HGD to IMC or worsening of IMC to submucosal neoplasia or beyond. Overall, 57 patients underwent RFA with or without EMR for BE with HGD (n = 45) or IMC (n = 12) between 2007 and 2012, with a median follow-up duration of 35.4 months (range: 18.5-52.0 months). The 57 patients underwent 181 ablation sessions and more than half (61%) of patients underwent EMR as a component of treatment. There were no major procedural complications or deaths, with only 2 minor complications including 1 symptomatic stricture requiring dilation. Multifocal HGD or IMC was present in 43% (25/57) of patients. CR of IMC was achieved in 100% (12/12) at a median of 6.1 months, CR of dysplasia was achieved in 79% (45/57) at a median of 11.5 months, and CR of BE was achieved in 49% (28/57) at a median of 18.4 months. Following initial remission, 28% of patients (16/57) had recurrence of dysplasia (n = 12) or BE (n = 4). Progression to IMC occurred in 7% (4/57). All patients without CR continue endoscopic treatment. No patient required esophagectomy or developed metastatic disease. Overall, 6 patients died during the follow-up interval, none from esophageal cancer. Factors associated with failure to achieve CR of BE included increasing length of BE (6.0 +/- 0.6 vs 4.0 +/- 0.6cm, P = 0.03) and shorter duration of follow-up (28.5 +/- 3.8 months vs 49.0 +/- 5.8 months…","author":[{"dropping-particle":"","family":"Lada","given":"M J","non-dropping-particle":"","parse-names":false,"suffix":""},{"dropping-particle":"","family":"Watson","given":"T J","non-dropping-particle":"","parse-names":false,"suffix":""},{"dropping-particle":"","family":"Shakoor","given":"A","non-dropping-particle":"","parse-names":false,"suffix":""},{"dropping-particle":"","family":"Nieman","given":"D R","non-dropping-particle":"","parse-names":false,"suffix":""},{"dropping-particle":"","family":"Han","given":"M","non-dropping-particle":"","parse-names":false,"suffix":""},{"dropping-particle":"","family":"Tschoner","given":"A","non-dropping-particle":"","parse-names":false,"suffix":""},{"dropping-particle":"","family":"Peyre","given":"C G","non-dropping-particle":"","parse-names":false,"suffix":""},{"dropping-particle":"","family":"Jones","given":"C E","non-dropping-particle":"","parse-names":false,"suffix":""},{"dropping-particle":"","family":"Peters","given":"J H","non-dropping-particle":"","parse-names":false,"suffix":""}],"container-title":"Seminars in Thoracic and Cardiovascular Surgery","id":"ITEM-2","issue":"4","issued":{"date-parts":[["2014"]]},"note":"Lada, Michal J\rWatson, Thomas J\rShakoor, Aqsa\rNieman, Dylan R\rHan, Michelle\rTschoner, Andreas\rPeyre, Christian G\rJones, Carolyn E\rPeters, Jeffrey H\reng\r2014/01/01 00:00\rSemin Thorac Cardiovasc Surg. 2014 Winter;26(4):274-84. doi: 10.1053/j.semtcvs.2014.12.004. Epub 2014 Dec 24.","page":"274-284","title":"Eliminating a need for esophagectomy: endoscopic treatment of Barrett esophagus with early esophageal neoplasia","type":"article-journal","volume":"26"},"uris":["http://www.mendeley.com/documents/?uuid=1ceb8bd3-af32-35a4-b8e0-42345c1bb631"]},{"id":"ITEM-3","itemData":{"DOI":"10.1016/j.jtcvs.2010.08.058","ISSN":"1097-685X (Electronic)\r0022-5223 (Linking)","PMID":"21055772","abstract":"BACKGROUND: Esophagectomy has been the traditional therapy for high-grade dysplasia and intramucosal adenocarcinoma. New endoscopic approaches allow treatment of these lesions with esophageal preservation. The aim of this study was to compare the outcome of endoscopic therapy with esophagectomy for high-grade dysplasia and intramucosal cancer. METHODS: A retrospective review was performed of all patients treated for high-grade dysplasia or intramucosal adenocarcinoma from 2001 to April 2010. RESULTS: Endoscopic therapy was performed in 40 patients (high-grade dysplasia = 22, intramucosal cancer = 18) and esophagectomy in 61 patients (high-grade dysplasia = 13, intramucosal cancer = 48). Endotherapy consisted of 102 endoscopic resections and 79 mucosal ablations (median 3 interventions per patient). In the endotherapy group, intramucosal cancer was completely resected in all patients. At last assessment, 10 patients have been converted to intestinal metaplasia without dysplasia and 21 to no residual intestinal metaplasia. Five patients have follow-up biopsy procedures pending after recent ablation, and esophagectomy was performed in 3 patients for failed endotherapy. A laparoscopic Nissen fundoplication has been performed in 8 patients after eradication of intestinal metaplasia. Esophagectomy resected the mucosal disease with negative margins in all patients. Compared with esophagectomy, endotherapy was associated with significantly lower morbidity (39% vs 0; P &lt; .0001) and similar survival (94% at 3 years in both groups; median follow-up 34 months after esophagectomy vs 17 months after endotherapy; P = .0026). CONCLUSIONS: Endoscopic therapy for high-grade dysplasia or intramucosal cancer has lower morbidity than an esophagectomy and similar survival during short-term follow-up, but required multiple procedures in most patients. Both therapies are appropriate options, but preservation of the esophagus allows the option of a fundoplication for reflux control, perhaps further improving long-term quality of life.","author":[{"dropping-particle":"","family":"Zehetner","given":"J","non-dropping-particle":"","parse-names":false,"suffix":""},{"dropping-particle":"","family":"DeMeester","given":"S R","non-dropping-particle":"","parse-names":false,"suffix":""},{"dropping-particle":"","family":"Hagen","given":"J A","non-dropping-particle":"","parse-names":false,"suffix":""},{"dropping-particle":"","family":"Ayazi","given":"S","non-dropping-particle":"","parse-names":false,"suffix":""},{"dropping-particle":"","family":"Augustin","given":"F","non-dropping-particle":"","parse-names":false,"suffix":""},{"dropping-particle":"","family":"Lipham","given":"J C","non-dropping-particle":"","parse-names":false,"suffix":""},{"dropping-particle":"","family":"DeMeester","given":"T R","non-dropping-particle":"","parse-names":false,"suffix":""}],"container-title":"Journal of Thoracic and Cardiovascular Surgery","id":"ITEM-3","issue":"1","issued":{"date-parts":[["2011"]]},"note":"Zehetner, Jorg\rDeMeester, Steven R\rHagen, Jeffrey A\rAyazi, Shahin\rAugustin, Florian\rLipham, John C\rDeMeester, Tom R\reng\rComparative Study\r2010/11/09 06:00\rJ Thorac Cardiovasc Surg. 2011 Jan;141(1):39-47. doi: 10.1016/j.jtcvs.2010.08.058. Epub 2010 Nov 5.","page":"39-47","title":"Endoscopic resection and ablation versus esophagectomy for high-grade dysplasia and intramucosal adenocarcinoma","type":"article-journal","volume":"141"},"uris":["http://www.mendeley.com/documents/?uuid=1b2f926f-244a-347d-9efa-f20260029c5b"]},{"id":"ITEM-4","itemData":{"DOI":"10.1016/j.gie.2013.08.005","ISSN":"1097-6779 (Electronic)\r0016-5107 (Linking)","PMID":"24079410","abstract":"BACKGROUND: Esophagectomy is the conventional treatment for Barrett's esophagus with high-grade dysplasia and intramucosal cancer. Endotherapy is an alternative treatment. OBJECTIVE: To compare the efficacy and safety of these 2 treatments. DESIGN: PubMed, Web of Science, EMBASE, Cochrane Library and momentous meeting abstracts were searched. Studies comparing endotherapy with esophagectomy were included in the meta-analysis. Pooling was conducted in a random-effects model. SETTING: Tertiary-care facility. PATIENTS: Seven studies involving 870 patients were included. INTERVENTION: Endotherapy and esophagectomy. MAIN OUTCOME MEASUREMENTS: Neoplasia remission rate, neoplasia recurrence rate, overall survival rate, neoplasia-related death, and major adverse events. RESULTS: Meta-analysis showed that there was no significant difference between endotherapy and esophagectomy in the neoplasia remission rate (relative risk [RR] 0.96; 95% CI, 0.91-1.01); overall survival rate at 1 year (RR 0.99; 95% CI, 0.94-1.03), 3 years (RR 1.03; 95% CI, 0.96-1.10), and 5 years (RR 1.00; 95% CI, 0.93-1.06); and neoplasia-related mortality (risk difference [RD] 0; 95% CI, -0.02 to 0.01). Endotherapy was associated with a higher neoplasia recurrence rate (RR 9.50; 95% CI, 3.26-27.75) and fewer major adverse events (RR 0.38; 95% CI, 0.20-0.73). LIMITATIONS: Relatively small number of retrospective studies available, different types of endoscopic treatments were used. CONCLUSION: Endotherapy and esophagectomy show similar efficacy except in the neoplasia recurrence rate, which is higher after endotherapy. Prospective, randomized, controlled trials are needed to confirm these results.","author":[{"dropping-particle":"","family":"Wu","given":"J","non-dropping-particle":"","parse-names":false,"suffix":""},{"dropping-particle":"","family":"Pan","given":"Y M","non-dropping-particle":"","parse-names":false,"suffix":""},{"dropping-particle":"","family":"Wang","given":"T T","non-dropping-particle":"","parse-names":false,"suffix":""},{"dropping-particle":"","family":"Gao","given":"D J","non-dropping-particle":"","parse-names":false,"suffix":""},{"dropping-particle":"","family":"Hu","given":"B","non-dropping-particle":"","parse-names":false,"suffix":""}],"container-title":"Gastrointestinal Endoscopy","id":"ITEM-4","issue":"2","issued":{"date-parts":[["2014"]]},"note":"Wu, Jun\rPan, Ya-min\rWang, Tian-tian\rGao, Dao-jian\rHu, Bing\reng\rMeta-Analysis\rReview\r2013/10/02 06:00\rGastrointest Endosc. 2014 Feb;79(2):233-241.e2. doi: 10.1016/j.gie.2013.08.005. Epub 2013 Sep 27.","page":"233-241 e2","title":"Endotherapy versus surgery for early neoplasia in Barrett's esophagus: a meta-analysis","type":"article-journal","volume":"79"},"uris":["http://www.mendeley.com/documents/?uuid=9a2457bf-afbb-3039-bba5-32a4fad5c455"]}],"mendeley":{"formattedCitation":"&lt;sup&gt;[4–7]&lt;/sup&gt;","plainTextFormattedCitation":"[4–7]","previouslyFormattedCitation":"&lt;sup&gt;[4–7]&lt;/sup&gt;"},"properties":{"noteIndex":0},"schema":"https://github.com/citation-style-language/schema/raw/master/csl-citation.json"}</w:instrText>
      </w:r>
      <w:r w:rsidR="00216FF9" w:rsidRPr="00312A48">
        <w:rPr>
          <w:rFonts w:ascii="Book Antiqua" w:hAnsi="Book Antiqua"/>
        </w:rPr>
        <w:fldChar w:fldCharType="separate"/>
      </w:r>
      <w:r w:rsidR="00216FF9" w:rsidRPr="00312A48">
        <w:rPr>
          <w:rFonts w:ascii="Book Antiqua" w:hAnsi="Book Antiqua"/>
          <w:noProof/>
          <w:vertAlign w:val="superscript"/>
        </w:rPr>
        <w:t>[4</w:t>
      </w:r>
      <w:r w:rsidR="00995A30">
        <w:rPr>
          <w:rFonts w:ascii="Book Antiqua" w:hAnsi="Book Antiqua"/>
          <w:noProof/>
          <w:vertAlign w:val="superscript"/>
        </w:rPr>
        <w:t>-</w:t>
      </w:r>
      <w:r w:rsidR="00216FF9" w:rsidRPr="00312A48">
        <w:rPr>
          <w:rFonts w:ascii="Book Antiqua" w:hAnsi="Book Antiqua"/>
          <w:noProof/>
          <w:vertAlign w:val="superscript"/>
        </w:rPr>
        <w:t>7]</w:t>
      </w:r>
      <w:r w:rsidR="00216FF9" w:rsidRPr="00312A48">
        <w:rPr>
          <w:rFonts w:ascii="Book Antiqua" w:hAnsi="Book Antiqua"/>
        </w:rPr>
        <w:fldChar w:fldCharType="end"/>
      </w:r>
      <w:r w:rsidR="00EF2B23" w:rsidRPr="00312A48">
        <w:rPr>
          <w:rFonts w:ascii="Book Antiqua" w:hAnsi="Book Antiqua"/>
        </w:rPr>
        <w:t>.</w:t>
      </w:r>
    </w:p>
    <w:p w14:paraId="3CB83EF6" w14:textId="2CE0AC0C" w:rsidR="0052326A" w:rsidRPr="00312A48" w:rsidRDefault="002F2CDE" w:rsidP="00312A48">
      <w:pPr>
        <w:snapToGrid w:val="0"/>
        <w:spacing w:line="360" w:lineRule="auto"/>
        <w:ind w:firstLineChars="100" w:firstLine="240"/>
        <w:jc w:val="both"/>
        <w:rPr>
          <w:rFonts w:ascii="Book Antiqua" w:hAnsi="Book Antiqua"/>
        </w:rPr>
      </w:pPr>
      <w:r w:rsidRPr="00312A48">
        <w:rPr>
          <w:rFonts w:ascii="Book Antiqua" w:hAnsi="Book Antiqua"/>
        </w:rPr>
        <w:t xml:space="preserve">These endoscopic interventions have collectively </w:t>
      </w:r>
      <w:r w:rsidR="0007509F" w:rsidRPr="00312A48">
        <w:rPr>
          <w:rFonts w:ascii="Book Antiqua" w:hAnsi="Book Antiqua"/>
        </w:rPr>
        <w:t xml:space="preserve">been </w:t>
      </w:r>
      <w:r w:rsidRPr="00312A48">
        <w:rPr>
          <w:rFonts w:ascii="Book Antiqua" w:hAnsi="Book Antiqua"/>
        </w:rPr>
        <w:t xml:space="preserve">termed “endoscopic eradication therapy” (EET) and, to date, consist of both </w:t>
      </w:r>
      <w:r w:rsidR="008C13BD" w:rsidRPr="00312A48">
        <w:rPr>
          <w:rFonts w:ascii="Book Antiqua" w:hAnsi="Book Antiqua"/>
        </w:rPr>
        <w:t>endoscopic</w:t>
      </w:r>
      <w:r w:rsidRPr="00312A48">
        <w:rPr>
          <w:rFonts w:ascii="Book Antiqua" w:hAnsi="Book Antiqua"/>
        </w:rPr>
        <w:t xml:space="preserve"> resection </w:t>
      </w:r>
      <w:r w:rsidR="008C13BD" w:rsidRPr="00312A48">
        <w:rPr>
          <w:rFonts w:ascii="Book Antiqua" w:hAnsi="Book Antiqua"/>
        </w:rPr>
        <w:t xml:space="preserve">and ablative </w:t>
      </w:r>
      <w:r w:rsidRPr="00312A48">
        <w:rPr>
          <w:rFonts w:ascii="Book Antiqua" w:hAnsi="Book Antiqua"/>
        </w:rPr>
        <w:t xml:space="preserve">techniques. </w:t>
      </w:r>
      <w:r w:rsidR="008C13BD" w:rsidRPr="00312A48">
        <w:rPr>
          <w:rFonts w:ascii="Book Antiqua" w:hAnsi="Book Antiqua"/>
        </w:rPr>
        <w:t xml:space="preserve">For any visible raised or suspicious lesion, endoscopic mucosal </w:t>
      </w:r>
      <w:r w:rsidR="00F960BD" w:rsidRPr="00312A48">
        <w:rPr>
          <w:rFonts w:ascii="Book Antiqua" w:hAnsi="Book Antiqua"/>
        </w:rPr>
        <w:t xml:space="preserve">resection </w:t>
      </w:r>
      <w:r w:rsidR="008C13BD" w:rsidRPr="00312A48">
        <w:rPr>
          <w:rFonts w:ascii="Book Antiqua" w:hAnsi="Book Antiqua"/>
        </w:rPr>
        <w:t>(EMR)</w:t>
      </w:r>
      <w:r w:rsidR="00F960BD" w:rsidRPr="00312A48">
        <w:rPr>
          <w:rFonts w:ascii="Book Antiqua" w:hAnsi="Book Antiqua"/>
        </w:rPr>
        <w:t>,</w:t>
      </w:r>
      <w:r w:rsidR="008C13BD" w:rsidRPr="00312A48">
        <w:rPr>
          <w:rFonts w:ascii="Book Antiqua" w:hAnsi="Book Antiqua"/>
        </w:rPr>
        <w:t xml:space="preserve"> </w:t>
      </w:r>
      <w:r w:rsidR="008C13BD" w:rsidRPr="00312A48">
        <w:rPr>
          <w:rFonts w:ascii="Book Antiqua" w:hAnsi="Book Antiqua"/>
          <w:i/>
        </w:rPr>
        <w:t>via</w:t>
      </w:r>
      <w:r w:rsidR="008C13BD" w:rsidRPr="00312A48">
        <w:rPr>
          <w:rFonts w:ascii="Book Antiqua" w:hAnsi="Book Antiqua"/>
        </w:rPr>
        <w:t xml:space="preserve"> band ligation or a </w:t>
      </w:r>
      <w:r w:rsidR="0007509F" w:rsidRPr="00312A48">
        <w:rPr>
          <w:rFonts w:ascii="Book Antiqua" w:hAnsi="Book Antiqua"/>
        </w:rPr>
        <w:t xml:space="preserve">cap-assisted </w:t>
      </w:r>
      <w:r w:rsidR="008C13BD" w:rsidRPr="00312A48">
        <w:rPr>
          <w:rFonts w:ascii="Book Antiqua" w:hAnsi="Book Antiqua"/>
        </w:rPr>
        <w:t>technique</w:t>
      </w:r>
      <w:r w:rsidR="00216FF9" w:rsidRPr="00312A48">
        <w:rPr>
          <w:rFonts w:ascii="Book Antiqua" w:hAnsi="Book Antiqua"/>
        </w:rPr>
        <w:fldChar w:fldCharType="begin" w:fldLock="1"/>
      </w:r>
      <w:r w:rsidR="00216FF9" w:rsidRPr="00312A48">
        <w:rPr>
          <w:rFonts w:ascii="Book Antiqua" w:hAnsi="Book Antiqua"/>
        </w:rPr>
        <w:instrText>ADDIN CSL_CITATION {"citationItems":[{"id":"ITEM-1","itemData":{"DOI":"10.1016/j.gie.2011.03.1243","ISSN":"1097-6779 (Electronic)\r0016-5107 (Linking)","PMID":"21704807","abstract":"BACKGROUND: Endoscopic resection (ER) is an important treatment for high-grade intraepithelial neoplasia and early cancer in Barrett's esophagus. ER-cap requires submucosal lifting and positioning of a snare in the cap, making it technically demanding and laborious. Multiband mucosectomy (MBM) uses a modified variceal band ligator and requires no submucosal lifting or positioning of a snare. OBJECTIVE: To compare ER-cap and MBM for piecemeal ER of early Barrett's neoplasia. DESIGN: Randomized, controlled trial. SETTING: Tertiary-care and community-care centers. PATIENTS: This study involved 84 patients (64 men; median age 70 years) undergoing piecemeal ER of Barrett's neoplasia. INTERVENTION: Piecemeal ER was performed by using ER-cap (n = 42) or MBM (n = 42). MAIN OUTCOME MEASUREMENTS: Safety, efficacy, procedure time, costs. RESULTS: Procedure time (34 vs 50 minutes; P = .02) and costs (euro240 vs euro322; P &lt; .01) were significantly less with MBM compared with ER-cap. MBM resulted in smaller resection specimens than ER-cap (18 x13 mm vs 20 x 15 mm; P &lt; .01). Maximum thicknesses of specimens and resected submucosa were not significantly different. There were no clinically relevant bleeding episodes. Four perforations occurred, 3 with ER-cap, 1 with MBM (P = not significant). LIMITATIONS: Potential bias because of different levels of experience among participating endoscopists. CONCLUSION: Piecemeal ER with MBM is faster and cheaper than with ER-cap. Despite the lack of submucosal lifting, MBM appears not to be associated with more perforations. Although MBM results in slightly smaller specimens, the clinical relevance of this may be limited because depth of resections does not differ between both techniques. MBM may thus be preferred for piecemeal ER of early Barrett's neoplasia. ( CLINICAL TRIAL REGISTRATION NUMBER: NTR1435.).","author":[{"dropping-particle":"","family":"Pouw","given":"R E","non-dropping-particle":"","parse-names":false,"suffix":""},{"dropping-particle":"","family":"Vilsteren","given":"F G","non-dropping-particle":"van","parse-names":false,"suffix":""},{"dropping-particle":"","family":"Peters","given":"F P","non-dropping-particle":"","parse-names":false,"suffix":""},{"dropping-particle":"","family":"Alvarez Herrero","given":"L","non-dropping-particle":"","parse-names":false,"suffix":""},{"dropping-particle":"","family":"Kate","given":"F J","non-dropping-particle":"Ten","parse-names":false,"suffix":""},{"dropping-particle":"","family":"Visser","given":"M","non-dropping-particle":"","parse-names":false,"suffix":""},{"dropping-particle":"","family":"Schenk","given":"B E","non-dropping-particle":"","parse-names":false,"suffix":""},{"dropping-particle":"","family":"Schoon","given":"E J","non-dropping-particle":"","parse-names":false,"suffix":""},{"dropping-particle":"","family":"Peters","given":"F T","non-dropping-particle":"","parse-names":false,"suffix":""},{"dropping-particle":"","family":"Houben","given":"M","non-dropping-particle":"","parse-names":false,"suffix":""},{"dropping-particle":"","family":"Bisschops","given":"R","non-dropping-particle":"","parse-names":false,"suffix":""},{"dropping-particle":"","family":"Weusten","given":"B L","non-dropping-particle":"","parse-names":false,"suffix":""},{"dropping-particle":"","family":"Bergman","given":"J J","non-dropping-particle":"","parse-names":false,"suffix":""}],"container-title":"Gastrointestinal Endoscopy","id":"ITEM-1","issue":"1","issued":{"date-parts":[["2011"]]},"note":"Pouw, Roos E\rvan Vilsteren, Frederike G I\rPeters, Femke P\rAlvarez Herrero, Lorenza\rTen Kate, Fiebo J W\rVisser, Mike\rSchenk, Boudewijn E\rSchoon, Erik J\rPeters, Frans T M\rHouben, Martin\rBisschops, Raf\rWeusten, Bas L A M\rBergman, Jacques J G H M\reng\rComparative Study\rRandomized Controlled Trial\rResearch Support, Non-U.S. Gov't\r2011/06/28 06:00\rGastrointest Endosc. 2011 Jul;74(1):35-43. doi: 10.1016/j.gie.2011.03.1243.","page":"35-43","title":"Randomized trial on endoscopic resection-cap versus multiband mucosectomy for piecemeal endoscopic resection of early Barrett's neoplasia","type":"article-journal","volume":"74"},"uris":["http://www.mendeley.com/documents/?uuid=dd6fa17b-e67e-349e-9d95-8344e892d721"]}],"mendeley":{"formattedCitation":"&lt;sup&gt;[8]&lt;/sup&gt;","plainTextFormattedCitation":"[8]","previouslyFormattedCitation":"&lt;sup&gt;[8]&lt;/sup&gt;"},"properties":{"noteIndex":0},"schema":"https://github.com/citation-style-language/schema/raw/master/csl-citation.json"}</w:instrText>
      </w:r>
      <w:r w:rsidR="00216FF9" w:rsidRPr="00312A48">
        <w:rPr>
          <w:rFonts w:ascii="Book Antiqua" w:hAnsi="Book Antiqua"/>
        </w:rPr>
        <w:fldChar w:fldCharType="separate"/>
      </w:r>
      <w:r w:rsidR="00216FF9" w:rsidRPr="00312A48">
        <w:rPr>
          <w:rFonts w:ascii="Book Antiqua" w:hAnsi="Book Antiqua"/>
          <w:noProof/>
          <w:vertAlign w:val="superscript"/>
        </w:rPr>
        <w:t>[8]</w:t>
      </w:r>
      <w:r w:rsidR="00216FF9" w:rsidRPr="00312A48">
        <w:rPr>
          <w:rFonts w:ascii="Book Antiqua" w:hAnsi="Book Antiqua"/>
        </w:rPr>
        <w:fldChar w:fldCharType="end"/>
      </w:r>
      <w:r w:rsidR="009216C7" w:rsidRPr="00312A48">
        <w:rPr>
          <w:rFonts w:ascii="Book Antiqua" w:hAnsi="Book Antiqua"/>
        </w:rPr>
        <w:t>,</w:t>
      </w:r>
      <w:r w:rsidR="008C13BD" w:rsidRPr="00312A48">
        <w:rPr>
          <w:rFonts w:ascii="Book Antiqua" w:hAnsi="Book Antiqua"/>
        </w:rPr>
        <w:t xml:space="preserve"> or endoscopic submucosal dissection (ESD), are recommended as the </w:t>
      </w:r>
      <w:r w:rsidR="0007509F" w:rsidRPr="00312A48">
        <w:rPr>
          <w:rFonts w:ascii="Book Antiqua" w:hAnsi="Book Antiqua"/>
        </w:rPr>
        <w:t>first ste</w:t>
      </w:r>
      <w:r w:rsidR="009F0A09">
        <w:rPr>
          <w:rFonts w:ascii="Book Antiqua" w:hAnsi="Book Antiqua"/>
        </w:rPr>
        <w:t xml:space="preserve">p in standard of care therapy. </w:t>
      </w:r>
      <w:r w:rsidR="0007509F" w:rsidRPr="00312A48">
        <w:rPr>
          <w:rFonts w:ascii="Book Antiqua" w:hAnsi="Book Antiqua"/>
        </w:rPr>
        <w:t>EMR and ESD have comparable rates of remission of dysplasia at 3-mo follow-up, however ESD is technically more difficult and has a higher adverse-event rate</w:t>
      </w:r>
      <w:r w:rsidR="00216FF9" w:rsidRPr="00312A48">
        <w:rPr>
          <w:rFonts w:ascii="Book Antiqua" w:hAnsi="Book Antiqua"/>
        </w:rPr>
        <w:fldChar w:fldCharType="begin" w:fldLock="1"/>
      </w:r>
      <w:r w:rsidR="00216FF9" w:rsidRPr="00312A48">
        <w:rPr>
          <w:rFonts w:ascii="Book Antiqua" w:hAnsi="Book Antiqua"/>
        </w:rPr>
        <w:instrText>ADDIN CSL_CITATION {"citationItems":[{"id":"ITEM-1","itemData":{"DOI":"10.1136/gutjnl-2015-310126","ISSN":"1468-3288 (Electronic)\r0017-5749 (Linking)","PMID":"26801885","abstract":"BACKGROUND: For endoscopic resection of early GI neoplasia, endoscopic submucosal dissection (ESD) achieves higher rates of complete resection (R0) than endoscopic mucosal resection (EMR). However, ESD is technically more difficult and evidence from randomised trial is missing. OBJECTIVE: We compared the efficacy and safety of ESD and EMR in patients with neoplastic Barrett's oesophagus (BO). DESIGN: BO patients with a focal lesion of high-grade intraepithelial neoplasia (HGIN) or early adenocarcinoma (EAC) &lt;/=3 cm were randomised to either ESD or EMR. Primary outcome was R0 resection; secondary outcomes were complete remission from neoplasia, recurrences and adverse events (AEs). RESULTS: There were no significant differences in patient and lesion characteristics between the groups randomised to ESD (n=20) or EMR (n=20). Histology of the resected specimen showed HGIN or EAC in all but six cases. Although R0 resection defined as margins free of HGIN/EAC was achieved more frequently with ESD (10/17 vs 2/17, p=0.01), there was no difference in complete remission from neoplasia at 3 months (ESD 15/16 vs EMR 16/17, p=1.0). During a mean follow-up period of 23.1+/-6.4 months, recurrent EAC was observed in one case in the ESD group. Elective surgery was performed in four and three cases after ESD and EMR, respectively (p=1.0). Two severe AEs were recorded for ESD and none for EMR (p=0.49). CONCLUSIONS: In terms of need for surgery, neoplasia remission and recurrence, ESD and EMR are both highly effective for endoscopic resection of early BO neoplasia. ESD achieves a higher R0 resection rate, but for most BO patients this bears little clinical relevance. ESD is, however, more time consuming and may cause severe AE. TRIAL REGISTRATION NUMBER: NCT1871636.","author":[{"dropping-particle":"","family":"Terheggen","given":"G","non-dropping-particle":"","parse-names":false,"suffix":""},{"dropping-particle":"","family":"Horn","given":"E M","non-dropping-particle":"","parse-names":false,"suffix":""},{"dropping-particle":"","family":"Vieth","given":"M","non-dropping-particle":"","parse-names":false,"suffix":""},{"dropping-particle":"","family":"Gabbert","given":"H","non-dropping-particle":"","parse-names":false,"suffix":""},{"dropping-particle":"","family":"Enderle","given":"M","non-dropping-particle":"","parse-names":false,"suffix":""},{"dropping-particle":"","family":"Neugebauer","given":"A","non-dropping-particle":"","parse-names":false,"suffix":""},{"dropping-particle":"","family":"Schumacher","given":"B","non-dropping-particle":"","parse-names":false,"suffix":""},{"dropping-particle":"","family":"Neuhaus","given":"H","non-dropping-particle":"","parse-names":false,"suffix":""}],"container-title":"Gut","id":"ITEM-1","issue":"5","issued":{"date-parts":[["2017"]]},"note":"Terheggen, Grischa\rHorn, Eva Maria\rVieth, Michael\rGabbert, Helmut\rEnderle, Markus\rNeugebauer, Alexander\rSchumacher, Brigitte\rNeuhaus, Horst\reng\rComparative Study\rRandomized Controlled Trial\rEngland\r2016/01/24 06:00\rGut. 2017 May;66(5):783-793. doi: 10.1136/gutjnl-2015-310126. Epub 2016 Jan 22.","page":"783-793","title":"A randomised trial of endoscopic submucosal dissection versus endoscopic mucosal resection for early Barrett's neoplasia","type":"article-journal","volume":"66"},"uris":["http://www.mendeley.com/documents/?uuid=ed1a8d67-a7b6-3b55-9c25-3440606e5ff2"]}],"mendeley":{"formattedCitation":"&lt;sup&gt;[9]&lt;/sup&gt;","plainTextFormattedCitation":"[9]","previouslyFormattedCitation":"&lt;sup&gt;[9]&lt;/sup&gt;"},"properties":{"noteIndex":0},"schema":"https://github.com/citation-style-language/schema/raw/master/csl-citation.json"}</w:instrText>
      </w:r>
      <w:r w:rsidR="00216FF9" w:rsidRPr="00312A48">
        <w:rPr>
          <w:rFonts w:ascii="Book Antiqua" w:hAnsi="Book Antiqua"/>
        </w:rPr>
        <w:fldChar w:fldCharType="separate"/>
      </w:r>
      <w:r w:rsidR="00216FF9" w:rsidRPr="00312A48">
        <w:rPr>
          <w:rFonts w:ascii="Book Antiqua" w:hAnsi="Book Antiqua"/>
          <w:noProof/>
          <w:vertAlign w:val="superscript"/>
        </w:rPr>
        <w:t>[9]</w:t>
      </w:r>
      <w:r w:rsidR="00216FF9" w:rsidRPr="00312A48">
        <w:rPr>
          <w:rFonts w:ascii="Book Antiqua" w:hAnsi="Book Antiqua"/>
        </w:rPr>
        <w:fldChar w:fldCharType="end"/>
      </w:r>
      <w:r w:rsidR="009216C7" w:rsidRPr="00312A48">
        <w:rPr>
          <w:rFonts w:ascii="Book Antiqua" w:hAnsi="Book Antiqua"/>
        </w:rPr>
        <w:t>,</w:t>
      </w:r>
      <w:r w:rsidR="007A1C7E" w:rsidRPr="00312A48">
        <w:rPr>
          <w:rFonts w:ascii="Book Antiqua" w:hAnsi="Book Antiqua"/>
        </w:rPr>
        <w:t xml:space="preserve"> </w:t>
      </w:r>
      <w:r w:rsidR="0007509F" w:rsidRPr="00312A48">
        <w:rPr>
          <w:rFonts w:ascii="Book Antiqua" w:hAnsi="Book Antiqua"/>
        </w:rPr>
        <w:t>making EMR the more feasible option for treatment of visible lesions.</w:t>
      </w:r>
      <w:r w:rsidR="009F0A09">
        <w:rPr>
          <w:rFonts w:ascii="Book Antiqua" w:hAnsi="Book Antiqua"/>
        </w:rPr>
        <w:t xml:space="preserve"> </w:t>
      </w:r>
      <w:r w:rsidR="002F17E3" w:rsidRPr="00312A48">
        <w:rPr>
          <w:rFonts w:ascii="Book Antiqua" w:hAnsi="Book Antiqua"/>
        </w:rPr>
        <w:t xml:space="preserve">In patients with dysplastic BE, resection of visible lesions </w:t>
      </w:r>
      <w:r w:rsidR="004003CF" w:rsidRPr="00312A48">
        <w:rPr>
          <w:rFonts w:ascii="Book Antiqua" w:hAnsi="Book Antiqua"/>
        </w:rPr>
        <w:t xml:space="preserve">is not </w:t>
      </w:r>
      <w:r w:rsidR="002F17E3" w:rsidRPr="00312A48">
        <w:rPr>
          <w:rFonts w:ascii="Book Antiqua" w:hAnsi="Book Antiqua"/>
        </w:rPr>
        <w:t>sufficient and should be followed by ablative therapy</w:t>
      </w:r>
      <w:r w:rsidR="004003CF" w:rsidRPr="00312A48">
        <w:rPr>
          <w:rFonts w:ascii="Book Antiqua" w:hAnsi="Book Antiqua"/>
        </w:rPr>
        <w:t xml:space="preserve"> in order to </w:t>
      </w:r>
      <w:r w:rsidR="00F960BD" w:rsidRPr="00312A48">
        <w:rPr>
          <w:rFonts w:ascii="Book Antiqua" w:hAnsi="Book Antiqua"/>
        </w:rPr>
        <w:t>eradicate</w:t>
      </w:r>
      <w:r w:rsidR="004003CF" w:rsidRPr="00312A48">
        <w:rPr>
          <w:rFonts w:ascii="Book Antiqua" w:hAnsi="Book Antiqua"/>
        </w:rPr>
        <w:t xml:space="preserve"> flat lesions and invisible dysplasia</w:t>
      </w:r>
      <w:r w:rsidR="00216FF9" w:rsidRPr="00312A48">
        <w:rPr>
          <w:rFonts w:ascii="Book Antiqua" w:hAnsi="Book Antiqua"/>
        </w:rPr>
        <w:fldChar w:fldCharType="begin" w:fldLock="1"/>
      </w:r>
      <w:r w:rsidR="00216FF9" w:rsidRPr="00312A48">
        <w:rPr>
          <w:rFonts w:ascii="Book Antiqua" w:hAnsi="Book Antiqua"/>
        </w:rPr>
        <w:instrText>ADDIN CSL_CITATION {"citationItems":[{"id":"ITEM-1","itemData":{"DOI":"10.1038/ajg.2015.322","ISSN":"1572-0241 (Electronic)\r0002-9270 (Linking)","PMID":"26526079","abstract":"Barrett's esophagus (BE) is among the most common conditions encountered by the gastroenterologist. In this document, the American College of Gastroenterology updates its guidance for the best practices in caring for these patients. These guidelines continue to endorse screening of high-risk patients for BE; however, routine screening is limited to men with reflux symptoms and multiple other risk factors. Acknowledging recent data on the low risk of malignant progression in patients with nondysplastic BE, endoscopic surveillance intervals are attenuated in this population; patients with nondysplastic BE should undergo endoscopic surveillance no more frequently than every 3-5 years. Neither routine use of biomarker panels nor advanced endoscopic imaging techniques (beyond high-definition endoscopy) is recommended at this time. Endoscopic ablative therapy is recommended for patients with BE and high-grade dysplasia, as well as T1a esophageal adenocarcinoma. Based on recent level 1 evidence, endoscopic ablative therapy is also recommended for patients with BE and low-grade dysplasia, although endoscopic surveillance continues to be an acceptable alternative. Given the relatively common recurrence of BE after ablation, we suggest postablation endoscopic surveillance intervals. Although many of the recommendations provided are based on weak evidence or expert opinion, this document provides a pragmatic framework for the care of the patient with BE.","author":[{"dropping-particle":"","family":"Shaheen","given":"N J","non-dropping-particle":"","parse-names":false,"suffix":""},{"dropping-particle":"","family":"Falk","given":"G W","non-dropping-particle":"","parse-names":false,"suffix":""},{"dropping-particle":"","family":"Iyer","given":"P G","non-dropping-particle":"","parse-names":false,"suffix":""},{"dropping-particle":"","family":"Gerson","given":"L B","non-dropping-particle":"","parse-names":false,"suffix":""},{"dropping-particle":"","family":"American College of","given":"Gastroenterology","non-dropping-particle":"","parse-names":false,"suffix":""}],"container-title":"American Journal of Gastroenterology","id":"ITEM-1","issue":"1","issued":{"date-parts":[["2016"]]},"note":"Shaheen, Nicholas J\rFalk, Gary W\rIyer, Prasad G\rGerson, Lauren B\reng\rPractice Guideline\rResearch Support, Non-U.S. Gov't\r2015/11/04 06:00\rAm J Gastroenterol. 2016 Jan;111(1):30-50; quiz 51. doi: 10.1038/ajg.2015.322. Epub 2015 Nov 3.","page":"30-50; quiz 51","title":"ACG Clinical Guideline: Diagnosis and Management of Barrett's Esophagus","type":"article-journal","volume":"111"},"uris":["http://www.mendeley.com/documents/?uuid=3c23c96e-3484-38b6-bf4d-3bb763db7457"]},{"id":"ITEM-2","itemData":{"DOI":"10.1053/j.gastro.2012.04.032","ISSN":"1528-0012 (Electronic)\r0016-5085 (Linking)","PMID":"22537613","abstract":"BACKGROUND &amp; AIMS: Esophageal adenocarcinoma (EA) is increasingly common among patients with Barrett's esophagus (BE). We aimed to provide consensus recommendations based on the medical literature that clinicians could use to manage patients with BE and low-grade dysplasia, high-grade dysplasia (HGD), or early-stage EA. METHODS: We performed an international, multidisciplinary, systematic, evidence-based review of different management strategies for patients with BE and dysplasia or early-stage EA. We used a Delphi process to develop consensus statements. The results of literature searches were screened using a unique, interactive, Web-based data-sifting platform; we used 11,904 papers to inform the choice of statements selected. An a priori threshold of 80% agreement was used to establish consensus for each statement. RESULTS: Eighty-one of the 91 statements achieved consensus despite generally low quality of evidence, including 8 clinical statements: (1) specimens from endoscopic resection are better than biopsies for staging lesions, (2) it is important to carefully map the size of the dysplastic areas, (3) patients that receive ablative or surgical therapy require endoscopic follow-up, (4) high-resolution endoscopy is necessary for accurate diagnosis, (5) endoscopic therapy for HGD is preferred to surveillance, (6) endoscopic therapy for HGD is preferred to surgery, (7) the combination of endoscopic resection and radiofrequency ablation is the most effective therapy, and (8) after endoscopic removal of lesions from patients with HGD, all areas of BE should be ablated. CONCLUSIONS: We developed a data-sifting platform and used the Delphi process to create evidence-based consensus statements for the management of patients with BE and early-stage EA. This approach identified important clinical features of the diseases and areas for future studies.","author":[{"dropping-particle":"","family":"Bennett","given":"C","non-dropping-particle":"","parse-names":false,"suffix":""},{"dropping-particle":"","family":"Vakil","given":"N","non-dropping-particle":"","parse-names":false,"suffix":""},{"dropping-particle":"","family":"Bergman","given":"J","non-dropping-particle":"","parse-names":false,"suffix":""},{"dropping-particle":"","family":"Harrison","given":"R","non-dropping-particle":"","parse-names":false,"suffix":""},{"dropping-particle":"","family":"Odze","given":"R","non-dropping-particle":"","parse-names":false,"suffix":""},{"dropping-particle":"","family":"Vieth","given":"M","non-dropping-particle":"","parse-names":false,"suffix":""},{"dropping-particle":"","family":"Sanders","given":"S","non-dropping-particle":"","parse-names":false,"suffix":""},{"dropping-particle":"","family":"Gay","given":"L","non-dropping-particle":"","parse-names":false,"suffix":""},{"dropping-particle":"","family":"Pech","given":"O","non-dropping-particle":"","parse-names":false,"suffix":""},{"dropping-particle":"","family":"Longcroft-Wheaton","given":"G","non-dropping-particle":"","parse-names":false,"suffix":""},{"dropping-particle":"","family":"Romero","given":"Y","non-dropping-particle":"","parse-names":false,"suffix":""},{"dropping-particle":"","family":"Inadomi","given":"J","non-dropping-particle":"","parse-names":false,"suffix":""},{"dropping-particle":"","family":"Tack","given":"J","non-dropping-particle":"","parse-names":false,"suffix":""},{"dropping-particle":"","family":"Corley","given":"D A","non-dropping-particle":"","parse-names":false,"suffix":""},{"dropping-particle":"","family":"Manner","given":"H","non-dropping-particle":"","parse-names":false,"suffix":""},{"dropping-particle":"","family":"Green","given":"S","non-dropping-particle":"","parse-names":false,"suffix":""},{"dropping-particle":"","family":"Dulaimi","given":"D","non-dropping-particle":"Al","parse-names":false,"suffix":""},{"dropping-particle":"","family":"Ali","given":"H","non-dropping-particle":"","parse-names":false,"suffix":""},{"dropping-particle":"","family":"Allum","given":"B","non-dropping-particle":"","parse-names":false,"suffix":""},{"dropping-particle":"","family":"Anderson","given":"M","non-dropping-particle":"","parse-names":false,"suffix":""},{"dropping-particle":"","family":"Curtis","given":"H","non-dropping-particle":"","parse-names":false,"suffix":""},{"dropping-particle":"","family":"Falk","given":"G","non-dropping-particle":"","parse-names":false,"suffix":""},{"dropping-particle":"","family":"Fennerty","given":"M B","non-dropping-particle":"","parse-names":false,"suffix":""},{"dropping-particle":"","family":"Fullarton","given":"G","non-dropping-particle":"","parse-names":false,"suffix":""},{"dropping-particle":"","family":"Krishnadath","given":"K","non-dropping-particle":"","parse-names":false,"suffix":""},{"dropping-particle":"","family":"Meltzer","given":"S J","non-dropping-particle":"","parse-names":false,"suffix":""},{"dropping-particle":"","family":"Armstrong","given":"D","non-dropping-particle":"","parse-names":false,"suffix":""},{"dropping-particle":"","family":"Ganz","given":"R","non-dropping-particle":"","parse-names":false,"suffix":""},{"dropping-particle":"","family":"Cengia","given":"G","non-dropping-particle":"","parse-names":false,"suffix":""},{"dropping-particle":"","family":"Going","given":"J J","non-dropping-particle":"","parse-names":false,"suffix":""},{"dropping-particle":"","family":"Goldblum","given":"J","non-dropping-particle":"","parse-names":false,"suffix":""},{"dropping-particle":"","family":"Gordon","given":"C","non-dropping-particle":"","parse-names":false,"suffix":""},{"dropping-particle":"","family":"Grabsch","given":"H","non-dropping-particle":"","parse-names":false,"suffix":""},{"dropping-particle":"","family":"Haigh","given":"C","non-dropping-particle":"","parse-names":false,"suffix":""},{"dropping-particle":"","family":"Hongo","given":"M","non-dropping-particle":"","parse-names":false,"suffix":""},{"dropping-particle":"","family":"Johnston","given":"D","non-dropping-particle":"","parse-names":false,"suffix":""},{"dropping-particle":"","family":"Forbes-Young","given":"R","non-dropping-particle":"","parse-names":false,"suffix":""},{"dropping-particle":"","family":"Kay","given":"E","non-dropping-particle":"","parse-names":false,"suffix":""},{"dropping-particle":"","family":"Kaye","given":"P","non-dropping-particle":"","parse-names":false,"suffix":""},{"dropping-particle":"","family":"Lerut","given":"T","non-dropping-particle":"","parse-names":false,"suffix":""},{"dropping-particle":"","family":"Lovat","given":"L B","non-dropping-particle":"","parse-names":false,"suffix":""},{"dropping-particle":"","family":"Lundell","given":"L","non-dropping-particle":"","parse-names":false,"suffix":""},{"dropping-particle":"","family":"Mairs","given":"P","non-dropping-particle":"","parse-names":false,"suffix":""},{"dropping-particle":"","family":"Shimoda","given":"T","non-dropping-particle":"","parse-names":false,"suffix":""},{"dropping-particle":"","family":"Spechler","given":"S","non-dropping-particle":"","parse-names":false,"suffix":""},{"dropping-particle":"","family":"Sontag","given":"S","non-dropping-particle":"","parse-names":false,"suffix":""},{"dropping-particle":"","family":"Malfertheiner","given":"P","non-dropping-particle":"","parse-names":false,"suffix":""},{"dropping-particle":"","family":"Murray","given":"I","non-dropping-particle":"","parse-names":false,"suffix":""},{"dropping-particle":"","family":"Nanji","given":"M","non-dropping-particle":"","parse-names":false,"suffix":""},{"dropping-particle":"","family":"Poller","given":"D","non-dropping-particle":"","parse-names":false,"suffix":""},{"dropping-particle":"","family":"Ragunath","given":"K","non-dropping-particle":"","parse-names":false,"suffix":""},{"dropping-particle":"","family":"Regula","given":"J","non-dropping-particle":"","parse-names":false,"suffix":""},{"dropping-particle":"","family":"Cestari","given":"R","non-dropping-particle":"","parse-names":false,"suffix":""},{"dropping-particle":"","family":"Shepherd","given":"N","non-dropping-particle":"","parse-names":false,"suffix":""},{"dropping-particle":"","family":"Singh","given":"R","non-dropping-particle":"","parse-names":false,"suffix":""},{"dropping-particle":"","family":"Stein","given":"H J","non-dropping-particle":"","parse-names":false,"suffix":""},{"dropping-particle":"","family":"Talley","given":"N J","non-dropping-particle":"","parse-names":false,"suffix":""},{"dropping-particle":"","family":"Galmiche","given":"J P","non-dropping-particle":"","parse-names":false,"suffix":""},{"dropping-particle":"","family":"Tham","given":"T C","non-dropping-particle":"","parse-names":false,"suffix":""},{"dropping-particle":"","family":"Watson","given":"P","non-dropping-particle":"","parse-names":false,"suffix":""},{"dropping-particle":"","family":"Yerian","given":"L","non-dropping-particle":"","parse-names":false,"suffix":""},{"dropping-particle":"","family":"Rugge","given":"M","non-dropping-particle":"","parse-names":false,"suffix":""},{"dropping-particle":"","family":"Rice","given":"T W","non-dropping-particle":"","parse-names":false,"suffix":""},{"dropping-particle":"","family":"Hart","given":"J","non-dropping-particle":"","parse-names":false,"suffix":""},{"dropping-particle":"","family":"Gittens","given":"S","non-dropping-particle":"","parse-names":false,"suffix":""},{"dropping-particle":"","family":"Hewin","given":"D","non-dropping-particle":"","parse-names":false,"suffix":""},{"dropping-particle":"","family":"Hochberger","given":"J","non-dropping-particle":"","parse-names":false,"suffix":""},{"dropping-particle":"","family":"Kahrilas","given":"P","non-dropping-particle":"","parse-names":false,"suffix":""},{"dropping-particle":"","family":"Preston","given":"S","non-dropping-particle":"","parse-names":false,"suffix":""},{"dropping-particle":"","family":"Sampliner","given":"R","non-dropping-particle":"","parse-names":false,"suffix":""},{"dropping-particle":"","family":"Sharma","given":"P","non-dropping-particle":"","parse-names":false,"suffix":""},{"dropping-particle":"","family":"Stuart","given":"R","non-dropping-particle":"","parse-names":false,"suffix":""},{"dropping-particle":"","family":"Wang","given":"K","non-dropping-particle":"","parse-names":false,"suffix":""},{"dropping-particle":"","family":"Waxman","given":"I","non-dropping-particle":"","parse-names":false,"suffix":""},{"dropping-particle":"","family":"Abley","given":"C","non-dropping-particle":"","parse-names":false,"suffix":""},{"dropping-particle":"","family":"Loft","given":"D","non-dropping-particle":"","parse-names":false,"suffix":""},{"dropping-particle":"","family":"Penman","given":"I","non-dropping-particle":"","parse-names":false,"suffix":""},{"dropping-particle":"","family":"Shaheen","given":"N J","non-dropping-particle":"","parse-names":false,"suffix":""},{"dropping-particle":"","family":"Chak","given":"A","non-dropping-particle":"","parse-names":false,"suffix":""},{"dropping-particle":"","family":"Davies","given":"G","non-dropping-particle":"","parse-names":false,"suffix":""},{"dropping-particle":"","family":"Dunn","given":"L","non-dropping-particle":"","parse-names":false,"suffix":""},{"dropping-particle":"","family":"Falck-Ytter","given":"Y","non-dropping-particle":"","parse-names":false,"suffix":""},{"dropping-particle":"","family":"Decaestecker","given":"J","non-dropping-particle":"","parse-names":false,"suffix":""},{"dropping-particle":"","family":"Bhandari","given":"P","non-dropping-particle":"","parse-names":false,"suffix":""},{"dropping-particle":"","family":"Ell","given":"C","non-dropping-particle":"","parse-names":false,"suffix":""},{"dropping-particle":"","family":"Griffin","given":"S M","non-dropping-particle":"","parse-names":false,"suffix":""},{"dropping-particle":"","family":"Attwood","given":"S","non-dropping-particle":"","parse-names":false,"suffix":""},{"dropping-particle":"","family":"Barr","given":"H","non-dropping-particle":"","parse-names":false,"suffix":""},{"dropping-particle":"","family":"Allen","given":"J","non-dropping-particle":"","parse-names":false,"suffix":""},{"dropping-particle":"","family":"Ferguson","given":"M K","non-dropping-particle":"","parse-names":false,"suffix":""},{"dropping-particle":"","family":"Moayyedi","given":"P","non-dropping-particle":"","parse-names":false,"suffix":""},{"dropping-particle":"","family":"Jankowski","given":"J A","non-dropping-particle":"","parse-names":false,"suffix":""}],"container-title":"Gastroenterology","id":"ITEM-2","issue":"2","issued":{"date-parts":[["2012"]]},"note":"Bennett, Cathy\rVakil, Nimish\rBergman, Jacques\rHarrison, Rebecca\rOdze, Robert\rVieth, Michael\rSanders, Scott\rGay, Laura\rPech, Oliver\rLongcroft-Wheaton, Gaius\rRomero, Yvonne\rInadomi, John\rTack, Jan\rCorley, Douglas A\rManner, Hendrik\rGreen, Susi\rAl Dulaimi, David\rAli, Haythem\rAllum, Bill\rAnderson, Mark\rCurtis, Howard\rFalk, Gary\rFennerty, M Brian\rFullarton, Grant\rKrishnadath, Kausilia\rMeltzer, Stephen J\rArmstrong, David\rGanz, Robert\rCengia, Gianpaolo\rGoing, James J\rGoldblum, John\rGordon, Charles\rGrabsch, Heike\rHaigh, Chris\rHongo, Michio\rJohnston, David\rForbes-Young, Ricky\rKay, Elaine\rKaye, Philip\rLerut, Toni\rLovat, Laurence B\rLundell, Lars\rMairs, Philip\rShimoda, Tadakuza\rSpechler, Stuart\rSontag, Stephen\rMalfertheiner, Peter\rMurray, Iain\rNanji, Manoj\rPoller, David\rRagunath, Krish\rRegula, Jaroslaw\rCestari, Renzo\rShepherd, Neil\rSingh, Rajvinder\rStein, Hubert J\rTalley, Nicholas J\rGalmiche, Jean-Paul\rTham, Tony C K\rWatson, Peter\rYerian, Lisa\rRugge, Massimo\rRice, Thomas W\rHart, John\rGittens, Stuart\rHewin, David\rHochberger, Juergen\rKahrilas, Peter\rPreston, Sean\rSampliner, Richard\rSharma, Prateek\rStuart, Robert\rWang, Kenneth\rWaxman, Irving\rAbley, Chris\rLoft, Duncan\rPenman, Ian\rShaheen, Nicholas J\rChak, Amitabh\rDavies, Gareth\rDunn, Lorna\rFalck-Ytter, Yngve\rDecaestecker, John\rBhandari, Pradeep\rEll, Christian\rGriffin, S Michael\rAttwood, Stephen\rBarr, Hugh\rAllen, John\rFerguson, Mark K\rMoayyedi, Paul\rJankowski, Janusz A Z\reng\rR01 CA146799/CA/NCI NIH HHS/\rR01 DK087454/DK/NIDDK NIH HHS/\rU54 CA156733/CA/NCI NIH HHS/\rU54 CA163060/CA/NCI NIH HHS/\rConsensus Development Conference\rResearch Support, Non-U.S. Gov't\rVideo-Audio Media\r2012/04/28 06:00\rGastroenterology. 2012 Aug;143(2):336-46. doi: 10.1053/j.gastro.2012.04.032. Epub 2012 Apr 24.","page":"336-346","title":"Consensus statements for management of Barrett's dysplasia and early-stage esophageal adenocarcinoma, based on a Delphi process","type":"article-journal","volume":"143"},"uris":["http://www.mendeley.com/documents/?uuid=ee89f76d-f3ea-333b-ac94-ae93619b4d72"]}],"mendeley":{"formattedCitation":"&lt;sup&gt;[3,10]&lt;/sup&gt;","plainTextFormattedCitation":"[3,10]","previouslyFormattedCitation":"&lt;sup&gt;[3,10]&lt;/sup&gt;"},"properties":{"noteIndex":0},"schema":"https://github.com/citation-style-language/schema/raw/master/csl-citation.json"}</w:instrText>
      </w:r>
      <w:r w:rsidR="00216FF9" w:rsidRPr="00312A48">
        <w:rPr>
          <w:rFonts w:ascii="Book Antiqua" w:hAnsi="Book Antiqua"/>
        </w:rPr>
        <w:fldChar w:fldCharType="separate"/>
      </w:r>
      <w:r w:rsidR="00216FF9" w:rsidRPr="00312A48">
        <w:rPr>
          <w:rFonts w:ascii="Book Antiqua" w:hAnsi="Book Antiqua"/>
          <w:noProof/>
          <w:vertAlign w:val="superscript"/>
        </w:rPr>
        <w:t>[3,10]</w:t>
      </w:r>
      <w:r w:rsidR="00216FF9" w:rsidRPr="00312A48">
        <w:rPr>
          <w:rFonts w:ascii="Book Antiqua" w:hAnsi="Book Antiqua"/>
        </w:rPr>
        <w:fldChar w:fldCharType="end"/>
      </w:r>
      <w:r w:rsidR="009216C7" w:rsidRPr="00312A48">
        <w:rPr>
          <w:rFonts w:ascii="Book Antiqua" w:hAnsi="Book Antiqua"/>
        </w:rPr>
        <w:t>.</w:t>
      </w:r>
      <w:r w:rsidR="004F0994" w:rsidRPr="00312A48">
        <w:rPr>
          <w:rFonts w:ascii="Book Antiqua" w:hAnsi="Book Antiqua"/>
        </w:rPr>
        <w:t xml:space="preserve"> </w:t>
      </w:r>
      <w:r w:rsidR="004003CF" w:rsidRPr="00312A48">
        <w:rPr>
          <w:rFonts w:ascii="Book Antiqua" w:hAnsi="Book Antiqua"/>
        </w:rPr>
        <w:t xml:space="preserve">Additionally, ablation of all intestinal </w:t>
      </w:r>
      <w:r w:rsidR="004003CF" w:rsidRPr="00312A48">
        <w:rPr>
          <w:rFonts w:ascii="Book Antiqua" w:hAnsi="Book Antiqua"/>
        </w:rPr>
        <w:lastRenderedPageBreak/>
        <w:t>metaplasia has been shown to redu</w:t>
      </w:r>
      <w:r w:rsidR="0010502B" w:rsidRPr="00312A48">
        <w:rPr>
          <w:rFonts w:ascii="Book Antiqua" w:hAnsi="Book Antiqua"/>
        </w:rPr>
        <w:t>ce the recurrence of dysplasia</w:t>
      </w:r>
      <w:r w:rsidR="00017989" w:rsidRPr="00312A48">
        <w:rPr>
          <w:rFonts w:ascii="Book Antiqua" w:hAnsi="Book Antiqua"/>
        </w:rPr>
        <w:t xml:space="preserve"> and thus is the standard of care</w:t>
      </w:r>
      <w:r w:rsidR="00216FF9" w:rsidRPr="00312A48">
        <w:rPr>
          <w:rFonts w:ascii="Book Antiqua" w:hAnsi="Book Antiqua"/>
        </w:rPr>
        <w:fldChar w:fldCharType="begin" w:fldLock="1"/>
      </w:r>
      <w:r w:rsidR="00863477" w:rsidRPr="00312A48">
        <w:rPr>
          <w:rFonts w:ascii="Book Antiqua" w:hAnsi="Book Antiqua"/>
        </w:rPr>
        <w:instrText>ADDIN CSL_CITATION {"citationItems":[{"id":"ITEM-1","itemData":{"DOI":"10.1056/NEJMoa0808145","ISSN":"1533-4406 (Electronic)\r0028-4793 (Linking)","PMID":"19474425","abstract":"BACKGROUND: Barrett's esophagus, a condition of intestinal metaplasia of the esophagus, is associated with an increased risk of esophageal adenocarcinoma. We assessed whether endoscopic radiofrequency ablation could eradicate dysplastic Barrett's esophagus and decrease the rate of neoplastic progression. METHODS: In a multicenter, sham-controlled trial, we randomly assigned 127 patients with dysplastic Barrett's esophagus in a 2:1 ratio to receive either radiofrequency ablation (ablation group) or a sham procedure (control group). Randomization was stratified according to the grade of dysplasia and the length of Barrett's esophagus. Primary outcomes at 12 months included the complete eradication of dysplasia and intestinal metaplasia. RESULTS: In the intention-to-treat analyses, among patients with low-grade dysplasia, complete eradication of dysplasia occurred in 90.5% of those in the ablation group, as compared with 22.7% of those in the control group (P&lt;0.001). Among patients with high-grade dysplasia, complete eradication occurred in 81.0% of those in the ablation group, as compared with 19.0% of those in the control group (P&lt;0.001). Overall, 77.4% of patients in the ablation group had complete eradication of intestinal metaplasia, as compared with 2.3% of those in the control group (P&lt;0.001). Patients in the ablation group had less disease progression (3.6% vs. 16.3%, P=0.03) and fewer cancers (1.2% vs. 9.3%, P=0.045). Patients reported having more chest pain after the ablation procedure than after the sham procedure. In the ablation group, one patient had upper gastrointestinal hemorrhage, and five patients (6.0%) had esophageal stricture. CONCLUSIONS: In patients with dysplastic Barrett's esophagus, radiofrequency ablation was associated with a high rate of complete eradication of both dysplasia and intestinal metaplasia and a reduced risk of disease progression. (ClinicalTrials.gov number, NCT00282672.)","author":[{"dropping-particle":"","family":"Shaheen","given":"N J","non-dropping-particle":"","parse-names":false,"suffix":""},{"dropping-particle":"","family":"Sharma","given":"P","non-dropping-particle":"","parse-names":false,"suffix":""},{"dropping-particle":"","family":"Overholt","given":"B F","non-dropping-particle":"","parse-names":false,"suffix":""},{"dropping-particle":"","family":"Wolfsen","given":"H C","non-dropping-particle":"","parse-names":false,"suffix":""},{"dropping-particle":"","family":"Sampliner","given":"R E","non-dropping-particle":"","parse-names":false,"suffix":""},{"dropping-particle":"","family":"Wang","given":"K K","non-dropping-particle":"","parse-names":false,"suffix":""},{"dropping-particle":"","family":"Galanko","given":"J A","non-dropping-particle":"","parse-names":false,"suffix":""},{"dropping-particle":"","family":"Bronner","given":"M P","non-dropping-particle":"","parse-names":false,"suffix":""},{"dropping-particle":"","family":"Goldblum","given":"J R","non-dropping-particle":"","parse-names":false,"suffix":""},{"dropping-particle":"","family":"Bennett","given":"A E","non-dropping-particle":"","parse-names":false,"suffix":""},{"dropping-particle":"","family":"Jobe","given":"B A","non-dropping-particle":"","parse-names":false,"suffix":""},{"dropping-particle":"","family":"Eisen","given":"G M","non-dropping-particle":"","parse-names":false,"suffix":""},{"dropping-particle":"","family":"Fennerty","given":"M B","non-dropping-particle":"","parse-names":false,"suffix":""},{"dropping-particle":"","family":"Hunter","given":"J G","non-dropping-particle":"","parse-names":false,"suffix":""},{"dropping-particle":"","family":"Fleischer","given":"D E","non-dropping-particle":"","parse-names":false,"suffix":""},{"dropping-particle":"","family":"Sharma","given":"V K","non-dropping-particle":"","parse-names":false,"suffix":""},{"dropping-particle":"","family":"Hawes","given":"R H","non-dropping-particle":"","parse-names":false,"suffix":""},{"dropping-particle":"","family":"Hoffman","given":"B J","non-dropping-particle":"","parse-names":false,"suffix":""},{"dropping-particle":"","family":"Rothstein","given":"R I","non-dropping-particle":"","parse-names":false,"suffix":""},{"dropping-particle":"","family":"Gordon","given":"S R","non-dropping-particle":"","parse-names":false,"suffix":""},{"dropping-particle":"","family":"Mashimo","given":"H","non-dropping-particle":"","parse-names":false,"suffix":""},{"dropping-particle":"","family":"Chang","given":"K J","non-dropping-particle":"","parse-names":false,"suffix":""},{"dropping-particle":"","family":"Muthusamy","given":"V R","non-dropping-particle":"","parse-names":false,"suffix":""},{"dropping-particle":"","family":"Edmundowicz","given":"S A","non-dropping-particle":"","parse-names":false,"suffix":""},{"dropping-particle":"","family":"Spechler","given":"S J","non-dropping-particle":"","parse-names":false,"suffix":""},{"dropping-particle":"","family":"Siddiqui","given":"A A","non-dropping-particle":"","parse-names":false,"suffix":""},{"dropping-particle":"","family":"Souza","given":"R F","non-dropping-particle":"","parse-names":false,"suffix":""},{"dropping-particle":"","family":"Infantolino","given":"A","non-dropping-particle":"","parse-names":false,"suffix":""},{"dropping-particle":"","family":"Falk","given":"G W","non-dropping-particle":"","parse-names":false,"suffix":""},{"dropping-particle":"","family":"Kimmey","given":"M B","non-dropping-particle":"","parse-names":false,"suffix":""},{"dropping-particle":"","family":"Madanick","given":"R D","non-dropping-particle":"","parse-names":false,"suffix":""},{"dropping-particle":"","family":"Chak","given":"A","non-dropping-particle":"","parse-names":false,"suffix":""},{"dropping-particle":"","family":"Lightdale","given":"C J","non-dropping-particle":"","parse-names":false,"suffix":""}],"container-title":"New England Journal of Medicine","id":"ITEM-1","issue":"22","issued":{"date-parts":[["2009"]]},"note":"Shaheen, Nicholas J\rSharma, Prateek\rOverholt, Bergein F\rWolfsen, Herbert C\rSampliner, Richard E\rWang, Kenneth K\rGalanko, Joseph A\rBronner, Mary P\rGoldblum, John R\rBennett, Ana E\rJobe, Blair A\rEisen, Glenn M\rFennerty, M Brian\rHunter, John G\rFleischer, David E\rSharma, Virender K\rHawes, Robert H\rHoffman, Brenda J\rRothstein, Richard I\rGordon, Stuart R\rMashimo, Hiroshi\rChang, Kenneth J\rMuthusamy, V Raman\rEdmundowicz, Steven A\rSpechler, Stuart J\rSiddiqui, Ali A\rSouza, Rhonda F\rInfantolino, Anthony\rFalk, Gary W\rKimmey, Michael B\rMadanick, Ryan D\rChak, Amitabh\rLightdale, Charles J\reng\rP30 DK034987/DK/NIDDK NIH HHS/\rMulticenter Study\rRandomized Controlled Trial\rResearch Support, N.I.H., Extramural\rResearch Support, Non-U.S. Gov't\r2009/05/29 09:00\rN Engl J Med. 2009 May 28;360(22):2277-88. doi: 10.1056/NEJMoa0808145.","page":"2277-2288","title":"Radiofrequency ablation in Barrett's esophagus with dysplasia","type":"article-journal","volume":"360"},"uris":["http://www.mendeley.com/documents/?uuid=6585124c-c320-3a35-9718-a50ab014f7b0"]},{"id":"ITEM-2","itemData":{"DOI":"10.1001/jama.2014.2511","ISSN":"1538-3598 (Electronic)\r0098-7484 (Linking)","PMID":"24668102","abstract":"IMPORTANCE: Barrett esophagus containing low-grade dysplasia is associated with an increased risk of developing esophageal adenocarcinoma, a cancer with a rapidly increasing incidence in the western world. OBJECTIVE: To investigate whether endoscopic radiofrequency ablation could decrease the rate of neoplastic progression. DESIGN, SETTING, AND PARTICIPANTS: Multicenter randomized clinical trial that enrolled 136 patients with a confirmed diagnosis of Barrett esophagus containing low-grade dysplasia at 9 European sites between June 2007 and June 2011. Patient follow-up ended May 2013. INTERVENTIONS: Eligible patients were randomly assigned in a 1:1 ratio to either endoscopic treatment with radiofrequency ablation (ablation) or endoscopic surveillance (control). Ablation was performed with the balloon device for circumferential ablation of the esophagus or the focal device for targeted ablation, with a maximum of 5 sessions allowed. MAIN OUTCOMES AND MEASURES: The primary outcome was neoplastic progression to high-grade dysplasia or adenocarcinoma during a 3-year follow-up since randomization. Secondary outcomes were complete eradication of dysplasia and intestinal metaplasia and adverse events. RESULTS: Sixty-eight patients were randomized to receive ablation and 68 to receive control. Ablation reduced the risk of progression to high-grade dysplasia or adenocarcinoma by 25.0% (1.5% for ablation vs 26.5% for control; 95% CI, 14.1%-35.9%; P &lt; .001) and the risk of progression to adenocarcinoma by 7.4% (1.5% for ablation vs 8.8% for control; 95% CI, 0%-14.7%; P = .03). Among patients in the ablation group, complete eradication occurred in 92.6% for dysplasia and 88.2% for intestinal metaplasia compared with 27.9% for dysplasia and 0.0% for intestinal metaplasia among patients in the control group (P &lt; .001). Treatment-related adverse events occurred in 19.1% of patients receiving ablation (P &lt; .001). The most common adverse event was stricture, occurring in 8 patients receiving ablation (11.8%), all resolved by endoscopic dilation (median, 1 session). The data and safety monitoring board recommended early termination of the trial due to superiority of ablation for the primary outcome and the potential for patient safety issues if the trial continued. CONCLUSIONS AND RELEVANCE: In this randomized trial of patients with Barrett esophagus and a confirmed diagnosis of low-grade dysplasia, radiofrequency ablation resulted in a reduced risk of neoplastic progres…","author":[{"dropping-particle":"","family":"Phoa","given":"K N","non-dropping-particle":"","parse-names":false,"suffix":""},{"dropping-particle":"","family":"Vilsteren","given":"F G","non-dropping-particle":"van","parse-names":false,"suffix":""},{"dropping-particle":"","family":"Weusten","given":"B L","non-dropping-particle":"","parse-names":false,"suffix":""},{"dropping-particle":"","family":"Bisschops","given":"R","non-dropping-particle":"","parse-names":false,"suffix":""},{"dropping-particle":"","family":"Schoon","given":"E J","non-dropping-particle":"","parse-names":false,"suffix":""},{"dropping-particle":"","family":"Ragunath","given":"K","non-dropping-particle":"","parse-names":false,"suffix":""},{"dropping-particle":"","family":"Fullarton","given":"G","non-dropping-particle":"","parse-names":false,"suffix":""},{"dropping-particle":"","family":"Pietro","given":"M","non-dropping-particle":"Di","parse-names":false,"suffix":""},{"dropping-particle":"","family":"Ravi","given":"N","non-dropping-particle":"","parse-names":false,"suffix":""},{"dropping-particle":"","family":"Visser","given":"M","non-dropping-particle":"","parse-names":false,"suffix":""},{"dropping-particle":"","family":"Offerhaus","given":"G J","non-dropping-particle":"","parse-names":false,"suffix":""},{"dropping-particle":"","family":"Seldenrijk","given":"C A","non-dropping-particle":"","parse-names":false,"suffix":""},{"dropping-particle":"","family":"Meijer","given":"S L","non-dropping-particle":"","parse-names":false,"suffix":""},{"dropping-particle":"","family":"Kate","given":"F J","non-dropping-particle":"ten","parse-names":false,"suffix":""},{"dropping-particle":"","family":"Tijssen","given":"J G","non-dropping-particle":"","parse-names":false,"suffix":""},{"dropping-particle":"","family":"Bergman","given":"J J","non-dropping-particle":"","parse-names":false,"suffix":""}],"container-title":"JAMA","id":"ITEM-2","issue":"12","issued":{"date-parts":[["2014"]]},"note":"Phoa, K Nadine\rvan Vilsteren, Frederike G I\rWeusten, Bas L A M\rBisschops, Raf\rSchoon, Erik J\rRagunath, Krish\rFullarton, Grant\rDi Pietro, Massimiliano\rRavi, Narayanasamy\rVisser, Mike\rOfferhaus, G Johan\rSeldenrijk, Cees A\rMeijer, Sybren L\rten Kate, Fiebo J W\rTijssen, Jan G P\rBergman, Jacques J G H M\reng\rMulticenter Study\rRandomized Controlled Trial\rResearch Support, Non-U.S. Gov't\r2014/03/29 06:00\rJAMA. 2014 Mar 26;311(12):1209-17. doi: 10.1001/jama.2014.2511.","page":"1209-1217","title":"Radiofrequency ablation vs endoscopic surveillance for patients with Barrett esophagus and low-grade dysplasia: a randomized clinical trial","type":"article-journal","volume":"311"},"uris":["http://www.mendeley.com/documents/?uuid=a9da97e6-d629-3172-8ac4-7dc1712a1bfd"]}],"mendeley":{"formattedCitation":"&lt;sup&gt;[11,12]&lt;/sup&gt;","plainTextFormattedCitation":"[11,12]","previouslyFormattedCitation":"&lt;sup&gt;[11,12]&lt;/sup&gt;"},"properties":{"noteIndex":0},"schema":"https://github.com/citation-style-language/schema/raw/master/csl-citation.json"}</w:instrText>
      </w:r>
      <w:r w:rsidR="00216FF9" w:rsidRPr="00312A48">
        <w:rPr>
          <w:rFonts w:ascii="Book Antiqua" w:hAnsi="Book Antiqua"/>
        </w:rPr>
        <w:fldChar w:fldCharType="separate"/>
      </w:r>
      <w:r w:rsidR="00216FF9" w:rsidRPr="00312A48">
        <w:rPr>
          <w:rFonts w:ascii="Book Antiqua" w:hAnsi="Book Antiqua"/>
          <w:noProof/>
          <w:vertAlign w:val="superscript"/>
        </w:rPr>
        <w:t>[11,12]</w:t>
      </w:r>
      <w:r w:rsidR="00216FF9" w:rsidRPr="00312A48">
        <w:rPr>
          <w:rFonts w:ascii="Book Antiqua" w:hAnsi="Book Antiqua"/>
        </w:rPr>
        <w:fldChar w:fldCharType="end"/>
      </w:r>
      <w:r w:rsidR="009216C7" w:rsidRPr="00312A48">
        <w:rPr>
          <w:rFonts w:ascii="Book Antiqua" w:hAnsi="Book Antiqua"/>
        </w:rPr>
        <w:t>.</w:t>
      </w:r>
    </w:p>
    <w:p w14:paraId="1ACD64BD" w14:textId="11FF48D5" w:rsidR="00F960BD" w:rsidRPr="00312A48" w:rsidRDefault="00F960BD" w:rsidP="00312A48">
      <w:pPr>
        <w:snapToGrid w:val="0"/>
        <w:spacing w:line="360" w:lineRule="auto"/>
        <w:ind w:firstLineChars="100" w:firstLine="240"/>
        <w:jc w:val="both"/>
        <w:rPr>
          <w:rFonts w:ascii="Book Antiqua" w:hAnsi="Book Antiqua"/>
        </w:rPr>
      </w:pPr>
      <w:r w:rsidRPr="00312A48">
        <w:rPr>
          <w:rFonts w:ascii="Book Antiqua" w:hAnsi="Book Antiqua"/>
        </w:rPr>
        <w:t xml:space="preserve">Radiofrequency ablation </w:t>
      </w:r>
      <w:r w:rsidR="00EE4C6A" w:rsidRPr="00312A48">
        <w:rPr>
          <w:rFonts w:ascii="Book Antiqua" w:hAnsi="Book Antiqua"/>
        </w:rPr>
        <w:t xml:space="preserve">(RFA) </w:t>
      </w:r>
      <w:r w:rsidRPr="00312A48">
        <w:rPr>
          <w:rFonts w:ascii="Book Antiqua" w:hAnsi="Book Antiqua"/>
        </w:rPr>
        <w:t xml:space="preserve">has been the most widely used </w:t>
      </w:r>
      <w:r w:rsidR="00017989" w:rsidRPr="00312A48">
        <w:rPr>
          <w:rFonts w:ascii="Book Antiqua" w:hAnsi="Book Antiqua"/>
        </w:rPr>
        <w:t xml:space="preserve">and studied </w:t>
      </w:r>
      <w:r w:rsidRPr="00312A48">
        <w:rPr>
          <w:rFonts w:ascii="Book Antiqua" w:hAnsi="Book Antiqua"/>
        </w:rPr>
        <w:t xml:space="preserve">ablative technique </w:t>
      </w:r>
      <w:r w:rsidR="003A66AC" w:rsidRPr="00312A48">
        <w:rPr>
          <w:rFonts w:ascii="Book Antiqua" w:hAnsi="Book Antiqua"/>
        </w:rPr>
        <w:t xml:space="preserve">and is consider the primary </w:t>
      </w:r>
      <w:r w:rsidR="00EE4C6A" w:rsidRPr="00312A48">
        <w:rPr>
          <w:rFonts w:ascii="Book Antiqua" w:hAnsi="Book Antiqua"/>
        </w:rPr>
        <w:t>ablation therapy for BE</w:t>
      </w:r>
      <w:r w:rsidR="00863477" w:rsidRPr="00312A48">
        <w:rPr>
          <w:rFonts w:ascii="Book Antiqua" w:hAnsi="Book Antiqua"/>
        </w:rPr>
        <w:fldChar w:fldCharType="begin" w:fldLock="1"/>
      </w:r>
      <w:r w:rsidR="00863477" w:rsidRPr="00312A48">
        <w:rPr>
          <w:rFonts w:ascii="Book Antiqua" w:hAnsi="Book Antiqua"/>
        </w:rPr>
        <w:instrText>ADDIN CSL_CITATION {"citationItems":[{"id":"ITEM-1","itemData":{"DOI":"10.1056/NEJMoa0808145","ISSN":"1533-4406 (Electronic)\r0028-4793 (Linking)","PMID":"19474425","abstract":"BACKGROUND: Barrett's esophagus, a condition of intestinal metaplasia of the esophagus, is associated with an increased risk of esophageal adenocarcinoma. We assessed whether endoscopic radiofrequency ablation could eradicate dysplastic Barrett's esophagus and decrease the rate of neoplastic progression. METHODS: In a multicenter, sham-controlled trial, we randomly assigned 127 patients with dysplastic Barrett's esophagus in a 2:1 ratio to receive either radiofrequency ablation (ablation group) or a sham procedure (control group). Randomization was stratified according to the grade of dysplasia and the length of Barrett's esophagus. Primary outcomes at 12 months included the complete eradication of dysplasia and intestinal metaplasia. RESULTS: In the intention-to-treat analyses, among patients with low-grade dysplasia, complete eradication of dysplasia occurred in 90.5% of those in the ablation group, as compared with 22.7% of those in the control group (P&lt;0.001). Among patients with high-grade dysplasia, complete eradication occurred in 81.0% of those in the ablation group, as compared with 19.0% of those in the control group (P&lt;0.001). Overall, 77.4% of patients in the ablation group had complete eradication of intestinal metaplasia, as compared with 2.3% of those in the control group (P&lt;0.001). Patients in the ablation group had less disease progression (3.6% vs. 16.3%, P=0.03) and fewer cancers (1.2% vs. 9.3%, P=0.045). Patients reported having more chest pain after the ablation procedure than after the sham procedure. In the ablation group, one patient had upper gastrointestinal hemorrhage, and five patients (6.0%) had esophageal stricture. CONCLUSIONS: In patients with dysplastic Barrett's esophagus, radiofrequency ablation was associated with a high rate of complete eradication of both dysplasia and intestinal metaplasia and a reduced risk of disease progression. (ClinicalTrials.gov number, NCT00282672.)","author":[{"dropping-particle":"","family":"Shaheen","given":"N J","non-dropping-particle":"","parse-names":false,"suffix":""},{"dropping-particle":"","family":"Sharma","given":"P","non-dropping-particle":"","parse-names":false,"suffix":""},{"dropping-particle":"","family":"Overholt","given":"B F","non-dropping-particle":"","parse-names":false,"suffix":""},{"dropping-particle":"","family":"Wolfsen","given":"H C","non-dropping-particle":"","parse-names":false,"suffix":""},{"dropping-particle":"","family":"Sampliner","given":"R E","non-dropping-particle":"","parse-names":false,"suffix":""},{"dropping-particle":"","family":"Wang","given":"K K","non-dropping-particle":"","parse-names":false,"suffix":""},{"dropping-particle":"","family":"Galanko","given":"J A","non-dropping-particle":"","parse-names":false,"suffix":""},{"dropping-particle":"","family":"Bronner","given":"M P","non-dropping-particle":"","parse-names":false,"suffix":""},{"dropping-particle":"","family":"Goldblum","given":"J R","non-dropping-particle":"","parse-names":false,"suffix":""},{"dropping-particle":"","family":"Bennett","given":"A E","non-dropping-particle":"","parse-names":false,"suffix":""},{"dropping-particle":"","family":"Jobe","given":"B A","non-dropping-particle":"","parse-names":false,"suffix":""},{"dropping-particle":"","family":"Eisen","given":"G M","non-dropping-particle":"","parse-names":false,"suffix":""},{"dropping-particle":"","family":"Fennerty","given":"M B","non-dropping-particle":"","parse-names":false,"suffix":""},{"dropping-particle":"","family":"Hunter","given":"J G","non-dropping-particle":"","parse-names":false,"suffix":""},{"dropping-particle":"","family":"Fleischer","given":"D E","non-dropping-particle":"","parse-names":false,"suffix":""},{"dropping-particle":"","family":"Sharma","given":"V K","non-dropping-particle":"","parse-names":false,"suffix":""},{"dropping-particle":"","family":"Hawes","given":"R H","non-dropping-particle":"","parse-names":false,"suffix":""},{"dropping-particle":"","family":"Hoffman","given":"B J","non-dropping-particle":"","parse-names":false,"suffix":""},{"dropping-particle":"","family":"Rothstein","given":"R I","non-dropping-particle":"","parse-names":false,"suffix":""},{"dropping-particle":"","family":"Gordon","given":"S R","non-dropping-particle":"","parse-names":false,"suffix":""},{"dropping-particle":"","family":"Mashimo","given":"H","non-dropping-particle":"","parse-names":false,"suffix":""},{"dropping-particle":"","family":"Chang","given":"K J","non-dropping-particle":"","parse-names":false,"suffix":""},{"dropping-particle":"","family":"Muthusamy","given":"V R","non-dropping-particle":"","parse-names":false,"suffix":""},{"dropping-particle":"","family":"Edmundowicz","given":"S A","non-dropping-particle":"","parse-names":false,"suffix":""},{"dropping-particle":"","family":"Spechler","given":"S J","non-dropping-particle":"","parse-names":false,"suffix":""},{"dropping-particle":"","family":"Siddiqui","given":"A A","non-dropping-particle":"","parse-names":false,"suffix":""},{"dropping-particle":"","family":"Souza","given":"R F","non-dropping-particle":"","parse-names":false,"suffix":""},{"dropping-particle":"","family":"Infantolino","given":"A","non-dropping-particle":"","parse-names":false,"suffix":""},{"dropping-particle":"","family":"Falk","given":"G W","non-dropping-particle":"","parse-names":false,"suffix":""},{"dropping-particle":"","family":"Kimmey","given":"M B","non-dropping-particle":"","parse-names":false,"suffix":""},{"dropping-particle":"","family":"Madanick","given":"R D","non-dropping-particle":"","parse-names":false,"suffix":""},{"dropping-particle":"","family":"Chak","given":"A","non-dropping-particle":"","parse-names":false,"suffix":""},{"dropping-particle":"","family":"Lightdale","given":"C J","non-dropping-particle":"","parse-names":false,"suffix":""}],"container-title":"New England Journal of Medicine","id":"ITEM-1","issue":"22","issued":{"date-parts":[["2009"]]},"note":"Shaheen, Nicholas J\rSharma, Prateek\rOverholt, Bergein F\rWolfsen, Herbert C\rSampliner, Richard E\rWang, Kenneth K\rGalanko, Joseph A\rBronner, Mary P\rGoldblum, John R\rBennett, Ana E\rJobe, Blair A\rEisen, Glenn M\rFennerty, M Brian\rHunter, John G\rFleischer, David E\rSharma, Virender K\rHawes, Robert H\rHoffman, Brenda J\rRothstein, Richard I\rGordon, Stuart R\rMashimo, Hiroshi\rChang, Kenneth J\rMuthusamy, V Raman\rEdmundowicz, Steven A\rSpechler, Stuart J\rSiddiqui, Ali A\rSouza, Rhonda F\rInfantolino, Anthony\rFalk, Gary W\rKimmey, Michael B\rMadanick, Ryan D\rChak, Amitabh\rLightdale, Charles J\reng\rP30 DK034987/DK/NIDDK NIH HHS/\rMulticenter Study\rRandomized Controlled Trial\rResearch Support, N.I.H., Extramural\rResearch Support, Non-U.S. Gov't\r2009/05/29 09:00\rN Engl J Med. 2009 May 28;360(22):2277-88. doi: 10.1056/NEJMoa0808145.","page":"2277-2288","title":"Radiofrequency ablation in Barrett's esophagus with dysplasia","type":"article-journal","volume":"360"},"uris":["http://www.mendeley.com/documents/?uuid=6585124c-c320-3a35-9718-a50ab014f7b0"]},{"id":"ITEM-2","itemData":{"DOI":"10.1001/jama.2014.2511","ISSN":"1538-3598 (Electronic)\r0098-7484 (Linking)","PMID":"24668102","abstract":"IMPORTANCE: Barrett esophagus containing low-grade dysplasia is associated with an increased risk of developing esophageal adenocarcinoma, a cancer with a rapidly increasing incidence in the western world. OBJECTIVE: To investigate whether endoscopic radiofrequency ablation could decrease the rate of neoplastic progression. DESIGN, SETTING, AND PARTICIPANTS: Multicenter randomized clinical trial that enrolled 136 patients with a confirmed diagnosis of Barrett esophagus containing low-grade dysplasia at 9 European sites between June 2007 and June 2011. Patient follow-up ended May 2013. INTERVENTIONS: Eligible patients were randomly assigned in a 1:1 ratio to either endoscopic treatment with radiofrequency ablation (ablation) or endoscopic surveillance (control). Ablation was performed with the balloon device for circumferential ablation of the esophagus or the focal device for targeted ablation, with a maximum of 5 sessions allowed. MAIN OUTCOMES AND MEASURES: The primary outcome was neoplastic progression to high-grade dysplasia or adenocarcinoma during a 3-year follow-up since randomization. Secondary outcomes were complete eradication of dysplasia and intestinal metaplasia and adverse events. RESULTS: Sixty-eight patients were randomized to receive ablation and 68 to receive control. Ablation reduced the risk of progression to high-grade dysplasia or adenocarcinoma by 25.0% (1.5% for ablation vs 26.5% for control; 95% CI, 14.1%-35.9%; P &lt; .001) and the risk of progression to adenocarcinoma by 7.4% (1.5% for ablation vs 8.8% for control; 95% CI, 0%-14.7%; P = .03). Among patients in the ablation group, complete eradication occurred in 92.6% for dysplasia and 88.2% for intestinal metaplasia compared with 27.9% for dysplasia and 0.0% for intestinal metaplasia among patients in the control group (P &lt; .001). Treatment-related adverse events occurred in 19.1% of patients receiving ablation (P &lt; .001). The most common adverse event was stricture, occurring in 8 patients receiving ablation (11.8%), all resolved by endoscopic dilation (median, 1 session). The data and safety monitoring board recommended early termination of the trial due to superiority of ablation for the primary outcome and the potential for patient safety issues if the trial continued. CONCLUSIONS AND RELEVANCE: In this randomized trial of patients with Barrett esophagus and a confirmed diagnosis of low-grade dysplasia, radiofrequency ablation resulted in a reduced risk of neoplastic progres…","author":[{"dropping-particle":"","family":"Phoa","given":"K N","non-dropping-particle":"","parse-names":false,"suffix":""},{"dropping-particle":"","family":"Vilsteren","given":"F G","non-dropping-particle":"van","parse-names":false,"suffix":""},{"dropping-particle":"","family":"Weusten","given":"B L","non-dropping-particle":"","parse-names":false,"suffix":""},{"dropping-particle":"","family":"Bisschops","given":"R","non-dropping-particle":"","parse-names":false,"suffix":""},{"dropping-particle":"","family":"Schoon","given":"E J","non-dropping-particle":"","parse-names":false,"suffix":""},{"dropping-particle":"","family":"Ragunath","given":"K","non-dropping-particle":"","parse-names":false,"suffix":""},{"dropping-particle":"","family":"Fullarton","given":"G","non-dropping-particle":"","parse-names":false,"suffix":""},{"dropping-particle":"","family":"Pietro","given":"M","non-dropping-particle":"Di","parse-names":false,"suffix":""},{"dropping-particle":"","family":"Ravi","given":"N","non-dropping-particle":"","parse-names":false,"suffix":""},{"dropping-particle":"","family":"Visser","given":"M","non-dropping-particle":"","parse-names":false,"suffix":""},{"dropping-particle":"","family":"Offerhaus","given":"G J","non-dropping-particle":"","parse-names":false,"suffix":""},{"dropping-particle":"","family":"Seldenrijk","given":"C A","non-dropping-particle":"","parse-names":false,"suffix":""},{"dropping-particle":"","family":"Meijer","given":"S L","non-dropping-particle":"","parse-names":false,"suffix":""},{"dropping-particle":"","family":"Kate","given":"F J","non-dropping-particle":"ten","parse-names":false,"suffix":""},{"dropping-particle":"","family":"Tijssen","given":"J G","non-dropping-particle":"","parse-names":false,"suffix":""},{"dropping-particle":"","family":"Bergman","given":"J J","non-dropping-particle":"","parse-names":false,"suffix":""}],"container-title":"JAMA","id":"ITEM-2","issue":"12","issued":{"date-parts":[["2014"]]},"note":"Phoa, K Nadine\rvan Vilsteren, Frederike G I\rWeusten, Bas L A M\rBisschops, Raf\rSchoon, Erik J\rRagunath, Krish\rFullarton, Grant\rDi Pietro, Massimiliano\rRavi, Narayanasamy\rVisser, Mike\rOfferhaus, G Johan\rSeldenrijk, Cees A\rMeijer, Sybren L\rten Kate, Fiebo J W\rTijssen, Jan G P\rBergman, Jacques J G H M\reng\rMulticenter Study\rRandomized Controlled Trial\rResearch Support, Non-U.S. Gov't\r2014/03/29 06:00\rJAMA. 2014 Mar 26;311(12):1209-17. doi: 10.1001/jama.2014.2511.","page":"1209-1217","title":"Radiofrequency ablation vs endoscopic surveillance for patients with Barrett esophagus and low-grade dysplasia: a randomized clinical trial","type":"article-journal","volume":"311"},"uris":["http://www.mendeley.com/documents/?uuid=a9da97e6-d629-3172-8ac4-7dc1712a1bfd"]},{"id":"ITEM-3","itemData":{"DOI":"10.1016/j.cgh.2013.03.039","ISSN":"1542-7714 (Electronic)\r1542-3565 (Linking)","PMID":"23644385","abstract":"BACKGROUND &amp; AIMS: In patients with Barrett's esophagus (BE), radiofrequency ablation (RFA) safely and effectively eradicates dysplasia and intestinal metaplasia. We aimed to determine the efficacy and durability of RFA for patients with dysplastic and nondysplastic BE. METHODS: We performed a systematic review and meta-analysis of studies identified in PubMed and EMBASE that reported the proportion of patients treated with RFA who had complete eradication of dysplasia (CE-D) and intestinal metaplasia (CE-IM), and the proportion of patients with recurrent IM after successful treatment. Pooled estimates of CE-D, CE-IM, IM recurrence, and adverse events were calculated. RESULTS: We identified 18 studies of 3802 patients reporting efficacy and 6 studies of 540 patients reporting durability. Ten were prospective cohort studies, 9 were retrospective cohort studies, and 1 was a randomized trial. CE-IM was achieved in 78% of patients (95% confidence interval [CI], 70%-86%) and CE-D was achieved in 91% (95% CI, 87%-95%). After eradication, IM recurred in 13% (95% CI, 9%-18%). Progression to cancer occurred in 0.2% of patients during treatment and in 0.7% of those after CE-IM. Esophageal stricture was the most common adverse event and was reported in 5% of patients (95% CI, 3%-7%). Confidence in most summary estimates was limited by a high degree of heterogeneity, which did not appear to be caused by single outlier studies. CONCLUSIONS: Treatment of BE with RFA results in CE-D and CE-IM in a high proportion of patients, with few recurrences of IM after treatment and a low rate of adverse events. Despite the large amount of study heterogeneity, these data provide additional information for patients and providers to make informed treatment decisions.","author":[{"dropping-particle":"","family":"Orman","given":"E S","non-dropping-particle":"","parse-names":false,"suffix":""},{"dropping-particle":"","family":"Li","given":"N","non-dropping-particle":"","parse-names":false,"suffix":""},{"dropping-particle":"","family":"Shaheen","given":"N J","non-dropping-particle":"","parse-names":false,"suffix":""}],"container-title":"Clinical Gastroenterology and Hepatology","id":"ITEM-3","issue":"10","issued":{"date-parts":[["2013"]]},"note":"Orman, Eric S\rLi, Nan\rShaheen, Nicholas J\reng\rP30 DK034987/DK/NIDDK NIH HHS/\rT32 DK007634/DK/NIDDK NIH HHS/\rU54 CA156733/CA/NCI NIH HHS/\rU54 CA163060/CA/NCI NIH HHS/\rMeta-Analysis\rReview\rSystematic Review\r2013/05/07 06:00\rClin Gastroenterol Hepatol. 2013 Oct;11(10):1245-55. doi: 10.1016/j.cgh.2013.03.039. Epub 2013 May 2.","page":"1245-1255","title":"Efficacy and durability of radiofrequency ablation for Barrett's Esophagus: systematic review and meta-analysis","type":"article-journal","volume":"11"},"uris":["http://www.mendeley.com/documents/?uuid=bd04b089-a898-3bd6-b537-279127b8e379"]},{"id":"ITEM-4","itemData":{"DOI":"10.1016/j.gie.2016.01.007","ISSN":"1097-6779 (Electronic)\r0016-5107 (Linking)","PMID":"26874597","abstract":"BACKGROUND AND AIMS: Endoscopic real-time imaging of Barrett's esophagus (BE) with advanced imaging technologies enables targeted biopsies and may eliminate the need for random biopsies to detect dysplasia during endoscopic surveillance of BE. This systematic review and meta-analysis was performed by the American Society for Gastrointestinal Endoscopy (ASGE) Technology Committee to specifically assess whether acceptable performance thresholds outlined by the ASGE Preservation and Incorporation of Valuable Endoscopic Innovations (PIVI) document for clinical adoption of these technologies have been met. METHODS: We conducted meta-analyses calculating the pooled sensitivity, negative predictive value (NPV), and specificity for chromoendoscopy by using acetic acid and methylene blue, electronic chromoendoscopy by using narrow-band imaging, and confocal laser endomicroscopy (CLE) for the detection of dysplasia. Random effects meta-analysis models were used. Statistical heterogeneity was evaluated by means of I(2) statistics. RESULTS: The pooled sensitivity, NPV, and specificity for acetic acid chromoendoscopy were 96.6% (95% confidence interval [CI], 95-98), 98.3% (95% CI, 94.8-99.4), and 84.6% (95% CI, 68.5-93.2), respectively. The pooled sensitivity, NPV, and specificity for electronic chromoendoscopy by using narrow-band imaging were 94.2% (95% CI, 82.6-98.2), 97.5% (95% CI, 95.1-98.7), and 94.4% (95% CI, 80.5-98.6), respectively. The pooled sensitivity, NPV, and specificity for endoscope-based CLE were 90.4% (95% CI, 71.9-97.2), 98.3% (95% CI, 94.2-99.5), and 92.7% (95% CI, 87-96), respectively. CONCLUSIONS: Our meta-analysis indicates that targeted biopsies with acetic acid chromoendoscopy, electronic chromoendoscopy by using narrow-band imaging, and endoscope-based CLE meet the thresholds set by the ASGE PIVI, at least when performed by endoscopists with expertise in advanced imaging techniques. The ASGE Technology Committee therefore endorses using these advanced imaging modalities to guide targeted biopsies for the detection of dysplasia during surveillance of patients with previously nondysplastic BE, thereby replacing the currently used random biopsy protocols.","author":[{"dropping-particle":"","family":"Committee","given":"Asge Technology","non-dropping-particle":"","parse-names":false,"suffix":""},{"dropping-particle":"","family":"Thosani","given":"N","non-dropping-particle":"","parse-names":false,"suffix":""},{"dropping-particle":"","family":"Abu Dayyeh","given":"B K","non-dropping-particle":"","parse-names":false,"suffix":""},{"dropping-particle":"","family":"Sharma","given":"P","non-dropping-particle":"","parse-names":false,"suffix":""},{"dropping-particle":"","family":"Aslanian","given":"H R","non-dropping-particle":"","parse-names":false,"suffix":""},{"dropping-particle":"","family":"Enestvedt","given":"B K","non-dropping-particle":"","parse-names":false,"suffix":""},{"dropping-particle":"","family":"Komanduri","given":"S","non-dropping-particle":"","parse-names":false,"suffix":""},{"dropping-particle":"","family":"Manfredi","given":"M","non-dropping-particle":"","parse-names":false,"suffix":""},{"dropping-particle":"","family":"Navaneethan","given":"U","non-dropping-particle":"","parse-names":false,"suffix":""},{"dropping-particle":"","family":"Maple","given":"J T","non-dropping-particle":"","parse-names":false,"suffix":""},{"dropping-particle":"","family":"Pannala","given":"R","non-dropping-particle":"","parse-names":false,"suffix":""},{"dropping-particle":"","family":"Parsi","given":"M A","non-dropping-particle":"","parse-names":false,"suffix":""},{"dropping-particle":"","family":"Smith","given":"Z L","non-dropping-particle":"","parse-names":false,"suffix":""},{"dropping-particle":"","family":"Sullivan","given":"S A","non-dropping-particle":"","parse-names":false,"suffix":""},{"dropping-particle":"","family":"Banerjee","given":"S","non-dropping-particle":"","parse-names":false,"suffix":""}],"container-title":"Gastrointestinal Endoscopy","id":"ITEM-4","issue":"4","issued":{"date-parts":[["2016"]]},"note":"Thosani, Nirav\rAbu Dayyeh, Barham K\rSharma, Prateek\rAslanian, Harry R\rEnestvedt, Brintha K\rKomanduri, Sri\rManfredi, Michael\rNavaneethan, Udayakumar\rMaple, John T\rPannala, Rahul\rParsi, Mansour A\rSmith, Zachary L\rSullivan, Shelby A\rBanerjee, Subhas\reng\rMeta-Analysis\rReview\rSystematic Review\r2016/02/15 06:00\rGastrointest Endosc. 2016 Apr;83(4):684-98.e7. doi: 10.1016/j.gie.2016.01.007. Epub 2016 Feb 11.","page":"684-98 e7","title":"ASGE Technology Committee systematic review and meta-analysis assessing the ASGE Preservation and Incorporation of Valuable Endoscopic Innovations thresholds for adopting real-time imaging-assisted endoscopic targeted biopsy during endoscopic surveillance of Barrett's esophagus","type":"article-journal","volume":"83"},"uris":["http://www.mendeley.com/documents/?uuid=3680a050-66d7-3985-b21c-2ee511c95f04"]}],"mendeley":{"formattedCitation":"&lt;sup&gt;[11–14]&lt;/sup&gt;","plainTextFormattedCitation":"[11–14]","previouslyFormattedCitation":"&lt;sup&gt;[11–14]&lt;/sup&gt;"},"properties":{"noteIndex":0},"schema":"https://github.com/citation-style-language/schema/raw/master/csl-citation.json"}</w:instrText>
      </w:r>
      <w:r w:rsidR="00863477" w:rsidRPr="00312A48">
        <w:rPr>
          <w:rFonts w:ascii="Book Antiqua" w:hAnsi="Book Antiqua"/>
        </w:rPr>
        <w:fldChar w:fldCharType="separate"/>
      </w:r>
      <w:r w:rsidR="00863477" w:rsidRPr="00312A48">
        <w:rPr>
          <w:rFonts w:ascii="Book Antiqua" w:hAnsi="Book Antiqua"/>
          <w:noProof/>
          <w:vertAlign w:val="superscript"/>
        </w:rPr>
        <w:t>[11–14]</w:t>
      </w:r>
      <w:r w:rsidR="00863477" w:rsidRPr="00312A48">
        <w:rPr>
          <w:rFonts w:ascii="Book Antiqua" w:hAnsi="Book Antiqua"/>
        </w:rPr>
        <w:fldChar w:fldCharType="end"/>
      </w:r>
      <w:r w:rsidR="009216C7" w:rsidRPr="00312A48">
        <w:rPr>
          <w:rFonts w:ascii="Book Antiqua" w:hAnsi="Book Antiqua"/>
        </w:rPr>
        <w:t>.</w:t>
      </w:r>
      <w:r w:rsidR="00EE4C6A" w:rsidRPr="00312A48">
        <w:rPr>
          <w:rFonts w:ascii="Book Antiqua" w:hAnsi="Book Antiqua"/>
        </w:rPr>
        <w:t xml:space="preserve"> RFA involves the delivery of radiofrequency energy through a circumferential balloon or focal ablation catheter directly t</w:t>
      </w:r>
      <w:r w:rsidR="003A66AC" w:rsidRPr="00312A48">
        <w:rPr>
          <w:rFonts w:ascii="Book Antiqua" w:hAnsi="Book Antiqua"/>
        </w:rPr>
        <w:t xml:space="preserve">o </w:t>
      </w:r>
      <w:r w:rsidR="00874B0B" w:rsidRPr="00312A48">
        <w:rPr>
          <w:rFonts w:ascii="Book Antiqua" w:hAnsi="Book Antiqua"/>
        </w:rPr>
        <w:t>the flat Barrett’s mucosa with the goal of thermal destruction of dysplastic tissue and subsequent promotion of regrowth of normal s</w:t>
      </w:r>
      <w:r w:rsidR="004F0994" w:rsidRPr="00312A48">
        <w:rPr>
          <w:rFonts w:ascii="Book Antiqua" w:hAnsi="Book Antiqua"/>
        </w:rPr>
        <w:t xml:space="preserve">quamous esophageal epithelium. </w:t>
      </w:r>
      <w:r w:rsidR="00874B0B" w:rsidRPr="00312A48">
        <w:rPr>
          <w:rFonts w:ascii="Book Antiqua" w:hAnsi="Book Antiqua"/>
        </w:rPr>
        <w:t xml:space="preserve">RFA can be performed for any length of BE and on average, requires 3-4 sessions for complete eradication. </w:t>
      </w:r>
      <w:r w:rsidR="002B325E" w:rsidRPr="00312A48">
        <w:rPr>
          <w:rFonts w:ascii="Book Antiqua" w:hAnsi="Book Antiqua"/>
        </w:rPr>
        <w:t xml:space="preserve">RFA was first developed in 1999 and since then, has shown to be highly effective in eradication of BE. </w:t>
      </w:r>
      <w:r w:rsidR="004F2A03" w:rsidRPr="00312A48">
        <w:rPr>
          <w:rFonts w:ascii="Book Antiqua" w:hAnsi="Book Antiqua"/>
        </w:rPr>
        <w:t xml:space="preserve">A landmark trial in 2009, entitled the AIM </w:t>
      </w:r>
      <w:r w:rsidR="004F0994" w:rsidRPr="00312A48">
        <w:rPr>
          <w:rFonts w:ascii="Book Antiqua" w:hAnsi="Book Antiqua"/>
        </w:rPr>
        <w:t xml:space="preserve">dysplasia </w:t>
      </w:r>
      <w:r w:rsidR="004F2A03" w:rsidRPr="00312A48">
        <w:rPr>
          <w:rFonts w:ascii="Book Antiqua" w:hAnsi="Book Antiqua"/>
        </w:rPr>
        <w:t xml:space="preserve">trial, demonstrated that </w:t>
      </w:r>
      <w:r w:rsidR="008F4507" w:rsidRPr="00312A48">
        <w:rPr>
          <w:rFonts w:ascii="Book Antiqua" w:hAnsi="Book Antiqua"/>
        </w:rPr>
        <w:t xml:space="preserve">90% of subjects with </w:t>
      </w:r>
      <w:r w:rsidR="004F0994" w:rsidRPr="00312A48">
        <w:rPr>
          <w:rFonts w:ascii="Book Antiqua" w:hAnsi="Book Antiqua"/>
        </w:rPr>
        <w:t>high-grade dysplasia</w:t>
      </w:r>
      <w:r w:rsidR="008F4507" w:rsidRPr="00312A48">
        <w:rPr>
          <w:rFonts w:ascii="Book Antiqua" w:hAnsi="Book Antiqua"/>
        </w:rPr>
        <w:t xml:space="preserve"> and 81% of subjects with LGD achieved complete eradication of dysplasia as compared to &lt;</w:t>
      </w:r>
      <w:r w:rsidR="004F0994" w:rsidRPr="00312A48">
        <w:rPr>
          <w:rFonts w:ascii="Book Antiqua" w:hAnsi="Book Antiqua"/>
        </w:rPr>
        <w:t xml:space="preserve"> </w:t>
      </w:r>
      <w:r w:rsidR="008F4507" w:rsidRPr="00312A48">
        <w:rPr>
          <w:rFonts w:ascii="Book Antiqua" w:hAnsi="Book Antiqua"/>
        </w:rPr>
        <w:t>5% in the sham procedure arm. The patients who underwent RFA also achieved a significantly higher rate of complete eradication of intestinal metaplasia and of disease progression</w:t>
      </w:r>
      <w:r w:rsidR="00863477" w:rsidRPr="00312A48">
        <w:rPr>
          <w:rFonts w:ascii="Book Antiqua" w:hAnsi="Book Antiqua"/>
        </w:rPr>
        <w:fldChar w:fldCharType="begin" w:fldLock="1"/>
      </w:r>
      <w:r w:rsidR="003560C4" w:rsidRPr="00312A48">
        <w:rPr>
          <w:rFonts w:ascii="Book Antiqua" w:hAnsi="Book Antiqua"/>
        </w:rPr>
        <w:instrText>ADDIN CSL_CITATION {"citationItems":[{"id":"ITEM-1","itemData":{"DOI":"10.1056/NEJMoa0808145","ISSN":"1533-4406 (Electronic)\r0028-4793 (Linking)","PMID":"19474425","abstract":"BACKGROUND: Barrett's esophagus, a condition of intestinal metaplasia of the esophagus, is associated with an increased risk of esophageal adenocarcinoma. We assessed whether endoscopic radiofrequency ablation could eradicate dysplastic Barrett's esophagus and decrease the rate of neoplastic progression. METHODS: In a multicenter, sham-controlled trial, we randomly assigned 127 patients with dysplastic Barrett's esophagus in a 2:1 ratio to receive either radiofrequency ablation (ablation group) or a sham procedure (control group). Randomization was stratified according to the grade of dysplasia and the length of Barrett's esophagus. Primary outcomes at 12 months included the complete eradication of dysplasia and intestinal metaplasia. RESULTS: In the intention-to-treat analyses, among patients with low-grade dysplasia, complete eradication of dysplasia occurred in 90.5% of those in the ablation group, as compared with 22.7% of those in the control group (P&lt;0.001). Among patients with high-grade dysplasia, complete eradication occurred in 81.0% of those in the ablation group, as compared with 19.0% of those in the control group (P&lt;0.001). Overall, 77.4% of patients in the ablation group had complete eradication of intestinal metaplasia, as compared with 2.3% of those in the control group (P&lt;0.001). Patients in the ablation group had less disease progression (3.6% vs. 16.3%, P=0.03) and fewer cancers (1.2% vs. 9.3%, P=0.045). Patients reported having more chest pain after the ablation procedure than after the sham procedure. In the ablation group, one patient had upper gastrointestinal hemorrhage, and five patients (6.0%) had esophageal stricture. CONCLUSIONS: In patients with dysplastic Barrett's esophagus, radiofrequency ablation was associated with a high rate of complete eradication of both dysplasia and intestinal metaplasia and a reduced risk of disease progression. (ClinicalTrials.gov number, NCT00282672.)","author":[{"dropping-particle":"","family":"Shaheen","given":"N J","non-dropping-particle":"","parse-names":false,"suffix":""},{"dropping-particle":"","family":"Sharma","given":"P","non-dropping-particle":"","parse-names":false,"suffix":""},{"dropping-particle":"","family":"Overholt","given":"B F","non-dropping-particle":"","parse-names":false,"suffix":""},{"dropping-particle":"","family":"Wolfsen","given":"H C","non-dropping-particle":"","parse-names":false,"suffix":""},{"dropping-particle":"","family":"Sampliner","given":"R E","non-dropping-particle":"","parse-names":false,"suffix":""},{"dropping-particle":"","family":"Wang","given":"K K","non-dropping-particle":"","parse-names":false,"suffix":""},{"dropping-particle":"","family":"Galanko","given":"J A","non-dropping-particle":"","parse-names":false,"suffix":""},{"dropping-particle":"","family":"Bronner","given":"M P","non-dropping-particle":"","parse-names":false,"suffix":""},{"dropping-particle":"","family":"Goldblum","given":"J R","non-dropping-particle":"","parse-names":false,"suffix":""},{"dropping-particle":"","family":"Bennett","given":"A E","non-dropping-particle":"","parse-names":false,"suffix":""},{"dropping-particle":"","family":"Jobe","given":"B A","non-dropping-particle":"","parse-names":false,"suffix":""},{"dropping-particle":"","family":"Eisen","given":"G M","non-dropping-particle":"","parse-names":false,"suffix":""},{"dropping-particle":"","family":"Fennerty","given":"M B","non-dropping-particle":"","parse-names":false,"suffix":""},{"dropping-particle":"","family":"Hunter","given":"J G","non-dropping-particle":"","parse-names":false,"suffix":""},{"dropping-particle":"","family":"Fleischer","given":"D E","non-dropping-particle":"","parse-names":false,"suffix":""},{"dropping-particle":"","family":"Sharma","given":"V K","non-dropping-particle":"","parse-names":false,"suffix":""},{"dropping-particle":"","family":"Hawes","given":"R H","non-dropping-particle":"","parse-names":false,"suffix":""},{"dropping-particle":"","family":"Hoffman","given":"B J","non-dropping-particle":"","parse-names":false,"suffix":""},{"dropping-particle":"","family":"Rothstein","given":"R I","non-dropping-particle":"","parse-names":false,"suffix":""},{"dropping-particle":"","family":"Gordon","given":"S R","non-dropping-particle":"","parse-names":false,"suffix":""},{"dropping-particle":"","family":"Mashimo","given":"H","non-dropping-particle":"","parse-names":false,"suffix":""},{"dropping-particle":"","family":"Chang","given":"K J","non-dropping-particle":"","parse-names":false,"suffix":""},{"dropping-particle":"","family":"Muthusamy","given":"V R","non-dropping-particle":"","parse-names":false,"suffix":""},{"dropping-particle":"","family":"Edmundowicz","given":"S A","non-dropping-particle":"","parse-names":false,"suffix":""},{"dropping-particle":"","family":"Spechler","given":"S J","non-dropping-particle":"","parse-names":false,"suffix":""},{"dropping-particle":"","family":"Siddiqui","given":"A A","non-dropping-particle":"","parse-names":false,"suffix":""},{"dropping-particle":"","family":"Souza","given":"R F","non-dropping-particle":"","parse-names":false,"suffix":""},{"dropping-particle":"","family":"Infantolino","given":"A","non-dropping-particle":"","parse-names":false,"suffix":""},{"dropping-particle":"","family":"Falk","given":"G W","non-dropping-particle":"","parse-names":false,"suffix":""},{"dropping-particle":"","family":"Kimmey","given":"M B","non-dropping-particle":"","parse-names":false,"suffix":""},{"dropping-particle":"","family":"Madanick","given":"R D","non-dropping-particle":"","parse-names":false,"suffix":""},{"dropping-particle":"","family":"Chak","given":"A","non-dropping-particle":"","parse-names":false,"suffix":""},{"dropping-particle":"","family":"Lightdale","given":"C J","non-dropping-particle":"","parse-names":false,"suffix":""}],"container-title":"New England Journal of Medicine","id":"ITEM-1","issue":"22","issued":{"date-parts":[["2009"]]},"note":"Shaheen, Nicholas J\rSharma, Prateek\rOverholt, Bergein F\rWolfsen, Herbert C\rSampliner, Richard E\rWang, Kenneth K\rGalanko, Joseph A\rBronner, Mary P\rGoldblum, John R\rBennett, Ana E\rJobe, Blair A\rEisen, Glenn M\rFennerty, M Brian\rHunter, John G\rFleischer, David E\rSharma, Virender K\rHawes, Robert H\rHoffman, Brenda J\rRothstein, Richard I\rGordon, Stuart R\rMashimo, Hiroshi\rChang, Kenneth J\rMuthusamy, V Raman\rEdmundowicz, Steven A\rSpechler, Stuart J\rSiddiqui, Ali A\rSouza, Rhonda F\rInfantolino, Anthony\rFalk, Gary W\rKimmey, Michael B\rMadanick, Ryan D\rChak, Amitabh\rLightdale, Charles J\reng\rP30 DK034987/DK/NIDDK NIH HHS/\rMulticenter Study\rRandomized Controlled Trial\rResearch Support, N.I.H., Extramural\rResearch Support, Non-U.S. Gov't\r2009/05/29 09:00\rN Engl J Med. 2009 May 28;360(22):2277-88. doi: 10.1056/NEJMoa0808145.","page":"2277-2288","title":"Radiofrequency ablation in Barrett's esophagus with dysplasia","type":"article-journal","volume":"360"},"uris":["http://www.mendeley.com/documents/?uuid=6585124c-c320-3a35-9718-a50ab014f7b0"]}],"mendeley":{"formattedCitation":"&lt;sup&gt;[11]&lt;/sup&gt;","plainTextFormattedCitation":"[11]","previouslyFormattedCitation":"&lt;sup&gt;[11]&lt;/sup&gt;"},"properties":{"noteIndex":0},"schema":"https://github.com/citation-style-language/schema/raw/master/csl-citation.json"}</w:instrText>
      </w:r>
      <w:r w:rsidR="00863477" w:rsidRPr="00312A48">
        <w:rPr>
          <w:rFonts w:ascii="Book Antiqua" w:hAnsi="Book Antiqua"/>
        </w:rPr>
        <w:fldChar w:fldCharType="separate"/>
      </w:r>
      <w:r w:rsidR="00863477" w:rsidRPr="00312A48">
        <w:rPr>
          <w:rFonts w:ascii="Book Antiqua" w:hAnsi="Book Antiqua"/>
          <w:noProof/>
          <w:vertAlign w:val="superscript"/>
        </w:rPr>
        <w:t>[11]</w:t>
      </w:r>
      <w:r w:rsidR="00863477" w:rsidRPr="00312A48">
        <w:rPr>
          <w:rFonts w:ascii="Book Antiqua" w:hAnsi="Book Antiqua"/>
        </w:rPr>
        <w:fldChar w:fldCharType="end"/>
      </w:r>
      <w:r w:rsidR="009216C7" w:rsidRPr="00312A48">
        <w:rPr>
          <w:rFonts w:ascii="Book Antiqua" w:hAnsi="Book Antiqua"/>
        </w:rPr>
        <w:t>.</w:t>
      </w:r>
      <w:r w:rsidR="00330241" w:rsidRPr="00312A48">
        <w:rPr>
          <w:rFonts w:ascii="Book Antiqua" w:hAnsi="Book Antiqua"/>
        </w:rPr>
        <w:t xml:space="preserve"> </w:t>
      </w:r>
      <w:r w:rsidR="008F4507" w:rsidRPr="00312A48">
        <w:rPr>
          <w:rFonts w:ascii="Book Antiqua" w:hAnsi="Book Antiqua"/>
        </w:rPr>
        <w:t>The usefulness of RFA specifically for patients with LGD was re-emphasized in the SURF study</w:t>
      </w:r>
      <w:r w:rsidR="00442471" w:rsidRPr="00312A48">
        <w:rPr>
          <w:rFonts w:ascii="Book Antiqua" w:hAnsi="Book Antiqua"/>
        </w:rPr>
        <w:t xml:space="preserve"> in 2014</w:t>
      </w:r>
      <w:r w:rsidR="003560C4" w:rsidRPr="00312A48">
        <w:rPr>
          <w:rFonts w:ascii="Book Antiqua" w:hAnsi="Book Antiqua"/>
        </w:rPr>
        <w:fldChar w:fldCharType="begin" w:fldLock="1"/>
      </w:r>
      <w:r w:rsidR="003560C4" w:rsidRPr="00312A48">
        <w:rPr>
          <w:rFonts w:ascii="Book Antiqua" w:hAnsi="Book Antiqua"/>
        </w:rPr>
        <w:instrText>ADDIN CSL_CITATION {"citationItems":[{"id":"ITEM-1","itemData":{"DOI":"10.1001/jama.2014.2511","ISSN":"1538-3598 (Electronic)\r0098-7484 (Linking)","PMID":"24668102","abstract":"IMPORTANCE: Barrett esophagus containing low-grade dysplasia is associated with an increased risk of developing esophageal adenocarcinoma, a cancer with a rapidly increasing incidence in the western world. OBJECTIVE: To investigate whether endoscopic radiofrequency ablation could decrease the rate of neoplastic progression. DESIGN, SETTING, AND PARTICIPANTS: Multicenter randomized clinical trial that enrolled 136 patients with a confirmed diagnosis of Barrett esophagus containing low-grade dysplasia at 9 European sites between June 2007 and June 2011. Patient follow-up ended May 2013. INTERVENTIONS: Eligible patients were randomly assigned in a 1:1 ratio to either endoscopic treatment with radiofrequency ablation (ablation) or endoscopic surveillance (control). Ablation was performed with the balloon device for circumferential ablation of the esophagus or the focal device for targeted ablation, with a maximum of 5 sessions allowed. MAIN OUTCOMES AND MEASURES: The primary outcome was neoplastic progression to high-grade dysplasia or adenocarcinoma during a 3-year follow-up since randomization. Secondary outcomes were complete eradication of dysplasia and intestinal metaplasia and adverse events. RESULTS: Sixty-eight patients were randomized to receive ablation and 68 to receive control. Ablation reduced the risk of progression to high-grade dysplasia or adenocarcinoma by 25.0% (1.5% for ablation vs 26.5% for control; 95% CI, 14.1%-35.9%; P &lt; .001) and the risk of progression to adenocarcinoma by 7.4% (1.5% for ablation vs 8.8% for control; 95% CI, 0%-14.7%; P = .03). Among patients in the ablation group, complete eradication occurred in 92.6% for dysplasia and 88.2% for intestinal metaplasia compared with 27.9% for dysplasia and 0.0% for intestinal metaplasia among patients in the control group (P &lt; .001). Treatment-related adverse events occurred in 19.1% of patients receiving ablation (P &lt; .001). The most common adverse event was stricture, occurring in 8 patients receiving ablation (11.8%), all resolved by endoscopic dilation (median, 1 session). The data and safety monitoring board recommended early termination of the trial due to superiority of ablation for the primary outcome and the potential for patient safety issues if the trial continued. CONCLUSIONS AND RELEVANCE: In this randomized trial of patients with Barrett esophagus and a confirmed diagnosis of low-grade dysplasia, radiofrequency ablation resulted in a reduced risk of neoplastic progres…","author":[{"dropping-particle":"","family":"Phoa","given":"K N","non-dropping-particle":"","parse-names":false,"suffix":""},{"dropping-particle":"","family":"Vilsteren","given":"F G","non-dropping-particle":"van","parse-names":false,"suffix":""},{"dropping-particle":"","family":"Weusten","given":"B L","non-dropping-particle":"","parse-names":false,"suffix":""},{"dropping-particle":"","family":"Bisschops","given":"R","non-dropping-particle":"","parse-names":false,"suffix":""},{"dropping-particle":"","family":"Schoon","given":"E J","non-dropping-particle":"","parse-names":false,"suffix":""},{"dropping-particle":"","family":"Ragunath","given":"K","non-dropping-particle":"","parse-names":false,"suffix":""},{"dropping-particle":"","family":"Fullarton","given":"G","non-dropping-particle":"","parse-names":false,"suffix":""},{"dropping-particle":"","family":"Pietro","given":"M","non-dropping-particle":"Di","parse-names":false,"suffix":""},{"dropping-particle":"","family":"Ravi","given":"N","non-dropping-particle":"","parse-names":false,"suffix":""},{"dropping-particle":"","family":"Visser","given":"M","non-dropping-particle":"","parse-names":false,"suffix":""},{"dropping-particle":"","family":"Offerhaus","given":"G J","non-dropping-particle":"","parse-names":false,"suffix":""},{"dropping-particle":"","family":"Seldenrijk","given":"C A","non-dropping-particle":"","parse-names":false,"suffix":""},{"dropping-particle":"","family":"Meijer","given":"S L","non-dropping-particle":"","parse-names":false,"suffix":""},{"dropping-particle":"","family":"Kate","given":"F J","non-dropping-particle":"ten","parse-names":false,"suffix":""},{"dropping-particle":"","family":"Tijssen","given":"J G","non-dropping-particle":"","parse-names":false,"suffix":""},{"dropping-particle":"","family":"Bergman","given":"J J","non-dropping-particle":"","parse-names":false,"suffix":""}],"container-title":"JAMA","id":"ITEM-1","issue":"12","issued":{"date-parts":[["2014"]]},"note":"Phoa, K Nadine\rvan Vilsteren, Frederike G I\rWeusten, Bas L A M\rBisschops, Raf\rSchoon, Erik J\rRagunath, Krish\rFullarton, Grant\rDi Pietro, Massimiliano\rRavi, Narayanasamy\rVisser, Mike\rOfferhaus, G Johan\rSeldenrijk, Cees A\rMeijer, Sybren L\rten Kate, Fiebo J W\rTijssen, Jan G P\rBergman, Jacques J G H M\reng\rMulticenter Study\rRandomized Controlled Trial\rResearch Support, Non-U.S. Gov't\r2014/03/29 06:00\rJAMA. 2014 Mar 26;311(12):1209-17. doi: 10.1001/jama.2014.2511.","page":"1209-1217","title":"Radiofrequency ablation vs endoscopic surveillance for patients with Barrett esophagus and low-grade dysplasia: a randomized clinical trial","type":"article-journal","volume":"311"},"uris":["http://www.mendeley.com/documents/?uuid=a9da97e6-d629-3172-8ac4-7dc1712a1bfd"]}],"mendeley":{"formattedCitation":"&lt;sup&gt;[12]&lt;/sup&gt;","plainTextFormattedCitation":"[12]","previouslyFormattedCitation":"&lt;sup&gt;[12]&lt;/sup&gt;"},"properties":{"noteIndex":0},"schema":"https://github.com/citation-style-language/schema/raw/master/csl-citation.json"}</w:instrText>
      </w:r>
      <w:r w:rsidR="003560C4" w:rsidRPr="00312A48">
        <w:rPr>
          <w:rFonts w:ascii="Book Antiqua" w:hAnsi="Book Antiqua"/>
        </w:rPr>
        <w:fldChar w:fldCharType="separate"/>
      </w:r>
      <w:r w:rsidR="003560C4" w:rsidRPr="00312A48">
        <w:rPr>
          <w:rFonts w:ascii="Book Antiqua" w:hAnsi="Book Antiqua"/>
          <w:noProof/>
          <w:vertAlign w:val="superscript"/>
        </w:rPr>
        <w:t>[12]</w:t>
      </w:r>
      <w:r w:rsidR="003560C4" w:rsidRPr="00312A48">
        <w:rPr>
          <w:rFonts w:ascii="Book Antiqua" w:hAnsi="Book Antiqua"/>
        </w:rPr>
        <w:fldChar w:fldCharType="end"/>
      </w:r>
      <w:r w:rsidR="009216C7" w:rsidRPr="00312A48">
        <w:rPr>
          <w:rFonts w:ascii="Book Antiqua" w:hAnsi="Book Antiqua"/>
        </w:rPr>
        <w:t>,</w:t>
      </w:r>
      <w:r w:rsidR="008F4507" w:rsidRPr="00312A48">
        <w:rPr>
          <w:rFonts w:ascii="Book Antiqua" w:hAnsi="Book Antiqua"/>
        </w:rPr>
        <w:t xml:space="preserve"> and </w:t>
      </w:r>
      <w:r w:rsidR="00442471" w:rsidRPr="00312A48">
        <w:rPr>
          <w:rFonts w:ascii="Book Antiqua" w:hAnsi="Book Antiqua"/>
        </w:rPr>
        <w:t>its</w:t>
      </w:r>
      <w:r w:rsidR="008F4507" w:rsidRPr="00312A48">
        <w:rPr>
          <w:rFonts w:ascii="Book Antiqua" w:hAnsi="Book Antiqua"/>
        </w:rPr>
        <w:t xml:space="preserve"> overall efficacy was repeatedly highlighted in</w:t>
      </w:r>
      <w:r w:rsidR="00442471" w:rsidRPr="00312A48">
        <w:rPr>
          <w:rFonts w:ascii="Book Antiqua" w:hAnsi="Book Antiqua"/>
        </w:rPr>
        <w:t xml:space="preserve"> a growing body of literature</w:t>
      </w:r>
      <w:r w:rsidR="003560C4" w:rsidRPr="00312A48">
        <w:rPr>
          <w:rFonts w:ascii="Book Antiqua" w:hAnsi="Book Antiqua"/>
        </w:rPr>
        <w:fldChar w:fldCharType="begin" w:fldLock="1"/>
      </w:r>
      <w:r w:rsidR="003560C4" w:rsidRPr="00312A48">
        <w:rPr>
          <w:rFonts w:ascii="Book Antiqua" w:hAnsi="Book Antiqua"/>
        </w:rPr>
        <w:instrText>ADDIN CSL_CITATION {"citationItems":[{"id":"ITEM-1","itemData":{"DOI":"10.1016/j.cgh.2013.03.039","ISSN":"1542-7714 (Electronic)\r1542-3565 (Linking)","PMID":"23644385","abstract":"BACKGROUND &amp; AIMS: In patients with Barrett's esophagus (BE), radiofrequency ablation (RFA) safely and effectively eradicates dysplasia and intestinal metaplasia. We aimed to determine the efficacy and durability of RFA for patients with dysplastic and nondysplastic BE. METHODS: We performed a systematic review and meta-analysis of studies identified in PubMed and EMBASE that reported the proportion of patients treated with RFA who had complete eradication of dysplasia (CE-D) and intestinal metaplasia (CE-IM), and the proportion of patients with recurrent IM after successful treatment. Pooled estimates of CE-D, CE-IM, IM recurrence, and adverse events were calculated. RESULTS: We identified 18 studies of 3802 patients reporting efficacy and 6 studies of 540 patients reporting durability. Ten were prospective cohort studies, 9 were retrospective cohort studies, and 1 was a randomized trial. CE-IM was achieved in 78% of patients (95% confidence interval [CI], 70%-86%) and CE-D was achieved in 91% (95% CI, 87%-95%). After eradication, IM recurred in 13% (95% CI, 9%-18%). Progression to cancer occurred in 0.2% of patients during treatment and in 0.7% of those after CE-IM. Esophageal stricture was the most common adverse event and was reported in 5% of patients (95% CI, 3%-7%). Confidence in most summary estimates was limited by a high degree of heterogeneity, which did not appear to be caused by single outlier studies. CONCLUSIONS: Treatment of BE with RFA results in CE-D and CE-IM in a high proportion of patients, with few recurrences of IM after treatment and a low rate of adverse events. Despite the large amount of study heterogeneity, these data provide additional information for patients and providers to make informed treatment decisions.","author":[{"dropping-particle":"","family":"Orman","given":"E S","non-dropping-particle":"","parse-names":false,"suffix":""},{"dropping-particle":"","family":"Li","given":"N","non-dropping-particle":"","parse-names":false,"suffix":""},{"dropping-particle":"","family":"Shaheen","given":"N J","non-dropping-particle":"","parse-names":false,"suffix":""}],"container-title":"Clinical Gastroenterology and Hepatology","id":"ITEM-1","issue":"10","issued":{"date-parts":[["2013"]]},"note":"Orman, Eric S\rLi, Nan\rShaheen, Nicholas J\reng\rP30 DK034987/DK/NIDDK NIH HHS/\rT32 DK007634/DK/NIDDK NIH HHS/\rU54 CA156733/CA/NCI NIH HHS/\rU54 CA163060/CA/NCI NIH HHS/\rMeta-Analysis\rReview\rSystematic Review\r2013/05/07 06:00\rClin Gastroenterol Hepatol. 2013 Oct;11(10):1245-55. doi: 10.1016/j.cgh.2013.03.039. Epub 2013 May 2.","page":"1245-1255","title":"Efficacy and durability of radiofrequency ablation for Barrett's Esophagus: systematic review and meta-analysis","type":"article-journal","volume":"11"},"uris":["http://www.mendeley.com/documents/?uuid=bd04b089-a898-3bd6-b537-279127b8e379"]},{"id":"ITEM-2","itemData":{"DOI":"10.1038/ajg.2017.70","ISSN":"1572-0241 (Electronic)\r0002-9270 (Linking)","PMID":"28374819","abstract":"OBJECTIVES: Barrett's esophagus (BE) is the only identifiable premalignant condition for esophageal adenocarcinoma (EAC). Management of BE with low-grade dysplasia continues to be controversial. We aimed to conduct a systematic review and meta-analysis comparing the risk of progression to high-grade dysplasia or EAC among patients with BE with low-grade dysplasia treated with radiofrequency ablation (RFA) compared with surveillance endoscopy. METHODS: Our search included Medline, Embase, and Cochrane Central, was limited to English language articles, and was last searched on 31 December 2015. Studies were reviewed by title and abstract, and then full text by two independent reviewers. Two independent reviewers extracted data. Differences were resolved by consensus. The primary outcome of interest was the relative risk of disease progression among patients with BE with low-grade dysplasia treated with RFAcompared with surveillance. RESULTS: Our search resulted in 2,029 citations, 19 studies were included in the final analysis, totaling 2,746 patients. Relative risk of disease progression in RFA compared with surveillance was 0.14% (95% confidence interval: 0.04-0.45), P=0.001. This measure was stable when only all studies were included. Absolute risk reduction was 10.9% and the number needed to treat was 9.2. Results were stable over several quality measures, overtime, and when excluding randomized trials. The cumulative rate of progression to high-grade dysplasia/EAC was lower in RFA compared with surveillance (1.7% vs. 12.6%, P&lt;0.001). CONCLUSIONS: Similarly, the incidence rate of progression among patients with surveillance was significantly higher from those treated with RFA (0.022 vs. 0.005, P&lt;0.001). RFA results in a significant reduction risk of disease progression to high-grade dysplasia/EAC among patients with BE with low-grade dysplasia.","author":[{"dropping-particle":"","family":"Qumseya","given":"B J","non-dropping-particle":"","parse-names":false,"suffix":""},{"dropping-particle":"","family":"Wani","given":"S","non-dropping-particle":"","parse-names":false,"suffix":""},{"dropping-particle":"","family":"Gendy","given":"S","non-dropping-particle":"","parse-names":false,"suffix":""},{"dropping-particle":"","family":"Harnke","given":"B","non-dropping-particle":"","parse-names":false,"suffix":""},{"dropping-particle":"","family":"Bergman","given":"J J","non-dropping-particle":"","parse-names":false,"suffix":""},{"dropping-particle":"","family":"Wolfsen","given":"H","non-dropping-particle":"","parse-names":false,"suffix":""}],"container-title":"American Journal of Gastroenterology","id":"ITEM-2","issue":"6","issued":{"date-parts":[["2017"]]},"note":"Qumseya, Bashar J\rWani, Sachin\rGendy, Sherif\rHarnke, Ben\rBergman, Jacques J\rWolfsen, Herbert\reng\rMeta-Analysis\rReview\rSystematic Review\r2017/04/05 06:00\rAm J Gastroenterol. 2017 Jun;112(6):849-865. doi: 10.1038/ajg.2017.70. Epub 2017 Apr 4.","page":"849-865","title":"Disease Progression in Barrett's Low-Grade Dysplasia With Radiofrequency Ablation Compared With Surveillance: Systematic Review and Meta-Analysis","type":"article-journal","volume":"112"},"uris":["http://www.mendeley.com/documents/?uuid=efeb8d85-aa8b-33c2-ab6b-5ddec0b8c072"]}],"mendeley":{"formattedCitation":"&lt;sup&gt;[13,15]&lt;/sup&gt;","plainTextFormattedCitation":"[13,15]","previouslyFormattedCitation":"&lt;sup&gt;[13,15]&lt;/sup&gt;"},"properties":{"noteIndex":0},"schema":"https://github.com/citation-style-language/schema/raw/master/csl-citation.json"}</w:instrText>
      </w:r>
      <w:r w:rsidR="003560C4" w:rsidRPr="00312A48">
        <w:rPr>
          <w:rFonts w:ascii="Book Antiqua" w:hAnsi="Book Antiqua"/>
        </w:rPr>
        <w:fldChar w:fldCharType="separate"/>
      </w:r>
      <w:r w:rsidR="003560C4" w:rsidRPr="00312A48">
        <w:rPr>
          <w:rFonts w:ascii="Book Antiqua" w:hAnsi="Book Antiqua"/>
          <w:noProof/>
          <w:vertAlign w:val="superscript"/>
        </w:rPr>
        <w:t>[13,15]</w:t>
      </w:r>
      <w:r w:rsidR="003560C4" w:rsidRPr="00312A48">
        <w:rPr>
          <w:rFonts w:ascii="Book Antiqua" w:hAnsi="Book Antiqua"/>
        </w:rPr>
        <w:fldChar w:fldCharType="end"/>
      </w:r>
      <w:r w:rsidR="009216C7" w:rsidRPr="00312A48">
        <w:rPr>
          <w:rFonts w:ascii="Book Antiqua" w:hAnsi="Book Antiqua"/>
        </w:rPr>
        <w:t>.</w:t>
      </w:r>
      <w:r w:rsidR="008F4507" w:rsidRPr="00312A48">
        <w:rPr>
          <w:rFonts w:ascii="Book Antiqua" w:hAnsi="Book Antiqua"/>
        </w:rPr>
        <w:t xml:space="preserve"> </w:t>
      </w:r>
      <w:r w:rsidR="00442471" w:rsidRPr="00312A48">
        <w:rPr>
          <w:rFonts w:ascii="Book Antiqua" w:hAnsi="Book Antiqua"/>
        </w:rPr>
        <w:t>Furthermore, RFA is safe, tolerable, and has been shown to</w:t>
      </w:r>
      <w:r w:rsidR="00D53FBE" w:rsidRPr="00312A48">
        <w:rPr>
          <w:rFonts w:ascii="Book Antiqua" w:hAnsi="Book Antiqua"/>
        </w:rPr>
        <w:t xml:space="preserve"> have a low adverse event rate</w:t>
      </w:r>
      <w:r w:rsidR="003560C4" w:rsidRPr="00312A48">
        <w:rPr>
          <w:rFonts w:ascii="Book Antiqua" w:hAnsi="Book Antiqua"/>
        </w:rPr>
        <w:fldChar w:fldCharType="begin" w:fldLock="1"/>
      </w:r>
      <w:r w:rsidR="003560C4" w:rsidRPr="00312A48">
        <w:rPr>
          <w:rFonts w:ascii="Book Antiqua" w:hAnsi="Book Antiqua"/>
        </w:rPr>
        <w:instrText>ADDIN CSL_CITATION {"citationItems":[{"id":"ITEM-1","itemData":{"DOI":"10.1016/j.giec.2010.09.009","ISSN":"1558-1950 (Electronic)\r1052-5157 (Linking)","PMID":"21112500","abstract":"Studies in the last several years have consistently shown radiofrequency ablation (RFA) to be effective, safe, and well tolerated in the treatment of nondysplastic and dysplastic Barrett's esophagus (BE). The results found at academic medical centers have been reproduced in the community setting. RFA provides a safe and cost-effective alternative to surgery or surveillance in the management of high-grade dysplasia (HGD). RFA should be given serious consideration as first-line therapy for HGD. This article reviews the evidence behind RFA to differentiate it from other management strategies in terms of efficacy, durability, safety, tolerability, and cost-effectiveness. The role of RFA in the management of BE is described, including endoscopic resection. Future directions are identified for research that will help to better define the role of RFA in the management of BE.","author":[{"dropping-particle":"","family":"Bulsiewicz","given":"W J","non-dropping-particle":"","parse-names":false,"suffix":""},{"dropping-particle":"","family":"Shaheen","given":"N J","non-dropping-particle":"","parse-names":false,"suffix":""}],"container-title":"Gastrointestinal Endoscopy Clinics of North America","id":"ITEM-1","issue":"1","issued":{"date-parts":[["2011"]]},"note":"Bulsiewicz, William J\rShaheen, Nicholas J\reng\rReview\r2010/11/30 06:00\rGastrointest Endosc Clin N Am. 2011 Jan;21(1):95-109. doi: 10.1016/j.giec.2010.09.009.","page":"95-109","title":"The role of radiofrequency ablation in the management of Barrett's esophagus","type":"article-journal","volume":"21"},"uris":["http://www.mendeley.com/documents/?uuid=d886aaf1-81e4-3a2c-bb04-1958c04d6ce3"]}],"mendeley":{"formattedCitation":"&lt;sup&gt;[16]&lt;/sup&gt;","plainTextFormattedCitation":"[16]","previouslyFormattedCitation":"&lt;sup&gt;[16]&lt;/sup&gt;"},"properties":{"noteIndex":0},"schema":"https://github.com/citation-style-language/schema/raw/master/csl-citation.json"}</w:instrText>
      </w:r>
      <w:r w:rsidR="003560C4" w:rsidRPr="00312A48">
        <w:rPr>
          <w:rFonts w:ascii="Book Antiqua" w:hAnsi="Book Antiqua"/>
        </w:rPr>
        <w:fldChar w:fldCharType="separate"/>
      </w:r>
      <w:r w:rsidR="003560C4" w:rsidRPr="00312A48">
        <w:rPr>
          <w:rFonts w:ascii="Book Antiqua" w:hAnsi="Book Antiqua"/>
          <w:noProof/>
          <w:vertAlign w:val="superscript"/>
        </w:rPr>
        <w:t>[16]</w:t>
      </w:r>
      <w:r w:rsidR="003560C4" w:rsidRPr="00312A48">
        <w:rPr>
          <w:rFonts w:ascii="Book Antiqua" w:hAnsi="Book Antiqua"/>
        </w:rPr>
        <w:fldChar w:fldCharType="end"/>
      </w:r>
      <w:r w:rsidR="009216C7" w:rsidRPr="00312A48">
        <w:rPr>
          <w:rFonts w:ascii="Book Antiqua" w:hAnsi="Book Antiqua"/>
        </w:rPr>
        <w:t>.</w:t>
      </w:r>
      <w:r w:rsidR="00330241" w:rsidRPr="00312A48">
        <w:rPr>
          <w:rFonts w:ascii="Book Antiqua" w:hAnsi="Book Antiqua"/>
        </w:rPr>
        <w:t xml:space="preserve"> </w:t>
      </w:r>
      <w:r w:rsidR="0052326A" w:rsidRPr="00312A48">
        <w:rPr>
          <w:rFonts w:ascii="Book Antiqua" w:hAnsi="Book Antiqua"/>
        </w:rPr>
        <w:t>A 2016 meta-analysis showed that the overall adverse event rate was 8.8%, with the most common event being stricture formation (5.6%). Post-procedure pain occurred in 3.7% of patients</w:t>
      </w:r>
      <w:r w:rsidR="003560C4" w:rsidRPr="00312A48">
        <w:rPr>
          <w:rFonts w:ascii="Book Antiqua" w:hAnsi="Book Antiqua"/>
        </w:rPr>
        <w:fldChar w:fldCharType="begin" w:fldLock="1"/>
      </w:r>
      <w:r w:rsidR="003560C4" w:rsidRPr="00312A48">
        <w:rPr>
          <w:rFonts w:ascii="Book Antiqua" w:hAnsi="Book Antiqua"/>
        </w:rPr>
        <w:instrText>ADDIN CSL_CITATION {"citationItems":[{"id":"ITEM-1","itemData":{"DOI":"10.1016/j.cgh.2016.04.001","ISSN":"1542-7714 (Electronic)\r1542-3565 (Linking)","PMID":"27068041","abstract":"BACKGROUND &amp; AIMS: Radiofrequency ablation (RFA) with or without endoscopic mucosal resection (EMR) is routinely used for treatment of Barrett's esophagus with dysplasia. Despite the relative safety of this method, there have been imprecise estimates of the rate of adverse events. We performed a systematic review and meta-analysis to assess the rate of adverse events associated with RFA with and without EMR. METHODS: We searched MEDLINE, Embase, Web of Science, and Cochrane Central through October 22, 2014. The primary outcome of interest was the overall rate of adverse events after RFA with or without EMR. We used forest plots to contrast effect sizes among studies. RESULTS: Of 1521 articles assessed, 37 met our inclusion criteria (comprising 9200 patients). The pooled rate of all adverse events from RFA with or without EMR was 8.8% (95% confidence interval [CI], 6.5%-11.9%); 5.6% of patients developed strictures (95% CI, 4.2%-7.4%), 1% had bleeding (95% CI, 0.8%-1.3%), and 0.6% developed a perforation (95% CI, 0.4%-0.9%). In studies that compared RFA with vs without EMR, the relative risk for adverse events was significantly higher for RFA with EMR (4.4) (P = .015). There was a trend toward higher proportions of adverse events in prospective studies compared with retrospective studies (11.3% vs 7.8%, P = .20). Other factors associated with adverse events included Barrett's esophagus and length and baseline histology. CONCLUSIONS: In a systematic review and meta-analysis, we found the relative risk for adverse events from RFA to be about 4-fold higher with EMR than without; we identified factors associated with these events. Endoscopists should discuss these risks with patients before endoscopic eradication therapy.","author":[{"dropping-particle":"","family":"Qumseya","given":"B J","non-dropping-particle":"","parse-names":false,"suffix":""},{"dropping-particle":"","family":"Wani","given":"S","non-dropping-particle":"","parse-names":false,"suffix":""},{"dropping-particle":"","family":"Desai","given":"M","non-dropping-particle":"","parse-names":false,"suffix":""},{"dropping-particle":"","family":"Qumseya","given":"A","non-dropping-particle":"","parse-names":false,"suffix":""},{"dropping-particle":"","family":"Bain","given":"P","non-dropping-particle":"","parse-names":false,"suffix":""},{"dropping-particle":"","family":"Sharma","given":"P","non-dropping-particle":"","parse-names":false,"suffix":""},{"dropping-particle":"","family":"Wolfsen","given":"H","non-dropping-particle":"","parse-names":false,"suffix":""}],"container-title":"Clinical Gastroenterology and Hepatology","id":"ITEM-1","issue":"8","issued":{"date-parts":[["2016"]]},"note":"Qumseya, Bashar J\rWani, Sachin\rDesai, Madhav\rQumseya, Amira\rBain, Paul\rSharma, Prateek\rWolfsen, Herbert\reng\rMeta-Analysis\rReview\rSystematic Review\r2016/04/14 06:00\rClin Gastroenterol Hepatol. 2016 Aug;14(8):1086-1095.e6. doi: 10.1016/j.cgh.2016.04.001. Epub 2016 Apr 9.","page":"1086-1095 e6","title":"Adverse Events After Radiofrequency Ablation in Patients With Barrett's Esophagus: A Systematic Review and Meta-analysis","type":"article-journal","volume":"14"},"uris":["http://www.mendeley.com/documents/?uuid=45985496-840f-34ff-a71e-a111847f759c"]}],"mendeley":{"formattedCitation":"&lt;sup&gt;[17]&lt;/sup&gt;","plainTextFormattedCitation":"[17]","previouslyFormattedCitation":"&lt;sup&gt;[17]&lt;/sup&gt;"},"properties":{"noteIndex":0},"schema":"https://github.com/citation-style-language/schema/raw/master/csl-citation.json"}</w:instrText>
      </w:r>
      <w:r w:rsidR="003560C4" w:rsidRPr="00312A48">
        <w:rPr>
          <w:rFonts w:ascii="Book Antiqua" w:hAnsi="Book Antiqua"/>
        </w:rPr>
        <w:fldChar w:fldCharType="separate"/>
      </w:r>
      <w:r w:rsidR="003560C4" w:rsidRPr="00312A48">
        <w:rPr>
          <w:rFonts w:ascii="Book Antiqua" w:hAnsi="Book Antiqua"/>
          <w:noProof/>
          <w:vertAlign w:val="superscript"/>
        </w:rPr>
        <w:t>[17]</w:t>
      </w:r>
      <w:r w:rsidR="003560C4" w:rsidRPr="00312A48">
        <w:rPr>
          <w:rFonts w:ascii="Book Antiqua" w:hAnsi="Book Antiqua"/>
        </w:rPr>
        <w:fldChar w:fldCharType="end"/>
      </w:r>
      <w:r w:rsidR="009216C7" w:rsidRPr="00312A48">
        <w:rPr>
          <w:rFonts w:ascii="Book Antiqua" w:hAnsi="Book Antiqua"/>
        </w:rPr>
        <w:t>.</w:t>
      </w:r>
      <w:r w:rsidR="00330241" w:rsidRPr="00312A48">
        <w:rPr>
          <w:rFonts w:ascii="Book Antiqua" w:hAnsi="Book Antiqua"/>
        </w:rPr>
        <w:t xml:space="preserve"> </w:t>
      </w:r>
      <w:r w:rsidR="00FC0BBF" w:rsidRPr="00312A48">
        <w:rPr>
          <w:rFonts w:ascii="Book Antiqua" w:hAnsi="Book Antiqua"/>
        </w:rPr>
        <w:t>Taking all of this level 1 evidence into account, RFA has been deemed the first-line therapy for ablation of BE</w:t>
      </w:r>
      <w:r w:rsidR="003560C4" w:rsidRPr="00312A48">
        <w:rPr>
          <w:rFonts w:ascii="Book Antiqua" w:hAnsi="Book Antiqua"/>
        </w:rPr>
        <w:fldChar w:fldCharType="begin" w:fldLock="1"/>
      </w:r>
      <w:r w:rsidR="003560C4" w:rsidRPr="00312A48">
        <w:rPr>
          <w:rFonts w:ascii="Book Antiqua" w:hAnsi="Book Antiqua"/>
        </w:rPr>
        <w:instrText>ADDIN CSL_CITATION {"citationItems":[{"id":"ITEM-1","itemData":{"DOI":"10.1038/ajg.2015.322","ISSN":"1572-0241 (Electronic)\r0002-9270 (Linking)","PMID":"26526079","abstract":"Barrett's esophagus (BE) is among the most common conditions encountered by the gastroenterologist. In this document, the American College of Gastroenterology updates its guidance for the best practices in caring for these patients. These guidelines continue to endorse screening of high-risk patients for BE; however, routine screening is limited to men with reflux symptoms and multiple other risk factors. Acknowledging recent data on the low risk of malignant progression in patients with nondysplastic BE, endoscopic surveillance intervals are attenuated in this population; patients with nondysplastic BE should undergo endoscopic surveillance no more frequently than every 3-5 years. Neither routine use of biomarker panels nor advanced endoscopic imaging techniques (beyond high-definition endoscopy) is recommended at this time. Endoscopic ablative therapy is recommended for patients with BE and high-grade dysplasia, as well as T1a esophageal adenocarcinoma. Based on recent level 1 evidence, endoscopic ablative therapy is also recommended for patients with BE and low-grade dysplasia, although endoscopic surveillance continues to be an acceptable alternative. Given the relatively common recurrence of BE after ablation, we suggest postablation endoscopic surveillance intervals. Although many of the recommendations provided are based on weak evidence or expert opinion, this document provides a pragmatic framework for the care of the patient with BE.","author":[{"dropping-particle":"","family":"Shaheen","given":"N J","non-dropping-particle":"","parse-names":false,"suffix":""},{"dropping-particle":"","family":"Falk","given":"G W","non-dropping-particle":"","parse-names":false,"suffix":""},{"dropping-particle":"","family":"Iyer","given":"P G","non-dropping-particle":"","parse-names":false,"suffix":""},{"dropping-particle":"","family":"Gerson","given":"L B","non-dropping-particle":"","parse-names":false,"suffix":""},{"dropping-particle":"","family":"American College of","given":"Gastroenterology","non-dropping-particle":"","parse-names":false,"suffix":""}],"container-title":"American Journal of Gastroenterology","id":"ITEM-1","issue":"1","issued":{"date-parts":[["2016"]]},"note":"Shaheen, Nicholas J\rFalk, Gary W\rIyer, Prasad G\rGerson, Lauren B\reng\rPractice Guideline\rResearch Support, Non-U.S. Gov't\r2015/11/04 06:00\rAm J Gastroenterol. 2016 Jan;111(1):30-50; quiz 51. doi: 10.1038/ajg.2015.322. Epub 2015 Nov 3.","page":"30-50; quiz 51","title":"ACG Clinical Guideline: Diagnosis and Management of Barrett's Esophagus","type":"article-journal","volume":"111"},"uris":["http://www.mendeley.com/documents/?uuid=3c23c96e-3484-38b6-bf4d-3bb763db7457"]}],"mendeley":{"formattedCitation":"&lt;sup&gt;[3]&lt;/sup&gt;","plainTextFormattedCitation":"[3]","previouslyFormattedCitation":"&lt;sup&gt;[3]&lt;/sup&gt;"},"properties":{"noteIndex":0},"schema":"https://github.com/citation-style-language/schema/raw/master/csl-citation.json"}</w:instrText>
      </w:r>
      <w:r w:rsidR="003560C4" w:rsidRPr="00312A48">
        <w:rPr>
          <w:rFonts w:ascii="Book Antiqua" w:hAnsi="Book Antiqua"/>
        </w:rPr>
        <w:fldChar w:fldCharType="separate"/>
      </w:r>
      <w:r w:rsidR="003560C4" w:rsidRPr="00312A48">
        <w:rPr>
          <w:rFonts w:ascii="Book Antiqua" w:hAnsi="Book Antiqua"/>
          <w:noProof/>
          <w:vertAlign w:val="superscript"/>
        </w:rPr>
        <w:t>[3]</w:t>
      </w:r>
      <w:r w:rsidR="003560C4" w:rsidRPr="00312A48">
        <w:rPr>
          <w:rFonts w:ascii="Book Antiqua" w:hAnsi="Book Antiqua"/>
        </w:rPr>
        <w:fldChar w:fldCharType="end"/>
      </w:r>
      <w:r w:rsidR="009216C7" w:rsidRPr="00312A48">
        <w:rPr>
          <w:rFonts w:ascii="Book Antiqua" w:hAnsi="Book Antiqua"/>
        </w:rPr>
        <w:t>.</w:t>
      </w:r>
    </w:p>
    <w:p w14:paraId="4EBDEB2A" w14:textId="73EEEC44" w:rsidR="00FC0BBF" w:rsidRPr="00312A48" w:rsidRDefault="00FC0BBF" w:rsidP="00312A48">
      <w:pPr>
        <w:snapToGrid w:val="0"/>
        <w:spacing w:line="360" w:lineRule="auto"/>
        <w:ind w:firstLineChars="100" w:firstLine="240"/>
        <w:jc w:val="both"/>
        <w:rPr>
          <w:rFonts w:ascii="Book Antiqua" w:hAnsi="Book Antiqua"/>
        </w:rPr>
      </w:pPr>
      <w:r w:rsidRPr="00312A48">
        <w:rPr>
          <w:rFonts w:ascii="Book Antiqua" w:hAnsi="Book Antiqua"/>
        </w:rPr>
        <w:t xml:space="preserve">Despite </w:t>
      </w:r>
      <w:r w:rsidR="00296F79" w:rsidRPr="00312A48">
        <w:rPr>
          <w:rFonts w:ascii="Book Antiqua" w:hAnsi="Book Antiqua"/>
        </w:rPr>
        <w:t>RFA’s great success</w:t>
      </w:r>
      <w:r w:rsidRPr="00312A48">
        <w:rPr>
          <w:rFonts w:ascii="Book Antiqua" w:hAnsi="Book Antiqua"/>
        </w:rPr>
        <w:t>, however, there is a</w:t>
      </w:r>
      <w:r w:rsidR="00EC124E" w:rsidRPr="00312A48">
        <w:rPr>
          <w:rFonts w:ascii="Book Antiqua" w:hAnsi="Book Antiqua"/>
        </w:rPr>
        <w:t xml:space="preserve"> </w:t>
      </w:r>
      <w:r w:rsidRPr="00312A48">
        <w:rPr>
          <w:rFonts w:ascii="Book Antiqua" w:hAnsi="Book Antiqua"/>
        </w:rPr>
        <w:t xml:space="preserve">subset of patients in whom </w:t>
      </w:r>
      <w:r w:rsidR="00017989" w:rsidRPr="00312A48">
        <w:rPr>
          <w:rFonts w:ascii="Book Antiqua" w:hAnsi="Book Antiqua"/>
        </w:rPr>
        <w:t xml:space="preserve">complete eradication of intestinal metaplasia (CE-IM) </w:t>
      </w:r>
      <w:r w:rsidR="002238E3" w:rsidRPr="00312A48">
        <w:rPr>
          <w:rFonts w:ascii="Book Antiqua" w:hAnsi="Book Antiqua"/>
        </w:rPr>
        <w:t>cannot</w:t>
      </w:r>
      <w:r w:rsidR="00017989" w:rsidRPr="00312A48">
        <w:rPr>
          <w:rFonts w:ascii="Book Antiqua" w:hAnsi="Book Antiqua"/>
        </w:rPr>
        <w:t xml:space="preserve"> be </w:t>
      </w:r>
      <w:r w:rsidR="00330241" w:rsidRPr="00312A48">
        <w:rPr>
          <w:rFonts w:ascii="Book Antiqua" w:hAnsi="Book Antiqua"/>
        </w:rPr>
        <w:t>achieved</w:t>
      </w:r>
      <w:r w:rsidR="00DB1081" w:rsidRPr="00312A48">
        <w:rPr>
          <w:rFonts w:ascii="Book Antiqua" w:hAnsi="Book Antiqua"/>
        </w:rPr>
        <w:t>.</w:t>
      </w:r>
      <w:r w:rsidR="00B93332" w:rsidRPr="00312A48">
        <w:rPr>
          <w:rFonts w:ascii="Book Antiqua" w:hAnsi="Book Antiqua"/>
        </w:rPr>
        <w:t xml:space="preserve"> </w:t>
      </w:r>
      <w:r w:rsidR="00017989" w:rsidRPr="00312A48">
        <w:rPr>
          <w:rFonts w:ascii="Book Antiqua" w:hAnsi="Book Antiqua"/>
        </w:rPr>
        <w:t>A meta-analysis of 18 studies showed the pooled CE-IM rate to be 78%</w:t>
      </w:r>
      <w:r w:rsidR="003560C4" w:rsidRPr="00312A48">
        <w:rPr>
          <w:rFonts w:ascii="Book Antiqua" w:hAnsi="Book Antiqua"/>
        </w:rPr>
        <w:fldChar w:fldCharType="begin" w:fldLock="1"/>
      </w:r>
      <w:r w:rsidR="003560C4" w:rsidRPr="00312A48">
        <w:rPr>
          <w:rFonts w:ascii="Book Antiqua" w:hAnsi="Book Antiqua"/>
        </w:rPr>
        <w:instrText>ADDIN CSL_CITATION {"citationItems":[{"id":"ITEM-1","itemData":{"DOI":"10.1016/j.cgh.2013.03.039","ISSN":"1542-7714 (Electronic)\r1542-3565 (Linking)","PMID":"23644385","abstract":"BACKGROUND &amp; AIMS: In patients with Barrett's esophagus (BE), radiofrequency ablation (RFA) safely and effectively eradicates dysplasia and intestinal metaplasia. We aimed to determine the efficacy and durability of RFA for patients with dysplastic and nondysplastic BE. METHODS: We performed a systematic review and meta-analysis of studies identified in PubMed and EMBASE that reported the proportion of patients treated with RFA who had complete eradication of dysplasia (CE-D) and intestinal metaplasia (CE-IM), and the proportion of patients with recurrent IM after successful treatment. Pooled estimates of CE-D, CE-IM, IM recurrence, and adverse events were calculated. RESULTS: We identified 18 studies of 3802 patients reporting efficacy and 6 studies of 540 patients reporting durability. Ten were prospective cohort studies, 9 were retrospective cohort studies, and 1 was a randomized trial. CE-IM was achieved in 78% of patients (95% confidence interval [CI], 70%-86%) and CE-D was achieved in 91% (95% CI, 87%-95%). After eradication, IM recurred in 13% (95% CI, 9%-18%). Progression to cancer occurred in 0.2% of patients during treatment and in 0.7% of those after CE-IM. Esophageal stricture was the most common adverse event and was reported in 5% of patients (95% CI, 3%-7%). Confidence in most summary estimates was limited by a high degree of heterogeneity, which did not appear to be caused by single outlier studies. CONCLUSIONS: Treatment of BE with RFA results in CE-D and CE-IM in a high proportion of patients, with few recurrences of IM after treatment and a low rate of adverse events. Despite the large amount of study heterogeneity, these data provide additional information for patients and providers to make informed treatment decisions.","author":[{"dropping-particle":"","family":"Orman","given":"E S","non-dropping-particle":"","parse-names":false,"suffix":""},{"dropping-particle":"","family":"Li","given":"N","non-dropping-particle":"","parse-names":false,"suffix":""},{"dropping-particle":"","family":"Shaheen","given":"N J","non-dropping-particle":"","parse-names":false,"suffix":""}],"container-title":"Clinical Gastroenterology and Hepatology","id":"ITEM-1","issue":"10","issued":{"date-parts":[["2013"]]},"note":"Orman, Eric S\rLi, Nan\rShaheen, Nicholas J\reng\rP30 DK034987/DK/NIDDK NIH HHS/\rT32 DK007634/DK/NIDDK NIH HHS/\rU54 CA156733/CA/NCI NIH HHS/\rU54 CA163060/CA/NCI NIH HHS/\rMeta-Analysis\rReview\rSystematic Review\r2013/05/07 06:00\rClin Gastroenterol Hepatol. 2013 Oct;11(10):1245-55. doi: 10.1016/j.cgh.2013.03.039. Epub 2013 May 2.","page":"1245-1255","title":"Efficacy and durability of radiofrequency ablation for Barrett's Esophagus: systematic review and meta-analysis","type":"article-journal","volume":"11"},"uris":["http://www.mendeley.com/documents/?uuid=bd04b089-a898-3bd6-b537-279127b8e379"]}],"mendeley":{"formattedCitation":"&lt;sup&gt;[13]&lt;/sup&gt;","plainTextFormattedCitation":"[13]","previouslyFormattedCitation":"&lt;sup&gt;[13]&lt;/sup&gt;"},"properties":{"noteIndex":0},"schema":"https://github.com/citation-style-language/schema/raw/master/csl-citation.json"}</w:instrText>
      </w:r>
      <w:r w:rsidR="003560C4" w:rsidRPr="00312A48">
        <w:rPr>
          <w:rFonts w:ascii="Book Antiqua" w:hAnsi="Book Antiqua"/>
        </w:rPr>
        <w:fldChar w:fldCharType="separate"/>
      </w:r>
      <w:r w:rsidR="003560C4" w:rsidRPr="00312A48">
        <w:rPr>
          <w:rFonts w:ascii="Book Antiqua" w:hAnsi="Book Antiqua"/>
          <w:noProof/>
          <w:vertAlign w:val="superscript"/>
        </w:rPr>
        <w:t>[13]</w:t>
      </w:r>
      <w:r w:rsidR="003560C4" w:rsidRPr="00312A48">
        <w:rPr>
          <w:rFonts w:ascii="Book Antiqua" w:hAnsi="Book Antiqua"/>
        </w:rPr>
        <w:fldChar w:fldCharType="end"/>
      </w:r>
      <w:r w:rsidR="009216C7" w:rsidRPr="00312A48">
        <w:rPr>
          <w:rFonts w:ascii="Book Antiqua" w:hAnsi="Book Antiqua"/>
        </w:rPr>
        <w:t>.</w:t>
      </w:r>
      <w:r w:rsidR="00330241" w:rsidRPr="00312A48">
        <w:rPr>
          <w:rFonts w:ascii="Book Antiqua" w:hAnsi="Book Antiqua"/>
        </w:rPr>
        <w:t xml:space="preserve"> </w:t>
      </w:r>
      <w:r w:rsidR="00DB1081" w:rsidRPr="00312A48">
        <w:rPr>
          <w:rFonts w:ascii="Book Antiqua" w:hAnsi="Book Antiqua"/>
        </w:rPr>
        <w:t>Several factors have been implicated in the failure of RFA to eradicate Barrett’s dysplasia and metaplas</w:t>
      </w:r>
      <w:r w:rsidR="00296F79" w:rsidRPr="00312A48">
        <w:rPr>
          <w:rFonts w:ascii="Book Antiqua" w:hAnsi="Book Antiqua"/>
        </w:rPr>
        <w:t xml:space="preserve">ia. </w:t>
      </w:r>
      <w:r w:rsidR="00DB1081" w:rsidRPr="00312A48">
        <w:rPr>
          <w:rFonts w:ascii="Book Antiqua" w:hAnsi="Book Antiqua"/>
        </w:rPr>
        <w:t xml:space="preserve">A multi-center prospective trial in 2013 </w:t>
      </w:r>
      <w:r w:rsidR="00296F79" w:rsidRPr="00312A48">
        <w:rPr>
          <w:rFonts w:ascii="Book Antiqua" w:hAnsi="Book Antiqua"/>
        </w:rPr>
        <w:t xml:space="preserve">identified active reflux esophagitis, endoscopic resection scar regeneration with Barrett’s epithelium, </w:t>
      </w:r>
      <w:r w:rsidR="00296F79" w:rsidRPr="00312A48">
        <w:rPr>
          <w:rFonts w:ascii="Book Antiqua" w:hAnsi="Book Antiqua"/>
        </w:rPr>
        <w:lastRenderedPageBreak/>
        <w:t>narrow pre-RFA esophageal diameters, and longer years of dysplasia presence to be independent predictors for poor response</w:t>
      </w:r>
      <w:r w:rsidR="00EC124E" w:rsidRPr="00312A48">
        <w:rPr>
          <w:rFonts w:ascii="Book Antiqua" w:hAnsi="Book Antiqua"/>
        </w:rPr>
        <w:t xml:space="preserve"> to RFA</w:t>
      </w:r>
      <w:r w:rsidR="003560C4" w:rsidRPr="00312A48">
        <w:rPr>
          <w:rFonts w:ascii="Book Antiqua" w:hAnsi="Book Antiqua"/>
        </w:rPr>
        <w:fldChar w:fldCharType="begin" w:fldLock="1"/>
      </w:r>
      <w:r w:rsidR="003560C4" w:rsidRPr="00312A48">
        <w:rPr>
          <w:rFonts w:ascii="Book Antiqua" w:hAnsi="Book Antiqua"/>
        </w:rPr>
        <w:instrText>ADDIN CSL_CITATION {"citationItems":[{"id":"ITEM-1","itemData":{"DOI":"10.1055/s-0032-1326423","ISSN":"1438-8812 (Electronic)\r0013-726X (Linking)","PMID":"23580412","abstract":"BACKGROUND AND STUDY AIMS: Radiofrequency ablation (RFA) is safe and effective for the eradication of neoplastic Barrett's esophagus; however, occasionally there is minimal regression after initial circumferential balloon-based RFA (c-RFA). This study aimed to identify predictive factors for a poor response 3 months after c-RFA, and to relate the percentage regression at 3 months to the final treatment outcome. METHODS: We included consecutive patients from 14 centers who underwent c-RFA for high grade dysplasia at worst. Patient and treatment characteristics were registered prospectively. \"Poor initial response\" was defined as &lt; 50 % regression of the Barrett's esophagus 3 months after c-RFA, graded by two expert endoscopists using endoscopic images. Predictors of initial response were identified through logistic regression analysis. RESULTS: There were 278 patients included (median Barrett's segment C4M6). In poor initial responders (n = 36; 13 %), complete response for neoplasia (CR-neoplasia) was ultimately achieved in 86 % (vs. 98 % in good responders; P &lt; 0.01) and complete response for intestinal metaplasia (CR-IM) in 66 % (vs. 95 %; P &lt; 0.01). Poor responders required 13 months treatment (vs. 7 months; P &lt; 0.01) for a median of four RFA sessions (vs. three; P &lt; 0.01). We identified four independent baseline predictors of poor response: active reflux esophagitis (odds ratio [OR] 37.4; 95 % confidence interval [CI] 3.2 - 433.2); endoscopic resection scar regeneration with Barrett's epithelium (OR 4.7; 95 %CI 1.1 - 20.0); esophageal narrowing pre-RFA (OR 3.9; 95 %CI 1.0 - 15.1); and years of neoplasia pre-RFA (OR 1.2; 95 %CI 1.0 - 1.4). CONCLUSIONS: Patients with a poor initial response to c-RFA have a lower ultimate success rate for CR-neoplasia/CR-IM, require more treatment sessions, and a longer treatment period. A poor initial response to c-RFA occurs more frequently in patients who regenerate their endoscopic resection scar with Barrett's epithelium, and those with ongoing reflux esophagitis, neoplasia in Barrett's esophagus for a longer time, or a narrow esophagus.","author":[{"dropping-particle":"","family":"Vilsteren","given":"F G","non-dropping-particle":"van","parse-names":false,"suffix":""},{"dropping-particle":"","family":"Alvarez Herrero","given":"L","non-dropping-particle":"","parse-names":false,"suffix":""},{"dropping-particle":"","family":"Pouw","given":"R E","non-dropping-particle":"","parse-names":false,"suffix":""},{"dropping-particle":"","family":"Schrijnders","given":"D","non-dropping-particle":"","parse-names":false,"suffix":""},{"dropping-particle":"","family":"Sondermeijer","given":"C M","non-dropping-particle":"","parse-names":false,"suffix":""},{"dropping-particle":"","family":"Bisschops","given":"R","non-dropping-particle":"","parse-names":false,"suffix":""},{"dropping-particle":"","family":"Esteban","given":"J M","non-dropping-particle":"","parse-names":false,"suffix":""},{"dropping-particle":"","family":"Meining","given":"A","non-dropping-particle":"","parse-names":false,"suffix":""},{"dropping-particle":"","family":"Neuhaus","given":"H","non-dropping-particle":"","parse-names":false,"suffix":""},{"dropping-particle":"","family":"Parra-Blanco","given":"A","non-dropping-particle":"","parse-names":false,"suffix":""},{"dropping-particle":"","family":"Pech","given":"O","non-dropping-particle":"","parse-names":false,"suffix":""},{"dropping-particle":"","family":"Ragunath","given":"K","non-dropping-particle":"","parse-names":false,"suffix":""},{"dropping-particle":"","family":"Rembacken","given":"B","non-dropping-particle":"","parse-names":false,"suffix":""},{"dropping-particle":"","family":"Schenk","given":"B E","non-dropping-particle":"","parse-names":false,"suffix":""},{"dropping-particle":"","family":"Visser","given":"M","non-dropping-particle":"","parse-names":false,"suffix":""},{"dropping-particle":"","family":"Kate","given":"F J","non-dropping-particle":"ten","parse-names":false,"suffix":""},{"dropping-particle":"","family":"Meijer","given":"S L","non-dropping-particle":"","parse-names":false,"suffix":""},{"dropping-particle":"","family":"Reitsma","given":"J B","non-dropping-particle":"","parse-names":false,"suffix":""},{"dropping-particle":"","family":"Weusten","given":"B L","non-dropping-particle":"","parse-names":false,"suffix":""},{"dropping-particle":"","family":"Schoon","given":"E J","non-dropping-particle":"","parse-names":false,"suffix":""},{"dropping-particle":"","family":"Bergman","given":"J J","non-dropping-particle":"","parse-names":false,"suffix":""}],"container-title":"Endoscopy","id":"ITEM-1","issue":"7","issued":{"date-parts":[["2013"]]},"note":"van Vilsteren, F G I\rAlvarez Herrero, L\rPouw, R E\rSchrijnders, D\rSondermeijer, C M T\rBisschops, R\rEsteban, J M\rMeining, A\rNeuhaus, H\rParra-Blanco, A\rPech, O\rRagunath, K\rRembacken, B\rSchenk, B E\rVisser, M\rten Kate, F J W\rMeijer, S L\rReitsma, J B\rWeusten, B L A M\rSchoon, E J\rBergman, J J G H M\reng\rClinical Trial\rMulticenter Study\rGermany\r2013/04/13 06:00\rEndoscopy. 2013 Jul;45(7):516-25. doi: 10.1055/s-0032-1326423. Epub 2013 Apr 11.","page":"516-525","title":"Predictive factors for initial treatment response after circumferential radiofrequency ablation for Barrett's esophagus with early neoplasia: a prospective multicenter study","type":"article-journal","volume":"45"},"uris":["http://www.mendeley.com/documents/?uuid=447aba85-19d7-31d0-b73d-5f6aeb7b407f"]}],"mendeley":{"formattedCitation":"&lt;sup&gt;[18]&lt;/sup&gt;","plainTextFormattedCitation":"[18]","previouslyFormattedCitation":"&lt;sup&gt;[18]&lt;/sup&gt;"},"properties":{"noteIndex":0},"schema":"https://github.com/citation-style-language/schema/raw/master/csl-citation.json"}</w:instrText>
      </w:r>
      <w:r w:rsidR="003560C4" w:rsidRPr="00312A48">
        <w:rPr>
          <w:rFonts w:ascii="Book Antiqua" w:hAnsi="Book Antiqua"/>
        </w:rPr>
        <w:fldChar w:fldCharType="separate"/>
      </w:r>
      <w:r w:rsidR="003560C4" w:rsidRPr="00312A48">
        <w:rPr>
          <w:rFonts w:ascii="Book Antiqua" w:hAnsi="Book Antiqua"/>
          <w:noProof/>
          <w:vertAlign w:val="superscript"/>
        </w:rPr>
        <w:t>[18]</w:t>
      </w:r>
      <w:r w:rsidR="003560C4" w:rsidRPr="00312A48">
        <w:rPr>
          <w:rFonts w:ascii="Book Antiqua" w:hAnsi="Book Antiqua"/>
        </w:rPr>
        <w:fldChar w:fldCharType="end"/>
      </w:r>
      <w:r w:rsidR="009216C7" w:rsidRPr="00312A48">
        <w:rPr>
          <w:rFonts w:ascii="Book Antiqua" w:hAnsi="Book Antiqua"/>
        </w:rPr>
        <w:t>.</w:t>
      </w:r>
      <w:r w:rsidR="00B93332" w:rsidRPr="00312A48">
        <w:rPr>
          <w:rFonts w:ascii="Book Antiqua" w:hAnsi="Book Antiqua"/>
        </w:rPr>
        <w:t xml:space="preserve"> </w:t>
      </w:r>
      <w:r w:rsidR="00296F79" w:rsidRPr="00312A48">
        <w:rPr>
          <w:rFonts w:ascii="Book Antiqua" w:hAnsi="Book Antiqua"/>
        </w:rPr>
        <w:t xml:space="preserve">Additionally, </w:t>
      </w:r>
      <w:r w:rsidR="001B02D3" w:rsidRPr="00312A48">
        <w:rPr>
          <w:rFonts w:ascii="Book Antiqua" w:hAnsi="Book Antiqua"/>
        </w:rPr>
        <w:t xml:space="preserve">the presence of a </w:t>
      </w:r>
      <w:r w:rsidR="00EC124E" w:rsidRPr="00312A48">
        <w:rPr>
          <w:rFonts w:ascii="Book Antiqua" w:hAnsi="Book Antiqua"/>
        </w:rPr>
        <w:t>hiatal hernia, advanced patient age, longer segments of BE, and incomplete mucosal healing on subsequent endoscopy were found to also contribute to incomplete eradication of dysplasia and metaplasia after RFA</w:t>
      </w:r>
      <w:r w:rsidR="003560C4" w:rsidRPr="00312A48">
        <w:rPr>
          <w:rFonts w:ascii="Book Antiqua" w:hAnsi="Book Antiqua"/>
        </w:rPr>
        <w:fldChar w:fldCharType="begin" w:fldLock="1"/>
      </w:r>
      <w:r w:rsidR="003560C4" w:rsidRPr="00312A48">
        <w:rPr>
          <w:rFonts w:ascii="Book Antiqua" w:hAnsi="Book Antiqua"/>
        </w:rPr>
        <w:instrText>ADDIN CSL_CITATION {"citationItems":[{"id":"ITEM-1","itemData":{"DOI":"10.1053/j.gastro.2013.03.008","ISSN":"1528-0012 (Electronic)\r0016-5085 (Linking)","PMID":"23499759","abstract":"BACKGROUND &amp; AIMS: Radiofrequency ablation (RFA) is an established treatment for dysplastic Barrett's esophagus (BE). Although short-term end points of ablation have been ascertained, there have been concerns about recurrence of intestinal metaplasia (IM) after ablation. We aimed to estimate the incidence and identify factors that predicted the recurrence of IM after successful RFA. METHODS: We analyzed data from 592 patients with BE treated with RFA from 2003 through 2011 at 3 tertiary referral centers. Complete remission of intestinal metaplasia (CRIM) was defined as eradication of IM (in esophageal and gastroesophageal junction biopsy specimens), documented by 2 consecutive endoscopies. Recurrence was defined as the presence of IM or dysplasia after CRIM in surveillance biopsies. Two experienced gastrointestinal pathologists confirmed pathology findings. RESULTS: Based on histology analysis, before RFA, 71% of patients had high-grade dysplasia or esophageal adenocarcinoma, 15% had low-grade dysplasia, and 14% had nondysplastic BE. Of patients treated, 448 (76%) were assessed after RFA. Fifty-five percent of patients underwent endoscopic mucosal resection before RFA. The median time to CRIM was 22 months, with 56% of patients in CRIM by 24 months. Increasing age and length of BE segment were associated with longer times to CRIM. Twenty-four months after CRIM, the incidence of recurrence was 33%; 22% of all recurrences observed were dysplastic BE. There were no demographic or endoscopic factors associated with recurrence. Complications developed in 6.5% of subjects treated with RFA; strictures were the most common complication. CONCLUSIONS: Of patients with BE treated by RFA, 56% were in complete remission after 24 months. However, 33% of these patients had disease recurrence within the next 2 years. Most recurrences were nondysplastic and endoscopically manageable, but continued surveillance after RFA is essential.","author":[{"dropping-particle":"","family":"Gupta","given":"M","non-dropping-particle":"","parse-names":false,"suffix":""},{"dropping-particle":"","family":"Iyer","given":"P G","non-dropping-particle":"","parse-names":false,"suffix":""},{"dropping-particle":"","family":"Lutzke","given":"L","non-dropping-particle":"","parse-names":false,"suffix":""},{"dropping-particle":"","family":"Gorospe","given":"E C","non-dropping-particle":"","parse-names":false,"suffix":""},{"dropping-particle":"","family":"Abrams","given":"J A","non-dropping-particle":"","parse-names":false,"suffix":""},{"dropping-particle":"","family":"Falk","given":"G W","non-dropping-particle":"","parse-names":false,"suffix":""},{"dropping-particle":"","family":"Ginsberg","given":"G G","non-dropping-particle":"","parse-names":false,"suffix":""},{"dropping-particle":"","family":"Rustgi","given":"A K","non-dropping-particle":"","parse-names":false,"suffix":""},{"dropping-particle":"","family":"Lightdale","given":"C J","non-dropping-particle":"","parse-names":false,"suffix":""},{"dropping-particle":"","family":"Wang","given":"T C","non-dropping-particle":"","parse-names":false,"suffix":""},{"dropping-particle":"","family":"Fudman","given":"D I","non-dropping-particle":"","parse-names":false,"suffix":""},{"dropping-particle":"","family":"Poneros","given":"J M","non-dropping-particle":"","parse-names":false,"suffix":""},{"dropping-particle":"","family":"Wang","given":"K K","non-dropping-particle":"","parse-names":false,"suffix":""}],"container-title":"Gastroenterology","id":"ITEM-1","issue":"1","issued":{"date-parts":[["2013"]]},"note":"Gupta, Milli\rIyer, Prasad G\rLutzke, Lori\rGorospe, Emmanuel C\rAbrams, Julian A\rFalk, Gary W\rGinsberg, Gregory G\rRustgi, Anil K\rLightdale, Charles J\rWang, Timothy C\rFudman, David I\rPoneros, John M\rWang, Kenneth K\reng\rK07 CA132892/CA/NCI NIH HHS/\rU54 CA163004/CA/NCI NIH HHS/\r1U54CA163004-01/CA/NCI NIH HHS/\rMulticenter Study\rResearch Support, N.I.H., Extramural\r2013/03/19 06:00\rGastroenterology. 2013 Jul;145(1):79-86.e1. doi: 10.1053/j.gastro.2013.03.008. Epub 2013 Mar 15.","page":"79-86 e1","title":"Recurrence of esophageal intestinal metaplasia after endoscopic mucosal resection and radiofrequency ablation of Barrett's esophagus: results from a US Multicenter Consortium","type":"article-journal","volume":"145"},"uris":["http://www.mendeley.com/documents/?uuid=54a739c2-9bc4-3cab-803c-8c0842bc8802"]},{"id":"ITEM-2","itemData":{"DOI":"10.1016/j.cgh.2012.10.028","ISSN":"1542-7714 (Electronic)\r1542-3565 (Linking)","PMID":"23103824","abstract":"BACKGROUND &amp; AIMS: The goal of radiofrequency ablation (RFA) for patients with Barrett's esophagus (BE) is to eliminate dysplasia and metaplasia. The efficacy and safety of RFA for patients with BE and neoplasia are characterized incompletely. METHODS: We performed a retrospective study of 244 patients treated with RFA for BE with dysplasia or intramucosal carcinoma. Efficacy outcomes were complete eradication of intestinal metaplasia (CEIM), complete eradication of dysplasia, total treatments, and RFA sessions. Safety outcomes included death, perforation, stricture, bleeding, and hospitalization. We identified factors associated with incomplete EIM and stricture formation. RESULTS: CEIM was achieved in 80% of patients, and complete eradication of dysplasia was achieved in 87%; disease progressed in 4 patients. A higher percentage of patients with incomplete EIM were female (40%) than those with CEIM (20%; P = .045); patients with incomplete EIM also had a longer segment of BE (5.5 vs 4.0 cm; P = .03), had incomplete healing between treatment sessions (45% vs 15%; P = 0.004), and underwent more treatment sessions (4 vs 3; P = .007). Incomplete healing was associated independently with incomplete EIM. Twenty-three patients (9.4%) had a treatment-related complication during 777 treatment sessions (3.0%), including strictures (8.2%), postprocedural hemorrhages (1.6%), and hospitalizations (1.6%). Patients who developed strictures were more likely to use nonsteroidal anti-inflammatory drugs than those without strictures (70% vs 45%; P = .04), have undergone antireflux surgery (15% vs 3%; P = .04), or had erosive esophagitis (35% vs 12%; P = .01). CONCLUSIONS: RFA is highly effective and safe for treatment of BE with dysplasia or early stage cancer. Strictures were the most common complications. Incomplete healing between treatment sessions was associated with incomplete EIM. Nonsteroidal anti-inflammatory drug use, prior antireflux surgery, and a history of erosive esophagitis predicted stricture formation.","author":[{"dropping-particle":"","family":"Bulsiewicz","given":"W J","non-dropping-particle":"","parse-names":false,"suffix":""},{"dropping-particle":"","family":"Kim","given":"H P","non-dropping-particle":"","parse-names":false,"suffix":""},{"dropping-particle":"","family":"Dellon","given":"E S","non-dropping-particle":"","parse-names":false,"suffix":""},{"dropping-particle":"","family":"Cotton","given":"C C","non-dropping-particle":"","parse-names":false,"suffix":""},{"dropping-particle":"","family":"Pasricha","given":"S","non-dropping-particle":"","parse-names":false,"suffix":""},{"dropping-particle":"","family":"Madanick","given":"R D","non-dropping-particle":"","parse-names":false,"suffix":""},{"dropping-particle":"","family":"Spacek","given":"M B","non-dropping-particle":"","parse-names":false,"suffix":""},{"dropping-particle":"","family":"Bream","given":"S E","non-dropping-particle":"","parse-names":false,"suffix":""},{"dropping-particle":"","family":"Chen","given":"X","non-dropping-particle":"","parse-names":false,"suffix":""},{"dropping-particle":"","family":"Orlando","given":"R C","non-dropping-particle":"","parse-names":false,"suffix":""},{"dropping-particle":"","family":"Shaheen","given":"N J","non-dropping-particle":"","parse-names":false,"suffix":""}],"container-title":"Clinical Gastroenterology and Hepatology","id":"ITEM-2","issue":"6","issued":{"date-parts":[["2013"]]},"note":"Bulsiewicz, William J\rKim, Hannah P\rDellon, Evan S\rCotton, Cary C\rPasricha, Sarina\rMadanick, Ryan D\rSpacek, Melissa B\rBream, Susan E\rChen, Xiaoxin\rOrlando, Roy C\rShaheen, Nicholas J\reng\rT32 DK007634/DK/NIDDK NIH HHS/\rT32 DK062666/DK/NIDDK NIH HHS/\rKL2RR025746/RR/NCRR NIH HHS/\rT32 DK07634/DK/NIDDK NIH HHS/\rResearch Support, N.I.H., Extramural\rResearch Support, Non-U.S. Gov't\r2012/10/30 06:00\rClin Gastroenterol Hepatol. 2013 Jun;11(6):636-42. doi: 10.1016/j.cgh.2012.10.028. Epub 2012 Oct 25.","page":"636-642","title":"Safety and efficacy of endoscopic mucosal therapy with radiofrequency ablation for patients with neoplastic Barrett's esophagus","type":"article-journal","volume":"11"},"uris":["http://www.mendeley.com/documents/?uuid=47ef5a1e-330f-3398-b78a-19fa94a9ce4b"]}],"mendeley":{"formattedCitation":"&lt;sup&gt;[19,20]&lt;/sup&gt;","plainTextFormattedCitation":"[19,20]","previouslyFormattedCitation":"&lt;sup&gt;[19,20]&lt;/sup&gt;"},"properties":{"noteIndex":0},"schema":"https://github.com/citation-style-language/schema/raw/master/csl-citation.json"}</w:instrText>
      </w:r>
      <w:r w:rsidR="003560C4" w:rsidRPr="00312A48">
        <w:rPr>
          <w:rFonts w:ascii="Book Antiqua" w:hAnsi="Book Antiqua"/>
        </w:rPr>
        <w:fldChar w:fldCharType="separate"/>
      </w:r>
      <w:r w:rsidR="003560C4" w:rsidRPr="00312A48">
        <w:rPr>
          <w:rFonts w:ascii="Book Antiqua" w:hAnsi="Book Antiqua"/>
          <w:noProof/>
          <w:vertAlign w:val="superscript"/>
        </w:rPr>
        <w:t>[19,20]</w:t>
      </w:r>
      <w:r w:rsidR="003560C4" w:rsidRPr="00312A48">
        <w:rPr>
          <w:rFonts w:ascii="Book Antiqua" w:hAnsi="Book Antiqua"/>
        </w:rPr>
        <w:fldChar w:fldCharType="end"/>
      </w:r>
      <w:r w:rsidR="009216C7" w:rsidRPr="00312A48">
        <w:rPr>
          <w:rFonts w:ascii="Book Antiqua" w:hAnsi="Book Antiqua"/>
        </w:rPr>
        <w:t>.</w:t>
      </w:r>
      <w:r w:rsidR="00330241" w:rsidRPr="00312A48">
        <w:rPr>
          <w:rFonts w:ascii="Book Antiqua" w:hAnsi="Book Antiqua"/>
        </w:rPr>
        <w:t xml:space="preserve"> </w:t>
      </w:r>
      <w:r w:rsidR="00270150" w:rsidRPr="00312A48">
        <w:rPr>
          <w:rFonts w:ascii="Book Antiqua" w:hAnsi="Book Antiqua"/>
        </w:rPr>
        <w:t>Finally, procedure volume for the endoscopist performing RFA was positively correlated with complete eradication of intestinal metaplasia rates</w:t>
      </w:r>
      <w:r w:rsidR="003560C4" w:rsidRPr="00312A48">
        <w:rPr>
          <w:rFonts w:ascii="Book Antiqua" w:hAnsi="Book Antiqua"/>
        </w:rPr>
        <w:fldChar w:fldCharType="begin" w:fldLock="1"/>
      </w:r>
      <w:r w:rsidR="003560C4" w:rsidRPr="00312A48">
        <w:rPr>
          <w:rFonts w:ascii="Book Antiqua" w:hAnsi="Book Antiqua"/>
        </w:rPr>
        <w:instrText>ADDIN CSL_CITATION {"citationItems":[{"id":"ITEM-1","itemData":{"DOI":"10.1016/j.gie.2014.01.007","ISSN":"1097-6779 (Electronic)\r0016-5107 (Linking)","PMID":"24565071","abstract":"BACKGROUND: Radiofrequency ablation (RFA) has become an accepted form of endoscopic treatment for Barrett's esophagus (BE), yet reported response rates are variable. There are no accepted quality measures for performing RFA, and provider-level characteristics may influence RFA outcomes. OBJECTIVE: To determine whether endoscopist RFA volume is associated with rates of complete remission of intestinal metaplasia (CRIM) after RFA in patients with BE. DESIGN: Retrospective analysis of longitudinal data. SETTING: Three tertiary-care medical centers. PATIENTS: Patients with BE treated with RFA. INTERVENTION RFA MAIN OUTCOME MEASUREMENTS: For each endoscopist, we recorded RFA volume, defined as the number of unique patients treated as well as corresponding CRIM rates. We calculated a Spearman correlation coefficient relating these 2 measures. RESULTS: We identified 417 patients with BE treated with RFA who had at least 1 post-RFA endoscopy with biopsies. A total of 73% of the cases had pretreatment histology of high-grade dysplasia or adenocarcinoma. The procedures were performed by 7 endoscopists, who had a median RFA volume of 62 patients (range 20-188). The overall CRIM rate was 75.3% (provider range 62%-88%). The correlation between endoscopist RFA volume and CRIM rate was strong and significant (rho = 0.85; P = .014). In multivariable analysis, higher RFA volume was significantly associated with CRIM (P for trend .04). LIMITATIONS: Referral setting may limit generalizability. Limited number of endoscopists analyzed. CONCLUSION: Endoscopist RFA volume correlates with rates of successful BE eradication. Further studies are required to confirm these findings and to determine whether RFA volume is a valid predictor of treatment outcomes in BE.","author":[{"dropping-particle":"","family":"Fudman","given":"D I","non-dropping-particle":"","parse-names":false,"suffix":""},{"dropping-particle":"","family":"Lightdale","given":"C J","non-dropping-particle":"","parse-names":false,"suffix":""},{"dropping-particle":"","family":"Poneros","given":"J M","non-dropping-particle":"","parse-names":false,"suffix":""},{"dropping-particle":"","family":"Ginsberg","given":"G G","non-dropping-particle":"","parse-names":false,"suffix":""},{"dropping-particle":"","family":"Falk","given":"G W","non-dropping-particle":"","parse-names":false,"suffix":""},{"dropping-particle":"","family":"Demarshall","given":"M","non-dropping-particle":"","parse-names":false,"suffix":""},{"dropping-particle":"","family":"Gupta","given":"M","non-dropping-particle":"","parse-names":false,"suffix":""},{"dropping-particle":"","family":"Iyer","given":"P G","non-dropping-particle":"","parse-names":false,"suffix":""},{"dropping-particle":"","family":"Lutzke","given":"L","non-dropping-particle":"","parse-names":false,"suffix":""},{"dropping-particle":"","family":"Wang","given":"K K","non-dropping-particle":"","parse-names":false,"suffix":""},{"dropping-particle":"","family":"Abrams","given":"J A","non-dropping-particle":"","parse-names":false,"suffix":""}],"container-title":"Gastrointestinal Endoscopy","id":"ITEM-1","issue":"1","issued":{"date-parts":[["2014"]]},"note":"Fudman, David I\rLightdale, Charles J\rPoneros, John M\rGinsberg, Gregory G\rFalk, Gary W\rDemarshall, Maureen\rGupta, Milli\rIyer, Prasad G\rLutzke, Lori\rWang, Kenneth K\rAbrams, Julian A\reng\rK07 CA132892/CA/NCI NIH HHS/\rP30 CA015083/CA/NCI NIH HHS/\rU54 CA163004/CA/NCI NIH HHS/\rEvaluation Study\rMulticenter Study\rResearch Support, N.I.H., Extramural\rVideo-Audio Media\r2014/02/26 06:00\rGastrointest Endosc. 2014 Jul;80(1):71-7. doi: 10.1016/j.gie.2014.01.007. Epub 2014 Feb 22.","page":"71-77","title":"Positive correlation between endoscopist radiofrequency ablation volume and response rates in Barrett's esophagus","type":"article-journal","volume":"80"},"uris":["http://www.mendeley.com/documents/?uuid=ca3af9ff-324f-3411-bb89-3ccafaab866e"]},{"id":"ITEM-2","itemData":{"DOI":"10.1053/j.gastro.2015.06.012","ISSN":"1528-0012 (Electronic)\r0016-5085 (Linking)","PMID":"26116806","abstract":"BACKGROUND &amp; AIMS: Complete eradication of Barrett's esophagus (BE) often requires multiple sessions of radiofrequency ablation (RFA). Little is known about the effects of case volume on the safety and efficacy of RFA or about the presence or contour of learning curves for this procedure. METHODS: We collected data from the US RFA Patient Registry (from 148 institutions) for patients who underwent RFA for BE from July 2007 to July 2011. We analyzed the effects of the number of patients treated by individual endoscopists and individual centers on safety and efficacy outcomes of RFA. Outcomes, including stricture, bleeding, hospitalization, and complete eradication of intestinal metaplasia (CEIM), were assessed using logistic regression. The effects of center and investigator experience on numbers of treatment sessions to achieve CEIM were examined using linear regression. RESULTS: After we controlled for potential confounders, we found that as the experience of endoscopists and centers increased with cases, the numbers of treatment sessions required to achieve CEIM decreased. This relationship persisted after adjusting for patient age, sex, race, length of BE, and presence of pretreatment dysplasia (P &lt; .01). Center experience was not significantly associated with overall rates of CEIM or complete eradication of dysplasia. We did not observe any learning curve with regard to risks of stricture, gastrointestinal bleeding, perforation, or hospitalization (P &gt; .05). CONCLUSIONS: Based on analysis of a large multicenter registry, efficiency of the treatment, as measured by number of sessions needed to achieve CEIM, increased with case volume, indicating a learning curve effect. This trend began to disappear after treatment of approximately 30 patients by the center or individual endoscopist. However, there was no significant association between safety or efficacy outcomes and previous case volume.","author":[{"dropping-particle":"","family":"Pasricha","given":"S","non-dropping-particle":"","parse-names":false,"suffix":""},{"dropping-particle":"","family":"Cotton","given":"C","non-dropping-particle":"","parse-names":false,"suffix":""},{"dropping-particle":"","family":"Hathorn","given":"K E","non-dropping-particle":"","parse-names":false,"suffix":""},{"dropping-particle":"","family":"Li","given":"N","non-dropping-particle":"","parse-names":false,"suffix":""},{"dropping-particle":"","family":"Bulsiewicz","given":"W J","non-dropping-particle":"","parse-names":false,"suffix":""},{"dropping-particle":"","family":"Wolf","given":"W A","non-dropping-particle":"","parse-names":false,"suffix":""},{"dropping-particle":"","family":"Muthusamy","given":"V R","non-dropping-particle":"","parse-names":false,"suffix":""},{"dropping-particle":"","family":"Komanduri","given":"S","non-dropping-particle":"","parse-names":false,"suffix":""},{"dropping-particle":"","family":"Wolfsen","given":"H C","non-dropping-particle":"","parse-names":false,"suffix":""},{"dropping-particle":"","family":"Pruitt","given":"R E","non-dropping-particle":"","parse-names":false,"suffix":""},{"dropping-particle":"","family":"Ertan","given":"A","non-dropping-particle":"","parse-names":false,"suffix":""},{"dropping-particle":"","family":"Chmielewski","given":"G W","non-dropping-particle":"","parse-names":false,"suffix":""},{"dropping-particle":"","family":"Shaheen","given":"N J","non-dropping-particle":"","parse-names":false,"suffix":""}],"container-title":"Gastroenterology","id":"ITEM-2","issue":"4","issued":{"date-parts":[["2015"]]},"note":"Pasricha, Sarina\rCotton, Cary\rHathorn, Kelly E\rLi, Nan\rBulsiewicz, William J\rWolf, W Asher\rMuthusamy, V Raman\rKomanduri, Srinadh\rWolfsen, Herbert C\rPruitt, Ron E\rErtan, Atilla\rChmielewski, Gary W\rShaheen, Nicholas J\reng\rP30 DK034987/DK/NIDDK NIH HHS/\rT32 DK07634/DK/NIDDK NIH HHS/\rK24DK100548/DK/NIDDK NIH HHS/\rP30 CA060553/CA/NCI NIH HHS/\rK24 DK100548/DK/NIDDK NIH HHS/\rT32 DK007634/DK/NIDDK NIH HHS/\rMulticenter Study\rResearch Support, N.I.H., Extramural\rResearch Support, Non-U.S. Gov't\r2015/06/28 06:00\rGastroenterology. 2015 Oct;149(4):890-6.e2. doi: 10.1053/j.gastro.2015.06.012. Epub 2015 Jun 25.","page":"890-6 e2","title":"Effects of the Learning Curve on Efficacy of Radiofrequency Ablation for Barrett's Esophagus","type":"article-journal","volume":"149"},"uris":["http://www.mendeley.com/documents/?uuid=9ad4da48-69b0-3428-be47-5d484f1ca649"]}],"mendeley":{"formattedCitation":"&lt;sup&gt;[21,22]&lt;/sup&gt;","plainTextFormattedCitation":"[21,22]","previouslyFormattedCitation":"&lt;sup&gt;[21,22]&lt;/sup&gt;"},"properties":{"noteIndex":0},"schema":"https://github.com/citation-style-language/schema/raw/master/csl-citation.json"}</w:instrText>
      </w:r>
      <w:r w:rsidR="003560C4" w:rsidRPr="00312A48">
        <w:rPr>
          <w:rFonts w:ascii="Book Antiqua" w:hAnsi="Book Antiqua"/>
        </w:rPr>
        <w:fldChar w:fldCharType="separate"/>
      </w:r>
      <w:r w:rsidR="003560C4" w:rsidRPr="00312A48">
        <w:rPr>
          <w:rFonts w:ascii="Book Antiqua" w:hAnsi="Book Antiqua"/>
          <w:noProof/>
          <w:vertAlign w:val="superscript"/>
        </w:rPr>
        <w:t>[21,22]</w:t>
      </w:r>
      <w:r w:rsidR="003560C4" w:rsidRPr="00312A48">
        <w:rPr>
          <w:rFonts w:ascii="Book Antiqua" w:hAnsi="Book Antiqua"/>
        </w:rPr>
        <w:fldChar w:fldCharType="end"/>
      </w:r>
      <w:r w:rsidR="009216C7" w:rsidRPr="00312A48">
        <w:rPr>
          <w:rFonts w:ascii="Book Antiqua" w:hAnsi="Book Antiqua"/>
        </w:rPr>
        <w:t>.</w:t>
      </w:r>
      <w:r w:rsidR="00324D0D" w:rsidRPr="00312A48">
        <w:rPr>
          <w:rFonts w:ascii="Book Antiqua" w:hAnsi="Book Antiqua"/>
        </w:rPr>
        <w:t xml:space="preserve"> </w:t>
      </w:r>
    </w:p>
    <w:p w14:paraId="2A74ACAB" w14:textId="7BFA7775" w:rsidR="00017989" w:rsidRPr="00312A48" w:rsidRDefault="00017989" w:rsidP="00312A48">
      <w:pPr>
        <w:shd w:val="clear" w:color="auto" w:fill="FFFFFF"/>
        <w:snapToGrid w:val="0"/>
        <w:spacing w:line="360" w:lineRule="auto"/>
        <w:ind w:firstLineChars="100" w:firstLine="240"/>
        <w:jc w:val="both"/>
        <w:rPr>
          <w:rFonts w:ascii="Book Antiqua" w:hAnsi="Book Antiqua"/>
        </w:rPr>
      </w:pPr>
      <w:r w:rsidRPr="00312A48">
        <w:rPr>
          <w:rFonts w:ascii="Book Antiqua" w:hAnsi="Book Antiqua" w:cs="Times New Roman"/>
        </w:rPr>
        <w:t>This review will focus on the management of patients with dysplastic Barrett’s esopha</w:t>
      </w:r>
      <w:r w:rsidR="00B93332" w:rsidRPr="00312A48">
        <w:rPr>
          <w:rFonts w:ascii="Book Antiqua" w:hAnsi="Book Antiqua" w:cs="Times New Roman"/>
        </w:rPr>
        <w:t xml:space="preserve">gus refractory to RFA therapy. </w:t>
      </w:r>
      <w:r w:rsidRPr="00312A48">
        <w:rPr>
          <w:rFonts w:ascii="Book Antiqua" w:hAnsi="Book Antiqua" w:cs="Times New Roman"/>
        </w:rPr>
        <w:t xml:space="preserve">Management strategies discussed in this review include optimizing the RFA procedure, optimizing acid suppression </w:t>
      </w:r>
      <w:r w:rsidR="00846186" w:rsidRPr="00312A48">
        <w:rPr>
          <w:rFonts w:ascii="Book Antiqua" w:hAnsi="Book Antiqua" w:cs="Times New Roman"/>
        </w:rPr>
        <w:t>(</w:t>
      </w:r>
      <w:r w:rsidRPr="00312A48">
        <w:rPr>
          <w:rFonts w:ascii="Book Antiqua" w:hAnsi="Book Antiqua" w:cs="Times New Roman"/>
        </w:rPr>
        <w:t>with medical</w:t>
      </w:r>
      <w:r w:rsidR="00846186" w:rsidRPr="00312A48">
        <w:rPr>
          <w:rFonts w:ascii="Book Antiqua" w:hAnsi="Book Antiqua" w:cs="Times New Roman"/>
        </w:rPr>
        <w:t>, endoscopic,</w:t>
      </w:r>
      <w:r w:rsidRPr="00312A48">
        <w:rPr>
          <w:rFonts w:ascii="Book Antiqua" w:hAnsi="Book Antiqua" w:cs="Times New Roman"/>
        </w:rPr>
        <w:t xml:space="preserve"> and surgical management</w:t>
      </w:r>
      <w:r w:rsidR="00846186" w:rsidRPr="00312A48">
        <w:rPr>
          <w:rFonts w:ascii="Book Antiqua" w:hAnsi="Book Antiqua" w:cs="Times New Roman"/>
        </w:rPr>
        <w:t>)</w:t>
      </w:r>
      <w:r w:rsidRPr="00312A48">
        <w:rPr>
          <w:rFonts w:ascii="Book Antiqua" w:hAnsi="Book Antiqua" w:cs="Times New Roman"/>
        </w:rPr>
        <w:t>, cryotherapy, hybrid argon plasma coagul</w:t>
      </w:r>
      <w:r w:rsidR="00B93332" w:rsidRPr="00312A48">
        <w:rPr>
          <w:rFonts w:ascii="Book Antiqua" w:hAnsi="Book Antiqua" w:cs="Times New Roman"/>
        </w:rPr>
        <w:t xml:space="preserve">ation, and </w:t>
      </w:r>
      <w:proofErr w:type="spellStart"/>
      <w:r w:rsidR="00B93332" w:rsidRPr="00312A48">
        <w:rPr>
          <w:rFonts w:ascii="Book Antiqua" w:hAnsi="Book Antiqua" w:cs="Times New Roman"/>
        </w:rPr>
        <w:t>EndoRotor</w:t>
      </w:r>
      <w:proofErr w:type="spellEnd"/>
      <w:r w:rsidR="00B93332" w:rsidRPr="00312A48">
        <w:rPr>
          <w:rFonts w:ascii="Book Antiqua" w:hAnsi="Book Antiqua" w:cs="Times New Roman"/>
        </w:rPr>
        <w:t xml:space="preserve"> resection.</w:t>
      </w:r>
    </w:p>
    <w:p w14:paraId="383250F1" w14:textId="77777777" w:rsidR="001B02D3" w:rsidRPr="00312A48" w:rsidRDefault="001B02D3" w:rsidP="00312A48">
      <w:pPr>
        <w:snapToGrid w:val="0"/>
        <w:spacing w:line="360" w:lineRule="auto"/>
        <w:jc w:val="both"/>
        <w:rPr>
          <w:rFonts w:ascii="Book Antiqua" w:hAnsi="Book Antiqua"/>
          <w:u w:val="single"/>
        </w:rPr>
      </w:pPr>
    </w:p>
    <w:p w14:paraId="73841511" w14:textId="43E5C689" w:rsidR="00846186" w:rsidRPr="00312A48" w:rsidRDefault="00B93332" w:rsidP="00312A48">
      <w:pPr>
        <w:snapToGrid w:val="0"/>
        <w:spacing w:line="360" w:lineRule="auto"/>
        <w:jc w:val="both"/>
        <w:rPr>
          <w:rFonts w:ascii="Book Antiqua" w:hAnsi="Book Antiqua"/>
          <w:caps/>
          <w:u w:val="single"/>
        </w:rPr>
      </w:pPr>
      <w:r w:rsidRPr="00312A48">
        <w:rPr>
          <w:rFonts w:ascii="Book Antiqua" w:hAnsi="Book Antiqua"/>
          <w:b/>
          <w:bCs/>
          <w:caps/>
          <w:u w:val="single"/>
        </w:rPr>
        <w:t>optimization of modifiable factors in Radiofrequency ablation</w:t>
      </w:r>
    </w:p>
    <w:p w14:paraId="7CB37C53" w14:textId="0B4B51C1" w:rsidR="00DF6975" w:rsidRPr="00312A48" w:rsidRDefault="00B04D59" w:rsidP="00312A48">
      <w:pPr>
        <w:snapToGrid w:val="0"/>
        <w:spacing w:line="360" w:lineRule="auto"/>
        <w:jc w:val="both"/>
        <w:rPr>
          <w:rFonts w:ascii="Book Antiqua" w:hAnsi="Book Antiqua"/>
        </w:rPr>
      </w:pPr>
      <w:r w:rsidRPr="00312A48">
        <w:rPr>
          <w:rFonts w:ascii="Book Antiqua" w:hAnsi="Book Antiqua"/>
        </w:rPr>
        <w:t xml:space="preserve">Pasricha </w:t>
      </w:r>
      <w:r w:rsidRPr="00312A48">
        <w:rPr>
          <w:rFonts w:ascii="Book Antiqua" w:hAnsi="Book Antiqua"/>
          <w:i/>
        </w:rPr>
        <w:t xml:space="preserve">et </w:t>
      </w:r>
      <w:proofErr w:type="gramStart"/>
      <w:r w:rsidRPr="00312A48">
        <w:rPr>
          <w:rFonts w:ascii="Book Antiqua" w:hAnsi="Book Antiqua"/>
          <w:i/>
        </w:rPr>
        <w:t>al</w:t>
      </w:r>
      <w:r w:rsidR="00B93332" w:rsidRPr="00312A48">
        <w:rPr>
          <w:rFonts w:ascii="Book Antiqua" w:hAnsi="Book Antiqua"/>
          <w:vertAlign w:val="superscript"/>
        </w:rPr>
        <w:t>[</w:t>
      </w:r>
      <w:proofErr w:type="gramEnd"/>
      <w:r w:rsidR="00B93332" w:rsidRPr="00312A48">
        <w:rPr>
          <w:rFonts w:ascii="Book Antiqua" w:hAnsi="Book Antiqua"/>
          <w:vertAlign w:val="superscript"/>
        </w:rPr>
        <w:t>22]</w:t>
      </w:r>
      <w:r w:rsidRPr="00312A48">
        <w:rPr>
          <w:rFonts w:ascii="Book Antiqua" w:hAnsi="Book Antiqua"/>
        </w:rPr>
        <w:t xml:space="preserve"> found that there was indeed a significant learning curve effect of case volume on successful rates of complete eradication of</w:t>
      </w:r>
      <w:r w:rsidR="00857B00" w:rsidRPr="00312A48">
        <w:rPr>
          <w:rFonts w:ascii="Book Antiqua" w:hAnsi="Book Antiqua"/>
        </w:rPr>
        <w:t xml:space="preserve"> dysplasia and metaplasia</w:t>
      </w:r>
      <w:r w:rsidR="009216C7" w:rsidRPr="00312A48">
        <w:rPr>
          <w:rFonts w:ascii="Book Antiqua" w:hAnsi="Book Antiqua"/>
        </w:rPr>
        <w:t>.</w:t>
      </w:r>
      <w:r w:rsidR="00330241" w:rsidRPr="00312A48">
        <w:rPr>
          <w:rFonts w:ascii="Book Antiqua" w:hAnsi="Book Antiqua"/>
        </w:rPr>
        <w:t xml:space="preserve"> </w:t>
      </w:r>
      <w:r w:rsidRPr="00312A48">
        <w:rPr>
          <w:rFonts w:ascii="Book Antiqua" w:hAnsi="Book Antiqua"/>
        </w:rPr>
        <w:t>However, the curve started to flatten at 30 procedures, suggesting that this could be considered the threshold, or minimum standard, for which bett</w:t>
      </w:r>
      <w:r w:rsidR="00857B00" w:rsidRPr="00312A48">
        <w:rPr>
          <w:rFonts w:ascii="Book Antiqua" w:hAnsi="Book Antiqua"/>
        </w:rPr>
        <w:t xml:space="preserve">er outcomes could be expected. </w:t>
      </w:r>
      <w:r w:rsidRPr="00312A48">
        <w:rPr>
          <w:rFonts w:ascii="Book Antiqua" w:hAnsi="Book Antiqua"/>
        </w:rPr>
        <w:t>There w</w:t>
      </w:r>
      <w:r w:rsidR="007B3D72" w:rsidRPr="00312A48">
        <w:rPr>
          <w:rFonts w:ascii="Book Antiqua" w:hAnsi="Book Antiqua"/>
        </w:rPr>
        <w:t>as</w:t>
      </w:r>
      <w:r w:rsidRPr="00312A48">
        <w:rPr>
          <w:rFonts w:ascii="Book Antiqua" w:hAnsi="Book Antiqua"/>
        </w:rPr>
        <w:t xml:space="preserve"> no difference between recurrence rates at community </w:t>
      </w:r>
      <w:r w:rsidR="007B3D72" w:rsidRPr="00312A48">
        <w:rPr>
          <w:rFonts w:ascii="Book Antiqua" w:hAnsi="Book Antiqua"/>
        </w:rPr>
        <w:t xml:space="preserve">hospitals or academic centers. </w:t>
      </w:r>
      <w:r w:rsidRPr="00312A48">
        <w:rPr>
          <w:rFonts w:ascii="Book Antiqua" w:hAnsi="Book Antiqua"/>
        </w:rPr>
        <w:t xml:space="preserve">Thus, referral to </w:t>
      </w:r>
      <w:r w:rsidR="00857B00" w:rsidRPr="00312A48">
        <w:rPr>
          <w:rFonts w:ascii="Book Antiqua" w:hAnsi="Book Antiqua"/>
        </w:rPr>
        <w:t xml:space="preserve">an </w:t>
      </w:r>
      <w:r w:rsidRPr="00312A48">
        <w:rPr>
          <w:rFonts w:ascii="Book Antiqua" w:hAnsi="Book Antiqua"/>
        </w:rPr>
        <w:t xml:space="preserve">endoscopist </w:t>
      </w:r>
      <w:r w:rsidR="00857B00" w:rsidRPr="00312A48">
        <w:rPr>
          <w:rFonts w:ascii="Book Antiqua" w:hAnsi="Book Antiqua"/>
        </w:rPr>
        <w:t xml:space="preserve">who performs a high volume of </w:t>
      </w:r>
      <w:r w:rsidRPr="00312A48">
        <w:rPr>
          <w:rFonts w:ascii="Book Antiqua" w:hAnsi="Book Antiqua"/>
        </w:rPr>
        <w:t xml:space="preserve">RFA for </w:t>
      </w:r>
      <w:r w:rsidR="00857B00" w:rsidRPr="00312A48">
        <w:rPr>
          <w:rFonts w:ascii="Book Antiqua" w:hAnsi="Book Antiqua"/>
        </w:rPr>
        <w:t xml:space="preserve">re-treatment of </w:t>
      </w:r>
      <w:r w:rsidRPr="00312A48">
        <w:rPr>
          <w:rFonts w:ascii="Book Antiqua" w:hAnsi="Book Antiqua"/>
        </w:rPr>
        <w:t>refractory</w:t>
      </w:r>
      <w:r w:rsidR="009F0A09">
        <w:rPr>
          <w:rFonts w:ascii="Book Antiqua" w:hAnsi="Book Antiqua"/>
        </w:rPr>
        <w:t xml:space="preserve"> patients could be considered. </w:t>
      </w:r>
      <w:r w:rsidRPr="00312A48">
        <w:rPr>
          <w:rFonts w:ascii="Book Antiqua" w:hAnsi="Book Antiqua"/>
        </w:rPr>
        <w:t xml:space="preserve">Additionally, as suggested by </w:t>
      </w:r>
      <w:proofErr w:type="spellStart"/>
      <w:r w:rsidRPr="00312A48">
        <w:rPr>
          <w:rFonts w:ascii="Book Antiqua" w:hAnsi="Book Antiqua"/>
        </w:rPr>
        <w:t>Eluri</w:t>
      </w:r>
      <w:proofErr w:type="spellEnd"/>
      <w:r w:rsidRPr="00312A48">
        <w:rPr>
          <w:rFonts w:ascii="Book Antiqua" w:hAnsi="Book Antiqua"/>
        </w:rPr>
        <w:t xml:space="preserve"> and </w:t>
      </w:r>
      <w:proofErr w:type="spellStart"/>
      <w:proofErr w:type="gramStart"/>
      <w:r w:rsidRPr="00312A48">
        <w:rPr>
          <w:rFonts w:ascii="Book Antiqua" w:hAnsi="Book Antiqua"/>
        </w:rPr>
        <w:t>Shaheen</w:t>
      </w:r>
      <w:proofErr w:type="spellEnd"/>
      <w:r w:rsidR="00B93332" w:rsidRPr="00312A48">
        <w:rPr>
          <w:rFonts w:ascii="Book Antiqua" w:hAnsi="Book Antiqua"/>
          <w:vertAlign w:val="superscript"/>
        </w:rPr>
        <w:t>[</w:t>
      </w:r>
      <w:proofErr w:type="gramEnd"/>
      <w:r w:rsidR="00B93332" w:rsidRPr="00312A48">
        <w:rPr>
          <w:rFonts w:ascii="Book Antiqua" w:hAnsi="Book Antiqua"/>
          <w:vertAlign w:val="superscript"/>
        </w:rPr>
        <w:t>23]</w:t>
      </w:r>
      <w:r w:rsidRPr="00312A48">
        <w:rPr>
          <w:rFonts w:ascii="Book Antiqua" w:hAnsi="Book Antiqua"/>
        </w:rPr>
        <w:t xml:space="preserve">, attendance at society-sponsored RFA-specific training courses and improving training in fellowships may improve </w:t>
      </w:r>
      <w:r w:rsidR="007B3D72" w:rsidRPr="00312A48">
        <w:rPr>
          <w:rFonts w:ascii="Book Antiqua" w:hAnsi="Book Antiqua"/>
        </w:rPr>
        <w:t>the endoscopist’s individual outcomes</w:t>
      </w:r>
      <w:r w:rsidR="009216C7" w:rsidRPr="00312A48">
        <w:rPr>
          <w:rFonts w:ascii="Book Antiqua" w:hAnsi="Book Antiqua"/>
        </w:rPr>
        <w:t>.</w:t>
      </w:r>
    </w:p>
    <w:p w14:paraId="0AF5305D" w14:textId="77777777" w:rsidR="00B93332" w:rsidRPr="00312A48" w:rsidRDefault="00B93332" w:rsidP="00312A48">
      <w:pPr>
        <w:snapToGrid w:val="0"/>
        <w:spacing w:line="360" w:lineRule="auto"/>
        <w:jc w:val="both"/>
        <w:rPr>
          <w:rFonts w:ascii="Book Antiqua" w:hAnsi="Book Antiqua"/>
          <w:b/>
          <w:bCs/>
          <w:u w:val="single"/>
        </w:rPr>
      </w:pPr>
    </w:p>
    <w:p w14:paraId="51784F53" w14:textId="4FF510B8" w:rsidR="00C5235C" w:rsidRPr="00312A48" w:rsidRDefault="00B93332" w:rsidP="00312A48">
      <w:pPr>
        <w:snapToGrid w:val="0"/>
        <w:spacing w:line="360" w:lineRule="auto"/>
        <w:jc w:val="both"/>
        <w:rPr>
          <w:rFonts w:ascii="Book Antiqua" w:hAnsi="Book Antiqua"/>
          <w:b/>
          <w:bCs/>
          <w:u w:val="single"/>
        </w:rPr>
      </w:pPr>
      <w:r w:rsidRPr="00312A48">
        <w:rPr>
          <w:rFonts w:ascii="Book Antiqua" w:hAnsi="Book Antiqua"/>
          <w:b/>
          <w:bCs/>
          <w:u w:val="single"/>
        </w:rPr>
        <w:t>ANTI-REFLUX MEDICAL THERAPY</w:t>
      </w:r>
    </w:p>
    <w:p w14:paraId="4588FDEF" w14:textId="5284EA51" w:rsidR="00DC1B1C" w:rsidRPr="00312A48" w:rsidRDefault="00B83295" w:rsidP="00312A48">
      <w:pPr>
        <w:snapToGrid w:val="0"/>
        <w:spacing w:line="360" w:lineRule="auto"/>
        <w:jc w:val="both"/>
        <w:rPr>
          <w:rFonts w:ascii="Book Antiqua" w:hAnsi="Book Antiqua"/>
        </w:rPr>
      </w:pPr>
      <w:r w:rsidRPr="00312A48">
        <w:rPr>
          <w:rFonts w:ascii="Book Antiqua" w:hAnsi="Book Antiqua"/>
        </w:rPr>
        <w:t>Acid exposure has been shown to cause</w:t>
      </w:r>
      <w:r w:rsidR="00B70B75" w:rsidRPr="00312A48">
        <w:rPr>
          <w:rFonts w:ascii="Book Antiqua" w:hAnsi="Book Antiqua"/>
        </w:rPr>
        <w:t xml:space="preserve"> changes in the esophageal epithelium that lead to BE</w:t>
      </w:r>
      <w:r w:rsidR="003560C4" w:rsidRPr="00312A48">
        <w:rPr>
          <w:rFonts w:ascii="Book Antiqua" w:hAnsi="Book Antiqua"/>
        </w:rPr>
        <w:fldChar w:fldCharType="begin" w:fldLock="1"/>
      </w:r>
      <w:r w:rsidR="003560C4" w:rsidRPr="00312A48">
        <w:rPr>
          <w:rFonts w:ascii="Book Antiqua" w:hAnsi="Book Antiqua"/>
        </w:rPr>
        <w:instrText>ADDIN CSL_CITATION {"citationItems":[{"id":"ITEM-1","itemData":{"DOI":"10.1053/j.gastro.2010.03.035","ISSN":"1528-0012 (Electronic)\r0016-5085 (Linking)","PMID":"20303354","abstract":"BACKGROUND &amp; AIMS: It is not clear why only a minority of patients with gastroesophageal reflux disease (GERD) develop Barrett's esophagus. We hypothesized that differences among individuals in molecular pathways activated when esophageal squamous epithelium is exposed to reflux underlie the development of Barrett's metaplasia. METHODS: We used esophageal squamous cell lines from patients who had GERD with Barrett's esophagus (normal esophageal squamous [NES]-B3T and NES-B10T) and without Barrett's esophagus (NES-G2T and NES-G4T) to study effects of acid and bile salts on expression of the CDX2 gene. Bay 11-705, Ad5 inhibitor kappaB(IkappaB)alpha-SR, and site-directed mutagenesis were used to explore effects of nuclear factor-kappaB (NF-kappaB) inhibition on CDX2 promoter activity; DNA binding of the NF-kappaB subunits p50 and p65 was assessed by chromatin immune-precipitation. RESULTS: Acid and bile salts increased CDX2 messenger RNA (mRNA), protein, and promoter activity in NES-B3T and NES-B10T cells, but not in NES-G2T or NES-G4T cells. Inhibition of NF-kappaB abolished the increase in CDX2 promoter activity. Increased CDX2 promoter activity was associated with nuclear translocation of p50, which bound to the promoter. We found CDX2 mRNA in 7 of 10 esophageal squamous biopsy specimens from patients with Barrett's esophagus, but in only 1 of 10 such specimens from patients who had GERD without Barrett's esophagus. CONCLUSIONS: Acid and bile salts induce CDX2 mRNA and protein expression in esophageal squamous cells from patients with Barrett's esophagus, but not from GERD patients without Barrett's esophagus. We speculate that these differences in acid- and bile salt-induced activation of molecular pathways may underlie the development of Barrett's metaplasia.","author":[{"dropping-particle":"","family":"Huo","given":"X","non-dropping-particle":"","parse-names":false,"suffix":""},{"dropping-particle":"","family":"Zhang","given":"H Y","non-dropping-particle":"","parse-names":false,"suffix":""},{"dropping-particle":"","family":"Zhang","given":"X I","non-dropping-particle":"","parse-names":false,"suffix":""},{"dropping-particle":"","family":"Lynch","given":"J P","non-dropping-particle":"","parse-names":false,"suffix":""},{"dropping-particle":"","family":"Strauch","given":"E D","non-dropping-particle":"","parse-names":false,"suffix":""},{"dropping-particle":"","family":"Wang","given":"J Y","non-dropping-particle":"","parse-names":false,"suffix":""},{"dropping-particle":"","family":"Melton","given":"S D","non-dropping-particle":"","parse-names":false,"suffix":""},{"dropping-particle":"","family":"Genta","given":"R M","non-dropping-particle":"","parse-names":false,"suffix":""},{"dropping-particle":"","family":"Wang","given":"D H","non-dropping-particle":"","parse-names":false,"suffix":""},{"dropping-particle":"","family":"Spechler","given":"S J","non-dropping-particle":"","parse-names":false,"suffix":""},{"dropping-particle":"","family":"Souza","given":"R F","non-dropping-particle":"","parse-names":false,"suffix":""}],"container-title":"Gastroenterology","id":"ITEM-1","issue":"1","issued":{"date-parts":[["2010"]]},"note":"Huo, Xiaofang\rZhang, Hui Ying\rZhang, X I\rLynch, John P\rStrauch, Eric D\rWang, Jian-Ying\rMelton, Shelby D\rGenta, Robert M\rWang, David H\rSpechler, Stuart J\rSouza, Rhonda F\reng\rR01 CA134571/CA/NCI NIH HHS/\rR21-RDK075409/PHS HHS/\rR01 DK063621-08/DK/NIDDK NIH HHS/\rR01-CA134571/CA/NCI NIH HHS/\rR01 DK068366/DK/NIDDK NIH HHS/\rU01-DK085551/DK/NIDDK NIH HHS/\rR01 DK063621/DK/NIDDK NIH HHS/\rR01 DK068491/DK/NIDDK NIH HHS/\rU01 DK085551/DK/NIDDK NIH HHS/\rR01-DK068366/DK/NIDDK NIH HHS/\rR21 DK075409/DK/NIDDK NIH HHS/\rR01 CA134571-02/CA/NCI NIH HHS/\rR01-DK63621/DK/NIDDK NIH HHS/\rR01-DK68491/DK/NIDDK NIH HHS/\rResearch Support, N.I.H., Extramural\rResearch Support, U.S. Gov't, Non-P.H.S.\r2010/03/23 06:00\rGastroenterology. 2010 Jul;139(1):194-203.e1. doi: 10.1053/j.gastro.2010.03.035. Epub 2010 Mar 17.","page":"194-203 e1","title":"Acid and bile salt-induced CDX2 expression differs in esophageal squamous cells from patients with and without Barrett's esophagus","type":"article-journal","volume":"139"},"uris":["http://www.mendeley.com/documents/?uuid=c500f79d-47db-34a3-858f-534b814e024e"]},{"id":"ITEM-2","itemData":{"DOI":"10.1111/j.1365-2036.2007.03251.x","ISSN":"0269-2813 (Print)\r0269-2813 (Linking)","PMID":"17373922","abstract":"BACKGROUND: Argon plasma coagulation seems to be a promising technique for ablation of Barrett's oesophagus, yet few long-term efficacy data are available. AIM: To report on a long-term follow-up and the factors that determine the recurrence of intestinal metaplasia in a cohort of patients with non dysplastic, intestinal type Barrett's oesophagus, after complete ablation of the metaplastic mucosa with argon plasma coagulation. METHODS: Ninety-six patients underwent endoscopic argon plasma coagulation with adequate acid suppression obtained through a continuous omeprazole therapy (50 patients) or through laparoscopic fundoplication (46 patients). Complete ablation was achieved in 94 patients who underwent follow-up. Endoscopic and histological examinations were performed every 12 months. RESULTS: The median follow-up of the patients was 36 months (range 18-98). A recurrence of intestinal metaplasia was found in 17 patients (18%), with an annual recurrence rate of 6.1%. Neither dysplasia, nor adenocarcinoma were found during the follow-up. Through the use of logistic regression analysis, previous laparoscopic fundoplication was associated with a reduced recurrence rate of intestinal metaplasia (odds ratio 0.30, 95% confidence interval 0.10-0.93). CONCLUSIONS: The long-term recurrence of intestinal type Barrett's oesophagus was low after complete ablation with argon plasma coagulation. The control of oesophageal acidity acid exposure with laparoscopic fundoplication seems to reduce the recurrence rate.","author":[{"dropping-particle":"","family":"Ferraris","given":"R","non-dropping-particle":"","parse-names":false,"suffix":""},{"dropping-particle":"","family":"Fracchia","given":"M","non-dropping-particle":"","parse-names":false,"suffix":""},{"dropping-particle":"","family":"Foti","given":"M","non-dropping-particle":"","parse-names":false,"suffix":""},{"dropping-particle":"","family":"Sidoli","given":"L","non-dropping-particle":"","parse-names":false,"suffix":""},{"dropping-particle":"","family":"Taraglio","given":"S","non-dropping-particle":"","parse-names":false,"suffix":""},{"dropping-particle":"","family":"Vigano","given":"L","non-dropping-particle":"","parse-names":false,"suffix":""},{"dropping-particle":"","family":"Giaccone","given":"C","non-dropping-particle":"","parse-names":false,"suffix":""},{"dropping-particle":"","family":"Rebecchi","given":"F","non-dropping-particle":"","parse-names":false,"suffix":""},{"dropping-particle":"","family":"Meineri","given":"G","non-dropping-particle":"","parse-names":false,"suffix":""},{"dropping-particle":"","family":"Senore","given":"C","non-dropping-particle":"","parse-names":false,"suffix":""},{"dropping-particle":"","family":"Pera","given":"A","non-dropping-particle":"","parse-names":false,"suffix":""},{"dropping-particle":"","family":"Gruppo Operativo Studio Precancerosi","given":"Esofagee","non-dropping-particle":"","parse-names":false,"suffix":""}],"container-title":"Alimentary Pharmacology and Therapeutics","id":"ITEM-2","issue":"7","issued":{"date-parts":[["2007"]]},"note":"Ferraris, R\rFracchia, M\rFoti, M\rSidoli, L\rTaraglio, S\rVigano', L\rGiaccone, C\rRebecchi, F\rMeineri, G\rSenore, C\rPera, A\reng\rEvaluation Study\rMulticenter Study\rEngland\r2007/03/22 09:00\rAliment Pharmacol Ther. 2007 Apr 1;25(7):835-40. doi: 10.1111/j.1365-2036.2007.03251.x.","page":"835-840","title":"Barrett's oesophagus: long-term follow-up after complete ablation with argon plasma coagulation and the factors that determine its recurrence","type":"article-journal","volume":"25"},"uris":["http://www.mendeley.com/documents/?uuid=b50bb300-66a1-3f73-955b-c50d02eb46ad"]}],"mendeley":{"formattedCitation":"&lt;sup&gt;[24,25]&lt;/sup&gt;","plainTextFormattedCitation":"[24,25]","previouslyFormattedCitation":"&lt;sup&gt;[24,25]&lt;/sup&gt;"},"properties":{"noteIndex":0},"schema":"https://github.com/citation-style-language/schema/raw/master/csl-citation.json"}</w:instrText>
      </w:r>
      <w:r w:rsidR="003560C4" w:rsidRPr="00312A48">
        <w:rPr>
          <w:rFonts w:ascii="Book Antiqua" w:hAnsi="Book Antiqua"/>
        </w:rPr>
        <w:fldChar w:fldCharType="separate"/>
      </w:r>
      <w:r w:rsidR="003560C4" w:rsidRPr="00312A48">
        <w:rPr>
          <w:rFonts w:ascii="Book Antiqua" w:hAnsi="Book Antiqua"/>
          <w:noProof/>
          <w:vertAlign w:val="superscript"/>
        </w:rPr>
        <w:t>[24,25]</w:t>
      </w:r>
      <w:r w:rsidR="003560C4" w:rsidRPr="00312A48">
        <w:rPr>
          <w:rFonts w:ascii="Book Antiqua" w:hAnsi="Book Antiqua"/>
        </w:rPr>
        <w:fldChar w:fldCharType="end"/>
      </w:r>
      <w:r w:rsidR="009216C7" w:rsidRPr="00312A48">
        <w:rPr>
          <w:rFonts w:ascii="Book Antiqua" w:hAnsi="Book Antiqua"/>
        </w:rPr>
        <w:t>.</w:t>
      </w:r>
      <w:r w:rsidRPr="00312A48">
        <w:rPr>
          <w:rFonts w:ascii="Book Antiqua" w:hAnsi="Book Antiqua"/>
        </w:rPr>
        <w:t xml:space="preserve"> Furthermore, patients with BE have the highest risk for </w:t>
      </w:r>
      <w:r w:rsidRPr="00312A48">
        <w:rPr>
          <w:rFonts w:ascii="Book Antiqua" w:hAnsi="Book Antiqua"/>
        </w:rPr>
        <w:lastRenderedPageBreak/>
        <w:t>esophageal acid reflux of any patient population</w:t>
      </w:r>
      <w:r w:rsidR="003560C4" w:rsidRPr="00312A48">
        <w:rPr>
          <w:rFonts w:ascii="Book Antiqua" w:hAnsi="Book Antiqua"/>
        </w:rPr>
        <w:fldChar w:fldCharType="begin" w:fldLock="1"/>
      </w:r>
      <w:r w:rsidR="003560C4" w:rsidRPr="00312A48">
        <w:rPr>
          <w:rFonts w:ascii="Book Antiqua" w:hAnsi="Book Antiqua"/>
        </w:rPr>
        <w:instrText>ADDIN CSL_CITATION {"citationItems":[{"id":"ITEM-1","itemData":{"DOI":"10.1053/gast.1996.v111.pm8898632","ISSN":"0016-5085 (Print)\r0016-5085 (Linking)","PMID":"8898632","abstract":"BACKGROUND &amp; AIMS: Acid and pepsin are known to cause esophagitis. However, the role of duodenogastroesophageal reflux (DGER) in producing esophageal mucosal injury across the spectrum of gastroesophageal reflux disease (GERD) is controversial. METHODS: Twenty controls (13 men; mean age, 41 years), 30 patients with GERD (15 men; mean age, 41 years), and 20 patients with Barrett's esophagus (17 men; mean age, 58 years) were studied. Twenty-four-hour ambulatory acid and bilirubin measurements were obtained with Bilitec 2000 using a glass pH electrode and fiberoptic sensor. RESULTS: Percentage times pH was &lt; 4, bilirubin level was &gt; or = 0.14, and fasting gastric bile acid concentrations showed a graded increase across the GERD spectrum. Esophageal exposure to both acid and DGER was the most prevalent reflux pattern (100% in patients with complicated and 89% in patients with uncomplicated Barrett's esophagus, 79% in patients with esophagitis, and 50% in patients without esophagitis). The majority (70%-91%) of DGER episodes occurred in an acidic environment (pH &lt; 4). Linear regression analysis found a significant correlation (r = 0.73; P &lt; 0.01) between percentage time pH was &lt; 4 and percentage time bilirubin absorbance level was &gt; or = 0.14. CONCLUSIONS: Both acid and DGER show a graded increase in severity across the GERD spectrum. Acid and DGER occur simultaneously in the majority of the reflux episodes.","author":[{"dropping-particle":"","family":"Vaezi","given":"M F","non-dropping-particle":"","parse-names":false,"suffix":""},{"dropping-particle":"","family":"Richter","given":"J E","non-dropping-particle":"","parse-names":false,"suffix":""}],"container-title":"Gastroenterology","id":"ITEM-1","issue":"5","issued":{"date-parts":[["1996"]]},"note":"Vaezi, M F\rRichter, J E\reng\r1996/11/01 00:00\rGastroenterology. 1996 Nov;111(5):1192-9. doi: 10.1053/gast.1996.v111.pm8898632.","page":"1192-1199","title":"Role of acid and duodenogastroesophageal reflux in gastroesophageal reflux disease","type":"article-journal","volume":"111"},"uris":["http://www.mendeley.com/documents/?uuid=57e214b4-8112-3a7f-92dc-0fd65ce4c7ac"]}],"mendeley":{"formattedCitation":"&lt;sup&gt;[26]&lt;/sup&gt;","plainTextFormattedCitation":"[26]","previouslyFormattedCitation":"&lt;sup&gt;[26]&lt;/sup&gt;"},"properties":{"noteIndex":0},"schema":"https://github.com/citation-style-language/schema/raw/master/csl-citation.json"}</w:instrText>
      </w:r>
      <w:r w:rsidR="003560C4" w:rsidRPr="00312A48">
        <w:rPr>
          <w:rFonts w:ascii="Book Antiqua" w:hAnsi="Book Antiqua"/>
        </w:rPr>
        <w:fldChar w:fldCharType="separate"/>
      </w:r>
      <w:r w:rsidR="003560C4" w:rsidRPr="00312A48">
        <w:rPr>
          <w:rFonts w:ascii="Book Antiqua" w:hAnsi="Book Antiqua"/>
          <w:noProof/>
          <w:vertAlign w:val="superscript"/>
        </w:rPr>
        <w:t>[26]</w:t>
      </w:r>
      <w:r w:rsidR="003560C4" w:rsidRPr="00312A48">
        <w:rPr>
          <w:rFonts w:ascii="Book Antiqua" w:hAnsi="Book Antiqua"/>
        </w:rPr>
        <w:fldChar w:fldCharType="end"/>
      </w:r>
      <w:r w:rsidR="009216C7" w:rsidRPr="00312A48">
        <w:rPr>
          <w:rFonts w:ascii="Book Antiqua" w:hAnsi="Book Antiqua"/>
        </w:rPr>
        <w:t>.</w:t>
      </w:r>
      <w:r w:rsidR="00B93332" w:rsidRPr="00312A48">
        <w:rPr>
          <w:rFonts w:ascii="Book Antiqua" w:hAnsi="Book Antiqua"/>
        </w:rPr>
        <w:t xml:space="preserve"> </w:t>
      </w:r>
      <w:r w:rsidR="00DC1B1C" w:rsidRPr="00312A48">
        <w:rPr>
          <w:rFonts w:ascii="Book Antiqua" w:hAnsi="Book Antiqua"/>
        </w:rPr>
        <w:t>The 2016 guidelines recommend that all patients with BE should receive once-daily proton-pump inhibitor (PPI) therapy</w:t>
      </w:r>
      <w:r w:rsidR="00E700EE" w:rsidRPr="00312A48">
        <w:rPr>
          <w:rFonts w:ascii="Book Antiqua" w:hAnsi="Book Antiqua"/>
        </w:rPr>
        <w:t>, which should be increased to twice daily for the treatment of uncontrolled acid reflux</w:t>
      </w:r>
      <w:r w:rsidR="003560C4" w:rsidRPr="00312A48">
        <w:rPr>
          <w:rFonts w:ascii="Book Antiqua" w:hAnsi="Book Antiqua"/>
        </w:rPr>
        <w:fldChar w:fldCharType="begin" w:fldLock="1"/>
      </w:r>
      <w:r w:rsidR="003560C4" w:rsidRPr="00312A48">
        <w:rPr>
          <w:rFonts w:ascii="Book Antiqua" w:hAnsi="Book Antiqua"/>
        </w:rPr>
        <w:instrText>ADDIN CSL_CITATION {"citationItems":[{"id":"ITEM-1","itemData":{"DOI":"10.1038/ajg.2015.322","ISSN":"1572-0241 (Electronic)\r0002-9270 (Linking)","PMID":"26526079","abstract":"Barrett's esophagus (BE) is among the most common conditions encountered by the gastroenterologist. In this document, the American College of Gastroenterology updates its guidance for the best practices in caring for these patients. These guidelines continue to endorse screening of high-risk patients for BE; however, routine screening is limited to men with reflux symptoms and multiple other risk factors. Acknowledging recent data on the low risk of malignant progression in patients with nondysplastic BE, endoscopic surveillance intervals are attenuated in this population; patients with nondysplastic BE should undergo endoscopic surveillance no more frequently than every 3-5 years. Neither routine use of biomarker panels nor advanced endoscopic imaging techniques (beyond high-definition endoscopy) is recommended at this time. Endoscopic ablative therapy is recommended for patients with BE and high-grade dysplasia, as well as T1a esophageal adenocarcinoma. Based on recent level 1 evidence, endoscopic ablative therapy is also recommended for patients with BE and low-grade dysplasia, although endoscopic surveillance continues to be an acceptable alternative. Given the relatively common recurrence of BE after ablation, we suggest postablation endoscopic surveillance intervals. Although many of the recommendations provided are based on weak evidence or expert opinion, this document provides a pragmatic framework for the care of the patient with BE.","author":[{"dropping-particle":"","family":"Shaheen","given":"N J","non-dropping-particle":"","parse-names":false,"suffix":""},{"dropping-particle":"","family":"Falk","given":"G W","non-dropping-particle":"","parse-names":false,"suffix":""},{"dropping-particle":"","family":"Iyer","given":"P G","non-dropping-particle":"","parse-names":false,"suffix":""},{"dropping-particle":"","family":"Gerson","given":"L B","non-dropping-particle":"","parse-names":false,"suffix":""},{"dropping-particle":"","family":"American College of","given":"Gastroenterology","non-dropping-particle":"","parse-names":false,"suffix":""}],"container-title":"American Journal of Gastroenterology","id":"ITEM-1","issue":"1","issued":{"date-parts":[["2016"]]},"note":"Shaheen, Nicholas J\rFalk, Gary W\rIyer, Prasad G\rGerson, Lauren B\reng\rPractice Guideline\rResearch Support, Non-U.S. Gov't\r2015/11/04 06:00\rAm J Gastroenterol. 2016 Jan;111(1):30-50; quiz 51. doi: 10.1038/ajg.2015.322. Epub 2015 Nov 3.","page":"30-50; quiz 51","title":"ACG Clinical Guideline: Diagnosis and Management of Barrett's Esophagus","type":"article-journal","volume":"111"},"uris":["http://www.mendeley.com/documents/?uuid=3c23c96e-3484-38b6-bf4d-3bb763db7457"]}],"mendeley":{"formattedCitation":"&lt;sup&gt;[3]&lt;/sup&gt;","plainTextFormattedCitation":"[3]","previouslyFormattedCitation":"&lt;sup&gt;[3]&lt;/sup&gt;"},"properties":{"noteIndex":0},"schema":"https://github.com/citation-style-language/schema/raw/master/csl-citation.json"}</w:instrText>
      </w:r>
      <w:r w:rsidR="003560C4" w:rsidRPr="00312A48">
        <w:rPr>
          <w:rFonts w:ascii="Book Antiqua" w:hAnsi="Book Antiqua"/>
        </w:rPr>
        <w:fldChar w:fldCharType="separate"/>
      </w:r>
      <w:r w:rsidR="003560C4" w:rsidRPr="00312A48">
        <w:rPr>
          <w:rFonts w:ascii="Book Antiqua" w:hAnsi="Book Antiqua"/>
          <w:noProof/>
          <w:vertAlign w:val="superscript"/>
        </w:rPr>
        <w:t>[3]</w:t>
      </w:r>
      <w:r w:rsidR="003560C4" w:rsidRPr="00312A48">
        <w:rPr>
          <w:rFonts w:ascii="Book Antiqua" w:hAnsi="Book Antiqua"/>
        </w:rPr>
        <w:fldChar w:fldCharType="end"/>
      </w:r>
      <w:r w:rsidR="009216C7" w:rsidRPr="00312A48">
        <w:rPr>
          <w:rFonts w:ascii="Book Antiqua" w:hAnsi="Book Antiqua"/>
        </w:rPr>
        <w:t>.</w:t>
      </w:r>
      <w:r w:rsidR="00330241" w:rsidRPr="00312A48">
        <w:rPr>
          <w:rFonts w:ascii="Book Antiqua" w:hAnsi="Book Antiqua"/>
        </w:rPr>
        <w:t xml:space="preserve"> </w:t>
      </w:r>
      <w:r w:rsidR="00E700EE" w:rsidRPr="00312A48">
        <w:rPr>
          <w:rFonts w:ascii="Book Antiqua" w:hAnsi="Book Antiqua"/>
        </w:rPr>
        <w:t>Despite this, i</w:t>
      </w:r>
      <w:r w:rsidRPr="00312A48">
        <w:rPr>
          <w:rFonts w:ascii="Book Antiqua" w:hAnsi="Book Antiqua"/>
        </w:rPr>
        <w:t>t has been shown that approximately one quarter of patients with BE</w:t>
      </w:r>
      <w:r w:rsidR="00E700EE" w:rsidRPr="00312A48">
        <w:rPr>
          <w:rFonts w:ascii="Book Antiqua" w:hAnsi="Book Antiqua"/>
        </w:rPr>
        <w:t xml:space="preserve"> on twice-daily PPI therapy</w:t>
      </w:r>
      <w:r w:rsidRPr="00312A48">
        <w:rPr>
          <w:rFonts w:ascii="Book Antiqua" w:hAnsi="Book Antiqua"/>
        </w:rPr>
        <w:t xml:space="preserve"> have abnormal pH-impedance studies, </w:t>
      </w:r>
      <w:r w:rsidR="00E700EE" w:rsidRPr="00312A48">
        <w:rPr>
          <w:rFonts w:ascii="Book Antiqua" w:hAnsi="Book Antiqua"/>
        </w:rPr>
        <w:t>suggesting a</w:t>
      </w:r>
      <w:r w:rsidRPr="00312A48">
        <w:rPr>
          <w:rFonts w:ascii="Book Antiqua" w:hAnsi="Book Antiqua"/>
        </w:rPr>
        <w:t xml:space="preserve"> significant proportion of BE patients h</w:t>
      </w:r>
      <w:r w:rsidR="00E700EE" w:rsidRPr="00312A48">
        <w:rPr>
          <w:rFonts w:ascii="Book Antiqua" w:hAnsi="Book Antiqua"/>
        </w:rPr>
        <w:t xml:space="preserve">ave physiologically significant </w:t>
      </w:r>
      <w:r w:rsidRPr="00312A48">
        <w:rPr>
          <w:rFonts w:ascii="Book Antiqua" w:hAnsi="Book Antiqua"/>
        </w:rPr>
        <w:t>esophageal acid exposure</w:t>
      </w:r>
      <w:r w:rsidR="00E700EE" w:rsidRPr="00312A48">
        <w:rPr>
          <w:rFonts w:ascii="Book Antiqua" w:hAnsi="Book Antiqua"/>
        </w:rPr>
        <w:t xml:space="preserve"> despite adherence with recommended medical therapy</w:t>
      </w:r>
      <w:r w:rsidR="003560C4" w:rsidRPr="00312A48">
        <w:rPr>
          <w:rFonts w:ascii="Book Antiqua" w:hAnsi="Book Antiqua"/>
        </w:rPr>
        <w:fldChar w:fldCharType="begin" w:fldLock="1"/>
      </w:r>
      <w:r w:rsidR="003560C4" w:rsidRPr="00312A48">
        <w:rPr>
          <w:rFonts w:ascii="Book Antiqua" w:hAnsi="Book Antiqua"/>
        </w:rPr>
        <w:instrText>ADDIN CSL_CITATION {"citationItems":[{"id":"ITEM-1","itemData":{"DOI":"10.1111/j.1365-2036.2005.02626.x","ISSN":"0269-2813 (Print)\r0269-2813 (Linking)","PMID":"16181302","abstract":"BACKGROUND: Barrett's oesophagus patients may continue to have abnormal oesophageal acid exposure on proton pump inhibitor therapy. The effect of factors such as Barrett's oesophagus length, hiatal hernia size and Helicobacter pylori infection on intra-oesophageal pH in Barrett's oesophagus patients has not been adequately studied. AIM: To evaluate oesophageal acid exposure in a large Barrett's oesophagus population on b.d. proton pump inhibitor therapy and determine clinical factors predicting normalization of intra-oesophageal pH on therapy. METHODS: Barrett's oesophagus patients were studied using 24 h pH monitoring to evaluate intra-oesophageal acid suppression on b.d. dosing of rabeprazole. RESULTS: Forty-six Barrett's oesophagus patients completed the study. Median total percentage time pH &lt; 4 was 1.05% (range: 0-29.9%) in the entire group and respective values for upright and supine percentage time pH &lt; 4 were 1.15% and 0%. However, 34 of the Barrett's oesophagus patients (73.9%) had a normal pH study (median total percentage time pH &lt; 4: 0.2%) and 12 patients (26.1%) had an abnormal result (median total percentage time pH &lt; 4: 9.3%). There were no significant differences between patients with a normal and abnormal 24 h pH result with respect to age, Barrett's oesophagus length, hiatal hernia size and presence of H. pylori infection. CONCLUSIONS: Approximately 25% of Barrett's oesophagus patients continue to have abnormal total intra-oesophageal pH profiles despite b.d. proton pump inhibitor therapy. Factors such as age, Barrett's oesophagus length and hiatal hernia size cannot be used to predict persistent abnormal intra-oesophageal pH on proton pump inhibitor.","author":[{"dropping-particle":"","family":"Wani","given":"S","non-dropping-particle":"","parse-names":false,"suffix":""},{"dropping-particle":"","family":"Sampliner","given":"R E","non-dropping-particle":"","parse-names":false,"suffix":""},{"dropping-particle":"","family":"Weston","given":"A P","non-dropping-particle":"","parse-names":false,"suffix":""},{"dropping-particle":"","family":"Mathur","given":"S","non-dropping-particle":"","parse-names":false,"suffix":""},{"dropping-particle":"","family":"Hall","given":"M","non-dropping-particle":"","parse-names":false,"suffix":""},{"dropping-particle":"","family":"Higbee","given":"A","non-dropping-particle":"","parse-names":false,"suffix":""},{"dropping-particle":"","family":"Sharma","given":"P","non-dropping-particle":"","parse-names":false,"suffix":""}],"container-title":"Alimentary Pharmacology and Therapeutics","id":"ITEM-1","issue":"7","issued":{"date-parts":[["2005"]]},"note":"Wani, S\rSampliner, R E\rWeston, A P\rMathur, S\rHall, M\rHigbee, A\rSharma, P\reng\rClinical Trial\rMulticenter Study\rResearch Support, Non-U.S. Gov't\rEngland\r2005/09/27 09:00\rAliment Pharmacol Ther. 2005 Oct 1;22(7):627-33. doi: 10.1111/j.1365-2036.2005.02626.x.","page":"627-633","title":"Lack of predictors of normalization of oesophageal acid exposure in Barrett's oesophagus","type":"article-journal","volume":"22"},"uris":["http://www.mendeley.com/documents/?uuid=538525fd-0e39-38f9-99ed-cee56dfe94b6"]}],"mendeley":{"formattedCitation":"&lt;sup&gt;[27]&lt;/sup&gt;","plainTextFormattedCitation":"[27]","previouslyFormattedCitation":"&lt;sup&gt;[27]&lt;/sup&gt;"},"properties":{"noteIndex":0},"schema":"https://github.com/citation-style-language/schema/raw/master/csl-citation.json"}</w:instrText>
      </w:r>
      <w:r w:rsidR="003560C4" w:rsidRPr="00312A48">
        <w:rPr>
          <w:rFonts w:ascii="Book Antiqua" w:hAnsi="Book Antiqua"/>
        </w:rPr>
        <w:fldChar w:fldCharType="separate"/>
      </w:r>
      <w:r w:rsidR="003560C4" w:rsidRPr="00312A48">
        <w:rPr>
          <w:rFonts w:ascii="Book Antiqua" w:hAnsi="Book Antiqua"/>
          <w:noProof/>
          <w:vertAlign w:val="superscript"/>
        </w:rPr>
        <w:t>[27]</w:t>
      </w:r>
      <w:r w:rsidR="003560C4" w:rsidRPr="00312A48">
        <w:rPr>
          <w:rFonts w:ascii="Book Antiqua" w:hAnsi="Book Antiqua"/>
        </w:rPr>
        <w:fldChar w:fldCharType="end"/>
      </w:r>
      <w:r w:rsidR="009216C7" w:rsidRPr="00312A48">
        <w:rPr>
          <w:rFonts w:ascii="Book Antiqua" w:hAnsi="Book Antiqua"/>
        </w:rPr>
        <w:t>.</w:t>
      </w:r>
      <w:r w:rsidR="002D7840" w:rsidRPr="00312A48">
        <w:rPr>
          <w:rFonts w:ascii="Book Antiqua" w:hAnsi="Book Antiqua"/>
        </w:rPr>
        <w:t xml:space="preserve"> </w:t>
      </w:r>
      <w:r w:rsidR="00DC1B1C" w:rsidRPr="00312A48">
        <w:rPr>
          <w:rFonts w:ascii="Book Antiqua" w:hAnsi="Book Antiqua"/>
        </w:rPr>
        <w:t xml:space="preserve">Additionally, studies have suggested that uncontrolled reflux was associated with persistence </w:t>
      </w:r>
      <w:r w:rsidR="00D60958" w:rsidRPr="00312A48">
        <w:rPr>
          <w:rFonts w:ascii="Book Antiqua" w:hAnsi="Book Antiqua"/>
        </w:rPr>
        <w:t xml:space="preserve">and recurrence </w:t>
      </w:r>
      <w:r w:rsidR="00DC1B1C" w:rsidRPr="00312A48">
        <w:rPr>
          <w:rFonts w:ascii="Book Antiqua" w:hAnsi="Book Antiqua"/>
        </w:rPr>
        <w:t>of intestinal metaplasia and dysplasia after RFA</w:t>
      </w:r>
      <w:r w:rsidR="003560C4" w:rsidRPr="00312A48">
        <w:rPr>
          <w:rFonts w:ascii="Book Antiqua" w:hAnsi="Book Antiqua"/>
        </w:rPr>
        <w:fldChar w:fldCharType="begin" w:fldLock="1"/>
      </w:r>
      <w:r w:rsidR="003560C4" w:rsidRPr="00312A48">
        <w:rPr>
          <w:rFonts w:ascii="Book Antiqua" w:hAnsi="Book Antiqua"/>
        </w:rPr>
        <w:instrText>ADDIN CSL_CITATION {"citationItems":[{"id":"ITEM-1","itemData":{"DOI":"10.1053/j.gastro.2012.05.005","ISSN":"1528-0012 (Electronic)\r0016-5085 (Linking)","PMID":"22609385","abstract":"BACKGROUND &amp; AIMS: Radiofrequency ablation (RFA) is a safe alternative to esophagectomy for patients with dysplastic Barrett's esophagus (BE). Although some studies have indicated that RFA is effective at eradicating dysplasia, most have found that RFA is not as effective in eradicating intestinal metaplasia. We investigated whether uncontrolled reflux is associated with persistent intestinal metaplasia after RFA. METHODS: Thirty-seven patients with BE underwent RFA, high-resolution manometry, and 24-hour impedance-pH testing; they received proton pump inhibitors twice daily. Patients returned every 2 months for repeat treatment or standard surveillance. Patients were classified as complete responders (CRs) if all intestinal metaplasia was eradicated in fewer than 3 ablation sessions. We analyzed clinical parameters to identify factors associated with a CR or incomplete responder (ICR). RESULTS: Among the 37 patients, 22 had a CR and 15 had an ICR. Mann-Whitney U tests revealed that length of BE, size of hiatal hernia, and frequency of reflux, but not acid reflux, differed between CRs and ICRs. CRs had fewer weakly acidic events than ICRs (29.5 vs 52; P &lt; .05) and total reflux events (33.5 vs 60; P &lt; .05), and a trend toward fewer weakly alkaline events (1.0 vs 5.0; P = .06). No other clinical or manometric features differed between groups. CONCLUSIONS: Uncontrolled, predominantly weakly acidic reflux despite twice-daily proton pump inhibitor therapy before RFA increases the incidence of persistent intestinal metaplasia after ablation in patients with BE. Length of BE and size of hiatal hernia also were associated with persistent intestinal metaplasia after RFA.","author":[{"dropping-particle":"","family":"Krishnan","given":"K","non-dropping-particle":"","parse-names":false,"suffix":""},{"dropping-particle":"","family":"Pandolfino","given":"J E","non-dropping-particle":"","parse-names":false,"suffix":""},{"dropping-particle":"","family":"Kahrilas","given":"P J","non-dropping-particle":"","parse-names":false,"suffix":""},{"dropping-particle":"","family":"Keefer","given":"L","non-dropping-particle":"","parse-names":false,"suffix":""},{"dropping-particle":"","family":"Boris","given":"L","non-dropping-particle":"","parse-names":false,"suffix":""},{"dropping-particle":"","family":"Komanduri","given":"S","non-dropping-particle":"","parse-names":false,"suffix":""}],"container-title":"Gastroenterology","id":"ITEM-1","issue":"3","issued":{"date-parts":[["2012"]]},"note":"Krishnan, Kumar\rPandolfino, John E\rKahrilas, Peter J\rKeefer, Laurie\rBoris, Lubomyr\rKomanduri, Srinadh\reng\rUL1 TR000150/TR/NCATS NIH HHS/\rR01 DK56033/DK/NIDDK NIH HHS/\rUL1 RR025741/RR/NCRR NIH HHS/\rR01 DK079902/DK/NIDDK NIH HHS/\rR01 DK056033/DK/NIDDK NIH HHS/\rResearch Support, N.I.H., Extramural\r2012/05/23 06:00\rGastroenterology. 2012 Sep;143(3):576-581. doi: 10.1053/j.gastro.2012.05.005. Epub 2012 May 15.","page":"576-581","title":"Increased risk for persistent intestinal metaplasia in patients with Barrett's esophagus and uncontrolled reflux exposure before radiofrequency ablation","type":"article-journal","volume":"143"},"uris":["http://www.mendeley.com/documents/?uuid=259b5716-0ed4-3259-88dc-e05b7a76d9f6"]}],"mendeley":{"formattedCitation":"&lt;sup&gt;[28]&lt;/sup&gt;","plainTextFormattedCitation":"[28]","previouslyFormattedCitation":"&lt;sup&gt;[28]&lt;/sup&gt;"},"properties":{"noteIndex":0},"schema":"https://github.com/citation-style-language/schema/raw/master/csl-citation.json"}</w:instrText>
      </w:r>
      <w:r w:rsidR="003560C4" w:rsidRPr="00312A48">
        <w:rPr>
          <w:rFonts w:ascii="Book Antiqua" w:hAnsi="Book Antiqua"/>
        </w:rPr>
        <w:fldChar w:fldCharType="separate"/>
      </w:r>
      <w:r w:rsidR="003560C4" w:rsidRPr="00312A48">
        <w:rPr>
          <w:rFonts w:ascii="Book Antiqua" w:hAnsi="Book Antiqua"/>
          <w:noProof/>
          <w:vertAlign w:val="superscript"/>
        </w:rPr>
        <w:t>[28]</w:t>
      </w:r>
      <w:r w:rsidR="003560C4" w:rsidRPr="00312A48">
        <w:rPr>
          <w:rFonts w:ascii="Book Antiqua" w:hAnsi="Book Antiqua"/>
        </w:rPr>
        <w:fldChar w:fldCharType="end"/>
      </w:r>
      <w:r w:rsidR="009216C7" w:rsidRPr="00312A48">
        <w:rPr>
          <w:rFonts w:ascii="Book Antiqua" w:hAnsi="Book Antiqua"/>
        </w:rPr>
        <w:t>.</w:t>
      </w:r>
    </w:p>
    <w:p w14:paraId="00E87518" w14:textId="638C173A" w:rsidR="00D60958" w:rsidRPr="00312A48" w:rsidRDefault="00D60958" w:rsidP="00312A48">
      <w:pPr>
        <w:snapToGrid w:val="0"/>
        <w:spacing w:line="360" w:lineRule="auto"/>
        <w:ind w:firstLineChars="100" w:firstLine="240"/>
        <w:jc w:val="both"/>
        <w:rPr>
          <w:rFonts w:ascii="Book Antiqua" w:hAnsi="Book Antiqua"/>
        </w:rPr>
      </w:pPr>
      <w:r w:rsidRPr="00312A48">
        <w:rPr>
          <w:rFonts w:ascii="Book Antiqua" w:hAnsi="Book Antiqua"/>
        </w:rPr>
        <w:t>It is important to note that many patients with</w:t>
      </w:r>
      <w:r w:rsidR="00A97B45" w:rsidRPr="00312A48">
        <w:rPr>
          <w:rFonts w:ascii="Book Antiqua" w:hAnsi="Book Antiqua"/>
        </w:rPr>
        <w:t xml:space="preserve"> BE and</w:t>
      </w:r>
      <w:r w:rsidRPr="00312A48">
        <w:rPr>
          <w:rFonts w:ascii="Book Antiqua" w:hAnsi="Book Antiqua"/>
        </w:rPr>
        <w:t xml:space="preserve"> acid reflux are asymptomatic, which makes the diagnosis of uncontrolled acid reflux challenging. </w:t>
      </w:r>
      <w:proofErr w:type="spellStart"/>
      <w:r w:rsidRPr="00312A48">
        <w:rPr>
          <w:rFonts w:ascii="Book Antiqua" w:hAnsi="Book Antiqua"/>
        </w:rPr>
        <w:t>Komanduri</w:t>
      </w:r>
      <w:proofErr w:type="spellEnd"/>
      <w:r w:rsidRPr="00312A48">
        <w:rPr>
          <w:rFonts w:ascii="Book Antiqua" w:hAnsi="Book Antiqua"/>
        </w:rPr>
        <w:t xml:space="preserve"> </w:t>
      </w:r>
      <w:r w:rsidRPr="00312A48">
        <w:rPr>
          <w:rFonts w:ascii="Book Antiqua" w:hAnsi="Book Antiqua"/>
          <w:i/>
        </w:rPr>
        <w:t xml:space="preserve">et </w:t>
      </w:r>
      <w:proofErr w:type="gramStart"/>
      <w:r w:rsidRPr="00312A48">
        <w:rPr>
          <w:rFonts w:ascii="Book Antiqua" w:hAnsi="Book Antiqua"/>
          <w:i/>
        </w:rPr>
        <w:t>al</w:t>
      </w:r>
      <w:r w:rsidR="00B93332" w:rsidRPr="00312A48">
        <w:rPr>
          <w:rFonts w:ascii="Book Antiqua" w:hAnsi="Book Antiqua"/>
          <w:vertAlign w:val="superscript"/>
        </w:rPr>
        <w:t>[</w:t>
      </w:r>
      <w:proofErr w:type="gramEnd"/>
      <w:r w:rsidR="00B93332" w:rsidRPr="00312A48">
        <w:rPr>
          <w:rFonts w:ascii="Book Antiqua" w:hAnsi="Book Antiqua"/>
          <w:vertAlign w:val="superscript"/>
        </w:rPr>
        <w:t>29]</w:t>
      </w:r>
      <w:r w:rsidRPr="00312A48">
        <w:rPr>
          <w:rFonts w:ascii="Book Antiqua" w:hAnsi="Book Antiqua"/>
        </w:rPr>
        <w:t xml:space="preserve"> demonstrated that a structured reflux management protocol, in addition to EET, significantly decreased the rate of recurrent</w:t>
      </w:r>
      <w:r w:rsidR="00BD4A1B" w:rsidRPr="00312A48">
        <w:rPr>
          <w:rFonts w:ascii="Book Antiqua" w:hAnsi="Book Antiqua"/>
        </w:rPr>
        <w:t xml:space="preserve"> or persistent</w:t>
      </w:r>
      <w:r w:rsidRPr="00312A48">
        <w:rPr>
          <w:rFonts w:ascii="Book Antiqua" w:hAnsi="Book Antiqua"/>
        </w:rPr>
        <w:t xml:space="preserve"> IM </w:t>
      </w:r>
      <w:r w:rsidR="00BD4A1B" w:rsidRPr="00312A48">
        <w:rPr>
          <w:rFonts w:ascii="Book Antiqua" w:hAnsi="Book Antiqua"/>
        </w:rPr>
        <w:t xml:space="preserve">or dysplasia </w:t>
      </w:r>
      <w:r w:rsidRPr="00312A48">
        <w:rPr>
          <w:rFonts w:ascii="Book Antiqua" w:hAnsi="Book Antiqua"/>
        </w:rPr>
        <w:t>after EET</w:t>
      </w:r>
      <w:r w:rsidR="009216C7" w:rsidRPr="00312A48">
        <w:rPr>
          <w:rFonts w:ascii="Book Antiqua" w:hAnsi="Book Antiqua"/>
        </w:rPr>
        <w:t>.</w:t>
      </w:r>
      <w:r w:rsidRPr="00312A48">
        <w:rPr>
          <w:rFonts w:ascii="Book Antiqua" w:hAnsi="Book Antiqua"/>
        </w:rPr>
        <w:t xml:space="preserve"> This protocol consisted of </w:t>
      </w:r>
      <w:r w:rsidR="00BD4A1B" w:rsidRPr="00312A48">
        <w:rPr>
          <w:rFonts w:ascii="Book Antiqua" w:hAnsi="Book Antiqua"/>
        </w:rPr>
        <w:t xml:space="preserve">early </w:t>
      </w:r>
      <w:r w:rsidR="00A97B45" w:rsidRPr="00312A48">
        <w:rPr>
          <w:rFonts w:ascii="Book Antiqua" w:hAnsi="Book Antiqua"/>
        </w:rPr>
        <w:t>patient counseling about the important of reflux management in the treatment of BE, administration of a twice-daily PPI regimen taken 30 min</w:t>
      </w:r>
      <w:r w:rsidR="003D6CEE" w:rsidRPr="00312A48">
        <w:rPr>
          <w:rFonts w:ascii="Book Antiqua" w:hAnsi="Book Antiqua"/>
        </w:rPr>
        <w:t xml:space="preserve"> before breakfast and dinner</w:t>
      </w:r>
      <w:r w:rsidR="00A97B45" w:rsidRPr="00312A48">
        <w:rPr>
          <w:rFonts w:ascii="Book Antiqua" w:hAnsi="Book Antiqua"/>
        </w:rPr>
        <w:t xml:space="preserve">, medication reconciliation and remediation at each subsequent visit, and objective on-treatment pH testing </w:t>
      </w:r>
      <w:r w:rsidR="00BD4A1B" w:rsidRPr="00312A48">
        <w:rPr>
          <w:rFonts w:ascii="Book Antiqua" w:hAnsi="Book Antiqua"/>
        </w:rPr>
        <w:t>in the cases of</w:t>
      </w:r>
      <w:r w:rsidR="00A97B45" w:rsidRPr="00312A48">
        <w:rPr>
          <w:rFonts w:ascii="Book Antiqua" w:hAnsi="Book Antiqua"/>
        </w:rPr>
        <w:t xml:space="preserve"> poor symptom control, reflux esophagitis, or inability to achieve complete eradication o</w:t>
      </w:r>
      <w:r w:rsidR="008D63DD" w:rsidRPr="00312A48">
        <w:rPr>
          <w:rFonts w:ascii="Book Antiqua" w:hAnsi="Book Antiqua"/>
        </w:rPr>
        <w:t xml:space="preserve">f IM after completion of EET. </w:t>
      </w:r>
      <w:r w:rsidR="00A97B45" w:rsidRPr="00312A48">
        <w:rPr>
          <w:rFonts w:ascii="Book Antiqua" w:hAnsi="Book Antiqua"/>
        </w:rPr>
        <w:t xml:space="preserve">This study </w:t>
      </w:r>
      <w:r w:rsidR="003D6CEE" w:rsidRPr="00312A48">
        <w:rPr>
          <w:rFonts w:ascii="Book Antiqua" w:hAnsi="Book Antiqua"/>
        </w:rPr>
        <w:t>revealed</w:t>
      </w:r>
      <w:r w:rsidR="00A97B45" w:rsidRPr="00312A48">
        <w:rPr>
          <w:rFonts w:ascii="Book Antiqua" w:hAnsi="Book Antiqua"/>
        </w:rPr>
        <w:t xml:space="preserve"> that medication compliance</w:t>
      </w:r>
      <w:r w:rsidR="000E588B" w:rsidRPr="00312A48">
        <w:rPr>
          <w:rFonts w:ascii="Book Antiqua" w:hAnsi="Book Antiqua"/>
        </w:rPr>
        <w:t xml:space="preserve"> was</w:t>
      </w:r>
      <w:r w:rsidR="00A97B45" w:rsidRPr="00312A48">
        <w:rPr>
          <w:rFonts w:ascii="Book Antiqua" w:hAnsi="Book Antiqua"/>
        </w:rPr>
        <w:t xml:space="preserve"> poor </w:t>
      </w:r>
      <w:r w:rsidR="003D6CEE" w:rsidRPr="00312A48">
        <w:rPr>
          <w:rFonts w:ascii="Book Antiqua" w:hAnsi="Book Antiqua"/>
        </w:rPr>
        <w:t>initially (only 59% were adherent</w:t>
      </w:r>
      <w:r w:rsidR="000E588B" w:rsidRPr="00312A48">
        <w:rPr>
          <w:rFonts w:ascii="Book Antiqua" w:hAnsi="Book Antiqua"/>
        </w:rPr>
        <w:t>)</w:t>
      </w:r>
      <w:r w:rsidR="00A97B45" w:rsidRPr="00312A48">
        <w:rPr>
          <w:rFonts w:ascii="Book Antiqua" w:hAnsi="Book Antiqua"/>
        </w:rPr>
        <w:t xml:space="preserve"> </w:t>
      </w:r>
      <w:r w:rsidR="000E588B" w:rsidRPr="00312A48">
        <w:rPr>
          <w:rFonts w:ascii="Book Antiqua" w:hAnsi="Book Antiqua"/>
        </w:rPr>
        <w:t>and that a reduction in dose or frequency of PPI use was the only independent factor associated with incompl</w:t>
      </w:r>
      <w:r w:rsidR="003D6CEE" w:rsidRPr="00312A48">
        <w:rPr>
          <w:rFonts w:ascii="Book Antiqua" w:hAnsi="Book Antiqua"/>
        </w:rPr>
        <w:t xml:space="preserve">ete eradication of metaplasia. </w:t>
      </w:r>
      <w:r w:rsidR="000E588B" w:rsidRPr="00312A48">
        <w:rPr>
          <w:rFonts w:ascii="Book Antiqua" w:hAnsi="Book Antiqua"/>
        </w:rPr>
        <w:t>In the patients with incomplete eradication, optimization of their PPI regimen back to twice daily pre-meal dosing with</w:t>
      </w:r>
      <w:r w:rsidR="00BD4A1B" w:rsidRPr="00312A48">
        <w:rPr>
          <w:rFonts w:ascii="Book Antiqua" w:hAnsi="Book Antiqua"/>
        </w:rPr>
        <w:t>, on average, one</w:t>
      </w:r>
      <w:r w:rsidR="000E588B" w:rsidRPr="00312A48">
        <w:rPr>
          <w:rFonts w:ascii="Book Antiqua" w:hAnsi="Book Antiqua"/>
        </w:rPr>
        <w:t xml:space="preserve"> additional session of RFA, subsequently resulted in al</w:t>
      </w:r>
      <w:r w:rsidR="00BD4A1B" w:rsidRPr="00312A48">
        <w:rPr>
          <w:rFonts w:ascii="Book Antiqua" w:hAnsi="Book Antiqua"/>
        </w:rPr>
        <w:t>most 90% of the patient achieving c</w:t>
      </w:r>
      <w:r w:rsidR="000E588B" w:rsidRPr="00312A48">
        <w:rPr>
          <w:rFonts w:ascii="Book Antiqua" w:hAnsi="Book Antiqua"/>
        </w:rPr>
        <w:t>omplete eradication.</w:t>
      </w:r>
      <w:r w:rsidR="00B93332" w:rsidRPr="00312A48">
        <w:rPr>
          <w:rFonts w:ascii="Book Antiqua" w:hAnsi="Book Antiqua"/>
        </w:rPr>
        <w:t xml:space="preserve"> </w:t>
      </w:r>
      <w:r w:rsidR="003D6CEE" w:rsidRPr="00312A48">
        <w:rPr>
          <w:rFonts w:ascii="Book Antiqua" w:hAnsi="Book Antiqua"/>
        </w:rPr>
        <w:t xml:space="preserve">Thus, this highlights the importance of </w:t>
      </w:r>
      <w:r w:rsidR="00CB41A6" w:rsidRPr="00312A48">
        <w:rPr>
          <w:rFonts w:ascii="Book Antiqua" w:hAnsi="Book Antiqua"/>
        </w:rPr>
        <w:t xml:space="preserve">optimizing </w:t>
      </w:r>
      <w:r w:rsidR="003D6CEE" w:rsidRPr="00312A48">
        <w:rPr>
          <w:rFonts w:ascii="Book Antiqua" w:hAnsi="Book Antiqua"/>
        </w:rPr>
        <w:t xml:space="preserve">patient adherence with a twice-daily PPI regimen </w:t>
      </w:r>
      <w:r w:rsidR="00CB41A6" w:rsidRPr="00312A48">
        <w:rPr>
          <w:rFonts w:ascii="Book Antiqua" w:hAnsi="Book Antiqua"/>
        </w:rPr>
        <w:t>in patien</w:t>
      </w:r>
      <w:r w:rsidR="008D63DD" w:rsidRPr="00312A48">
        <w:rPr>
          <w:rFonts w:ascii="Book Antiqua" w:hAnsi="Book Antiqua"/>
        </w:rPr>
        <w:t>ts with dysplastic BE that fails</w:t>
      </w:r>
      <w:r w:rsidR="00B93332" w:rsidRPr="00312A48">
        <w:rPr>
          <w:rFonts w:ascii="Book Antiqua" w:hAnsi="Book Antiqua"/>
        </w:rPr>
        <w:t xml:space="preserve"> initial EET with RFA.</w:t>
      </w:r>
    </w:p>
    <w:p w14:paraId="3544DCF6" w14:textId="77777777" w:rsidR="00DC1B1C" w:rsidRPr="00312A48" w:rsidRDefault="00DC1B1C" w:rsidP="00312A48">
      <w:pPr>
        <w:snapToGrid w:val="0"/>
        <w:spacing w:line="360" w:lineRule="auto"/>
        <w:jc w:val="both"/>
        <w:rPr>
          <w:rFonts w:ascii="Book Antiqua" w:hAnsi="Book Antiqua"/>
        </w:rPr>
      </w:pPr>
    </w:p>
    <w:p w14:paraId="1A4DB751" w14:textId="17DD03CC" w:rsidR="00846186" w:rsidRPr="00312A48" w:rsidRDefault="00B93332" w:rsidP="00312A48">
      <w:pPr>
        <w:snapToGrid w:val="0"/>
        <w:spacing w:line="360" w:lineRule="auto"/>
        <w:jc w:val="both"/>
        <w:rPr>
          <w:rFonts w:ascii="Book Antiqua" w:hAnsi="Book Antiqua"/>
          <w:b/>
          <w:bCs/>
          <w:u w:val="single"/>
        </w:rPr>
      </w:pPr>
      <w:r w:rsidRPr="00312A48">
        <w:rPr>
          <w:rFonts w:ascii="Book Antiqua" w:hAnsi="Book Antiqua"/>
          <w:b/>
          <w:bCs/>
          <w:u w:val="single"/>
        </w:rPr>
        <w:t>ANTI-REFLUX SURGERY</w:t>
      </w:r>
    </w:p>
    <w:p w14:paraId="601EFB72" w14:textId="2EC68E0E" w:rsidR="00BA0950" w:rsidRPr="00312A48" w:rsidRDefault="008D63DD" w:rsidP="00312A48">
      <w:pPr>
        <w:snapToGrid w:val="0"/>
        <w:spacing w:line="360" w:lineRule="auto"/>
        <w:jc w:val="both"/>
        <w:rPr>
          <w:rFonts w:ascii="Book Antiqua" w:hAnsi="Book Antiqua"/>
        </w:rPr>
      </w:pPr>
      <w:r w:rsidRPr="00312A48">
        <w:rPr>
          <w:rFonts w:ascii="Book Antiqua" w:hAnsi="Book Antiqua"/>
        </w:rPr>
        <w:t xml:space="preserve">Sometimes, despite optimal PPI therapy, </w:t>
      </w:r>
      <w:r w:rsidR="00B16BB7" w:rsidRPr="00312A48">
        <w:rPr>
          <w:rFonts w:ascii="Book Antiqua" w:hAnsi="Book Antiqua"/>
        </w:rPr>
        <w:t>acid reflux persists</w:t>
      </w:r>
      <w:r w:rsidR="00BD4A1B" w:rsidRPr="00312A48">
        <w:rPr>
          <w:rFonts w:ascii="Book Antiqua" w:hAnsi="Book Antiqua"/>
        </w:rPr>
        <w:t xml:space="preserve"> and </w:t>
      </w:r>
      <w:r w:rsidRPr="00312A48">
        <w:rPr>
          <w:rFonts w:ascii="Book Antiqua" w:hAnsi="Book Antiqua"/>
        </w:rPr>
        <w:t xml:space="preserve">incomplete eradication of metaplasia and dysplasia </w:t>
      </w:r>
      <w:r w:rsidR="00B16BB7" w:rsidRPr="00312A48">
        <w:rPr>
          <w:rFonts w:ascii="Book Antiqua" w:hAnsi="Book Antiqua"/>
        </w:rPr>
        <w:t xml:space="preserve">results that is refractory to </w:t>
      </w:r>
      <w:r w:rsidR="009F0A09">
        <w:rPr>
          <w:rFonts w:ascii="Book Antiqua" w:hAnsi="Book Antiqua"/>
        </w:rPr>
        <w:t xml:space="preserve">EET. </w:t>
      </w:r>
      <w:r w:rsidRPr="00312A48">
        <w:rPr>
          <w:rFonts w:ascii="Book Antiqua" w:hAnsi="Book Antiqua"/>
        </w:rPr>
        <w:t xml:space="preserve">In the </w:t>
      </w:r>
      <w:r w:rsidR="00BD4A1B" w:rsidRPr="00312A48">
        <w:rPr>
          <w:rFonts w:ascii="Book Antiqua" w:hAnsi="Book Antiqua"/>
        </w:rPr>
        <w:t xml:space="preserve">same </w:t>
      </w:r>
      <w:proofErr w:type="spellStart"/>
      <w:r w:rsidRPr="00312A48">
        <w:rPr>
          <w:rFonts w:ascii="Book Antiqua" w:hAnsi="Book Antiqua"/>
        </w:rPr>
        <w:t>Komanduri</w:t>
      </w:r>
      <w:proofErr w:type="spellEnd"/>
      <w:r w:rsidR="00B93332" w:rsidRPr="00312A48">
        <w:rPr>
          <w:rFonts w:ascii="Book Antiqua" w:hAnsi="Book Antiqua"/>
        </w:rPr>
        <w:t xml:space="preserve"> </w:t>
      </w:r>
      <w:r w:rsidR="00B93332" w:rsidRPr="00312A48">
        <w:rPr>
          <w:rFonts w:ascii="Book Antiqua" w:eastAsia="宋体" w:hAnsi="Book Antiqua"/>
          <w:i/>
          <w:lang w:eastAsia="zh-CN"/>
        </w:rPr>
        <w:t xml:space="preserve">et </w:t>
      </w:r>
      <w:proofErr w:type="gramStart"/>
      <w:r w:rsidR="00B93332" w:rsidRPr="00312A48">
        <w:rPr>
          <w:rFonts w:ascii="Book Antiqua" w:eastAsia="宋体" w:hAnsi="Book Antiqua"/>
          <w:i/>
          <w:lang w:eastAsia="zh-CN"/>
        </w:rPr>
        <w:t>al</w:t>
      </w:r>
      <w:r w:rsidR="00B93332" w:rsidRPr="00312A48">
        <w:rPr>
          <w:rFonts w:ascii="Book Antiqua" w:eastAsia="宋体" w:hAnsi="Book Antiqua"/>
          <w:vertAlign w:val="superscript"/>
          <w:lang w:eastAsia="zh-CN"/>
        </w:rPr>
        <w:t>[</w:t>
      </w:r>
      <w:proofErr w:type="gramEnd"/>
      <w:r w:rsidR="00B93332" w:rsidRPr="00312A48">
        <w:rPr>
          <w:rFonts w:ascii="Book Antiqua" w:eastAsia="宋体" w:hAnsi="Book Antiqua"/>
          <w:vertAlign w:val="superscript"/>
          <w:lang w:eastAsia="zh-CN"/>
        </w:rPr>
        <w:t>29]</w:t>
      </w:r>
      <w:r w:rsidRPr="00312A48">
        <w:rPr>
          <w:rFonts w:ascii="Book Antiqua" w:hAnsi="Book Antiqua"/>
        </w:rPr>
        <w:t xml:space="preserve"> study, these patients were referred for surgical fundoplication, with resultant complete eradication</w:t>
      </w:r>
      <w:r w:rsidR="00BD4A1B" w:rsidRPr="00312A48">
        <w:rPr>
          <w:rFonts w:ascii="Book Antiqua" w:hAnsi="Book Antiqua"/>
        </w:rPr>
        <w:t xml:space="preserve"> of intestinal metaplasia</w:t>
      </w:r>
      <w:r w:rsidR="009216C7" w:rsidRPr="00312A48">
        <w:rPr>
          <w:rFonts w:ascii="Book Antiqua" w:hAnsi="Book Antiqua"/>
        </w:rPr>
        <w:t>.</w:t>
      </w:r>
      <w:r w:rsidRPr="00312A48">
        <w:rPr>
          <w:rFonts w:ascii="Book Antiqua" w:hAnsi="Book Antiqua"/>
        </w:rPr>
        <w:t xml:space="preserve"> </w:t>
      </w:r>
      <w:proofErr w:type="spellStart"/>
      <w:r w:rsidR="009F0A09" w:rsidRPr="009F0A09">
        <w:rPr>
          <w:rFonts w:ascii="Book Antiqua" w:hAnsi="Book Antiqua"/>
        </w:rPr>
        <w:t>Skrobić</w:t>
      </w:r>
      <w:proofErr w:type="spellEnd"/>
      <w:r w:rsidR="00E462B4" w:rsidRPr="009F0A09">
        <w:rPr>
          <w:rFonts w:ascii="Book Antiqua" w:hAnsi="Book Antiqua"/>
        </w:rPr>
        <w:t xml:space="preserve"> </w:t>
      </w:r>
      <w:r w:rsidR="00E462B4" w:rsidRPr="00312A48">
        <w:rPr>
          <w:rFonts w:ascii="Book Antiqua" w:hAnsi="Book Antiqua"/>
          <w:i/>
        </w:rPr>
        <w:t>et al</w:t>
      </w:r>
      <w:r w:rsidR="00B93332" w:rsidRPr="00312A48">
        <w:rPr>
          <w:rFonts w:ascii="Book Antiqua" w:hAnsi="Book Antiqua"/>
          <w:vertAlign w:val="superscript"/>
        </w:rPr>
        <w:t>[30]</w:t>
      </w:r>
      <w:r w:rsidR="00E462B4" w:rsidRPr="00312A48">
        <w:rPr>
          <w:rFonts w:ascii="Book Antiqua" w:hAnsi="Book Antiqua"/>
        </w:rPr>
        <w:t xml:space="preserve"> specifically evaluated patients who had recurrence of metaplasia after RFA after either staying on PPI therapy or those who underwent Nissen fundoplication</w:t>
      </w:r>
      <w:r w:rsidR="003560C4" w:rsidRPr="00312A48">
        <w:rPr>
          <w:rFonts w:ascii="Book Antiqua" w:hAnsi="Book Antiqua"/>
        </w:rPr>
        <w:fldChar w:fldCharType="begin" w:fldLock="1"/>
      </w:r>
      <w:r w:rsidR="003560C4" w:rsidRPr="00312A48">
        <w:rPr>
          <w:rFonts w:ascii="Book Antiqua" w:hAnsi="Book Antiqua"/>
        </w:rPr>
        <w:instrText>ADDIN CSL_CITATION {"citationItems":[{"id":"ITEM-1","itemData":{"DOI":"10.1007/s00464-015-4677-9","ISSN":"1432-2218 (Electronic)\r0930-2794 (Linking)","PMID":"26659238","abstract":"OBJECTIVE: HALO radiofrequency ablation (RFA) has been proven as safe and efficient in eradication of both non- and dysplastic Barrett's esophagus (BE). Definitive post-RFA treatment is yet to be determined. METHODS: RFA was performed in 56 patients with BE, 38 with intestinal metaplasia (IM) and 18 with low-grade dysplasia (LGD), and repeated in case of residual BE. Length of the BE was classified according to C&amp;M criteria. Follow-up included regular upper GI endoscopies with biopsies 6 months, 1 and 2 years after the complete resolution of BE. Patients were divided into two groups regarding post-RFA treatment: those maintaining proton pump inhibitors (PPI) daily and those submitted to laparoscopic Nissen fundoplication (LNF) at least 3 months after BE eradication or synchronous with RFA. RESULTS: There were no perforations or strictures related to RFA. Complete endoscopic resolution of BE was observed in 83.92 % patients (86.84 % IM and 77.77 % LGD), in 25 that maintained PPI and 22 in whom LNF was done. In PPI group, 2-year follow-up revealed BE recurrence in biopsy samples in 20 % of patients, while in LNF group 9.1 % of patients had recurrent IM. In overall sample of patients, no difference was noted regarding the influence of post-RFA treatment (p &lt; 0.423). LNF proved superiority over PPI treatment in patients with long-segment BE (cutoff C &gt; 4 cm, p &lt; 0.021). CONCLUSION: HALO RFA is a safe procedure, with high rate of success in complete eradication of BE in symptomatic GERD patients. LNF provides good protection for neosquamous epithelium and in selected group of patients could be offered as a first line of treatment after HALO RFA.","author":[{"dropping-particle":"","family":"Skrobic","given":"O","non-dropping-particle":"","parse-names":false,"suffix":""},{"dropping-particle":"","family":"Simic","given":"A","non-dropping-particle":"","parse-names":false,"suffix":""},{"dropping-particle":"","family":"Radovanovic","given":"N","non-dropping-particle":"","parse-names":false,"suffix":""},{"dropping-particle":"","family":"Ivanovic","given":"N","non-dropping-particle":"","parse-names":false,"suffix":""},{"dropping-particle":"","family":"Micev","given":"M","non-dropping-particle":"","parse-names":false,"suffix":""},{"dropping-particle":"","family":"Pesko","given":"P","non-dropping-particle":"","parse-names":false,"suffix":""}],"container-title":"Surgical Endoscopy","id":"ITEM-1","issue":"9","issued":{"date-parts":[["2016"]]},"note":"Skrobic, Ognjan\rSimic, Aleksandar\rRadovanovic, Nebojsa\rIvanovic, Nenad\rMicev, Marjan\rPesko, Predrag\reng\rGermany\r2015/12/15 06:00\rSurg Endosc. 2016 Sep;30(9):3802-7. doi: 10.1007/s00464-015-4677-9. Epub 2015 Dec 10.","page":"3802-3807","title":"Significance of Nissen fundoplication after endoscopic radiofrequency ablation of Barrett's esophagus","type":"article-journal","volume":"30"},"uris":["http://www.mendeley.com/documents/?uuid=6d973ca7-2ad3-30c0-a3e2-ce7214bc3806"]}],"mendeley":{"formattedCitation":"&lt;sup&gt;[30]&lt;/sup&gt;","plainTextFormattedCitation":"[30]","previouslyFormattedCitation":"&lt;sup&gt;[30]&lt;/sup&gt;"},"properties":{"noteIndex":0},"schema":"https://github.com/citation-style-language/schema/raw/master/csl-citation.json"}</w:instrText>
      </w:r>
      <w:r w:rsidR="003560C4" w:rsidRPr="00312A48">
        <w:rPr>
          <w:rFonts w:ascii="Book Antiqua" w:hAnsi="Book Antiqua"/>
        </w:rPr>
        <w:fldChar w:fldCharType="separate"/>
      </w:r>
      <w:r w:rsidR="003560C4" w:rsidRPr="00312A48">
        <w:rPr>
          <w:rFonts w:ascii="Book Antiqua" w:hAnsi="Book Antiqua"/>
          <w:noProof/>
          <w:vertAlign w:val="superscript"/>
        </w:rPr>
        <w:t>[30]</w:t>
      </w:r>
      <w:r w:rsidR="003560C4" w:rsidRPr="00312A48">
        <w:rPr>
          <w:rFonts w:ascii="Book Antiqua" w:hAnsi="Book Antiqua"/>
        </w:rPr>
        <w:fldChar w:fldCharType="end"/>
      </w:r>
      <w:r w:rsidR="009216C7" w:rsidRPr="00312A48">
        <w:rPr>
          <w:rFonts w:ascii="Book Antiqua" w:hAnsi="Book Antiqua"/>
        </w:rPr>
        <w:t>.</w:t>
      </w:r>
      <w:r w:rsidR="00E462B4" w:rsidRPr="00312A48">
        <w:rPr>
          <w:rFonts w:ascii="Book Antiqua" w:hAnsi="Book Antiqua"/>
        </w:rPr>
        <w:t xml:space="preserve"> They found recurrence in 20% of patients on PPI, whereas recurrence occurred only in 9% of patients who had undergone fundoplication. This difference became significant in the cohort of patients </w:t>
      </w:r>
      <w:r w:rsidR="009F0A09">
        <w:rPr>
          <w:rFonts w:ascii="Book Antiqua" w:hAnsi="Book Antiqua"/>
        </w:rPr>
        <w:t xml:space="preserve">with long-segment BE. </w:t>
      </w:r>
      <w:r w:rsidR="00CD2DA1" w:rsidRPr="00312A48">
        <w:rPr>
          <w:rFonts w:ascii="Book Antiqua" w:hAnsi="Book Antiqua"/>
        </w:rPr>
        <w:t xml:space="preserve">Furthermore, Johnson </w:t>
      </w:r>
      <w:r w:rsidR="00CD2DA1" w:rsidRPr="00312A48">
        <w:rPr>
          <w:rFonts w:ascii="Book Antiqua" w:hAnsi="Book Antiqua"/>
          <w:i/>
        </w:rPr>
        <w:t>et al</w:t>
      </w:r>
      <w:r w:rsidR="00B93332" w:rsidRPr="00312A48">
        <w:rPr>
          <w:rFonts w:ascii="Book Antiqua" w:hAnsi="Book Antiqua"/>
          <w:vertAlign w:val="superscript"/>
        </w:rPr>
        <w:t>[31]</w:t>
      </w:r>
      <w:r w:rsidR="00B93332" w:rsidRPr="00312A48">
        <w:rPr>
          <w:rFonts w:ascii="Book Antiqua" w:hAnsi="Book Antiqua"/>
        </w:rPr>
        <w:t xml:space="preserve"> </w:t>
      </w:r>
      <w:r w:rsidR="00CD2DA1" w:rsidRPr="00312A48">
        <w:rPr>
          <w:rFonts w:ascii="Book Antiqua" w:hAnsi="Book Antiqua"/>
        </w:rPr>
        <w:t>suggested that Nissen fundoplication after RFA treatment of BE might be more effective than PPI therapy at preventing further progression of disease or the development of cancer</w:t>
      </w:r>
      <w:r w:rsidR="003560C4" w:rsidRPr="00312A48">
        <w:rPr>
          <w:rFonts w:ascii="Book Antiqua" w:hAnsi="Book Antiqua"/>
        </w:rPr>
        <w:fldChar w:fldCharType="begin" w:fldLock="1"/>
      </w:r>
      <w:r w:rsidR="003560C4" w:rsidRPr="00312A48">
        <w:rPr>
          <w:rFonts w:ascii="Book Antiqua" w:hAnsi="Book Antiqua"/>
        </w:rPr>
        <w:instrText>ADDIN CSL_CITATION {"citationItems":[{"id":"ITEM-1","itemData":{"DOI":"10.1007/s11605-015-2783-6","ISSN":"1873-4626 (Electronic)\r1091-255X (Linking)","PMID":"25740341","abstract":"INTRODUCTION: Radiofrequency ablation (RFA) +/- endoscopic resection (EMR) is an established treatment strategy for neoplastic Barrett's and intramucosal cancer. Most patients are managed with proton pump inhibitors. The incidence of recurrent Barrett's metaplasia, dysplasia, or cancer after complete eradication is up to 43 % using this strategy. We hypothesize the addition of fundoplication should result in a lower recurrence rates after complete eradication. METHODS: Multi-institutional retrospective review of patients undergoing endotherapy followed by Nissen fundoplication RESULTS: A total of 49 patients underwent RFA +/- EMR followed by Nissen fundoplication. Complete remission of intestinal metaplasia (CR-IM) was achieved in 26 (53 %) patients, complete remission of dysplasia (CR-D) in 16 (33 %) patients, and 7 (14 %) had persistent neoplastic Barrett's. After fundoplication, 18/26 (70 %) remained in CR-IM. An additional 10/16 CR-D achieved CR-IM and 4/7 with persistent dysplasia achieved CR-IM. One patient progressed to LGD while no patient developed HGD or cancer. CONCLUSION: Endoscopic therapy for Barrett's dysplasia and/or intramucosal cancer followed by fundoplication results in similar durability of CR-IM to patients being managed with PPIs alone after endoscopic therapy. However, fundoplication may be superior in preventing further progression of disease and the development of cancer. Fundoplication is an important strategy to achieve and maintain CR-IM, and facilitate eradication of persistent dysplasia.","author":[{"dropping-particle":"","family":"Johnson","given":"C S","non-dropping-particle":"","parse-names":false,"suffix":""},{"dropping-particle":"","family":"Louie","given":"B E","non-dropping-particle":"","parse-names":false,"suffix":""},{"dropping-particle":"","family":"Wille","given":"A","non-dropping-particle":"","parse-names":false,"suffix":""},{"dropping-particle":"","family":"Dunst","given":"C M","non-dropping-particle":"","parse-names":false,"suffix":""},{"dropping-particle":"","family":"Worrell","given":"S G","non-dropping-particle":"","parse-names":false,"suffix":""},{"dropping-particle":"","family":"DeMeester","given":"S R","non-dropping-particle":"","parse-names":false,"suffix":""},{"dropping-particle":"","family":"Reynolds","given":"J","non-dropping-particle":"","parse-names":false,"suffix":""},{"dropping-particle":"","family":"Dixon","given":"J","non-dropping-particle":"","parse-names":false,"suffix":""},{"dropping-particle":"","family":"Lipham","given":"J C","non-dropping-particle":"","parse-names":false,"suffix":""},{"dropping-particle":"","family":"Lada","given":"M","non-dropping-particle":"","parse-names":false,"suffix":""},{"dropping-particle":"","family":"Peters","given":"J H","non-dropping-particle":"","parse-names":false,"suffix":""},{"dropping-particle":"","family":"Watson","given":"T J","non-dropping-particle":"","parse-names":false,"suffix":""},{"dropping-particle":"","family":"Farivar","given":"A S","non-dropping-particle":"","parse-names":false,"suffix":""},{"dropping-particle":"","family":"Aye","given":"R W","non-dropping-particle":"","parse-names":false,"suffix":""}],"container-title":"Journal of Gastrointestinal Surgery","id":"ITEM-1","issue":"5","issued":{"date-parts":[["2015"]]},"note":"Johnson, Corey S\rLouie, Brian E\rWille, Aaron\rDunst, Christy M\rWorrell, Stephanie G\rDeMeester, Steven R\rReynolds, Jessica\rDixon, Joe\rLipham, John C\rLada, Michal\rPeters, Jeffrey H\rWatson, Thomas J\rFarivar, Alexander S\rAye, Ralph W\reng\rMulticenter Study\r2015/03/06 06:00\rJ Gastrointest Surg. 2015 May;19(5):799-805. doi: 10.1007/s11605-015-2783-6. Epub 2015 Mar 5.","page":"799-805","title":"The Durability of Endoscopic Therapy for Treatment of Barrett's Metaplasia, Dysplasia, and Mucosal Cancer After Nissen Fundoplication","type":"article-journal","volume":"19"},"uris":["http://www.mendeley.com/documents/?uuid=4071d926-fa11-30aa-829b-a2d40d2dd0e1"]}],"mendeley":{"formattedCitation":"&lt;sup&gt;[31]&lt;/sup&gt;","plainTextFormattedCitation":"[31]","previouslyFormattedCitation":"&lt;sup&gt;[31]&lt;/sup&gt;"},"properties":{"noteIndex":0},"schema":"https://github.com/citation-style-language/schema/raw/master/csl-citation.json"}</w:instrText>
      </w:r>
      <w:r w:rsidR="003560C4" w:rsidRPr="00312A48">
        <w:rPr>
          <w:rFonts w:ascii="Book Antiqua" w:hAnsi="Book Antiqua"/>
        </w:rPr>
        <w:fldChar w:fldCharType="separate"/>
      </w:r>
      <w:r w:rsidR="003560C4" w:rsidRPr="00312A48">
        <w:rPr>
          <w:rFonts w:ascii="Book Antiqua" w:hAnsi="Book Antiqua"/>
          <w:noProof/>
          <w:vertAlign w:val="superscript"/>
        </w:rPr>
        <w:t>[31]</w:t>
      </w:r>
      <w:r w:rsidR="003560C4" w:rsidRPr="00312A48">
        <w:rPr>
          <w:rFonts w:ascii="Book Antiqua" w:hAnsi="Book Antiqua"/>
        </w:rPr>
        <w:fldChar w:fldCharType="end"/>
      </w:r>
      <w:r w:rsidR="009216C7" w:rsidRPr="00312A48">
        <w:rPr>
          <w:rFonts w:ascii="Book Antiqua" w:hAnsi="Book Antiqua"/>
        </w:rPr>
        <w:t>.</w:t>
      </w:r>
    </w:p>
    <w:p w14:paraId="03EA0B97" w14:textId="07A46557" w:rsidR="00BA0950" w:rsidRPr="00312A48" w:rsidRDefault="00BA0950" w:rsidP="00312A48">
      <w:pPr>
        <w:snapToGrid w:val="0"/>
        <w:spacing w:line="360" w:lineRule="auto"/>
        <w:ind w:firstLineChars="100" w:firstLine="240"/>
        <w:jc w:val="both"/>
        <w:rPr>
          <w:rFonts w:ascii="Book Antiqua" w:hAnsi="Book Antiqua"/>
        </w:rPr>
      </w:pPr>
      <w:r w:rsidRPr="00312A48">
        <w:rPr>
          <w:rFonts w:ascii="Book Antiqua" w:hAnsi="Book Antiqua"/>
        </w:rPr>
        <w:t xml:space="preserve">Another minimally invasive surgical anti-reflux option includes Magnetic Sphincter Augmentation, which was approved by the FDA in 2012 and involves the laparoscopic placement of magnetic titanium beads on a </w:t>
      </w:r>
      <w:proofErr w:type="gramStart"/>
      <w:r w:rsidRPr="00312A48">
        <w:rPr>
          <w:rFonts w:ascii="Book Antiqua" w:hAnsi="Book Antiqua"/>
        </w:rPr>
        <w:t>stainless steel</w:t>
      </w:r>
      <w:proofErr w:type="gramEnd"/>
      <w:r w:rsidRPr="00312A48">
        <w:rPr>
          <w:rFonts w:ascii="Book Antiqua" w:hAnsi="Book Antiqua"/>
        </w:rPr>
        <w:t xml:space="preserve"> cable at the level of the gastroesophageal junction. These beads reinforce and close the lower esophageal sphincter, </w:t>
      </w:r>
      <w:r w:rsidR="002E5BE0" w:rsidRPr="00312A48">
        <w:rPr>
          <w:rFonts w:ascii="Book Antiqua" w:hAnsi="Book Antiqua"/>
        </w:rPr>
        <w:t>and have been shown to be similarly effective at 1-year follow-up in terms of acid reflux control, and with less side effects, than to laparoscopic Nissen fundoplication</w:t>
      </w:r>
      <w:r w:rsidR="003560C4" w:rsidRPr="00312A48">
        <w:rPr>
          <w:rFonts w:ascii="Book Antiqua" w:hAnsi="Book Antiqua"/>
        </w:rPr>
        <w:fldChar w:fldCharType="begin" w:fldLock="1"/>
      </w:r>
      <w:r w:rsidR="003560C4" w:rsidRPr="00312A48">
        <w:rPr>
          <w:rFonts w:ascii="Book Antiqua" w:hAnsi="Book Antiqua"/>
        </w:rPr>
        <w:instrText>ADDIN CSL_CITATION {"citationItems":[{"id":"ITEM-1","itemData":{"DOI":"10.1016/j.ijsu.2018.02.041","ISSN":"1743-9159 (Electronic)\r1743-9159 (Linking)","PMID":"29471155","abstract":"BACKGROUND: Laparoscopic Nissen and Toupet fundoplication (LF) are currently considered gold-standard surgical treatment for Gastroesophageal Reflux Disease (GERD). Magnetic Sphincter Augmentation (MSA) is an innovative surgical procedure that has been showed to be effective to control GERD symptoms and to reduce esophageal acid exposure. The aim of this systematic review and meta-analysis was to compare early outcomes of LF and MSA. MATERIALS AND METHODS: PubMed, MEDLINE, Embase, and Cochrane databases were consulted matching the terms \"Gastroesophageal reflux or heartburn\", \"LINX or magnetic sphincter augmentation\" and \"fundoplication\". Pooled effect measures were calculated using an inverse-variance weighted or Mantel-Haenszel in random effects meta-analysis. Heterogeneity was evaluated using I(2)-index and Cochrane Q-test. Meta-regression was used to address the effect of potential confounders. RESULTS: Seven observational cohort studies, published between 2014 and 2017, matched the inclusion criteria. Overall, 1211 patients, 686 MSA and 525 LF, were included. Postoperative morbidity ranged from 0 to 3% in the MSA group and from 0 to 7% in the LF group, and there was no mortality. Dysphagia requiring endoscopic dilatation occurred in 9.3% and 6.6% of patients respectively (OR=1.56, 95% CI=0.61-3.95, p=0.119). The pooled OR of gas/bloat symptoms, ability to vomit, and ability to belch were 0.39 (95% CI 0.25-0.61; p&lt;0.001), 10.10 (95% CI 5.33-19.15; p&lt;0.001), and 5.53 (95% CI 3.73-8.19; p&lt;0.001), respectively. The postoperative GERD-HRQL was similar (p=0.101). The pooled OR of PPI suspension, endoscopic dilation, and reoperation were similar in the two patients groups (p=0.548, p=0.119, p=0.183, respectively). CONCLUSION: Both anti-reflux procedures are safe and effective up to 1-year follow-up. PPI suspension rate, dysphagia requiring endoscopic dilatation, and disease-related quality of life are similar in the two patient groups. MSA is associated with less gas/bloat symptoms and increased ability to vomit and belch.","author":[{"dropping-particle":"","family":"Aiolfi","given":"A","non-dropping-particle":"","parse-names":false,"suffix":""},{"dropping-particle":"","family":"Asti","given":"E","non-dropping-particle":"","parse-names":false,"suffix":""},{"dropping-particle":"","family":"Bernardi","given":"D","non-dropping-particle":"","parse-names":false,"suffix":""},{"dropping-particle":"","family":"Bonitta","given":"G","non-dropping-particle":"","parse-names":false,"suffix":""},{"dropping-particle":"","family":"Rausa","given":"E","non-dropping-particle":"","parse-names":false,"suffix":""},{"dropping-particle":"","family":"Siboni","given":"S","non-dropping-particle":"","parse-names":false,"suffix":""},{"dropping-particle":"","family":"Bonavina","given":"L","non-dropping-particle":"","parse-names":false,"suffix":""}],"container-title":"International Journal of Surgery (London, England)","id":"ITEM-1","issued":{"date-parts":[["2018"]]},"note":"Aiolfi, Alberto\rAsti, Emanuele\rBernardi, Daniele\rBonitta, Gianluca\rRausa, Emanuele\rSiboni, Stefano\rBonavina, Luigi\reng\rMeta-Analysis\rReview\rSystematic Review\rEngland\rLondon, England\r2018/02/23 06:00\rInt J Surg. 2018 Apr;52:82-88. doi: 10.1016/j.ijsu.2018.02.041. Epub 2018 Feb 20.","page":"82-88","title":"Early results of magnetic sphincter augmentation versus fundoplication for gastroesophageal reflux disease: Systematic review and meta-analysis","type":"article-journal","volume":"52"},"uris":["http://www.mendeley.com/documents/?uuid=3ea908c3-22c6-34e4-b910-d16ddb275107"]},{"id":"ITEM-2","itemData":{"DOI":"10.1007/s00464-016-5370-3","ISSN":"1432-2218 (Electronic)\r0930-2794 (Linking)","PMID":"27981382","abstract":"BACKGROUND: The LINX((R)) magnetic sphincter augmentation system (MSA) is a surgical technique with short-term evidence demonstrating efficacy in the treatment of medically refractory or chronic gastroesophageal reflux disease (GERD). Currently, the Nissen fundoplication is the gold-standard surgical treatment for GERD. We are the first to systematically review the literature and perform a meta-analysis comparing MSA to the Nissen fundoplication. METHODS: A comprehensive search of electronic databases (e.g., MEDLINE, EMBASE, SCOPUS, Web of Science and the Cochrane Library) using search terms \"Gastroesophageal reflux or heartburn\" and \"LINX or endoluminal or magnetic\" and \"fundoplication or Nissen\" was completed. All randomized controlled trials, non-randomized comparison study and case series with greater than 5 patients were included. Five hundred and forty-seven titles were identified through primary search, and 197 titles or abstracts were screened after removing duplicates. Meta-analysis was performed on postoperative quality of life outcomes, procedural efficacy and patient procedural satisfaction. RESULTS: Three primary studies identified a total of 688 patients, of whom 273 and 415 underwent Nissen fundoplication and MSA, respectively. MSA was statistically superior to LNF in preserving patient's ability to belch (95.2 vs 65.9%, p &lt; 0.00001) and ability to emesis (93.5 vs 49.5%, p &lt; 0.0001). There was no statistically significant difference between MSA and LNF in gas/bloating (26.7 vs 53.4%, p = 0.06), postoperative dysphagia (33.9 vs 47.1%, p = 0.43) and proton pump inhibitor (PPI) elimination (81.4 vs 81.5%, p = 0.68). CONCLUSION: Magnetic sphincter augmentation appears to be an effective treatment for GERD with short-term outcomes comparable to the more technically challenging and time-consuming Nissen fundoplication. Long-term comparative outcome data past 1 year are needed in order to further understand the efficacy of magnetic sphincter augmentation.","author":[{"dropping-particle":"","family":"Skubleny","given":"D","non-dropping-particle":"","parse-names":false,"suffix":""},{"dropping-particle":"","family":"Switzer","given":"N J","non-dropping-particle":"","parse-names":false,"suffix":""},{"dropping-particle":"","family":"Dang","given":"J","non-dropping-particle":"","parse-names":false,"suffix":""},{"dropping-particle":"","family":"Gill","given":"R S","non-dropping-particle":"","parse-names":false,"suffix":""},{"dropping-particle":"","family":"Shi","given":"X","non-dropping-particle":"","parse-names":false,"suffix":""},{"dropping-particle":"","family":"Gara","given":"C","non-dropping-particle":"de","parse-names":false,"suffix":""},{"dropping-particle":"","family":"Birch","given":"D W","non-dropping-particle":"","parse-names":false,"suffix":""},{"dropping-particle":"","family":"Wong","given":"C","non-dropping-particle":"","parse-names":false,"suffix":""},{"dropping-particle":"","family":"Hutter","given":"M M","non-dropping-particle":"","parse-names":false,"suffix":""},{"dropping-particle":"","family":"Karmali","given":"S","non-dropping-particle":"","parse-names":false,"suffix":""}],"container-title":"Surgical Endoscopy","id":"ITEM-2","issue":"8","issued":{"date-parts":[["2017"]]},"note":"Skubleny, Daniel\rSwitzer, Noah J\rDang, Jerry\rGill, Richdeep S\rShi, Xinzhe\rde Gara, Christopher\rBirch, Daniel W\rWong, Clarence\rHutter, Matthew M\rKarmali, Shahzeer\reng\rMeta-Analysis\rReview\rSystematic Review\rGermany\r2016/12/17 06:00\rSurg Endosc. 2017 Aug;31(8):3078-3084. doi: 10.1007/s00464-016-5370-3. Epub 2016 Dec 15.","page":"3078-3084","title":"LINX((R)) magnetic esophageal sphincter augmentation versus Nissen fundoplication for gastroesophageal reflux disease: a systematic review and meta-analysis","type":"article-journal","volume":"31"},"uris":["http://www.mendeley.com/documents/?uuid=db136b40-0eb8-343e-a3c0-ce8bf3539cbd"]}],"mendeley":{"formattedCitation":"&lt;sup&gt;[32,33]&lt;/sup&gt;","plainTextFormattedCitation":"[32,33]","previouslyFormattedCitation":"&lt;sup&gt;[32,33]&lt;/sup&gt;"},"properties":{"noteIndex":0},"schema":"https://github.com/citation-style-language/schema/raw/master/csl-citation.json"}</w:instrText>
      </w:r>
      <w:r w:rsidR="003560C4" w:rsidRPr="00312A48">
        <w:rPr>
          <w:rFonts w:ascii="Book Antiqua" w:hAnsi="Book Antiqua"/>
        </w:rPr>
        <w:fldChar w:fldCharType="separate"/>
      </w:r>
      <w:r w:rsidR="003560C4" w:rsidRPr="00312A48">
        <w:rPr>
          <w:rFonts w:ascii="Book Antiqua" w:hAnsi="Book Antiqua"/>
          <w:noProof/>
          <w:vertAlign w:val="superscript"/>
        </w:rPr>
        <w:t>[32,33]</w:t>
      </w:r>
      <w:r w:rsidR="003560C4" w:rsidRPr="00312A48">
        <w:rPr>
          <w:rFonts w:ascii="Book Antiqua" w:hAnsi="Book Antiqua"/>
        </w:rPr>
        <w:fldChar w:fldCharType="end"/>
      </w:r>
      <w:r w:rsidR="009216C7" w:rsidRPr="00312A48">
        <w:rPr>
          <w:rFonts w:ascii="Book Antiqua" w:hAnsi="Book Antiqua"/>
        </w:rPr>
        <w:t>.</w:t>
      </w:r>
    </w:p>
    <w:p w14:paraId="51BD241B" w14:textId="52C47FB2" w:rsidR="00BA0950" w:rsidRPr="00312A48" w:rsidRDefault="006C2E99" w:rsidP="00312A48">
      <w:pPr>
        <w:snapToGrid w:val="0"/>
        <w:spacing w:line="360" w:lineRule="auto"/>
        <w:ind w:firstLineChars="100" w:firstLine="240"/>
        <w:jc w:val="both"/>
        <w:rPr>
          <w:rFonts w:ascii="Book Antiqua" w:hAnsi="Book Antiqua"/>
        </w:rPr>
      </w:pPr>
      <w:r w:rsidRPr="00312A48">
        <w:rPr>
          <w:rFonts w:ascii="Book Antiqua" w:hAnsi="Book Antiqua"/>
        </w:rPr>
        <w:t xml:space="preserve">These data suggest that patients </w:t>
      </w:r>
      <w:r w:rsidR="002E5BE0" w:rsidRPr="00312A48">
        <w:rPr>
          <w:rFonts w:ascii="Book Antiqua" w:hAnsi="Book Antiqua"/>
        </w:rPr>
        <w:t xml:space="preserve">with BE </w:t>
      </w:r>
      <w:r w:rsidRPr="00312A48">
        <w:rPr>
          <w:rFonts w:ascii="Book Antiqua" w:hAnsi="Book Antiqua"/>
        </w:rPr>
        <w:t>who fail to achieve</w:t>
      </w:r>
      <w:r w:rsidR="002E5BE0" w:rsidRPr="00312A48">
        <w:rPr>
          <w:rFonts w:ascii="Book Antiqua" w:hAnsi="Book Antiqua"/>
        </w:rPr>
        <w:t xml:space="preserve"> complete eradication </w:t>
      </w:r>
      <w:r w:rsidRPr="00312A48">
        <w:rPr>
          <w:rFonts w:ascii="Book Antiqua" w:hAnsi="Book Antiqua"/>
        </w:rPr>
        <w:t xml:space="preserve">with RFA therapy </w:t>
      </w:r>
      <w:r w:rsidR="002E5BE0" w:rsidRPr="00312A48">
        <w:rPr>
          <w:rFonts w:ascii="Book Antiqua" w:hAnsi="Book Antiqua"/>
        </w:rPr>
        <w:t xml:space="preserve">due to persistent uncontrolled esophageal acid reflux </w:t>
      </w:r>
      <w:r w:rsidRPr="00312A48">
        <w:rPr>
          <w:rFonts w:ascii="Book Antiqua" w:hAnsi="Book Antiqua"/>
        </w:rPr>
        <w:t xml:space="preserve">may benefit from subsequent fundoplication </w:t>
      </w:r>
      <w:r w:rsidR="004713D5" w:rsidRPr="00312A48">
        <w:rPr>
          <w:rFonts w:ascii="Book Antiqua" w:hAnsi="Book Antiqua"/>
        </w:rPr>
        <w:t xml:space="preserve">or sphincter augmentation </w:t>
      </w:r>
      <w:r w:rsidRPr="00312A48">
        <w:rPr>
          <w:rFonts w:ascii="Book Antiqua" w:hAnsi="Book Antiqua"/>
        </w:rPr>
        <w:t>for better reflux control.</w:t>
      </w:r>
    </w:p>
    <w:p w14:paraId="7342B673" w14:textId="77777777" w:rsidR="006C2E99" w:rsidRPr="00312A48" w:rsidRDefault="006C2E99" w:rsidP="00312A48">
      <w:pPr>
        <w:snapToGrid w:val="0"/>
        <w:spacing w:line="360" w:lineRule="auto"/>
        <w:jc w:val="both"/>
        <w:rPr>
          <w:rFonts w:ascii="Book Antiqua" w:hAnsi="Book Antiqua"/>
          <w:u w:val="single"/>
        </w:rPr>
      </w:pPr>
    </w:p>
    <w:p w14:paraId="6E65C7CA" w14:textId="5C8E87F6" w:rsidR="00846186" w:rsidRPr="00312A48" w:rsidRDefault="00B93332" w:rsidP="00312A48">
      <w:pPr>
        <w:snapToGrid w:val="0"/>
        <w:spacing w:line="360" w:lineRule="auto"/>
        <w:jc w:val="both"/>
        <w:rPr>
          <w:rFonts w:ascii="Book Antiqua" w:hAnsi="Book Antiqua"/>
          <w:b/>
          <w:bCs/>
          <w:u w:val="single"/>
        </w:rPr>
      </w:pPr>
      <w:r w:rsidRPr="00312A48">
        <w:rPr>
          <w:rFonts w:ascii="Book Antiqua" w:hAnsi="Book Antiqua"/>
          <w:b/>
          <w:bCs/>
          <w:u w:val="single"/>
        </w:rPr>
        <w:t>ENDOSCOPIC ANTI-REFLUX THERAPY</w:t>
      </w:r>
    </w:p>
    <w:p w14:paraId="1D5F9472" w14:textId="525A28A5" w:rsidR="006C2E99" w:rsidRPr="00312A48" w:rsidRDefault="00BE6BC8" w:rsidP="00312A48">
      <w:pPr>
        <w:snapToGrid w:val="0"/>
        <w:spacing w:line="360" w:lineRule="auto"/>
        <w:jc w:val="both"/>
        <w:rPr>
          <w:rFonts w:ascii="Book Antiqua" w:hAnsi="Book Antiqua"/>
        </w:rPr>
      </w:pPr>
      <w:r w:rsidRPr="00312A48">
        <w:rPr>
          <w:rFonts w:ascii="Book Antiqua" w:hAnsi="Book Antiqua"/>
        </w:rPr>
        <w:t>There will remain a cohort of patients with persistent dysplasia and metaplasia i</w:t>
      </w:r>
      <w:r w:rsidR="002E5BE0" w:rsidRPr="00312A48">
        <w:rPr>
          <w:rFonts w:ascii="Book Antiqua" w:hAnsi="Book Antiqua"/>
        </w:rPr>
        <w:t xml:space="preserve">n whom optimized PPI therapy is </w:t>
      </w:r>
      <w:r w:rsidRPr="00312A48">
        <w:rPr>
          <w:rFonts w:ascii="Book Antiqua" w:hAnsi="Book Antiqua"/>
        </w:rPr>
        <w:t xml:space="preserve">not sufficient for </w:t>
      </w:r>
      <w:r w:rsidR="002E5BE0" w:rsidRPr="00312A48">
        <w:rPr>
          <w:rFonts w:ascii="Book Antiqua" w:hAnsi="Book Antiqua"/>
        </w:rPr>
        <w:t>reflux control</w:t>
      </w:r>
      <w:r w:rsidRPr="00312A48">
        <w:rPr>
          <w:rFonts w:ascii="Book Antiqua" w:hAnsi="Book Antiqua"/>
        </w:rPr>
        <w:t xml:space="preserve">, but who also </w:t>
      </w:r>
      <w:r w:rsidRPr="00312A48">
        <w:rPr>
          <w:rFonts w:ascii="Book Antiqua" w:hAnsi="Book Antiqua"/>
        </w:rPr>
        <w:lastRenderedPageBreak/>
        <w:t>are not candidates for or do not want to undergo</w:t>
      </w:r>
      <w:r w:rsidR="009F0A09">
        <w:rPr>
          <w:rFonts w:ascii="Book Antiqua" w:hAnsi="Book Antiqua"/>
        </w:rPr>
        <w:t xml:space="preserve"> surgical anti-reflux therapy. </w:t>
      </w:r>
      <w:r w:rsidRPr="00312A48">
        <w:rPr>
          <w:rFonts w:ascii="Book Antiqua" w:hAnsi="Book Antiqua"/>
        </w:rPr>
        <w:t>For these patients, endoscopic anti-reflux pr</w:t>
      </w:r>
      <w:r w:rsidR="009F0A09">
        <w:rPr>
          <w:rFonts w:ascii="Book Antiqua" w:hAnsi="Book Antiqua"/>
        </w:rPr>
        <w:t xml:space="preserve">ocedures may be a possibility. </w:t>
      </w:r>
      <w:r w:rsidRPr="00312A48">
        <w:rPr>
          <w:rFonts w:ascii="Book Antiqua" w:hAnsi="Book Antiqua"/>
        </w:rPr>
        <w:t>Transoral incisionless fundoplication (TIF) is an endoscopic suturing procedure that repairs the anti-reflux barrier by creating a 2-4</w:t>
      </w:r>
      <w:r w:rsidR="00394956" w:rsidRPr="00312A48">
        <w:rPr>
          <w:rFonts w:ascii="Book Antiqua" w:hAnsi="Book Antiqua"/>
        </w:rPr>
        <w:t xml:space="preserve"> </w:t>
      </w:r>
      <w:r w:rsidRPr="00312A48">
        <w:rPr>
          <w:rFonts w:ascii="Book Antiqua" w:hAnsi="Book Antiqua"/>
        </w:rPr>
        <w:t xml:space="preserve">cm flap valve and a </w:t>
      </w:r>
      <w:proofErr w:type="gramStart"/>
      <w:r w:rsidRPr="00312A48">
        <w:rPr>
          <w:rFonts w:ascii="Book Antiqua" w:hAnsi="Book Antiqua"/>
        </w:rPr>
        <w:t>270 degree</w:t>
      </w:r>
      <w:proofErr w:type="gramEnd"/>
      <w:r w:rsidRPr="00312A48">
        <w:rPr>
          <w:rFonts w:ascii="Book Antiqua" w:hAnsi="Book Antiqua"/>
        </w:rPr>
        <w:t xml:space="preserve"> fundoplication with the </w:t>
      </w:r>
      <w:r w:rsidR="00394956" w:rsidRPr="00312A48">
        <w:rPr>
          <w:rFonts w:ascii="Book Antiqua" w:hAnsi="Book Antiqua"/>
        </w:rPr>
        <w:t>deployment</w:t>
      </w:r>
      <w:r w:rsidRPr="00312A48">
        <w:rPr>
          <w:rFonts w:ascii="Book Antiqua" w:hAnsi="Book Antiqua"/>
        </w:rPr>
        <w:t xml:space="preserve"> of endoscopic </w:t>
      </w:r>
      <w:r w:rsidR="00394956" w:rsidRPr="00312A48">
        <w:rPr>
          <w:rFonts w:ascii="Book Antiqua" w:hAnsi="Book Antiqua"/>
        </w:rPr>
        <w:t xml:space="preserve">fasteners. Multiple studies have shown that </w:t>
      </w:r>
      <w:r w:rsidR="00152A26" w:rsidRPr="00312A48">
        <w:rPr>
          <w:rFonts w:ascii="Book Antiqua" w:hAnsi="Book Antiqua"/>
        </w:rPr>
        <w:t>long term reflux control through a 10 year follow</w:t>
      </w:r>
      <w:r w:rsidR="00B93332" w:rsidRPr="00312A48">
        <w:rPr>
          <w:rFonts w:ascii="Book Antiqua" w:hAnsi="Book Antiqua"/>
        </w:rPr>
        <w:t>-</w:t>
      </w:r>
      <w:r w:rsidR="00152A26" w:rsidRPr="00312A48">
        <w:rPr>
          <w:rFonts w:ascii="Book Antiqua" w:hAnsi="Book Antiqua"/>
        </w:rPr>
        <w:t>up period after the procedure are better with TIF than with treatment with PPI therapy alone</w:t>
      </w:r>
      <w:r w:rsidR="003560C4" w:rsidRPr="00312A48">
        <w:rPr>
          <w:rFonts w:ascii="Book Antiqua" w:hAnsi="Book Antiqua"/>
        </w:rPr>
        <w:fldChar w:fldCharType="begin" w:fldLock="1"/>
      </w:r>
      <w:r w:rsidR="00EB3C04" w:rsidRPr="00312A48">
        <w:rPr>
          <w:rFonts w:ascii="Book Antiqua" w:hAnsi="Book Antiqua"/>
        </w:rPr>
        <w:instrText>ADDIN CSL_CITATION {"citationItems":[{"id":"ITEM-1","itemData":{"DOI":"10.1038/ajg.2015.28","ISSN":"1572-0241 (Electronic)\r0002-9270 (Linking)","PMID":"25823768","abstract":"OBJECTIVES: Transoral incisionless fundoplication (TIF) was developed in an attempt to create a minimally invasive endoscopic procedure that mimics antireflux surgery. The objective of this trial was to evaluate effectiveness of TIF compared with proton pump inhibition in a population consisting of gastroesophageal reflux disease (GERD) patients controlled with proton pump inhibitors (PPIs) who opted for an endoscopic intervention over lifelong drug dependence. METHODS: Patients with chronic GERD were randomized (2:1) for TIF or continuation of PPI therapy. American Society of Anesthesiologists &gt;2, body mass index &gt;35 kg/m(2), hiatal hernia &gt;2 cm, and esophageal motility disorders were exclusion criteria. Primary outcome measure was GERD-related quality of life. Secondary outcome measures were esophageal acid exposure, number of reflux episodes, PPI usage, appearance of the gastroesophageal valve, and healing of reflux esophagitis. Crossover for the PPI group was allowed after 6 months. RESULTS: A total of 60 patients (TIF n=40, PPI n=20, mean body mass index 26 kg/m(2), 37 male) were included. At 6 months, GERD symptoms were more improved in the TIF group compared with the PPI group (P&lt;0.001), with a similar improvement of distal esophageal acid exposure (P=0.228) compared with baseline. The pH normalization for TIF group and PPI group was 50% and 63%, respectively. All patients allocated for PPI treatment opted for crossover. At 12 months, quality of life remained improved after TIF compared with baseline (P&lt;0.05), but no improvement in esophageal acid exposure compared with baseline was found (P=0.171) and normalization of pH was accomplished in only 29% in conjunction with deteriorated valve appearances at endoscopy and resumption of PPIs in 61%. CONCLUSION: Although TIF resulted in an improved GERD-related quality of life and produced a short-term improvement of the antireflux barrier in a selected group of GERD patients, no long-term objective reflux control was achieved.","author":[{"dropping-particle":"","family":"Witteman","given":"B P","non-dropping-particle":"","parse-names":false,"suffix":""},{"dropping-particle":"","family":"Conchillo","given":"J M","non-dropping-particle":"","parse-names":false,"suffix":""},{"dropping-particle":"","family":"Rinsma","given":"N F","non-dropping-particle":"","parse-names":false,"suffix":""},{"dropping-particle":"","family":"Betzel","given":"B","non-dropping-particle":"","parse-names":false,"suffix":""},{"dropping-particle":"","family":"Peeters","given":"A","non-dropping-particle":"","parse-names":false,"suffix":""},{"dropping-particle":"","family":"Koek","given":"G H","non-dropping-particle":"","parse-names":false,"suffix":""},{"dropping-particle":"","family":"Stassen","given":"L P","non-dropping-particle":"","parse-names":false,"suffix":""},{"dropping-particle":"","family":"Bouvy","given":"N D","non-dropping-particle":"","parse-names":false,"suffix":""}],"container-title":"American Journal of Gastroenterology","id":"ITEM-1","issue":"4","issued":{"date-parts":[["2015"]]},"note":"Witteman, Bart P L\rConchillo, Jose M\rRinsma, Nicolaas F\rBetzel, Bark\rPeeters, Andrea\rKoek, Ger H\rStassen, Laurents P S\rBouvy, Nicole D\reng\rComparative Study\rMulticenter Study\rRandomized Controlled Trial\rResearch Support, Non-U.S. Gov't\r2015/04/01 06:00\rAm J Gastroenterol. 2015 Apr;110(4):531-42. doi: 10.1038/ajg.2015.28. Epub 2015 Mar 31.","page":"531-542","title":"Randomized controlled trial of transoral incisionless fundoplication vs. proton pump inhibitors for treatment of gastroesophageal reflux disease","type":"article-journal","volume":"110"},"uris":["http://www.mendeley.com/documents/?uuid=233fd9ca-8e13-3c26-986a-5965c10a0f0f"]},{"id":"ITEM-2","itemData":{"DOI":"10.1177/1553350612459275","ISSN":"1553-3514 (Electronic)\r1553-3506 (Linking)","PMID":"22968006","abstract":"BACKGROUND: To date, there are no long-term data on the use of transoral incisionless fundoplication (TIF) for the treatment of chronic gastroesophageal reflux disease (GERD). We sought to prospectively evaluate the long-term safety and durability of TIF in a multi-center setting. METHODS: A longitudinal per protocol (PP) and a modified intention-to-treat (mITT) analysis at 1 and 3 years consisted of symptom evaluation using the GERD health-related quality of life (GERD-HRQL) questionnaire, medication use, upper gastrointestinal endoscopy, and pH-metry. RESULTS: Of 79 patients previously reported at 1 year, 12 were lost to follow-up, and 1 died from an unrelated cause. The remaining 66 patients were followed up and analyzed (mITT). Of 66 patients, 12 underwent revisional procedures, leaving 54 patients for PP analysis at a median of 3.1 years (range = 2.9-3.6). No adverse events related to TIF were reported at 2- or 3-year follow-up. On PP analysis, median GERD-HRQL score off proton pump inhibitors (PPIs) improved significantly to 4 (range 0-32) from both off (25 [13-38], P &lt; .0001) and on (9 [0-22], P &lt; .0001) PPIs. Discontinuation of daily PPIs was sustained in 61% (mITT) and 74% (PP) of patients. Of 11 patients with pH data at 3 years (PP), 9 (82%) remained normal. Based on mITT analysis, 9/23 (39%) remained normal at 3 years. CONCLUSIONS: The clinical outcomes at 3 years following TIF, patient satisfaction, healing of erosive esophagitis, and cessation of PPI medication support long-term safety and durability of the TIF procedure for those with initial treatment success. Although complete normalization of pH studies occurred in a minority of patients, successful cases showed long-term durability.","author":[{"dropping-particle":"","family":"Muls","given":"V","non-dropping-particle":"","parse-names":false,"suffix":""},{"dropping-particle":"","family":"Eckardt","given":"A J","non-dropping-particle":"","parse-names":false,"suffix":""},{"dropping-particle":"","family":"Marchese","given":"M","non-dropping-particle":"","parse-names":false,"suffix":""},{"dropping-particle":"","family":"Bastens","given":"B","non-dropping-particle":"","parse-names":false,"suffix":""},{"dropping-particle":"","family":"Buset","given":"M","non-dropping-particle":"","parse-names":false,"suffix":""},{"dropping-particle":"","family":"Deviere","given":"J","non-dropping-particle":"","parse-names":false,"suffix":""},{"dropping-particle":"","family":"Louis","given":"H","non-dropping-particle":"","parse-names":false,"suffix":""},{"dropping-particle":"","family":"Rajan","given":"A","non-dropping-particle":"","parse-names":false,"suffix":""},{"dropping-particle":"","family":"Daniel","given":"M A","non-dropping-particle":"","parse-names":false,"suffix":""},{"dropping-particle":"","family":"Costamagna","given":"G","non-dropping-particle":"","parse-names":false,"suffix":""}],"container-title":"Surgical Innovation","id":"ITEM-2","issue":"4","issued":{"date-parts":[["2013"]]},"note":"Muls, Vinciane\rEckardt, Alexander J\rMarchese, Michele\rBastens, Boris\rBuset, Michel\rDeviere, Jacques\rLouis, Hubert\rRajan, Amin\rDaniel, Michael A\rCostamagna, Guido\reng\rClinical Trial\rMulticenter Study\rResearch Support, Non-U.S. Gov't\r2012/09/13 06:00\rSurg Innov. 2013 Aug;20(4):321-30. doi: 10.1177/1553350612459275. Epub 2012 Sep 11.","page":"321-330","title":"Three-year results of a multicenter prospective study of transoral incisionless fundoplication","type":"article-journal","volume":"20"},"uris":["http://www.mendeley.com/documents/?uuid=1000fa78-f49c-3a51-ac0c-db99f39b9091"]},{"id":"ITEM-3","itemData":{"DOI":"10.1007/s00464-014-4008-6","ISSN":"1432-2218 (Electronic)\r0930-2794 (Linking)","PMID":"25480624","abstract":"BACKGROUND: Transoral incisionless fundoplication (TIF) with the EsophyX device creates an antireflux valve with good functional results in patients with gastro-esophageal reflux disease (GERD). The aim of this study was to assess the long-term effect of TIF 2.0 on pathological reflux and symptoms in GERD patients with daily dependence on proton pump inhibitors (PPI). METHODS: Fifty patients underwent TIF. All underwent GERD-HRQL and GERD-QUAL questionnaires, upper GI endoscopy, esophageal manometry, and 24-h pH-impedance before and 6, 12, and 24 months after TIF, and subsequent yearly clinical re-evaluation. RESULTS: Patients were followed for up to six years (mean 52.7 +/- 19.7 months). In all, 83.7, 79.6, 87.8, and 84.4% of patients stopped or halved the PPI therapy 6, 12, 24, and 36 months after TIF. Three-year figure remained stable up to 6 years. Symptom scores off PPI were significantly lower at 6, 12, 24, and 36 months. At 6 months, Hill's grade I of the newly created valve persisted in all pre-procedure Hill's grade I patients, in 66.7% of grade II and 58.3% of grade III. This figure remained substantially unchanged at 12 and 24 months, too. Impedance monitoring indicated significantly fewer total and acid refluxes after treatment (p = 0.01). Factors predicting good outcomes were pre-procedure Hill's grade I-II, no hiatal hernia or hernia &lt;/=2 cm (p = 0.03), absence of ineffective esophageal motility (p &lt; 0.0001), and number of fasteners deployed (p = 0.01). CONCLUSIONS: TIF by the EsophyX achieved lasting elimination of daily dependence on PPI in 75-80% of patients for up to 6 years. TIF seems an effective therapy for selected symptomatic GERD patients.","author":[{"dropping-particle":"","family":"Testoni","given":"P A","non-dropping-particle":"","parse-names":false,"suffix":""},{"dropping-particle":"","family":"Testoni","given":"S","non-dropping-particle":"","parse-names":false,"suffix":""},{"dropping-particle":"","family":"Mazzoleni","given":"G","non-dropping-particle":"","parse-names":false,"suffix":""},{"dropping-particle":"","family":"Vailati","given":"C","non-dropping-particle":"","parse-names":false,"suffix":""},{"dropping-particle":"","family":"Passaretti","given":"S","non-dropping-particle":"","parse-names":false,"suffix":""}],"container-title":"Surgical Endoscopy","id":"ITEM-3","issue":"9","issued":{"date-parts":[["2015"]]},"note":"Testoni, Pier Alberto\rTestoni, Sabrina\rMazzoleni, Giorgia\rVailati, Cristian\rPassaretti, Sandro\reng\rGermany\r2014/12/07 06:00\rSurg Endosc. 2015 Sep;29(9):2770-80. doi: 10.1007/s00464-014-4008-6. Epub 2014 Dec 6.","page":"2770-2780","title":"Long-term efficacy of transoral incisionless fundoplication with Esophyx (Tif 2.0) and factors affecting outcomes in GERD patients followed for up to 6 years: a prospective single-center study","type":"article-journal","volume":"29"},"uris":["http://www.mendeley.com/documents/?uuid=ee9e1f61-6c52-39d7-a9f8-8c7eb9e4774c"]},{"id":"ITEM-4","itemData":{"DOI":"10.1007/s00464-016-5252-8","ISSN":"1432-2218 (Electronic)\r0930-2794 (Linking)","PMID":"27655380","abstract":"BACKGROUND: Four randomized controlled trials have demonstrated the short-term efficacy and safety of transoral esophagogastric fundoplication (TF) performed with the EsophyX((R)) device in eliminating troublesome gastroesophageal reflux disease (GERD) symptoms in well-selected patient populations. The aim of this study was to assess the durability of these outcomes at 3 years post-procedure. METHODS: The TF EsophyX versus Medical PPI Open Label trial was conducted in seven US sites. Between June and August 2012, we enrolled patients with small (&lt;2 cm) or absent hiatal hernias who suffered from troublesome GERD symptoms while on PPI therapy for at least 6 months and had abnormal esophageal acid exposure (EAE). Randomization was to TF group (n = 40) or to PPI group (n = 23). Following evaluation at 6 months, all remaining PPI patients (n = 21) elected to undergo crossover to TF. Fifty-two patients were assessed at 3 years for (1) GERD symptom resolution using three GERD-specific quality of life questionnaires, (2) healing of esophagitis using endoscopy, (3) EAE using 48-h Bravo testing, and (4) discontinuation of PPI use. Two patients who underwent revisional procedures by year 3 were included in the final analysis. RESULTS: At 3-year follow-up, elimination of troublesome regurgitation and all atypical symptoms was reported by 90 % (37/41) and 88 % (42/48) of patients, respectively. The mean Reflux Symptom Index score improved from 22.2 (9.2) on PPIs at screening to 4 (7.1) off PPIs 3 years post-TF, p &lt; 0.0001. The mean total % time pH &lt;4 improved from 10.5 (3.5) to 7.8 (5.7), p = 0.0283. Esophagitis was healed in 86 % (19/22) of patients. At the end of study, 71 % (37/52) of patients had discontinued PPI therapy. All outcome measures remained stable between 1-, 2-, and 3-year follow-ups. CONCLUSION: This study demonstrates that TF can be used to achieve long-term control of chronic GERD symptoms, healing of esophagitis, and improvement in EAE.","author":[{"dropping-particle":"","family":"Trad","given":"K S","non-dropping-particle":"","parse-names":false,"suffix":""},{"dropping-particle":"","family":"Fox","given":"M A","non-dropping-particle":"","parse-names":false,"suffix":""},{"dropping-particle":"","family":"Simoni","given":"G","non-dropping-particle":"","parse-names":false,"suffix":""},{"dropping-particle":"","family":"Shughoury","given":"A B","non-dropping-particle":"","parse-names":false,"suffix":""},{"dropping-particle":"","family":"Mavrelis","given":"P G","non-dropping-particle":"","parse-names":false,"suffix":""},{"dropping-particle":"","family":"Raza","given":"M","non-dropping-particle":"","parse-names":false,"suffix":""},{"dropping-particle":"","family":"Heise","given":"J A","non-dropping-particle":"","parse-names":false,"suffix":""},{"dropping-particle":"","family":"Barnes","given":"W E","non-dropping-particle":"","parse-names":false,"suffix":""}],"container-title":"Surgical Endoscopy","id":"ITEM-4","issue":"6","issued":{"date-parts":[["2017"]]},"note":"Trad, Karim S\rFox, Mark A\rSimoni, Gilbert\rShughoury, Ahmad B\rMavrelis, Peter G\rRaza, Mamoon\rHeise, Jeffrey A\rBarnes, William E\reng\rRandomized Controlled Trial\rGermany\r2016/09/23 06:00\rSurg Endosc. 2017 Jun;31(6):2498-2508. doi: 10.1007/s00464-016-5252-8. Epub 2016 Sep 21.","page":"2498-2508","title":"Transoral fundoplication offers durable symptom control for chronic GERD: 3-year report from the TEMPO randomized trial with a crossover arm","type":"article-journal","volume":"31"},"uris":["http://www.mendeley.com/documents/?uuid=0e7e3d26-9e28-3f86-9292-87256409b52e"]},{"id":"ITEM-5","itemData":{"DOI":"10.1177/1553350618755214","ISSN":"1553-3514 (Electronic)\r1553-3506 (Linking)","PMID":"29405886","abstract":"BACKGROUND: Questions remain about the therapeutic durability of transoral incisionless fundoplication (TIF). In this study, clinical outcomes were evaluated at 5 years post-TIF 2.0. METHODS: A total of 63 chronic gastroesophageal reflux disease (GERD) sufferers with troublesome symptoms refractory to proton pump inhibitor (PPI) therapy, absent or &lt;/=2 cm hiatal hernia, and abnormal esophageal acid exposure were randomized to the TIF group or PPI group. Following the 6-month evaluation, all patients in the PPI group elected for crossover to TIF; therefore, all 63 patients underwent TIF 2.0 with EsophyX2 device. Primary outcome was elimination of daily troublesome regurgitation and atypical symptoms at the 5-year follow-up. Secondary outcomes were improvement in symptom scores, PPI use, reoperations, and patient health satisfaction. The cost-effectiveness of TIF 2.0 was also estimated. RESULTS: Of 63 patients, 60 were available at 1 year, 52 at 3 years, and 44 at 5 years for evaluation. Troublesome regurgitation was eliminated in 88% of patients at 1 year, 90% at 3 years, and 86% at 5 years. Resolution of troublesome atypical symptoms was achieved in 82% of patients at 1 year, 88% at 3 years, and 80% at 5 years. No serious adverse events occurred. There were 3 reoperations by the end of the 5-year follow-up. At the 5-year follow-up, 34% of patients were on daily PPI therapy as compared with 100% of patients at screening. The total GERD Health-related quality-of-life score improved by decreasing from 22.2 to 6.8 at 5 years ( P &lt; .001). CONCLUSION: In this patient population, the TIF 2.0 procedure provided safe and sustained long-term elimination of troublesome GERD symptoms.","author":[{"dropping-particle":"","family":"Trad","given":"K S","non-dropping-particle":"","parse-names":false,"suffix":""},{"dropping-particle":"","family":"Barnes","given":"W E","non-dropping-particle":"","parse-names":false,"suffix":""},{"dropping-particle":"","family":"Prevou","given":"E R","non-dropping-particle":"","parse-names":false,"suffix":""},{"dropping-particle":"","family":"Simoni","given":"G","non-dropping-particle":"","parse-names":false,"suffix":""},{"dropping-particle":"","family":"Steffen","given":"J A","non-dropping-particle":"","parse-names":false,"suffix":""},{"dropping-particle":"","family":"Shughoury","given":"A B","non-dropping-particle":"","parse-names":false,"suffix":""},{"dropping-particle":"","family":"Raza","given":"M","non-dropping-particle":"","parse-names":false,"suffix":""},{"dropping-particle":"","family":"Heise","given":"J A","non-dropping-particle":"","parse-names":false,"suffix":""},{"dropping-particle":"","family":"Fox","given":"M A","non-dropping-particle":"","parse-names":false,"suffix":""},{"dropping-particle":"","family":"Mavrelis","given":"P G","non-dropping-particle":"","parse-names":false,"suffix":""}],"container-title":"Surgical Innovation","id":"ITEM-5","issue":"2","issued":{"date-parts":[["2018"]]},"note":"Trad, Karim S\rBarnes, William E\rPrevou, Elizabeth R\rSimoni, Gilbert\rSteffen, Jennifer A\rShughoury, Ahmad B\rRaza, Mamoon\rHeise, Jeffrey A\rFox, Mark A\rMavrelis, Peter G\reng\rMulticenter Study\rRandomized Controlled Trial\r2018/02/07 06:00\rSurg Innov. 2018 Apr;25(2):149-157. doi: 10.1177/1553350618755214. Epub 2018 Feb 6.","page":"149-157","title":"The TEMPO Trial at 5 Years: Transoral Fundoplication (TIF 2.0) Is Safe, Durable, and Cost-effective","type":"article-journal","volume":"25"},"uris":["http://www.mendeley.com/documents/?uuid=e468ec0d-8057-3fbd-9ff4-e63b34b2462f"]},{"id":"ITEM-6","itemData":{"DOI":"10.1055/a-0820-2297","ISSN":"2364-3722 (Print)\r2196-9736 (Linking)","PMID":"31058207","abstract":"Background Transoral incisionless fundoplication with EsophyX is reported to be effective in patients with gastroesophageal reflux disease in short-medium term follow-up. Aim To examine clinical outcomes up to 10 years. Methods In total, 51 procedures were performed in 50 patients. All entered a yearly clinical follow-up schedule including gastroesophageal reflux disease health-related quality-of-life questionnaires, heartburn and regurgitation scores, and daily proton pump inhibitor consumption. Results The procedure was successfully performed in 49/50 patients. Severe complications occurred in 2/51 procedures. The remaining 49 patients were re-evaluated at 2 and 3 years, 41 after 5 years, 30 after 7 years, and 14 after 10 years. Eight patients were lost to follow-up between 3 and 5 years. Seven patients who were unresponsive to endoscopic fundoplication underwent surgical fundoplication. The mean scores at 2 years were significantly lower than before the procedure and did not change substantially during the follow-up. The rates of patients who had stopped or halved antisecretive therapy 2, 3, 5, 7, and 10 years after the procedure were 86.7 %, 84.4 %, 73.5 %, 83.3 %, and 91.7 %, respectively. Conclusions Transoral incisionless fundoplication with EsophyX is an effective therapeutic option for symptomatic gastroesophageal reflux disease patients, with Hill grades I - II or hiatal hernia &lt; 2 cm, who refuse life-long medical therapy or surgery.","author":[{"dropping-particle":"","family":"Testoni","given":"P A","non-dropping-particle":"","parse-names":false,"suffix":""},{"dropping-particle":"","family":"Testoni","given":"S","non-dropping-particle":"","parse-names":false,"suffix":""},{"dropping-particle":"","family":"Distefano","given":"G","non-dropping-particle":"","parse-names":false,"suffix":""},{"dropping-particle":"","family":"Mazzoleni","given":"G","non-dropping-particle":"","parse-names":false,"suffix":""},{"dropping-particle":"","family":"Fanti","given":"L","non-dropping-particle":"","parse-names":false,"suffix":""},{"dropping-particle":"","family":"Passaretti","given":"S","non-dropping-particle":"","parse-names":false,"suffix":""}],"container-title":"Endosc Int Open","id":"ITEM-6","issue":"5","issued":{"date-parts":[["2019"]]},"note":"Testoni, Pier Alberto\rTestoni, Sabrina\rDistefano, Giovanni\rMazzoleni, Giorgia\rFanti, Lorella\rPassaretti, Sandro\reng\rGermany\r2019/05/07 06:00\rEndosc Int Open. 2019 May;7(5):E647-E654. doi: 10.1055/a-0820-2297. Epub 2019 May 2.","page":"E647-E654","title":"Transoral incisionless fundoplication with EsophyX for gastroesophageal reflux disease: clinical efficacy is maintained up to 10 years","type":"article-journal","volume":"7"},"uris":["http://www.mendeley.com/documents/?uuid=96d26abc-564e-393d-aeb6-8fbc5692a4f5"]}],"mendeley":{"formattedCitation":"&lt;sup&gt;[34–39]&lt;/sup&gt;","plainTextFormattedCitation":"[34–39]","previouslyFormattedCitation":"&lt;sup&gt;[34–39]&lt;/sup&gt;"},"properties":{"noteIndex":0},"schema":"https://github.com/citation-style-language/schema/raw/master/csl-citation.json"}</w:instrText>
      </w:r>
      <w:r w:rsidR="003560C4" w:rsidRPr="00312A48">
        <w:rPr>
          <w:rFonts w:ascii="Book Antiqua" w:hAnsi="Book Antiqua"/>
        </w:rPr>
        <w:fldChar w:fldCharType="separate"/>
      </w:r>
      <w:r w:rsidR="003560C4" w:rsidRPr="00312A48">
        <w:rPr>
          <w:rFonts w:ascii="Book Antiqua" w:hAnsi="Book Antiqua"/>
          <w:noProof/>
          <w:vertAlign w:val="superscript"/>
        </w:rPr>
        <w:t>[34–39]</w:t>
      </w:r>
      <w:r w:rsidR="003560C4" w:rsidRPr="00312A48">
        <w:rPr>
          <w:rFonts w:ascii="Book Antiqua" w:hAnsi="Book Antiqua"/>
        </w:rPr>
        <w:fldChar w:fldCharType="end"/>
      </w:r>
      <w:r w:rsidR="009216C7" w:rsidRPr="00312A48">
        <w:rPr>
          <w:rFonts w:ascii="Book Antiqua" w:hAnsi="Book Antiqua"/>
        </w:rPr>
        <w:t>.</w:t>
      </w:r>
      <w:r w:rsidR="00B93332" w:rsidRPr="00312A48">
        <w:rPr>
          <w:rFonts w:ascii="Book Antiqua" w:hAnsi="Book Antiqua"/>
        </w:rPr>
        <w:t xml:space="preserve"> </w:t>
      </w:r>
      <w:r w:rsidR="00152A26" w:rsidRPr="00312A48">
        <w:rPr>
          <w:rFonts w:ascii="Book Antiqua" w:hAnsi="Book Antiqua"/>
        </w:rPr>
        <w:t xml:space="preserve">Further </w:t>
      </w:r>
      <w:r w:rsidR="00105BDF" w:rsidRPr="00312A48">
        <w:rPr>
          <w:rFonts w:ascii="Book Antiqua" w:hAnsi="Book Antiqua"/>
        </w:rPr>
        <w:t xml:space="preserve">randomized trials </w:t>
      </w:r>
      <w:r w:rsidR="00152A26" w:rsidRPr="00312A48">
        <w:rPr>
          <w:rFonts w:ascii="Book Antiqua" w:hAnsi="Book Antiqua"/>
        </w:rPr>
        <w:t>are needed to directly compare TIF with Nissen fundoplication, however, in patients w</w:t>
      </w:r>
      <w:r w:rsidR="00105BDF" w:rsidRPr="00312A48">
        <w:rPr>
          <w:rFonts w:ascii="Book Antiqua" w:hAnsi="Book Antiqua"/>
        </w:rPr>
        <w:t xml:space="preserve">ho failed RFA and </w:t>
      </w:r>
      <w:r w:rsidR="00152A26" w:rsidRPr="00312A48">
        <w:rPr>
          <w:rFonts w:ascii="Book Antiqua" w:hAnsi="Book Antiqua"/>
        </w:rPr>
        <w:t>optimal PPI therapy, and who are unable to undergo surgery, endoscopic TIF should be considered as a feasible option to better treat uncontrolled reflux.</w:t>
      </w:r>
    </w:p>
    <w:p w14:paraId="3AB5B451" w14:textId="77777777" w:rsidR="00846186" w:rsidRPr="00312A48" w:rsidRDefault="00846186" w:rsidP="00312A48">
      <w:pPr>
        <w:snapToGrid w:val="0"/>
        <w:spacing w:line="360" w:lineRule="auto"/>
        <w:jc w:val="both"/>
        <w:rPr>
          <w:rFonts w:ascii="Book Antiqua" w:hAnsi="Book Antiqua"/>
        </w:rPr>
      </w:pPr>
    </w:p>
    <w:p w14:paraId="67D353DA" w14:textId="341B14D6" w:rsidR="00846186" w:rsidRPr="00312A48" w:rsidRDefault="00846186" w:rsidP="00312A48">
      <w:pPr>
        <w:snapToGrid w:val="0"/>
        <w:spacing w:line="360" w:lineRule="auto"/>
        <w:jc w:val="both"/>
        <w:rPr>
          <w:rFonts w:ascii="Book Antiqua" w:hAnsi="Book Antiqua"/>
          <w:b/>
          <w:bCs/>
          <w:u w:val="single"/>
        </w:rPr>
      </w:pPr>
      <w:r w:rsidRPr="00312A48">
        <w:rPr>
          <w:rFonts w:ascii="Book Antiqua" w:hAnsi="Book Antiqua"/>
          <w:b/>
          <w:bCs/>
          <w:u w:val="single"/>
        </w:rPr>
        <w:t>CRYOTHERAPY</w:t>
      </w:r>
    </w:p>
    <w:p w14:paraId="06118918" w14:textId="781718AB" w:rsidR="00623251" w:rsidRPr="00312A48" w:rsidRDefault="00846186" w:rsidP="00312A48">
      <w:pPr>
        <w:snapToGrid w:val="0"/>
        <w:spacing w:line="360" w:lineRule="auto"/>
        <w:jc w:val="both"/>
        <w:rPr>
          <w:rFonts w:ascii="Book Antiqua" w:hAnsi="Book Antiqua"/>
        </w:rPr>
      </w:pPr>
      <w:r w:rsidRPr="00312A48">
        <w:rPr>
          <w:rFonts w:ascii="Book Antiqua" w:hAnsi="Book Antiqua"/>
        </w:rPr>
        <w:t xml:space="preserve">Cryotherapy is perhaps the main modality for </w:t>
      </w:r>
      <w:r w:rsidR="009F0A09">
        <w:rPr>
          <w:rFonts w:ascii="Book Antiqua" w:hAnsi="Book Antiqua"/>
        </w:rPr>
        <w:t>treatment of RFA refractory BE.</w:t>
      </w:r>
      <w:r w:rsidRPr="00312A48">
        <w:rPr>
          <w:rFonts w:ascii="Book Antiqua" w:hAnsi="Book Antiqua"/>
        </w:rPr>
        <w:t xml:space="preserve"> </w:t>
      </w:r>
      <w:r w:rsidR="00DC696D" w:rsidRPr="00312A48">
        <w:rPr>
          <w:rFonts w:ascii="Book Antiqua" w:hAnsi="Book Antiqua"/>
        </w:rPr>
        <w:t xml:space="preserve">The mechanism of action is that application of a cryogen to the target tissue induces cell necrosis. </w:t>
      </w:r>
      <w:r w:rsidRPr="00312A48">
        <w:rPr>
          <w:rFonts w:ascii="Book Antiqua" w:hAnsi="Book Antiqua"/>
        </w:rPr>
        <w:t>Two cryotherapy platforms</w:t>
      </w:r>
      <w:r w:rsidR="00DC696D" w:rsidRPr="00312A48">
        <w:rPr>
          <w:rFonts w:ascii="Book Antiqua" w:hAnsi="Book Antiqua"/>
        </w:rPr>
        <w:t xml:space="preserve"> are commercially available in the United States</w:t>
      </w:r>
      <w:r w:rsidRPr="00312A48">
        <w:rPr>
          <w:rFonts w:ascii="Book Antiqua" w:hAnsi="Book Antiqua"/>
        </w:rPr>
        <w:t>. The first is liquid nitrogen spray cryotherapy</w:t>
      </w:r>
      <w:r w:rsidR="00DC696D" w:rsidRPr="00312A48">
        <w:rPr>
          <w:rFonts w:ascii="Book Antiqua" w:hAnsi="Book Antiqua"/>
        </w:rPr>
        <w:t xml:space="preserve"> (</w:t>
      </w:r>
      <w:proofErr w:type="spellStart"/>
      <w:r w:rsidR="00DC696D" w:rsidRPr="00312A48">
        <w:rPr>
          <w:rFonts w:ascii="Book Antiqua" w:hAnsi="Book Antiqua"/>
        </w:rPr>
        <w:t>truFreeze</w:t>
      </w:r>
      <w:proofErr w:type="spellEnd"/>
      <w:r w:rsidR="00DC696D" w:rsidRPr="00312A48">
        <w:rPr>
          <w:rFonts w:ascii="Book Antiqua" w:hAnsi="Book Antiqua"/>
        </w:rPr>
        <w:t>, CSA Medical, Lexington, MA, U</w:t>
      </w:r>
      <w:r w:rsidR="00B93332" w:rsidRPr="00312A48">
        <w:rPr>
          <w:rFonts w:ascii="Book Antiqua" w:hAnsi="Book Antiqua"/>
        </w:rPr>
        <w:t>nited States</w:t>
      </w:r>
      <w:r w:rsidR="00DC696D" w:rsidRPr="00312A48">
        <w:rPr>
          <w:rFonts w:ascii="Book Antiqua" w:hAnsi="Book Antiqua"/>
        </w:rPr>
        <w:t>)</w:t>
      </w:r>
      <w:r w:rsidR="009F0A09">
        <w:rPr>
          <w:rFonts w:ascii="Book Antiqua" w:hAnsi="Book Antiqua"/>
        </w:rPr>
        <w:t xml:space="preserve">. </w:t>
      </w:r>
      <w:r w:rsidR="00DC696D" w:rsidRPr="00312A48">
        <w:rPr>
          <w:rFonts w:ascii="Book Antiqua" w:hAnsi="Book Antiqua"/>
        </w:rPr>
        <w:t xml:space="preserve">In this platform, a catheter </w:t>
      </w:r>
      <w:r w:rsidR="00B93332" w:rsidRPr="00312A48">
        <w:rPr>
          <w:rFonts w:ascii="Book Antiqua" w:hAnsi="Book Antiqua"/>
        </w:rPr>
        <w:t>is passed down the channel of</w:t>
      </w:r>
      <w:r w:rsidR="00DC696D" w:rsidRPr="00312A48">
        <w:rPr>
          <w:rFonts w:ascii="Book Antiqua" w:hAnsi="Book Antiqua"/>
        </w:rPr>
        <w:t xml:space="preserve"> </w:t>
      </w:r>
      <w:r w:rsidR="00623251" w:rsidRPr="00312A48">
        <w:rPr>
          <w:rFonts w:ascii="Book Antiqua" w:hAnsi="Book Antiqua"/>
        </w:rPr>
        <w:t xml:space="preserve">2.8 mm channel </w:t>
      </w:r>
      <w:r w:rsidR="00DC696D" w:rsidRPr="00312A48">
        <w:rPr>
          <w:rFonts w:ascii="Book Antiqua" w:hAnsi="Book Antiqua"/>
        </w:rPr>
        <w:t>adult gastroscope, after a decompression tube is placed in the stomach over a wire. The catheter is attached to a liquid nitrogen compressor and tank. A foot-pedal activates the flow of liquid nitrogen through the catheter and freezes the target tissue</w:t>
      </w:r>
      <w:r w:rsidR="00623251" w:rsidRPr="00312A48">
        <w:rPr>
          <w:rFonts w:ascii="Book Antiqua" w:hAnsi="Book Antiqua"/>
        </w:rPr>
        <w:t xml:space="preserve"> to -196 degrees Celsius</w:t>
      </w:r>
      <w:r w:rsidR="00DC696D" w:rsidRPr="00312A48">
        <w:rPr>
          <w:rFonts w:ascii="Book Antiqua" w:hAnsi="Book Antiqua"/>
        </w:rPr>
        <w:t xml:space="preserve">. Excess gas is absorbed through the decompression tube while an assistant is ensuring the stomach is not distended. </w:t>
      </w:r>
      <w:proofErr w:type="gramStart"/>
      <w:r w:rsidR="00DC696D" w:rsidRPr="00312A48">
        <w:rPr>
          <w:rFonts w:ascii="Book Antiqua" w:hAnsi="Book Antiqua"/>
        </w:rPr>
        <w:t>Generally</w:t>
      </w:r>
      <w:proofErr w:type="gramEnd"/>
      <w:r w:rsidR="00DC696D" w:rsidRPr="00312A48">
        <w:rPr>
          <w:rFonts w:ascii="Book Antiqua" w:hAnsi="Book Antiqua"/>
        </w:rPr>
        <w:t xml:space="preserve"> 2-3 freeze thaw cycles are perfo</w:t>
      </w:r>
      <w:r w:rsidR="009F0A09">
        <w:rPr>
          <w:rFonts w:ascii="Book Antiqua" w:hAnsi="Book Antiqua"/>
        </w:rPr>
        <w:t xml:space="preserve">rmed over the target tissue. </w:t>
      </w:r>
      <w:r w:rsidR="00F003B1" w:rsidRPr="00312A48">
        <w:rPr>
          <w:rFonts w:ascii="Book Antiqua" w:hAnsi="Book Antiqua"/>
        </w:rPr>
        <w:t xml:space="preserve">Figure 1 shows endoscopy images of a patient with RFA refractory Barrett’s after multiple sessions of RFA. </w:t>
      </w:r>
      <w:r w:rsidR="00DC696D" w:rsidRPr="00312A48">
        <w:rPr>
          <w:rFonts w:ascii="Book Antiqua" w:hAnsi="Book Antiqua"/>
        </w:rPr>
        <w:t xml:space="preserve">Full details on the set up and equipment can be found on a recent American Society of </w:t>
      </w:r>
      <w:r w:rsidR="00B93332" w:rsidRPr="00312A48">
        <w:rPr>
          <w:rFonts w:ascii="Book Antiqua" w:hAnsi="Book Antiqua"/>
        </w:rPr>
        <w:t>Gastrointestinal</w:t>
      </w:r>
      <w:r w:rsidR="00DC696D" w:rsidRPr="00312A48">
        <w:rPr>
          <w:rFonts w:ascii="Book Antiqua" w:hAnsi="Book Antiqua"/>
        </w:rPr>
        <w:t xml:space="preserve"> Endoscopy Technical review on cryotherapy</w:t>
      </w:r>
      <w:r w:rsidR="00EB3C04" w:rsidRPr="00312A48">
        <w:rPr>
          <w:rFonts w:ascii="Book Antiqua" w:hAnsi="Book Antiqua"/>
        </w:rPr>
        <w:fldChar w:fldCharType="begin" w:fldLock="1"/>
      </w:r>
      <w:r w:rsidR="00EB3C04" w:rsidRPr="00312A48">
        <w:rPr>
          <w:rFonts w:ascii="Book Antiqua" w:hAnsi="Book Antiqua"/>
        </w:rPr>
        <w:instrText>ADDIN CSL_CITATION {"citationItems":[{"id":"ITEM-1","itemData":{"DOI":"10.1016/j.vgie.2017.01.021","ISSN":"2468-4481 (Electronic)\r2468-4481 (Linking)","PMID":"29905303","author":[{"dropping-particle":"","family":"Committee","given":"Asge Technology","non-dropping-particle":"","parse-names":false,"suffix":""},{"dropping-particle":"","family":"Parsi","given":"M A","non-dropping-particle":"","parse-names":false,"suffix":""},{"dropping-particle":"","family":"Trindade","given":"A J","non-dropping-particle":"","parse-names":false,"suffix":""},{"dropping-particle":"","family":"Bhutani","given":"M S","non-dropping-particle":"","parse-names":false,"suffix":""},{"dropping-particle":"","family":"Melson","given":"J","non-dropping-particle":"","parse-names":false,"suffix":""},{"dropping-particle":"","family":"Navaneethan","given":"U","non-dropping-particle":"","parse-names":false,"suffix":""},{"dropping-particle":"","family":"Thosani","given":"N","non-dropping-particle":"","parse-names":false,"suffix":""},{"dropping-particle":"","family":"Trikudanathan","given":"G","non-dropping-particle":"","parse-names":false,"suffix":""},{"dropping-particle":"","family":"Watson","given":"R R","non-dropping-particle":"","parse-names":false,"suffix":""},{"dropping-particle":"","family":"Maple","given":"J T","non-dropping-particle":"","parse-names":false,"suffix":""}],"container-title":"VideoGIE","id":"ITEM-1","issue":"5","issued":{"date-parts":[["2017"]]},"note":"Parsi, Mansour A\rTrindade, Arvind J\rBhutani, Manoop S\rMelson, Joshua\rNavaneethan, Udayakumar\rThosani, Nirav\rTrikudanathan, Guru\rWatson, Rabindra R\rMaple, John T\reng\r2017/02/06 00:00\rVideoGIE. 2017 Feb 6;2(5):89-95. doi: 10.1016/j.vgie.2017.01.021. eCollection 2017 May.","page":"89-95","title":"Cryotherapy in gastrointestinal endoscopy","type":"article-journal","volume":"2"},"uris":["http://www.mendeley.com/documents/?uuid=cf6f9281-f936-3f5c-adbb-e18fc874d198"]}],"mendeley":{"formattedCitation":"&lt;sup&gt;[40]&lt;/sup&gt;","plainTextFormattedCitation":"[40]","previouslyFormattedCitation":"&lt;sup&gt;[40]&lt;/sup&gt;"},"properties":{"noteIndex":0},"schema":"https://github.com/citation-style-language/schema/raw/master/csl-citation.json"}</w:instrText>
      </w:r>
      <w:r w:rsidR="00EB3C04" w:rsidRPr="00312A48">
        <w:rPr>
          <w:rFonts w:ascii="Book Antiqua" w:hAnsi="Book Antiqua"/>
        </w:rPr>
        <w:fldChar w:fldCharType="separate"/>
      </w:r>
      <w:r w:rsidR="00EB3C04" w:rsidRPr="00312A48">
        <w:rPr>
          <w:rFonts w:ascii="Book Antiqua" w:hAnsi="Book Antiqua"/>
          <w:noProof/>
          <w:vertAlign w:val="superscript"/>
        </w:rPr>
        <w:t>[40]</w:t>
      </w:r>
      <w:r w:rsidR="00EB3C04" w:rsidRPr="00312A48">
        <w:rPr>
          <w:rFonts w:ascii="Book Antiqua" w:hAnsi="Book Antiqua"/>
        </w:rPr>
        <w:fldChar w:fldCharType="end"/>
      </w:r>
      <w:r w:rsidR="009216C7" w:rsidRPr="00312A48">
        <w:rPr>
          <w:rFonts w:ascii="Book Antiqua" w:hAnsi="Book Antiqua"/>
        </w:rPr>
        <w:t>.</w:t>
      </w:r>
      <w:r w:rsidR="00DC696D" w:rsidRPr="00312A48">
        <w:rPr>
          <w:rFonts w:ascii="Book Antiqua" w:hAnsi="Book Antiqua"/>
        </w:rPr>
        <w:t xml:space="preserve"> </w:t>
      </w:r>
    </w:p>
    <w:p w14:paraId="2D412D15" w14:textId="32CC2D35" w:rsidR="00623251" w:rsidRPr="00312A48" w:rsidRDefault="0032738B" w:rsidP="00312A48">
      <w:pPr>
        <w:snapToGrid w:val="0"/>
        <w:spacing w:line="360" w:lineRule="auto"/>
        <w:ind w:firstLineChars="100" w:firstLine="240"/>
        <w:jc w:val="both"/>
        <w:rPr>
          <w:rFonts w:ascii="Book Antiqua" w:hAnsi="Book Antiqua"/>
        </w:rPr>
      </w:pPr>
      <w:r w:rsidRPr="00312A48">
        <w:rPr>
          <w:rFonts w:ascii="Book Antiqua" w:hAnsi="Book Antiqua"/>
        </w:rPr>
        <w:lastRenderedPageBreak/>
        <w:t>There are three</w:t>
      </w:r>
      <w:r w:rsidR="00623251" w:rsidRPr="00312A48">
        <w:rPr>
          <w:rFonts w:ascii="Book Antiqua" w:hAnsi="Book Antiqua"/>
        </w:rPr>
        <w:t xml:space="preserve"> retrospective studies examining the efficacy of liquid nitrogen cryotherapy in BE refractory to </w:t>
      </w:r>
      <w:r w:rsidRPr="00312A48">
        <w:rPr>
          <w:rFonts w:ascii="Book Antiqua" w:hAnsi="Book Antiqua"/>
        </w:rPr>
        <w:t>RFA. The first study evaluated 46 patients who did not achieve complete eradication of dysplasia (CE-D) with RFA</w:t>
      </w:r>
      <w:r w:rsidR="004713D5" w:rsidRPr="00312A48">
        <w:rPr>
          <w:rFonts w:ascii="Book Antiqua" w:hAnsi="Book Antiqua"/>
        </w:rPr>
        <w:t xml:space="preserve"> and subsequently underwent cryotherapy</w:t>
      </w:r>
      <w:r w:rsidR="00EB3C04" w:rsidRPr="00312A48">
        <w:rPr>
          <w:rFonts w:ascii="Book Antiqua" w:hAnsi="Book Antiqua"/>
        </w:rPr>
        <w:fldChar w:fldCharType="begin" w:fldLock="1"/>
      </w:r>
      <w:r w:rsidR="00EB3C04" w:rsidRPr="00312A48">
        <w:rPr>
          <w:rFonts w:ascii="Book Antiqua" w:hAnsi="Book Antiqua"/>
        </w:rPr>
        <w:instrText>ADDIN CSL_CITATION {"citationItems":[{"id":"ITEM-1","itemData":{"DOI":"10.1055/a-0902-4587","ISSN":"2364-3722 (Print)\r2196-9736 (Linking)","PMID":"31281876","abstract":"Background and study aims Some patients with dysplastic Barrett's esophagus (BE) experience suboptimal response to radiofrequency ablation (RFA), endoscopic mucosal resection (EMR), or the combination. Cryotherapy has been used as salvage therapy in these patients, but outcomes data are limited. We aimed to assess clinical outcomes among a large cohort of patients with dysplastic BE whose condition had failed to respond to RFA and/or EMR. Patients and methods This was a retrospective cohort study of consecutive cases of dysplastic BE or intramucosal carcinoma (IMC) treated with salvage cryotherapy at a tertiary-care academic medical center. The primary goal of cryotherapy treatment was eradication of all neoplasia. The secondary goal was eradication of all intestinal metaplasia. The proportion of patients undergoing salvage cryotherapy who achieved complete eradication of dysplasia (CE-D) and metaplasia (CE-IM), as well as the time to CE-D and CE-IM were calculated. Results Over a 12-year period, 46 patients received salvage cryotherapy. All patients underwent RFA prior to cryotherapy, either at our center or prior to referral, and 50 % of patients underwent EMR. A majority of patients (54 %) had high-grade dysplasia (HGD) at referral, while 33 % had low-grade dysplasia (LGD), and 13 % had IMC. Overall, 38 patients (83 %) reached CE-D and 21 (46 %) reached CE-IM. Median time to CE-D was 18 months, median number of total interventions (RFA, cryotherapy, and EMR) was five, and median number of cryotherapy sessions was two. Conclusion Salvage cryotherapy appears safe and effective for treating BE that is refractory to RFA and/or EMR.","author":[{"dropping-particle":"","family":"Spiceland","given":"C M","non-dropping-particle":"","parse-names":false,"suffix":""},{"dropping-particle":"","family":"Elmunzer","given":"B J","non-dropping-particle":"","parse-names":false,"suffix":""},{"dropping-particle":"","family":"Paros","given":"S","non-dropping-particle":"","parse-names":false,"suffix":""},{"dropping-particle":"","family":"Roof","given":"L","non-dropping-particle":"","parse-names":false,"suffix":""},{"dropping-particle":"","family":"McVey","given":"M","non-dropping-particle":"","parse-names":false,"suffix":""},{"dropping-particle":"","family":"Hawes","given":"R","non-dropping-particle":"","parse-names":false,"suffix":""},{"dropping-particle":"","family":"Hoffman","given":"B J","non-dropping-particle":"","parse-names":false,"suffix":""},{"dropping-particle":"","family":"Elias","given":"P S","non-dropping-particle":"","parse-names":false,"suffix":""}],"container-title":"Endosc Int Open","id":"ITEM-1","issue":"7","issued":{"date-parts":[["2019"]]},"note":"Spiceland, Clayton M\rElmunzer, B Joseph\rParos, Samuel\rRoof, Logan\rMcVey, Molly\rHawes, Robert\rHoffman, Brenda J\rElias, Puja S\reng\rGermany\r2019/07/10 06:00\rEndosc Int Open. 2019 Jul;7(7):E904-E911. doi: 10.1055/a-0902-4587. Epub 2019 Jul 3.","page":"E904-E911","title":"Salvage cryotherapy in patients undergoing endoscopic eradication therapy for complicated Barrett's esophagus","type":"article-journal","volume":"7"},"uris":["http://www.mendeley.com/documents/?uuid=e32ab125-e60f-3a0b-aeb6-bf4853364937"]}],"mendeley":{"formattedCitation":"&lt;sup&gt;[41]&lt;/sup&gt;","plainTextFormattedCitation":"[41]","previouslyFormattedCitation":"&lt;sup&gt;[41]&lt;/sup&gt;"},"properties":{"noteIndex":0},"schema":"https://github.com/citation-style-language/schema/raw/master/csl-citation.json"}</w:instrText>
      </w:r>
      <w:r w:rsidR="00EB3C04" w:rsidRPr="00312A48">
        <w:rPr>
          <w:rFonts w:ascii="Book Antiqua" w:hAnsi="Book Antiqua"/>
        </w:rPr>
        <w:fldChar w:fldCharType="separate"/>
      </w:r>
      <w:r w:rsidR="00EB3C04" w:rsidRPr="00312A48">
        <w:rPr>
          <w:rFonts w:ascii="Book Antiqua" w:hAnsi="Book Antiqua"/>
          <w:noProof/>
          <w:vertAlign w:val="superscript"/>
        </w:rPr>
        <w:t>[41]</w:t>
      </w:r>
      <w:r w:rsidR="00EB3C04" w:rsidRPr="00312A48">
        <w:rPr>
          <w:rFonts w:ascii="Book Antiqua" w:hAnsi="Book Antiqua"/>
        </w:rPr>
        <w:fldChar w:fldCharType="end"/>
      </w:r>
      <w:r w:rsidR="009216C7" w:rsidRPr="00312A48">
        <w:rPr>
          <w:rFonts w:ascii="Book Antiqua" w:hAnsi="Book Antiqua"/>
        </w:rPr>
        <w:t>.</w:t>
      </w:r>
      <w:r w:rsidRPr="00312A48">
        <w:rPr>
          <w:rFonts w:ascii="Book Antiqua" w:hAnsi="Book Antiqua"/>
        </w:rPr>
        <w:t xml:space="preserve"> Of the 46 patients, 38 (83%) achieved CE-D, and 21 (46%) achieved CE-IM. The second study</w:t>
      </w:r>
      <w:r w:rsidR="006D5A31" w:rsidRPr="00312A48">
        <w:rPr>
          <w:rFonts w:ascii="Book Antiqua" w:hAnsi="Book Antiqua"/>
        </w:rPr>
        <w:t>, from our center,</w:t>
      </w:r>
      <w:r w:rsidRPr="00312A48">
        <w:rPr>
          <w:rFonts w:ascii="Book Antiqua" w:hAnsi="Book Antiqua"/>
        </w:rPr>
        <w:t xml:space="preserve"> evaluated 18 patients who were RFA refractory</w:t>
      </w:r>
      <w:r w:rsidR="00EB3C04" w:rsidRPr="00312A48">
        <w:rPr>
          <w:rFonts w:ascii="Book Antiqua" w:hAnsi="Book Antiqua"/>
        </w:rPr>
        <w:fldChar w:fldCharType="begin" w:fldLock="1"/>
      </w:r>
      <w:r w:rsidR="00EB3C04" w:rsidRPr="00312A48">
        <w:rPr>
          <w:rFonts w:ascii="Book Antiqua" w:hAnsi="Book Antiqua"/>
        </w:rPr>
        <w:instrText>ADDIN CSL_CITATION {"citationItems":[{"id":"ITEM-1","itemData":{"DOI":"10.1111/den.12869","ISSN":"1443-1661 (Electronic)\r0915-5635 (Linking)","PMID":"28303613","abstract":"BACKGROUND AND AIM: Radiofrequency ablation (RFA) for dysplastic Barrett's esophagus (BE) is highly effective. RFA failures are infrequent but can be a challenging cohort to manage. There are limited data on the feasibility of liquid nitrogen cryospray ablation for complete eradication of dysplasia (CE-D) and/or intestinal metaplasia (CE-IM) after RFA has failed to achieve CE-IM in patients with dysplastic BE. METHODS: This is a retrospective review from two medical centers of prospectively maintained databases looking at patients that underwent liquid nitrogen cryospray ablation for refractory intestinal metaplasia post failed RFA. RESULTS: Eighteen patients were identified that met inclusion criteria. Eleven patients had persistent dysplasia and IM following RFA and seven had persistent non-dysplastic IM. More than 80% of patients were male with long-segment BE (median length 8 cm). Seventy two percent of patients with dysplasia achieved CE-D after cryotherapy. Fifty percent (9/18) of all RFA failures achieved CE-IM with cryotherapy. In comparison, RFA has a CE-IM of 78% in a less challenging treatment naive cohort from a large-scale meta-analysis of 3802 patients. No adverse events occurred in our cohort. CONCLUSION: Cryospray ablation is feasible and safe for achieving CE-D and CE-IM after RFA failure. The CE-D rates are high with cryotherapy in this population. CE-IM with cryotherapy is acceptable in this difficult-to-treat cohort when compared to CE-IM rates with RFA in dysplastic BE treatment naive patients (50% vs 78%).","author":[{"dropping-particle":"","family":"Trindade","given":"A J","non-dropping-particle":"","parse-names":false,"suffix":""},{"dropping-particle":"","family":"Inamdar","given":"S","non-dropping-particle":"","parse-names":false,"suffix":""},{"dropping-particle":"","family":"Kothari","given":"S","non-dropping-particle":"","parse-names":false,"suffix":""},{"dropping-particle":"","family":"Berkowitz","given":"J","non-dropping-particle":"","parse-names":false,"suffix":""},{"dropping-particle":"","family":"McKinley","given":"M","non-dropping-particle":"","parse-names":false,"suffix":""},{"dropping-particle":"","family":"Kaul","given":"V","non-dropping-particle":"","parse-names":false,"suffix":""}],"container-title":"Dig Endosc","id":"ITEM-1","issue":"6","issued":{"date-parts":[["2017"]]},"note":"Trindade, Arvind J\rInamdar, Sumant\rKothari, Shivangi\rBerkowitz, Joshua\rMcKinley, Matthew\rKaul, Vivek\reng\rComparative Study\rMulticenter Study\rAustralia\r2017/03/18 06:00\rDig Endosc. 2017 Sep;29(6):680-685. doi: 10.1111/den.12869. Epub 2017 Apr 5.","page":"680-685","title":"Feasibility of liquid nitrogen cryotherapy after failed radiofrequency ablation for Barrett's esophagus","type":"article-journal","volume":"29"},"uris":["http://www.mendeley.com/documents/?uuid=17613e10-46cb-3057-99a4-8103a48093db"]}],"mendeley":{"formattedCitation":"&lt;sup&gt;[42]&lt;/sup&gt;","plainTextFormattedCitation":"[42]","previouslyFormattedCitation":"&lt;sup&gt;[42]&lt;/sup&gt;"},"properties":{"noteIndex":0},"schema":"https://github.com/citation-style-language/schema/raw/master/csl-citation.json"}</w:instrText>
      </w:r>
      <w:r w:rsidR="00EB3C04" w:rsidRPr="00312A48">
        <w:rPr>
          <w:rFonts w:ascii="Book Antiqua" w:hAnsi="Book Antiqua"/>
        </w:rPr>
        <w:fldChar w:fldCharType="separate"/>
      </w:r>
      <w:r w:rsidR="00EB3C04" w:rsidRPr="00312A48">
        <w:rPr>
          <w:rFonts w:ascii="Book Antiqua" w:hAnsi="Book Antiqua"/>
          <w:noProof/>
          <w:vertAlign w:val="superscript"/>
        </w:rPr>
        <w:t>[42]</w:t>
      </w:r>
      <w:r w:rsidR="00EB3C04" w:rsidRPr="00312A48">
        <w:rPr>
          <w:rFonts w:ascii="Book Antiqua" w:hAnsi="Book Antiqua"/>
        </w:rPr>
        <w:fldChar w:fldCharType="end"/>
      </w:r>
      <w:r w:rsidR="009216C7" w:rsidRPr="00312A48">
        <w:rPr>
          <w:rFonts w:ascii="Book Antiqua" w:hAnsi="Book Antiqua"/>
        </w:rPr>
        <w:t>.</w:t>
      </w:r>
      <w:r w:rsidR="004713D5" w:rsidRPr="00312A48">
        <w:rPr>
          <w:rFonts w:ascii="Book Antiqua" w:hAnsi="Book Antiqua"/>
        </w:rPr>
        <w:t xml:space="preserve"> </w:t>
      </w:r>
      <w:r w:rsidRPr="00312A48">
        <w:rPr>
          <w:rFonts w:ascii="Book Antiqua" w:hAnsi="Book Antiqua"/>
        </w:rPr>
        <w:t>Of the 18, 13 (72%) achieved CE-D, and 9 (50%) achieved CE-IM. The third study evaluated 16 patients who were RFA refractory</w:t>
      </w:r>
      <w:r w:rsidR="00EB3C04" w:rsidRPr="00312A48">
        <w:rPr>
          <w:rFonts w:ascii="Book Antiqua" w:hAnsi="Book Antiqua"/>
        </w:rPr>
        <w:fldChar w:fldCharType="begin" w:fldLock="1"/>
      </w:r>
      <w:r w:rsidR="00EB3C04" w:rsidRPr="00312A48">
        <w:rPr>
          <w:rFonts w:ascii="Book Antiqua" w:hAnsi="Book Antiqua"/>
        </w:rPr>
        <w:instrText>ADDIN CSL_CITATION {"citationItems":[{"id":"ITEM-1","itemData":{"DOI":"10.1016/j.gie.2015.01.033","ISSN":"1097-6779 (Electronic)\r0016-5107 (Linking)","PMID":"25887715","abstract":"BACKGROUND: Radiofrequency ablation (RFA) is an effective treatment for Barrett's esophagus (BE) dysplasia. For patients with dysplasia refractory to RFA, data are limited regarding efficacy of endoscopic therapy. OBJECTIVE: To assess the efficacy and safety of cryotherapy in patients with BE dysplasia who failed RFA. DESIGN: Single-center, retrospective, cohort study. SETTING: Tertiary-care center between 2006 and 2013. PATIENTS: Patients with BE and low-grade dysplasia (LGD), high-grade dysplasia (HGD), or intramucosal carcinoma (IMC) were referred for RFA every 2 to 3 months. Response was determined by complete eradication of dysplasia (CE-D). INTERVENTIONS: Patients without CE-D or those with recurrent dysplasia after initial eradication were offered cryotherapy. MAIN OUTCOME MEASUREMENTS: Eradication of dysplasia and/or cancer. Secondary outcome, eradication of intestinal metaplasia. RESULTS: A total of 121 patients underwent RFA for BE dysplasia (55% HGD, 26% LGD, 17% IMC, 2% indefinite dysplasia). After a median of 3 RFA sessions, 75% (n = 91) had CE-D. Patients without CE-D were more likely to have a longer BE length (7 cm vs 4 cm; P = .004) and a hiatal hernia (83% vs 55%; P = .005). Sixteen patients (14 with failed CE-D and 2 with recurrent dysplasia) were offered cryotherapy and had endoscopic follow-up. Seven (57%) had HGD before cryotherapy (6 with LGD, 2 with IMC, and 1 with indefinite dysplasia). After cryotherapy, 12 (75%) had CE-D, and 5 (31%) had eradication of intestinal metaplasia. Of patients with IMC, 100% had CE-D. Three patients developed strictures that responded to dilation. LIMITATIONS: Single center, retrospective nature of study. CONCLUSION: For patients with refractory dysplasia or recurrent dysplasia after RFA, salvage cryotherapy is a safe and effective endoscopic therapy.","author":[{"dropping-particle":"","family":"Sengupta","given":"N","non-dropping-particle":"","parse-names":false,"suffix":""},{"dropping-particle":"","family":"Ketwaroo","given":"G A","non-dropping-particle":"","parse-names":false,"suffix":""},{"dropping-particle":"","family":"Bak","given":"D M","non-dropping-particle":"","parse-names":false,"suffix":""},{"dropping-particle":"","family":"Kedar","given":"V","non-dropping-particle":"","parse-names":false,"suffix":""},{"dropping-particle":"","family":"Chuttani","given":"R","non-dropping-particle":"","parse-names":false,"suffix":""},{"dropping-particle":"","family":"Berzin","given":"T M","non-dropping-particle":"","parse-names":false,"suffix":""},{"dropping-particle":"","family":"Sawhney","given":"M S","non-dropping-particle":"","parse-names":false,"suffix":""},{"dropping-particle":"","family":"Pleskow","given":"D K","non-dropping-particle":"","parse-names":false,"suffix":""}],"container-title":"Gastrointestinal Endoscopy","id":"ITEM-1","issue":"3","issued":{"date-parts":[["2015"]]},"note":"Sengupta, Neil\rKetwaroo, Gyanprakash A\rBak, Daniel M\rKedar, Vikram\rChuttani, Ram\rBerzin, Tyler M\rSawhney, Mandeep S\rPleskow, Douglas K\reng\r2015/04/19 06:00\rGastrointest Endosc. 2015 Sep;82(3):443-8. doi: 10.1016/j.gie.2015.01.033. Epub 2015 Apr 14.","page":"443-448","title":"Salvage cryotherapy after failed radiofrequency ablation for Barrett's esophagus-related dysplasia is safe and effective","type":"article-journal","volume":"82"},"uris":["http://www.mendeley.com/documents/?uuid=36fddeb0-23d5-3b69-b1cf-c7559f88acd0"]}],"mendeley":{"formattedCitation":"&lt;sup&gt;[43]&lt;/sup&gt;","plainTextFormattedCitation":"[43]","previouslyFormattedCitation":"&lt;sup&gt;[43]&lt;/sup&gt;"},"properties":{"noteIndex":0},"schema":"https://github.com/citation-style-language/schema/raw/master/csl-citation.json"}</w:instrText>
      </w:r>
      <w:r w:rsidR="00EB3C04" w:rsidRPr="00312A48">
        <w:rPr>
          <w:rFonts w:ascii="Book Antiqua" w:hAnsi="Book Antiqua"/>
        </w:rPr>
        <w:fldChar w:fldCharType="separate"/>
      </w:r>
      <w:r w:rsidR="00EB3C04" w:rsidRPr="00312A48">
        <w:rPr>
          <w:rFonts w:ascii="Book Antiqua" w:hAnsi="Book Antiqua"/>
          <w:noProof/>
          <w:vertAlign w:val="superscript"/>
        </w:rPr>
        <w:t>[43]</w:t>
      </w:r>
      <w:r w:rsidR="00EB3C04" w:rsidRPr="00312A48">
        <w:rPr>
          <w:rFonts w:ascii="Book Antiqua" w:hAnsi="Book Antiqua"/>
        </w:rPr>
        <w:fldChar w:fldCharType="end"/>
      </w:r>
      <w:r w:rsidR="009216C7" w:rsidRPr="00312A48">
        <w:rPr>
          <w:rFonts w:ascii="Book Antiqua" w:hAnsi="Book Antiqua"/>
        </w:rPr>
        <w:t>.</w:t>
      </w:r>
      <w:r w:rsidRPr="00312A48">
        <w:rPr>
          <w:rFonts w:ascii="Book Antiqua" w:hAnsi="Book Antiqua"/>
        </w:rPr>
        <w:t xml:space="preserve"> Of the 16, 12 (75%) achieved CE-D, and 5 (31%) achieved CE-IM. </w:t>
      </w:r>
      <w:proofErr w:type="gramStart"/>
      <w:r w:rsidRPr="00312A48">
        <w:rPr>
          <w:rFonts w:ascii="Book Antiqua" w:hAnsi="Book Antiqua"/>
        </w:rPr>
        <w:t>Overall</w:t>
      </w:r>
      <w:proofErr w:type="gramEnd"/>
      <w:r w:rsidRPr="00312A48">
        <w:rPr>
          <w:rFonts w:ascii="Book Antiqua" w:hAnsi="Book Antiqua"/>
        </w:rPr>
        <w:t xml:space="preserve"> these studies show that in this difficult to treat cohort, liquid nitrogen cryotherapy allows for excellent CE-D rates and acceptable CE-IM rates considering the pati</w:t>
      </w:r>
      <w:r w:rsidR="00B93332" w:rsidRPr="00312A48">
        <w:rPr>
          <w:rFonts w:ascii="Book Antiqua" w:hAnsi="Book Antiqua"/>
        </w:rPr>
        <w:t>ent population.</w:t>
      </w:r>
    </w:p>
    <w:p w14:paraId="3D93E6BC" w14:textId="0380885F" w:rsidR="00DC696D" w:rsidRPr="00312A48" w:rsidRDefault="00DC696D" w:rsidP="00312A48">
      <w:pPr>
        <w:snapToGrid w:val="0"/>
        <w:spacing w:line="360" w:lineRule="auto"/>
        <w:ind w:firstLineChars="100" w:firstLine="240"/>
        <w:jc w:val="both"/>
        <w:rPr>
          <w:rFonts w:ascii="Book Antiqua" w:hAnsi="Book Antiqua"/>
        </w:rPr>
      </w:pPr>
      <w:r w:rsidRPr="00312A48">
        <w:rPr>
          <w:rFonts w:ascii="Book Antiqua" w:hAnsi="Book Antiqua"/>
        </w:rPr>
        <w:t xml:space="preserve">The second cryotherapy platform is a </w:t>
      </w:r>
      <w:r w:rsidR="00623251" w:rsidRPr="00312A48">
        <w:rPr>
          <w:rFonts w:ascii="Book Antiqua" w:hAnsi="Book Antiqua"/>
        </w:rPr>
        <w:t>balloon-based</w:t>
      </w:r>
      <w:r w:rsidRPr="00312A48">
        <w:rPr>
          <w:rFonts w:ascii="Book Antiqua" w:hAnsi="Book Antiqua"/>
        </w:rPr>
        <w:t xml:space="preserve"> system</w:t>
      </w:r>
      <w:r w:rsidR="00623251" w:rsidRPr="00312A48">
        <w:rPr>
          <w:rFonts w:ascii="Book Antiqua" w:hAnsi="Book Antiqua"/>
        </w:rPr>
        <w:t xml:space="preserve"> (C2 </w:t>
      </w:r>
      <w:proofErr w:type="spellStart"/>
      <w:r w:rsidR="00623251" w:rsidRPr="00312A48">
        <w:rPr>
          <w:rFonts w:ascii="Book Antiqua" w:hAnsi="Book Antiqua"/>
        </w:rPr>
        <w:t>CryoBalloon</w:t>
      </w:r>
      <w:proofErr w:type="spellEnd"/>
      <w:r w:rsidR="00623251" w:rsidRPr="00312A48">
        <w:rPr>
          <w:rFonts w:ascii="Book Antiqua" w:hAnsi="Book Antiqua"/>
        </w:rPr>
        <w:t>, Pentax Medical, Redwood City, CA, U</w:t>
      </w:r>
      <w:r w:rsidR="00312A48" w:rsidRPr="00312A48">
        <w:rPr>
          <w:rFonts w:ascii="Book Antiqua" w:hAnsi="Book Antiqua"/>
        </w:rPr>
        <w:t>nited States</w:t>
      </w:r>
      <w:r w:rsidR="00623251" w:rsidRPr="00312A48">
        <w:rPr>
          <w:rFonts w:ascii="Book Antiqua" w:hAnsi="Book Antiqua"/>
        </w:rPr>
        <w:t>)</w:t>
      </w:r>
      <w:r w:rsidR="00E14B05" w:rsidRPr="00312A48">
        <w:rPr>
          <w:rFonts w:ascii="Book Antiqua" w:hAnsi="Book Antiqua"/>
        </w:rPr>
        <w:t xml:space="preserve"> that has recently been developed</w:t>
      </w:r>
      <w:r w:rsidRPr="00312A48">
        <w:rPr>
          <w:rFonts w:ascii="Book Antiqua" w:hAnsi="Book Antiqua"/>
        </w:rPr>
        <w:t xml:space="preserve">. A catheter is passed through the channel of a therapeutic gastroscope </w:t>
      </w:r>
      <w:r w:rsidR="00312A48" w:rsidRPr="00312A48">
        <w:rPr>
          <w:rFonts w:ascii="Book Antiqua" w:hAnsi="Book Antiqua"/>
        </w:rPr>
        <w:t xml:space="preserve">(3.7 </w:t>
      </w:r>
      <w:r w:rsidR="00623251" w:rsidRPr="00312A48">
        <w:rPr>
          <w:rFonts w:ascii="Book Antiqua" w:hAnsi="Book Antiqua"/>
        </w:rPr>
        <w:t xml:space="preserve">mm channel). The catheter is attached to battery powered handle that contains cartridges of liquid nitrous oxide. The balloon is inflated once it is positioned in the target area to be ablated and directly </w:t>
      </w:r>
      <w:proofErr w:type="spellStart"/>
      <w:r w:rsidR="00623251" w:rsidRPr="00312A48">
        <w:rPr>
          <w:rFonts w:ascii="Book Antiqua" w:hAnsi="Book Antiqua"/>
        </w:rPr>
        <w:t>apposes</w:t>
      </w:r>
      <w:proofErr w:type="spellEnd"/>
      <w:r w:rsidR="00623251" w:rsidRPr="00312A48">
        <w:rPr>
          <w:rFonts w:ascii="Book Antiqua" w:hAnsi="Book Antiqua"/>
        </w:rPr>
        <w:t xml:space="preserve"> the es</w:t>
      </w:r>
      <w:r w:rsidR="009F0A09">
        <w:rPr>
          <w:rFonts w:ascii="Book Antiqua" w:hAnsi="Book Antiqua"/>
        </w:rPr>
        <w:t xml:space="preserve">ophageal tissue to be ablated. </w:t>
      </w:r>
      <w:r w:rsidR="00623251" w:rsidRPr="00312A48">
        <w:rPr>
          <w:rFonts w:ascii="Book Antiqua" w:hAnsi="Book Antiqua"/>
        </w:rPr>
        <w:t>Cryogen in the form of nitrous oxide is then sprayed from a diffuser</w:t>
      </w:r>
      <w:r w:rsidR="00E14B05" w:rsidRPr="00312A48">
        <w:rPr>
          <w:rFonts w:ascii="Book Antiqua" w:hAnsi="Book Antiqua"/>
        </w:rPr>
        <w:t xml:space="preserve">, centered within the balloon, </w:t>
      </w:r>
      <w:r w:rsidR="00623251" w:rsidRPr="00312A48">
        <w:rPr>
          <w:rFonts w:ascii="Book Antiqua" w:hAnsi="Book Antiqua"/>
        </w:rPr>
        <w:t xml:space="preserve">against the balloon </w:t>
      </w:r>
      <w:proofErr w:type="spellStart"/>
      <w:r w:rsidR="00623251" w:rsidRPr="00312A48">
        <w:rPr>
          <w:rFonts w:ascii="Book Antiqua" w:hAnsi="Book Antiqua"/>
        </w:rPr>
        <w:t>apposing</w:t>
      </w:r>
      <w:proofErr w:type="spellEnd"/>
      <w:r w:rsidR="00623251" w:rsidRPr="00312A48">
        <w:rPr>
          <w:rFonts w:ascii="Book Antiqua" w:hAnsi="Book Antiqua"/>
        </w:rPr>
        <w:t xml:space="preserve"> the esophageal tissue. Through contact, the esophageal tissue freezes to -78 degrees Celsius. </w:t>
      </w:r>
      <w:r w:rsidR="00E14B05" w:rsidRPr="00312A48">
        <w:rPr>
          <w:rFonts w:ascii="Book Antiqua" w:hAnsi="Book Antiqua"/>
        </w:rPr>
        <w:t>The diffuse can be turned to spray a diff</w:t>
      </w:r>
      <w:r w:rsidR="004713D5" w:rsidRPr="00312A48">
        <w:rPr>
          <w:rFonts w:ascii="Book Antiqua" w:hAnsi="Book Antiqua"/>
        </w:rPr>
        <w:t>erent quadrant of the esophagus</w:t>
      </w:r>
      <w:r w:rsidR="00E14B05" w:rsidRPr="00312A48">
        <w:rPr>
          <w:rFonts w:ascii="Book Antiqua" w:hAnsi="Book Antiqua"/>
        </w:rPr>
        <w:t xml:space="preserve"> by having</w:t>
      </w:r>
      <w:r w:rsidR="009F0A09">
        <w:rPr>
          <w:rFonts w:ascii="Book Antiqua" w:hAnsi="Book Antiqua"/>
        </w:rPr>
        <w:t xml:space="preserve"> an assistant turn the handle. </w:t>
      </w:r>
      <w:r w:rsidR="00623251" w:rsidRPr="00312A48">
        <w:rPr>
          <w:rFonts w:ascii="Book Antiqua" w:hAnsi="Book Antiqua"/>
        </w:rPr>
        <w:t xml:space="preserve">Full details on the set up and equipment can be found on a recent ASGE </w:t>
      </w:r>
      <w:r w:rsidR="004713D5" w:rsidRPr="00312A48">
        <w:rPr>
          <w:rFonts w:ascii="Book Antiqua" w:hAnsi="Book Antiqua"/>
        </w:rPr>
        <w:t>Technical review on cryotherapy</w:t>
      </w:r>
      <w:r w:rsidR="00EB3C04" w:rsidRPr="00312A48">
        <w:rPr>
          <w:rFonts w:ascii="Book Antiqua" w:hAnsi="Book Antiqua"/>
        </w:rPr>
        <w:fldChar w:fldCharType="begin" w:fldLock="1"/>
      </w:r>
      <w:r w:rsidR="00EB3C04" w:rsidRPr="00312A48">
        <w:rPr>
          <w:rFonts w:ascii="Book Antiqua" w:hAnsi="Book Antiqua"/>
        </w:rPr>
        <w:instrText>ADDIN CSL_CITATION {"citationItems":[{"id":"ITEM-1","itemData":{"DOI":"10.1016/j.vgie.2017.01.021","ISSN":"2468-4481 (Electronic)\r2468-4481 (Linking)","PMID":"29905303","author":[{"dropping-particle":"","family":"Committee","given":"Asge Technology","non-dropping-particle":"","parse-names":false,"suffix":""},{"dropping-particle":"","family":"Parsi","given":"M A","non-dropping-particle":"","parse-names":false,"suffix":""},{"dropping-particle":"","family":"Trindade","given":"A J","non-dropping-particle":"","parse-names":false,"suffix":""},{"dropping-particle":"","family":"Bhutani","given":"M S","non-dropping-particle":"","parse-names":false,"suffix":""},{"dropping-particle":"","family":"Melson","given":"J","non-dropping-particle":"","parse-names":false,"suffix":""},{"dropping-particle":"","family":"Navaneethan","given":"U","non-dropping-particle":"","parse-names":false,"suffix":""},{"dropping-particle":"","family":"Thosani","given":"N","non-dropping-particle":"","parse-names":false,"suffix":""},{"dropping-particle":"","family":"Trikudanathan","given":"G","non-dropping-particle":"","parse-names":false,"suffix":""},{"dropping-particle":"","family":"Watson","given":"R R","non-dropping-particle":"","parse-names":false,"suffix":""},{"dropping-particle":"","family":"Maple","given":"J T","non-dropping-particle":"","parse-names":false,"suffix":""}],"container-title":"VideoGIE","id":"ITEM-1","issue":"5","issued":{"date-parts":[["2017"]]},"note":"Parsi, Mansour A\rTrindade, Arvind J\rBhutani, Manoop S\rMelson, Joshua\rNavaneethan, Udayakumar\rThosani, Nirav\rTrikudanathan, Guru\rWatson, Rabindra R\rMaple, John T\reng\r2017/02/06 00:00\rVideoGIE. 2017 Feb 6;2(5):89-95. doi: 10.1016/j.vgie.2017.01.021. eCollection 2017 May.","page":"89-95","title":"Cryotherapy in gastrointestinal endoscopy","type":"article-journal","volume":"2"},"uris":["http://www.mendeley.com/documents/?uuid=cf6f9281-f936-3f5c-adbb-e18fc874d198"]},{"id":"ITEM-2","itemData":{"DOI":"10.1055/a-0824-6058","ISSN":"1438-8812 (Electronic)\r0013-726X (Linking)","PMID":"30658356","author":[{"dropping-particle":"","family":"Trindade","given":"A J","non-dropping-particle":"","parse-names":false,"suffix":""},{"dropping-particle":"","family":"Canto","given":"M I","non-dropping-particle":"","parse-names":false,"suffix":""}],"container-title":"Endoscopy","id":"ITEM-2","issue":"4","issued":{"date-parts":[["2019"]]},"note":"Trindade, Arvind J\rCanto, Marcia I\reng\rGermany\r2019/01/19 06:00\rEndoscopy. 2019 Apr;51(4):E69-E70. doi: 10.1055/a-0824-6058. Epub 2019 Jan 18.","page":"E69-E70","title":"Circumferential treatment of long-segment Barrett's esophagus using the next-generation cryoballoon","type":"article-journal","volume":"51"},"uris":["http://www.mendeley.com/documents/?uuid=ab4b55d3-d482-3844-8541-5520402d22f1"]}],"mendeley":{"formattedCitation":"&lt;sup&gt;[40,44]&lt;/sup&gt;","plainTextFormattedCitation":"[40,44]","previouslyFormattedCitation":"&lt;sup&gt;[40,44]&lt;/sup&gt;"},"properties":{"noteIndex":0},"schema":"https://github.com/citation-style-language/schema/raw/master/csl-citation.json"}</w:instrText>
      </w:r>
      <w:r w:rsidR="00EB3C04" w:rsidRPr="00312A48">
        <w:rPr>
          <w:rFonts w:ascii="Book Antiqua" w:hAnsi="Book Antiqua"/>
        </w:rPr>
        <w:fldChar w:fldCharType="separate"/>
      </w:r>
      <w:r w:rsidR="00EB3C04" w:rsidRPr="00312A48">
        <w:rPr>
          <w:rFonts w:ascii="Book Antiqua" w:hAnsi="Book Antiqua"/>
          <w:noProof/>
          <w:vertAlign w:val="superscript"/>
        </w:rPr>
        <w:t>[40,44]</w:t>
      </w:r>
      <w:r w:rsidR="00EB3C04" w:rsidRPr="00312A48">
        <w:rPr>
          <w:rFonts w:ascii="Book Antiqua" w:hAnsi="Book Antiqua"/>
        </w:rPr>
        <w:fldChar w:fldCharType="end"/>
      </w:r>
      <w:r w:rsidR="009216C7" w:rsidRPr="00312A48">
        <w:rPr>
          <w:rFonts w:ascii="Book Antiqua" w:hAnsi="Book Antiqua"/>
        </w:rPr>
        <w:t>.</w:t>
      </w:r>
      <w:r w:rsidR="00EB3C04" w:rsidRPr="00312A48" w:rsidDel="00530B4C">
        <w:rPr>
          <w:rFonts w:ascii="Book Antiqua" w:hAnsi="Book Antiqua"/>
        </w:rPr>
        <w:t xml:space="preserve"> </w:t>
      </w:r>
      <w:r w:rsidR="00E14B05" w:rsidRPr="00312A48">
        <w:rPr>
          <w:rFonts w:ascii="Book Antiqua" w:hAnsi="Book Antiqua"/>
        </w:rPr>
        <w:t>Recently the second-generation system has been developed</w:t>
      </w:r>
      <w:r w:rsidR="004713D5" w:rsidRPr="00312A48">
        <w:rPr>
          <w:rFonts w:ascii="Book Antiqua" w:hAnsi="Book Antiqua"/>
        </w:rPr>
        <w:t xml:space="preserve"> </w:t>
      </w:r>
      <w:r w:rsidR="00E14B05" w:rsidRPr="00312A48">
        <w:rPr>
          <w:rFonts w:ascii="Book Antiqua" w:hAnsi="Book Antiqua"/>
        </w:rPr>
        <w:t xml:space="preserve">that allows for the diffuser to be controlled (both up/down and rotational movements) by a foot pedal; and </w:t>
      </w:r>
      <w:proofErr w:type="gramStart"/>
      <w:r w:rsidR="00E14B05" w:rsidRPr="00312A48">
        <w:rPr>
          <w:rFonts w:ascii="Book Antiqua" w:hAnsi="Book Antiqua"/>
        </w:rPr>
        <w:t>thus</w:t>
      </w:r>
      <w:proofErr w:type="gramEnd"/>
      <w:r w:rsidR="00E14B05" w:rsidRPr="00312A48">
        <w:rPr>
          <w:rFonts w:ascii="Book Antiqua" w:hAnsi="Book Antiqua"/>
        </w:rPr>
        <w:t xml:space="preserve"> provides more control to the endoscopist. Given the recent release of this product, data is emerging on the use of </w:t>
      </w:r>
      <w:proofErr w:type="spellStart"/>
      <w:r w:rsidR="00E14B05" w:rsidRPr="00312A48">
        <w:rPr>
          <w:rFonts w:ascii="Book Antiqua" w:hAnsi="Book Antiqua"/>
        </w:rPr>
        <w:t>CryoBalloon</w:t>
      </w:r>
      <w:proofErr w:type="spellEnd"/>
      <w:r w:rsidR="00E14B05" w:rsidRPr="00312A48">
        <w:rPr>
          <w:rFonts w:ascii="Book Antiqua" w:hAnsi="Book Antiqua"/>
        </w:rPr>
        <w:t xml:space="preserve"> in treatment naïve patients</w:t>
      </w:r>
      <w:r w:rsidR="00EB3C04" w:rsidRPr="00312A48">
        <w:rPr>
          <w:rFonts w:ascii="Book Antiqua" w:hAnsi="Book Antiqua"/>
        </w:rPr>
        <w:fldChar w:fldCharType="begin" w:fldLock="1"/>
      </w:r>
      <w:r w:rsidR="00EB3C04" w:rsidRPr="00312A48">
        <w:rPr>
          <w:rFonts w:ascii="Book Antiqua" w:hAnsi="Book Antiqua"/>
        </w:rPr>
        <w:instrText>ADDIN CSL_CITATION {"citationItems":[{"id":"ITEM-1","itemData":{"DOI":"10.1016/j.gie.2018.03.024","ISSN":"1097-6779 (Electronic)\r0016-5107 (Linking)","PMID":"29626424","abstract":"BACKGROUND AND AIMS: Endoscopic cryotherapy can eradicate neoplastic Barrett's esophagus (BE). A new contact cryoballoon focal ablation system (CbFAS)) freezes esophageal mucosa with nitrous oxide. We studied the safety and efficacy of CbFAS for complete eradication of neoplastic Barrett's esophagus. METHODS: In a prospective clinical trial, consecutive BE patients with confirmed neoplasia (low-grade dysplasia [LGD], high-grade dysplasia [HGD], and/or intramucosal adenocarcinoma [ImCA]), at least 1 cm of BE, with or without prior ablation, were treated with a dose 10 seconds of spray per site. EMR was performed for nodular lesions. Treatments were repeated every 10 to 12 weeks until complete eradication, with a maximum of 5 treatments. Primary outcomes were complete eradication of all dysplasia (CE-D) and complete eradication of intestinal metaplasia (CE-IM) at 1 year (intention-to-treat analysis). RESULTS: Forty-one assessable patients (22 treatment naive, 19 previously ablated) with LGD (n = 13), HGD (n = 23), or ImCA (n = 5) were treated. The median procedure time was 30 minutes. The median number of ablation procedures for CE-IM was 3 (interquartile range, 2-4). Overall 1-year CE-D and CE-IM rates were 95% and 88%, respectively. CE-D rate was significantly lower (67%) in those with ultra-long BE compared with those with &lt;8 cm (100%, P = .02). Median pain scores were zero at day 1. Four patients (9.7%) developed mild dysphagia from stenoses requiring dilation. One patient on aspirin developed upper GI bleeding that did not require therapy. CONCLUSIONS: Multifocal nitrous oxide cryotherapy using CbFAS is a promising, highly effective, and safe endoscopic treatment for primary or rescue therapy of BE-associated neoplasia and IM. (Clinical trial registration number: NCT02534233.).","author":[{"dropping-particle":"","family":"Canto","given":"M I","non-dropping-particle":"","parse-names":false,"suffix":""},{"dropping-particle":"","family":"Shaheen","given":"N J","non-dropping-particle":"","parse-names":false,"suffix":""},{"dropping-particle":"","family":"Almario","given":"J A","non-dropping-particle":"","parse-names":false,"suffix":""},{"dropping-particle":"","family":"Voltaggio","given":"L","non-dropping-particle":"","parse-names":false,"suffix":""},{"dropping-particle":"","family":"Montgomery","given":"E","non-dropping-particle":"","parse-names":false,"suffix":""},{"dropping-particle":"","family":"Lightdale","given":"C J","non-dropping-particle":"","parse-names":false,"suffix":""}],"container-title":"Gastrointestinal Endoscopy","id":"ITEM-1","issue":"3","issued":{"date-parts":[["2018"]]},"note":"Canto, Marcia Irene\rShaheen, Nicholas J\rAlmario, Jose Alejandro\rVoltaggio, Lysandra\rMontgomery, Elizabeth\rLightdale, Charles J\reng\rClinical Trial\rVideo-Audio Media\r2018/04/08 06:00\rGastrointest Endosc. 2018 Sep;88(3):438-446.e2. doi: 10.1016/j.gie.2018.03.024. Epub 2018 Apr 5.","page":"438-446 e2","title":"Multifocal nitrous oxide cryoballoon ablation with or without EMR for treatment of neoplastic Barrett's esophagus (with video)","type":"article-journal","volume":"88"},"uris":["http://www.mendeley.com/documents/?uuid=c2cc818c-1ac7-346a-ac66-e19f7dc4aab3"]}],"mendeley":{"formattedCitation":"&lt;sup&gt;[45]&lt;/sup&gt;","plainTextFormattedCitation":"[45]","previouslyFormattedCitation":"&lt;sup&gt;[45]&lt;/sup&gt;"},"properties":{"noteIndex":0},"schema":"https://github.com/citation-style-language/schema/raw/master/csl-citation.json"}</w:instrText>
      </w:r>
      <w:r w:rsidR="00EB3C04" w:rsidRPr="00312A48">
        <w:rPr>
          <w:rFonts w:ascii="Book Antiqua" w:hAnsi="Book Antiqua"/>
        </w:rPr>
        <w:fldChar w:fldCharType="separate"/>
      </w:r>
      <w:r w:rsidR="00EB3C04" w:rsidRPr="00312A48">
        <w:rPr>
          <w:rFonts w:ascii="Book Antiqua" w:hAnsi="Book Antiqua"/>
          <w:noProof/>
          <w:vertAlign w:val="superscript"/>
        </w:rPr>
        <w:t>[45]</w:t>
      </w:r>
      <w:r w:rsidR="00EB3C04" w:rsidRPr="00312A48">
        <w:rPr>
          <w:rFonts w:ascii="Book Antiqua" w:hAnsi="Book Antiqua"/>
        </w:rPr>
        <w:fldChar w:fldCharType="end"/>
      </w:r>
      <w:r w:rsidR="009216C7" w:rsidRPr="00312A48">
        <w:rPr>
          <w:rFonts w:ascii="Book Antiqua" w:hAnsi="Book Antiqua"/>
        </w:rPr>
        <w:t>.</w:t>
      </w:r>
      <w:r w:rsidR="00E14B05" w:rsidRPr="00312A48">
        <w:rPr>
          <w:rFonts w:ascii="Book Antiqua" w:hAnsi="Book Antiqua"/>
        </w:rPr>
        <w:t xml:space="preserve"> To our knowledge, there is no study evaluating RFA refractory disease published in full manuscript form. </w:t>
      </w:r>
      <w:proofErr w:type="gramStart"/>
      <w:r w:rsidR="00E14B05" w:rsidRPr="00312A48">
        <w:rPr>
          <w:rFonts w:ascii="Book Antiqua" w:hAnsi="Book Antiqua"/>
        </w:rPr>
        <w:t>However</w:t>
      </w:r>
      <w:proofErr w:type="gramEnd"/>
      <w:r w:rsidR="00E14B05" w:rsidRPr="00312A48">
        <w:rPr>
          <w:rFonts w:ascii="Book Antiqua" w:hAnsi="Book Antiqua"/>
        </w:rPr>
        <w:t xml:space="preserve"> there is currently a multi-</w:t>
      </w:r>
      <w:r w:rsidR="00E14B05" w:rsidRPr="00312A48">
        <w:rPr>
          <w:rFonts w:ascii="Book Antiqua" w:hAnsi="Book Antiqua"/>
        </w:rPr>
        <w:lastRenderedPageBreak/>
        <w:t>center prospective trial evaluating this for RFA refractory disease (NCT035543</w:t>
      </w:r>
      <w:r w:rsidR="00312A48" w:rsidRPr="00312A48">
        <w:rPr>
          <w:rFonts w:ascii="Book Antiqua" w:hAnsi="Book Antiqua"/>
        </w:rPr>
        <w:t xml:space="preserve">56). In our limited experience, </w:t>
      </w:r>
      <w:proofErr w:type="spellStart"/>
      <w:r w:rsidR="00E14B05" w:rsidRPr="00312A48">
        <w:rPr>
          <w:rFonts w:ascii="Book Antiqua" w:hAnsi="Book Antiqua"/>
        </w:rPr>
        <w:t>CryoBalloon</w:t>
      </w:r>
      <w:proofErr w:type="spellEnd"/>
      <w:r w:rsidR="00E14B05" w:rsidRPr="00312A48">
        <w:rPr>
          <w:rFonts w:ascii="Book Antiqua" w:hAnsi="Book Antiqua"/>
        </w:rPr>
        <w:t xml:space="preserve"> cryotherapy works well </w:t>
      </w:r>
      <w:r w:rsidR="006D5A31" w:rsidRPr="00312A48">
        <w:rPr>
          <w:rFonts w:ascii="Book Antiqua" w:hAnsi="Book Antiqua"/>
        </w:rPr>
        <w:t xml:space="preserve">for RFA refractory disease. </w:t>
      </w:r>
      <w:r w:rsidR="00F003B1" w:rsidRPr="00312A48">
        <w:rPr>
          <w:rFonts w:ascii="Book Antiqua" w:hAnsi="Book Antiqua"/>
        </w:rPr>
        <w:t xml:space="preserve">Figure 2 shows a patient from our practice who underwent five RFA sessions, who then underwent salvage </w:t>
      </w:r>
      <w:proofErr w:type="spellStart"/>
      <w:r w:rsidR="00B030E3" w:rsidRPr="00312A48">
        <w:rPr>
          <w:rFonts w:ascii="Book Antiqua" w:hAnsi="Book Antiqua"/>
        </w:rPr>
        <w:t>CryoBalloo</w:t>
      </w:r>
      <w:r w:rsidR="00F003B1" w:rsidRPr="00312A48">
        <w:rPr>
          <w:rFonts w:ascii="Book Antiqua" w:hAnsi="Book Antiqua"/>
        </w:rPr>
        <w:t>n</w:t>
      </w:r>
      <w:proofErr w:type="spellEnd"/>
      <w:r w:rsidR="00F003B1" w:rsidRPr="00312A48">
        <w:rPr>
          <w:rFonts w:ascii="Book Antiqua" w:hAnsi="Book Antiqua"/>
        </w:rPr>
        <w:t xml:space="preserve"> cryotherapy</w:t>
      </w:r>
      <w:r w:rsidR="00B030E3" w:rsidRPr="00312A48">
        <w:rPr>
          <w:rFonts w:ascii="Book Antiqua" w:hAnsi="Book Antiqua"/>
        </w:rPr>
        <w:t>. He was able to achieve CE-IM wi</w:t>
      </w:r>
      <w:r w:rsidR="00312A48" w:rsidRPr="00312A48">
        <w:rPr>
          <w:rFonts w:ascii="Book Antiqua" w:hAnsi="Book Antiqua"/>
        </w:rPr>
        <w:t>th two sessions of cryotherapy.</w:t>
      </w:r>
    </w:p>
    <w:p w14:paraId="529F1330" w14:textId="77777777" w:rsidR="006D5A31" w:rsidRPr="00312A48" w:rsidRDefault="006D5A31" w:rsidP="00312A48">
      <w:pPr>
        <w:snapToGrid w:val="0"/>
        <w:spacing w:line="360" w:lineRule="auto"/>
        <w:jc w:val="both"/>
        <w:rPr>
          <w:rFonts w:ascii="Book Antiqua" w:hAnsi="Book Antiqua"/>
          <w:b/>
          <w:bCs/>
        </w:rPr>
      </w:pPr>
    </w:p>
    <w:p w14:paraId="36585ED1" w14:textId="7CAF11C4" w:rsidR="00F003B1" w:rsidRPr="00312A48" w:rsidRDefault="00312A48" w:rsidP="00312A48">
      <w:pPr>
        <w:snapToGrid w:val="0"/>
        <w:spacing w:line="360" w:lineRule="auto"/>
        <w:jc w:val="both"/>
        <w:rPr>
          <w:rFonts w:ascii="Book Antiqua" w:hAnsi="Book Antiqua"/>
          <w:caps/>
          <w:u w:val="single"/>
        </w:rPr>
      </w:pPr>
      <w:r w:rsidRPr="00312A48">
        <w:rPr>
          <w:rFonts w:ascii="Book Antiqua" w:hAnsi="Book Antiqua"/>
          <w:b/>
          <w:bCs/>
          <w:caps/>
          <w:u w:val="single"/>
        </w:rPr>
        <w:t xml:space="preserve">Hybrid </w:t>
      </w:r>
      <w:r w:rsidR="004F0994" w:rsidRPr="00312A48">
        <w:rPr>
          <w:rFonts w:ascii="Book Antiqua" w:hAnsi="Book Antiqua"/>
          <w:b/>
          <w:bCs/>
          <w:caps/>
          <w:u w:val="single"/>
        </w:rPr>
        <w:t>Argon Plasma Coagulation</w:t>
      </w:r>
    </w:p>
    <w:p w14:paraId="4D216E18" w14:textId="0D10B5E2" w:rsidR="006D5A31" w:rsidRPr="00312A48" w:rsidRDefault="00C80449" w:rsidP="00312A48">
      <w:pPr>
        <w:snapToGrid w:val="0"/>
        <w:spacing w:line="360" w:lineRule="auto"/>
        <w:jc w:val="both"/>
        <w:rPr>
          <w:rFonts w:ascii="Book Antiqua" w:hAnsi="Book Antiqua"/>
        </w:rPr>
      </w:pPr>
      <w:r w:rsidRPr="00312A48">
        <w:rPr>
          <w:rFonts w:ascii="Book Antiqua" w:hAnsi="Book Antiqua"/>
        </w:rPr>
        <w:t xml:space="preserve">The latest ablation modality in BE is </w:t>
      </w:r>
      <w:r w:rsidR="009043E7" w:rsidRPr="00312A48">
        <w:rPr>
          <w:rFonts w:ascii="Book Antiqua" w:hAnsi="Book Antiqua"/>
        </w:rPr>
        <w:t>h</w:t>
      </w:r>
      <w:r w:rsidRPr="00312A48">
        <w:rPr>
          <w:rFonts w:ascii="Book Antiqua" w:hAnsi="Book Antiqua"/>
        </w:rPr>
        <w:t xml:space="preserve">ybrid </w:t>
      </w:r>
      <w:r w:rsidR="00312A48" w:rsidRPr="00312A48">
        <w:rPr>
          <w:rFonts w:ascii="Book Antiqua" w:hAnsi="Book Antiqua"/>
          <w:bCs/>
        </w:rPr>
        <w:t>Argon Plasma Coagulation</w:t>
      </w:r>
      <w:r w:rsidR="00312A48" w:rsidRPr="00312A48">
        <w:rPr>
          <w:rFonts w:ascii="Book Antiqua" w:hAnsi="Book Antiqua"/>
        </w:rPr>
        <w:t xml:space="preserve"> (</w:t>
      </w:r>
      <w:r w:rsidRPr="00312A48">
        <w:rPr>
          <w:rFonts w:ascii="Book Antiqua" w:hAnsi="Book Antiqua"/>
        </w:rPr>
        <w:t>APC</w:t>
      </w:r>
      <w:r w:rsidR="00312A48" w:rsidRPr="00312A48">
        <w:rPr>
          <w:rFonts w:ascii="Book Antiqua" w:hAnsi="Book Antiqua"/>
        </w:rPr>
        <w:t>)</w:t>
      </w:r>
      <w:r w:rsidR="009F0A09">
        <w:rPr>
          <w:rFonts w:ascii="Book Antiqua" w:hAnsi="Book Antiqua"/>
        </w:rPr>
        <w:t xml:space="preserve">. </w:t>
      </w:r>
      <w:r w:rsidRPr="00312A48">
        <w:rPr>
          <w:rFonts w:ascii="Book Antiqua" w:hAnsi="Book Antiqua"/>
        </w:rPr>
        <w:t>Prior to argon plasma coagulation, a submucosal injection is performed of saline using a water jet system (</w:t>
      </w:r>
      <w:proofErr w:type="spellStart"/>
      <w:r w:rsidRPr="00312A48">
        <w:rPr>
          <w:rFonts w:ascii="Book Antiqua" w:hAnsi="Book Antiqua"/>
        </w:rPr>
        <w:t>ErbeJet</w:t>
      </w:r>
      <w:proofErr w:type="spellEnd"/>
      <w:r w:rsidRPr="00312A48">
        <w:rPr>
          <w:rFonts w:ascii="Book Antiqua" w:hAnsi="Book Antiqua"/>
        </w:rPr>
        <w:t xml:space="preserve"> 2; </w:t>
      </w:r>
      <w:proofErr w:type="spellStart"/>
      <w:r w:rsidRPr="00312A48">
        <w:rPr>
          <w:rFonts w:ascii="Book Antiqua" w:hAnsi="Book Antiqua"/>
        </w:rPr>
        <w:t>Erbe</w:t>
      </w:r>
      <w:proofErr w:type="spellEnd"/>
      <w:r w:rsidRPr="00312A48">
        <w:rPr>
          <w:rFonts w:ascii="Book Antiqua" w:hAnsi="Book Antiqua"/>
        </w:rPr>
        <w:t xml:space="preserve"> U</w:t>
      </w:r>
      <w:r w:rsidR="00312A48" w:rsidRPr="00312A48">
        <w:rPr>
          <w:rFonts w:ascii="Book Antiqua" w:hAnsi="Book Antiqua"/>
        </w:rPr>
        <w:t>nited States</w:t>
      </w:r>
      <w:r w:rsidRPr="00312A48">
        <w:rPr>
          <w:rFonts w:ascii="Book Antiqua" w:hAnsi="Book Antiqua"/>
        </w:rPr>
        <w:t>, Marietta, GA, U</w:t>
      </w:r>
      <w:r w:rsidR="00312A48" w:rsidRPr="00312A48">
        <w:rPr>
          <w:rFonts w:ascii="Book Antiqua" w:hAnsi="Book Antiqua"/>
        </w:rPr>
        <w:t>nited States</w:t>
      </w:r>
      <w:r w:rsidRPr="00312A48">
        <w:rPr>
          <w:rFonts w:ascii="Book Antiqua" w:hAnsi="Book Antiqua"/>
        </w:rPr>
        <w:t>) at high PSI settings (typically Effect 25/360 PSI-Effect 50/725 PSI in our unit). After an adequate submucosal injection is created</w:t>
      </w:r>
      <w:r w:rsidR="00F003B1" w:rsidRPr="00312A48">
        <w:rPr>
          <w:rFonts w:ascii="Book Antiqua" w:hAnsi="Book Antiqua"/>
        </w:rPr>
        <w:t xml:space="preserve"> using the lowest PSI setting</w:t>
      </w:r>
      <w:r w:rsidRPr="00312A48">
        <w:rPr>
          <w:rFonts w:ascii="Book Antiqua" w:hAnsi="Book Antiqua"/>
        </w:rPr>
        <w:t>, APC is performed</w:t>
      </w:r>
      <w:r w:rsidR="00F003B1" w:rsidRPr="00312A48">
        <w:rPr>
          <w:rFonts w:ascii="Book Antiqua" w:hAnsi="Book Antiqua"/>
        </w:rPr>
        <w:t xml:space="preserve"> typically at higher wattage than with standard APC (</w:t>
      </w:r>
      <w:proofErr w:type="spellStart"/>
      <w:r w:rsidR="00F003B1" w:rsidRPr="00312A48">
        <w:rPr>
          <w:rFonts w:ascii="Book Antiqua" w:hAnsi="Book Antiqua"/>
        </w:rPr>
        <w:t>Erbe</w:t>
      </w:r>
      <w:proofErr w:type="spellEnd"/>
      <w:r w:rsidR="00F003B1" w:rsidRPr="00312A48">
        <w:rPr>
          <w:rFonts w:ascii="Book Antiqua" w:hAnsi="Book Antiqua"/>
        </w:rPr>
        <w:t xml:space="preserve"> VIO D device, pulsed APC, effect 2, 60 Watts). </w:t>
      </w:r>
    </w:p>
    <w:p w14:paraId="1974EBFB" w14:textId="4533F076" w:rsidR="00F003B1" w:rsidRPr="00312A48" w:rsidRDefault="009043E7" w:rsidP="00312A48">
      <w:pPr>
        <w:snapToGrid w:val="0"/>
        <w:spacing w:line="360" w:lineRule="auto"/>
        <w:ind w:firstLineChars="100" w:firstLine="240"/>
        <w:jc w:val="both"/>
        <w:rPr>
          <w:rFonts w:ascii="Book Antiqua" w:hAnsi="Book Antiqua"/>
        </w:rPr>
      </w:pPr>
      <w:r w:rsidRPr="00312A48">
        <w:rPr>
          <w:rFonts w:ascii="Book Antiqua" w:hAnsi="Book Antiqua"/>
        </w:rPr>
        <w:t>G</w:t>
      </w:r>
      <w:r w:rsidR="00F003B1" w:rsidRPr="00312A48">
        <w:rPr>
          <w:rFonts w:ascii="Book Antiqua" w:hAnsi="Book Antiqua"/>
        </w:rPr>
        <w:t xml:space="preserve">iven the novelty of this device, </w:t>
      </w:r>
      <w:r w:rsidRPr="00312A48">
        <w:rPr>
          <w:rFonts w:ascii="Book Antiqua" w:hAnsi="Book Antiqua"/>
        </w:rPr>
        <w:t xml:space="preserve">most </w:t>
      </w:r>
      <w:r w:rsidR="00F003B1" w:rsidRPr="00312A48">
        <w:rPr>
          <w:rFonts w:ascii="Book Antiqua" w:hAnsi="Book Antiqua"/>
        </w:rPr>
        <w:t xml:space="preserve">data only exists for </w:t>
      </w:r>
      <w:proofErr w:type="spellStart"/>
      <w:r w:rsidR="00F003B1" w:rsidRPr="00312A48">
        <w:rPr>
          <w:rFonts w:ascii="Book Antiqua" w:hAnsi="Book Antiqua"/>
        </w:rPr>
        <w:t>patient’s</w:t>
      </w:r>
      <w:proofErr w:type="spellEnd"/>
      <w:r w:rsidR="00F003B1" w:rsidRPr="00312A48">
        <w:rPr>
          <w:rFonts w:ascii="Book Antiqua" w:hAnsi="Book Antiqua"/>
        </w:rPr>
        <w:t xml:space="preserve"> with treatment naïve Barrett’s after endoscopic resection of raised lesions</w:t>
      </w:r>
      <w:r w:rsidR="00EB3C04" w:rsidRPr="00312A48">
        <w:rPr>
          <w:rFonts w:ascii="Book Antiqua" w:hAnsi="Book Antiqua"/>
        </w:rPr>
        <w:fldChar w:fldCharType="begin" w:fldLock="1"/>
      </w:r>
      <w:r w:rsidR="00EF2B23" w:rsidRPr="00312A48">
        <w:rPr>
          <w:rFonts w:ascii="Book Antiqua" w:hAnsi="Book Antiqua"/>
        </w:rPr>
        <w:instrText>ADDIN CSL_CITATION {"citationItems":[{"id":"ITEM-1","itemData":{"DOI":"10.1007/s00464-015-4336-1","ISSN":"1432-2218 (Electronic)\r0930-2794 (Linking)","PMID":"26104794","abstract":"BACKGROUND AND STUDY AIM: After thermal ablation of Barrett's esophagus (BE), stricture formation is reported in 5 to over 10% of patients. The question arises whether submucosal fluid injection prior to ablation may lower the risk of stricture formation. The aim of the present study was to evaluate the efficacy and safety of the new technique of Hybrid-APC which combines submucosal injection with APC. PATIENTS AND METHODS: Patients who had a residual BE segment of at least 1 cm after endoscopic resection of early Barrett's neoplasia underwent thermal ablation of BE by Hybrid-APC. Prior to thermal ablation, submucosal injection of sodium chloride 0.9% was carried out using a flexible water-jet probe (Erbejet 2; Erbe Elektromedizin, Tuebingen, Germany). Check-up upper GI endoscopy was carried out 3 months after macroscopically complete ablation including biopsies from the neo-Z-line and the former BE segment, and recording of stricture formation. RESULTS: From May 2011 to November 2012, a total of 60 patients (pt) were included in the study [55 pt male (92%); mean age 62 +/- 9 years, range 42-79]. Ten patients were excluded from the study. In the remaining 50 pt, Hybrid-APC ablation and check-up endoscopy at 3 months were carried out. Forty-eight out of 50 pt (96%; ITT: 49/60, 82%) achieved macroscopically complete remission after a median of 3.5 APC sessions [SD 2.4; range 1-10]. Freedom from BE was histopathologically observed in 39/50 patients (78%). There was one treatment-related stricture (2%). Minor adverse events of Hybrid-APC were observed in 11 patients (22%). CONCLUSIONS: According to this pilot series, Hybrid-APC was effective and safe for BE ablation in a tertiary referral center. The rate of stricture formation was only 2%. Further studies are required to confirm the present results. GERMAN CLINICAL TRIALS REGISTER: DRKS00003369.","author":[{"dropping-particle":"","family":"Manner","given":"H","non-dropping-particle":"","parse-names":false,"suffix":""},{"dropping-particle":"","family":"May","given":"A","non-dropping-particle":"","parse-names":false,"suffix":""},{"dropping-particle":"","family":"Kouti","given":"I","non-dropping-particle":"","parse-names":false,"suffix":""},{"dropping-particle":"","family":"Pech","given":"O","non-dropping-particle":"","parse-names":false,"suffix":""},{"dropping-particle":"","family":"Vieth","given":"M","non-dropping-particle":"","parse-names":false,"suffix":""},{"dropping-particle":"","family":"Ell","given":"C","non-dropping-particle":"","parse-names":false,"suffix":""}],"container-title":"Surgical Endoscopy","id":"ITEM-1","issue":"4","issued":{"date-parts":[["2016"]]},"note":"Manner, Hendrik\rMay, Andrea\rKouti, Ioanna\rPech, Oliver\rVieth, Michael\rEll, Christian\reng\rRandomized Controlled Trial\rResearch Support, Non-U.S. Gov't\rGermany\r2015/06/25 06:00\rSurg Endosc. 2016 Apr;30(4):1364-70. doi: 10.1007/s00464-015-4336-1. Epub 2015 Jun 24.","page":"1364-1370","title":"Efficacy and safety of Hybrid-APC for the ablation of Barrett's esophagus","type":"article-journal","volume":"30"},"uris":["http://www.mendeley.com/documents/?uuid=b8b97787-eae4-36c5-8679-2f0c81b7f799"]}],"mendeley":{"formattedCitation":"&lt;sup&gt;[46]&lt;/sup&gt;","plainTextFormattedCitation":"[46]","previouslyFormattedCitation":"&lt;sup&gt;[46]&lt;/sup&gt;"},"properties":{"noteIndex":0},"schema":"https://github.com/citation-style-language/schema/raw/master/csl-citation.json"}</w:instrText>
      </w:r>
      <w:r w:rsidR="00EB3C04" w:rsidRPr="00312A48">
        <w:rPr>
          <w:rFonts w:ascii="Book Antiqua" w:hAnsi="Book Antiqua"/>
        </w:rPr>
        <w:fldChar w:fldCharType="separate"/>
      </w:r>
      <w:r w:rsidR="00EB3C04" w:rsidRPr="00312A48">
        <w:rPr>
          <w:rFonts w:ascii="Book Antiqua" w:hAnsi="Book Antiqua"/>
          <w:noProof/>
          <w:vertAlign w:val="superscript"/>
        </w:rPr>
        <w:t>[46]</w:t>
      </w:r>
      <w:r w:rsidR="00EB3C04" w:rsidRPr="00312A48">
        <w:rPr>
          <w:rFonts w:ascii="Book Antiqua" w:hAnsi="Book Antiqua"/>
        </w:rPr>
        <w:fldChar w:fldCharType="end"/>
      </w:r>
      <w:r w:rsidR="009216C7" w:rsidRPr="00312A48">
        <w:rPr>
          <w:rFonts w:ascii="Book Antiqua" w:hAnsi="Book Antiqua"/>
        </w:rPr>
        <w:t>.</w:t>
      </w:r>
      <w:r w:rsidR="00F003B1" w:rsidRPr="00312A48">
        <w:rPr>
          <w:rFonts w:ascii="Book Antiqua" w:hAnsi="Book Antiqua"/>
        </w:rPr>
        <w:t xml:space="preserve"> In a prospective study of 50 treatment naïve patients, 48 (96%) were able to achieve CE-IM. In our practice</w:t>
      </w:r>
      <w:r w:rsidR="00B030E3" w:rsidRPr="00312A48">
        <w:rPr>
          <w:rFonts w:ascii="Book Antiqua" w:hAnsi="Book Antiqua"/>
        </w:rPr>
        <w:t>, we use Hybrid APC for RFA refractory d</w:t>
      </w:r>
      <w:r w:rsidR="00312A48" w:rsidRPr="00312A48">
        <w:rPr>
          <w:rFonts w:ascii="Book Antiqua" w:hAnsi="Book Antiqua"/>
        </w:rPr>
        <w:t xml:space="preserve">isease with excellent results. </w:t>
      </w:r>
      <w:r w:rsidRPr="00312A48">
        <w:rPr>
          <w:rFonts w:ascii="Book Antiqua" w:hAnsi="Book Antiqua"/>
        </w:rPr>
        <w:t>Our group published a case series of five BE patients with dysplasia who were refractory to RFA +/- cryotherapy</w:t>
      </w:r>
      <w:r w:rsidR="00EF2B23" w:rsidRPr="00312A48">
        <w:rPr>
          <w:rFonts w:ascii="Book Antiqua" w:hAnsi="Book Antiqua"/>
        </w:rPr>
        <w:fldChar w:fldCharType="begin" w:fldLock="1"/>
      </w:r>
      <w:r w:rsidR="00EF2B23" w:rsidRPr="00312A48">
        <w:rPr>
          <w:rFonts w:ascii="Book Antiqua" w:hAnsi="Book Antiqua"/>
        </w:rPr>
        <w:instrText>ADDIN CSL_CITATION {"citationItems":[{"id":"ITEM-1","itemData":{"DOI":"10.1055/a-1119-1030","ISBN":"1438-8812 (Electronic)\r0013-726X (Linking)","PMID":"32106320","author":[{"dropping-particle":"","family":"Trindade","given":"A J","non-dropping-particle":"","parse-names":false,"suffix":""},{"dropping-particle":"","family":"Wee","given":"D","non-dropping-particle":"","parse-names":false,"suffix":""},{"dropping-particle":"","family":"Wander","given":"P","non-dropping-particle":"","parse-names":false,"suffix":""},{"dropping-particle":"","family":"Stewart","given":"M","non-dropping-particle":"","parse-names":false,"suffix":""},{"dropping-particle":"","family":"Lee","given":"C","non-dropping-particle":"","parse-names":false,"suffix":""},{"dropping-particle":"","family":"Benias","given":"P C","non-dropping-particle":"","parse-names":false,"suffix":""},{"dropping-particle":"","family":"McKinley","given":"M J","non-dropping-particle":"","parse-names":false,"suffix":""}],"container-title":"Endoscopy","edition":"2020/02/28","id":"ITEM-1","issued":{"date-parts":[["2020"]]},"language":"eng","note":"Trindade, Arvind J\nWee, Diana\nWander, Praneet\nStewart, Molly\nLee, Calvin\nBenias, Petros C\nMcKinley, Matthew J\nGermany\nEndoscopy. 2020 Feb 27. doi: 10.1055/a-1119-1030.","title":"Successful treatment of refractory Barrett's neoplasia with hybrid argon plasma coagulation: a case series","type":"article-journal"},"uris":["http://www.mendeley.com/documents/?uuid=b02d5637-878d-4b36-813b-82819ffcc759"]}],"mendeley":{"formattedCitation":"&lt;sup&gt;[47]&lt;/sup&gt;","plainTextFormattedCitation":"[47]","previouslyFormattedCitation":"&lt;sup&gt;[47]&lt;/sup&gt;"},"properties":{"noteIndex":0},"schema":"https://github.com/citation-style-language/schema/raw/master/csl-citation.json"}</w:instrText>
      </w:r>
      <w:r w:rsidR="00EF2B23" w:rsidRPr="00312A48">
        <w:rPr>
          <w:rFonts w:ascii="Book Antiqua" w:hAnsi="Book Antiqua"/>
        </w:rPr>
        <w:fldChar w:fldCharType="separate"/>
      </w:r>
      <w:r w:rsidR="00EF2B23" w:rsidRPr="00312A48">
        <w:rPr>
          <w:rFonts w:ascii="Book Antiqua" w:hAnsi="Book Antiqua"/>
          <w:noProof/>
          <w:vertAlign w:val="superscript"/>
        </w:rPr>
        <w:t>[47]</w:t>
      </w:r>
      <w:r w:rsidR="00EF2B23" w:rsidRPr="00312A48">
        <w:rPr>
          <w:rFonts w:ascii="Book Antiqua" w:hAnsi="Book Antiqua"/>
        </w:rPr>
        <w:fldChar w:fldCharType="end"/>
      </w:r>
      <w:r w:rsidR="009216C7" w:rsidRPr="00312A48">
        <w:rPr>
          <w:rFonts w:ascii="Book Antiqua" w:hAnsi="Book Antiqua"/>
        </w:rPr>
        <w:t>.</w:t>
      </w:r>
      <w:r w:rsidR="00312A48" w:rsidRPr="00312A48">
        <w:rPr>
          <w:rFonts w:ascii="Book Antiqua" w:hAnsi="Book Antiqua"/>
        </w:rPr>
        <w:t xml:space="preserve"> </w:t>
      </w:r>
      <w:r w:rsidRPr="00312A48">
        <w:rPr>
          <w:rFonts w:ascii="Book Antiqua" w:hAnsi="Book Antiqua"/>
        </w:rPr>
        <w:t>These patients were able to achieve CE-IM with hybri</w:t>
      </w:r>
      <w:r w:rsidR="00B9148D" w:rsidRPr="00312A48">
        <w:rPr>
          <w:rFonts w:ascii="Book Antiqua" w:hAnsi="Book Antiqua"/>
        </w:rPr>
        <w:t>d</w:t>
      </w:r>
      <w:r w:rsidR="00312A48" w:rsidRPr="00312A48">
        <w:rPr>
          <w:rFonts w:ascii="Book Antiqua" w:hAnsi="Book Antiqua"/>
        </w:rPr>
        <w:t xml:space="preserve"> APC. </w:t>
      </w:r>
      <w:r w:rsidR="00B030E3" w:rsidRPr="00312A48">
        <w:rPr>
          <w:rFonts w:ascii="Book Antiqua" w:hAnsi="Book Antiqua"/>
        </w:rPr>
        <w:t>Figure 3 shows a patient who underwent multiple sessions of RFA with refractory dysplasia. CE-IM was achieved after</w:t>
      </w:r>
      <w:r w:rsidR="00312A48" w:rsidRPr="00312A48">
        <w:rPr>
          <w:rFonts w:ascii="Book Antiqua" w:hAnsi="Book Antiqua"/>
        </w:rPr>
        <w:t xml:space="preserve"> two sessions with hybrid APC.</w:t>
      </w:r>
    </w:p>
    <w:p w14:paraId="184B5A35" w14:textId="77777777" w:rsidR="00105BDF" w:rsidRPr="00312A48" w:rsidRDefault="00105BDF" w:rsidP="00312A48">
      <w:pPr>
        <w:snapToGrid w:val="0"/>
        <w:spacing w:line="360" w:lineRule="auto"/>
        <w:jc w:val="both"/>
        <w:rPr>
          <w:rFonts w:ascii="Book Antiqua" w:hAnsi="Book Antiqua"/>
          <w:u w:val="single"/>
        </w:rPr>
      </w:pPr>
    </w:p>
    <w:p w14:paraId="7AB7A9FC" w14:textId="749CB807" w:rsidR="00AF46E5" w:rsidRPr="00312A48" w:rsidRDefault="00846186" w:rsidP="00312A48">
      <w:pPr>
        <w:shd w:val="clear" w:color="auto" w:fill="FFFFFF"/>
        <w:snapToGrid w:val="0"/>
        <w:spacing w:line="360" w:lineRule="auto"/>
        <w:jc w:val="both"/>
        <w:rPr>
          <w:rFonts w:ascii="Book Antiqua" w:hAnsi="Book Antiqua" w:cs="Times New Roman"/>
          <w:u w:val="single"/>
        </w:rPr>
      </w:pPr>
      <w:r w:rsidRPr="00312A48">
        <w:rPr>
          <w:rFonts w:ascii="Book Antiqua" w:hAnsi="Book Antiqua" w:cs="Times New Roman"/>
          <w:b/>
          <w:bCs/>
          <w:u w:val="single"/>
        </w:rPr>
        <w:t>ENDOROTOR ENDOSCOPIC RESECTION</w:t>
      </w:r>
    </w:p>
    <w:p w14:paraId="73012BAB" w14:textId="607900C4" w:rsidR="00AF46E5" w:rsidRPr="00312A48" w:rsidRDefault="00AF46E5" w:rsidP="00312A48">
      <w:pPr>
        <w:shd w:val="clear" w:color="auto" w:fill="FFFFFF"/>
        <w:snapToGrid w:val="0"/>
        <w:spacing w:line="360" w:lineRule="auto"/>
        <w:jc w:val="both"/>
        <w:rPr>
          <w:rFonts w:ascii="Book Antiqua" w:hAnsi="Book Antiqua" w:cs="Times New Roman"/>
        </w:rPr>
      </w:pPr>
      <w:r w:rsidRPr="00312A48">
        <w:rPr>
          <w:rFonts w:ascii="Book Antiqua" w:hAnsi="Book Antiqua" w:cs="Times New Roman"/>
        </w:rPr>
        <w:t>An</w:t>
      </w:r>
      <w:r w:rsidR="00AF47AB" w:rsidRPr="00312A48">
        <w:rPr>
          <w:rFonts w:ascii="Book Antiqua" w:hAnsi="Book Antiqua" w:cs="Times New Roman"/>
        </w:rPr>
        <w:t xml:space="preserve">other device that is promising </w:t>
      </w:r>
      <w:r w:rsidRPr="00312A48">
        <w:rPr>
          <w:rFonts w:ascii="Book Antiqua" w:hAnsi="Book Antiqua" w:cs="Times New Roman"/>
        </w:rPr>
        <w:t>for use in refractory Barrett’s esophagus is the</w:t>
      </w:r>
      <w:r w:rsidR="00B9148D" w:rsidRPr="00312A48">
        <w:rPr>
          <w:rFonts w:ascii="Book Antiqua" w:hAnsi="Book Antiqua" w:cs="Times New Roman"/>
        </w:rPr>
        <w:t xml:space="preserve"> </w:t>
      </w:r>
      <w:proofErr w:type="spellStart"/>
      <w:r w:rsidRPr="00312A48">
        <w:rPr>
          <w:rFonts w:ascii="Book Antiqua" w:hAnsi="Book Antiqua" w:cs="Times New Roman"/>
        </w:rPr>
        <w:t>EndoRotor</w:t>
      </w:r>
      <w:proofErr w:type="spellEnd"/>
      <w:r w:rsidRPr="00312A48">
        <w:rPr>
          <w:rFonts w:ascii="Book Antiqua" w:hAnsi="Book Antiqua" w:cs="Times New Roman"/>
        </w:rPr>
        <w:t>® Endoscopic Resection System (Interscope Medical, Inc, Whitinsville, MA, U</w:t>
      </w:r>
      <w:r w:rsidR="00312A48" w:rsidRPr="00312A48">
        <w:rPr>
          <w:rFonts w:ascii="Book Antiqua" w:hAnsi="Book Antiqua" w:cs="Times New Roman"/>
        </w:rPr>
        <w:t>nited States</w:t>
      </w:r>
      <w:r w:rsidR="009F0A09">
        <w:rPr>
          <w:rFonts w:ascii="Book Antiqua" w:hAnsi="Book Antiqua" w:cs="Times New Roman"/>
        </w:rPr>
        <w:t xml:space="preserve">). </w:t>
      </w:r>
      <w:r w:rsidRPr="00312A48">
        <w:rPr>
          <w:rFonts w:ascii="Book Antiqua" w:hAnsi="Book Antiqua" w:cs="Times New Roman"/>
        </w:rPr>
        <w:t xml:space="preserve">It is an automated mechanical non-thermal endoscopic resection system for use in the </w:t>
      </w:r>
      <w:r w:rsidR="00312A48" w:rsidRPr="00312A48">
        <w:rPr>
          <w:rFonts w:ascii="Book Antiqua" w:hAnsi="Book Antiqua" w:cs="Times New Roman"/>
        </w:rPr>
        <w:t xml:space="preserve">gastrointestinal </w:t>
      </w:r>
      <w:r w:rsidRPr="00312A48">
        <w:rPr>
          <w:rFonts w:ascii="Book Antiqua" w:hAnsi="Book Antiqua" w:cs="Times New Roman"/>
        </w:rPr>
        <w:t xml:space="preserve">tract for benign or pre-malignant </w:t>
      </w:r>
      <w:r w:rsidR="009F0A09">
        <w:rPr>
          <w:rFonts w:ascii="Book Antiqua" w:hAnsi="Book Antiqua" w:cs="Times New Roman"/>
        </w:rPr>
        <w:lastRenderedPageBreak/>
        <w:t xml:space="preserve">tissue removal. </w:t>
      </w:r>
      <w:r w:rsidRPr="00312A48">
        <w:rPr>
          <w:rFonts w:ascii="Book Antiqua" w:hAnsi="Book Antiqua" w:cs="Times New Roman"/>
        </w:rPr>
        <w:t xml:space="preserve">It is FDA-cleared for removal of residual tissue from peripheral margins at the time of endoscopic </w:t>
      </w:r>
      <w:r w:rsidR="009F0A09">
        <w:rPr>
          <w:rFonts w:ascii="Book Antiqua" w:hAnsi="Book Antiqua" w:cs="Times New Roman"/>
        </w:rPr>
        <w:t>mucosal resection in the colon.</w:t>
      </w:r>
      <w:r w:rsidRPr="00312A48">
        <w:rPr>
          <w:rFonts w:ascii="Book Antiqua" w:hAnsi="Book Antiqua" w:cs="Times New Roman"/>
        </w:rPr>
        <w:t xml:space="preserve"> The </w:t>
      </w:r>
      <w:proofErr w:type="spellStart"/>
      <w:r w:rsidRPr="00312A48">
        <w:rPr>
          <w:rFonts w:ascii="Book Antiqua" w:hAnsi="Book Antiqua" w:cs="Times New Roman"/>
        </w:rPr>
        <w:t>EndoRotor</w:t>
      </w:r>
      <w:proofErr w:type="spellEnd"/>
      <w:r w:rsidRPr="00312A48">
        <w:rPr>
          <w:rFonts w:ascii="Book Antiqua" w:hAnsi="Book Antiqua" w:cs="Times New Roman"/>
        </w:rPr>
        <w:t xml:space="preserve"> system comprises the catheter with the cutting tool, a console (that houses the motor drive, peristaltic pump, and vacuum regulation), a foot pedal for activation of the device, </w:t>
      </w:r>
      <w:r w:rsidR="00312A48" w:rsidRPr="00312A48">
        <w:rPr>
          <w:rFonts w:ascii="Book Antiqua" w:hAnsi="Book Antiqua" w:cs="Times New Roman"/>
        </w:rPr>
        <w:t>and a specimen collection trap.</w:t>
      </w:r>
    </w:p>
    <w:p w14:paraId="70D32D2C" w14:textId="7BAED311" w:rsidR="00AF46E5" w:rsidRPr="00312A48" w:rsidRDefault="00AF46E5" w:rsidP="00312A48">
      <w:pPr>
        <w:shd w:val="clear" w:color="auto" w:fill="FFFFFF"/>
        <w:snapToGrid w:val="0"/>
        <w:spacing w:line="360" w:lineRule="auto"/>
        <w:ind w:firstLineChars="100" w:firstLine="240"/>
        <w:jc w:val="both"/>
        <w:rPr>
          <w:rFonts w:ascii="Book Antiqua" w:hAnsi="Book Antiqua" w:cs="Times New Roman"/>
        </w:rPr>
      </w:pPr>
      <w:r w:rsidRPr="00312A48">
        <w:rPr>
          <w:rFonts w:ascii="Book Antiqua" w:hAnsi="Book Antiqua" w:cs="Times New Roman"/>
        </w:rPr>
        <w:t xml:space="preserve">The 3.1 mm diameter disposable catheter is compatible with therapeutic endoscopes with a 3.2 mm or larger working channel. The foot pedal-activated console motor rotates the </w:t>
      </w:r>
      <w:r w:rsidR="00312A48" w:rsidRPr="00312A48">
        <w:rPr>
          <w:rFonts w:ascii="Book Antiqua" w:hAnsi="Book Antiqua" w:cs="Times New Roman"/>
        </w:rPr>
        <w:t xml:space="preserve">cutting tool in the catheter. </w:t>
      </w:r>
      <w:r w:rsidRPr="00312A48">
        <w:rPr>
          <w:rFonts w:ascii="Book Antiqua" w:hAnsi="Book Antiqua" w:cs="Times New Roman"/>
        </w:rPr>
        <w:t>Simultaneously, irrigation fluid is delivered between the inner wall of the braided sheath and the cutting tool, and suction is applied</w:t>
      </w:r>
      <w:r w:rsidRPr="00312A48">
        <w:rPr>
          <w:rFonts w:ascii="Book Antiqua" w:hAnsi="Book Antiqua" w:cs="Times New Roman"/>
          <w:i/>
        </w:rPr>
        <w:t xml:space="preserve"> via</w:t>
      </w:r>
      <w:r w:rsidRPr="00312A48">
        <w:rPr>
          <w:rFonts w:ascii="Book Antiqua" w:hAnsi="Book Antiqua" w:cs="Times New Roman"/>
        </w:rPr>
        <w:t xml:space="preserve"> the hollow lumen of the inner cutting tool, which aspirates the resected tissue onto a micron fi</w:t>
      </w:r>
      <w:r w:rsidR="00312A48" w:rsidRPr="00312A48">
        <w:rPr>
          <w:rFonts w:ascii="Book Antiqua" w:hAnsi="Book Antiqua" w:cs="Times New Roman"/>
        </w:rPr>
        <w:t xml:space="preserve">lter within the specimen trap. </w:t>
      </w:r>
      <w:r w:rsidRPr="00312A48">
        <w:rPr>
          <w:rFonts w:ascii="Book Antiqua" w:hAnsi="Book Antiqua" w:cs="Times New Roman"/>
        </w:rPr>
        <w:t>The catheter may be rotated to alter the ori</w:t>
      </w:r>
      <w:r w:rsidR="00312A48" w:rsidRPr="00312A48">
        <w:rPr>
          <w:rFonts w:ascii="Book Antiqua" w:hAnsi="Book Antiqua" w:cs="Times New Roman"/>
        </w:rPr>
        <w:t>entation of the cutting window.</w:t>
      </w:r>
    </w:p>
    <w:p w14:paraId="7078F2E8" w14:textId="354193E6" w:rsidR="00AF46E5" w:rsidRPr="00312A48" w:rsidRDefault="00AF46E5" w:rsidP="00312A48">
      <w:pPr>
        <w:shd w:val="clear" w:color="auto" w:fill="FFFFFF"/>
        <w:snapToGrid w:val="0"/>
        <w:spacing w:line="360" w:lineRule="auto"/>
        <w:ind w:firstLineChars="100" w:firstLine="240"/>
        <w:jc w:val="both"/>
        <w:rPr>
          <w:rFonts w:ascii="Book Antiqua" w:hAnsi="Book Antiqua" w:cs="Times New Roman"/>
        </w:rPr>
      </w:pPr>
      <w:r w:rsidRPr="00312A48">
        <w:rPr>
          <w:rFonts w:ascii="Book Antiqua" w:hAnsi="Book Antiqua" w:cs="Times New Roman"/>
        </w:rPr>
        <w:t xml:space="preserve">There has been one feasibility study evaluating the use of </w:t>
      </w:r>
      <w:proofErr w:type="spellStart"/>
      <w:r w:rsidRPr="00312A48">
        <w:rPr>
          <w:rFonts w:ascii="Book Antiqua" w:hAnsi="Book Antiqua" w:cs="Times New Roman"/>
        </w:rPr>
        <w:t>EndoRotor</w:t>
      </w:r>
      <w:proofErr w:type="spellEnd"/>
      <w:r w:rsidRPr="00312A48">
        <w:rPr>
          <w:rFonts w:ascii="Book Antiqua" w:hAnsi="Book Antiqua" w:cs="Times New Roman"/>
        </w:rPr>
        <w:t xml:space="preserve"> in treatment naïve neoplastic Barrett’s</w:t>
      </w:r>
      <w:r w:rsidR="00EF2B23" w:rsidRPr="00312A48">
        <w:rPr>
          <w:rFonts w:ascii="Book Antiqua" w:hAnsi="Book Antiqua" w:cs="Times New Roman"/>
        </w:rPr>
        <w:fldChar w:fldCharType="begin" w:fldLock="1"/>
      </w:r>
      <w:r w:rsidR="00EF2B23" w:rsidRPr="00312A48">
        <w:rPr>
          <w:rFonts w:ascii="Book Antiqua" w:hAnsi="Book Antiqua" w:cs="Times New Roman"/>
        </w:rPr>
        <w:instrText>ADDIN CSL_CITATION {"citationItems":[{"id":"ITEM-1","itemData":{"DOI":"10.1177/2050640618758214","ISSN":"2050-6406 (Print)\r2050-6406 (Linking)","PMID":"30083329","abstract":"Background: International guidelines suggest endoscopic resection for all patients with low-risk mucosal cancer. Ultimately, it is essential to treat the remaining Barrett's esophagus as part of the treatment. Different thermal ablative therapies have been implemented to effect this treatment. They can lead to potential post-therapeutic stenosis. Furthermore, a histologic assessment of treated mucosa is not possible. Objective: Clinical evaluation of a novel, non-thermal resection device (EndoRotor(R)) in the treatment of non-neoplastic Barrett's esophagus was conducted. Methods: Fourteen patients with early Barrett's carcinoma were treated with endoscopic resection. Subsequently, EndoRotor(R) therapy was performed for resection of the remaining Barrett's mucosa. Complications were assessed during the study. After a three-month period patients received follow-up endoscopy to evaluate post-therapeutic stenosis. Results: On average, 674 mm(2) (172 mm(2) - 1600 mm(2)) of Barrett's mucosa was treated with the novel device. In six (37.5%) cases, intra-procedural bleeding occurred with the need for hemostasis. All bleeding could be managed by endoscopic therapy alone. After a three-month follow-up there was no post-therapeutic stenosis registered. Conclusion: EndoRotor(R) resection is a feasible non-thermal treatment of non-neoplastic Barrett's esophagus. Larger trials have to evaluate risks and benefits of this novel device.","author":[{"dropping-particle":"","family":"Knabe","given":"M","non-dropping-particle":"","parse-names":false,"suffix":""},{"dropping-particle":"","family":"Blosser","given":"S","non-dropping-particle":"","parse-names":false,"suffix":""},{"dropping-particle":"","family":"Wetzka","given":"J","non-dropping-particle":"","parse-names":false,"suffix":""},{"dropping-particle":"","family":"Ell","given":"C","non-dropping-particle":"","parse-names":false,"suffix":""},{"dropping-particle":"","family":"May","given":"A","non-dropping-particle":"","parse-names":false,"suffix":""}],"container-title":"United European Gastroenterol J","id":"ITEM-1","issue":"5","issued":{"date-parts":[["2018"]]},"note":"Knabe, Mate\rBlosser, Sandra\rWetzka, Jens\rEll, Christian\rMay, Andrea\reng\rEngland\r2018/08/08 06:00\rUnited European Gastroenterol J. 2018 Jun;6(5):678-683. doi: 10.1177/2050640618758214. Epub 2018 Feb 5.","page":"678-683","title":"Non-thermal ablation of non-neoplastic Barrett's esophagus with the novel EndoRotor(R) resection device","type":"article-journal","volume":"6"},"uris":["http://www.mendeley.com/documents/?uuid=2dbc2dbf-2ee7-3247-a520-4be0f10705cb"]}],"mendeley":{"formattedCitation":"&lt;sup&gt;[48]&lt;/sup&gt;","plainTextFormattedCitation":"[48]"},"properties":{"noteIndex":0},"schema":"https://github.com/citation-style-language/schema/raw/master/csl-citation.json"}</w:instrText>
      </w:r>
      <w:r w:rsidR="00EF2B23" w:rsidRPr="00312A48">
        <w:rPr>
          <w:rFonts w:ascii="Book Antiqua" w:hAnsi="Book Antiqua" w:cs="Times New Roman"/>
        </w:rPr>
        <w:fldChar w:fldCharType="separate"/>
      </w:r>
      <w:r w:rsidR="00EF2B23" w:rsidRPr="00312A48">
        <w:rPr>
          <w:rFonts w:ascii="Book Antiqua" w:hAnsi="Book Antiqua" w:cs="Times New Roman"/>
          <w:noProof/>
          <w:vertAlign w:val="superscript"/>
        </w:rPr>
        <w:t>[48]</w:t>
      </w:r>
      <w:r w:rsidR="00EF2B23" w:rsidRPr="00312A48">
        <w:rPr>
          <w:rFonts w:ascii="Book Antiqua" w:hAnsi="Book Antiqua" w:cs="Times New Roman"/>
        </w:rPr>
        <w:fldChar w:fldCharType="end"/>
      </w:r>
      <w:r w:rsidR="009216C7" w:rsidRPr="00312A48">
        <w:rPr>
          <w:rFonts w:ascii="Book Antiqua" w:hAnsi="Book Antiqua" w:cs="Times New Roman"/>
        </w:rPr>
        <w:t>.</w:t>
      </w:r>
      <w:r w:rsidRPr="00312A48">
        <w:rPr>
          <w:rFonts w:ascii="Book Antiqua" w:hAnsi="Book Antiqua" w:cs="Times New Roman"/>
        </w:rPr>
        <w:t xml:space="preserve"> Fourteen patients with BE underwent EMR of T1a or T1b lesions and the subsequently underwent </w:t>
      </w:r>
      <w:proofErr w:type="spellStart"/>
      <w:r w:rsidRPr="00312A48">
        <w:rPr>
          <w:rFonts w:ascii="Book Antiqua" w:hAnsi="Book Antiqua" w:cs="Times New Roman"/>
        </w:rPr>
        <w:t>Endo</w:t>
      </w:r>
      <w:r w:rsidR="00B9148D" w:rsidRPr="00312A48">
        <w:rPr>
          <w:rFonts w:ascii="Book Antiqua" w:hAnsi="Book Antiqua" w:cs="Times New Roman"/>
        </w:rPr>
        <w:t>R</w:t>
      </w:r>
      <w:r w:rsidRPr="00312A48">
        <w:rPr>
          <w:rFonts w:ascii="Book Antiqua" w:hAnsi="Book Antiqua" w:cs="Times New Roman"/>
        </w:rPr>
        <w:t>otor</w:t>
      </w:r>
      <w:proofErr w:type="spellEnd"/>
      <w:r w:rsidRPr="00312A48">
        <w:rPr>
          <w:rFonts w:ascii="Book Antiqua" w:hAnsi="Book Antiqua" w:cs="Times New Roman"/>
        </w:rPr>
        <w:t xml:space="preserve"> ablation of the residual Barrett’s. The study showed that the device is feasible to remove Barrett’s mucosa</w:t>
      </w:r>
      <w:r w:rsidR="00AF47AB" w:rsidRPr="00312A48">
        <w:rPr>
          <w:rFonts w:ascii="Book Antiqua" w:hAnsi="Book Antiqua" w:cs="Times New Roman"/>
        </w:rPr>
        <w:t>,</w:t>
      </w:r>
      <w:r w:rsidRPr="00312A48">
        <w:rPr>
          <w:rFonts w:ascii="Book Antiqua" w:hAnsi="Book Antiqua" w:cs="Times New Roman"/>
        </w:rPr>
        <w:t xml:space="preserve"> with follow up endoscopy showing </w:t>
      </w:r>
      <w:proofErr w:type="spellStart"/>
      <w:r w:rsidRPr="00312A48">
        <w:rPr>
          <w:rFonts w:ascii="Book Antiqua" w:hAnsi="Book Antiqua" w:cs="Times New Roman"/>
        </w:rPr>
        <w:t>neosquamous</w:t>
      </w:r>
      <w:proofErr w:type="spellEnd"/>
      <w:r w:rsidRPr="00312A48">
        <w:rPr>
          <w:rFonts w:ascii="Book Antiqua" w:hAnsi="Book Antiqua" w:cs="Times New Roman"/>
        </w:rPr>
        <w:t xml:space="preserve"> re-epithel</w:t>
      </w:r>
      <w:r w:rsidR="00312A48" w:rsidRPr="00312A48">
        <w:rPr>
          <w:rFonts w:ascii="Book Antiqua" w:hAnsi="Book Antiqua" w:cs="Times New Roman"/>
        </w:rPr>
        <w:t xml:space="preserve">ialization on follow up. </w:t>
      </w:r>
      <w:r w:rsidRPr="00312A48">
        <w:rPr>
          <w:rFonts w:ascii="Book Antiqua" w:hAnsi="Book Antiqua" w:cs="Times New Roman"/>
        </w:rPr>
        <w:t xml:space="preserve">However adverse events were not insignificant with six patients with intra-procedural bleeding events and </w:t>
      </w:r>
      <w:r w:rsidR="00312A48" w:rsidRPr="00312A48">
        <w:rPr>
          <w:rFonts w:ascii="Book Antiqua" w:hAnsi="Book Antiqua" w:cs="Times New Roman"/>
        </w:rPr>
        <w:t>nine with post-procedural pain.</w:t>
      </w:r>
    </w:p>
    <w:p w14:paraId="625AE60A" w14:textId="18D1B26E" w:rsidR="00AF47AB" w:rsidRPr="00312A48" w:rsidRDefault="00AF46E5" w:rsidP="00312A48">
      <w:pPr>
        <w:shd w:val="clear" w:color="auto" w:fill="FFFFFF"/>
        <w:snapToGrid w:val="0"/>
        <w:spacing w:line="360" w:lineRule="auto"/>
        <w:ind w:firstLineChars="100" w:firstLine="240"/>
        <w:jc w:val="both"/>
        <w:rPr>
          <w:rFonts w:ascii="Book Antiqua" w:hAnsi="Book Antiqua" w:cs="Times New Roman"/>
        </w:rPr>
      </w:pPr>
      <w:r w:rsidRPr="00312A48">
        <w:rPr>
          <w:rFonts w:ascii="Book Antiqua" w:hAnsi="Book Antiqua" w:cs="Times New Roman"/>
        </w:rPr>
        <w:t xml:space="preserve">There is currently a prospective randomized study evaluating </w:t>
      </w:r>
      <w:proofErr w:type="spellStart"/>
      <w:r w:rsidRPr="00312A48">
        <w:rPr>
          <w:rFonts w:ascii="Book Antiqua" w:hAnsi="Book Antiqua" w:cs="Times New Roman"/>
        </w:rPr>
        <w:t>Endo</w:t>
      </w:r>
      <w:r w:rsidR="00B9148D" w:rsidRPr="00312A48">
        <w:rPr>
          <w:rFonts w:ascii="Book Antiqua" w:hAnsi="Book Antiqua" w:cs="Times New Roman"/>
        </w:rPr>
        <w:t>R</w:t>
      </w:r>
      <w:r w:rsidRPr="00312A48">
        <w:rPr>
          <w:rFonts w:ascii="Book Antiqua" w:hAnsi="Book Antiqua" w:cs="Times New Roman"/>
        </w:rPr>
        <w:t>otor</w:t>
      </w:r>
      <w:proofErr w:type="spellEnd"/>
      <w:r w:rsidRPr="00312A48">
        <w:rPr>
          <w:rFonts w:ascii="Book Antiqua" w:hAnsi="Book Antiqua" w:cs="Times New Roman"/>
        </w:rPr>
        <w:t xml:space="preserve"> versus continued ablation for refractory Barrett’s (NCT03364114). In our practice we find </w:t>
      </w:r>
      <w:proofErr w:type="spellStart"/>
      <w:r w:rsidRPr="00312A48">
        <w:rPr>
          <w:rFonts w:ascii="Book Antiqua" w:hAnsi="Book Antiqua" w:cs="Times New Roman"/>
        </w:rPr>
        <w:t>Endo</w:t>
      </w:r>
      <w:r w:rsidR="00B9148D" w:rsidRPr="00312A48">
        <w:rPr>
          <w:rFonts w:ascii="Book Antiqua" w:hAnsi="Book Antiqua" w:cs="Times New Roman"/>
        </w:rPr>
        <w:t>R</w:t>
      </w:r>
      <w:r w:rsidRPr="00312A48">
        <w:rPr>
          <w:rFonts w:ascii="Book Antiqua" w:hAnsi="Book Antiqua" w:cs="Times New Roman"/>
        </w:rPr>
        <w:t>otor</w:t>
      </w:r>
      <w:proofErr w:type="spellEnd"/>
      <w:r w:rsidRPr="00312A48">
        <w:rPr>
          <w:rFonts w:ascii="Book Antiqua" w:hAnsi="Book Antiqua" w:cs="Times New Roman"/>
        </w:rPr>
        <w:t xml:space="preserve"> useful for eradication of Barrett’s within a narrowed or </w:t>
      </w:r>
      <w:proofErr w:type="spellStart"/>
      <w:r w:rsidRPr="00312A48">
        <w:rPr>
          <w:rFonts w:ascii="Book Antiqua" w:hAnsi="Book Antiqua" w:cs="Times New Roman"/>
        </w:rPr>
        <w:t>strictured</w:t>
      </w:r>
      <w:proofErr w:type="spellEnd"/>
      <w:r w:rsidRPr="00312A48">
        <w:rPr>
          <w:rFonts w:ascii="Book Antiqua" w:hAnsi="Book Antiqua" w:cs="Times New Roman"/>
        </w:rPr>
        <w:t xml:space="preserve"> lumen in which ablation therapy with RFA or c</w:t>
      </w:r>
      <w:r w:rsidR="009F0A09">
        <w:rPr>
          <w:rFonts w:ascii="Book Antiqua" w:hAnsi="Book Antiqua" w:cs="Times New Roman"/>
        </w:rPr>
        <w:t xml:space="preserve">ryotherapy would be difficult. </w:t>
      </w:r>
      <w:r w:rsidRPr="00312A48">
        <w:rPr>
          <w:rFonts w:ascii="Book Antiqua" w:hAnsi="Book Antiqua" w:cs="Times New Roman"/>
        </w:rPr>
        <w:t xml:space="preserve">Figure </w:t>
      </w:r>
      <w:r w:rsidR="00AF47AB" w:rsidRPr="00312A48">
        <w:rPr>
          <w:rFonts w:ascii="Book Antiqua" w:hAnsi="Book Antiqua" w:cs="Times New Roman"/>
        </w:rPr>
        <w:t>4</w:t>
      </w:r>
      <w:r w:rsidRPr="00312A48">
        <w:rPr>
          <w:rFonts w:ascii="Book Antiqua" w:hAnsi="Book Antiqua" w:cs="Times New Roman"/>
        </w:rPr>
        <w:t xml:space="preserve"> shows such a case of Barrett’s esophagus refractory to multiple sessions of RFA and cryotherapy in long seg</w:t>
      </w:r>
      <w:r w:rsidR="009F0A09">
        <w:rPr>
          <w:rFonts w:ascii="Book Antiqua" w:hAnsi="Book Antiqua" w:cs="Times New Roman"/>
        </w:rPr>
        <w:t xml:space="preserve">ment Barrett’s (Prague C8M12). </w:t>
      </w:r>
      <w:r w:rsidRPr="00312A48">
        <w:rPr>
          <w:rFonts w:ascii="Book Antiqua" w:hAnsi="Book Antiqua" w:cs="Times New Roman"/>
        </w:rPr>
        <w:t xml:space="preserve">Ablation therapy was able to eradicate BE mucosa in the entire segment except for within a narrowed segment </w:t>
      </w:r>
      <w:r w:rsidR="000F23FC" w:rsidRPr="00312A48">
        <w:rPr>
          <w:rFonts w:ascii="Book Antiqua" w:hAnsi="Book Antiqua" w:cs="Times New Roman"/>
        </w:rPr>
        <w:t xml:space="preserve">of the esophagus </w:t>
      </w:r>
      <w:r w:rsidRPr="00312A48">
        <w:rPr>
          <w:rFonts w:ascii="Book Antiqua" w:hAnsi="Book Antiqua" w:cs="Times New Roman"/>
        </w:rPr>
        <w:t>(patient asymptomatic)</w:t>
      </w:r>
      <w:r w:rsidR="000F23FC" w:rsidRPr="00312A48">
        <w:rPr>
          <w:rFonts w:ascii="Book Antiqua" w:hAnsi="Book Antiqua" w:cs="Times New Roman"/>
        </w:rPr>
        <w:t xml:space="preserve"> that </w:t>
      </w:r>
      <w:r w:rsidR="000F23FC" w:rsidRPr="00312A48">
        <w:rPr>
          <w:rFonts w:ascii="Book Antiqua" w:hAnsi="Book Antiqua" w:cs="Times New Roman"/>
        </w:rPr>
        <w:lastRenderedPageBreak/>
        <w:t>returned high-grade dysplasia</w:t>
      </w:r>
      <w:r w:rsidR="009F0A09">
        <w:rPr>
          <w:rFonts w:ascii="Book Antiqua" w:hAnsi="Book Antiqua" w:cs="Times New Roman"/>
        </w:rPr>
        <w:t xml:space="preserve">. </w:t>
      </w:r>
      <w:proofErr w:type="spellStart"/>
      <w:r w:rsidRPr="00312A48">
        <w:rPr>
          <w:rFonts w:ascii="Book Antiqua" w:hAnsi="Book Antiqua" w:cs="Times New Roman"/>
        </w:rPr>
        <w:t>Endo</w:t>
      </w:r>
      <w:r w:rsidR="00B9148D" w:rsidRPr="00312A48">
        <w:rPr>
          <w:rFonts w:ascii="Book Antiqua" w:hAnsi="Book Antiqua" w:cs="Times New Roman"/>
        </w:rPr>
        <w:t>R</w:t>
      </w:r>
      <w:r w:rsidRPr="00312A48">
        <w:rPr>
          <w:rFonts w:ascii="Book Antiqua" w:hAnsi="Book Antiqua" w:cs="Times New Roman"/>
        </w:rPr>
        <w:t>otor</w:t>
      </w:r>
      <w:proofErr w:type="spellEnd"/>
      <w:r w:rsidRPr="00312A48">
        <w:rPr>
          <w:rFonts w:ascii="Book Antiqua" w:hAnsi="Book Antiqua" w:cs="Times New Roman"/>
        </w:rPr>
        <w:t xml:space="preserve"> therapy was applied </w:t>
      </w:r>
      <w:r w:rsidR="000F23FC" w:rsidRPr="00312A48">
        <w:rPr>
          <w:rFonts w:ascii="Book Antiqua" w:hAnsi="Book Antiqua" w:cs="Times New Roman"/>
        </w:rPr>
        <w:t>to th</w:t>
      </w:r>
      <w:r w:rsidR="00B9148D" w:rsidRPr="00312A48">
        <w:rPr>
          <w:rFonts w:ascii="Book Antiqua" w:hAnsi="Book Antiqua" w:cs="Times New Roman"/>
        </w:rPr>
        <w:t>is narrowed</w:t>
      </w:r>
      <w:r w:rsidR="000F23FC" w:rsidRPr="00312A48">
        <w:rPr>
          <w:rFonts w:ascii="Book Antiqua" w:hAnsi="Book Antiqua" w:cs="Times New Roman"/>
        </w:rPr>
        <w:t xml:space="preserve"> area </w:t>
      </w:r>
      <w:r w:rsidRPr="00312A48">
        <w:rPr>
          <w:rFonts w:ascii="Book Antiqua" w:hAnsi="Book Antiqua" w:cs="Times New Roman"/>
        </w:rPr>
        <w:t xml:space="preserve">and </w:t>
      </w:r>
      <w:r w:rsidR="000F23FC" w:rsidRPr="00312A48">
        <w:rPr>
          <w:rFonts w:ascii="Book Antiqua" w:hAnsi="Book Antiqua" w:cs="Times New Roman"/>
        </w:rPr>
        <w:t xml:space="preserve">eradication of this tissue was </w:t>
      </w:r>
      <w:r w:rsidR="00B9148D" w:rsidRPr="00312A48">
        <w:rPr>
          <w:rFonts w:ascii="Book Antiqua" w:hAnsi="Book Antiqua" w:cs="Times New Roman"/>
        </w:rPr>
        <w:t>achieved</w:t>
      </w:r>
      <w:r w:rsidR="00312A48" w:rsidRPr="00312A48">
        <w:rPr>
          <w:rFonts w:ascii="Book Antiqua" w:hAnsi="Book Antiqua" w:cs="Times New Roman"/>
        </w:rPr>
        <w:t>.</w:t>
      </w:r>
    </w:p>
    <w:p w14:paraId="13BD62EB" w14:textId="77777777" w:rsidR="00312A48" w:rsidRPr="00312A48" w:rsidRDefault="00312A48" w:rsidP="00312A48">
      <w:pPr>
        <w:shd w:val="clear" w:color="auto" w:fill="FFFFFF"/>
        <w:snapToGrid w:val="0"/>
        <w:spacing w:line="360" w:lineRule="auto"/>
        <w:jc w:val="both"/>
        <w:rPr>
          <w:rFonts w:ascii="Book Antiqua" w:hAnsi="Book Antiqua" w:cs="Times New Roman"/>
        </w:rPr>
      </w:pPr>
    </w:p>
    <w:p w14:paraId="669C2616" w14:textId="6770CA89" w:rsidR="00B83832" w:rsidRPr="00312A48" w:rsidRDefault="00AF46E5" w:rsidP="00312A48">
      <w:pPr>
        <w:snapToGrid w:val="0"/>
        <w:spacing w:line="360" w:lineRule="auto"/>
        <w:jc w:val="both"/>
        <w:rPr>
          <w:rFonts w:ascii="Book Antiqua" w:hAnsi="Book Antiqua"/>
          <w:b/>
          <w:bCs/>
          <w:u w:val="single"/>
        </w:rPr>
      </w:pPr>
      <w:r w:rsidRPr="00312A48">
        <w:rPr>
          <w:rFonts w:ascii="Book Antiqua" w:hAnsi="Book Antiqua"/>
          <w:b/>
          <w:bCs/>
          <w:u w:val="single"/>
        </w:rPr>
        <w:t>CONCLUSION</w:t>
      </w:r>
    </w:p>
    <w:p w14:paraId="37F259EE" w14:textId="4B2CABC2" w:rsidR="00AF46E5" w:rsidRPr="00312A48" w:rsidRDefault="00B030E3" w:rsidP="00312A48">
      <w:pPr>
        <w:snapToGrid w:val="0"/>
        <w:spacing w:line="360" w:lineRule="auto"/>
        <w:jc w:val="both"/>
        <w:rPr>
          <w:rFonts w:ascii="Book Antiqua" w:hAnsi="Book Antiqua"/>
        </w:rPr>
      </w:pPr>
      <w:r w:rsidRPr="00312A48">
        <w:rPr>
          <w:rFonts w:ascii="Book Antiqua" w:hAnsi="Book Antiqua"/>
        </w:rPr>
        <w:t xml:space="preserve">This review discusses the management of dysplastic BE that is RFA refractory. Our algorithm is to optimize acid control </w:t>
      </w:r>
      <w:r w:rsidRPr="00312A48">
        <w:rPr>
          <w:rFonts w:ascii="Book Antiqua" w:hAnsi="Book Antiqua"/>
          <w:i/>
        </w:rPr>
        <w:t>via</w:t>
      </w:r>
      <w:r w:rsidRPr="00312A48">
        <w:rPr>
          <w:rFonts w:ascii="Book Antiqua" w:hAnsi="Book Antiqua"/>
        </w:rPr>
        <w:t xml:space="preserve"> medical, endoscopic, or surgical therapy dependi</w:t>
      </w:r>
      <w:r w:rsidR="00312A48" w:rsidRPr="00312A48">
        <w:rPr>
          <w:rFonts w:ascii="Book Antiqua" w:hAnsi="Book Antiqua"/>
        </w:rPr>
        <w:t>ng on patient characteristics</w:t>
      </w:r>
      <w:r w:rsidR="0053718D">
        <w:rPr>
          <w:rFonts w:ascii="Book Antiqua" w:hAnsi="Book Antiqua"/>
        </w:rPr>
        <w:t xml:space="preserve"> (Figure 5)</w:t>
      </w:r>
      <w:r w:rsidR="00312A48" w:rsidRPr="00312A48">
        <w:rPr>
          <w:rFonts w:ascii="Book Antiqua" w:hAnsi="Book Antiqua"/>
        </w:rPr>
        <w:t xml:space="preserve">. </w:t>
      </w:r>
      <w:r w:rsidRPr="00312A48">
        <w:rPr>
          <w:rFonts w:ascii="Book Antiqua" w:hAnsi="Book Antiqua"/>
        </w:rPr>
        <w:t xml:space="preserve">If the patient is optimized on medical management then we usually opt for surgical hernia repair and fundoplication as many of these patients have large hiatal hernias precluding endoscopic </w:t>
      </w:r>
      <w:r w:rsidR="002238E3" w:rsidRPr="00312A48">
        <w:rPr>
          <w:rFonts w:ascii="Book Antiqua" w:hAnsi="Book Antiqua"/>
        </w:rPr>
        <w:t>fundoplication. Large areas of residual Barrett’s are usu</w:t>
      </w:r>
      <w:r w:rsidR="00312A48" w:rsidRPr="00312A48">
        <w:rPr>
          <w:rFonts w:ascii="Book Antiqua" w:hAnsi="Book Antiqua"/>
        </w:rPr>
        <w:t xml:space="preserve">ally treated with cryotherapy. </w:t>
      </w:r>
      <w:r w:rsidR="002238E3" w:rsidRPr="00312A48">
        <w:rPr>
          <w:rFonts w:ascii="Book Antiqua" w:hAnsi="Book Antiqua"/>
        </w:rPr>
        <w:t xml:space="preserve">Smaller areas of residual Barrett’s can be treated with cryotherapy or hybrid APC. As mentioned, </w:t>
      </w:r>
      <w:proofErr w:type="spellStart"/>
      <w:r w:rsidR="002238E3" w:rsidRPr="00312A48">
        <w:rPr>
          <w:rFonts w:ascii="Book Antiqua" w:hAnsi="Book Antiqua"/>
        </w:rPr>
        <w:t>EndoRotor</w:t>
      </w:r>
      <w:proofErr w:type="spellEnd"/>
      <w:r w:rsidR="002238E3" w:rsidRPr="00312A48">
        <w:rPr>
          <w:rFonts w:ascii="Book Antiqua" w:hAnsi="Book Antiqua"/>
        </w:rPr>
        <w:t xml:space="preserve"> resection is a useful tool for resection of BE mucosa in narrowed segments that may not be amenable to th</w:t>
      </w:r>
      <w:r w:rsidR="00312A48" w:rsidRPr="00312A48">
        <w:rPr>
          <w:rFonts w:ascii="Book Antiqua" w:hAnsi="Book Antiqua"/>
        </w:rPr>
        <w:t>e ablation platforms discussed.</w:t>
      </w:r>
    </w:p>
    <w:p w14:paraId="566672C1" w14:textId="77777777" w:rsidR="00CB1DBD" w:rsidRPr="00312A48" w:rsidRDefault="00CB1DBD" w:rsidP="00312A48">
      <w:pPr>
        <w:snapToGrid w:val="0"/>
        <w:spacing w:line="360" w:lineRule="auto"/>
        <w:jc w:val="both"/>
        <w:rPr>
          <w:rFonts w:ascii="Book Antiqua" w:hAnsi="Book Antiqua"/>
        </w:rPr>
      </w:pPr>
    </w:p>
    <w:p w14:paraId="32A56B39" w14:textId="533AE947" w:rsidR="002238E3" w:rsidRPr="00312A48" w:rsidRDefault="001E0531" w:rsidP="00312A48">
      <w:pPr>
        <w:snapToGrid w:val="0"/>
        <w:spacing w:line="360" w:lineRule="auto"/>
        <w:jc w:val="both"/>
        <w:rPr>
          <w:rFonts w:ascii="Book Antiqua" w:hAnsi="Book Antiqua"/>
          <w:b/>
          <w:bCs/>
        </w:rPr>
      </w:pPr>
      <w:r w:rsidRPr="00312A48">
        <w:rPr>
          <w:rFonts w:ascii="Book Antiqua" w:hAnsi="Book Antiqua"/>
          <w:b/>
          <w:bCs/>
        </w:rPr>
        <w:t>REFERENCES</w:t>
      </w:r>
    </w:p>
    <w:p w14:paraId="2CC4EAD4"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1 </w:t>
      </w:r>
      <w:r w:rsidRPr="00312A48">
        <w:rPr>
          <w:rFonts w:ascii="Book Antiqua" w:hAnsi="Book Antiqua"/>
          <w:b/>
        </w:rPr>
        <w:t>Rastogi A</w:t>
      </w:r>
      <w:r w:rsidRPr="00312A48">
        <w:rPr>
          <w:rFonts w:ascii="Book Antiqua" w:hAnsi="Book Antiqua"/>
        </w:rPr>
        <w:t>, Puli S, El-</w:t>
      </w:r>
      <w:proofErr w:type="spellStart"/>
      <w:r w:rsidRPr="00312A48">
        <w:rPr>
          <w:rFonts w:ascii="Book Antiqua" w:hAnsi="Book Antiqua"/>
        </w:rPr>
        <w:t>Serag</w:t>
      </w:r>
      <w:proofErr w:type="spellEnd"/>
      <w:r w:rsidRPr="00312A48">
        <w:rPr>
          <w:rFonts w:ascii="Book Antiqua" w:hAnsi="Book Antiqua"/>
        </w:rPr>
        <w:t xml:space="preserve"> HB, Bansal A, </w:t>
      </w:r>
      <w:proofErr w:type="spellStart"/>
      <w:r w:rsidRPr="00312A48">
        <w:rPr>
          <w:rFonts w:ascii="Book Antiqua" w:hAnsi="Book Antiqua"/>
        </w:rPr>
        <w:t>Wani</w:t>
      </w:r>
      <w:proofErr w:type="spellEnd"/>
      <w:r w:rsidRPr="00312A48">
        <w:rPr>
          <w:rFonts w:ascii="Book Antiqua" w:hAnsi="Book Antiqua"/>
        </w:rPr>
        <w:t xml:space="preserve"> S, Sharma P. Incidence of esophageal adenocarcinoma in patients with Barrett's esophagus and high-grade dysplasia: a meta-analysis. </w:t>
      </w:r>
      <w:proofErr w:type="spellStart"/>
      <w:r w:rsidRPr="00312A48">
        <w:rPr>
          <w:rFonts w:ascii="Book Antiqua" w:hAnsi="Book Antiqua"/>
          <w:i/>
        </w:rPr>
        <w:t>Gastrointest</w:t>
      </w:r>
      <w:proofErr w:type="spellEnd"/>
      <w:r w:rsidRPr="00312A48">
        <w:rPr>
          <w:rFonts w:ascii="Book Antiqua" w:hAnsi="Book Antiqua"/>
          <w:i/>
        </w:rPr>
        <w:t xml:space="preserve"> </w:t>
      </w:r>
      <w:proofErr w:type="spellStart"/>
      <w:r w:rsidRPr="00312A48">
        <w:rPr>
          <w:rFonts w:ascii="Book Antiqua" w:hAnsi="Book Antiqua"/>
          <w:i/>
        </w:rPr>
        <w:t>Endosc</w:t>
      </w:r>
      <w:proofErr w:type="spellEnd"/>
      <w:r w:rsidRPr="00312A48">
        <w:rPr>
          <w:rFonts w:ascii="Book Antiqua" w:hAnsi="Book Antiqua"/>
        </w:rPr>
        <w:t xml:space="preserve"> 2008; </w:t>
      </w:r>
      <w:r w:rsidRPr="00312A48">
        <w:rPr>
          <w:rFonts w:ascii="Book Antiqua" w:hAnsi="Book Antiqua"/>
          <w:b/>
        </w:rPr>
        <w:t>67</w:t>
      </w:r>
      <w:r w:rsidRPr="00312A48">
        <w:rPr>
          <w:rFonts w:ascii="Book Antiqua" w:hAnsi="Book Antiqua"/>
        </w:rPr>
        <w:t>: 394-398 [PMID: 18045592 DOI: 10.1016/j.gie.2007.07.019]</w:t>
      </w:r>
    </w:p>
    <w:p w14:paraId="19719505"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2 </w:t>
      </w:r>
      <w:r w:rsidRPr="00312A48">
        <w:rPr>
          <w:rFonts w:ascii="Book Antiqua" w:hAnsi="Book Antiqua"/>
          <w:b/>
        </w:rPr>
        <w:t>Singh S</w:t>
      </w:r>
      <w:r w:rsidRPr="00312A48">
        <w:rPr>
          <w:rFonts w:ascii="Book Antiqua" w:hAnsi="Book Antiqua"/>
        </w:rPr>
        <w:t xml:space="preserve">, Garg SK, Singh PP, </w:t>
      </w:r>
      <w:proofErr w:type="spellStart"/>
      <w:r w:rsidRPr="00312A48">
        <w:rPr>
          <w:rFonts w:ascii="Book Antiqua" w:hAnsi="Book Antiqua"/>
        </w:rPr>
        <w:t>Iyer</w:t>
      </w:r>
      <w:proofErr w:type="spellEnd"/>
      <w:r w:rsidRPr="00312A48">
        <w:rPr>
          <w:rFonts w:ascii="Book Antiqua" w:hAnsi="Book Antiqua"/>
        </w:rPr>
        <w:t xml:space="preserve"> PG, El-</w:t>
      </w:r>
      <w:proofErr w:type="spellStart"/>
      <w:r w:rsidRPr="00312A48">
        <w:rPr>
          <w:rFonts w:ascii="Book Antiqua" w:hAnsi="Book Antiqua"/>
        </w:rPr>
        <w:t>Serag</w:t>
      </w:r>
      <w:proofErr w:type="spellEnd"/>
      <w:r w:rsidRPr="00312A48">
        <w:rPr>
          <w:rFonts w:ascii="Book Antiqua" w:hAnsi="Book Antiqua"/>
        </w:rPr>
        <w:t xml:space="preserve"> HB. Acid-suppressive medications and risk of </w:t>
      </w:r>
      <w:proofErr w:type="spellStart"/>
      <w:r w:rsidRPr="00312A48">
        <w:rPr>
          <w:rFonts w:ascii="Book Antiqua" w:hAnsi="Book Antiqua"/>
        </w:rPr>
        <w:t>oesophageal</w:t>
      </w:r>
      <w:proofErr w:type="spellEnd"/>
      <w:r w:rsidRPr="00312A48">
        <w:rPr>
          <w:rFonts w:ascii="Book Antiqua" w:hAnsi="Book Antiqua"/>
        </w:rPr>
        <w:t xml:space="preserve"> adenocarcinoma in patients with Barrett's </w:t>
      </w:r>
      <w:proofErr w:type="spellStart"/>
      <w:r w:rsidRPr="00312A48">
        <w:rPr>
          <w:rFonts w:ascii="Book Antiqua" w:hAnsi="Book Antiqua"/>
        </w:rPr>
        <w:t>oesophagus</w:t>
      </w:r>
      <w:proofErr w:type="spellEnd"/>
      <w:r w:rsidRPr="00312A48">
        <w:rPr>
          <w:rFonts w:ascii="Book Antiqua" w:hAnsi="Book Antiqua"/>
        </w:rPr>
        <w:t xml:space="preserve">: a systematic review and meta-analysis. </w:t>
      </w:r>
      <w:r w:rsidRPr="00312A48">
        <w:rPr>
          <w:rFonts w:ascii="Book Antiqua" w:hAnsi="Book Antiqua"/>
          <w:i/>
        </w:rPr>
        <w:t>Gut</w:t>
      </w:r>
      <w:r w:rsidRPr="00312A48">
        <w:rPr>
          <w:rFonts w:ascii="Book Antiqua" w:hAnsi="Book Antiqua"/>
        </w:rPr>
        <w:t xml:space="preserve"> 2014; </w:t>
      </w:r>
      <w:r w:rsidRPr="00312A48">
        <w:rPr>
          <w:rFonts w:ascii="Book Antiqua" w:hAnsi="Book Antiqua"/>
          <w:b/>
        </w:rPr>
        <w:t>63</w:t>
      </w:r>
      <w:r w:rsidRPr="00312A48">
        <w:rPr>
          <w:rFonts w:ascii="Book Antiqua" w:hAnsi="Book Antiqua"/>
        </w:rPr>
        <w:t>: 1229-1237 [PMID: 24221456 DOI: 10.1136/gutjnl-2013-305997]</w:t>
      </w:r>
    </w:p>
    <w:p w14:paraId="356E97AA"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3 </w:t>
      </w:r>
      <w:proofErr w:type="spellStart"/>
      <w:r w:rsidRPr="00312A48">
        <w:rPr>
          <w:rFonts w:ascii="Book Antiqua" w:hAnsi="Book Antiqua"/>
          <w:b/>
        </w:rPr>
        <w:t>Shaheen</w:t>
      </w:r>
      <w:proofErr w:type="spellEnd"/>
      <w:r w:rsidRPr="00312A48">
        <w:rPr>
          <w:rFonts w:ascii="Book Antiqua" w:hAnsi="Book Antiqua"/>
          <w:b/>
        </w:rPr>
        <w:t xml:space="preserve"> NJ</w:t>
      </w:r>
      <w:r w:rsidRPr="00312A48">
        <w:rPr>
          <w:rFonts w:ascii="Book Antiqua" w:hAnsi="Book Antiqua"/>
        </w:rPr>
        <w:t xml:space="preserve">, Falk GW, </w:t>
      </w:r>
      <w:proofErr w:type="spellStart"/>
      <w:r w:rsidRPr="00312A48">
        <w:rPr>
          <w:rFonts w:ascii="Book Antiqua" w:hAnsi="Book Antiqua"/>
        </w:rPr>
        <w:t>Iyer</w:t>
      </w:r>
      <w:proofErr w:type="spellEnd"/>
      <w:r w:rsidRPr="00312A48">
        <w:rPr>
          <w:rFonts w:ascii="Book Antiqua" w:hAnsi="Book Antiqua"/>
        </w:rPr>
        <w:t xml:space="preserve"> PG, Gerson LB; American College of Gastroenterology. ACG Clinical Guideline: Diagnosis and Management of Barrett's Esophagus. </w:t>
      </w:r>
      <w:r w:rsidRPr="00312A48">
        <w:rPr>
          <w:rFonts w:ascii="Book Antiqua" w:hAnsi="Book Antiqua"/>
          <w:i/>
        </w:rPr>
        <w:t>Am J Gastroenterol</w:t>
      </w:r>
      <w:r w:rsidRPr="00312A48">
        <w:rPr>
          <w:rFonts w:ascii="Book Antiqua" w:hAnsi="Book Antiqua"/>
        </w:rPr>
        <w:t xml:space="preserve"> 2016; </w:t>
      </w:r>
      <w:r w:rsidRPr="00312A48">
        <w:rPr>
          <w:rFonts w:ascii="Book Antiqua" w:hAnsi="Book Antiqua"/>
          <w:b/>
        </w:rPr>
        <w:t>111</w:t>
      </w:r>
      <w:r w:rsidRPr="00312A48">
        <w:rPr>
          <w:rFonts w:ascii="Book Antiqua" w:hAnsi="Book Antiqua"/>
        </w:rPr>
        <w:t>: 30-50; quiz 51 [PMID: 26526079 DOI: 10.1038/ajg.2015.322]</w:t>
      </w:r>
    </w:p>
    <w:p w14:paraId="6EBD2D19"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lastRenderedPageBreak/>
        <w:t xml:space="preserve">4 </w:t>
      </w:r>
      <w:r w:rsidRPr="00312A48">
        <w:rPr>
          <w:rFonts w:ascii="Book Antiqua" w:hAnsi="Book Antiqua"/>
          <w:b/>
        </w:rPr>
        <w:t>Hu Y</w:t>
      </w:r>
      <w:r w:rsidRPr="00312A48">
        <w:rPr>
          <w:rFonts w:ascii="Book Antiqua" w:hAnsi="Book Antiqua"/>
        </w:rPr>
        <w:t xml:space="preserve">, </w:t>
      </w:r>
      <w:proofErr w:type="spellStart"/>
      <w:r w:rsidRPr="00312A48">
        <w:rPr>
          <w:rFonts w:ascii="Book Antiqua" w:hAnsi="Book Antiqua"/>
        </w:rPr>
        <w:t>Puri</w:t>
      </w:r>
      <w:proofErr w:type="spellEnd"/>
      <w:r w:rsidRPr="00312A48">
        <w:rPr>
          <w:rFonts w:ascii="Book Antiqua" w:hAnsi="Book Antiqua"/>
        </w:rPr>
        <w:t xml:space="preserve"> V, </w:t>
      </w:r>
      <w:proofErr w:type="spellStart"/>
      <w:r w:rsidRPr="00312A48">
        <w:rPr>
          <w:rFonts w:ascii="Book Antiqua" w:hAnsi="Book Antiqua"/>
        </w:rPr>
        <w:t>Shami</w:t>
      </w:r>
      <w:proofErr w:type="spellEnd"/>
      <w:r w:rsidRPr="00312A48">
        <w:rPr>
          <w:rFonts w:ascii="Book Antiqua" w:hAnsi="Book Antiqua"/>
        </w:rPr>
        <w:t xml:space="preserve"> VM, </w:t>
      </w:r>
      <w:proofErr w:type="spellStart"/>
      <w:r w:rsidRPr="00312A48">
        <w:rPr>
          <w:rFonts w:ascii="Book Antiqua" w:hAnsi="Book Antiqua"/>
        </w:rPr>
        <w:t>Stukenborg</w:t>
      </w:r>
      <w:proofErr w:type="spellEnd"/>
      <w:r w:rsidRPr="00312A48">
        <w:rPr>
          <w:rFonts w:ascii="Book Antiqua" w:hAnsi="Book Antiqua"/>
        </w:rPr>
        <w:t xml:space="preserve"> GJ, </w:t>
      </w:r>
      <w:proofErr w:type="spellStart"/>
      <w:r w:rsidRPr="00312A48">
        <w:rPr>
          <w:rFonts w:ascii="Book Antiqua" w:hAnsi="Book Antiqua"/>
        </w:rPr>
        <w:t>Kozower</w:t>
      </w:r>
      <w:proofErr w:type="spellEnd"/>
      <w:r w:rsidRPr="00312A48">
        <w:rPr>
          <w:rFonts w:ascii="Book Antiqua" w:hAnsi="Book Antiqua"/>
        </w:rPr>
        <w:t xml:space="preserve"> BD. Comparative Effectiveness of Esophagectomy Versus Endoscopic Treatment for Esophageal High-grade Dysplasia. </w:t>
      </w:r>
      <w:r w:rsidRPr="00312A48">
        <w:rPr>
          <w:rFonts w:ascii="Book Antiqua" w:hAnsi="Book Antiqua"/>
          <w:i/>
        </w:rPr>
        <w:t>Ann Surg</w:t>
      </w:r>
      <w:r w:rsidRPr="00312A48">
        <w:rPr>
          <w:rFonts w:ascii="Book Antiqua" w:hAnsi="Book Antiqua"/>
        </w:rPr>
        <w:t xml:space="preserve"> 2016; </w:t>
      </w:r>
      <w:r w:rsidRPr="00312A48">
        <w:rPr>
          <w:rFonts w:ascii="Book Antiqua" w:hAnsi="Book Antiqua"/>
          <w:b/>
        </w:rPr>
        <w:t>263</w:t>
      </w:r>
      <w:r w:rsidRPr="00312A48">
        <w:rPr>
          <w:rFonts w:ascii="Book Antiqua" w:hAnsi="Book Antiqua"/>
        </w:rPr>
        <w:t>: 719-726 [PMID: 26672723 DOI: 10.1097/SLA.0000000000001387]</w:t>
      </w:r>
    </w:p>
    <w:p w14:paraId="6A77F7D7"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5 </w:t>
      </w:r>
      <w:r w:rsidRPr="00312A48">
        <w:rPr>
          <w:rFonts w:ascii="Book Antiqua" w:hAnsi="Book Antiqua"/>
          <w:b/>
        </w:rPr>
        <w:t>Lada MJ</w:t>
      </w:r>
      <w:r w:rsidRPr="00312A48">
        <w:rPr>
          <w:rFonts w:ascii="Book Antiqua" w:hAnsi="Book Antiqua"/>
        </w:rPr>
        <w:t xml:space="preserve">, Watson TJ, Shakoor A, Nieman DR, Han M, </w:t>
      </w:r>
      <w:proofErr w:type="spellStart"/>
      <w:r w:rsidRPr="00312A48">
        <w:rPr>
          <w:rFonts w:ascii="Book Antiqua" w:hAnsi="Book Antiqua"/>
        </w:rPr>
        <w:t>Tschoner</w:t>
      </w:r>
      <w:proofErr w:type="spellEnd"/>
      <w:r w:rsidRPr="00312A48">
        <w:rPr>
          <w:rFonts w:ascii="Book Antiqua" w:hAnsi="Book Antiqua"/>
        </w:rPr>
        <w:t xml:space="preserve"> A, </w:t>
      </w:r>
      <w:proofErr w:type="spellStart"/>
      <w:r w:rsidRPr="00312A48">
        <w:rPr>
          <w:rFonts w:ascii="Book Antiqua" w:hAnsi="Book Antiqua"/>
        </w:rPr>
        <w:t>Peyre</w:t>
      </w:r>
      <w:proofErr w:type="spellEnd"/>
      <w:r w:rsidRPr="00312A48">
        <w:rPr>
          <w:rFonts w:ascii="Book Antiqua" w:hAnsi="Book Antiqua"/>
        </w:rPr>
        <w:t xml:space="preserve"> CG, Jones CE, Peters JH. Eliminating a need for esophagectomy: endoscopic treatment of Barrett esophagus with early esophageal neoplasia. </w:t>
      </w:r>
      <w:r w:rsidRPr="00312A48">
        <w:rPr>
          <w:rFonts w:ascii="Book Antiqua" w:hAnsi="Book Antiqua"/>
          <w:i/>
        </w:rPr>
        <w:t xml:space="preserve">Semin </w:t>
      </w:r>
      <w:proofErr w:type="spellStart"/>
      <w:r w:rsidRPr="00312A48">
        <w:rPr>
          <w:rFonts w:ascii="Book Antiqua" w:hAnsi="Book Antiqua"/>
          <w:i/>
        </w:rPr>
        <w:t>Thorac</w:t>
      </w:r>
      <w:proofErr w:type="spellEnd"/>
      <w:r w:rsidRPr="00312A48">
        <w:rPr>
          <w:rFonts w:ascii="Book Antiqua" w:hAnsi="Book Antiqua"/>
          <w:i/>
        </w:rPr>
        <w:t xml:space="preserve"> Cardiovasc Surg</w:t>
      </w:r>
      <w:r w:rsidRPr="00312A48">
        <w:rPr>
          <w:rFonts w:ascii="Book Antiqua" w:hAnsi="Book Antiqua"/>
        </w:rPr>
        <w:t xml:space="preserve"> 2014; </w:t>
      </w:r>
      <w:r w:rsidRPr="00312A48">
        <w:rPr>
          <w:rFonts w:ascii="Book Antiqua" w:hAnsi="Book Antiqua"/>
          <w:b/>
        </w:rPr>
        <w:t>26</w:t>
      </w:r>
      <w:r w:rsidRPr="00312A48">
        <w:rPr>
          <w:rFonts w:ascii="Book Antiqua" w:hAnsi="Book Antiqua"/>
        </w:rPr>
        <w:t>: 274-284 [PMID: 25837538 DOI: 10.1053/j.semtcvs.2014.12.004]</w:t>
      </w:r>
    </w:p>
    <w:p w14:paraId="176BD258"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6 </w:t>
      </w:r>
      <w:proofErr w:type="spellStart"/>
      <w:r w:rsidRPr="00312A48">
        <w:rPr>
          <w:rFonts w:ascii="Book Antiqua" w:hAnsi="Book Antiqua"/>
          <w:b/>
        </w:rPr>
        <w:t>Zehetner</w:t>
      </w:r>
      <w:proofErr w:type="spellEnd"/>
      <w:r w:rsidRPr="00312A48">
        <w:rPr>
          <w:rFonts w:ascii="Book Antiqua" w:hAnsi="Book Antiqua"/>
          <w:b/>
        </w:rPr>
        <w:t xml:space="preserve"> J</w:t>
      </w:r>
      <w:r w:rsidRPr="00312A48">
        <w:rPr>
          <w:rFonts w:ascii="Book Antiqua" w:hAnsi="Book Antiqua"/>
        </w:rPr>
        <w:t xml:space="preserve">, </w:t>
      </w:r>
      <w:proofErr w:type="spellStart"/>
      <w:r w:rsidRPr="00312A48">
        <w:rPr>
          <w:rFonts w:ascii="Book Antiqua" w:hAnsi="Book Antiqua"/>
        </w:rPr>
        <w:t>DeMeester</w:t>
      </w:r>
      <w:proofErr w:type="spellEnd"/>
      <w:r w:rsidRPr="00312A48">
        <w:rPr>
          <w:rFonts w:ascii="Book Antiqua" w:hAnsi="Book Antiqua"/>
        </w:rPr>
        <w:t xml:space="preserve"> SR, Hagen JA, </w:t>
      </w:r>
      <w:proofErr w:type="spellStart"/>
      <w:r w:rsidRPr="00312A48">
        <w:rPr>
          <w:rFonts w:ascii="Book Antiqua" w:hAnsi="Book Antiqua"/>
        </w:rPr>
        <w:t>Ayazi</w:t>
      </w:r>
      <w:proofErr w:type="spellEnd"/>
      <w:r w:rsidRPr="00312A48">
        <w:rPr>
          <w:rFonts w:ascii="Book Antiqua" w:hAnsi="Book Antiqua"/>
        </w:rPr>
        <w:t xml:space="preserve"> S, Augustin F, Lipham JC, </w:t>
      </w:r>
      <w:proofErr w:type="spellStart"/>
      <w:r w:rsidRPr="00312A48">
        <w:rPr>
          <w:rFonts w:ascii="Book Antiqua" w:hAnsi="Book Antiqua"/>
        </w:rPr>
        <w:t>DeMeester</w:t>
      </w:r>
      <w:proofErr w:type="spellEnd"/>
      <w:r w:rsidRPr="00312A48">
        <w:rPr>
          <w:rFonts w:ascii="Book Antiqua" w:hAnsi="Book Antiqua"/>
        </w:rPr>
        <w:t xml:space="preserve"> TR. Endoscopic resection and ablation versus esophagectomy for high-grade dysplasia and intramucosal adenocarcinoma. </w:t>
      </w:r>
      <w:r w:rsidRPr="00312A48">
        <w:rPr>
          <w:rFonts w:ascii="Book Antiqua" w:hAnsi="Book Antiqua"/>
          <w:i/>
        </w:rPr>
        <w:t xml:space="preserve">J </w:t>
      </w:r>
      <w:proofErr w:type="spellStart"/>
      <w:r w:rsidRPr="00312A48">
        <w:rPr>
          <w:rFonts w:ascii="Book Antiqua" w:hAnsi="Book Antiqua"/>
          <w:i/>
        </w:rPr>
        <w:t>Thorac</w:t>
      </w:r>
      <w:proofErr w:type="spellEnd"/>
      <w:r w:rsidRPr="00312A48">
        <w:rPr>
          <w:rFonts w:ascii="Book Antiqua" w:hAnsi="Book Antiqua"/>
          <w:i/>
        </w:rPr>
        <w:t xml:space="preserve"> Cardiovasc Surg</w:t>
      </w:r>
      <w:r w:rsidRPr="00312A48">
        <w:rPr>
          <w:rFonts w:ascii="Book Antiqua" w:hAnsi="Book Antiqua"/>
        </w:rPr>
        <w:t xml:space="preserve"> 2011; </w:t>
      </w:r>
      <w:r w:rsidRPr="00312A48">
        <w:rPr>
          <w:rFonts w:ascii="Book Antiqua" w:hAnsi="Book Antiqua"/>
          <w:b/>
        </w:rPr>
        <w:t>141</w:t>
      </w:r>
      <w:r w:rsidRPr="00312A48">
        <w:rPr>
          <w:rFonts w:ascii="Book Antiqua" w:hAnsi="Book Antiqua"/>
        </w:rPr>
        <w:t>: 39-47 [PMID: 21055772 DOI: 10.1016/j.jtcvs.2010.08.058]</w:t>
      </w:r>
    </w:p>
    <w:p w14:paraId="1E712847"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7 </w:t>
      </w:r>
      <w:r w:rsidRPr="00312A48">
        <w:rPr>
          <w:rFonts w:ascii="Book Antiqua" w:hAnsi="Book Antiqua"/>
          <w:b/>
        </w:rPr>
        <w:t>Wu J</w:t>
      </w:r>
      <w:r w:rsidRPr="00312A48">
        <w:rPr>
          <w:rFonts w:ascii="Book Antiqua" w:hAnsi="Book Antiqua"/>
        </w:rPr>
        <w:t xml:space="preserve">, Pan YM, Wang TT, Gao DJ, Hu B. </w:t>
      </w:r>
      <w:proofErr w:type="spellStart"/>
      <w:r w:rsidRPr="00312A48">
        <w:rPr>
          <w:rFonts w:ascii="Book Antiqua" w:hAnsi="Book Antiqua"/>
        </w:rPr>
        <w:t>Endotherapy</w:t>
      </w:r>
      <w:proofErr w:type="spellEnd"/>
      <w:r w:rsidRPr="00312A48">
        <w:rPr>
          <w:rFonts w:ascii="Book Antiqua" w:hAnsi="Book Antiqua"/>
        </w:rPr>
        <w:t xml:space="preserve"> versus surgery for early neoplasia in Barrett's esophagus: a meta-analysis. </w:t>
      </w:r>
      <w:proofErr w:type="spellStart"/>
      <w:r w:rsidRPr="00312A48">
        <w:rPr>
          <w:rFonts w:ascii="Book Antiqua" w:hAnsi="Book Antiqua"/>
          <w:i/>
        </w:rPr>
        <w:t>Gastrointest</w:t>
      </w:r>
      <w:proofErr w:type="spellEnd"/>
      <w:r w:rsidRPr="00312A48">
        <w:rPr>
          <w:rFonts w:ascii="Book Antiqua" w:hAnsi="Book Antiqua"/>
          <w:i/>
        </w:rPr>
        <w:t xml:space="preserve"> </w:t>
      </w:r>
      <w:proofErr w:type="spellStart"/>
      <w:r w:rsidRPr="00312A48">
        <w:rPr>
          <w:rFonts w:ascii="Book Antiqua" w:hAnsi="Book Antiqua"/>
          <w:i/>
        </w:rPr>
        <w:t>Endosc</w:t>
      </w:r>
      <w:proofErr w:type="spellEnd"/>
      <w:r w:rsidRPr="00312A48">
        <w:rPr>
          <w:rFonts w:ascii="Book Antiqua" w:hAnsi="Book Antiqua"/>
        </w:rPr>
        <w:t xml:space="preserve"> 2014; </w:t>
      </w:r>
      <w:r w:rsidRPr="00312A48">
        <w:rPr>
          <w:rFonts w:ascii="Book Antiqua" w:hAnsi="Book Antiqua"/>
          <w:b/>
        </w:rPr>
        <w:t>79</w:t>
      </w:r>
      <w:r w:rsidRPr="00312A48">
        <w:rPr>
          <w:rFonts w:ascii="Book Antiqua" w:hAnsi="Book Antiqua"/>
        </w:rPr>
        <w:t>: 233-241.e2 [PMID: 24079410 DOI: 10.1016/j.gie.2013.08.005]</w:t>
      </w:r>
    </w:p>
    <w:p w14:paraId="7622E902"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8 </w:t>
      </w:r>
      <w:proofErr w:type="spellStart"/>
      <w:r w:rsidRPr="00312A48">
        <w:rPr>
          <w:rFonts w:ascii="Book Antiqua" w:hAnsi="Book Antiqua"/>
          <w:b/>
        </w:rPr>
        <w:t>Pouw</w:t>
      </w:r>
      <w:proofErr w:type="spellEnd"/>
      <w:r w:rsidRPr="00312A48">
        <w:rPr>
          <w:rFonts w:ascii="Book Antiqua" w:hAnsi="Book Antiqua"/>
          <w:b/>
        </w:rPr>
        <w:t xml:space="preserve"> RE</w:t>
      </w:r>
      <w:r w:rsidRPr="00312A48">
        <w:rPr>
          <w:rFonts w:ascii="Book Antiqua" w:hAnsi="Book Antiqua"/>
        </w:rPr>
        <w:t xml:space="preserve">, van </w:t>
      </w:r>
      <w:proofErr w:type="spellStart"/>
      <w:r w:rsidRPr="00312A48">
        <w:rPr>
          <w:rFonts w:ascii="Book Antiqua" w:hAnsi="Book Antiqua"/>
        </w:rPr>
        <w:t>Vilsteren</w:t>
      </w:r>
      <w:proofErr w:type="spellEnd"/>
      <w:r w:rsidRPr="00312A48">
        <w:rPr>
          <w:rFonts w:ascii="Book Antiqua" w:hAnsi="Book Antiqua"/>
        </w:rPr>
        <w:t xml:space="preserve"> FG, Peters FP, Alvarez Herrero L, Ten Kate FJ, Visser M, Schenk BE, </w:t>
      </w:r>
      <w:proofErr w:type="spellStart"/>
      <w:r w:rsidRPr="00312A48">
        <w:rPr>
          <w:rFonts w:ascii="Book Antiqua" w:hAnsi="Book Antiqua"/>
        </w:rPr>
        <w:t>Schoon</w:t>
      </w:r>
      <w:proofErr w:type="spellEnd"/>
      <w:r w:rsidRPr="00312A48">
        <w:rPr>
          <w:rFonts w:ascii="Book Antiqua" w:hAnsi="Book Antiqua"/>
        </w:rPr>
        <w:t xml:space="preserve"> EJ, Peters FT, </w:t>
      </w:r>
      <w:proofErr w:type="spellStart"/>
      <w:r w:rsidRPr="00312A48">
        <w:rPr>
          <w:rFonts w:ascii="Book Antiqua" w:hAnsi="Book Antiqua"/>
        </w:rPr>
        <w:t>Houben</w:t>
      </w:r>
      <w:proofErr w:type="spellEnd"/>
      <w:r w:rsidRPr="00312A48">
        <w:rPr>
          <w:rFonts w:ascii="Book Antiqua" w:hAnsi="Book Antiqua"/>
        </w:rPr>
        <w:t xml:space="preserve"> M, </w:t>
      </w:r>
      <w:proofErr w:type="spellStart"/>
      <w:r w:rsidRPr="00312A48">
        <w:rPr>
          <w:rFonts w:ascii="Book Antiqua" w:hAnsi="Book Antiqua"/>
        </w:rPr>
        <w:t>Bisschops</w:t>
      </w:r>
      <w:proofErr w:type="spellEnd"/>
      <w:r w:rsidRPr="00312A48">
        <w:rPr>
          <w:rFonts w:ascii="Book Antiqua" w:hAnsi="Book Antiqua"/>
        </w:rPr>
        <w:t xml:space="preserve"> R, </w:t>
      </w:r>
      <w:proofErr w:type="spellStart"/>
      <w:r w:rsidRPr="00312A48">
        <w:rPr>
          <w:rFonts w:ascii="Book Antiqua" w:hAnsi="Book Antiqua"/>
        </w:rPr>
        <w:t>Weusten</w:t>
      </w:r>
      <w:proofErr w:type="spellEnd"/>
      <w:r w:rsidRPr="00312A48">
        <w:rPr>
          <w:rFonts w:ascii="Book Antiqua" w:hAnsi="Book Antiqua"/>
        </w:rPr>
        <w:t xml:space="preserve"> BL, Bergman JJ. Randomized trial on endoscopic resection-cap versus multiband mucosectomy for piecemeal endoscopic resection of early Barrett's neoplasia. </w:t>
      </w:r>
      <w:proofErr w:type="spellStart"/>
      <w:r w:rsidRPr="00312A48">
        <w:rPr>
          <w:rFonts w:ascii="Book Antiqua" w:hAnsi="Book Antiqua"/>
          <w:i/>
        </w:rPr>
        <w:t>Gastrointest</w:t>
      </w:r>
      <w:proofErr w:type="spellEnd"/>
      <w:r w:rsidRPr="00312A48">
        <w:rPr>
          <w:rFonts w:ascii="Book Antiqua" w:hAnsi="Book Antiqua"/>
          <w:i/>
        </w:rPr>
        <w:t xml:space="preserve"> </w:t>
      </w:r>
      <w:proofErr w:type="spellStart"/>
      <w:r w:rsidRPr="00312A48">
        <w:rPr>
          <w:rFonts w:ascii="Book Antiqua" w:hAnsi="Book Antiqua"/>
          <w:i/>
        </w:rPr>
        <w:t>Endosc</w:t>
      </w:r>
      <w:proofErr w:type="spellEnd"/>
      <w:r w:rsidRPr="00312A48">
        <w:rPr>
          <w:rFonts w:ascii="Book Antiqua" w:hAnsi="Book Antiqua"/>
        </w:rPr>
        <w:t xml:space="preserve"> 2011; </w:t>
      </w:r>
      <w:r w:rsidRPr="00312A48">
        <w:rPr>
          <w:rFonts w:ascii="Book Antiqua" w:hAnsi="Book Antiqua"/>
          <w:b/>
        </w:rPr>
        <w:t>74</w:t>
      </w:r>
      <w:r w:rsidRPr="00312A48">
        <w:rPr>
          <w:rFonts w:ascii="Book Antiqua" w:hAnsi="Book Antiqua"/>
        </w:rPr>
        <w:t>: 35-43 [PMID: 21704807 DOI: 10.1016/j.gie.2011.03.1243]</w:t>
      </w:r>
    </w:p>
    <w:p w14:paraId="3451DAED"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9 </w:t>
      </w:r>
      <w:proofErr w:type="spellStart"/>
      <w:r w:rsidRPr="00312A48">
        <w:rPr>
          <w:rFonts w:ascii="Book Antiqua" w:hAnsi="Book Antiqua"/>
          <w:b/>
        </w:rPr>
        <w:t>Terheggen</w:t>
      </w:r>
      <w:proofErr w:type="spellEnd"/>
      <w:r w:rsidRPr="00312A48">
        <w:rPr>
          <w:rFonts w:ascii="Book Antiqua" w:hAnsi="Book Antiqua"/>
          <w:b/>
        </w:rPr>
        <w:t xml:space="preserve"> G</w:t>
      </w:r>
      <w:r w:rsidRPr="00312A48">
        <w:rPr>
          <w:rFonts w:ascii="Book Antiqua" w:hAnsi="Book Antiqua"/>
        </w:rPr>
        <w:t xml:space="preserve">, Horn EM, </w:t>
      </w:r>
      <w:proofErr w:type="spellStart"/>
      <w:r w:rsidRPr="00312A48">
        <w:rPr>
          <w:rFonts w:ascii="Book Antiqua" w:hAnsi="Book Antiqua"/>
        </w:rPr>
        <w:t>Vieth</w:t>
      </w:r>
      <w:proofErr w:type="spellEnd"/>
      <w:r w:rsidRPr="00312A48">
        <w:rPr>
          <w:rFonts w:ascii="Book Antiqua" w:hAnsi="Book Antiqua"/>
        </w:rPr>
        <w:t xml:space="preserve"> M, Gabbert H, </w:t>
      </w:r>
      <w:proofErr w:type="spellStart"/>
      <w:r w:rsidRPr="00312A48">
        <w:rPr>
          <w:rFonts w:ascii="Book Antiqua" w:hAnsi="Book Antiqua"/>
        </w:rPr>
        <w:t>Enderle</w:t>
      </w:r>
      <w:proofErr w:type="spellEnd"/>
      <w:r w:rsidRPr="00312A48">
        <w:rPr>
          <w:rFonts w:ascii="Book Antiqua" w:hAnsi="Book Antiqua"/>
        </w:rPr>
        <w:t xml:space="preserve"> M, Neugebauer A, Schumacher B, Neuhaus H. A </w:t>
      </w:r>
      <w:proofErr w:type="spellStart"/>
      <w:r w:rsidRPr="00312A48">
        <w:rPr>
          <w:rFonts w:ascii="Book Antiqua" w:hAnsi="Book Antiqua"/>
        </w:rPr>
        <w:t>randomised</w:t>
      </w:r>
      <w:proofErr w:type="spellEnd"/>
      <w:r w:rsidRPr="00312A48">
        <w:rPr>
          <w:rFonts w:ascii="Book Antiqua" w:hAnsi="Book Antiqua"/>
        </w:rPr>
        <w:t xml:space="preserve"> trial of endoscopic submucosal dissection versus endoscopic mucosal resection for early Barrett's neoplasia. </w:t>
      </w:r>
      <w:r w:rsidRPr="00312A48">
        <w:rPr>
          <w:rFonts w:ascii="Book Antiqua" w:hAnsi="Book Antiqua"/>
          <w:i/>
        </w:rPr>
        <w:t>Gut</w:t>
      </w:r>
      <w:r w:rsidRPr="00312A48">
        <w:rPr>
          <w:rFonts w:ascii="Book Antiqua" w:hAnsi="Book Antiqua"/>
        </w:rPr>
        <w:t xml:space="preserve"> 2017; </w:t>
      </w:r>
      <w:r w:rsidRPr="00312A48">
        <w:rPr>
          <w:rFonts w:ascii="Book Antiqua" w:hAnsi="Book Antiqua"/>
          <w:b/>
        </w:rPr>
        <w:t>66</w:t>
      </w:r>
      <w:r w:rsidRPr="00312A48">
        <w:rPr>
          <w:rFonts w:ascii="Book Antiqua" w:hAnsi="Book Antiqua"/>
        </w:rPr>
        <w:t>: 783-793 [PMID: 26801885 DOI: 10.1136/gutjnl-2015-310126]</w:t>
      </w:r>
    </w:p>
    <w:p w14:paraId="434890D6"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10 </w:t>
      </w:r>
      <w:r w:rsidRPr="00312A48">
        <w:rPr>
          <w:rFonts w:ascii="Book Antiqua" w:hAnsi="Book Antiqua"/>
          <w:b/>
        </w:rPr>
        <w:t>Bennett C</w:t>
      </w:r>
      <w:r w:rsidRPr="00312A48">
        <w:rPr>
          <w:rFonts w:ascii="Book Antiqua" w:hAnsi="Book Antiqua"/>
        </w:rPr>
        <w:t xml:space="preserve">, Vakil N, Bergman J, Harrison R, </w:t>
      </w:r>
      <w:proofErr w:type="spellStart"/>
      <w:r w:rsidRPr="00312A48">
        <w:rPr>
          <w:rFonts w:ascii="Book Antiqua" w:hAnsi="Book Antiqua"/>
        </w:rPr>
        <w:t>Odze</w:t>
      </w:r>
      <w:proofErr w:type="spellEnd"/>
      <w:r w:rsidRPr="00312A48">
        <w:rPr>
          <w:rFonts w:ascii="Book Antiqua" w:hAnsi="Book Antiqua"/>
        </w:rPr>
        <w:t xml:space="preserve"> R, </w:t>
      </w:r>
      <w:proofErr w:type="spellStart"/>
      <w:r w:rsidRPr="00312A48">
        <w:rPr>
          <w:rFonts w:ascii="Book Antiqua" w:hAnsi="Book Antiqua"/>
        </w:rPr>
        <w:t>Vieth</w:t>
      </w:r>
      <w:proofErr w:type="spellEnd"/>
      <w:r w:rsidRPr="00312A48">
        <w:rPr>
          <w:rFonts w:ascii="Book Antiqua" w:hAnsi="Book Antiqua"/>
        </w:rPr>
        <w:t xml:space="preserve"> M, Sanders S, Gay L, </w:t>
      </w:r>
      <w:proofErr w:type="spellStart"/>
      <w:r w:rsidRPr="00312A48">
        <w:rPr>
          <w:rFonts w:ascii="Book Antiqua" w:hAnsi="Book Antiqua"/>
        </w:rPr>
        <w:t>Pech</w:t>
      </w:r>
      <w:proofErr w:type="spellEnd"/>
      <w:r w:rsidRPr="00312A48">
        <w:rPr>
          <w:rFonts w:ascii="Book Antiqua" w:hAnsi="Book Antiqua"/>
        </w:rPr>
        <w:t xml:space="preserve"> O, </w:t>
      </w:r>
      <w:proofErr w:type="spellStart"/>
      <w:r w:rsidRPr="00312A48">
        <w:rPr>
          <w:rFonts w:ascii="Book Antiqua" w:hAnsi="Book Antiqua"/>
        </w:rPr>
        <w:t>Longcroft</w:t>
      </w:r>
      <w:proofErr w:type="spellEnd"/>
      <w:r w:rsidRPr="00312A48">
        <w:rPr>
          <w:rFonts w:ascii="Book Antiqua" w:hAnsi="Book Antiqua"/>
        </w:rPr>
        <w:t xml:space="preserve">-Wheaton G, Romero Y, </w:t>
      </w:r>
      <w:proofErr w:type="spellStart"/>
      <w:r w:rsidRPr="00312A48">
        <w:rPr>
          <w:rFonts w:ascii="Book Antiqua" w:hAnsi="Book Antiqua"/>
        </w:rPr>
        <w:t>Inadomi</w:t>
      </w:r>
      <w:proofErr w:type="spellEnd"/>
      <w:r w:rsidRPr="00312A48">
        <w:rPr>
          <w:rFonts w:ascii="Book Antiqua" w:hAnsi="Book Antiqua"/>
        </w:rPr>
        <w:t xml:space="preserve"> J, Tack J, Corley DA, Manner H, Green S, Al </w:t>
      </w:r>
      <w:proofErr w:type="spellStart"/>
      <w:r w:rsidRPr="00312A48">
        <w:rPr>
          <w:rFonts w:ascii="Book Antiqua" w:hAnsi="Book Antiqua"/>
        </w:rPr>
        <w:t>Dulaimi</w:t>
      </w:r>
      <w:proofErr w:type="spellEnd"/>
      <w:r w:rsidRPr="00312A48">
        <w:rPr>
          <w:rFonts w:ascii="Book Antiqua" w:hAnsi="Book Antiqua"/>
        </w:rPr>
        <w:t xml:space="preserve"> D, Ali H, </w:t>
      </w:r>
      <w:proofErr w:type="spellStart"/>
      <w:r w:rsidRPr="00312A48">
        <w:rPr>
          <w:rFonts w:ascii="Book Antiqua" w:hAnsi="Book Antiqua"/>
        </w:rPr>
        <w:t>Allum</w:t>
      </w:r>
      <w:proofErr w:type="spellEnd"/>
      <w:r w:rsidRPr="00312A48">
        <w:rPr>
          <w:rFonts w:ascii="Book Antiqua" w:hAnsi="Book Antiqua"/>
        </w:rPr>
        <w:t xml:space="preserve"> B, Anderson M, Curtis H, Falk </w:t>
      </w:r>
      <w:r w:rsidRPr="00312A48">
        <w:rPr>
          <w:rFonts w:ascii="Book Antiqua" w:hAnsi="Book Antiqua"/>
        </w:rPr>
        <w:lastRenderedPageBreak/>
        <w:t xml:space="preserve">G, </w:t>
      </w:r>
      <w:proofErr w:type="spellStart"/>
      <w:r w:rsidRPr="00312A48">
        <w:rPr>
          <w:rFonts w:ascii="Book Antiqua" w:hAnsi="Book Antiqua"/>
        </w:rPr>
        <w:t>Fennerty</w:t>
      </w:r>
      <w:proofErr w:type="spellEnd"/>
      <w:r w:rsidRPr="00312A48">
        <w:rPr>
          <w:rFonts w:ascii="Book Antiqua" w:hAnsi="Book Antiqua"/>
        </w:rPr>
        <w:t xml:space="preserve"> MB, Fullarton G, </w:t>
      </w:r>
      <w:proofErr w:type="spellStart"/>
      <w:r w:rsidRPr="00312A48">
        <w:rPr>
          <w:rFonts w:ascii="Book Antiqua" w:hAnsi="Book Antiqua"/>
        </w:rPr>
        <w:t>Krishnadath</w:t>
      </w:r>
      <w:proofErr w:type="spellEnd"/>
      <w:r w:rsidRPr="00312A48">
        <w:rPr>
          <w:rFonts w:ascii="Book Antiqua" w:hAnsi="Book Antiqua"/>
        </w:rPr>
        <w:t xml:space="preserve"> K, Meltzer SJ, Armstrong D, Ganz R, </w:t>
      </w:r>
      <w:proofErr w:type="spellStart"/>
      <w:r w:rsidRPr="00312A48">
        <w:rPr>
          <w:rFonts w:ascii="Book Antiqua" w:hAnsi="Book Antiqua"/>
        </w:rPr>
        <w:t>Cengia</w:t>
      </w:r>
      <w:proofErr w:type="spellEnd"/>
      <w:r w:rsidRPr="00312A48">
        <w:rPr>
          <w:rFonts w:ascii="Book Antiqua" w:hAnsi="Book Antiqua"/>
        </w:rPr>
        <w:t xml:space="preserve"> G, Going JJ, Goldblum J, Gordon C, </w:t>
      </w:r>
      <w:proofErr w:type="spellStart"/>
      <w:r w:rsidRPr="00312A48">
        <w:rPr>
          <w:rFonts w:ascii="Book Antiqua" w:hAnsi="Book Antiqua"/>
        </w:rPr>
        <w:t>Grabsch</w:t>
      </w:r>
      <w:proofErr w:type="spellEnd"/>
      <w:r w:rsidRPr="00312A48">
        <w:rPr>
          <w:rFonts w:ascii="Book Antiqua" w:hAnsi="Book Antiqua"/>
        </w:rPr>
        <w:t xml:space="preserve"> H, Haigh C, </w:t>
      </w:r>
      <w:proofErr w:type="spellStart"/>
      <w:r w:rsidRPr="00312A48">
        <w:rPr>
          <w:rFonts w:ascii="Book Antiqua" w:hAnsi="Book Antiqua"/>
        </w:rPr>
        <w:t>Hongo</w:t>
      </w:r>
      <w:proofErr w:type="spellEnd"/>
      <w:r w:rsidRPr="00312A48">
        <w:rPr>
          <w:rFonts w:ascii="Book Antiqua" w:hAnsi="Book Antiqua"/>
        </w:rPr>
        <w:t xml:space="preserve"> M, Johnston D, Forbes-Young R, Kay E, Kaye P, </w:t>
      </w:r>
      <w:proofErr w:type="spellStart"/>
      <w:r w:rsidRPr="00312A48">
        <w:rPr>
          <w:rFonts w:ascii="Book Antiqua" w:hAnsi="Book Antiqua"/>
        </w:rPr>
        <w:t>Lerut</w:t>
      </w:r>
      <w:proofErr w:type="spellEnd"/>
      <w:r w:rsidRPr="00312A48">
        <w:rPr>
          <w:rFonts w:ascii="Book Antiqua" w:hAnsi="Book Antiqua"/>
        </w:rPr>
        <w:t xml:space="preserve"> T, Lovat LB, </w:t>
      </w:r>
      <w:proofErr w:type="spellStart"/>
      <w:r w:rsidRPr="00312A48">
        <w:rPr>
          <w:rFonts w:ascii="Book Antiqua" w:hAnsi="Book Antiqua"/>
        </w:rPr>
        <w:t>Lundell</w:t>
      </w:r>
      <w:proofErr w:type="spellEnd"/>
      <w:r w:rsidRPr="00312A48">
        <w:rPr>
          <w:rFonts w:ascii="Book Antiqua" w:hAnsi="Book Antiqua"/>
        </w:rPr>
        <w:t xml:space="preserve"> L, </w:t>
      </w:r>
      <w:proofErr w:type="spellStart"/>
      <w:r w:rsidRPr="00312A48">
        <w:rPr>
          <w:rFonts w:ascii="Book Antiqua" w:hAnsi="Book Antiqua"/>
        </w:rPr>
        <w:t>Mairs</w:t>
      </w:r>
      <w:proofErr w:type="spellEnd"/>
      <w:r w:rsidRPr="00312A48">
        <w:rPr>
          <w:rFonts w:ascii="Book Antiqua" w:hAnsi="Book Antiqua"/>
        </w:rPr>
        <w:t xml:space="preserve"> P, </w:t>
      </w:r>
      <w:proofErr w:type="spellStart"/>
      <w:r w:rsidRPr="00312A48">
        <w:rPr>
          <w:rFonts w:ascii="Book Antiqua" w:hAnsi="Book Antiqua"/>
        </w:rPr>
        <w:t>Shimoda</w:t>
      </w:r>
      <w:proofErr w:type="spellEnd"/>
      <w:r w:rsidRPr="00312A48">
        <w:rPr>
          <w:rFonts w:ascii="Book Antiqua" w:hAnsi="Book Antiqua"/>
        </w:rPr>
        <w:t xml:space="preserve"> T, </w:t>
      </w:r>
      <w:proofErr w:type="spellStart"/>
      <w:r w:rsidRPr="00312A48">
        <w:rPr>
          <w:rFonts w:ascii="Book Antiqua" w:hAnsi="Book Antiqua"/>
        </w:rPr>
        <w:t>Spechler</w:t>
      </w:r>
      <w:proofErr w:type="spellEnd"/>
      <w:r w:rsidRPr="00312A48">
        <w:rPr>
          <w:rFonts w:ascii="Book Antiqua" w:hAnsi="Book Antiqua"/>
        </w:rPr>
        <w:t xml:space="preserve"> S, Sontag S, </w:t>
      </w:r>
      <w:proofErr w:type="spellStart"/>
      <w:r w:rsidRPr="00312A48">
        <w:rPr>
          <w:rFonts w:ascii="Book Antiqua" w:hAnsi="Book Antiqua"/>
        </w:rPr>
        <w:t>Malfertheiner</w:t>
      </w:r>
      <w:proofErr w:type="spellEnd"/>
      <w:r w:rsidRPr="00312A48">
        <w:rPr>
          <w:rFonts w:ascii="Book Antiqua" w:hAnsi="Book Antiqua"/>
        </w:rPr>
        <w:t xml:space="preserve"> P, Murray I, </w:t>
      </w:r>
      <w:proofErr w:type="spellStart"/>
      <w:r w:rsidRPr="00312A48">
        <w:rPr>
          <w:rFonts w:ascii="Book Antiqua" w:hAnsi="Book Antiqua"/>
        </w:rPr>
        <w:t>Nanji</w:t>
      </w:r>
      <w:proofErr w:type="spellEnd"/>
      <w:r w:rsidRPr="00312A48">
        <w:rPr>
          <w:rFonts w:ascii="Book Antiqua" w:hAnsi="Book Antiqua"/>
        </w:rPr>
        <w:t xml:space="preserve"> M, </w:t>
      </w:r>
      <w:proofErr w:type="spellStart"/>
      <w:r w:rsidRPr="00312A48">
        <w:rPr>
          <w:rFonts w:ascii="Book Antiqua" w:hAnsi="Book Antiqua"/>
        </w:rPr>
        <w:t>Poller</w:t>
      </w:r>
      <w:proofErr w:type="spellEnd"/>
      <w:r w:rsidRPr="00312A48">
        <w:rPr>
          <w:rFonts w:ascii="Book Antiqua" w:hAnsi="Book Antiqua"/>
        </w:rPr>
        <w:t xml:space="preserve"> D, </w:t>
      </w:r>
      <w:proofErr w:type="spellStart"/>
      <w:r w:rsidRPr="00312A48">
        <w:rPr>
          <w:rFonts w:ascii="Book Antiqua" w:hAnsi="Book Antiqua"/>
        </w:rPr>
        <w:t>Ragunath</w:t>
      </w:r>
      <w:proofErr w:type="spellEnd"/>
      <w:r w:rsidRPr="00312A48">
        <w:rPr>
          <w:rFonts w:ascii="Book Antiqua" w:hAnsi="Book Antiqua"/>
        </w:rPr>
        <w:t xml:space="preserve"> K, Regula J, </w:t>
      </w:r>
      <w:proofErr w:type="spellStart"/>
      <w:r w:rsidRPr="00312A48">
        <w:rPr>
          <w:rFonts w:ascii="Book Antiqua" w:hAnsi="Book Antiqua"/>
        </w:rPr>
        <w:t>Cestari</w:t>
      </w:r>
      <w:proofErr w:type="spellEnd"/>
      <w:r w:rsidRPr="00312A48">
        <w:rPr>
          <w:rFonts w:ascii="Book Antiqua" w:hAnsi="Book Antiqua"/>
        </w:rPr>
        <w:t xml:space="preserve"> R, Shepherd N, Singh R, Stein HJ, Talley NJ, </w:t>
      </w:r>
      <w:proofErr w:type="spellStart"/>
      <w:r w:rsidRPr="00312A48">
        <w:rPr>
          <w:rFonts w:ascii="Book Antiqua" w:hAnsi="Book Antiqua"/>
        </w:rPr>
        <w:t>Galmiche</w:t>
      </w:r>
      <w:proofErr w:type="spellEnd"/>
      <w:r w:rsidRPr="00312A48">
        <w:rPr>
          <w:rFonts w:ascii="Book Antiqua" w:hAnsi="Book Antiqua"/>
        </w:rPr>
        <w:t xml:space="preserve"> JP, </w:t>
      </w:r>
      <w:proofErr w:type="spellStart"/>
      <w:r w:rsidRPr="00312A48">
        <w:rPr>
          <w:rFonts w:ascii="Book Antiqua" w:hAnsi="Book Antiqua"/>
        </w:rPr>
        <w:t>Tham</w:t>
      </w:r>
      <w:proofErr w:type="spellEnd"/>
      <w:r w:rsidRPr="00312A48">
        <w:rPr>
          <w:rFonts w:ascii="Book Antiqua" w:hAnsi="Book Antiqua"/>
        </w:rPr>
        <w:t xml:space="preserve"> TC, Watson P, </w:t>
      </w:r>
      <w:proofErr w:type="spellStart"/>
      <w:r w:rsidRPr="00312A48">
        <w:rPr>
          <w:rFonts w:ascii="Book Antiqua" w:hAnsi="Book Antiqua"/>
        </w:rPr>
        <w:t>Yerian</w:t>
      </w:r>
      <w:proofErr w:type="spellEnd"/>
      <w:r w:rsidRPr="00312A48">
        <w:rPr>
          <w:rFonts w:ascii="Book Antiqua" w:hAnsi="Book Antiqua"/>
        </w:rPr>
        <w:t xml:space="preserve"> L, </w:t>
      </w:r>
      <w:proofErr w:type="spellStart"/>
      <w:r w:rsidRPr="00312A48">
        <w:rPr>
          <w:rFonts w:ascii="Book Antiqua" w:hAnsi="Book Antiqua"/>
        </w:rPr>
        <w:t>Rugge</w:t>
      </w:r>
      <w:proofErr w:type="spellEnd"/>
      <w:r w:rsidRPr="00312A48">
        <w:rPr>
          <w:rFonts w:ascii="Book Antiqua" w:hAnsi="Book Antiqua"/>
        </w:rPr>
        <w:t xml:space="preserve"> M, Rice TW, Hart J, Gittens S, </w:t>
      </w:r>
      <w:proofErr w:type="spellStart"/>
      <w:r w:rsidRPr="00312A48">
        <w:rPr>
          <w:rFonts w:ascii="Book Antiqua" w:hAnsi="Book Antiqua"/>
        </w:rPr>
        <w:t>Hewin</w:t>
      </w:r>
      <w:proofErr w:type="spellEnd"/>
      <w:r w:rsidRPr="00312A48">
        <w:rPr>
          <w:rFonts w:ascii="Book Antiqua" w:hAnsi="Book Antiqua"/>
        </w:rPr>
        <w:t xml:space="preserve"> D, </w:t>
      </w:r>
      <w:proofErr w:type="spellStart"/>
      <w:r w:rsidRPr="00312A48">
        <w:rPr>
          <w:rFonts w:ascii="Book Antiqua" w:hAnsi="Book Antiqua"/>
        </w:rPr>
        <w:t>Hochberger</w:t>
      </w:r>
      <w:proofErr w:type="spellEnd"/>
      <w:r w:rsidRPr="00312A48">
        <w:rPr>
          <w:rFonts w:ascii="Book Antiqua" w:hAnsi="Book Antiqua"/>
        </w:rPr>
        <w:t xml:space="preserve"> J, </w:t>
      </w:r>
      <w:proofErr w:type="spellStart"/>
      <w:r w:rsidRPr="00312A48">
        <w:rPr>
          <w:rFonts w:ascii="Book Antiqua" w:hAnsi="Book Antiqua"/>
        </w:rPr>
        <w:t>Kahrilas</w:t>
      </w:r>
      <w:proofErr w:type="spellEnd"/>
      <w:r w:rsidRPr="00312A48">
        <w:rPr>
          <w:rFonts w:ascii="Book Antiqua" w:hAnsi="Book Antiqua"/>
        </w:rPr>
        <w:t xml:space="preserve"> P, Preston S, Sampliner R, Sharma P, Stuart R, Wang K, Waxman I, </w:t>
      </w:r>
      <w:proofErr w:type="spellStart"/>
      <w:r w:rsidRPr="00312A48">
        <w:rPr>
          <w:rFonts w:ascii="Book Antiqua" w:hAnsi="Book Antiqua"/>
        </w:rPr>
        <w:t>Abley</w:t>
      </w:r>
      <w:proofErr w:type="spellEnd"/>
      <w:r w:rsidRPr="00312A48">
        <w:rPr>
          <w:rFonts w:ascii="Book Antiqua" w:hAnsi="Book Antiqua"/>
        </w:rPr>
        <w:t xml:space="preserve"> C, Loft D, Penman I, </w:t>
      </w:r>
      <w:proofErr w:type="spellStart"/>
      <w:r w:rsidRPr="00312A48">
        <w:rPr>
          <w:rFonts w:ascii="Book Antiqua" w:hAnsi="Book Antiqua"/>
        </w:rPr>
        <w:t>Shaheen</w:t>
      </w:r>
      <w:proofErr w:type="spellEnd"/>
      <w:r w:rsidRPr="00312A48">
        <w:rPr>
          <w:rFonts w:ascii="Book Antiqua" w:hAnsi="Book Antiqua"/>
        </w:rPr>
        <w:t xml:space="preserve"> NJ, </w:t>
      </w:r>
      <w:proofErr w:type="spellStart"/>
      <w:r w:rsidRPr="00312A48">
        <w:rPr>
          <w:rFonts w:ascii="Book Antiqua" w:hAnsi="Book Antiqua"/>
        </w:rPr>
        <w:t>Chak</w:t>
      </w:r>
      <w:proofErr w:type="spellEnd"/>
      <w:r w:rsidRPr="00312A48">
        <w:rPr>
          <w:rFonts w:ascii="Book Antiqua" w:hAnsi="Book Antiqua"/>
        </w:rPr>
        <w:t xml:space="preserve"> A, Davies G, Dunn L, Falck-</w:t>
      </w:r>
      <w:proofErr w:type="spellStart"/>
      <w:r w:rsidRPr="00312A48">
        <w:rPr>
          <w:rFonts w:ascii="Book Antiqua" w:hAnsi="Book Antiqua"/>
        </w:rPr>
        <w:t>Ytter</w:t>
      </w:r>
      <w:proofErr w:type="spellEnd"/>
      <w:r w:rsidRPr="00312A48">
        <w:rPr>
          <w:rFonts w:ascii="Book Antiqua" w:hAnsi="Book Antiqua"/>
        </w:rPr>
        <w:t xml:space="preserve"> Y, </w:t>
      </w:r>
      <w:proofErr w:type="spellStart"/>
      <w:r w:rsidRPr="00312A48">
        <w:rPr>
          <w:rFonts w:ascii="Book Antiqua" w:hAnsi="Book Antiqua"/>
        </w:rPr>
        <w:t>Decaestecker</w:t>
      </w:r>
      <w:proofErr w:type="spellEnd"/>
      <w:r w:rsidRPr="00312A48">
        <w:rPr>
          <w:rFonts w:ascii="Book Antiqua" w:hAnsi="Book Antiqua"/>
        </w:rPr>
        <w:t xml:space="preserve"> J, Bhandari P, Ell C, Griffin SM, Attwood S, Barr H, Allen J, Ferguson MK, </w:t>
      </w:r>
      <w:proofErr w:type="spellStart"/>
      <w:r w:rsidRPr="00312A48">
        <w:rPr>
          <w:rFonts w:ascii="Book Antiqua" w:hAnsi="Book Antiqua"/>
        </w:rPr>
        <w:t>Moayyedi</w:t>
      </w:r>
      <w:proofErr w:type="spellEnd"/>
      <w:r w:rsidRPr="00312A48">
        <w:rPr>
          <w:rFonts w:ascii="Book Antiqua" w:hAnsi="Book Antiqua"/>
        </w:rPr>
        <w:t xml:space="preserve"> P, Jankowski JA. Consensus statements for management of Barrett's dysplasia and early-stage esophageal adenocarcinoma, based on a Delphi process. </w:t>
      </w:r>
      <w:r w:rsidRPr="00312A48">
        <w:rPr>
          <w:rFonts w:ascii="Book Antiqua" w:hAnsi="Book Antiqua"/>
          <w:i/>
        </w:rPr>
        <w:t>Gastroenterology</w:t>
      </w:r>
      <w:r w:rsidRPr="00312A48">
        <w:rPr>
          <w:rFonts w:ascii="Book Antiqua" w:hAnsi="Book Antiqua"/>
        </w:rPr>
        <w:t xml:space="preserve"> 2012; </w:t>
      </w:r>
      <w:r w:rsidRPr="00312A48">
        <w:rPr>
          <w:rFonts w:ascii="Book Antiqua" w:hAnsi="Book Antiqua"/>
          <w:b/>
        </w:rPr>
        <w:t>143</w:t>
      </w:r>
      <w:r w:rsidRPr="00312A48">
        <w:rPr>
          <w:rFonts w:ascii="Book Antiqua" w:hAnsi="Book Antiqua"/>
        </w:rPr>
        <w:t>: 336-346 [PMID: 22537613 DOI: 10.1053/j.gastro.2012.04.032]</w:t>
      </w:r>
    </w:p>
    <w:p w14:paraId="51E93A4F"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11 </w:t>
      </w:r>
      <w:proofErr w:type="spellStart"/>
      <w:r w:rsidRPr="00312A48">
        <w:rPr>
          <w:rFonts w:ascii="Book Antiqua" w:hAnsi="Book Antiqua"/>
          <w:b/>
        </w:rPr>
        <w:t>Shaheen</w:t>
      </w:r>
      <w:proofErr w:type="spellEnd"/>
      <w:r w:rsidRPr="00312A48">
        <w:rPr>
          <w:rFonts w:ascii="Book Antiqua" w:hAnsi="Book Antiqua"/>
          <w:b/>
        </w:rPr>
        <w:t xml:space="preserve"> NJ</w:t>
      </w:r>
      <w:r w:rsidRPr="00312A48">
        <w:rPr>
          <w:rFonts w:ascii="Book Antiqua" w:hAnsi="Book Antiqua"/>
        </w:rPr>
        <w:t xml:space="preserve">, Sharma P, Overholt BF, </w:t>
      </w:r>
      <w:proofErr w:type="spellStart"/>
      <w:r w:rsidRPr="00312A48">
        <w:rPr>
          <w:rFonts w:ascii="Book Antiqua" w:hAnsi="Book Antiqua"/>
        </w:rPr>
        <w:t>Wolfsen</w:t>
      </w:r>
      <w:proofErr w:type="spellEnd"/>
      <w:r w:rsidRPr="00312A48">
        <w:rPr>
          <w:rFonts w:ascii="Book Antiqua" w:hAnsi="Book Antiqua"/>
        </w:rPr>
        <w:t xml:space="preserve"> HC, Sampliner RE, Wang KK, </w:t>
      </w:r>
      <w:proofErr w:type="spellStart"/>
      <w:r w:rsidRPr="00312A48">
        <w:rPr>
          <w:rFonts w:ascii="Book Antiqua" w:hAnsi="Book Antiqua"/>
        </w:rPr>
        <w:t>Galanko</w:t>
      </w:r>
      <w:proofErr w:type="spellEnd"/>
      <w:r w:rsidRPr="00312A48">
        <w:rPr>
          <w:rFonts w:ascii="Book Antiqua" w:hAnsi="Book Antiqua"/>
        </w:rPr>
        <w:t xml:space="preserve"> JA, Bronner MP, Goldblum JR, Bennett AE, </w:t>
      </w:r>
      <w:proofErr w:type="spellStart"/>
      <w:r w:rsidRPr="00312A48">
        <w:rPr>
          <w:rFonts w:ascii="Book Antiqua" w:hAnsi="Book Antiqua"/>
        </w:rPr>
        <w:t>Jobe</w:t>
      </w:r>
      <w:proofErr w:type="spellEnd"/>
      <w:r w:rsidRPr="00312A48">
        <w:rPr>
          <w:rFonts w:ascii="Book Antiqua" w:hAnsi="Book Antiqua"/>
        </w:rPr>
        <w:t xml:space="preserve"> BA, Eisen GM, </w:t>
      </w:r>
      <w:proofErr w:type="spellStart"/>
      <w:r w:rsidRPr="00312A48">
        <w:rPr>
          <w:rFonts w:ascii="Book Antiqua" w:hAnsi="Book Antiqua"/>
        </w:rPr>
        <w:t>Fennerty</w:t>
      </w:r>
      <w:proofErr w:type="spellEnd"/>
      <w:r w:rsidRPr="00312A48">
        <w:rPr>
          <w:rFonts w:ascii="Book Antiqua" w:hAnsi="Book Antiqua"/>
        </w:rPr>
        <w:t xml:space="preserve"> MB, Hunter JG, Fleischer DE, Sharma VK, Hawes RH, Hoffman BJ, Rothstein RI, Gordon SR, </w:t>
      </w:r>
      <w:proofErr w:type="spellStart"/>
      <w:r w:rsidRPr="00312A48">
        <w:rPr>
          <w:rFonts w:ascii="Book Antiqua" w:hAnsi="Book Antiqua"/>
        </w:rPr>
        <w:t>Mashimo</w:t>
      </w:r>
      <w:proofErr w:type="spellEnd"/>
      <w:r w:rsidRPr="00312A48">
        <w:rPr>
          <w:rFonts w:ascii="Book Antiqua" w:hAnsi="Book Antiqua"/>
        </w:rPr>
        <w:t xml:space="preserve"> H, Chang KJ, Muthusamy VR, </w:t>
      </w:r>
      <w:proofErr w:type="spellStart"/>
      <w:r w:rsidRPr="00312A48">
        <w:rPr>
          <w:rFonts w:ascii="Book Antiqua" w:hAnsi="Book Antiqua"/>
        </w:rPr>
        <w:t>Edmundowicz</w:t>
      </w:r>
      <w:proofErr w:type="spellEnd"/>
      <w:r w:rsidRPr="00312A48">
        <w:rPr>
          <w:rFonts w:ascii="Book Antiqua" w:hAnsi="Book Antiqua"/>
        </w:rPr>
        <w:t xml:space="preserve"> SA, </w:t>
      </w:r>
      <w:proofErr w:type="spellStart"/>
      <w:r w:rsidRPr="00312A48">
        <w:rPr>
          <w:rFonts w:ascii="Book Antiqua" w:hAnsi="Book Antiqua"/>
        </w:rPr>
        <w:t>Spechler</w:t>
      </w:r>
      <w:proofErr w:type="spellEnd"/>
      <w:r w:rsidRPr="00312A48">
        <w:rPr>
          <w:rFonts w:ascii="Book Antiqua" w:hAnsi="Book Antiqua"/>
        </w:rPr>
        <w:t xml:space="preserve"> SJ, Siddiqui AA, Souza RF, </w:t>
      </w:r>
      <w:proofErr w:type="spellStart"/>
      <w:r w:rsidRPr="00312A48">
        <w:rPr>
          <w:rFonts w:ascii="Book Antiqua" w:hAnsi="Book Antiqua"/>
        </w:rPr>
        <w:t>Infantolino</w:t>
      </w:r>
      <w:proofErr w:type="spellEnd"/>
      <w:r w:rsidRPr="00312A48">
        <w:rPr>
          <w:rFonts w:ascii="Book Antiqua" w:hAnsi="Book Antiqua"/>
        </w:rPr>
        <w:t xml:space="preserve"> A, Falk GW, </w:t>
      </w:r>
      <w:proofErr w:type="spellStart"/>
      <w:r w:rsidRPr="00312A48">
        <w:rPr>
          <w:rFonts w:ascii="Book Antiqua" w:hAnsi="Book Antiqua"/>
        </w:rPr>
        <w:t>Kimmey</w:t>
      </w:r>
      <w:proofErr w:type="spellEnd"/>
      <w:r w:rsidRPr="00312A48">
        <w:rPr>
          <w:rFonts w:ascii="Book Antiqua" w:hAnsi="Book Antiqua"/>
        </w:rPr>
        <w:t xml:space="preserve"> MB, </w:t>
      </w:r>
      <w:proofErr w:type="spellStart"/>
      <w:r w:rsidRPr="00312A48">
        <w:rPr>
          <w:rFonts w:ascii="Book Antiqua" w:hAnsi="Book Antiqua"/>
        </w:rPr>
        <w:t>Madanick</w:t>
      </w:r>
      <w:proofErr w:type="spellEnd"/>
      <w:r w:rsidRPr="00312A48">
        <w:rPr>
          <w:rFonts w:ascii="Book Antiqua" w:hAnsi="Book Antiqua"/>
        </w:rPr>
        <w:t xml:space="preserve"> RD, </w:t>
      </w:r>
      <w:proofErr w:type="spellStart"/>
      <w:r w:rsidRPr="00312A48">
        <w:rPr>
          <w:rFonts w:ascii="Book Antiqua" w:hAnsi="Book Antiqua"/>
        </w:rPr>
        <w:t>Chak</w:t>
      </w:r>
      <w:proofErr w:type="spellEnd"/>
      <w:r w:rsidRPr="00312A48">
        <w:rPr>
          <w:rFonts w:ascii="Book Antiqua" w:hAnsi="Book Antiqua"/>
        </w:rPr>
        <w:t xml:space="preserve"> A, </w:t>
      </w:r>
      <w:proofErr w:type="spellStart"/>
      <w:r w:rsidRPr="00312A48">
        <w:rPr>
          <w:rFonts w:ascii="Book Antiqua" w:hAnsi="Book Antiqua"/>
        </w:rPr>
        <w:t>Lightdale</w:t>
      </w:r>
      <w:proofErr w:type="spellEnd"/>
      <w:r w:rsidRPr="00312A48">
        <w:rPr>
          <w:rFonts w:ascii="Book Antiqua" w:hAnsi="Book Antiqua"/>
        </w:rPr>
        <w:t xml:space="preserve"> CJ. Radiofrequency ablation in Barrett's esophagus with dysplasia. </w:t>
      </w:r>
      <w:r w:rsidRPr="00312A48">
        <w:rPr>
          <w:rFonts w:ascii="Book Antiqua" w:hAnsi="Book Antiqua"/>
          <w:i/>
        </w:rPr>
        <w:t xml:space="preserve">N </w:t>
      </w:r>
      <w:proofErr w:type="spellStart"/>
      <w:r w:rsidRPr="00312A48">
        <w:rPr>
          <w:rFonts w:ascii="Book Antiqua" w:hAnsi="Book Antiqua"/>
          <w:i/>
        </w:rPr>
        <w:t>Engl</w:t>
      </w:r>
      <w:proofErr w:type="spellEnd"/>
      <w:r w:rsidRPr="00312A48">
        <w:rPr>
          <w:rFonts w:ascii="Book Antiqua" w:hAnsi="Book Antiqua"/>
          <w:i/>
        </w:rPr>
        <w:t xml:space="preserve"> J Med</w:t>
      </w:r>
      <w:r w:rsidRPr="00312A48">
        <w:rPr>
          <w:rFonts w:ascii="Book Antiqua" w:hAnsi="Book Antiqua"/>
        </w:rPr>
        <w:t xml:space="preserve"> 2009; </w:t>
      </w:r>
      <w:r w:rsidRPr="00312A48">
        <w:rPr>
          <w:rFonts w:ascii="Book Antiqua" w:hAnsi="Book Antiqua"/>
          <w:b/>
        </w:rPr>
        <w:t>360</w:t>
      </w:r>
      <w:r w:rsidRPr="00312A48">
        <w:rPr>
          <w:rFonts w:ascii="Book Antiqua" w:hAnsi="Book Antiqua"/>
        </w:rPr>
        <w:t>: 2277-2288 [PMID: 19474425 DOI: 10.1056/NEJMoa0808145]</w:t>
      </w:r>
    </w:p>
    <w:p w14:paraId="7B6EB6FF"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12 </w:t>
      </w:r>
      <w:proofErr w:type="spellStart"/>
      <w:r w:rsidRPr="00312A48">
        <w:rPr>
          <w:rFonts w:ascii="Book Antiqua" w:hAnsi="Book Antiqua"/>
          <w:b/>
        </w:rPr>
        <w:t>Phoa</w:t>
      </w:r>
      <w:proofErr w:type="spellEnd"/>
      <w:r w:rsidRPr="00312A48">
        <w:rPr>
          <w:rFonts w:ascii="Book Antiqua" w:hAnsi="Book Antiqua"/>
          <w:b/>
        </w:rPr>
        <w:t xml:space="preserve"> KN</w:t>
      </w:r>
      <w:r w:rsidRPr="00312A48">
        <w:rPr>
          <w:rFonts w:ascii="Book Antiqua" w:hAnsi="Book Antiqua"/>
        </w:rPr>
        <w:t xml:space="preserve">, van </w:t>
      </w:r>
      <w:proofErr w:type="spellStart"/>
      <w:r w:rsidRPr="00312A48">
        <w:rPr>
          <w:rFonts w:ascii="Book Antiqua" w:hAnsi="Book Antiqua"/>
        </w:rPr>
        <w:t>Vilsteren</w:t>
      </w:r>
      <w:proofErr w:type="spellEnd"/>
      <w:r w:rsidRPr="00312A48">
        <w:rPr>
          <w:rFonts w:ascii="Book Antiqua" w:hAnsi="Book Antiqua"/>
        </w:rPr>
        <w:t xml:space="preserve"> FG, </w:t>
      </w:r>
      <w:proofErr w:type="spellStart"/>
      <w:r w:rsidRPr="00312A48">
        <w:rPr>
          <w:rFonts w:ascii="Book Antiqua" w:hAnsi="Book Antiqua"/>
        </w:rPr>
        <w:t>Weusten</w:t>
      </w:r>
      <w:proofErr w:type="spellEnd"/>
      <w:r w:rsidRPr="00312A48">
        <w:rPr>
          <w:rFonts w:ascii="Book Antiqua" w:hAnsi="Book Antiqua"/>
        </w:rPr>
        <w:t xml:space="preserve"> BL, </w:t>
      </w:r>
      <w:proofErr w:type="spellStart"/>
      <w:r w:rsidRPr="00312A48">
        <w:rPr>
          <w:rFonts w:ascii="Book Antiqua" w:hAnsi="Book Antiqua"/>
        </w:rPr>
        <w:t>Bisschops</w:t>
      </w:r>
      <w:proofErr w:type="spellEnd"/>
      <w:r w:rsidRPr="00312A48">
        <w:rPr>
          <w:rFonts w:ascii="Book Antiqua" w:hAnsi="Book Antiqua"/>
        </w:rPr>
        <w:t xml:space="preserve"> R, </w:t>
      </w:r>
      <w:proofErr w:type="spellStart"/>
      <w:r w:rsidRPr="00312A48">
        <w:rPr>
          <w:rFonts w:ascii="Book Antiqua" w:hAnsi="Book Antiqua"/>
        </w:rPr>
        <w:t>Schoon</w:t>
      </w:r>
      <w:proofErr w:type="spellEnd"/>
      <w:r w:rsidRPr="00312A48">
        <w:rPr>
          <w:rFonts w:ascii="Book Antiqua" w:hAnsi="Book Antiqua"/>
        </w:rPr>
        <w:t xml:space="preserve"> EJ, </w:t>
      </w:r>
      <w:proofErr w:type="spellStart"/>
      <w:r w:rsidRPr="00312A48">
        <w:rPr>
          <w:rFonts w:ascii="Book Antiqua" w:hAnsi="Book Antiqua"/>
        </w:rPr>
        <w:t>Ragunath</w:t>
      </w:r>
      <w:proofErr w:type="spellEnd"/>
      <w:r w:rsidRPr="00312A48">
        <w:rPr>
          <w:rFonts w:ascii="Book Antiqua" w:hAnsi="Book Antiqua"/>
        </w:rPr>
        <w:t xml:space="preserve"> K, Fullarton G, Di Pietro M, Ravi N, Visser M, </w:t>
      </w:r>
      <w:proofErr w:type="spellStart"/>
      <w:r w:rsidRPr="00312A48">
        <w:rPr>
          <w:rFonts w:ascii="Book Antiqua" w:hAnsi="Book Antiqua"/>
        </w:rPr>
        <w:t>Offerhaus</w:t>
      </w:r>
      <w:proofErr w:type="spellEnd"/>
      <w:r w:rsidRPr="00312A48">
        <w:rPr>
          <w:rFonts w:ascii="Book Antiqua" w:hAnsi="Book Antiqua"/>
        </w:rPr>
        <w:t xml:space="preserve"> GJ, </w:t>
      </w:r>
      <w:proofErr w:type="spellStart"/>
      <w:r w:rsidRPr="00312A48">
        <w:rPr>
          <w:rFonts w:ascii="Book Antiqua" w:hAnsi="Book Antiqua"/>
        </w:rPr>
        <w:t>Seldenrijk</w:t>
      </w:r>
      <w:proofErr w:type="spellEnd"/>
      <w:r w:rsidRPr="00312A48">
        <w:rPr>
          <w:rFonts w:ascii="Book Antiqua" w:hAnsi="Book Antiqua"/>
        </w:rPr>
        <w:t xml:space="preserve"> CA, Meijer SL, ten Kate FJ, </w:t>
      </w:r>
      <w:proofErr w:type="spellStart"/>
      <w:r w:rsidRPr="00312A48">
        <w:rPr>
          <w:rFonts w:ascii="Book Antiqua" w:hAnsi="Book Antiqua"/>
        </w:rPr>
        <w:t>Tijssen</w:t>
      </w:r>
      <w:proofErr w:type="spellEnd"/>
      <w:r w:rsidRPr="00312A48">
        <w:rPr>
          <w:rFonts w:ascii="Book Antiqua" w:hAnsi="Book Antiqua"/>
        </w:rPr>
        <w:t xml:space="preserve"> JG, Bergman JJ. Radiofrequency ablation vs endoscopic surveillance for patients with Barrett esophagus and low-grade dysplasia: a randomized clinical trial. </w:t>
      </w:r>
      <w:r w:rsidRPr="00312A48">
        <w:rPr>
          <w:rFonts w:ascii="Book Antiqua" w:hAnsi="Book Antiqua"/>
          <w:i/>
        </w:rPr>
        <w:t>JAMA</w:t>
      </w:r>
      <w:r w:rsidRPr="00312A48">
        <w:rPr>
          <w:rFonts w:ascii="Book Antiqua" w:hAnsi="Book Antiqua"/>
        </w:rPr>
        <w:t xml:space="preserve"> 2014; </w:t>
      </w:r>
      <w:r w:rsidRPr="00312A48">
        <w:rPr>
          <w:rFonts w:ascii="Book Antiqua" w:hAnsi="Book Antiqua"/>
          <w:b/>
        </w:rPr>
        <w:t>311</w:t>
      </w:r>
      <w:r w:rsidRPr="00312A48">
        <w:rPr>
          <w:rFonts w:ascii="Book Antiqua" w:hAnsi="Book Antiqua"/>
        </w:rPr>
        <w:t>: 1209-1217 [PMID: 24668102 DOI: 10.1001/jama.2014.2511]</w:t>
      </w:r>
    </w:p>
    <w:p w14:paraId="616F4DB8"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13 </w:t>
      </w:r>
      <w:r w:rsidRPr="00312A48">
        <w:rPr>
          <w:rFonts w:ascii="Book Antiqua" w:hAnsi="Book Antiqua"/>
          <w:b/>
        </w:rPr>
        <w:t>Orman ES</w:t>
      </w:r>
      <w:r w:rsidRPr="00312A48">
        <w:rPr>
          <w:rFonts w:ascii="Book Antiqua" w:hAnsi="Book Antiqua"/>
        </w:rPr>
        <w:t xml:space="preserve">, Li N, </w:t>
      </w:r>
      <w:proofErr w:type="spellStart"/>
      <w:r w:rsidRPr="00312A48">
        <w:rPr>
          <w:rFonts w:ascii="Book Antiqua" w:hAnsi="Book Antiqua"/>
        </w:rPr>
        <w:t>Shaheen</w:t>
      </w:r>
      <w:proofErr w:type="spellEnd"/>
      <w:r w:rsidRPr="00312A48">
        <w:rPr>
          <w:rFonts w:ascii="Book Antiqua" w:hAnsi="Book Antiqua"/>
        </w:rPr>
        <w:t xml:space="preserve"> NJ. Efficacy and durability of radiofrequency ablation for Barrett's Esophagus: systematic review and meta-analysis. </w:t>
      </w:r>
      <w:r w:rsidRPr="00312A48">
        <w:rPr>
          <w:rFonts w:ascii="Book Antiqua" w:hAnsi="Book Antiqua"/>
          <w:i/>
        </w:rPr>
        <w:t xml:space="preserve">Clin </w:t>
      </w:r>
      <w:r w:rsidRPr="00312A48">
        <w:rPr>
          <w:rFonts w:ascii="Book Antiqua" w:hAnsi="Book Antiqua"/>
          <w:i/>
        </w:rPr>
        <w:lastRenderedPageBreak/>
        <w:t>Gastroenterol Hepatol</w:t>
      </w:r>
      <w:r w:rsidRPr="00312A48">
        <w:rPr>
          <w:rFonts w:ascii="Book Antiqua" w:hAnsi="Book Antiqua"/>
        </w:rPr>
        <w:t xml:space="preserve"> 2013; </w:t>
      </w:r>
      <w:r w:rsidRPr="00312A48">
        <w:rPr>
          <w:rFonts w:ascii="Book Antiqua" w:hAnsi="Book Antiqua"/>
          <w:b/>
        </w:rPr>
        <w:t>11</w:t>
      </w:r>
      <w:r w:rsidRPr="00312A48">
        <w:rPr>
          <w:rFonts w:ascii="Book Antiqua" w:hAnsi="Book Antiqua"/>
        </w:rPr>
        <w:t>: 1245-1255 [PMID: 23644385 DOI: 10.1016/j.cgh.2013.03.039]</w:t>
      </w:r>
    </w:p>
    <w:p w14:paraId="06057A11"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14 </w:t>
      </w:r>
      <w:r w:rsidRPr="00312A48">
        <w:rPr>
          <w:rFonts w:ascii="Book Antiqua" w:hAnsi="Book Antiqua"/>
          <w:b/>
        </w:rPr>
        <w:t>ASGE Technology Committee.</w:t>
      </w:r>
      <w:r w:rsidRPr="00312A48">
        <w:rPr>
          <w:rFonts w:ascii="Book Antiqua" w:hAnsi="Book Antiqua"/>
        </w:rPr>
        <w:t xml:space="preserve">, </w:t>
      </w:r>
      <w:proofErr w:type="spellStart"/>
      <w:r w:rsidRPr="00312A48">
        <w:rPr>
          <w:rFonts w:ascii="Book Antiqua" w:hAnsi="Book Antiqua"/>
        </w:rPr>
        <w:t>Thosani</w:t>
      </w:r>
      <w:proofErr w:type="spellEnd"/>
      <w:r w:rsidRPr="00312A48">
        <w:rPr>
          <w:rFonts w:ascii="Book Antiqua" w:hAnsi="Book Antiqua"/>
        </w:rPr>
        <w:t xml:space="preserve"> N, Abu </w:t>
      </w:r>
      <w:proofErr w:type="spellStart"/>
      <w:r w:rsidRPr="00312A48">
        <w:rPr>
          <w:rFonts w:ascii="Book Antiqua" w:hAnsi="Book Antiqua"/>
        </w:rPr>
        <w:t>Dayyeh</w:t>
      </w:r>
      <w:proofErr w:type="spellEnd"/>
      <w:r w:rsidRPr="00312A48">
        <w:rPr>
          <w:rFonts w:ascii="Book Antiqua" w:hAnsi="Book Antiqua"/>
        </w:rPr>
        <w:t xml:space="preserve"> BK, Sharma P, </w:t>
      </w:r>
      <w:proofErr w:type="spellStart"/>
      <w:r w:rsidRPr="00312A48">
        <w:rPr>
          <w:rFonts w:ascii="Book Antiqua" w:hAnsi="Book Antiqua"/>
        </w:rPr>
        <w:t>Aslanian</w:t>
      </w:r>
      <w:proofErr w:type="spellEnd"/>
      <w:r w:rsidRPr="00312A48">
        <w:rPr>
          <w:rFonts w:ascii="Book Antiqua" w:hAnsi="Book Antiqua"/>
        </w:rPr>
        <w:t xml:space="preserve"> HR, </w:t>
      </w:r>
      <w:proofErr w:type="spellStart"/>
      <w:r w:rsidRPr="00312A48">
        <w:rPr>
          <w:rFonts w:ascii="Book Antiqua" w:hAnsi="Book Antiqua"/>
        </w:rPr>
        <w:t>Enestvedt</w:t>
      </w:r>
      <w:proofErr w:type="spellEnd"/>
      <w:r w:rsidRPr="00312A48">
        <w:rPr>
          <w:rFonts w:ascii="Book Antiqua" w:hAnsi="Book Antiqua"/>
        </w:rPr>
        <w:t xml:space="preserve"> BK, </w:t>
      </w:r>
      <w:proofErr w:type="spellStart"/>
      <w:r w:rsidRPr="00312A48">
        <w:rPr>
          <w:rFonts w:ascii="Book Antiqua" w:hAnsi="Book Antiqua"/>
        </w:rPr>
        <w:t>Komanduri</w:t>
      </w:r>
      <w:proofErr w:type="spellEnd"/>
      <w:r w:rsidRPr="00312A48">
        <w:rPr>
          <w:rFonts w:ascii="Book Antiqua" w:hAnsi="Book Antiqua"/>
        </w:rPr>
        <w:t xml:space="preserve"> S, Manfredi M, Navaneethan U, Maple JT, </w:t>
      </w:r>
      <w:proofErr w:type="spellStart"/>
      <w:r w:rsidRPr="00312A48">
        <w:rPr>
          <w:rFonts w:ascii="Book Antiqua" w:hAnsi="Book Antiqua"/>
        </w:rPr>
        <w:t>Pannala</w:t>
      </w:r>
      <w:proofErr w:type="spellEnd"/>
      <w:r w:rsidRPr="00312A48">
        <w:rPr>
          <w:rFonts w:ascii="Book Antiqua" w:hAnsi="Book Antiqua"/>
        </w:rPr>
        <w:t xml:space="preserve"> R, Parsi MA, Smith ZL, Sullivan SA, Banerjee S. ASGE Technology Committee systematic review and meta-analysis assessing the ASGE Preservation and Incorporation of Valuable Endoscopic Innovations thresholds for adopting real-time imaging-assisted endoscopic targeted biopsy during endoscopic surveillance of Barrett's esophagus. </w:t>
      </w:r>
      <w:proofErr w:type="spellStart"/>
      <w:r w:rsidRPr="00312A48">
        <w:rPr>
          <w:rFonts w:ascii="Book Antiqua" w:hAnsi="Book Antiqua"/>
          <w:i/>
        </w:rPr>
        <w:t>Gastrointest</w:t>
      </w:r>
      <w:proofErr w:type="spellEnd"/>
      <w:r w:rsidRPr="00312A48">
        <w:rPr>
          <w:rFonts w:ascii="Book Antiqua" w:hAnsi="Book Antiqua"/>
          <w:i/>
        </w:rPr>
        <w:t xml:space="preserve"> </w:t>
      </w:r>
      <w:proofErr w:type="spellStart"/>
      <w:r w:rsidRPr="00312A48">
        <w:rPr>
          <w:rFonts w:ascii="Book Antiqua" w:hAnsi="Book Antiqua"/>
          <w:i/>
        </w:rPr>
        <w:t>Endosc</w:t>
      </w:r>
      <w:proofErr w:type="spellEnd"/>
      <w:r w:rsidRPr="00312A48">
        <w:rPr>
          <w:rFonts w:ascii="Book Antiqua" w:hAnsi="Book Antiqua"/>
        </w:rPr>
        <w:t xml:space="preserve"> 2016; </w:t>
      </w:r>
      <w:r w:rsidRPr="00312A48">
        <w:rPr>
          <w:rFonts w:ascii="Book Antiqua" w:hAnsi="Book Antiqua"/>
          <w:b/>
        </w:rPr>
        <w:t>83</w:t>
      </w:r>
      <w:r w:rsidRPr="00312A48">
        <w:rPr>
          <w:rFonts w:ascii="Book Antiqua" w:hAnsi="Book Antiqua"/>
        </w:rPr>
        <w:t>: 684-</w:t>
      </w:r>
      <w:proofErr w:type="gramStart"/>
      <w:r w:rsidRPr="00312A48">
        <w:rPr>
          <w:rFonts w:ascii="Book Antiqua" w:hAnsi="Book Antiqua"/>
        </w:rPr>
        <w:t>98.e</w:t>
      </w:r>
      <w:proofErr w:type="gramEnd"/>
      <w:r w:rsidRPr="00312A48">
        <w:rPr>
          <w:rFonts w:ascii="Book Antiqua" w:hAnsi="Book Antiqua"/>
        </w:rPr>
        <w:t>7 [PMID: 26874597 DOI: 10.1016/j.gie.2016.01.007]</w:t>
      </w:r>
    </w:p>
    <w:p w14:paraId="1B289912"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15 </w:t>
      </w:r>
      <w:proofErr w:type="spellStart"/>
      <w:r w:rsidRPr="00312A48">
        <w:rPr>
          <w:rFonts w:ascii="Book Antiqua" w:hAnsi="Book Antiqua"/>
          <w:b/>
        </w:rPr>
        <w:t>Qumseya</w:t>
      </w:r>
      <w:proofErr w:type="spellEnd"/>
      <w:r w:rsidRPr="00312A48">
        <w:rPr>
          <w:rFonts w:ascii="Book Antiqua" w:hAnsi="Book Antiqua"/>
          <w:b/>
        </w:rPr>
        <w:t xml:space="preserve"> BJ</w:t>
      </w:r>
      <w:r w:rsidRPr="00312A48">
        <w:rPr>
          <w:rFonts w:ascii="Book Antiqua" w:hAnsi="Book Antiqua"/>
        </w:rPr>
        <w:t xml:space="preserve">, </w:t>
      </w:r>
      <w:proofErr w:type="spellStart"/>
      <w:r w:rsidRPr="00312A48">
        <w:rPr>
          <w:rFonts w:ascii="Book Antiqua" w:hAnsi="Book Antiqua"/>
        </w:rPr>
        <w:t>Wani</w:t>
      </w:r>
      <w:proofErr w:type="spellEnd"/>
      <w:r w:rsidRPr="00312A48">
        <w:rPr>
          <w:rFonts w:ascii="Book Antiqua" w:hAnsi="Book Antiqua"/>
        </w:rPr>
        <w:t xml:space="preserve"> S, </w:t>
      </w:r>
      <w:proofErr w:type="spellStart"/>
      <w:r w:rsidRPr="00312A48">
        <w:rPr>
          <w:rFonts w:ascii="Book Antiqua" w:hAnsi="Book Antiqua"/>
        </w:rPr>
        <w:t>Gendy</w:t>
      </w:r>
      <w:proofErr w:type="spellEnd"/>
      <w:r w:rsidRPr="00312A48">
        <w:rPr>
          <w:rFonts w:ascii="Book Antiqua" w:hAnsi="Book Antiqua"/>
        </w:rPr>
        <w:t xml:space="preserve"> S, </w:t>
      </w:r>
      <w:proofErr w:type="spellStart"/>
      <w:r w:rsidRPr="00312A48">
        <w:rPr>
          <w:rFonts w:ascii="Book Antiqua" w:hAnsi="Book Antiqua"/>
        </w:rPr>
        <w:t>Harnke</w:t>
      </w:r>
      <w:proofErr w:type="spellEnd"/>
      <w:r w:rsidRPr="00312A48">
        <w:rPr>
          <w:rFonts w:ascii="Book Antiqua" w:hAnsi="Book Antiqua"/>
        </w:rPr>
        <w:t xml:space="preserve"> B, Bergman JJ, </w:t>
      </w:r>
      <w:proofErr w:type="spellStart"/>
      <w:r w:rsidRPr="00312A48">
        <w:rPr>
          <w:rFonts w:ascii="Book Antiqua" w:hAnsi="Book Antiqua"/>
        </w:rPr>
        <w:t>Wolfsen</w:t>
      </w:r>
      <w:proofErr w:type="spellEnd"/>
      <w:r w:rsidRPr="00312A48">
        <w:rPr>
          <w:rFonts w:ascii="Book Antiqua" w:hAnsi="Book Antiqua"/>
        </w:rPr>
        <w:t xml:space="preserve"> H. Disease Progression in Barrett's Low-Grade Dysplasia </w:t>
      </w:r>
      <w:proofErr w:type="gramStart"/>
      <w:r w:rsidRPr="00312A48">
        <w:rPr>
          <w:rFonts w:ascii="Book Antiqua" w:hAnsi="Book Antiqua"/>
        </w:rPr>
        <w:t>With</w:t>
      </w:r>
      <w:proofErr w:type="gramEnd"/>
      <w:r w:rsidRPr="00312A48">
        <w:rPr>
          <w:rFonts w:ascii="Book Antiqua" w:hAnsi="Book Antiqua"/>
        </w:rPr>
        <w:t xml:space="preserve"> Radiofrequency Ablation Compared With Surveillance: Systematic Review and Meta-Analysis. </w:t>
      </w:r>
      <w:r w:rsidRPr="00312A48">
        <w:rPr>
          <w:rFonts w:ascii="Book Antiqua" w:hAnsi="Book Antiqua"/>
          <w:i/>
        </w:rPr>
        <w:t>Am J Gastroenterol</w:t>
      </w:r>
      <w:r w:rsidRPr="00312A48">
        <w:rPr>
          <w:rFonts w:ascii="Book Antiqua" w:hAnsi="Book Antiqua"/>
        </w:rPr>
        <w:t xml:space="preserve"> 2017; </w:t>
      </w:r>
      <w:r w:rsidRPr="00312A48">
        <w:rPr>
          <w:rFonts w:ascii="Book Antiqua" w:hAnsi="Book Antiqua"/>
          <w:b/>
        </w:rPr>
        <w:t>112</w:t>
      </w:r>
      <w:r w:rsidRPr="00312A48">
        <w:rPr>
          <w:rFonts w:ascii="Book Antiqua" w:hAnsi="Book Antiqua"/>
        </w:rPr>
        <w:t>: 849-865 [PMID: 28374819 DOI: 10.1038/ajg.2017.70]</w:t>
      </w:r>
    </w:p>
    <w:p w14:paraId="7F851888"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16 </w:t>
      </w:r>
      <w:proofErr w:type="spellStart"/>
      <w:r w:rsidRPr="00312A48">
        <w:rPr>
          <w:rFonts w:ascii="Book Antiqua" w:hAnsi="Book Antiqua"/>
          <w:b/>
        </w:rPr>
        <w:t>Bulsiewicz</w:t>
      </w:r>
      <w:proofErr w:type="spellEnd"/>
      <w:r w:rsidRPr="00312A48">
        <w:rPr>
          <w:rFonts w:ascii="Book Antiqua" w:hAnsi="Book Antiqua"/>
          <w:b/>
        </w:rPr>
        <w:t xml:space="preserve"> WJ</w:t>
      </w:r>
      <w:r w:rsidRPr="00312A48">
        <w:rPr>
          <w:rFonts w:ascii="Book Antiqua" w:hAnsi="Book Antiqua"/>
        </w:rPr>
        <w:t xml:space="preserve">, </w:t>
      </w:r>
      <w:proofErr w:type="spellStart"/>
      <w:r w:rsidRPr="00312A48">
        <w:rPr>
          <w:rFonts w:ascii="Book Antiqua" w:hAnsi="Book Antiqua"/>
        </w:rPr>
        <w:t>Shaheen</w:t>
      </w:r>
      <w:proofErr w:type="spellEnd"/>
      <w:r w:rsidRPr="00312A48">
        <w:rPr>
          <w:rFonts w:ascii="Book Antiqua" w:hAnsi="Book Antiqua"/>
        </w:rPr>
        <w:t xml:space="preserve"> NJ. The role of radiofrequency ablation in the management of Barrett's esophagus. </w:t>
      </w:r>
      <w:proofErr w:type="spellStart"/>
      <w:r w:rsidRPr="00312A48">
        <w:rPr>
          <w:rFonts w:ascii="Book Antiqua" w:hAnsi="Book Antiqua"/>
          <w:i/>
        </w:rPr>
        <w:t>Gastrointest</w:t>
      </w:r>
      <w:proofErr w:type="spellEnd"/>
      <w:r w:rsidRPr="00312A48">
        <w:rPr>
          <w:rFonts w:ascii="Book Antiqua" w:hAnsi="Book Antiqua"/>
          <w:i/>
        </w:rPr>
        <w:t xml:space="preserve"> </w:t>
      </w:r>
      <w:proofErr w:type="spellStart"/>
      <w:r w:rsidRPr="00312A48">
        <w:rPr>
          <w:rFonts w:ascii="Book Antiqua" w:hAnsi="Book Antiqua"/>
          <w:i/>
        </w:rPr>
        <w:t>Endosc</w:t>
      </w:r>
      <w:proofErr w:type="spellEnd"/>
      <w:r w:rsidRPr="00312A48">
        <w:rPr>
          <w:rFonts w:ascii="Book Antiqua" w:hAnsi="Book Antiqua"/>
          <w:i/>
        </w:rPr>
        <w:t xml:space="preserve"> Clin N Am</w:t>
      </w:r>
      <w:r w:rsidRPr="00312A48">
        <w:rPr>
          <w:rFonts w:ascii="Book Antiqua" w:hAnsi="Book Antiqua"/>
        </w:rPr>
        <w:t xml:space="preserve"> 2011; </w:t>
      </w:r>
      <w:r w:rsidRPr="00312A48">
        <w:rPr>
          <w:rFonts w:ascii="Book Antiqua" w:hAnsi="Book Antiqua"/>
          <w:b/>
        </w:rPr>
        <w:t>21</w:t>
      </w:r>
      <w:r w:rsidRPr="00312A48">
        <w:rPr>
          <w:rFonts w:ascii="Book Antiqua" w:hAnsi="Book Antiqua"/>
        </w:rPr>
        <w:t>: 95-109 [PMID: 21112500 DOI: 10.1016/j.giec.2010.09.009]</w:t>
      </w:r>
    </w:p>
    <w:p w14:paraId="300B272C"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17 </w:t>
      </w:r>
      <w:proofErr w:type="spellStart"/>
      <w:r w:rsidRPr="00312A48">
        <w:rPr>
          <w:rFonts w:ascii="Book Antiqua" w:hAnsi="Book Antiqua"/>
          <w:b/>
        </w:rPr>
        <w:t>Qumseya</w:t>
      </w:r>
      <w:proofErr w:type="spellEnd"/>
      <w:r w:rsidRPr="00312A48">
        <w:rPr>
          <w:rFonts w:ascii="Book Antiqua" w:hAnsi="Book Antiqua"/>
          <w:b/>
        </w:rPr>
        <w:t xml:space="preserve"> BJ</w:t>
      </w:r>
      <w:r w:rsidRPr="00312A48">
        <w:rPr>
          <w:rFonts w:ascii="Book Antiqua" w:hAnsi="Book Antiqua"/>
        </w:rPr>
        <w:t xml:space="preserve">, </w:t>
      </w:r>
      <w:proofErr w:type="spellStart"/>
      <w:r w:rsidRPr="00312A48">
        <w:rPr>
          <w:rFonts w:ascii="Book Antiqua" w:hAnsi="Book Antiqua"/>
        </w:rPr>
        <w:t>Wani</w:t>
      </w:r>
      <w:proofErr w:type="spellEnd"/>
      <w:r w:rsidRPr="00312A48">
        <w:rPr>
          <w:rFonts w:ascii="Book Antiqua" w:hAnsi="Book Antiqua"/>
        </w:rPr>
        <w:t xml:space="preserve"> S, Desai M, </w:t>
      </w:r>
      <w:proofErr w:type="spellStart"/>
      <w:r w:rsidRPr="00312A48">
        <w:rPr>
          <w:rFonts w:ascii="Book Antiqua" w:hAnsi="Book Antiqua"/>
        </w:rPr>
        <w:t>Qumseya</w:t>
      </w:r>
      <w:proofErr w:type="spellEnd"/>
      <w:r w:rsidRPr="00312A48">
        <w:rPr>
          <w:rFonts w:ascii="Book Antiqua" w:hAnsi="Book Antiqua"/>
        </w:rPr>
        <w:t xml:space="preserve"> A, Bain P, Sharma P, </w:t>
      </w:r>
      <w:proofErr w:type="spellStart"/>
      <w:r w:rsidRPr="00312A48">
        <w:rPr>
          <w:rFonts w:ascii="Book Antiqua" w:hAnsi="Book Antiqua"/>
        </w:rPr>
        <w:t>Wolfsen</w:t>
      </w:r>
      <w:proofErr w:type="spellEnd"/>
      <w:r w:rsidRPr="00312A48">
        <w:rPr>
          <w:rFonts w:ascii="Book Antiqua" w:hAnsi="Book Antiqua"/>
        </w:rPr>
        <w:t xml:space="preserve"> H. Adverse Events After Radiofrequency Ablation in Patients </w:t>
      </w:r>
      <w:proofErr w:type="gramStart"/>
      <w:r w:rsidRPr="00312A48">
        <w:rPr>
          <w:rFonts w:ascii="Book Antiqua" w:hAnsi="Book Antiqua"/>
        </w:rPr>
        <w:t>With</w:t>
      </w:r>
      <w:proofErr w:type="gramEnd"/>
      <w:r w:rsidRPr="00312A48">
        <w:rPr>
          <w:rFonts w:ascii="Book Antiqua" w:hAnsi="Book Antiqua"/>
        </w:rPr>
        <w:t xml:space="preserve"> Barrett's Esophagus: A Systematic Review and Meta-analysis. </w:t>
      </w:r>
      <w:r w:rsidRPr="00312A48">
        <w:rPr>
          <w:rFonts w:ascii="Book Antiqua" w:hAnsi="Book Antiqua"/>
          <w:i/>
        </w:rPr>
        <w:t>Clin Gastroenterol Hepatol</w:t>
      </w:r>
      <w:r w:rsidRPr="00312A48">
        <w:rPr>
          <w:rFonts w:ascii="Book Antiqua" w:hAnsi="Book Antiqua"/>
        </w:rPr>
        <w:t xml:space="preserve"> 2016; </w:t>
      </w:r>
      <w:r w:rsidRPr="00312A48">
        <w:rPr>
          <w:rFonts w:ascii="Book Antiqua" w:hAnsi="Book Antiqua"/>
          <w:b/>
        </w:rPr>
        <w:t>14</w:t>
      </w:r>
      <w:r w:rsidRPr="00312A48">
        <w:rPr>
          <w:rFonts w:ascii="Book Antiqua" w:hAnsi="Book Antiqua"/>
        </w:rPr>
        <w:t>: 1086-1095.e6 [PMID: 27068041 DOI: 10.1016/j.cgh.2016.04.001]</w:t>
      </w:r>
    </w:p>
    <w:p w14:paraId="36EA8FF0"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18 </w:t>
      </w:r>
      <w:r w:rsidRPr="00312A48">
        <w:rPr>
          <w:rFonts w:ascii="Book Antiqua" w:hAnsi="Book Antiqua"/>
          <w:b/>
        </w:rPr>
        <w:t xml:space="preserve">van </w:t>
      </w:r>
      <w:proofErr w:type="spellStart"/>
      <w:r w:rsidRPr="00312A48">
        <w:rPr>
          <w:rFonts w:ascii="Book Antiqua" w:hAnsi="Book Antiqua"/>
          <w:b/>
        </w:rPr>
        <w:t>Vilsteren</w:t>
      </w:r>
      <w:proofErr w:type="spellEnd"/>
      <w:r w:rsidRPr="00312A48">
        <w:rPr>
          <w:rFonts w:ascii="Book Antiqua" w:hAnsi="Book Antiqua"/>
          <w:b/>
        </w:rPr>
        <w:t xml:space="preserve"> FG</w:t>
      </w:r>
      <w:r w:rsidRPr="00312A48">
        <w:rPr>
          <w:rFonts w:ascii="Book Antiqua" w:hAnsi="Book Antiqua"/>
        </w:rPr>
        <w:t xml:space="preserve">, Alvarez Herrero L, </w:t>
      </w:r>
      <w:proofErr w:type="spellStart"/>
      <w:r w:rsidRPr="00312A48">
        <w:rPr>
          <w:rFonts w:ascii="Book Antiqua" w:hAnsi="Book Antiqua"/>
        </w:rPr>
        <w:t>Pouw</w:t>
      </w:r>
      <w:proofErr w:type="spellEnd"/>
      <w:r w:rsidRPr="00312A48">
        <w:rPr>
          <w:rFonts w:ascii="Book Antiqua" w:hAnsi="Book Antiqua"/>
        </w:rPr>
        <w:t xml:space="preserve"> RE, </w:t>
      </w:r>
      <w:proofErr w:type="spellStart"/>
      <w:r w:rsidRPr="00312A48">
        <w:rPr>
          <w:rFonts w:ascii="Book Antiqua" w:hAnsi="Book Antiqua"/>
        </w:rPr>
        <w:t>Schrijnders</w:t>
      </w:r>
      <w:proofErr w:type="spellEnd"/>
      <w:r w:rsidRPr="00312A48">
        <w:rPr>
          <w:rFonts w:ascii="Book Antiqua" w:hAnsi="Book Antiqua"/>
        </w:rPr>
        <w:t xml:space="preserve"> D, </w:t>
      </w:r>
      <w:proofErr w:type="spellStart"/>
      <w:r w:rsidRPr="00312A48">
        <w:rPr>
          <w:rFonts w:ascii="Book Antiqua" w:hAnsi="Book Antiqua"/>
        </w:rPr>
        <w:t>Sondermeijer</w:t>
      </w:r>
      <w:proofErr w:type="spellEnd"/>
      <w:r w:rsidRPr="00312A48">
        <w:rPr>
          <w:rFonts w:ascii="Book Antiqua" w:hAnsi="Book Antiqua"/>
        </w:rPr>
        <w:t xml:space="preserve"> CM, </w:t>
      </w:r>
      <w:proofErr w:type="spellStart"/>
      <w:r w:rsidRPr="00312A48">
        <w:rPr>
          <w:rFonts w:ascii="Book Antiqua" w:hAnsi="Book Antiqua"/>
        </w:rPr>
        <w:t>Bisschops</w:t>
      </w:r>
      <w:proofErr w:type="spellEnd"/>
      <w:r w:rsidRPr="00312A48">
        <w:rPr>
          <w:rFonts w:ascii="Book Antiqua" w:hAnsi="Book Antiqua"/>
        </w:rPr>
        <w:t xml:space="preserve"> R, Esteban JM, </w:t>
      </w:r>
      <w:proofErr w:type="spellStart"/>
      <w:r w:rsidRPr="00312A48">
        <w:rPr>
          <w:rFonts w:ascii="Book Antiqua" w:hAnsi="Book Antiqua"/>
        </w:rPr>
        <w:t>Meining</w:t>
      </w:r>
      <w:proofErr w:type="spellEnd"/>
      <w:r w:rsidRPr="00312A48">
        <w:rPr>
          <w:rFonts w:ascii="Book Antiqua" w:hAnsi="Book Antiqua"/>
        </w:rPr>
        <w:t xml:space="preserve"> A, Neuhaus H, Parra-Blanco A, </w:t>
      </w:r>
      <w:proofErr w:type="spellStart"/>
      <w:r w:rsidRPr="00312A48">
        <w:rPr>
          <w:rFonts w:ascii="Book Antiqua" w:hAnsi="Book Antiqua"/>
        </w:rPr>
        <w:t>Pech</w:t>
      </w:r>
      <w:proofErr w:type="spellEnd"/>
      <w:r w:rsidRPr="00312A48">
        <w:rPr>
          <w:rFonts w:ascii="Book Antiqua" w:hAnsi="Book Antiqua"/>
        </w:rPr>
        <w:t xml:space="preserve"> O, </w:t>
      </w:r>
      <w:proofErr w:type="spellStart"/>
      <w:r w:rsidRPr="00312A48">
        <w:rPr>
          <w:rFonts w:ascii="Book Antiqua" w:hAnsi="Book Antiqua"/>
        </w:rPr>
        <w:t>Ragunath</w:t>
      </w:r>
      <w:proofErr w:type="spellEnd"/>
      <w:r w:rsidRPr="00312A48">
        <w:rPr>
          <w:rFonts w:ascii="Book Antiqua" w:hAnsi="Book Antiqua"/>
        </w:rPr>
        <w:t xml:space="preserve"> K, </w:t>
      </w:r>
      <w:proofErr w:type="spellStart"/>
      <w:r w:rsidRPr="00312A48">
        <w:rPr>
          <w:rFonts w:ascii="Book Antiqua" w:hAnsi="Book Antiqua"/>
        </w:rPr>
        <w:t>Rembacken</w:t>
      </w:r>
      <w:proofErr w:type="spellEnd"/>
      <w:r w:rsidRPr="00312A48">
        <w:rPr>
          <w:rFonts w:ascii="Book Antiqua" w:hAnsi="Book Antiqua"/>
        </w:rPr>
        <w:t xml:space="preserve"> B, Schenk BE, Visser M, ten Kate FJ, Meijer SL, </w:t>
      </w:r>
      <w:proofErr w:type="spellStart"/>
      <w:r w:rsidRPr="00312A48">
        <w:rPr>
          <w:rFonts w:ascii="Book Antiqua" w:hAnsi="Book Antiqua"/>
        </w:rPr>
        <w:t>Reitsma</w:t>
      </w:r>
      <w:proofErr w:type="spellEnd"/>
      <w:r w:rsidRPr="00312A48">
        <w:rPr>
          <w:rFonts w:ascii="Book Antiqua" w:hAnsi="Book Antiqua"/>
        </w:rPr>
        <w:t xml:space="preserve"> JB, </w:t>
      </w:r>
      <w:proofErr w:type="spellStart"/>
      <w:r w:rsidRPr="00312A48">
        <w:rPr>
          <w:rFonts w:ascii="Book Antiqua" w:hAnsi="Book Antiqua"/>
        </w:rPr>
        <w:t>Weusten</w:t>
      </w:r>
      <w:proofErr w:type="spellEnd"/>
      <w:r w:rsidRPr="00312A48">
        <w:rPr>
          <w:rFonts w:ascii="Book Antiqua" w:hAnsi="Book Antiqua"/>
        </w:rPr>
        <w:t xml:space="preserve"> BL, </w:t>
      </w:r>
      <w:proofErr w:type="spellStart"/>
      <w:r w:rsidRPr="00312A48">
        <w:rPr>
          <w:rFonts w:ascii="Book Antiqua" w:hAnsi="Book Antiqua"/>
        </w:rPr>
        <w:t>Schoon</w:t>
      </w:r>
      <w:proofErr w:type="spellEnd"/>
      <w:r w:rsidRPr="00312A48">
        <w:rPr>
          <w:rFonts w:ascii="Book Antiqua" w:hAnsi="Book Antiqua"/>
        </w:rPr>
        <w:t xml:space="preserve"> EJ, Bergman JJ. Predictive factors for initial treatment response after circumferential radiofrequency ablation for Barrett's esophagus with early neoplasia: a prospective multicenter study. </w:t>
      </w:r>
      <w:r w:rsidRPr="00312A48">
        <w:rPr>
          <w:rFonts w:ascii="Book Antiqua" w:hAnsi="Book Antiqua"/>
          <w:i/>
        </w:rPr>
        <w:t>Endoscopy</w:t>
      </w:r>
      <w:r w:rsidRPr="00312A48">
        <w:rPr>
          <w:rFonts w:ascii="Book Antiqua" w:hAnsi="Book Antiqua"/>
        </w:rPr>
        <w:t xml:space="preserve"> 2013; </w:t>
      </w:r>
      <w:r w:rsidRPr="00312A48">
        <w:rPr>
          <w:rFonts w:ascii="Book Antiqua" w:hAnsi="Book Antiqua"/>
          <w:b/>
        </w:rPr>
        <w:t>45</w:t>
      </w:r>
      <w:r w:rsidRPr="00312A48">
        <w:rPr>
          <w:rFonts w:ascii="Book Antiqua" w:hAnsi="Book Antiqua"/>
        </w:rPr>
        <w:t>: 516-525 [PMID: 23580412 DOI: 10.1055/s-0032-1326423]</w:t>
      </w:r>
    </w:p>
    <w:p w14:paraId="5FA0B291"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lastRenderedPageBreak/>
        <w:t xml:space="preserve">19 </w:t>
      </w:r>
      <w:r w:rsidRPr="00312A48">
        <w:rPr>
          <w:rFonts w:ascii="Book Antiqua" w:hAnsi="Book Antiqua"/>
          <w:b/>
        </w:rPr>
        <w:t>Gupta M</w:t>
      </w:r>
      <w:r w:rsidRPr="00312A48">
        <w:rPr>
          <w:rFonts w:ascii="Book Antiqua" w:hAnsi="Book Antiqua"/>
        </w:rPr>
        <w:t xml:space="preserve">, </w:t>
      </w:r>
      <w:proofErr w:type="spellStart"/>
      <w:r w:rsidRPr="00312A48">
        <w:rPr>
          <w:rFonts w:ascii="Book Antiqua" w:hAnsi="Book Antiqua"/>
        </w:rPr>
        <w:t>Iyer</w:t>
      </w:r>
      <w:proofErr w:type="spellEnd"/>
      <w:r w:rsidRPr="00312A48">
        <w:rPr>
          <w:rFonts w:ascii="Book Antiqua" w:hAnsi="Book Antiqua"/>
        </w:rPr>
        <w:t xml:space="preserve"> PG, </w:t>
      </w:r>
      <w:proofErr w:type="spellStart"/>
      <w:r w:rsidRPr="00312A48">
        <w:rPr>
          <w:rFonts w:ascii="Book Antiqua" w:hAnsi="Book Antiqua"/>
        </w:rPr>
        <w:t>Lutzke</w:t>
      </w:r>
      <w:proofErr w:type="spellEnd"/>
      <w:r w:rsidRPr="00312A48">
        <w:rPr>
          <w:rFonts w:ascii="Book Antiqua" w:hAnsi="Book Antiqua"/>
        </w:rPr>
        <w:t xml:space="preserve"> L, Gorospe EC, Abrams JA, Falk GW, Ginsberg GG, </w:t>
      </w:r>
      <w:proofErr w:type="spellStart"/>
      <w:r w:rsidRPr="00312A48">
        <w:rPr>
          <w:rFonts w:ascii="Book Antiqua" w:hAnsi="Book Antiqua"/>
        </w:rPr>
        <w:t>Rustgi</w:t>
      </w:r>
      <w:proofErr w:type="spellEnd"/>
      <w:r w:rsidRPr="00312A48">
        <w:rPr>
          <w:rFonts w:ascii="Book Antiqua" w:hAnsi="Book Antiqua"/>
        </w:rPr>
        <w:t xml:space="preserve"> AK, </w:t>
      </w:r>
      <w:proofErr w:type="spellStart"/>
      <w:r w:rsidRPr="00312A48">
        <w:rPr>
          <w:rFonts w:ascii="Book Antiqua" w:hAnsi="Book Antiqua"/>
        </w:rPr>
        <w:t>Lightdale</w:t>
      </w:r>
      <w:proofErr w:type="spellEnd"/>
      <w:r w:rsidRPr="00312A48">
        <w:rPr>
          <w:rFonts w:ascii="Book Antiqua" w:hAnsi="Book Antiqua"/>
        </w:rPr>
        <w:t xml:space="preserve"> CJ, Wang TC, </w:t>
      </w:r>
      <w:proofErr w:type="spellStart"/>
      <w:r w:rsidRPr="00312A48">
        <w:rPr>
          <w:rFonts w:ascii="Book Antiqua" w:hAnsi="Book Antiqua"/>
        </w:rPr>
        <w:t>Fudman</w:t>
      </w:r>
      <w:proofErr w:type="spellEnd"/>
      <w:r w:rsidRPr="00312A48">
        <w:rPr>
          <w:rFonts w:ascii="Book Antiqua" w:hAnsi="Book Antiqua"/>
        </w:rPr>
        <w:t xml:space="preserve"> DI, </w:t>
      </w:r>
      <w:proofErr w:type="spellStart"/>
      <w:r w:rsidRPr="00312A48">
        <w:rPr>
          <w:rFonts w:ascii="Book Antiqua" w:hAnsi="Book Antiqua"/>
        </w:rPr>
        <w:t>Poneros</w:t>
      </w:r>
      <w:proofErr w:type="spellEnd"/>
      <w:r w:rsidRPr="00312A48">
        <w:rPr>
          <w:rFonts w:ascii="Book Antiqua" w:hAnsi="Book Antiqua"/>
        </w:rPr>
        <w:t xml:space="preserve"> JM, Wang KK. Recurrence of esophageal intestinal metaplasia after endoscopic mucosal resection and radiofrequency ablation of Barrett's esophagus: results from a US Multicenter Consortium. </w:t>
      </w:r>
      <w:r w:rsidRPr="00312A48">
        <w:rPr>
          <w:rFonts w:ascii="Book Antiqua" w:hAnsi="Book Antiqua"/>
          <w:i/>
        </w:rPr>
        <w:t>Gastroenterology</w:t>
      </w:r>
      <w:r w:rsidRPr="00312A48">
        <w:rPr>
          <w:rFonts w:ascii="Book Antiqua" w:hAnsi="Book Antiqua"/>
        </w:rPr>
        <w:t xml:space="preserve"> 2013; </w:t>
      </w:r>
      <w:r w:rsidRPr="00312A48">
        <w:rPr>
          <w:rFonts w:ascii="Book Antiqua" w:hAnsi="Book Antiqua"/>
          <w:b/>
        </w:rPr>
        <w:t>145</w:t>
      </w:r>
      <w:r w:rsidRPr="00312A48">
        <w:rPr>
          <w:rFonts w:ascii="Book Antiqua" w:hAnsi="Book Antiqua"/>
        </w:rPr>
        <w:t>: 79-</w:t>
      </w:r>
      <w:proofErr w:type="gramStart"/>
      <w:r w:rsidRPr="00312A48">
        <w:rPr>
          <w:rFonts w:ascii="Book Antiqua" w:hAnsi="Book Antiqua"/>
        </w:rPr>
        <w:t>86.e</w:t>
      </w:r>
      <w:proofErr w:type="gramEnd"/>
      <w:r w:rsidRPr="00312A48">
        <w:rPr>
          <w:rFonts w:ascii="Book Antiqua" w:hAnsi="Book Antiqua"/>
        </w:rPr>
        <w:t>1 [PMID: 23499759 DOI: 10.1053/j.gastro.2013.03.008]</w:t>
      </w:r>
    </w:p>
    <w:p w14:paraId="32EF5059"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20 </w:t>
      </w:r>
      <w:proofErr w:type="spellStart"/>
      <w:r w:rsidRPr="00312A48">
        <w:rPr>
          <w:rFonts w:ascii="Book Antiqua" w:hAnsi="Book Antiqua"/>
          <w:b/>
        </w:rPr>
        <w:t>Bulsiewicz</w:t>
      </w:r>
      <w:proofErr w:type="spellEnd"/>
      <w:r w:rsidRPr="00312A48">
        <w:rPr>
          <w:rFonts w:ascii="Book Antiqua" w:hAnsi="Book Antiqua"/>
          <w:b/>
        </w:rPr>
        <w:t xml:space="preserve"> WJ</w:t>
      </w:r>
      <w:r w:rsidRPr="00312A48">
        <w:rPr>
          <w:rFonts w:ascii="Book Antiqua" w:hAnsi="Book Antiqua"/>
        </w:rPr>
        <w:t xml:space="preserve">, Kim HP, </w:t>
      </w:r>
      <w:proofErr w:type="spellStart"/>
      <w:r w:rsidRPr="00312A48">
        <w:rPr>
          <w:rFonts w:ascii="Book Antiqua" w:hAnsi="Book Antiqua"/>
        </w:rPr>
        <w:t>Dellon</w:t>
      </w:r>
      <w:proofErr w:type="spellEnd"/>
      <w:r w:rsidRPr="00312A48">
        <w:rPr>
          <w:rFonts w:ascii="Book Antiqua" w:hAnsi="Book Antiqua"/>
        </w:rPr>
        <w:t xml:space="preserve"> ES, Cotton CC, Pasricha S, </w:t>
      </w:r>
      <w:proofErr w:type="spellStart"/>
      <w:r w:rsidRPr="00312A48">
        <w:rPr>
          <w:rFonts w:ascii="Book Antiqua" w:hAnsi="Book Antiqua"/>
        </w:rPr>
        <w:t>Madanick</w:t>
      </w:r>
      <w:proofErr w:type="spellEnd"/>
      <w:r w:rsidRPr="00312A48">
        <w:rPr>
          <w:rFonts w:ascii="Book Antiqua" w:hAnsi="Book Antiqua"/>
        </w:rPr>
        <w:t xml:space="preserve"> RD, </w:t>
      </w:r>
      <w:proofErr w:type="spellStart"/>
      <w:r w:rsidRPr="00312A48">
        <w:rPr>
          <w:rFonts w:ascii="Book Antiqua" w:hAnsi="Book Antiqua"/>
        </w:rPr>
        <w:t>Spacek</w:t>
      </w:r>
      <w:proofErr w:type="spellEnd"/>
      <w:r w:rsidRPr="00312A48">
        <w:rPr>
          <w:rFonts w:ascii="Book Antiqua" w:hAnsi="Book Antiqua"/>
        </w:rPr>
        <w:t xml:space="preserve"> MB, Bream SE, Chen X, Orlando RC, </w:t>
      </w:r>
      <w:proofErr w:type="spellStart"/>
      <w:r w:rsidRPr="00312A48">
        <w:rPr>
          <w:rFonts w:ascii="Book Antiqua" w:hAnsi="Book Antiqua"/>
        </w:rPr>
        <w:t>Shaheen</w:t>
      </w:r>
      <w:proofErr w:type="spellEnd"/>
      <w:r w:rsidRPr="00312A48">
        <w:rPr>
          <w:rFonts w:ascii="Book Antiqua" w:hAnsi="Book Antiqua"/>
        </w:rPr>
        <w:t xml:space="preserve"> NJ. Safety and efficacy of endoscopic mucosal therapy with radiofrequency ablation for patients with neoplastic Barrett's esophagus. </w:t>
      </w:r>
      <w:r w:rsidRPr="00312A48">
        <w:rPr>
          <w:rFonts w:ascii="Book Antiqua" w:hAnsi="Book Antiqua"/>
          <w:i/>
        </w:rPr>
        <w:t>Clin Gastroenterol Hepatol</w:t>
      </w:r>
      <w:r w:rsidRPr="00312A48">
        <w:rPr>
          <w:rFonts w:ascii="Book Antiqua" w:hAnsi="Book Antiqua"/>
        </w:rPr>
        <w:t xml:space="preserve"> 2013; </w:t>
      </w:r>
      <w:r w:rsidRPr="00312A48">
        <w:rPr>
          <w:rFonts w:ascii="Book Antiqua" w:hAnsi="Book Antiqua"/>
          <w:b/>
        </w:rPr>
        <w:t>11</w:t>
      </w:r>
      <w:r w:rsidRPr="00312A48">
        <w:rPr>
          <w:rFonts w:ascii="Book Antiqua" w:hAnsi="Book Antiqua"/>
        </w:rPr>
        <w:t>: 636-642 [PMID: 23103824 DOI: 10.1016/j.cgh.2012.10.028]</w:t>
      </w:r>
    </w:p>
    <w:p w14:paraId="21EA40D9"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21 </w:t>
      </w:r>
      <w:proofErr w:type="spellStart"/>
      <w:r w:rsidRPr="00312A48">
        <w:rPr>
          <w:rFonts w:ascii="Book Antiqua" w:hAnsi="Book Antiqua"/>
          <w:b/>
        </w:rPr>
        <w:t>Fudman</w:t>
      </w:r>
      <w:proofErr w:type="spellEnd"/>
      <w:r w:rsidRPr="00312A48">
        <w:rPr>
          <w:rFonts w:ascii="Book Antiqua" w:hAnsi="Book Antiqua"/>
          <w:b/>
        </w:rPr>
        <w:t xml:space="preserve"> DI</w:t>
      </w:r>
      <w:r w:rsidRPr="00312A48">
        <w:rPr>
          <w:rFonts w:ascii="Book Antiqua" w:hAnsi="Book Antiqua"/>
        </w:rPr>
        <w:t xml:space="preserve">, </w:t>
      </w:r>
      <w:proofErr w:type="spellStart"/>
      <w:r w:rsidRPr="00312A48">
        <w:rPr>
          <w:rFonts w:ascii="Book Antiqua" w:hAnsi="Book Antiqua"/>
        </w:rPr>
        <w:t>Lightdale</w:t>
      </w:r>
      <w:proofErr w:type="spellEnd"/>
      <w:r w:rsidRPr="00312A48">
        <w:rPr>
          <w:rFonts w:ascii="Book Antiqua" w:hAnsi="Book Antiqua"/>
        </w:rPr>
        <w:t xml:space="preserve"> CJ, </w:t>
      </w:r>
      <w:proofErr w:type="spellStart"/>
      <w:r w:rsidRPr="00312A48">
        <w:rPr>
          <w:rFonts w:ascii="Book Antiqua" w:hAnsi="Book Antiqua"/>
        </w:rPr>
        <w:t>Poneros</w:t>
      </w:r>
      <w:proofErr w:type="spellEnd"/>
      <w:r w:rsidRPr="00312A48">
        <w:rPr>
          <w:rFonts w:ascii="Book Antiqua" w:hAnsi="Book Antiqua"/>
        </w:rPr>
        <w:t xml:space="preserve"> JM, Ginsberg GG, Falk GW, </w:t>
      </w:r>
      <w:proofErr w:type="spellStart"/>
      <w:r w:rsidRPr="00312A48">
        <w:rPr>
          <w:rFonts w:ascii="Book Antiqua" w:hAnsi="Book Antiqua"/>
        </w:rPr>
        <w:t>Demarshall</w:t>
      </w:r>
      <w:proofErr w:type="spellEnd"/>
      <w:r w:rsidRPr="00312A48">
        <w:rPr>
          <w:rFonts w:ascii="Book Antiqua" w:hAnsi="Book Antiqua"/>
        </w:rPr>
        <w:t xml:space="preserve"> M, Gupta M, </w:t>
      </w:r>
      <w:proofErr w:type="spellStart"/>
      <w:r w:rsidRPr="00312A48">
        <w:rPr>
          <w:rFonts w:ascii="Book Antiqua" w:hAnsi="Book Antiqua"/>
        </w:rPr>
        <w:t>Iyer</w:t>
      </w:r>
      <w:proofErr w:type="spellEnd"/>
      <w:r w:rsidRPr="00312A48">
        <w:rPr>
          <w:rFonts w:ascii="Book Antiqua" w:hAnsi="Book Antiqua"/>
        </w:rPr>
        <w:t xml:space="preserve"> PG, </w:t>
      </w:r>
      <w:proofErr w:type="spellStart"/>
      <w:r w:rsidRPr="00312A48">
        <w:rPr>
          <w:rFonts w:ascii="Book Antiqua" w:hAnsi="Book Antiqua"/>
        </w:rPr>
        <w:t>Lutzke</w:t>
      </w:r>
      <w:proofErr w:type="spellEnd"/>
      <w:r w:rsidRPr="00312A48">
        <w:rPr>
          <w:rFonts w:ascii="Book Antiqua" w:hAnsi="Book Antiqua"/>
        </w:rPr>
        <w:t xml:space="preserve"> L, Wang KK, Abrams JA. Positive correlation between endoscopist radiofrequency ablation volume and response rates in Barrett's esophagus. </w:t>
      </w:r>
      <w:proofErr w:type="spellStart"/>
      <w:r w:rsidRPr="00312A48">
        <w:rPr>
          <w:rFonts w:ascii="Book Antiqua" w:hAnsi="Book Antiqua"/>
          <w:i/>
        </w:rPr>
        <w:t>Gastrointest</w:t>
      </w:r>
      <w:proofErr w:type="spellEnd"/>
      <w:r w:rsidRPr="00312A48">
        <w:rPr>
          <w:rFonts w:ascii="Book Antiqua" w:hAnsi="Book Antiqua"/>
          <w:i/>
        </w:rPr>
        <w:t xml:space="preserve"> </w:t>
      </w:r>
      <w:proofErr w:type="spellStart"/>
      <w:r w:rsidRPr="00312A48">
        <w:rPr>
          <w:rFonts w:ascii="Book Antiqua" w:hAnsi="Book Antiqua"/>
          <w:i/>
        </w:rPr>
        <w:t>Endosc</w:t>
      </w:r>
      <w:proofErr w:type="spellEnd"/>
      <w:r w:rsidRPr="00312A48">
        <w:rPr>
          <w:rFonts w:ascii="Book Antiqua" w:hAnsi="Book Antiqua"/>
        </w:rPr>
        <w:t xml:space="preserve"> 2014; </w:t>
      </w:r>
      <w:r w:rsidRPr="00312A48">
        <w:rPr>
          <w:rFonts w:ascii="Book Antiqua" w:hAnsi="Book Antiqua"/>
          <w:b/>
        </w:rPr>
        <w:t>80</w:t>
      </w:r>
      <w:r w:rsidRPr="00312A48">
        <w:rPr>
          <w:rFonts w:ascii="Book Antiqua" w:hAnsi="Book Antiqua"/>
        </w:rPr>
        <w:t>: 71-77 [PMID: 24565071 DOI: 10.1016/j.gie.2014.01.007]</w:t>
      </w:r>
    </w:p>
    <w:p w14:paraId="32C6887E"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22 </w:t>
      </w:r>
      <w:r w:rsidRPr="00312A48">
        <w:rPr>
          <w:rFonts w:ascii="Book Antiqua" w:hAnsi="Book Antiqua"/>
          <w:b/>
        </w:rPr>
        <w:t>Pasricha S</w:t>
      </w:r>
      <w:r w:rsidRPr="00312A48">
        <w:rPr>
          <w:rFonts w:ascii="Book Antiqua" w:hAnsi="Book Antiqua"/>
        </w:rPr>
        <w:t xml:space="preserve">, Cotton C, </w:t>
      </w:r>
      <w:proofErr w:type="spellStart"/>
      <w:r w:rsidRPr="00312A48">
        <w:rPr>
          <w:rFonts w:ascii="Book Antiqua" w:hAnsi="Book Antiqua"/>
        </w:rPr>
        <w:t>Hathorn</w:t>
      </w:r>
      <w:proofErr w:type="spellEnd"/>
      <w:r w:rsidRPr="00312A48">
        <w:rPr>
          <w:rFonts w:ascii="Book Antiqua" w:hAnsi="Book Antiqua"/>
        </w:rPr>
        <w:t xml:space="preserve"> KE, Li N, </w:t>
      </w:r>
      <w:proofErr w:type="spellStart"/>
      <w:r w:rsidRPr="00312A48">
        <w:rPr>
          <w:rFonts w:ascii="Book Antiqua" w:hAnsi="Book Antiqua"/>
        </w:rPr>
        <w:t>Bulsiewicz</w:t>
      </w:r>
      <w:proofErr w:type="spellEnd"/>
      <w:r w:rsidRPr="00312A48">
        <w:rPr>
          <w:rFonts w:ascii="Book Antiqua" w:hAnsi="Book Antiqua"/>
        </w:rPr>
        <w:t xml:space="preserve"> WJ, Wolf WA, Muthusamy VR, </w:t>
      </w:r>
      <w:proofErr w:type="spellStart"/>
      <w:r w:rsidRPr="00312A48">
        <w:rPr>
          <w:rFonts w:ascii="Book Antiqua" w:hAnsi="Book Antiqua"/>
        </w:rPr>
        <w:t>Komanduri</w:t>
      </w:r>
      <w:proofErr w:type="spellEnd"/>
      <w:r w:rsidRPr="00312A48">
        <w:rPr>
          <w:rFonts w:ascii="Book Antiqua" w:hAnsi="Book Antiqua"/>
        </w:rPr>
        <w:t xml:space="preserve"> S, </w:t>
      </w:r>
      <w:proofErr w:type="spellStart"/>
      <w:r w:rsidRPr="00312A48">
        <w:rPr>
          <w:rFonts w:ascii="Book Antiqua" w:hAnsi="Book Antiqua"/>
        </w:rPr>
        <w:t>Wolfsen</w:t>
      </w:r>
      <w:proofErr w:type="spellEnd"/>
      <w:r w:rsidRPr="00312A48">
        <w:rPr>
          <w:rFonts w:ascii="Book Antiqua" w:hAnsi="Book Antiqua"/>
        </w:rPr>
        <w:t xml:space="preserve"> HC, Pruitt RE, </w:t>
      </w:r>
      <w:proofErr w:type="spellStart"/>
      <w:r w:rsidRPr="00312A48">
        <w:rPr>
          <w:rFonts w:ascii="Book Antiqua" w:hAnsi="Book Antiqua"/>
        </w:rPr>
        <w:t>Ertan</w:t>
      </w:r>
      <w:proofErr w:type="spellEnd"/>
      <w:r w:rsidRPr="00312A48">
        <w:rPr>
          <w:rFonts w:ascii="Book Antiqua" w:hAnsi="Book Antiqua"/>
        </w:rPr>
        <w:t xml:space="preserve"> A, Chmielewski GW, </w:t>
      </w:r>
      <w:proofErr w:type="spellStart"/>
      <w:r w:rsidRPr="00312A48">
        <w:rPr>
          <w:rFonts w:ascii="Book Antiqua" w:hAnsi="Book Antiqua"/>
        </w:rPr>
        <w:t>Shaheen</w:t>
      </w:r>
      <w:proofErr w:type="spellEnd"/>
      <w:r w:rsidRPr="00312A48">
        <w:rPr>
          <w:rFonts w:ascii="Book Antiqua" w:hAnsi="Book Antiqua"/>
        </w:rPr>
        <w:t xml:space="preserve"> NJ. Effects of the Learning Curve on Efficacy of Radiofrequency Ablation for Barrett's Esophagus. </w:t>
      </w:r>
      <w:r w:rsidRPr="00312A48">
        <w:rPr>
          <w:rFonts w:ascii="Book Antiqua" w:hAnsi="Book Antiqua"/>
          <w:i/>
        </w:rPr>
        <w:t>Gastroenterology</w:t>
      </w:r>
      <w:r w:rsidRPr="00312A48">
        <w:rPr>
          <w:rFonts w:ascii="Book Antiqua" w:hAnsi="Book Antiqua"/>
        </w:rPr>
        <w:t xml:space="preserve"> 2015; </w:t>
      </w:r>
      <w:r w:rsidRPr="00312A48">
        <w:rPr>
          <w:rFonts w:ascii="Book Antiqua" w:hAnsi="Book Antiqua"/>
          <w:b/>
        </w:rPr>
        <w:t>149</w:t>
      </w:r>
      <w:r w:rsidRPr="00312A48">
        <w:rPr>
          <w:rFonts w:ascii="Book Antiqua" w:hAnsi="Book Antiqua"/>
        </w:rPr>
        <w:t>: 890-</w:t>
      </w:r>
      <w:proofErr w:type="gramStart"/>
      <w:r w:rsidRPr="00312A48">
        <w:rPr>
          <w:rFonts w:ascii="Book Antiqua" w:hAnsi="Book Antiqua"/>
        </w:rPr>
        <w:t>6.e</w:t>
      </w:r>
      <w:proofErr w:type="gramEnd"/>
      <w:r w:rsidRPr="00312A48">
        <w:rPr>
          <w:rFonts w:ascii="Book Antiqua" w:hAnsi="Book Antiqua"/>
        </w:rPr>
        <w:t>2 [PMID: 26116806 DOI: 10.1053/j.gastro.2015.06.012]</w:t>
      </w:r>
    </w:p>
    <w:p w14:paraId="056F2471"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23 </w:t>
      </w:r>
      <w:proofErr w:type="spellStart"/>
      <w:r w:rsidRPr="00312A48">
        <w:rPr>
          <w:rFonts w:ascii="Book Antiqua" w:hAnsi="Book Antiqua"/>
          <w:b/>
        </w:rPr>
        <w:t>Eluri</w:t>
      </w:r>
      <w:proofErr w:type="spellEnd"/>
      <w:r w:rsidRPr="00312A48">
        <w:rPr>
          <w:rFonts w:ascii="Book Antiqua" w:hAnsi="Book Antiqua"/>
          <w:b/>
        </w:rPr>
        <w:t xml:space="preserve"> S</w:t>
      </w:r>
      <w:r w:rsidRPr="00312A48">
        <w:rPr>
          <w:rFonts w:ascii="Book Antiqua" w:hAnsi="Book Antiqua"/>
        </w:rPr>
        <w:t xml:space="preserve">, </w:t>
      </w:r>
      <w:proofErr w:type="spellStart"/>
      <w:r w:rsidRPr="00312A48">
        <w:rPr>
          <w:rFonts w:ascii="Book Antiqua" w:hAnsi="Book Antiqua"/>
        </w:rPr>
        <w:t>Shaheen</w:t>
      </w:r>
      <w:proofErr w:type="spellEnd"/>
      <w:r w:rsidRPr="00312A48">
        <w:rPr>
          <w:rFonts w:ascii="Book Antiqua" w:hAnsi="Book Antiqua"/>
        </w:rPr>
        <w:t xml:space="preserve"> NJ. Endoscopic Eradication Therapy in Barrett's Esophagus. </w:t>
      </w:r>
      <w:r w:rsidRPr="00312A48">
        <w:rPr>
          <w:rFonts w:ascii="Book Antiqua" w:hAnsi="Book Antiqua"/>
          <w:i/>
        </w:rPr>
        <w:t xml:space="preserve">Tech </w:t>
      </w:r>
      <w:proofErr w:type="spellStart"/>
      <w:r w:rsidRPr="00312A48">
        <w:rPr>
          <w:rFonts w:ascii="Book Antiqua" w:hAnsi="Book Antiqua"/>
          <w:i/>
        </w:rPr>
        <w:t>Gastrointest</w:t>
      </w:r>
      <w:proofErr w:type="spellEnd"/>
      <w:r w:rsidRPr="00312A48">
        <w:rPr>
          <w:rFonts w:ascii="Book Antiqua" w:hAnsi="Book Antiqua"/>
          <w:i/>
        </w:rPr>
        <w:t xml:space="preserve"> </w:t>
      </w:r>
      <w:proofErr w:type="spellStart"/>
      <w:r w:rsidRPr="00312A48">
        <w:rPr>
          <w:rFonts w:ascii="Book Antiqua" w:hAnsi="Book Antiqua"/>
          <w:i/>
        </w:rPr>
        <w:t>Endosc</w:t>
      </w:r>
      <w:proofErr w:type="spellEnd"/>
      <w:r w:rsidRPr="00312A48">
        <w:rPr>
          <w:rFonts w:ascii="Book Antiqua" w:hAnsi="Book Antiqua"/>
        </w:rPr>
        <w:t xml:space="preserve"> 2017; </w:t>
      </w:r>
      <w:r w:rsidRPr="00312A48">
        <w:rPr>
          <w:rFonts w:ascii="Book Antiqua" w:hAnsi="Book Antiqua"/>
          <w:b/>
        </w:rPr>
        <w:t>19</w:t>
      </w:r>
      <w:r w:rsidRPr="00312A48">
        <w:rPr>
          <w:rFonts w:ascii="Book Antiqua" w:hAnsi="Book Antiqua"/>
        </w:rPr>
        <w:t>: 137-142 [PMID: 29269998 DOI: 10.1016/j.tgie.2017.06.001]</w:t>
      </w:r>
    </w:p>
    <w:p w14:paraId="13D5AE4A"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24 </w:t>
      </w:r>
      <w:proofErr w:type="spellStart"/>
      <w:r w:rsidRPr="00312A48">
        <w:rPr>
          <w:rFonts w:ascii="Book Antiqua" w:hAnsi="Book Antiqua"/>
          <w:b/>
        </w:rPr>
        <w:t>Huo</w:t>
      </w:r>
      <w:proofErr w:type="spellEnd"/>
      <w:r w:rsidRPr="00312A48">
        <w:rPr>
          <w:rFonts w:ascii="Book Antiqua" w:hAnsi="Book Antiqua"/>
          <w:b/>
        </w:rPr>
        <w:t xml:space="preserve"> X</w:t>
      </w:r>
      <w:r w:rsidRPr="00312A48">
        <w:rPr>
          <w:rFonts w:ascii="Book Antiqua" w:hAnsi="Book Antiqua"/>
        </w:rPr>
        <w:t xml:space="preserve">, Zhang HY, Zhang XI, Lynch JP, Strauch ED, Wang JY, Melton SD, </w:t>
      </w:r>
      <w:proofErr w:type="spellStart"/>
      <w:r w:rsidRPr="00312A48">
        <w:rPr>
          <w:rFonts w:ascii="Book Antiqua" w:hAnsi="Book Antiqua"/>
        </w:rPr>
        <w:t>Genta</w:t>
      </w:r>
      <w:proofErr w:type="spellEnd"/>
      <w:r w:rsidRPr="00312A48">
        <w:rPr>
          <w:rFonts w:ascii="Book Antiqua" w:hAnsi="Book Antiqua"/>
        </w:rPr>
        <w:t xml:space="preserve"> RM, Wang DH, </w:t>
      </w:r>
      <w:proofErr w:type="spellStart"/>
      <w:r w:rsidRPr="00312A48">
        <w:rPr>
          <w:rFonts w:ascii="Book Antiqua" w:hAnsi="Book Antiqua"/>
        </w:rPr>
        <w:t>Spechler</w:t>
      </w:r>
      <w:proofErr w:type="spellEnd"/>
      <w:r w:rsidRPr="00312A48">
        <w:rPr>
          <w:rFonts w:ascii="Book Antiqua" w:hAnsi="Book Antiqua"/>
        </w:rPr>
        <w:t xml:space="preserve"> SJ, Souza RF. Acid and bile salt-induced CDX2 expression differs in esophageal squamous cells from patients with and without Barrett's esophagus. </w:t>
      </w:r>
      <w:r w:rsidRPr="00312A48">
        <w:rPr>
          <w:rFonts w:ascii="Book Antiqua" w:hAnsi="Book Antiqua"/>
          <w:i/>
        </w:rPr>
        <w:t>Gastroenterology</w:t>
      </w:r>
      <w:r w:rsidRPr="00312A48">
        <w:rPr>
          <w:rFonts w:ascii="Book Antiqua" w:hAnsi="Book Antiqua"/>
        </w:rPr>
        <w:t xml:space="preserve"> 2010; </w:t>
      </w:r>
      <w:r w:rsidRPr="00312A48">
        <w:rPr>
          <w:rFonts w:ascii="Book Antiqua" w:hAnsi="Book Antiqua"/>
          <w:b/>
        </w:rPr>
        <w:t>139</w:t>
      </w:r>
      <w:r w:rsidRPr="00312A48">
        <w:rPr>
          <w:rFonts w:ascii="Book Antiqua" w:hAnsi="Book Antiqua"/>
        </w:rPr>
        <w:t>: 194-203.e1 [PMID: 20303354 DOI: 10.1053/j.gastro.2010.03.035]</w:t>
      </w:r>
    </w:p>
    <w:p w14:paraId="078BF8F2"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lastRenderedPageBreak/>
        <w:t xml:space="preserve">25 </w:t>
      </w:r>
      <w:r w:rsidRPr="00312A48">
        <w:rPr>
          <w:rFonts w:ascii="Book Antiqua" w:hAnsi="Book Antiqua"/>
          <w:b/>
        </w:rPr>
        <w:t>Ferraris R</w:t>
      </w:r>
      <w:r w:rsidRPr="00312A48">
        <w:rPr>
          <w:rFonts w:ascii="Book Antiqua" w:hAnsi="Book Antiqua"/>
        </w:rPr>
        <w:t xml:space="preserve">, </w:t>
      </w:r>
      <w:proofErr w:type="spellStart"/>
      <w:r w:rsidRPr="00312A48">
        <w:rPr>
          <w:rFonts w:ascii="Book Antiqua" w:hAnsi="Book Antiqua"/>
        </w:rPr>
        <w:t>Fracchia</w:t>
      </w:r>
      <w:proofErr w:type="spellEnd"/>
      <w:r w:rsidRPr="00312A48">
        <w:rPr>
          <w:rFonts w:ascii="Book Antiqua" w:hAnsi="Book Antiqua"/>
        </w:rPr>
        <w:t xml:space="preserve"> M, </w:t>
      </w:r>
      <w:proofErr w:type="spellStart"/>
      <w:r w:rsidRPr="00312A48">
        <w:rPr>
          <w:rFonts w:ascii="Book Antiqua" w:hAnsi="Book Antiqua"/>
        </w:rPr>
        <w:t>Foti</w:t>
      </w:r>
      <w:proofErr w:type="spellEnd"/>
      <w:r w:rsidRPr="00312A48">
        <w:rPr>
          <w:rFonts w:ascii="Book Antiqua" w:hAnsi="Book Antiqua"/>
        </w:rPr>
        <w:t xml:space="preserve"> M, </w:t>
      </w:r>
      <w:proofErr w:type="spellStart"/>
      <w:r w:rsidRPr="00312A48">
        <w:rPr>
          <w:rFonts w:ascii="Book Antiqua" w:hAnsi="Book Antiqua"/>
        </w:rPr>
        <w:t>Sidoli</w:t>
      </w:r>
      <w:proofErr w:type="spellEnd"/>
      <w:r w:rsidRPr="00312A48">
        <w:rPr>
          <w:rFonts w:ascii="Book Antiqua" w:hAnsi="Book Antiqua"/>
        </w:rPr>
        <w:t xml:space="preserve"> L, </w:t>
      </w:r>
      <w:proofErr w:type="spellStart"/>
      <w:r w:rsidRPr="00312A48">
        <w:rPr>
          <w:rFonts w:ascii="Book Antiqua" w:hAnsi="Book Antiqua"/>
        </w:rPr>
        <w:t>Taraglio</w:t>
      </w:r>
      <w:proofErr w:type="spellEnd"/>
      <w:r w:rsidRPr="00312A48">
        <w:rPr>
          <w:rFonts w:ascii="Book Antiqua" w:hAnsi="Book Antiqua"/>
        </w:rPr>
        <w:t xml:space="preserve"> S, Vigano' L, </w:t>
      </w:r>
      <w:proofErr w:type="spellStart"/>
      <w:r w:rsidRPr="00312A48">
        <w:rPr>
          <w:rFonts w:ascii="Book Antiqua" w:hAnsi="Book Antiqua"/>
        </w:rPr>
        <w:t>Giaccone</w:t>
      </w:r>
      <w:proofErr w:type="spellEnd"/>
      <w:r w:rsidRPr="00312A48">
        <w:rPr>
          <w:rFonts w:ascii="Book Antiqua" w:hAnsi="Book Antiqua"/>
        </w:rPr>
        <w:t xml:space="preserve"> C, Rebecchi F, </w:t>
      </w:r>
      <w:proofErr w:type="spellStart"/>
      <w:r w:rsidRPr="00312A48">
        <w:rPr>
          <w:rFonts w:ascii="Book Antiqua" w:hAnsi="Book Antiqua"/>
        </w:rPr>
        <w:t>Meineri</w:t>
      </w:r>
      <w:proofErr w:type="spellEnd"/>
      <w:r w:rsidRPr="00312A48">
        <w:rPr>
          <w:rFonts w:ascii="Book Antiqua" w:hAnsi="Book Antiqua"/>
        </w:rPr>
        <w:t xml:space="preserve"> G, </w:t>
      </w:r>
      <w:proofErr w:type="spellStart"/>
      <w:r w:rsidRPr="00312A48">
        <w:rPr>
          <w:rFonts w:ascii="Book Antiqua" w:hAnsi="Book Antiqua"/>
        </w:rPr>
        <w:t>Senore</w:t>
      </w:r>
      <w:proofErr w:type="spellEnd"/>
      <w:r w:rsidRPr="00312A48">
        <w:rPr>
          <w:rFonts w:ascii="Book Antiqua" w:hAnsi="Book Antiqua"/>
        </w:rPr>
        <w:t xml:space="preserve"> C, </w:t>
      </w:r>
      <w:proofErr w:type="spellStart"/>
      <w:r w:rsidRPr="00312A48">
        <w:rPr>
          <w:rFonts w:ascii="Book Antiqua" w:hAnsi="Book Antiqua"/>
        </w:rPr>
        <w:t>Pera</w:t>
      </w:r>
      <w:proofErr w:type="spellEnd"/>
      <w:r w:rsidRPr="00312A48">
        <w:rPr>
          <w:rFonts w:ascii="Book Antiqua" w:hAnsi="Book Antiqua"/>
        </w:rPr>
        <w:t xml:space="preserve"> A; Gruppo </w:t>
      </w:r>
      <w:proofErr w:type="spellStart"/>
      <w:r w:rsidRPr="00312A48">
        <w:rPr>
          <w:rFonts w:ascii="Book Antiqua" w:hAnsi="Book Antiqua"/>
        </w:rPr>
        <w:t>Operativo</w:t>
      </w:r>
      <w:proofErr w:type="spellEnd"/>
      <w:r w:rsidRPr="00312A48">
        <w:rPr>
          <w:rFonts w:ascii="Book Antiqua" w:hAnsi="Book Antiqua"/>
        </w:rPr>
        <w:t xml:space="preserve"> Studio </w:t>
      </w:r>
      <w:proofErr w:type="spellStart"/>
      <w:r w:rsidRPr="00312A48">
        <w:rPr>
          <w:rFonts w:ascii="Book Antiqua" w:hAnsi="Book Antiqua"/>
        </w:rPr>
        <w:t>Precancerosi</w:t>
      </w:r>
      <w:proofErr w:type="spellEnd"/>
      <w:r w:rsidRPr="00312A48">
        <w:rPr>
          <w:rFonts w:ascii="Book Antiqua" w:hAnsi="Book Antiqua"/>
        </w:rPr>
        <w:t xml:space="preserve"> </w:t>
      </w:r>
      <w:proofErr w:type="spellStart"/>
      <w:r w:rsidRPr="00312A48">
        <w:rPr>
          <w:rFonts w:ascii="Book Antiqua" w:hAnsi="Book Antiqua"/>
        </w:rPr>
        <w:t>Esofagee</w:t>
      </w:r>
      <w:proofErr w:type="spellEnd"/>
      <w:r w:rsidRPr="00312A48">
        <w:rPr>
          <w:rFonts w:ascii="Book Antiqua" w:hAnsi="Book Antiqua"/>
        </w:rPr>
        <w:t xml:space="preserve">. Barrett's </w:t>
      </w:r>
      <w:proofErr w:type="spellStart"/>
      <w:r w:rsidRPr="00312A48">
        <w:rPr>
          <w:rFonts w:ascii="Book Antiqua" w:hAnsi="Book Antiqua"/>
        </w:rPr>
        <w:t>oesophagus</w:t>
      </w:r>
      <w:proofErr w:type="spellEnd"/>
      <w:r w:rsidRPr="00312A48">
        <w:rPr>
          <w:rFonts w:ascii="Book Antiqua" w:hAnsi="Book Antiqua"/>
        </w:rPr>
        <w:t xml:space="preserve">: long-term follow-up after complete ablation with argon plasma coagulation and the factors that determine its recurrence. </w:t>
      </w:r>
      <w:r w:rsidRPr="00312A48">
        <w:rPr>
          <w:rFonts w:ascii="Book Antiqua" w:hAnsi="Book Antiqua"/>
          <w:i/>
        </w:rPr>
        <w:t xml:space="preserve">Aliment </w:t>
      </w:r>
      <w:proofErr w:type="spellStart"/>
      <w:r w:rsidRPr="00312A48">
        <w:rPr>
          <w:rFonts w:ascii="Book Antiqua" w:hAnsi="Book Antiqua"/>
          <w:i/>
        </w:rPr>
        <w:t>Pharmacol</w:t>
      </w:r>
      <w:proofErr w:type="spellEnd"/>
      <w:r w:rsidRPr="00312A48">
        <w:rPr>
          <w:rFonts w:ascii="Book Antiqua" w:hAnsi="Book Antiqua"/>
          <w:i/>
        </w:rPr>
        <w:t xml:space="preserve"> </w:t>
      </w:r>
      <w:proofErr w:type="spellStart"/>
      <w:r w:rsidRPr="00312A48">
        <w:rPr>
          <w:rFonts w:ascii="Book Antiqua" w:hAnsi="Book Antiqua"/>
          <w:i/>
        </w:rPr>
        <w:t>Ther</w:t>
      </w:r>
      <w:proofErr w:type="spellEnd"/>
      <w:r w:rsidRPr="00312A48">
        <w:rPr>
          <w:rFonts w:ascii="Book Antiqua" w:hAnsi="Book Antiqua"/>
        </w:rPr>
        <w:t xml:space="preserve"> 2007; </w:t>
      </w:r>
      <w:r w:rsidRPr="00312A48">
        <w:rPr>
          <w:rFonts w:ascii="Book Antiqua" w:hAnsi="Book Antiqua"/>
          <w:b/>
        </w:rPr>
        <w:t>25</w:t>
      </w:r>
      <w:r w:rsidRPr="00312A48">
        <w:rPr>
          <w:rFonts w:ascii="Book Antiqua" w:hAnsi="Book Antiqua"/>
        </w:rPr>
        <w:t>: 835-840 [PMID: 17373922 DOI: 10.1111/j.1365-2036.</w:t>
      </w:r>
      <w:proofErr w:type="gramStart"/>
      <w:r w:rsidRPr="00312A48">
        <w:rPr>
          <w:rFonts w:ascii="Book Antiqua" w:hAnsi="Book Antiqua"/>
        </w:rPr>
        <w:t>2007.03251.x</w:t>
      </w:r>
      <w:proofErr w:type="gramEnd"/>
      <w:r w:rsidRPr="00312A48">
        <w:rPr>
          <w:rFonts w:ascii="Book Antiqua" w:hAnsi="Book Antiqua"/>
        </w:rPr>
        <w:t>]</w:t>
      </w:r>
    </w:p>
    <w:p w14:paraId="1FDA07E6"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26 </w:t>
      </w:r>
      <w:proofErr w:type="spellStart"/>
      <w:r w:rsidRPr="00312A48">
        <w:rPr>
          <w:rFonts w:ascii="Book Antiqua" w:hAnsi="Book Antiqua"/>
          <w:b/>
        </w:rPr>
        <w:t>Vaezi</w:t>
      </w:r>
      <w:proofErr w:type="spellEnd"/>
      <w:r w:rsidRPr="00312A48">
        <w:rPr>
          <w:rFonts w:ascii="Book Antiqua" w:hAnsi="Book Antiqua"/>
          <w:b/>
        </w:rPr>
        <w:t xml:space="preserve"> MF</w:t>
      </w:r>
      <w:r w:rsidRPr="00312A48">
        <w:rPr>
          <w:rFonts w:ascii="Book Antiqua" w:hAnsi="Book Antiqua"/>
        </w:rPr>
        <w:t xml:space="preserve">, Richter JE. Role of acid and </w:t>
      </w:r>
      <w:proofErr w:type="spellStart"/>
      <w:r w:rsidRPr="00312A48">
        <w:rPr>
          <w:rFonts w:ascii="Book Antiqua" w:hAnsi="Book Antiqua"/>
        </w:rPr>
        <w:t>duodenogastroesophageal</w:t>
      </w:r>
      <w:proofErr w:type="spellEnd"/>
      <w:r w:rsidRPr="00312A48">
        <w:rPr>
          <w:rFonts w:ascii="Book Antiqua" w:hAnsi="Book Antiqua"/>
        </w:rPr>
        <w:t xml:space="preserve"> reflux in gastroesophageal reflux disease. </w:t>
      </w:r>
      <w:r w:rsidRPr="00312A48">
        <w:rPr>
          <w:rFonts w:ascii="Book Antiqua" w:hAnsi="Book Antiqua"/>
          <w:i/>
        </w:rPr>
        <w:t>Gastroenterology</w:t>
      </w:r>
      <w:r w:rsidRPr="00312A48">
        <w:rPr>
          <w:rFonts w:ascii="Book Antiqua" w:hAnsi="Book Antiqua"/>
        </w:rPr>
        <w:t xml:space="preserve"> 1996; </w:t>
      </w:r>
      <w:r w:rsidRPr="00312A48">
        <w:rPr>
          <w:rFonts w:ascii="Book Antiqua" w:hAnsi="Book Antiqua"/>
          <w:b/>
        </w:rPr>
        <w:t>111</w:t>
      </w:r>
      <w:r w:rsidRPr="00312A48">
        <w:rPr>
          <w:rFonts w:ascii="Book Antiqua" w:hAnsi="Book Antiqua"/>
        </w:rPr>
        <w:t>: 1192-1199 [PMID: 8898632 DOI: 10.1053/</w:t>
      </w:r>
      <w:proofErr w:type="gramStart"/>
      <w:r w:rsidRPr="00312A48">
        <w:rPr>
          <w:rFonts w:ascii="Book Antiqua" w:hAnsi="Book Antiqua"/>
        </w:rPr>
        <w:t>gast.1996.v</w:t>
      </w:r>
      <w:proofErr w:type="gramEnd"/>
      <w:r w:rsidRPr="00312A48">
        <w:rPr>
          <w:rFonts w:ascii="Book Antiqua" w:hAnsi="Book Antiqua"/>
        </w:rPr>
        <w:t>111.pm8898632]</w:t>
      </w:r>
    </w:p>
    <w:p w14:paraId="0A6DCDF0"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27 </w:t>
      </w:r>
      <w:proofErr w:type="spellStart"/>
      <w:r w:rsidRPr="00312A48">
        <w:rPr>
          <w:rFonts w:ascii="Book Antiqua" w:hAnsi="Book Antiqua"/>
          <w:b/>
        </w:rPr>
        <w:t>Wani</w:t>
      </w:r>
      <w:proofErr w:type="spellEnd"/>
      <w:r w:rsidRPr="00312A48">
        <w:rPr>
          <w:rFonts w:ascii="Book Antiqua" w:hAnsi="Book Antiqua"/>
          <w:b/>
        </w:rPr>
        <w:t xml:space="preserve"> S</w:t>
      </w:r>
      <w:r w:rsidRPr="00312A48">
        <w:rPr>
          <w:rFonts w:ascii="Book Antiqua" w:hAnsi="Book Antiqua"/>
        </w:rPr>
        <w:t xml:space="preserve">, Sampliner RE, Weston AP, Mathur S, Hall M, Higbee A, Sharma P. Lack of predictors of normalization of </w:t>
      </w:r>
      <w:proofErr w:type="spellStart"/>
      <w:r w:rsidRPr="00312A48">
        <w:rPr>
          <w:rFonts w:ascii="Book Antiqua" w:hAnsi="Book Antiqua"/>
        </w:rPr>
        <w:t>oesophageal</w:t>
      </w:r>
      <w:proofErr w:type="spellEnd"/>
      <w:r w:rsidRPr="00312A48">
        <w:rPr>
          <w:rFonts w:ascii="Book Antiqua" w:hAnsi="Book Antiqua"/>
        </w:rPr>
        <w:t xml:space="preserve"> acid exposure in Barrett's </w:t>
      </w:r>
      <w:proofErr w:type="spellStart"/>
      <w:r w:rsidRPr="00312A48">
        <w:rPr>
          <w:rFonts w:ascii="Book Antiqua" w:hAnsi="Book Antiqua"/>
        </w:rPr>
        <w:t>oesophagus</w:t>
      </w:r>
      <w:proofErr w:type="spellEnd"/>
      <w:r w:rsidRPr="00312A48">
        <w:rPr>
          <w:rFonts w:ascii="Book Antiqua" w:hAnsi="Book Antiqua"/>
        </w:rPr>
        <w:t xml:space="preserve">. </w:t>
      </w:r>
      <w:r w:rsidRPr="00312A48">
        <w:rPr>
          <w:rFonts w:ascii="Book Antiqua" w:hAnsi="Book Antiqua"/>
          <w:i/>
        </w:rPr>
        <w:t xml:space="preserve">Aliment </w:t>
      </w:r>
      <w:proofErr w:type="spellStart"/>
      <w:r w:rsidRPr="00312A48">
        <w:rPr>
          <w:rFonts w:ascii="Book Antiqua" w:hAnsi="Book Antiqua"/>
          <w:i/>
        </w:rPr>
        <w:t>Pharmacol</w:t>
      </w:r>
      <w:proofErr w:type="spellEnd"/>
      <w:r w:rsidRPr="00312A48">
        <w:rPr>
          <w:rFonts w:ascii="Book Antiqua" w:hAnsi="Book Antiqua"/>
          <w:i/>
        </w:rPr>
        <w:t xml:space="preserve"> </w:t>
      </w:r>
      <w:proofErr w:type="spellStart"/>
      <w:r w:rsidRPr="00312A48">
        <w:rPr>
          <w:rFonts w:ascii="Book Antiqua" w:hAnsi="Book Antiqua"/>
          <w:i/>
        </w:rPr>
        <w:t>Ther</w:t>
      </w:r>
      <w:proofErr w:type="spellEnd"/>
      <w:r w:rsidRPr="00312A48">
        <w:rPr>
          <w:rFonts w:ascii="Book Antiqua" w:hAnsi="Book Antiqua"/>
        </w:rPr>
        <w:t xml:space="preserve"> 2005; </w:t>
      </w:r>
      <w:r w:rsidRPr="00312A48">
        <w:rPr>
          <w:rFonts w:ascii="Book Antiqua" w:hAnsi="Book Antiqua"/>
          <w:b/>
        </w:rPr>
        <w:t>22</w:t>
      </w:r>
      <w:r w:rsidRPr="00312A48">
        <w:rPr>
          <w:rFonts w:ascii="Book Antiqua" w:hAnsi="Book Antiqua"/>
        </w:rPr>
        <w:t>: 627-633 [PMID: 16181302 DOI: 10.1111/j.1365-2036.</w:t>
      </w:r>
      <w:proofErr w:type="gramStart"/>
      <w:r w:rsidRPr="00312A48">
        <w:rPr>
          <w:rFonts w:ascii="Book Antiqua" w:hAnsi="Book Antiqua"/>
        </w:rPr>
        <w:t>2005.02626.x</w:t>
      </w:r>
      <w:proofErr w:type="gramEnd"/>
      <w:r w:rsidRPr="00312A48">
        <w:rPr>
          <w:rFonts w:ascii="Book Antiqua" w:hAnsi="Book Antiqua"/>
        </w:rPr>
        <w:t>]</w:t>
      </w:r>
    </w:p>
    <w:p w14:paraId="31821953"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28 </w:t>
      </w:r>
      <w:r w:rsidRPr="00312A48">
        <w:rPr>
          <w:rFonts w:ascii="Book Antiqua" w:hAnsi="Book Antiqua"/>
          <w:b/>
        </w:rPr>
        <w:t>Krishnan K</w:t>
      </w:r>
      <w:r w:rsidRPr="00312A48">
        <w:rPr>
          <w:rFonts w:ascii="Book Antiqua" w:hAnsi="Book Antiqua"/>
        </w:rPr>
        <w:t xml:space="preserve">, </w:t>
      </w:r>
      <w:proofErr w:type="spellStart"/>
      <w:r w:rsidRPr="00312A48">
        <w:rPr>
          <w:rFonts w:ascii="Book Antiqua" w:hAnsi="Book Antiqua"/>
        </w:rPr>
        <w:t>Pandolfino</w:t>
      </w:r>
      <w:proofErr w:type="spellEnd"/>
      <w:r w:rsidRPr="00312A48">
        <w:rPr>
          <w:rFonts w:ascii="Book Antiqua" w:hAnsi="Book Antiqua"/>
        </w:rPr>
        <w:t xml:space="preserve"> JE, </w:t>
      </w:r>
      <w:proofErr w:type="spellStart"/>
      <w:r w:rsidRPr="00312A48">
        <w:rPr>
          <w:rFonts w:ascii="Book Antiqua" w:hAnsi="Book Antiqua"/>
        </w:rPr>
        <w:t>Kahrilas</w:t>
      </w:r>
      <w:proofErr w:type="spellEnd"/>
      <w:r w:rsidRPr="00312A48">
        <w:rPr>
          <w:rFonts w:ascii="Book Antiqua" w:hAnsi="Book Antiqua"/>
        </w:rPr>
        <w:t xml:space="preserve"> PJ, Keefer L, Boris L, </w:t>
      </w:r>
      <w:proofErr w:type="spellStart"/>
      <w:r w:rsidRPr="00312A48">
        <w:rPr>
          <w:rFonts w:ascii="Book Antiqua" w:hAnsi="Book Antiqua"/>
        </w:rPr>
        <w:t>Komanduri</w:t>
      </w:r>
      <w:proofErr w:type="spellEnd"/>
      <w:r w:rsidRPr="00312A48">
        <w:rPr>
          <w:rFonts w:ascii="Book Antiqua" w:hAnsi="Book Antiqua"/>
        </w:rPr>
        <w:t xml:space="preserve"> S. Increased risk for persistent intestinal metaplasia in patients with Barrett's esophagus and uncontrolled reflux exposure before radiofrequency ablation. </w:t>
      </w:r>
      <w:r w:rsidRPr="00312A48">
        <w:rPr>
          <w:rFonts w:ascii="Book Antiqua" w:hAnsi="Book Antiqua"/>
          <w:i/>
        </w:rPr>
        <w:t>Gastroenterology</w:t>
      </w:r>
      <w:r w:rsidRPr="00312A48">
        <w:rPr>
          <w:rFonts w:ascii="Book Antiqua" w:hAnsi="Book Antiqua"/>
        </w:rPr>
        <w:t xml:space="preserve"> 2012; </w:t>
      </w:r>
      <w:r w:rsidRPr="00312A48">
        <w:rPr>
          <w:rFonts w:ascii="Book Antiqua" w:hAnsi="Book Antiqua"/>
          <w:b/>
        </w:rPr>
        <w:t>143</w:t>
      </w:r>
      <w:r w:rsidRPr="00312A48">
        <w:rPr>
          <w:rFonts w:ascii="Book Antiqua" w:hAnsi="Book Antiqua"/>
        </w:rPr>
        <w:t>: 576-581 [PMID: 22609385 DOI: 10.1053/j.gastro.2012.05.005]</w:t>
      </w:r>
    </w:p>
    <w:p w14:paraId="67125446"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29 </w:t>
      </w:r>
      <w:proofErr w:type="spellStart"/>
      <w:r w:rsidRPr="00312A48">
        <w:rPr>
          <w:rFonts w:ascii="Book Antiqua" w:hAnsi="Book Antiqua"/>
          <w:b/>
        </w:rPr>
        <w:t>Komanduri</w:t>
      </w:r>
      <w:proofErr w:type="spellEnd"/>
      <w:r w:rsidRPr="00312A48">
        <w:rPr>
          <w:rFonts w:ascii="Book Antiqua" w:hAnsi="Book Antiqua"/>
          <w:b/>
        </w:rPr>
        <w:t xml:space="preserve"> S</w:t>
      </w:r>
      <w:r w:rsidRPr="00312A48">
        <w:rPr>
          <w:rFonts w:ascii="Book Antiqua" w:hAnsi="Book Antiqua"/>
        </w:rPr>
        <w:t xml:space="preserve">, </w:t>
      </w:r>
      <w:proofErr w:type="spellStart"/>
      <w:r w:rsidRPr="00312A48">
        <w:rPr>
          <w:rFonts w:ascii="Book Antiqua" w:hAnsi="Book Antiqua"/>
        </w:rPr>
        <w:t>Kahrilas</w:t>
      </w:r>
      <w:proofErr w:type="spellEnd"/>
      <w:r w:rsidRPr="00312A48">
        <w:rPr>
          <w:rFonts w:ascii="Book Antiqua" w:hAnsi="Book Antiqua"/>
        </w:rPr>
        <w:t xml:space="preserve"> PJ, Krishnan K, </w:t>
      </w:r>
      <w:proofErr w:type="spellStart"/>
      <w:r w:rsidRPr="00312A48">
        <w:rPr>
          <w:rFonts w:ascii="Book Antiqua" w:hAnsi="Book Antiqua"/>
        </w:rPr>
        <w:t>McGorisk</w:t>
      </w:r>
      <w:proofErr w:type="spellEnd"/>
      <w:r w:rsidRPr="00312A48">
        <w:rPr>
          <w:rFonts w:ascii="Book Antiqua" w:hAnsi="Book Antiqua"/>
        </w:rPr>
        <w:t xml:space="preserve"> T, </w:t>
      </w:r>
      <w:proofErr w:type="spellStart"/>
      <w:r w:rsidRPr="00312A48">
        <w:rPr>
          <w:rFonts w:ascii="Book Antiqua" w:hAnsi="Book Antiqua"/>
        </w:rPr>
        <w:t>Bidari</w:t>
      </w:r>
      <w:proofErr w:type="spellEnd"/>
      <w:r w:rsidRPr="00312A48">
        <w:rPr>
          <w:rFonts w:ascii="Book Antiqua" w:hAnsi="Book Antiqua"/>
        </w:rPr>
        <w:t xml:space="preserve"> K, Grande D, Keefer L, </w:t>
      </w:r>
      <w:proofErr w:type="spellStart"/>
      <w:r w:rsidRPr="00312A48">
        <w:rPr>
          <w:rFonts w:ascii="Book Antiqua" w:hAnsi="Book Antiqua"/>
        </w:rPr>
        <w:t>Pandolfino</w:t>
      </w:r>
      <w:proofErr w:type="spellEnd"/>
      <w:r w:rsidRPr="00312A48">
        <w:rPr>
          <w:rFonts w:ascii="Book Antiqua" w:hAnsi="Book Antiqua"/>
        </w:rPr>
        <w:t xml:space="preserve"> J. Recurrence of Barrett's Esophagus is Rare Following Endoscopic Eradication Therapy Coupled </w:t>
      </w:r>
      <w:proofErr w:type="gramStart"/>
      <w:r w:rsidRPr="00312A48">
        <w:rPr>
          <w:rFonts w:ascii="Book Antiqua" w:hAnsi="Book Antiqua"/>
        </w:rPr>
        <w:t>With</w:t>
      </w:r>
      <w:proofErr w:type="gramEnd"/>
      <w:r w:rsidRPr="00312A48">
        <w:rPr>
          <w:rFonts w:ascii="Book Antiqua" w:hAnsi="Book Antiqua"/>
        </w:rPr>
        <w:t xml:space="preserve"> Effective Reflux Control. </w:t>
      </w:r>
      <w:r w:rsidRPr="00312A48">
        <w:rPr>
          <w:rFonts w:ascii="Book Antiqua" w:hAnsi="Book Antiqua"/>
          <w:i/>
        </w:rPr>
        <w:t>Am J Gastroenterol</w:t>
      </w:r>
      <w:r w:rsidRPr="00312A48">
        <w:rPr>
          <w:rFonts w:ascii="Book Antiqua" w:hAnsi="Book Antiqua"/>
        </w:rPr>
        <w:t xml:space="preserve"> 2017; </w:t>
      </w:r>
      <w:r w:rsidRPr="00312A48">
        <w:rPr>
          <w:rFonts w:ascii="Book Antiqua" w:hAnsi="Book Antiqua"/>
          <w:b/>
        </w:rPr>
        <w:t>112</w:t>
      </w:r>
      <w:r w:rsidRPr="00312A48">
        <w:rPr>
          <w:rFonts w:ascii="Book Antiqua" w:hAnsi="Book Antiqua"/>
        </w:rPr>
        <w:t>: 556-566 [PMID: 28195178 DOI: 10.1038/ajg.2017.13]</w:t>
      </w:r>
    </w:p>
    <w:p w14:paraId="4537FA70"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30 </w:t>
      </w:r>
      <w:proofErr w:type="spellStart"/>
      <w:r w:rsidRPr="00312A48">
        <w:rPr>
          <w:rFonts w:ascii="Book Antiqua" w:hAnsi="Book Antiqua"/>
          <w:b/>
        </w:rPr>
        <w:t>Skrobić</w:t>
      </w:r>
      <w:proofErr w:type="spellEnd"/>
      <w:r w:rsidRPr="00312A48">
        <w:rPr>
          <w:rFonts w:ascii="Book Antiqua" w:hAnsi="Book Antiqua"/>
          <w:b/>
        </w:rPr>
        <w:t xml:space="preserve"> O</w:t>
      </w:r>
      <w:r w:rsidRPr="00312A48">
        <w:rPr>
          <w:rFonts w:ascii="Book Antiqua" w:hAnsi="Book Antiqua"/>
        </w:rPr>
        <w:t xml:space="preserve">, </w:t>
      </w:r>
      <w:proofErr w:type="spellStart"/>
      <w:r w:rsidRPr="00312A48">
        <w:rPr>
          <w:rFonts w:ascii="Book Antiqua" w:hAnsi="Book Antiqua"/>
        </w:rPr>
        <w:t>Simić</w:t>
      </w:r>
      <w:proofErr w:type="spellEnd"/>
      <w:r w:rsidRPr="00312A48">
        <w:rPr>
          <w:rFonts w:ascii="Book Antiqua" w:hAnsi="Book Antiqua"/>
        </w:rPr>
        <w:t xml:space="preserve"> A, </w:t>
      </w:r>
      <w:proofErr w:type="spellStart"/>
      <w:r w:rsidRPr="00312A48">
        <w:rPr>
          <w:rFonts w:ascii="Book Antiqua" w:hAnsi="Book Antiqua"/>
        </w:rPr>
        <w:t>Radovanović</w:t>
      </w:r>
      <w:proofErr w:type="spellEnd"/>
      <w:r w:rsidRPr="00312A48">
        <w:rPr>
          <w:rFonts w:ascii="Book Antiqua" w:hAnsi="Book Antiqua"/>
        </w:rPr>
        <w:t xml:space="preserve"> N, </w:t>
      </w:r>
      <w:proofErr w:type="spellStart"/>
      <w:r w:rsidRPr="00312A48">
        <w:rPr>
          <w:rFonts w:ascii="Book Antiqua" w:hAnsi="Book Antiqua"/>
        </w:rPr>
        <w:t>Ivanović</w:t>
      </w:r>
      <w:proofErr w:type="spellEnd"/>
      <w:r w:rsidRPr="00312A48">
        <w:rPr>
          <w:rFonts w:ascii="Book Antiqua" w:hAnsi="Book Antiqua"/>
        </w:rPr>
        <w:t xml:space="preserve"> N, </w:t>
      </w:r>
      <w:proofErr w:type="spellStart"/>
      <w:r w:rsidRPr="00312A48">
        <w:rPr>
          <w:rFonts w:ascii="Book Antiqua" w:hAnsi="Book Antiqua"/>
        </w:rPr>
        <w:t>Micev</w:t>
      </w:r>
      <w:proofErr w:type="spellEnd"/>
      <w:r w:rsidRPr="00312A48">
        <w:rPr>
          <w:rFonts w:ascii="Book Antiqua" w:hAnsi="Book Antiqua"/>
        </w:rPr>
        <w:t xml:space="preserve"> M, </w:t>
      </w:r>
      <w:proofErr w:type="spellStart"/>
      <w:r w:rsidRPr="00312A48">
        <w:rPr>
          <w:rFonts w:ascii="Book Antiqua" w:hAnsi="Book Antiqua"/>
        </w:rPr>
        <w:t>Peško</w:t>
      </w:r>
      <w:proofErr w:type="spellEnd"/>
      <w:r w:rsidRPr="00312A48">
        <w:rPr>
          <w:rFonts w:ascii="Book Antiqua" w:hAnsi="Book Antiqua"/>
        </w:rPr>
        <w:t xml:space="preserve"> P. Significance of Nissen fundoplication after endoscopic radiofrequency ablation of Barrett's esophagus. </w:t>
      </w:r>
      <w:r w:rsidRPr="00312A48">
        <w:rPr>
          <w:rFonts w:ascii="Book Antiqua" w:hAnsi="Book Antiqua"/>
          <w:i/>
        </w:rPr>
        <w:t xml:space="preserve">Surg </w:t>
      </w:r>
      <w:proofErr w:type="spellStart"/>
      <w:r w:rsidRPr="00312A48">
        <w:rPr>
          <w:rFonts w:ascii="Book Antiqua" w:hAnsi="Book Antiqua"/>
          <w:i/>
        </w:rPr>
        <w:t>Endosc</w:t>
      </w:r>
      <w:proofErr w:type="spellEnd"/>
      <w:r w:rsidRPr="00312A48">
        <w:rPr>
          <w:rFonts w:ascii="Book Antiqua" w:hAnsi="Book Antiqua"/>
        </w:rPr>
        <w:t xml:space="preserve"> 2016; </w:t>
      </w:r>
      <w:r w:rsidRPr="00312A48">
        <w:rPr>
          <w:rFonts w:ascii="Book Antiqua" w:hAnsi="Book Antiqua"/>
          <w:b/>
        </w:rPr>
        <w:t>30</w:t>
      </w:r>
      <w:r w:rsidRPr="00312A48">
        <w:rPr>
          <w:rFonts w:ascii="Book Antiqua" w:hAnsi="Book Antiqua"/>
        </w:rPr>
        <w:t>: 3802-3807 [PMID: 26659238 DOI: 10.1007/s00464-015-4677-9]</w:t>
      </w:r>
    </w:p>
    <w:p w14:paraId="0F8F81F1"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31 </w:t>
      </w:r>
      <w:r w:rsidRPr="00312A48">
        <w:rPr>
          <w:rFonts w:ascii="Book Antiqua" w:hAnsi="Book Antiqua"/>
          <w:b/>
        </w:rPr>
        <w:t>Johnson CS</w:t>
      </w:r>
      <w:r w:rsidRPr="00312A48">
        <w:rPr>
          <w:rFonts w:ascii="Book Antiqua" w:hAnsi="Book Antiqua"/>
        </w:rPr>
        <w:t xml:space="preserve">, Louie BE, Wille A, Dunst CM, Worrell SG, </w:t>
      </w:r>
      <w:proofErr w:type="spellStart"/>
      <w:r w:rsidRPr="00312A48">
        <w:rPr>
          <w:rFonts w:ascii="Book Antiqua" w:hAnsi="Book Antiqua"/>
        </w:rPr>
        <w:t>DeMeester</w:t>
      </w:r>
      <w:proofErr w:type="spellEnd"/>
      <w:r w:rsidRPr="00312A48">
        <w:rPr>
          <w:rFonts w:ascii="Book Antiqua" w:hAnsi="Book Antiqua"/>
        </w:rPr>
        <w:t xml:space="preserve"> SR, Reynolds J, Dixon J, Lipham JC, Lada M, Peters JH, Watson TJ, </w:t>
      </w:r>
      <w:proofErr w:type="spellStart"/>
      <w:r w:rsidRPr="00312A48">
        <w:rPr>
          <w:rFonts w:ascii="Book Antiqua" w:hAnsi="Book Antiqua"/>
        </w:rPr>
        <w:t>Farivar</w:t>
      </w:r>
      <w:proofErr w:type="spellEnd"/>
      <w:r w:rsidRPr="00312A48">
        <w:rPr>
          <w:rFonts w:ascii="Book Antiqua" w:hAnsi="Book Antiqua"/>
        </w:rPr>
        <w:t xml:space="preserve"> AS, Aye RW. The Durability of Endoscopic Therapy for Treatment of Barrett's Metaplasia, </w:t>
      </w:r>
      <w:r w:rsidRPr="00312A48">
        <w:rPr>
          <w:rFonts w:ascii="Book Antiqua" w:hAnsi="Book Antiqua"/>
        </w:rPr>
        <w:lastRenderedPageBreak/>
        <w:t xml:space="preserve">Dysplasia, and Mucosal Cancer After Nissen Fundoplication. </w:t>
      </w:r>
      <w:r w:rsidRPr="00312A48">
        <w:rPr>
          <w:rFonts w:ascii="Book Antiqua" w:hAnsi="Book Antiqua"/>
          <w:i/>
        </w:rPr>
        <w:t xml:space="preserve">J </w:t>
      </w:r>
      <w:proofErr w:type="spellStart"/>
      <w:r w:rsidRPr="00312A48">
        <w:rPr>
          <w:rFonts w:ascii="Book Antiqua" w:hAnsi="Book Antiqua"/>
          <w:i/>
        </w:rPr>
        <w:t>Gastrointest</w:t>
      </w:r>
      <w:proofErr w:type="spellEnd"/>
      <w:r w:rsidRPr="00312A48">
        <w:rPr>
          <w:rFonts w:ascii="Book Antiqua" w:hAnsi="Book Antiqua"/>
          <w:i/>
        </w:rPr>
        <w:t xml:space="preserve"> Surg</w:t>
      </w:r>
      <w:r w:rsidRPr="00312A48">
        <w:rPr>
          <w:rFonts w:ascii="Book Antiqua" w:hAnsi="Book Antiqua"/>
        </w:rPr>
        <w:t xml:space="preserve"> 2015; </w:t>
      </w:r>
      <w:r w:rsidRPr="00312A48">
        <w:rPr>
          <w:rFonts w:ascii="Book Antiqua" w:hAnsi="Book Antiqua"/>
          <w:b/>
        </w:rPr>
        <w:t>19</w:t>
      </w:r>
      <w:r w:rsidRPr="00312A48">
        <w:rPr>
          <w:rFonts w:ascii="Book Antiqua" w:hAnsi="Book Antiqua"/>
        </w:rPr>
        <w:t>: 799-805 [PMID: 25740341 DOI: 10.1007/s11605-015-2783-6]</w:t>
      </w:r>
    </w:p>
    <w:p w14:paraId="0F78B992"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32 </w:t>
      </w:r>
      <w:proofErr w:type="spellStart"/>
      <w:r w:rsidRPr="00312A48">
        <w:rPr>
          <w:rFonts w:ascii="Book Antiqua" w:hAnsi="Book Antiqua"/>
          <w:b/>
        </w:rPr>
        <w:t>Aiolfi</w:t>
      </w:r>
      <w:proofErr w:type="spellEnd"/>
      <w:r w:rsidRPr="00312A48">
        <w:rPr>
          <w:rFonts w:ascii="Book Antiqua" w:hAnsi="Book Antiqua"/>
          <w:b/>
        </w:rPr>
        <w:t xml:space="preserve"> A</w:t>
      </w:r>
      <w:r w:rsidRPr="00312A48">
        <w:rPr>
          <w:rFonts w:ascii="Book Antiqua" w:hAnsi="Book Antiqua"/>
        </w:rPr>
        <w:t xml:space="preserve">, Asti E, </w:t>
      </w:r>
      <w:proofErr w:type="spellStart"/>
      <w:r w:rsidRPr="00312A48">
        <w:rPr>
          <w:rFonts w:ascii="Book Antiqua" w:hAnsi="Book Antiqua"/>
        </w:rPr>
        <w:t>Bernardi</w:t>
      </w:r>
      <w:proofErr w:type="spellEnd"/>
      <w:r w:rsidRPr="00312A48">
        <w:rPr>
          <w:rFonts w:ascii="Book Antiqua" w:hAnsi="Book Antiqua"/>
        </w:rPr>
        <w:t xml:space="preserve"> D, </w:t>
      </w:r>
      <w:proofErr w:type="spellStart"/>
      <w:r w:rsidRPr="00312A48">
        <w:rPr>
          <w:rFonts w:ascii="Book Antiqua" w:hAnsi="Book Antiqua"/>
        </w:rPr>
        <w:t>Bonitta</w:t>
      </w:r>
      <w:proofErr w:type="spellEnd"/>
      <w:r w:rsidRPr="00312A48">
        <w:rPr>
          <w:rFonts w:ascii="Book Antiqua" w:hAnsi="Book Antiqua"/>
        </w:rPr>
        <w:t xml:space="preserve"> G, </w:t>
      </w:r>
      <w:proofErr w:type="spellStart"/>
      <w:r w:rsidRPr="00312A48">
        <w:rPr>
          <w:rFonts w:ascii="Book Antiqua" w:hAnsi="Book Antiqua"/>
        </w:rPr>
        <w:t>Rausa</w:t>
      </w:r>
      <w:proofErr w:type="spellEnd"/>
      <w:r w:rsidRPr="00312A48">
        <w:rPr>
          <w:rFonts w:ascii="Book Antiqua" w:hAnsi="Book Antiqua"/>
        </w:rPr>
        <w:t xml:space="preserve"> E, </w:t>
      </w:r>
      <w:proofErr w:type="spellStart"/>
      <w:r w:rsidRPr="00312A48">
        <w:rPr>
          <w:rFonts w:ascii="Book Antiqua" w:hAnsi="Book Antiqua"/>
        </w:rPr>
        <w:t>Siboni</w:t>
      </w:r>
      <w:proofErr w:type="spellEnd"/>
      <w:r w:rsidRPr="00312A48">
        <w:rPr>
          <w:rFonts w:ascii="Book Antiqua" w:hAnsi="Book Antiqua"/>
        </w:rPr>
        <w:t xml:space="preserve"> S, </w:t>
      </w:r>
      <w:proofErr w:type="spellStart"/>
      <w:r w:rsidRPr="00312A48">
        <w:rPr>
          <w:rFonts w:ascii="Book Antiqua" w:hAnsi="Book Antiqua"/>
        </w:rPr>
        <w:t>Bonavina</w:t>
      </w:r>
      <w:proofErr w:type="spellEnd"/>
      <w:r w:rsidRPr="00312A48">
        <w:rPr>
          <w:rFonts w:ascii="Book Antiqua" w:hAnsi="Book Antiqua"/>
        </w:rPr>
        <w:t xml:space="preserve"> L. Early results of magnetic sphincter augmentation versus fundoplication for gastroesophageal reflux disease: Systematic review and meta-analysis. </w:t>
      </w:r>
      <w:r w:rsidRPr="00312A48">
        <w:rPr>
          <w:rFonts w:ascii="Book Antiqua" w:hAnsi="Book Antiqua"/>
          <w:i/>
        </w:rPr>
        <w:t>Int J Surg</w:t>
      </w:r>
      <w:r w:rsidRPr="00312A48">
        <w:rPr>
          <w:rFonts w:ascii="Book Antiqua" w:hAnsi="Book Antiqua"/>
        </w:rPr>
        <w:t xml:space="preserve"> 2018; </w:t>
      </w:r>
      <w:r w:rsidRPr="00312A48">
        <w:rPr>
          <w:rFonts w:ascii="Book Antiqua" w:hAnsi="Book Antiqua"/>
          <w:b/>
        </w:rPr>
        <w:t>52</w:t>
      </w:r>
      <w:r w:rsidRPr="00312A48">
        <w:rPr>
          <w:rFonts w:ascii="Book Antiqua" w:hAnsi="Book Antiqua"/>
        </w:rPr>
        <w:t>: 82-88 [PMID: 29471155 DOI: 10.1016/j.ijsu.2018.02.041]</w:t>
      </w:r>
    </w:p>
    <w:p w14:paraId="2573C04D"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33 </w:t>
      </w:r>
      <w:proofErr w:type="spellStart"/>
      <w:r w:rsidRPr="00312A48">
        <w:rPr>
          <w:rFonts w:ascii="Book Antiqua" w:hAnsi="Book Antiqua"/>
          <w:b/>
        </w:rPr>
        <w:t>Skubleny</w:t>
      </w:r>
      <w:proofErr w:type="spellEnd"/>
      <w:r w:rsidRPr="00312A48">
        <w:rPr>
          <w:rFonts w:ascii="Book Antiqua" w:hAnsi="Book Antiqua"/>
          <w:b/>
        </w:rPr>
        <w:t xml:space="preserve"> D</w:t>
      </w:r>
      <w:r w:rsidRPr="00312A48">
        <w:rPr>
          <w:rFonts w:ascii="Book Antiqua" w:hAnsi="Book Antiqua"/>
        </w:rPr>
        <w:t xml:space="preserve">, Switzer NJ, Dang J, Gill RS, Shi X, de </w:t>
      </w:r>
      <w:proofErr w:type="spellStart"/>
      <w:r w:rsidRPr="00312A48">
        <w:rPr>
          <w:rFonts w:ascii="Book Antiqua" w:hAnsi="Book Antiqua"/>
        </w:rPr>
        <w:t>Gara</w:t>
      </w:r>
      <w:proofErr w:type="spellEnd"/>
      <w:r w:rsidRPr="00312A48">
        <w:rPr>
          <w:rFonts w:ascii="Book Antiqua" w:hAnsi="Book Antiqua"/>
        </w:rPr>
        <w:t xml:space="preserve"> C, Birch DW, Wong C, </w:t>
      </w:r>
      <w:proofErr w:type="spellStart"/>
      <w:r w:rsidRPr="00312A48">
        <w:rPr>
          <w:rFonts w:ascii="Book Antiqua" w:hAnsi="Book Antiqua"/>
        </w:rPr>
        <w:t>Hutter</w:t>
      </w:r>
      <w:proofErr w:type="spellEnd"/>
      <w:r w:rsidRPr="00312A48">
        <w:rPr>
          <w:rFonts w:ascii="Book Antiqua" w:hAnsi="Book Antiqua"/>
        </w:rPr>
        <w:t xml:space="preserve"> MM, </w:t>
      </w:r>
      <w:proofErr w:type="spellStart"/>
      <w:r w:rsidRPr="00312A48">
        <w:rPr>
          <w:rFonts w:ascii="Book Antiqua" w:hAnsi="Book Antiqua"/>
        </w:rPr>
        <w:t>Karmali</w:t>
      </w:r>
      <w:proofErr w:type="spellEnd"/>
      <w:r w:rsidRPr="00312A48">
        <w:rPr>
          <w:rFonts w:ascii="Book Antiqua" w:hAnsi="Book Antiqua"/>
        </w:rPr>
        <w:t xml:space="preserve"> S. LINX</w:t>
      </w:r>
      <w:r w:rsidRPr="00312A48">
        <w:rPr>
          <w:rFonts w:ascii="Book Antiqua" w:hAnsi="Book Antiqua"/>
          <w:vertAlign w:val="superscript"/>
        </w:rPr>
        <w:t>®</w:t>
      </w:r>
      <w:r w:rsidRPr="00312A48">
        <w:rPr>
          <w:rFonts w:ascii="Book Antiqua" w:hAnsi="Book Antiqua"/>
        </w:rPr>
        <w:t xml:space="preserve"> magnetic esophageal sphincter augmentation versus Nissen fundoplication for gastroesophageal reflux disease: a systematic review and meta-analysis. </w:t>
      </w:r>
      <w:r w:rsidRPr="00312A48">
        <w:rPr>
          <w:rFonts w:ascii="Book Antiqua" w:hAnsi="Book Antiqua"/>
          <w:i/>
        </w:rPr>
        <w:t xml:space="preserve">Surg </w:t>
      </w:r>
      <w:proofErr w:type="spellStart"/>
      <w:r w:rsidRPr="00312A48">
        <w:rPr>
          <w:rFonts w:ascii="Book Antiqua" w:hAnsi="Book Antiqua"/>
          <w:i/>
        </w:rPr>
        <w:t>Endosc</w:t>
      </w:r>
      <w:proofErr w:type="spellEnd"/>
      <w:r w:rsidRPr="00312A48">
        <w:rPr>
          <w:rFonts w:ascii="Book Antiqua" w:hAnsi="Book Antiqua"/>
        </w:rPr>
        <w:t xml:space="preserve"> 2017; </w:t>
      </w:r>
      <w:r w:rsidRPr="00312A48">
        <w:rPr>
          <w:rFonts w:ascii="Book Antiqua" w:hAnsi="Book Antiqua"/>
          <w:b/>
        </w:rPr>
        <w:t>31</w:t>
      </w:r>
      <w:r w:rsidRPr="00312A48">
        <w:rPr>
          <w:rFonts w:ascii="Book Antiqua" w:hAnsi="Book Antiqua"/>
        </w:rPr>
        <w:t>: 3078-3084 [PMID: 27981382 DOI: 10.1007/s00464-016-5370-3]</w:t>
      </w:r>
    </w:p>
    <w:p w14:paraId="64A50E88"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34 </w:t>
      </w:r>
      <w:proofErr w:type="spellStart"/>
      <w:r w:rsidRPr="00312A48">
        <w:rPr>
          <w:rFonts w:ascii="Book Antiqua" w:hAnsi="Book Antiqua"/>
          <w:b/>
        </w:rPr>
        <w:t>Witteman</w:t>
      </w:r>
      <w:proofErr w:type="spellEnd"/>
      <w:r w:rsidRPr="00312A48">
        <w:rPr>
          <w:rFonts w:ascii="Book Antiqua" w:hAnsi="Book Antiqua"/>
          <w:b/>
        </w:rPr>
        <w:t xml:space="preserve"> BP</w:t>
      </w:r>
      <w:r w:rsidRPr="00312A48">
        <w:rPr>
          <w:rFonts w:ascii="Book Antiqua" w:hAnsi="Book Antiqua"/>
        </w:rPr>
        <w:t xml:space="preserve">, </w:t>
      </w:r>
      <w:proofErr w:type="spellStart"/>
      <w:r w:rsidRPr="00312A48">
        <w:rPr>
          <w:rFonts w:ascii="Book Antiqua" w:hAnsi="Book Antiqua"/>
        </w:rPr>
        <w:t>Conchillo</w:t>
      </w:r>
      <w:proofErr w:type="spellEnd"/>
      <w:r w:rsidRPr="00312A48">
        <w:rPr>
          <w:rFonts w:ascii="Book Antiqua" w:hAnsi="Book Antiqua"/>
        </w:rPr>
        <w:t xml:space="preserve"> JM, </w:t>
      </w:r>
      <w:proofErr w:type="spellStart"/>
      <w:r w:rsidRPr="00312A48">
        <w:rPr>
          <w:rFonts w:ascii="Book Antiqua" w:hAnsi="Book Antiqua"/>
        </w:rPr>
        <w:t>Rinsma</w:t>
      </w:r>
      <w:proofErr w:type="spellEnd"/>
      <w:r w:rsidRPr="00312A48">
        <w:rPr>
          <w:rFonts w:ascii="Book Antiqua" w:hAnsi="Book Antiqua"/>
        </w:rPr>
        <w:t xml:space="preserve"> NF, </w:t>
      </w:r>
      <w:proofErr w:type="spellStart"/>
      <w:r w:rsidRPr="00312A48">
        <w:rPr>
          <w:rFonts w:ascii="Book Antiqua" w:hAnsi="Book Antiqua"/>
        </w:rPr>
        <w:t>Betzel</w:t>
      </w:r>
      <w:proofErr w:type="spellEnd"/>
      <w:r w:rsidRPr="00312A48">
        <w:rPr>
          <w:rFonts w:ascii="Book Antiqua" w:hAnsi="Book Antiqua"/>
        </w:rPr>
        <w:t xml:space="preserve"> B, </w:t>
      </w:r>
      <w:proofErr w:type="spellStart"/>
      <w:r w:rsidRPr="00312A48">
        <w:rPr>
          <w:rFonts w:ascii="Book Antiqua" w:hAnsi="Book Antiqua"/>
        </w:rPr>
        <w:t>Peeters</w:t>
      </w:r>
      <w:proofErr w:type="spellEnd"/>
      <w:r w:rsidRPr="00312A48">
        <w:rPr>
          <w:rFonts w:ascii="Book Antiqua" w:hAnsi="Book Antiqua"/>
        </w:rPr>
        <w:t xml:space="preserve"> A, </w:t>
      </w:r>
      <w:proofErr w:type="spellStart"/>
      <w:r w:rsidRPr="00312A48">
        <w:rPr>
          <w:rFonts w:ascii="Book Antiqua" w:hAnsi="Book Antiqua"/>
        </w:rPr>
        <w:t>Koek</w:t>
      </w:r>
      <w:proofErr w:type="spellEnd"/>
      <w:r w:rsidRPr="00312A48">
        <w:rPr>
          <w:rFonts w:ascii="Book Antiqua" w:hAnsi="Book Antiqua"/>
        </w:rPr>
        <w:t xml:space="preserve"> GH, Stassen LP, </w:t>
      </w:r>
      <w:proofErr w:type="spellStart"/>
      <w:r w:rsidRPr="00312A48">
        <w:rPr>
          <w:rFonts w:ascii="Book Antiqua" w:hAnsi="Book Antiqua"/>
        </w:rPr>
        <w:t>Bouvy</w:t>
      </w:r>
      <w:proofErr w:type="spellEnd"/>
      <w:r w:rsidRPr="00312A48">
        <w:rPr>
          <w:rFonts w:ascii="Book Antiqua" w:hAnsi="Book Antiqua"/>
        </w:rPr>
        <w:t xml:space="preserve"> ND. Randomized controlled trial of transoral incisionless fundoplication vs. proton pump inhibitors for treatment of gastroesophageal reflux disease. </w:t>
      </w:r>
      <w:r w:rsidRPr="00312A48">
        <w:rPr>
          <w:rFonts w:ascii="Book Antiqua" w:hAnsi="Book Antiqua"/>
          <w:i/>
        </w:rPr>
        <w:t>Am J Gastroenterol</w:t>
      </w:r>
      <w:r w:rsidRPr="00312A48">
        <w:rPr>
          <w:rFonts w:ascii="Book Antiqua" w:hAnsi="Book Antiqua"/>
        </w:rPr>
        <w:t xml:space="preserve"> 2015; </w:t>
      </w:r>
      <w:r w:rsidRPr="00312A48">
        <w:rPr>
          <w:rFonts w:ascii="Book Antiqua" w:hAnsi="Book Antiqua"/>
          <w:b/>
        </w:rPr>
        <w:t>110</w:t>
      </w:r>
      <w:r w:rsidRPr="00312A48">
        <w:rPr>
          <w:rFonts w:ascii="Book Antiqua" w:hAnsi="Book Antiqua"/>
        </w:rPr>
        <w:t>: 531-542 [PMID: 25823768 DOI: 10.1038/ajg.2015.28]</w:t>
      </w:r>
    </w:p>
    <w:p w14:paraId="2B2B58F7"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35 </w:t>
      </w:r>
      <w:proofErr w:type="spellStart"/>
      <w:r w:rsidRPr="00312A48">
        <w:rPr>
          <w:rFonts w:ascii="Book Antiqua" w:hAnsi="Book Antiqua"/>
          <w:b/>
        </w:rPr>
        <w:t>Muls</w:t>
      </w:r>
      <w:proofErr w:type="spellEnd"/>
      <w:r w:rsidRPr="00312A48">
        <w:rPr>
          <w:rFonts w:ascii="Book Antiqua" w:hAnsi="Book Antiqua"/>
          <w:b/>
        </w:rPr>
        <w:t xml:space="preserve"> V</w:t>
      </w:r>
      <w:r w:rsidRPr="00312A48">
        <w:rPr>
          <w:rFonts w:ascii="Book Antiqua" w:hAnsi="Book Antiqua"/>
        </w:rPr>
        <w:t xml:space="preserve">, </w:t>
      </w:r>
      <w:proofErr w:type="spellStart"/>
      <w:r w:rsidRPr="00312A48">
        <w:rPr>
          <w:rFonts w:ascii="Book Antiqua" w:hAnsi="Book Antiqua"/>
        </w:rPr>
        <w:t>Eckardt</w:t>
      </w:r>
      <w:proofErr w:type="spellEnd"/>
      <w:r w:rsidRPr="00312A48">
        <w:rPr>
          <w:rFonts w:ascii="Book Antiqua" w:hAnsi="Book Antiqua"/>
        </w:rPr>
        <w:t xml:space="preserve"> AJ, Marchese M, </w:t>
      </w:r>
      <w:proofErr w:type="spellStart"/>
      <w:r w:rsidRPr="00312A48">
        <w:rPr>
          <w:rFonts w:ascii="Book Antiqua" w:hAnsi="Book Antiqua"/>
        </w:rPr>
        <w:t>Bastens</w:t>
      </w:r>
      <w:proofErr w:type="spellEnd"/>
      <w:r w:rsidRPr="00312A48">
        <w:rPr>
          <w:rFonts w:ascii="Book Antiqua" w:hAnsi="Book Antiqua"/>
        </w:rPr>
        <w:t xml:space="preserve"> B, </w:t>
      </w:r>
      <w:proofErr w:type="spellStart"/>
      <w:r w:rsidRPr="00312A48">
        <w:rPr>
          <w:rFonts w:ascii="Book Antiqua" w:hAnsi="Book Antiqua"/>
        </w:rPr>
        <w:t>Buset</w:t>
      </w:r>
      <w:proofErr w:type="spellEnd"/>
      <w:r w:rsidRPr="00312A48">
        <w:rPr>
          <w:rFonts w:ascii="Book Antiqua" w:hAnsi="Book Antiqua"/>
        </w:rPr>
        <w:t xml:space="preserve"> M, </w:t>
      </w:r>
      <w:proofErr w:type="spellStart"/>
      <w:r w:rsidRPr="00312A48">
        <w:rPr>
          <w:rFonts w:ascii="Book Antiqua" w:hAnsi="Book Antiqua"/>
        </w:rPr>
        <w:t>Devière</w:t>
      </w:r>
      <w:proofErr w:type="spellEnd"/>
      <w:r w:rsidRPr="00312A48">
        <w:rPr>
          <w:rFonts w:ascii="Book Antiqua" w:hAnsi="Book Antiqua"/>
        </w:rPr>
        <w:t xml:space="preserve"> J, Louis H, </w:t>
      </w:r>
      <w:proofErr w:type="spellStart"/>
      <w:r w:rsidRPr="00312A48">
        <w:rPr>
          <w:rFonts w:ascii="Book Antiqua" w:hAnsi="Book Antiqua"/>
        </w:rPr>
        <w:t>Rajan</w:t>
      </w:r>
      <w:proofErr w:type="spellEnd"/>
      <w:r w:rsidRPr="00312A48">
        <w:rPr>
          <w:rFonts w:ascii="Book Antiqua" w:hAnsi="Book Antiqua"/>
        </w:rPr>
        <w:t xml:space="preserve"> A, Daniel MA, </w:t>
      </w:r>
      <w:proofErr w:type="spellStart"/>
      <w:r w:rsidRPr="00312A48">
        <w:rPr>
          <w:rFonts w:ascii="Book Antiqua" w:hAnsi="Book Antiqua"/>
        </w:rPr>
        <w:t>Costamagna</w:t>
      </w:r>
      <w:proofErr w:type="spellEnd"/>
      <w:r w:rsidRPr="00312A48">
        <w:rPr>
          <w:rFonts w:ascii="Book Antiqua" w:hAnsi="Book Antiqua"/>
        </w:rPr>
        <w:t xml:space="preserve"> G. Three-year results of a multicenter prospective study of transoral incisionless fundoplication. </w:t>
      </w:r>
      <w:r w:rsidRPr="00312A48">
        <w:rPr>
          <w:rFonts w:ascii="Book Antiqua" w:hAnsi="Book Antiqua"/>
          <w:i/>
        </w:rPr>
        <w:t xml:space="preserve">Surg </w:t>
      </w:r>
      <w:proofErr w:type="spellStart"/>
      <w:r w:rsidRPr="00312A48">
        <w:rPr>
          <w:rFonts w:ascii="Book Antiqua" w:hAnsi="Book Antiqua"/>
          <w:i/>
        </w:rPr>
        <w:t>Innov</w:t>
      </w:r>
      <w:proofErr w:type="spellEnd"/>
      <w:r w:rsidRPr="00312A48">
        <w:rPr>
          <w:rFonts w:ascii="Book Antiqua" w:hAnsi="Book Antiqua"/>
        </w:rPr>
        <w:t xml:space="preserve"> 2013; </w:t>
      </w:r>
      <w:r w:rsidRPr="00312A48">
        <w:rPr>
          <w:rFonts w:ascii="Book Antiqua" w:hAnsi="Book Antiqua"/>
          <w:b/>
        </w:rPr>
        <w:t>20</w:t>
      </w:r>
      <w:r w:rsidRPr="00312A48">
        <w:rPr>
          <w:rFonts w:ascii="Book Antiqua" w:hAnsi="Book Antiqua"/>
        </w:rPr>
        <w:t>: 321-330 [PMID: 22968006 DOI: 10.1177/1553350612459275]</w:t>
      </w:r>
    </w:p>
    <w:p w14:paraId="3900C23D"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36 </w:t>
      </w:r>
      <w:proofErr w:type="spellStart"/>
      <w:r w:rsidRPr="00312A48">
        <w:rPr>
          <w:rFonts w:ascii="Book Antiqua" w:hAnsi="Book Antiqua"/>
          <w:b/>
        </w:rPr>
        <w:t>Testoni</w:t>
      </w:r>
      <w:proofErr w:type="spellEnd"/>
      <w:r w:rsidRPr="00312A48">
        <w:rPr>
          <w:rFonts w:ascii="Book Antiqua" w:hAnsi="Book Antiqua"/>
          <w:b/>
        </w:rPr>
        <w:t xml:space="preserve"> PA</w:t>
      </w:r>
      <w:r w:rsidRPr="00312A48">
        <w:rPr>
          <w:rFonts w:ascii="Book Antiqua" w:hAnsi="Book Antiqua"/>
        </w:rPr>
        <w:t xml:space="preserve">, </w:t>
      </w:r>
      <w:proofErr w:type="spellStart"/>
      <w:r w:rsidRPr="00312A48">
        <w:rPr>
          <w:rFonts w:ascii="Book Antiqua" w:hAnsi="Book Antiqua"/>
        </w:rPr>
        <w:t>Testoni</w:t>
      </w:r>
      <w:proofErr w:type="spellEnd"/>
      <w:r w:rsidRPr="00312A48">
        <w:rPr>
          <w:rFonts w:ascii="Book Antiqua" w:hAnsi="Book Antiqua"/>
        </w:rPr>
        <w:t xml:space="preserve"> S, </w:t>
      </w:r>
      <w:proofErr w:type="spellStart"/>
      <w:r w:rsidRPr="00312A48">
        <w:rPr>
          <w:rFonts w:ascii="Book Antiqua" w:hAnsi="Book Antiqua"/>
        </w:rPr>
        <w:t>Mazzoleni</w:t>
      </w:r>
      <w:proofErr w:type="spellEnd"/>
      <w:r w:rsidRPr="00312A48">
        <w:rPr>
          <w:rFonts w:ascii="Book Antiqua" w:hAnsi="Book Antiqua"/>
        </w:rPr>
        <w:t xml:space="preserve"> G, </w:t>
      </w:r>
      <w:proofErr w:type="spellStart"/>
      <w:r w:rsidRPr="00312A48">
        <w:rPr>
          <w:rFonts w:ascii="Book Antiqua" w:hAnsi="Book Antiqua"/>
        </w:rPr>
        <w:t>Vailati</w:t>
      </w:r>
      <w:proofErr w:type="spellEnd"/>
      <w:r w:rsidRPr="00312A48">
        <w:rPr>
          <w:rFonts w:ascii="Book Antiqua" w:hAnsi="Book Antiqua"/>
        </w:rPr>
        <w:t xml:space="preserve"> C, </w:t>
      </w:r>
      <w:proofErr w:type="spellStart"/>
      <w:r w:rsidRPr="00312A48">
        <w:rPr>
          <w:rFonts w:ascii="Book Antiqua" w:hAnsi="Book Antiqua"/>
        </w:rPr>
        <w:t>Passaretti</w:t>
      </w:r>
      <w:proofErr w:type="spellEnd"/>
      <w:r w:rsidRPr="00312A48">
        <w:rPr>
          <w:rFonts w:ascii="Book Antiqua" w:hAnsi="Book Antiqua"/>
        </w:rPr>
        <w:t xml:space="preserve"> S. Long-term efficacy of transoral incisionless fundoplication with </w:t>
      </w:r>
      <w:proofErr w:type="spellStart"/>
      <w:r w:rsidRPr="00312A48">
        <w:rPr>
          <w:rFonts w:ascii="Book Antiqua" w:hAnsi="Book Antiqua"/>
        </w:rPr>
        <w:t>Esophyx</w:t>
      </w:r>
      <w:proofErr w:type="spellEnd"/>
      <w:r w:rsidRPr="00312A48">
        <w:rPr>
          <w:rFonts w:ascii="Book Antiqua" w:hAnsi="Book Antiqua"/>
        </w:rPr>
        <w:t xml:space="preserve"> (</w:t>
      </w:r>
      <w:proofErr w:type="spellStart"/>
      <w:r w:rsidRPr="00312A48">
        <w:rPr>
          <w:rFonts w:ascii="Book Antiqua" w:hAnsi="Book Antiqua"/>
        </w:rPr>
        <w:t>Tif</w:t>
      </w:r>
      <w:proofErr w:type="spellEnd"/>
      <w:r w:rsidRPr="00312A48">
        <w:rPr>
          <w:rFonts w:ascii="Book Antiqua" w:hAnsi="Book Antiqua"/>
        </w:rPr>
        <w:t xml:space="preserve"> 2.0) and factors affecting outcomes in GERD patients followed for up to 6 years: a prospective single-center study. </w:t>
      </w:r>
      <w:r w:rsidRPr="00312A48">
        <w:rPr>
          <w:rFonts w:ascii="Book Antiqua" w:hAnsi="Book Antiqua"/>
          <w:i/>
        </w:rPr>
        <w:t xml:space="preserve">Surg </w:t>
      </w:r>
      <w:proofErr w:type="spellStart"/>
      <w:r w:rsidRPr="00312A48">
        <w:rPr>
          <w:rFonts w:ascii="Book Antiqua" w:hAnsi="Book Antiqua"/>
          <w:i/>
        </w:rPr>
        <w:t>Endosc</w:t>
      </w:r>
      <w:proofErr w:type="spellEnd"/>
      <w:r w:rsidRPr="00312A48">
        <w:rPr>
          <w:rFonts w:ascii="Book Antiqua" w:hAnsi="Book Antiqua"/>
        </w:rPr>
        <w:t xml:space="preserve"> 2015; </w:t>
      </w:r>
      <w:r w:rsidRPr="00312A48">
        <w:rPr>
          <w:rFonts w:ascii="Book Antiqua" w:hAnsi="Book Antiqua"/>
          <w:b/>
        </w:rPr>
        <w:t>29</w:t>
      </w:r>
      <w:r w:rsidRPr="00312A48">
        <w:rPr>
          <w:rFonts w:ascii="Book Antiqua" w:hAnsi="Book Antiqua"/>
        </w:rPr>
        <w:t>: 2770-2780 [PMID: 25480624 DOI: 10.1007/s00464-014-4008-6]</w:t>
      </w:r>
    </w:p>
    <w:p w14:paraId="6D287513"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37 </w:t>
      </w:r>
      <w:r w:rsidRPr="00312A48">
        <w:rPr>
          <w:rFonts w:ascii="Book Antiqua" w:hAnsi="Book Antiqua"/>
          <w:b/>
        </w:rPr>
        <w:t>Trad KS</w:t>
      </w:r>
      <w:r w:rsidRPr="00312A48">
        <w:rPr>
          <w:rFonts w:ascii="Book Antiqua" w:hAnsi="Book Antiqua"/>
        </w:rPr>
        <w:t xml:space="preserve">, Fox MA, Simoni G, </w:t>
      </w:r>
      <w:proofErr w:type="spellStart"/>
      <w:r w:rsidRPr="00312A48">
        <w:rPr>
          <w:rFonts w:ascii="Book Antiqua" w:hAnsi="Book Antiqua"/>
        </w:rPr>
        <w:t>Shughoury</w:t>
      </w:r>
      <w:proofErr w:type="spellEnd"/>
      <w:r w:rsidRPr="00312A48">
        <w:rPr>
          <w:rFonts w:ascii="Book Antiqua" w:hAnsi="Book Antiqua"/>
        </w:rPr>
        <w:t xml:space="preserve"> AB, </w:t>
      </w:r>
      <w:proofErr w:type="spellStart"/>
      <w:r w:rsidRPr="00312A48">
        <w:rPr>
          <w:rFonts w:ascii="Book Antiqua" w:hAnsi="Book Antiqua"/>
        </w:rPr>
        <w:t>Mavrelis</w:t>
      </w:r>
      <w:proofErr w:type="spellEnd"/>
      <w:r w:rsidRPr="00312A48">
        <w:rPr>
          <w:rFonts w:ascii="Book Antiqua" w:hAnsi="Book Antiqua"/>
        </w:rPr>
        <w:t xml:space="preserve"> PG, Raza M, </w:t>
      </w:r>
      <w:proofErr w:type="spellStart"/>
      <w:r w:rsidRPr="00312A48">
        <w:rPr>
          <w:rFonts w:ascii="Book Antiqua" w:hAnsi="Book Antiqua"/>
        </w:rPr>
        <w:t>Heise</w:t>
      </w:r>
      <w:proofErr w:type="spellEnd"/>
      <w:r w:rsidRPr="00312A48">
        <w:rPr>
          <w:rFonts w:ascii="Book Antiqua" w:hAnsi="Book Antiqua"/>
        </w:rPr>
        <w:t xml:space="preserve"> JA, Barnes WE. Transoral fundoplication offers durable symptom control for chronic GERD: 3-year report from the TEMPO randomized trial with a crossover arm. </w:t>
      </w:r>
      <w:r w:rsidRPr="00312A48">
        <w:rPr>
          <w:rFonts w:ascii="Book Antiqua" w:hAnsi="Book Antiqua"/>
          <w:i/>
        </w:rPr>
        <w:t xml:space="preserve">Surg </w:t>
      </w:r>
      <w:proofErr w:type="spellStart"/>
      <w:r w:rsidRPr="00312A48">
        <w:rPr>
          <w:rFonts w:ascii="Book Antiqua" w:hAnsi="Book Antiqua"/>
          <w:i/>
        </w:rPr>
        <w:t>Endosc</w:t>
      </w:r>
      <w:proofErr w:type="spellEnd"/>
      <w:r w:rsidRPr="00312A48">
        <w:rPr>
          <w:rFonts w:ascii="Book Antiqua" w:hAnsi="Book Antiqua"/>
        </w:rPr>
        <w:t xml:space="preserve"> 2017; </w:t>
      </w:r>
      <w:r w:rsidRPr="00312A48">
        <w:rPr>
          <w:rFonts w:ascii="Book Antiqua" w:hAnsi="Book Antiqua"/>
          <w:b/>
        </w:rPr>
        <w:t>31</w:t>
      </w:r>
      <w:r w:rsidRPr="00312A48">
        <w:rPr>
          <w:rFonts w:ascii="Book Antiqua" w:hAnsi="Book Antiqua"/>
        </w:rPr>
        <w:t>: 2498-2508 [PMID: 27655380 DOI: 10.1007/s00464-016-5252-8]</w:t>
      </w:r>
    </w:p>
    <w:p w14:paraId="44204EB7"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lastRenderedPageBreak/>
        <w:t xml:space="preserve">38 </w:t>
      </w:r>
      <w:r w:rsidRPr="00312A48">
        <w:rPr>
          <w:rFonts w:ascii="Book Antiqua" w:hAnsi="Book Antiqua"/>
          <w:b/>
        </w:rPr>
        <w:t>Trad KS</w:t>
      </w:r>
      <w:r w:rsidRPr="00312A48">
        <w:rPr>
          <w:rFonts w:ascii="Book Antiqua" w:hAnsi="Book Antiqua"/>
        </w:rPr>
        <w:t xml:space="preserve">, Barnes WE, </w:t>
      </w:r>
      <w:proofErr w:type="spellStart"/>
      <w:r w:rsidRPr="00312A48">
        <w:rPr>
          <w:rFonts w:ascii="Book Antiqua" w:hAnsi="Book Antiqua"/>
        </w:rPr>
        <w:t>Prevou</w:t>
      </w:r>
      <w:proofErr w:type="spellEnd"/>
      <w:r w:rsidRPr="00312A48">
        <w:rPr>
          <w:rFonts w:ascii="Book Antiqua" w:hAnsi="Book Antiqua"/>
        </w:rPr>
        <w:t xml:space="preserve"> ER, Simoni G, Steffen JA, </w:t>
      </w:r>
      <w:proofErr w:type="spellStart"/>
      <w:r w:rsidRPr="00312A48">
        <w:rPr>
          <w:rFonts w:ascii="Book Antiqua" w:hAnsi="Book Antiqua"/>
        </w:rPr>
        <w:t>Shughoury</w:t>
      </w:r>
      <w:proofErr w:type="spellEnd"/>
      <w:r w:rsidRPr="00312A48">
        <w:rPr>
          <w:rFonts w:ascii="Book Antiqua" w:hAnsi="Book Antiqua"/>
        </w:rPr>
        <w:t xml:space="preserve"> AB, Raza M, </w:t>
      </w:r>
      <w:proofErr w:type="spellStart"/>
      <w:r w:rsidRPr="00312A48">
        <w:rPr>
          <w:rFonts w:ascii="Book Antiqua" w:hAnsi="Book Antiqua"/>
        </w:rPr>
        <w:t>Heise</w:t>
      </w:r>
      <w:proofErr w:type="spellEnd"/>
      <w:r w:rsidRPr="00312A48">
        <w:rPr>
          <w:rFonts w:ascii="Book Antiqua" w:hAnsi="Book Antiqua"/>
        </w:rPr>
        <w:t xml:space="preserve"> JA, Fox MA, </w:t>
      </w:r>
      <w:proofErr w:type="spellStart"/>
      <w:r w:rsidRPr="00312A48">
        <w:rPr>
          <w:rFonts w:ascii="Book Antiqua" w:hAnsi="Book Antiqua"/>
        </w:rPr>
        <w:t>Mavrelis</w:t>
      </w:r>
      <w:proofErr w:type="spellEnd"/>
      <w:r w:rsidRPr="00312A48">
        <w:rPr>
          <w:rFonts w:ascii="Book Antiqua" w:hAnsi="Book Antiqua"/>
        </w:rPr>
        <w:t xml:space="preserve"> PG. The TEMPO Trial at 5 Years: Transoral Fundoplication (TIF 2.0) Is Safe, Durable, and Cost-effective. </w:t>
      </w:r>
      <w:r w:rsidRPr="00312A48">
        <w:rPr>
          <w:rFonts w:ascii="Book Antiqua" w:hAnsi="Book Antiqua"/>
          <w:i/>
        </w:rPr>
        <w:t xml:space="preserve">Surg </w:t>
      </w:r>
      <w:proofErr w:type="spellStart"/>
      <w:r w:rsidRPr="00312A48">
        <w:rPr>
          <w:rFonts w:ascii="Book Antiqua" w:hAnsi="Book Antiqua"/>
          <w:i/>
        </w:rPr>
        <w:t>Innov</w:t>
      </w:r>
      <w:proofErr w:type="spellEnd"/>
      <w:r w:rsidRPr="00312A48">
        <w:rPr>
          <w:rFonts w:ascii="Book Antiqua" w:hAnsi="Book Antiqua"/>
        </w:rPr>
        <w:t xml:space="preserve"> 2018; </w:t>
      </w:r>
      <w:r w:rsidRPr="00312A48">
        <w:rPr>
          <w:rFonts w:ascii="Book Antiqua" w:hAnsi="Book Antiqua"/>
          <w:b/>
        </w:rPr>
        <w:t>25</w:t>
      </w:r>
      <w:r w:rsidRPr="00312A48">
        <w:rPr>
          <w:rFonts w:ascii="Book Antiqua" w:hAnsi="Book Antiqua"/>
        </w:rPr>
        <w:t>: 149-157 [PMID: 29405886 DOI: 10.1177/1553350618755214]</w:t>
      </w:r>
    </w:p>
    <w:p w14:paraId="2678A337"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39 </w:t>
      </w:r>
      <w:proofErr w:type="spellStart"/>
      <w:r w:rsidRPr="00312A48">
        <w:rPr>
          <w:rFonts w:ascii="Book Antiqua" w:hAnsi="Book Antiqua"/>
          <w:b/>
        </w:rPr>
        <w:t>Testoni</w:t>
      </w:r>
      <w:proofErr w:type="spellEnd"/>
      <w:r w:rsidRPr="00312A48">
        <w:rPr>
          <w:rFonts w:ascii="Book Antiqua" w:hAnsi="Book Antiqua"/>
          <w:b/>
        </w:rPr>
        <w:t xml:space="preserve"> PA</w:t>
      </w:r>
      <w:r w:rsidRPr="00312A48">
        <w:rPr>
          <w:rFonts w:ascii="Book Antiqua" w:hAnsi="Book Antiqua"/>
        </w:rPr>
        <w:t xml:space="preserve">, </w:t>
      </w:r>
      <w:proofErr w:type="spellStart"/>
      <w:r w:rsidRPr="00312A48">
        <w:rPr>
          <w:rFonts w:ascii="Book Antiqua" w:hAnsi="Book Antiqua"/>
        </w:rPr>
        <w:t>Testoni</w:t>
      </w:r>
      <w:proofErr w:type="spellEnd"/>
      <w:r w:rsidRPr="00312A48">
        <w:rPr>
          <w:rFonts w:ascii="Book Antiqua" w:hAnsi="Book Antiqua"/>
        </w:rPr>
        <w:t xml:space="preserve"> S, Distefano G, </w:t>
      </w:r>
      <w:proofErr w:type="spellStart"/>
      <w:r w:rsidRPr="00312A48">
        <w:rPr>
          <w:rFonts w:ascii="Book Antiqua" w:hAnsi="Book Antiqua"/>
        </w:rPr>
        <w:t>Mazzoleni</w:t>
      </w:r>
      <w:proofErr w:type="spellEnd"/>
      <w:r w:rsidRPr="00312A48">
        <w:rPr>
          <w:rFonts w:ascii="Book Antiqua" w:hAnsi="Book Antiqua"/>
        </w:rPr>
        <w:t xml:space="preserve"> G, Fanti L, </w:t>
      </w:r>
      <w:proofErr w:type="spellStart"/>
      <w:r w:rsidRPr="00312A48">
        <w:rPr>
          <w:rFonts w:ascii="Book Antiqua" w:hAnsi="Book Antiqua"/>
        </w:rPr>
        <w:t>Passaretti</w:t>
      </w:r>
      <w:proofErr w:type="spellEnd"/>
      <w:r w:rsidRPr="00312A48">
        <w:rPr>
          <w:rFonts w:ascii="Book Antiqua" w:hAnsi="Book Antiqua"/>
        </w:rPr>
        <w:t xml:space="preserve"> S. Transoral incisionless fundoplication with </w:t>
      </w:r>
      <w:proofErr w:type="spellStart"/>
      <w:r w:rsidRPr="00312A48">
        <w:rPr>
          <w:rFonts w:ascii="Book Antiqua" w:hAnsi="Book Antiqua"/>
        </w:rPr>
        <w:t>EsophyX</w:t>
      </w:r>
      <w:proofErr w:type="spellEnd"/>
      <w:r w:rsidRPr="00312A48">
        <w:rPr>
          <w:rFonts w:ascii="Book Antiqua" w:hAnsi="Book Antiqua"/>
        </w:rPr>
        <w:t xml:space="preserve"> for gastroesophageal reflux disease: clinical efficacy is maintained up to 10 years. </w:t>
      </w:r>
      <w:proofErr w:type="spellStart"/>
      <w:r w:rsidRPr="00312A48">
        <w:rPr>
          <w:rFonts w:ascii="Book Antiqua" w:hAnsi="Book Antiqua"/>
          <w:i/>
        </w:rPr>
        <w:t>Endosc</w:t>
      </w:r>
      <w:proofErr w:type="spellEnd"/>
      <w:r w:rsidRPr="00312A48">
        <w:rPr>
          <w:rFonts w:ascii="Book Antiqua" w:hAnsi="Book Antiqua"/>
          <w:i/>
        </w:rPr>
        <w:t xml:space="preserve"> Int Open</w:t>
      </w:r>
      <w:r w:rsidRPr="00312A48">
        <w:rPr>
          <w:rFonts w:ascii="Book Antiqua" w:hAnsi="Book Antiqua"/>
        </w:rPr>
        <w:t xml:space="preserve"> 2019; </w:t>
      </w:r>
      <w:r w:rsidRPr="00312A48">
        <w:rPr>
          <w:rFonts w:ascii="Book Antiqua" w:hAnsi="Book Antiqua"/>
          <w:b/>
        </w:rPr>
        <w:t>7</w:t>
      </w:r>
      <w:r w:rsidRPr="00312A48">
        <w:rPr>
          <w:rFonts w:ascii="Book Antiqua" w:hAnsi="Book Antiqua"/>
        </w:rPr>
        <w:t>: E647-E654 [PMID: 31058207 DOI: 10.1055/a-0820-2297]</w:t>
      </w:r>
    </w:p>
    <w:p w14:paraId="7D1A3B8F"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40 </w:t>
      </w:r>
      <w:r w:rsidRPr="00312A48">
        <w:rPr>
          <w:rFonts w:ascii="Book Antiqua" w:hAnsi="Book Antiqua"/>
          <w:b/>
        </w:rPr>
        <w:t>ASGE Technology Committee.</w:t>
      </w:r>
      <w:r w:rsidRPr="00312A48">
        <w:rPr>
          <w:rFonts w:ascii="Book Antiqua" w:hAnsi="Book Antiqua"/>
        </w:rPr>
        <w:t xml:space="preserve">, Parsi MA, Trindade AJ, </w:t>
      </w:r>
      <w:proofErr w:type="spellStart"/>
      <w:r w:rsidRPr="00312A48">
        <w:rPr>
          <w:rFonts w:ascii="Book Antiqua" w:hAnsi="Book Antiqua"/>
        </w:rPr>
        <w:t>Bhutani</w:t>
      </w:r>
      <w:proofErr w:type="spellEnd"/>
      <w:r w:rsidRPr="00312A48">
        <w:rPr>
          <w:rFonts w:ascii="Book Antiqua" w:hAnsi="Book Antiqua"/>
        </w:rPr>
        <w:t xml:space="preserve"> MS, </w:t>
      </w:r>
      <w:proofErr w:type="spellStart"/>
      <w:r w:rsidRPr="00312A48">
        <w:rPr>
          <w:rFonts w:ascii="Book Antiqua" w:hAnsi="Book Antiqua"/>
        </w:rPr>
        <w:t>Melson</w:t>
      </w:r>
      <w:proofErr w:type="spellEnd"/>
      <w:r w:rsidRPr="00312A48">
        <w:rPr>
          <w:rFonts w:ascii="Book Antiqua" w:hAnsi="Book Antiqua"/>
        </w:rPr>
        <w:t xml:space="preserve"> J, Navaneethan U, </w:t>
      </w:r>
      <w:proofErr w:type="spellStart"/>
      <w:r w:rsidRPr="00312A48">
        <w:rPr>
          <w:rFonts w:ascii="Book Antiqua" w:hAnsi="Book Antiqua"/>
        </w:rPr>
        <w:t>Thosani</w:t>
      </w:r>
      <w:proofErr w:type="spellEnd"/>
      <w:r w:rsidRPr="00312A48">
        <w:rPr>
          <w:rFonts w:ascii="Book Antiqua" w:hAnsi="Book Antiqua"/>
        </w:rPr>
        <w:t xml:space="preserve"> N, </w:t>
      </w:r>
      <w:proofErr w:type="spellStart"/>
      <w:r w:rsidRPr="00312A48">
        <w:rPr>
          <w:rFonts w:ascii="Book Antiqua" w:hAnsi="Book Antiqua"/>
        </w:rPr>
        <w:t>Trikudanathan</w:t>
      </w:r>
      <w:proofErr w:type="spellEnd"/>
      <w:r w:rsidRPr="00312A48">
        <w:rPr>
          <w:rFonts w:ascii="Book Antiqua" w:hAnsi="Book Antiqua"/>
        </w:rPr>
        <w:t xml:space="preserve"> G, Watson RR, Maple JT. Cryotherapy in gastrointestinal endoscopy. </w:t>
      </w:r>
      <w:proofErr w:type="spellStart"/>
      <w:r w:rsidRPr="00312A48">
        <w:rPr>
          <w:rFonts w:ascii="Book Antiqua" w:hAnsi="Book Antiqua"/>
          <w:i/>
        </w:rPr>
        <w:t>VideoGIE</w:t>
      </w:r>
      <w:proofErr w:type="spellEnd"/>
      <w:r w:rsidRPr="00312A48">
        <w:rPr>
          <w:rFonts w:ascii="Book Antiqua" w:hAnsi="Book Antiqua"/>
        </w:rPr>
        <w:t xml:space="preserve"> 2017; </w:t>
      </w:r>
      <w:r w:rsidRPr="00312A48">
        <w:rPr>
          <w:rFonts w:ascii="Book Antiqua" w:hAnsi="Book Antiqua"/>
          <w:b/>
        </w:rPr>
        <w:t>2</w:t>
      </w:r>
      <w:r w:rsidRPr="00312A48">
        <w:rPr>
          <w:rFonts w:ascii="Book Antiqua" w:hAnsi="Book Antiqua"/>
        </w:rPr>
        <w:t>: 89-95 [PMID: 29905303 DOI: 10.1016/j.vgie.2017.01.021]</w:t>
      </w:r>
    </w:p>
    <w:p w14:paraId="726BE132"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41 </w:t>
      </w:r>
      <w:r w:rsidRPr="00312A48">
        <w:rPr>
          <w:rFonts w:ascii="Book Antiqua" w:hAnsi="Book Antiqua"/>
          <w:b/>
        </w:rPr>
        <w:t>Spiceland CM</w:t>
      </w:r>
      <w:r w:rsidRPr="00312A48">
        <w:rPr>
          <w:rFonts w:ascii="Book Antiqua" w:hAnsi="Book Antiqua"/>
        </w:rPr>
        <w:t xml:space="preserve">, </w:t>
      </w:r>
      <w:proofErr w:type="spellStart"/>
      <w:r w:rsidRPr="00312A48">
        <w:rPr>
          <w:rFonts w:ascii="Book Antiqua" w:hAnsi="Book Antiqua"/>
        </w:rPr>
        <w:t>Elmunzer</w:t>
      </w:r>
      <w:proofErr w:type="spellEnd"/>
      <w:r w:rsidRPr="00312A48">
        <w:rPr>
          <w:rFonts w:ascii="Book Antiqua" w:hAnsi="Book Antiqua"/>
        </w:rPr>
        <w:t xml:space="preserve"> BJ, Paros S, Roof L, McVey M, Hawes R, Hoffman BJ, Elias PS. Salvage cryotherapy in patients undergoing endoscopic eradication therapy for complicated Barrett's esophagus. </w:t>
      </w:r>
      <w:proofErr w:type="spellStart"/>
      <w:r w:rsidRPr="00312A48">
        <w:rPr>
          <w:rFonts w:ascii="Book Antiqua" w:hAnsi="Book Antiqua"/>
          <w:i/>
        </w:rPr>
        <w:t>Endosc</w:t>
      </w:r>
      <w:proofErr w:type="spellEnd"/>
      <w:r w:rsidRPr="00312A48">
        <w:rPr>
          <w:rFonts w:ascii="Book Antiqua" w:hAnsi="Book Antiqua"/>
          <w:i/>
        </w:rPr>
        <w:t xml:space="preserve"> Int Open</w:t>
      </w:r>
      <w:r w:rsidRPr="00312A48">
        <w:rPr>
          <w:rFonts w:ascii="Book Antiqua" w:hAnsi="Book Antiqua"/>
        </w:rPr>
        <w:t xml:space="preserve"> 2019; </w:t>
      </w:r>
      <w:r w:rsidRPr="00312A48">
        <w:rPr>
          <w:rFonts w:ascii="Book Antiqua" w:hAnsi="Book Antiqua"/>
          <w:b/>
        </w:rPr>
        <w:t>7</w:t>
      </w:r>
      <w:r w:rsidRPr="00312A48">
        <w:rPr>
          <w:rFonts w:ascii="Book Antiqua" w:hAnsi="Book Antiqua"/>
        </w:rPr>
        <w:t>: E904-E911 [PMID: 31281876 DOI: 10.1055/a-0902-4587]</w:t>
      </w:r>
    </w:p>
    <w:p w14:paraId="2FAB2BEF"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42 </w:t>
      </w:r>
      <w:r w:rsidRPr="00312A48">
        <w:rPr>
          <w:rFonts w:ascii="Book Antiqua" w:hAnsi="Book Antiqua"/>
          <w:b/>
        </w:rPr>
        <w:t>Trindade AJ</w:t>
      </w:r>
      <w:r w:rsidRPr="00312A48">
        <w:rPr>
          <w:rFonts w:ascii="Book Antiqua" w:hAnsi="Book Antiqua"/>
        </w:rPr>
        <w:t xml:space="preserve">, Inamdar S, Kothari S, Berkowitz J, McKinley M, Kaul V. Feasibility of liquid nitrogen cryotherapy after failed radiofrequency ablation for Barrett's esophagus. </w:t>
      </w:r>
      <w:r w:rsidRPr="00312A48">
        <w:rPr>
          <w:rFonts w:ascii="Book Antiqua" w:hAnsi="Book Antiqua"/>
          <w:i/>
        </w:rPr>
        <w:t xml:space="preserve">Dig </w:t>
      </w:r>
      <w:proofErr w:type="spellStart"/>
      <w:r w:rsidRPr="00312A48">
        <w:rPr>
          <w:rFonts w:ascii="Book Antiqua" w:hAnsi="Book Antiqua"/>
          <w:i/>
        </w:rPr>
        <w:t>Endosc</w:t>
      </w:r>
      <w:proofErr w:type="spellEnd"/>
      <w:r w:rsidRPr="00312A48">
        <w:rPr>
          <w:rFonts w:ascii="Book Antiqua" w:hAnsi="Book Antiqua"/>
        </w:rPr>
        <w:t xml:space="preserve"> 2017; </w:t>
      </w:r>
      <w:r w:rsidRPr="00312A48">
        <w:rPr>
          <w:rFonts w:ascii="Book Antiqua" w:hAnsi="Book Antiqua"/>
          <w:b/>
        </w:rPr>
        <w:t>29</w:t>
      </w:r>
      <w:r w:rsidRPr="00312A48">
        <w:rPr>
          <w:rFonts w:ascii="Book Antiqua" w:hAnsi="Book Antiqua"/>
        </w:rPr>
        <w:t>: 680-685 [PMID: 28303613 DOI: 10.1111/den.12869]</w:t>
      </w:r>
    </w:p>
    <w:p w14:paraId="54C13189"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43 </w:t>
      </w:r>
      <w:r w:rsidRPr="00312A48">
        <w:rPr>
          <w:rFonts w:ascii="Book Antiqua" w:hAnsi="Book Antiqua"/>
          <w:b/>
        </w:rPr>
        <w:t>Sengupta N</w:t>
      </w:r>
      <w:r w:rsidRPr="00312A48">
        <w:rPr>
          <w:rFonts w:ascii="Book Antiqua" w:hAnsi="Book Antiqua"/>
        </w:rPr>
        <w:t xml:space="preserve">, </w:t>
      </w:r>
      <w:proofErr w:type="spellStart"/>
      <w:r w:rsidRPr="00312A48">
        <w:rPr>
          <w:rFonts w:ascii="Book Antiqua" w:hAnsi="Book Antiqua"/>
        </w:rPr>
        <w:t>Ketwaroo</w:t>
      </w:r>
      <w:proofErr w:type="spellEnd"/>
      <w:r w:rsidRPr="00312A48">
        <w:rPr>
          <w:rFonts w:ascii="Book Antiqua" w:hAnsi="Book Antiqua"/>
        </w:rPr>
        <w:t xml:space="preserve"> GA, </w:t>
      </w:r>
      <w:proofErr w:type="spellStart"/>
      <w:r w:rsidRPr="00312A48">
        <w:rPr>
          <w:rFonts w:ascii="Book Antiqua" w:hAnsi="Book Antiqua"/>
        </w:rPr>
        <w:t>Bak</w:t>
      </w:r>
      <w:proofErr w:type="spellEnd"/>
      <w:r w:rsidRPr="00312A48">
        <w:rPr>
          <w:rFonts w:ascii="Book Antiqua" w:hAnsi="Book Antiqua"/>
        </w:rPr>
        <w:t xml:space="preserve"> DM, </w:t>
      </w:r>
      <w:proofErr w:type="spellStart"/>
      <w:r w:rsidRPr="00312A48">
        <w:rPr>
          <w:rFonts w:ascii="Book Antiqua" w:hAnsi="Book Antiqua"/>
        </w:rPr>
        <w:t>Kedar</w:t>
      </w:r>
      <w:proofErr w:type="spellEnd"/>
      <w:r w:rsidRPr="00312A48">
        <w:rPr>
          <w:rFonts w:ascii="Book Antiqua" w:hAnsi="Book Antiqua"/>
        </w:rPr>
        <w:t xml:space="preserve"> V, </w:t>
      </w:r>
      <w:proofErr w:type="spellStart"/>
      <w:r w:rsidRPr="00312A48">
        <w:rPr>
          <w:rFonts w:ascii="Book Antiqua" w:hAnsi="Book Antiqua"/>
        </w:rPr>
        <w:t>Chuttani</w:t>
      </w:r>
      <w:proofErr w:type="spellEnd"/>
      <w:r w:rsidRPr="00312A48">
        <w:rPr>
          <w:rFonts w:ascii="Book Antiqua" w:hAnsi="Book Antiqua"/>
        </w:rPr>
        <w:t xml:space="preserve"> R, </w:t>
      </w:r>
      <w:proofErr w:type="spellStart"/>
      <w:r w:rsidRPr="00312A48">
        <w:rPr>
          <w:rFonts w:ascii="Book Antiqua" w:hAnsi="Book Antiqua"/>
        </w:rPr>
        <w:t>Berzin</w:t>
      </w:r>
      <w:proofErr w:type="spellEnd"/>
      <w:r w:rsidRPr="00312A48">
        <w:rPr>
          <w:rFonts w:ascii="Book Antiqua" w:hAnsi="Book Antiqua"/>
        </w:rPr>
        <w:t xml:space="preserve"> TM, Sawhney MS, </w:t>
      </w:r>
      <w:proofErr w:type="spellStart"/>
      <w:r w:rsidRPr="00312A48">
        <w:rPr>
          <w:rFonts w:ascii="Book Antiqua" w:hAnsi="Book Antiqua"/>
        </w:rPr>
        <w:t>Pleskow</w:t>
      </w:r>
      <w:proofErr w:type="spellEnd"/>
      <w:r w:rsidRPr="00312A48">
        <w:rPr>
          <w:rFonts w:ascii="Book Antiqua" w:hAnsi="Book Antiqua"/>
        </w:rPr>
        <w:t xml:space="preserve"> DK. Salvage cryotherapy after failed radiofrequency ablation for Barrett's esophagus-related dysplasia is safe and effective. </w:t>
      </w:r>
      <w:proofErr w:type="spellStart"/>
      <w:r w:rsidRPr="00312A48">
        <w:rPr>
          <w:rFonts w:ascii="Book Antiqua" w:hAnsi="Book Antiqua"/>
          <w:i/>
        </w:rPr>
        <w:t>Gastrointest</w:t>
      </w:r>
      <w:proofErr w:type="spellEnd"/>
      <w:r w:rsidRPr="00312A48">
        <w:rPr>
          <w:rFonts w:ascii="Book Antiqua" w:hAnsi="Book Antiqua"/>
          <w:i/>
        </w:rPr>
        <w:t xml:space="preserve"> </w:t>
      </w:r>
      <w:proofErr w:type="spellStart"/>
      <w:r w:rsidRPr="00312A48">
        <w:rPr>
          <w:rFonts w:ascii="Book Antiqua" w:hAnsi="Book Antiqua"/>
          <w:i/>
        </w:rPr>
        <w:t>Endosc</w:t>
      </w:r>
      <w:proofErr w:type="spellEnd"/>
      <w:r w:rsidRPr="00312A48">
        <w:rPr>
          <w:rFonts w:ascii="Book Antiqua" w:hAnsi="Book Antiqua"/>
        </w:rPr>
        <w:t xml:space="preserve"> 2015; </w:t>
      </w:r>
      <w:r w:rsidRPr="00312A48">
        <w:rPr>
          <w:rFonts w:ascii="Book Antiqua" w:hAnsi="Book Antiqua"/>
          <w:b/>
        </w:rPr>
        <w:t>82</w:t>
      </w:r>
      <w:r w:rsidRPr="00312A48">
        <w:rPr>
          <w:rFonts w:ascii="Book Antiqua" w:hAnsi="Book Antiqua"/>
        </w:rPr>
        <w:t>: 443-448 [PMID: 25887715 DOI: 10.1016/j.gie.2015.01.033]</w:t>
      </w:r>
    </w:p>
    <w:p w14:paraId="12963A13"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44 </w:t>
      </w:r>
      <w:r w:rsidRPr="00312A48">
        <w:rPr>
          <w:rFonts w:ascii="Book Antiqua" w:hAnsi="Book Antiqua"/>
          <w:b/>
        </w:rPr>
        <w:t>Trindade AJ</w:t>
      </w:r>
      <w:r w:rsidRPr="00312A48">
        <w:rPr>
          <w:rFonts w:ascii="Book Antiqua" w:hAnsi="Book Antiqua"/>
        </w:rPr>
        <w:t xml:space="preserve">, Canto MI. Circumferential treatment of long-segment Barrett's esophagus using the next-generation </w:t>
      </w:r>
      <w:proofErr w:type="spellStart"/>
      <w:r w:rsidRPr="00312A48">
        <w:rPr>
          <w:rFonts w:ascii="Book Antiqua" w:hAnsi="Book Antiqua"/>
        </w:rPr>
        <w:t>cryoballoon</w:t>
      </w:r>
      <w:proofErr w:type="spellEnd"/>
      <w:r w:rsidRPr="00312A48">
        <w:rPr>
          <w:rFonts w:ascii="Book Antiqua" w:hAnsi="Book Antiqua"/>
        </w:rPr>
        <w:t xml:space="preserve">. </w:t>
      </w:r>
      <w:r w:rsidRPr="00312A48">
        <w:rPr>
          <w:rFonts w:ascii="Book Antiqua" w:hAnsi="Book Antiqua"/>
          <w:i/>
        </w:rPr>
        <w:t>Endoscopy</w:t>
      </w:r>
      <w:r w:rsidRPr="00312A48">
        <w:rPr>
          <w:rFonts w:ascii="Book Antiqua" w:hAnsi="Book Antiqua"/>
        </w:rPr>
        <w:t xml:space="preserve"> 2019; </w:t>
      </w:r>
      <w:r w:rsidRPr="00312A48">
        <w:rPr>
          <w:rFonts w:ascii="Book Antiqua" w:hAnsi="Book Antiqua"/>
          <w:b/>
        </w:rPr>
        <w:t>51</w:t>
      </w:r>
      <w:r w:rsidRPr="00312A48">
        <w:rPr>
          <w:rFonts w:ascii="Book Antiqua" w:hAnsi="Book Antiqua"/>
        </w:rPr>
        <w:t>: E69-E70 [PMID: 30658356 DOI: 10.1055/a-0824-6058]</w:t>
      </w:r>
    </w:p>
    <w:p w14:paraId="283EB48F"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lastRenderedPageBreak/>
        <w:t xml:space="preserve">45 </w:t>
      </w:r>
      <w:r w:rsidRPr="00312A48">
        <w:rPr>
          <w:rFonts w:ascii="Book Antiqua" w:hAnsi="Book Antiqua"/>
          <w:b/>
        </w:rPr>
        <w:t>Canto MI</w:t>
      </w:r>
      <w:r w:rsidRPr="00312A48">
        <w:rPr>
          <w:rFonts w:ascii="Book Antiqua" w:hAnsi="Book Antiqua"/>
        </w:rPr>
        <w:t xml:space="preserve">, </w:t>
      </w:r>
      <w:proofErr w:type="spellStart"/>
      <w:r w:rsidRPr="00312A48">
        <w:rPr>
          <w:rFonts w:ascii="Book Antiqua" w:hAnsi="Book Antiqua"/>
        </w:rPr>
        <w:t>Shaheen</w:t>
      </w:r>
      <w:proofErr w:type="spellEnd"/>
      <w:r w:rsidRPr="00312A48">
        <w:rPr>
          <w:rFonts w:ascii="Book Antiqua" w:hAnsi="Book Antiqua"/>
        </w:rPr>
        <w:t xml:space="preserve"> NJ, </w:t>
      </w:r>
      <w:proofErr w:type="spellStart"/>
      <w:r w:rsidRPr="00312A48">
        <w:rPr>
          <w:rFonts w:ascii="Book Antiqua" w:hAnsi="Book Antiqua"/>
        </w:rPr>
        <w:t>Almario</w:t>
      </w:r>
      <w:proofErr w:type="spellEnd"/>
      <w:r w:rsidRPr="00312A48">
        <w:rPr>
          <w:rFonts w:ascii="Book Antiqua" w:hAnsi="Book Antiqua"/>
        </w:rPr>
        <w:t xml:space="preserve"> JA, Voltaggio L, Montgomery E, </w:t>
      </w:r>
      <w:proofErr w:type="spellStart"/>
      <w:r w:rsidRPr="00312A48">
        <w:rPr>
          <w:rFonts w:ascii="Book Antiqua" w:hAnsi="Book Antiqua"/>
        </w:rPr>
        <w:t>Lightdale</w:t>
      </w:r>
      <w:proofErr w:type="spellEnd"/>
      <w:r w:rsidRPr="00312A48">
        <w:rPr>
          <w:rFonts w:ascii="Book Antiqua" w:hAnsi="Book Antiqua"/>
        </w:rPr>
        <w:t xml:space="preserve"> CJ. Multifocal nitrous oxide </w:t>
      </w:r>
      <w:proofErr w:type="spellStart"/>
      <w:r w:rsidRPr="00312A48">
        <w:rPr>
          <w:rFonts w:ascii="Book Antiqua" w:hAnsi="Book Antiqua"/>
        </w:rPr>
        <w:t>cryoballoon</w:t>
      </w:r>
      <w:proofErr w:type="spellEnd"/>
      <w:r w:rsidRPr="00312A48">
        <w:rPr>
          <w:rFonts w:ascii="Book Antiqua" w:hAnsi="Book Antiqua"/>
        </w:rPr>
        <w:t xml:space="preserve"> ablation with or without EMR for treatment of neoplastic Barrett's esophagus (with video). </w:t>
      </w:r>
      <w:proofErr w:type="spellStart"/>
      <w:r w:rsidRPr="00312A48">
        <w:rPr>
          <w:rFonts w:ascii="Book Antiqua" w:hAnsi="Book Antiqua"/>
          <w:i/>
        </w:rPr>
        <w:t>Gastrointest</w:t>
      </w:r>
      <w:proofErr w:type="spellEnd"/>
      <w:r w:rsidRPr="00312A48">
        <w:rPr>
          <w:rFonts w:ascii="Book Antiqua" w:hAnsi="Book Antiqua"/>
          <w:i/>
        </w:rPr>
        <w:t xml:space="preserve"> </w:t>
      </w:r>
      <w:proofErr w:type="spellStart"/>
      <w:r w:rsidRPr="00312A48">
        <w:rPr>
          <w:rFonts w:ascii="Book Antiqua" w:hAnsi="Book Antiqua"/>
          <w:i/>
        </w:rPr>
        <w:t>Endosc</w:t>
      </w:r>
      <w:proofErr w:type="spellEnd"/>
      <w:r w:rsidRPr="00312A48">
        <w:rPr>
          <w:rFonts w:ascii="Book Antiqua" w:hAnsi="Book Antiqua"/>
        </w:rPr>
        <w:t xml:space="preserve"> 2018; </w:t>
      </w:r>
      <w:r w:rsidRPr="00312A48">
        <w:rPr>
          <w:rFonts w:ascii="Book Antiqua" w:hAnsi="Book Antiqua"/>
          <w:b/>
        </w:rPr>
        <w:t>88</w:t>
      </w:r>
      <w:r w:rsidRPr="00312A48">
        <w:rPr>
          <w:rFonts w:ascii="Book Antiqua" w:hAnsi="Book Antiqua"/>
        </w:rPr>
        <w:t>: 438-446.e2 [PMID: 29626424 DOI: 10.1016/j.gie.2018.03.024]</w:t>
      </w:r>
    </w:p>
    <w:p w14:paraId="08A19AA2"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46 </w:t>
      </w:r>
      <w:r w:rsidRPr="00312A48">
        <w:rPr>
          <w:rFonts w:ascii="Book Antiqua" w:hAnsi="Book Antiqua"/>
          <w:b/>
        </w:rPr>
        <w:t>Manner H</w:t>
      </w:r>
      <w:r w:rsidRPr="00312A48">
        <w:rPr>
          <w:rFonts w:ascii="Book Antiqua" w:hAnsi="Book Antiqua"/>
        </w:rPr>
        <w:t xml:space="preserve">, May A, </w:t>
      </w:r>
      <w:proofErr w:type="spellStart"/>
      <w:r w:rsidRPr="00312A48">
        <w:rPr>
          <w:rFonts w:ascii="Book Antiqua" w:hAnsi="Book Antiqua"/>
        </w:rPr>
        <w:t>Kouti</w:t>
      </w:r>
      <w:proofErr w:type="spellEnd"/>
      <w:r w:rsidRPr="00312A48">
        <w:rPr>
          <w:rFonts w:ascii="Book Antiqua" w:hAnsi="Book Antiqua"/>
        </w:rPr>
        <w:t xml:space="preserve"> I, </w:t>
      </w:r>
      <w:proofErr w:type="spellStart"/>
      <w:r w:rsidRPr="00312A48">
        <w:rPr>
          <w:rFonts w:ascii="Book Antiqua" w:hAnsi="Book Antiqua"/>
        </w:rPr>
        <w:t>Pech</w:t>
      </w:r>
      <w:proofErr w:type="spellEnd"/>
      <w:r w:rsidRPr="00312A48">
        <w:rPr>
          <w:rFonts w:ascii="Book Antiqua" w:hAnsi="Book Antiqua"/>
        </w:rPr>
        <w:t xml:space="preserve"> O, </w:t>
      </w:r>
      <w:proofErr w:type="spellStart"/>
      <w:r w:rsidRPr="00312A48">
        <w:rPr>
          <w:rFonts w:ascii="Book Antiqua" w:hAnsi="Book Antiqua"/>
        </w:rPr>
        <w:t>Vieth</w:t>
      </w:r>
      <w:proofErr w:type="spellEnd"/>
      <w:r w:rsidRPr="00312A48">
        <w:rPr>
          <w:rFonts w:ascii="Book Antiqua" w:hAnsi="Book Antiqua"/>
        </w:rPr>
        <w:t xml:space="preserve"> M, Ell C. Efficacy and safety of Hybrid-APC for the ablation of Barrett's esophagus. </w:t>
      </w:r>
      <w:r w:rsidRPr="00312A48">
        <w:rPr>
          <w:rFonts w:ascii="Book Antiqua" w:hAnsi="Book Antiqua"/>
          <w:i/>
        </w:rPr>
        <w:t xml:space="preserve">Surg </w:t>
      </w:r>
      <w:proofErr w:type="spellStart"/>
      <w:r w:rsidRPr="00312A48">
        <w:rPr>
          <w:rFonts w:ascii="Book Antiqua" w:hAnsi="Book Antiqua"/>
          <w:i/>
        </w:rPr>
        <w:t>Endosc</w:t>
      </w:r>
      <w:proofErr w:type="spellEnd"/>
      <w:r w:rsidRPr="00312A48">
        <w:rPr>
          <w:rFonts w:ascii="Book Antiqua" w:hAnsi="Book Antiqua"/>
        </w:rPr>
        <w:t xml:space="preserve"> 2016; </w:t>
      </w:r>
      <w:r w:rsidRPr="00312A48">
        <w:rPr>
          <w:rFonts w:ascii="Book Antiqua" w:hAnsi="Book Antiqua"/>
          <w:b/>
        </w:rPr>
        <w:t>30</w:t>
      </w:r>
      <w:r w:rsidRPr="00312A48">
        <w:rPr>
          <w:rFonts w:ascii="Book Antiqua" w:hAnsi="Book Antiqua"/>
        </w:rPr>
        <w:t>: 1364-1370 [PMID: 26104794 DOI: 10.1007/s00464-015-4336-1]</w:t>
      </w:r>
    </w:p>
    <w:p w14:paraId="3AB5F3AC" w14:textId="0D61431B"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47 </w:t>
      </w:r>
      <w:r w:rsidRPr="00312A48">
        <w:rPr>
          <w:rFonts w:ascii="Book Antiqua" w:hAnsi="Book Antiqua"/>
          <w:b/>
        </w:rPr>
        <w:t>Trindade AJ</w:t>
      </w:r>
      <w:r w:rsidRPr="00312A48">
        <w:rPr>
          <w:rFonts w:ascii="Book Antiqua" w:hAnsi="Book Antiqua"/>
        </w:rPr>
        <w:t xml:space="preserve">, Wee D, Wander P, Stewart M, Lee C, </w:t>
      </w:r>
      <w:proofErr w:type="spellStart"/>
      <w:r w:rsidRPr="00312A48">
        <w:rPr>
          <w:rFonts w:ascii="Book Antiqua" w:hAnsi="Book Antiqua"/>
        </w:rPr>
        <w:t>Benias</w:t>
      </w:r>
      <w:proofErr w:type="spellEnd"/>
      <w:r w:rsidRPr="00312A48">
        <w:rPr>
          <w:rFonts w:ascii="Book Antiqua" w:hAnsi="Book Antiqua"/>
        </w:rPr>
        <w:t xml:space="preserve"> PC, McKinley MJ. Successful treatment of refractory Barrett's neoplasia with hybrid argon plasma coagulation: a case series. </w:t>
      </w:r>
      <w:r w:rsidRPr="00312A48">
        <w:rPr>
          <w:rFonts w:ascii="Book Antiqua" w:hAnsi="Book Antiqua"/>
          <w:i/>
        </w:rPr>
        <w:t>Endoscopy</w:t>
      </w:r>
      <w:r w:rsidR="009F0A09">
        <w:rPr>
          <w:rFonts w:ascii="Book Antiqua" w:hAnsi="Book Antiqua"/>
        </w:rPr>
        <w:t xml:space="preserve"> 2020 </w:t>
      </w:r>
      <w:r w:rsidRPr="00312A48">
        <w:rPr>
          <w:rFonts w:ascii="Book Antiqua" w:hAnsi="Book Antiqua"/>
        </w:rPr>
        <w:t>[PMID: 32106320 DOI: 10.1055/a-1119-1030]</w:t>
      </w:r>
    </w:p>
    <w:p w14:paraId="7151D783" w14:textId="77777777" w:rsidR="00312A48" w:rsidRPr="00312A48" w:rsidRDefault="00312A48" w:rsidP="00312A48">
      <w:pPr>
        <w:snapToGrid w:val="0"/>
        <w:spacing w:line="360" w:lineRule="auto"/>
        <w:jc w:val="both"/>
        <w:rPr>
          <w:rFonts w:ascii="Book Antiqua" w:hAnsi="Book Antiqua"/>
        </w:rPr>
      </w:pPr>
      <w:r w:rsidRPr="00312A48">
        <w:rPr>
          <w:rFonts w:ascii="Book Antiqua" w:hAnsi="Book Antiqua"/>
        </w:rPr>
        <w:t xml:space="preserve">48 </w:t>
      </w:r>
      <w:proofErr w:type="spellStart"/>
      <w:r w:rsidRPr="00312A48">
        <w:rPr>
          <w:rFonts w:ascii="Book Antiqua" w:hAnsi="Book Antiqua"/>
          <w:b/>
        </w:rPr>
        <w:t>Knabe</w:t>
      </w:r>
      <w:proofErr w:type="spellEnd"/>
      <w:r w:rsidRPr="00312A48">
        <w:rPr>
          <w:rFonts w:ascii="Book Antiqua" w:hAnsi="Book Antiqua"/>
          <w:b/>
        </w:rPr>
        <w:t xml:space="preserve"> M</w:t>
      </w:r>
      <w:r w:rsidRPr="00312A48">
        <w:rPr>
          <w:rFonts w:ascii="Book Antiqua" w:hAnsi="Book Antiqua"/>
        </w:rPr>
        <w:t xml:space="preserve">, </w:t>
      </w:r>
      <w:proofErr w:type="spellStart"/>
      <w:r w:rsidRPr="00312A48">
        <w:rPr>
          <w:rFonts w:ascii="Book Antiqua" w:hAnsi="Book Antiqua"/>
        </w:rPr>
        <w:t>Blößer</w:t>
      </w:r>
      <w:proofErr w:type="spellEnd"/>
      <w:r w:rsidRPr="00312A48">
        <w:rPr>
          <w:rFonts w:ascii="Book Antiqua" w:hAnsi="Book Antiqua"/>
        </w:rPr>
        <w:t xml:space="preserve"> S, </w:t>
      </w:r>
      <w:proofErr w:type="spellStart"/>
      <w:r w:rsidRPr="00312A48">
        <w:rPr>
          <w:rFonts w:ascii="Book Antiqua" w:hAnsi="Book Antiqua"/>
        </w:rPr>
        <w:t>Wetzka</w:t>
      </w:r>
      <w:proofErr w:type="spellEnd"/>
      <w:r w:rsidRPr="00312A48">
        <w:rPr>
          <w:rFonts w:ascii="Book Antiqua" w:hAnsi="Book Antiqua"/>
        </w:rPr>
        <w:t xml:space="preserve"> J, Ell C, May A. Non-thermal ablation of non-neoplastic Barrett's esophagus with the novel </w:t>
      </w:r>
      <w:proofErr w:type="spellStart"/>
      <w:r w:rsidRPr="00312A48">
        <w:rPr>
          <w:rFonts w:ascii="Book Antiqua" w:hAnsi="Book Antiqua"/>
        </w:rPr>
        <w:t>EndoRotor</w:t>
      </w:r>
      <w:proofErr w:type="spellEnd"/>
      <w:r w:rsidRPr="00312A48">
        <w:rPr>
          <w:rFonts w:ascii="Book Antiqua" w:hAnsi="Book Antiqua"/>
        </w:rPr>
        <w:t xml:space="preserve">® resection device. </w:t>
      </w:r>
      <w:r w:rsidRPr="00312A48">
        <w:rPr>
          <w:rFonts w:ascii="Book Antiqua" w:hAnsi="Book Antiqua"/>
          <w:i/>
        </w:rPr>
        <w:t>United European Gastroenterol J</w:t>
      </w:r>
      <w:r w:rsidRPr="00312A48">
        <w:rPr>
          <w:rFonts w:ascii="Book Antiqua" w:hAnsi="Book Antiqua"/>
        </w:rPr>
        <w:t xml:space="preserve"> 2018; </w:t>
      </w:r>
      <w:r w:rsidRPr="00312A48">
        <w:rPr>
          <w:rFonts w:ascii="Book Antiqua" w:hAnsi="Book Antiqua"/>
          <w:b/>
        </w:rPr>
        <w:t>6</w:t>
      </w:r>
      <w:r w:rsidRPr="00312A48">
        <w:rPr>
          <w:rFonts w:ascii="Book Antiqua" w:hAnsi="Book Antiqua"/>
        </w:rPr>
        <w:t>: 678-683 [PMID: 30083329 DOI: 10.1177/2050640618758214]</w:t>
      </w:r>
    </w:p>
    <w:p w14:paraId="483B54C7" w14:textId="77777777" w:rsidR="00312A48" w:rsidRDefault="00312A48">
      <w:pPr>
        <w:rPr>
          <w:rFonts w:ascii="Book Antiqua" w:hAnsi="Book Antiqua"/>
          <w:b/>
          <w:bCs/>
        </w:rPr>
      </w:pPr>
      <w:r>
        <w:rPr>
          <w:rFonts w:ascii="Book Antiqua" w:hAnsi="Book Antiqua"/>
          <w:b/>
          <w:bCs/>
        </w:rPr>
        <w:br w:type="page"/>
      </w:r>
    </w:p>
    <w:p w14:paraId="0A6E373C" w14:textId="77777777" w:rsidR="00312A48" w:rsidRPr="00002F66" w:rsidRDefault="00312A48" w:rsidP="00312A48">
      <w:pPr>
        <w:adjustRightInd w:val="0"/>
        <w:snapToGrid w:val="0"/>
        <w:spacing w:line="360" w:lineRule="auto"/>
        <w:jc w:val="both"/>
        <w:rPr>
          <w:rFonts w:ascii="Book Antiqua" w:hAnsi="Book Antiqua"/>
          <w:b/>
        </w:rPr>
      </w:pPr>
      <w:r w:rsidRPr="00002F66">
        <w:rPr>
          <w:rFonts w:ascii="Book Antiqua" w:hAnsi="Book Antiqua"/>
          <w:b/>
        </w:rPr>
        <w:lastRenderedPageBreak/>
        <w:t>Footnotes</w:t>
      </w:r>
    </w:p>
    <w:p w14:paraId="4149B723" w14:textId="77777777" w:rsidR="00312A48" w:rsidRDefault="00312A48" w:rsidP="00312A48">
      <w:pPr>
        <w:spacing w:line="360" w:lineRule="auto"/>
        <w:jc w:val="both"/>
        <w:rPr>
          <w:rFonts w:ascii="Book Antiqua" w:hAnsi="Book Antiqua"/>
          <w:lang w:eastAsia="zh-CN"/>
        </w:rPr>
      </w:pPr>
      <w:r w:rsidRPr="00110B03">
        <w:rPr>
          <w:rFonts w:ascii="Book Antiqua" w:hAnsi="Book Antiqua"/>
          <w:b/>
          <w:color w:val="000000"/>
        </w:rPr>
        <w:t>Conflict-of-interest statement</w:t>
      </w:r>
      <w:r w:rsidRPr="000C2C0F">
        <w:rPr>
          <w:rFonts w:ascii="Book Antiqua" w:hAnsi="Book Antiqua"/>
          <w:b/>
        </w:rPr>
        <w:t xml:space="preserve">: </w:t>
      </w:r>
      <w:r w:rsidRPr="000C2C0F">
        <w:rPr>
          <w:rFonts w:ascii="Book Antiqua" w:hAnsi="Book Antiqua"/>
        </w:rPr>
        <w:t>There is no conflict of i</w:t>
      </w:r>
      <w:r>
        <w:rPr>
          <w:rFonts w:ascii="Book Antiqua" w:hAnsi="Book Antiqua"/>
        </w:rPr>
        <w:t>nterest associated with any of</w:t>
      </w:r>
      <w:r>
        <w:rPr>
          <w:rFonts w:ascii="Book Antiqua" w:hAnsi="Book Antiqua" w:hint="eastAsia"/>
          <w:lang w:eastAsia="zh-CN"/>
        </w:rPr>
        <w:t xml:space="preserve"> </w:t>
      </w:r>
      <w:r w:rsidRPr="000C2C0F">
        <w:rPr>
          <w:rFonts w:ascii="Book Antiqua" w:hAnsi="Book Antiqua"/>
        </w:rPr>
        <w:t>the senior author or other coauthors contributed their efforts in this manuscript.</w:t>
      </w:r>
    </w:p>
    <w:p w14:paraId="44039859" w14:textId="77777777" w:rsidR="00312A48" w:rsidRPr="00F72C87" w:rsidRDefault="00312A48" w:rsidP="00312A48">
      <w:pPr>
        <w:spacing w:line="360" w:lineRule="auto"/>
        <w:jc w:val="both"/>
        <w:rPr>
          <w:rFonts w:ascii="Book Antiqua" w:hAnsi="Book Antiqua"/>
          <w:b/>
          <w:color w:val="000000"/>
          <w:lang w:eastAsia="zh-CN"/>
        </w:rPr>
      </w:pPr>
    </w:p>
    <w:p w14:paraId="58F877FB" w14:textId="77777777" w:rsidR="00312A48" w:rsidRPr="000C2C0F" w:rsidRDefault="00312A48" w:rsidP="00312A48">
      <w:pPr>
        <w:spacing w:line="360" w:lineRule="auto"/>
        <w:jc w:val="both"/>
        <w:rPr>
          <w:rFonts w:ascii="宋体" w:hAnsi="宋体" w:cs="宋体"/>
          <w:color w:val="000000"/>
          <w:lang w:eastAsia="zh-CN"/>
        </w:rPr>
      </w:pPr>
      <w:r w:rsidRPr="00C810E2">
        <w:rPr>
          <w:rFonts w:ascii="Book Antiqua" w:hAnsi="Book Antiqua"/>
          <w:b/>
          <w:color w:val="000000"/>
        </w:rPr>
        <w:t>Open-Access:</w:t>
      </w:r>
      <w:r w:rsidRPr="00C810E2">
        <w:rPr>
          <w:rFonts w:ascii="Book Antiqua" w:hAnsi="Book Antiqua"/>
          <w:color w:val="000000"/>
        </w:rPr>
        <w:t xml:space="preserve"> This article is an open-access </w:t>
      </w:r>
      <w:r w:rsidRPr="00C810E2">
        <w:rPr>
          <w:rFonts w:ascii="Book Antiqua" w:hAnsi="Book Antiqua"/>
        </w:rPr>
        <w:t xml:space="preserve">article that was selected </w:t>
      </w:r>
      <w:r w:rsidRPr="00C810E2">
        <w:rPr>
          <w:rFonts w:ascii="Book Antiqua" w:hAnsi="Book Antiqua"/>
          <w:color w:val="000000"/>
        </w:rPr>
        <w:t xml:space="preserve">by an in-house editor and fully peer-reviewed by external reviewers. It is distributed in accordance with the Creative Commons Attribution </w:t>
      </w:r>
      <w:proofErr w:type="spellStart"/>
      <w:r w:rsidRPr="00C810E2">
        <w:rPr>
          <w:rFonts w:ascii="Book Antiqua" w:hAnsi="Book Antiqua"/>
          <w:color w:val="000000"/>
        </w:rPr>
        <w:t>NonCommercial</w:t>
      </w:r>
      <w:proofErr w:type="spellEnd"/>
      <w:r w:rsidRPr="00C810E2">
        <w:rPr>
          <w:rFonts w:ascii="Book Antiqua" w:hAnsi="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4F1FB65E" w14:textId="77777777" w:rsidR="00312A48" w:rsidRPr="000C2C0F" w:rsidRDefault="00312A48" w:rsidP="00312A48">
      <w:pPr>
        <w:spacing w:line="360" w:lineRule="auto"/>
        <w:jc w:val="both"/>
        <w:rPr>
          <w:rFonts w:ascii="Book Antiqua" w:hAnsi="Book Antiqua"/>
        </w:rPr>
      </w:pPr>
    </w:p>
    <w:p w14:paraId="0EA41A5B" w14:textId="77777777" w:rsidR="00312A48" w:rsidRDefault="00312A48" w:rsidP="00312A48">
      <w:pPr>
        <w:adjustRightInd w:val="0"/>
        <w:snapToGrid w:val="0"/>
        <w:spacing w:line="360" w:lineRule="auto"/>
        <w:jc w:val="both"/>
        <w:rPr>
          <w:rFonts w:ascii="Book Antiqua" w:hAnsi="Book Antiqua"/>
          <w:bCs/>
          <w:color w:val="000000"/>
          <w:lang w:eastAsia="zh-CN"/>
        </w:rPr>
      </w:pPr>
      <w:r w:rsidRPr="00002F66">
        <w:rPr>
          <w:rFonts w:ascii="Book Antiqua" w:hAnsi="Book Antiqua"/>
          <w:b/>
          <w:bCs/>
          <w:color w:val="000000"/>
          <w:lang w:eastAsia="pl-PL"/>
        </w:rPr>
        <w:t>Manuscript source:</w:t>
      </w:r>
      <w:r w:rsidRPr="00002F66">
        <w:rPr>
          <w:rFonts w:ascii="Book Antiqua" w:hAnsi="Book Antiqua"/>
          <w:b/>
          <w:bCs/>
          <w:color w:val="000000"/>
          <w:lang w:eastAsia="zh-CN"/>
        </w:rPr>
        <w:t xml:space="preserve"> </w:t>
      </w:r>
      <w:r>
        <w:rPr>
          <w:rFonts w:ascii="Book Antiqua" w:hAnsi="Book Antiqua" w:hint="eastAsia"/>
          <w:bCs/>
          <w:color w:val="000000"/>
          <w:lang w:eastAsia="zh-CN"/>
        </w:rPr>
        <w:t>Invited</w:t>
      </w:r>
      <w:r w:rsidRPr="00002F66">
        <w:rPr>
          <w:rFonts w:ascii="Book Antiqua" w:hAnsi="Book Antiqua"/>
          <w:bCs/>
          <w:color w:val="000000"/>
          <w:lang w:eastAsia="pl-PL"/>
        </w:rPr>
        <w:t> manuscript</w:t>
      </w:r>
    </w:p>
    <w:p w14:paraId="4E05DAFF" w14:textId="77777777" w:rsidR="00312A48" w:rsidRPr="00002F66" w:rsidRDefault="00312A48" w:rsidP="00312A48">
      <w:pPr>
        <w:widowControl w:val="0"/>
        <w:adjustRightInd w:val="0"/>
        <w:snapToGrid w:val="0"/>
        <w:spacing w:line="360" w:lineRule="auto"/>
        <w:jc w:val="both"/>
        <w:rPr>
          <w:rFonts w:ascii="Book Antiqua" w:hAnsi="Book Antiqua"/>
          <w:b/>
          <w:kern w:val="2"/>
          <w:lang w:eastAsia="zh-CN"/>
        </w:rPr>
      </w:pPr>
    </w:p>
    <w:p w14:paraId="51AF5522" w14:textId="1A8C073A" w:rsidR="00312A48" w:rsidRDefault="00312A48" w:rsidP="00312A48">
      <w:pPr>
        <w:spacing w:line="360" w:lineRule="auto"/>
        <w:jc w:val="both"/>
        <w:rPr>
          <w:rFonts w:ascii="Book Antiqua" w:hAnsi="Book Antiqua"/>
          <w:b/>
        </w:rPr>
      </w:pPr>
      <w:r w:rsidRPr="009659DA">
        <w:rPr>
          <w:rFonts w:ascii="Book Antiqua" w:hAnsi="Book Antiqua" w:hint="eastAsia"/>
          <w:b/>
        </w:rPr>
        <w:t>Peer-review started</w:t>
      </w:r>
      <w:r>
        <w:rPr>
          <w:rFonts w:ascii="Book Antiqua" w:hAnsi="Book Antiqua"/>
          <w:b/>
        </w:rPr>
        <w:t>:</w:t>
      </w:r>
      <w:r w:rsidRPr="00D709F3">
        <w:rPr>
          <w:rFonts w:ascii="Book Antiqua" w:hAnsi="Book Antiqua" w:hint="eastAsia"/>
          <w:lang w:eastAsia="zh-CN"/>
        </w:rPr>
        <w:t xml:space="preserve"> </w:t>
      </w:r>
      <w:r w:rsidR="00814FF5">
        <w:rPr>
          <w:rFonts w:ascii="Book Antiqua" w:hAnsi="Book Antiqua"/>
          <w:lang w:eastAsia="zh-CN"/>
        </w:rPr>
        <w:t>December</w:t>
      </w:r>
      <w:r>
        <w:rPr>
          <w:rFonts w:ascii="Book Antiqua" w:hAnsi="Book Antiqua" w:hint="eastAsia"/>
          <w:lang w:eastAsia="zh-CN"/>
        </w:rPr>
        <w:t xml:space="preserve"> 31</w:t>
      </w:r>
      <w:r w:rsidR="00814FF5">
        <w:rPr>
          <w:rFonts w:ascii="Book Antiqua" w:hAnsi="Book Antiqua" w:hint="eastAsia"/>
          <w:lang w:eastAsia="zh-CN"/>
        </w:rPr>
        <w:t>, 20</w:t>
      </w:r>
      <w:r w:rsidR="00814FF5">
        <w:rPr>
          <w:rFonts w:ascii="Book Antiqua" w:hAnsi="Book Antiqua"/>
          <w:lang w:eastAsia="zh-CN"/>
        </w:rPr>
        <w:t>19</w:t>
      </w:r>
    </w:p>
    <w:p w14:paraId="4E61D3CA" w14:textId="35BD0BC6" w:rsidR="00312A48" w:rsidRPr="00D709F3" w:rsidRDefault="00312A48" w:rsidP="00312A48">
      <w:pPr>
        <w:spacing w:line="360" w:lineRule="auto"/>
        <w:jc w:val="both"/>
        <w:rPr>
          <w:rFonts w:ascii="Book Antiqua" w:hAnsi="Book Antiqua"/>
          <w:lang w:eastAsia="zh-CN"/>
        </w:rPr>
      </w:pPr>
      <w:bookmarkStart w:id="7" w:name="OLE_LINK21"/>
      <w:bookmarkStart w:id="8" w:name="OLE_LINK22"/>
      <w:r w:rsidRPr="009659DA">
        <w:rPr>
          <w:rFonts w:ascii="Book Antiqua" w:hAnsi="Book Antiqua"/>
          <w:b/>
        </w:rPr>
        <w:t>First decision:</w:t>
      </w:r>
      <w:r>
        <w:rPr>
          <w:rFonts w:ascii="Book Antiqua" w:hAnsi="Book Antiqua" w:hint="eastAsia"/>
          <w:b/>
          <w:lang w:eastAsia="zh-CN"/>
        </w:rPr>
        <w:t xml:space="preserve"> </w:t>
      </w:r>
      <w:r w:rsidR="00814FF5">
        <w:rPr>
          <w:rFonts w:ascii="Book Antiqua" w:hAnsi="Book Antiqua" w:hint="eastAsia"/>
          <w:lang w:eastAsia="zh-CN"/>
        </w:rPr>
        <w:t xml:space="preserve">April </w:t>
      </w:r>
      <w:r w:rsidR="00814FF5">
        <w:rPr>
          <w:rFonts w:ascii="Book Antiqua" w:hAnsi="Book Antiqua"/>
          <w:lang w:eastAsia="zh-CN"/>
        </w:rPr>
        <w:t>1</w:t>
      </w:r>
      <w:r w:rsidR="00814FF5">
        <w:rPr>
          <w:rFonts w:ascii="Book Antiqua" w:hAnsi="Book Antiqua" w:hint="eastAsia"/>
          <w:lang w:eastAsia="zh-CN"/>
        </w:rPr>
        <w:t>, 20</w:t>
      </w:r>
      <w:r w:rsidR="00814FF5">
        <w:rPr>
          <w:rFonts w:ascii="Book Antiqua" w:hAnsi="Book Antiqua"/>
          <w:lang w:eastAsia="zh-CN"/>
        </w:rPr>
        <w:t>20</w:t>
      </w:r>
    </w:p>
    <w:bookmarkEnd w:id="7"/>
    <w:bookmarkEnd w:id="8"/>
    <w:p w14:paraId="1A06CF71" w14:textId="77777777" w:rsidR="00312A48" w:rsidRDefault="00312A48" w:rsidP="00312A48">
      <w:pPr>
        <w:spacing w:line="360" w:lineRule="auto"/>
        <w:jc w:val="both"/>
        <w:rPr>
          <w:rFonts w:ascii="Book Antiqua" w:hAnsi="Book Antiqua"/>
          <w:b/>
        </w:rPr>
      </w:pPr>
      <w:r w:rsidRPr="009659DA">
        <w:rPr>
          <w:rFonts w:ascii="Book Antiqua" w:hAnsi="Book Antiqua"/>
          <w:b/>
        </w:rPr>
        <w:t>Article in press:</w:t>
      </w:r>
    </w:p>
    <w:p w14:paraId="1250DA7A" w14:textId="77777777" w:rsidR="00312A48" w:rsidRDefault="00312A48" w:rsidP="00312A48">
      <w:pPr>
        <w:adjustRightInd w:val="0"/>
        <w:snapToGrid w:val="0"/>
        <w:spacing w:line="360" w:lineRule="auto"/>
        <w:ind w:right="239"/>
        <w:jc w:val="both"/>
        <w:rPr>
          <w:rStyle w:val="af3"/>
          <w:rFonts w:ascii="Book Antiqua" w:hAnsi="Book Antiqua" w:cs="Arial"/>
          <w:noProof/>
          <w:lang w:eastAsia="zh-CN"/>
        </w:rPr>
      </w:pPr>
    </w:p>
    <w:p w14:paraId="42DA252E" w14:textId="043D1AA3" w:rsidR="00312A48" w:rsidRPr="00002F66" w:rsidRDefault="00312A48" w:rsidP="00312A48">
      <w:pPr>
        <w:widowControl w:val="0"/>
        <w:adjustRightInd w:val="0"/>
        <w:snapToGrid w:val="0"/>
        <w:spacing w:line="360" w:lineRule="auto"/>
        <w:jc w:val="both"/>
        <w:rPr>
          <w:rFonts w:ascii="Book Antiqua" w:eastAsia="微软雅黑" w:hAnsi="Book Antiqua" w:cs="宋体"/>
          <w:lang w:eastAsia="zh-CN"/>
        </w:rPr>
      </w:pPr>
      <w:r w:rsidRPr="00002F66">
        <w:rPr>
          <w:rFonts w:ascii="Book Antiqua" w:hAnsi="Book Antiqua" w:cs="宋体"/>
          <w:b/>
          <w:lang w:eastAsia="zh-CN"/>
        </w:rPr>
        <w:t xml:space="preserve">Specialty type: </w:t>
      </w:r>
      <w:r w:rsidR="00814FF5" w:rsidRPr="00814FF5">
        <w:rPr>
          <w:rFonts w:ascii="Book Antiqua" w:eastAsia="微软雅黑" w:hAnsi="Book Antiqua" w:cs="宋体"/>
          <w:lang w:eastAsia="zh-CN"/>
        </w:rPr>
        <w:t>Gastroenterology and hepatology</w:t>
      </w:r>
    </w:p>
    <w:p w14:paraId="45D12BA7" w14:textId="77777777" w:rsidR="00312A48" w:rsidRPr="00002F66" w:rsidRDefault="00312A48" w:rsidP="00312A48">
      <w:pPr>
        <w:widowControl w:val="0"/>
        <w:adjustRightInd w:val="0"/>
        <w:snapToGrid w:val="0"/>
        <w:spacing w:line="360" w:lineRule="auto"/>
        <w:jc w:val="both"/>
        <w:rPr>
          <w:rFonts w:ascii="Book Antiqua" w:hAnsi="Book Antiqua" w:cs="宋体"/>
          <w:lang w:eastAsia="zh-CN"/>
        </w:rPr>
      </w:pPr>
      <w:r w:rsidRPr="00007BBA">
        <w:rPr>
          <w:rFonts w:ascii="Book Antiqua" w:hAnsi="Book Antiqua" w:cs="宋体"/>
          <w:b/>
          <w:lang w:eastAsia="zh-CN"/>
        </w:rPr>
        <w:t>Country/Territory</w:t>
      </w:r>
      <w:r w:rsidRPr="00002F66">
        <w:rPr>
          <w:rFonts w:ascii="Book Antiqua" w:hAnsi="Book Antiqua" w:cs="宋体"/>
          <w:b/>
          <w:lang w:eastAsia="zh-CN"/>
        </w:rPr>
        <w:t xml:space="preserve"> of origin: </w:t>
      </w:r>
      <w:r>
        <w:rPr>
          <w:rFonts w:ascii="Book Antiqua" w:hAnsi="Book Antiqua" w:cs="宋体" w:hint="eastAsia"/>
          <w:lang w:eastAsia="zh-CN"/>
        </w:rPr>
        <w:t>United States</w:t>
      </w:r>
    </w:p>
    <w:p w14:paraId="04848CA0" w14:textId="77777777" w:rsidR="00312A48" w:rsidRDefault="00312A48" w:rsidP="00312A48">
      <w:pPr>
        <w:widowControl w:val="0"/>
        <w:adjustRightInd w:val="0"/>
        <w:snapToGrid w:val="0"/>
        <w:spacing w:line="360" w:lineRule="auto"/>
        <w:jc w:val="both"/>
        <w:rPr>
          <w:rFonts w:ascii="Book Antiqua" w:hAnsi="Book Antiqua" w:cs="宋体"/>
          <w:b/>
          <w:lang w:eastAsia="zh-CN"/>
        </w:rPr>
      </w:pPr>
      <w:r w:rsidRPr="00007BBA">
        <w:rPr>
          <w:rFonts w:ascii="Book Antiqua" w:hAnsi="Book Antiqua" w:cs="宋体"/>
          <w:b/>
          <w:lang w:eastAsia="zh-CN"/>
        </w:rPr>
        <w:t>Peer-review report’s scientific quality classification</w:t>
      </w:r>
    </w:p>
    <w:p w14:paraId="6C137944" w14:textId="16522810" w:rsidR="00312A48" w:rsidRPr="00002F66" w:rsidRDefault="00814FF5" w:rsidP="00312A48">
      <w:pPr>
        <w:widowControl w:val="0"/>
        <w:adjustRightInd w:val="0"/>
        <w:snapToGrid w:val="0"/>
        <w:spacing w:line="360" w:lineRule="auto"/>
        <w:jc w:val="both"/>
        <w:rPr>
          <w:rFonts w:ascii="Book Antiqua" w:hAnsi="Book Antiqua" w:cs="宋体"/>
          <w:lang w:eastAsia="zh-CN"/>
        </w:rPr>
      </w:pPr>
      <w:r>
        <w:rPr>
          <w:rFonts w:ascii="Book Antiqua" w:hAnsi="Book Antiqua" w:cs="宋体"/>
          <w:lang w:eastAsia="zh-CN"/>
        </w:rPr>
        <w:t>Grade A (Excellent): 0</w:t>
      </w:r>
    </w:p>
    <w:p w14:paraId="422006CF" w14:textId="77777777" w:rsidR="00312A48" w:rsidRPr="00002F66" w:rsidRDefault="00312A48" w:rsidP="00312A48">
      <w:pPr>
        <w:widowControl w:val="0"/>
        <w:adjustRightInd w:val="0"/>
        <w:snapToGrid w:val="0"/>
        <w:spacing w:line="360" w:lineRule="auto"/>
        <w:jc w:val="both"/>
        <w:rPr>
          <w:rFonts w:ascii="Book Antiqua" w:hAnsi="Book Antiqua" w:cs="宋体"/>
          <w:lang w:eastAsia="zh-CN"/>
        </w:rPr>
      </w:pPr>
      <w:r>
        <w:rPr>
          <w:rFonts w:ascii="Book Antiqua" w:hAnsi="Book Antiqua" w:cs="宋体"/>
          <w:lang w:eastAsia="zh-CN"/>
        </w:rPr>
        <w:t xml:space="preserve">Grade B (Very good): </w:t>
      </w:r>
      <w:r>
        <w:rPr>
          <w:rFonts w:ascii="Book Antiqua" w:hAnsi="Book Antiqua" w:cs="宋体" w:hint="eastAsia"/>
          <w:lang w:eastAsia="zh-CN"/>
        </w:rPr>
        <w:t>B</w:t>
      </w:r>
    </w:p>
    <w:p w14:paraId="61B21C9F" w14:textId="1FA40B05" w:rsidR="00312A48" w:rsidRPr="00002F66" w:rsidRDefault="00814FF5" w:rsidP="00312A48">
      <w:pPr>
        <w:widowControl w:val="0"/>
        <w:adjustRightInd w:val="0"/>
        <w:snapToGrid w:val="0"/>
        <w:spacing w:line="360" w:lineRule="auto"/>
        <w:jc w:val="both"/>
        <w:rPr>
          <w:rFonts w:ascii="Book Antiqua" w:hAnsi="Book Antiqua" w:cs="宋体"/>
          <w:lang w:eastAsia="zh-CN"/>
        </w:rPr>
      </w:pPr>
      <w:r>
        <w:rPr>
          <w:rFonts w:ascii="Book Antiqua" w:hAnsi="Book Antiqua" w:cs="宋体"/>
          <w:lang w:eastAsia="zh-CN"/>
        </w:rPr>
        <w:t>Grade C (Good): 0</w:t>
      </w:r>
    </w:p>
    <w:p w14:paraId="0900EF69" w14:textId="77777777" w:rsidR="00312A48" w:rsidRPr="00002F66" w:rsidRDefault="00312A48" w:rsidP="00312A48">
      <w:pPr>
        <w:widowControl w:val="0"/>
        <w:adjustRightInd w:val="0"/>
        <w:snapToGrid w:val="0"/>
        <w:spacing w:line="360" w:lineRule="auto"/>
        <w:jc w:val="both"/>
        <w:rPr>
          <w:rFonts w:ascii="Book Antiqua" w:hAnsi="Book Antiqua" w:cs="宋体"/>
          <w:lang w:eastAsia="zh-CN"/>
        </w:rPr>
      </w:pPr>
      <w:r w:rsidRPr="00002F66">
        <w:rPr>
          <w:rFonts w:ascii="Book Antiqua" w:hAnsi="Book Antiqua" w:cs="宋体"/>
          <w:lang w:eastAsia="zh-CN"/>
        </w:rPr>
        <w:t>Grade D (Fair): 0</w:t>
      </w:r>
    </w:p>
    <w:p w14:paraId="03ED34FD" w14:textId="77777777" w:rsidR="00312A48" w:rsidRPr="00002F66" w:rsidRDefault="00312A48" w:rsidP="00312A48">
      <w:pPr>
        <w:widowControl w:val="0"/>
        <w:adjustRightInd w:val="0"/>
        <w:snapToGrid w:val="0"/>
        <w:spacing w:line="360" w:lineRule="auto"/>
        <w:jc w:val="both"/>
        <w:rPr>
          <w:rFonts w:ascii="Book Antiqua" w:eastAsia="等线" w:hAnsi="Book Antiqua"/>
          <w:kern w:val="2"/>
          <w:lang w:val="hu-HU" w:eastAsia="zh-CN"/>
        </w:rPr>
      </w:pPr>
      <w:r w:rsidRPr="00002F66">
        <w:rPr>
          <w:rFonts w:ascii="Book Antiqua" w:hAnsi="Book Antiqua" w:cs="宋体"/>
          <w:lang w:eastAsia="zh-CN"/>
        </w:rPr>
        <w:t>Grade E (Poor): 0</w:t>
      </w:r>
    </w:p>
    <w:p w14:paraId="3E1676F9" w14:textId="77777777" w:rsidR="00312A48" w:rsidRPr="00F72C87" w:rsidRDefault="00312A48" w:rsidP="00312A48">
      <w:pPr>
        <w:adjustRightInd w:val="0"/>
        <w:snapToGrid w:val="0"/>
        <w:spacing w:line="360" w:lineRule="auto"/>
        <w:ind w:right="239"/>
        <w:jc w:val="both"/>
        <w:rPr>
          <w:rStyle w:val="af3"/>
          <w:rFonts w:ascii="Book Antiqua" w:hAnsi="Book Antiqua" w:cs="Arial"/>
          <w:noProof/>
          <w:lang w:val="hu-HU" w:eastAsia="zh-CN"/>
        </w:rPr>
      </w:pPr>
    </w:p>
    <w:p w14:paraId="7EDEF69C" w14:textId="0A1527E5" w:rsidR="00312A48" w:rsidRPr="0044675C" w:rsidRDefault="00312A48" w:rsidP="00312A48">
      <w:pPr>
        <w:adjustRightInd w:val="0"/>
        <w:snapToGrid w:val="0"/>
        <w:spacing w:line="360" w:lineRule="auto"/>
        <w:ind w:right="239"/>
        <w:rPr>
          <w:rFonts w:ascii="Book Antiqua" w:hAnsi="Book Antiqua"/>
          <w:bCs/>
        </w:rPr>
      </w:pPr>
      <w:r w:rsidRPr="006B3D6C">
        <w:rPr>
          <w:rStyle w:val="af3"/>
          <w:rFonts w:ascii="Book Antiqua" w:hAnsi="Book Antiqua" w:cs="Arial"/>
          <w:noProof/>
          <w:lang w:val="en-GB"/>
        </w:rPr>
        <w:t>P-Reviewer:</w:t>
      </w:r>
      <w:r w:rsidR="00814FF5">
        <w:t xml:space="preserve"> </w:t>
      </w:r>
      <w:proofErr w:type="spellStart"/>
      <w:r w:rsidR="00814FF5" w:rsidRPr="00814FF5">
        <w:rPr>
          <w:rFonts w:ascii="Book Antiqua" w:hAnsi="Book Antiqua"/>
          <w:color w:val="000000"/>
          <w:lang w:val="en-GB"/>
        </w:rPr>
        <w:t>Mastracci</w:t>
      </w:r>
      <w:proofErr w:type="spellEnd"/>
      <w:r w:rsidR="00814FF5">
        <w:rPr>
          <w:rFonts w:ascii="Book Antiqua" w:hAnsi="Book Antiqua"/>
          <w:color w:val="000000"/>
          <w:lang w:val="en-GB"/>
        </w:rPr>
        <w:t xml:space="preserve"> L</w:t>
      </w:r>
      <w:r w:rsidRPr="006B3D6C">
        <w:rPr>
          <w:rFonts w:ascii="Book Antiqua" w:hAnsi="Book Antiqua" w:hint="eastAsia"/>
          <w:bCs/>
          <w:lang w:val="en-GB"/>
        </w:rPr>
        <w:t xml:space="preserve"> </w:t>
      </w:r>
      <w:r w:rsidRPr="006B3D6C">
        <w:rPr>
          <w:rFonts w:ascii="Book Antiqua" w:hAnsi="Book Antiqua"/>
          <w:b/>
          <w:bCs/>
          <w:lang w:val="en-GB"/>
        </w:rPr>
        <w:t>S-Editor:</w:t>
      </w:r>
      <w:r w:rsidRPr="006B3D6C">
        <w:rPr>
          <w:rFonts w:ascii="Book Antiqua" w:hAnsi="Book Antiqua"/>
          <w:bCs/>
          <w:lang w:val="en-GB"/>
        </w:rPr>
        <w:t xml:space="preserve"> </w:t>
      </w:r>
      <w:r w:rsidR="00814FF5">
        <w:rPr>
          <w:rFonts w:ascii="Book Antiqua" w:hAnsi="Book Antiqua"/>
          <w:bCs/>
          <w:lang w:val="en-GB"/>
        </w:rPr>
        <w:t>Zhang L</w:t>
      </w:r>
      <w:r>
        <w:rPr>
          <w:rFonts w:ascii="Book Antiqua" w:hAnsi="Book Antiqua" w:hint="eastAsia"/>
          <w:bCs/>
          <w:lang w:val="en-GB" w:eastAsia="zh-CN"/>
        </w:rPr>
        <w:t xml:space="preserve"> </w:t>
      </w:r>
      <w:r w:rsidR="009F0A09">
        <w:rPr>
          <w:rFonts w:ascii="Book Antiqua" w:hAnsi="Book Antiqua"/>
          <w:b/>
          <w:bCs/>
        </w:rPr>
        <w:t>L-Editor:</w:t>
      </w:r>
      <w:r w:rsidRPr="008D7BB3">
        <w:rPr>
          <w:rFonts w:ascii="Book Antiqua" w:hAnsi="Book Antiqua"/>
          <w:b/>
          <w:bCs/>
        </w:rPr>
        <w:t xml:space="preserve"> E-Editor:</w:t>
      </w:r>
    </w:p>
    <w:p w14:paraId="1F4D6710" w14:textId="200651B2" w:rsidR="00814FF5" w:rsidRPr="00814FF5" w:rsidRDefault="00814FF5" w:rsidP="00814FF5">
      <w:pPr>
        <w:adjustRightInd w:val="0"/>
        <w:snapToGrid w:val="0"/>
        <w:spacing w:line="360" w:lineRule="auto"/>
        <w:jc w:val="both"/>
        <w:rPr>
          <w:rFonts w:ascii="Book Antiqua" w:eastAsia="宋体" w:hAnsi="Book Antiqua"/>
          <w:b/>
          <w:lang w:eastAsia="zh-CN"/>
        </w:rPr>
      </w:pPr>
      <w:r w:rsidRPr="00E70091">
        <w:rPr>
          <w:rFonts w:ascii="Book Antiqua" w:hAnsi="Book Antiqua"/>
          <w:b/>
        </w:rPr>
        <w:lastRenderedPageBreak/>
        <w:t>Figure Legends</w:t>
      </w:r>
    </w:p>
    <w:p w14:paraId="69E3F0F5" w14:textId="78EFA377" w:rsidR="00867456" w:rsidRPr="00312A48" w:rsidRDefault="00CA30D0" w:rsidP="00312A48">
      <w:pPr>
        <w:snapToGrid w:val="0"/>
        <w:spacing w:line="360" w:lineRule="auto"/>
        <w:jc w:val="both"/>
        <w:rPr>
          <w:rFonts w:ascii="Book Antiqua" w:hAnsi="Book Antiqua"/>
        </w:rPr>
      </w:pPr>
      <w:r>
        <w:rPr>
          <w:rFonts w:ascii="Book Antiqua" w:hAnsi="Book Antiqua"/>
          <w:noProof/>
          <w:lang w:eastAsia="zh-CN"/>
        </w:rPr>
        <w:drawing>
          <wp:inline distT="0" distB="0" distL="0" distR="0" wp14:anchorId="1C5F01CC" wp14:editId="7C9AD62B">
            <wp:extent cx="5486400" cy="2319655"/>
            <wp:effectExtent l="0" t="0" r="0" b="444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1.png"/>
                    <pic:cNvPicPr/>
                  </pic:nvPicPr>
                  <pic:blipFill>
                    <a:blip r:embed="rId9">
                      <a:extLst>
                        <a:ext uri="{28A0092B-C50C-407E-A947-70E740481C1C}">
                          <a14:useLocalDpi xmlns:a14="http://schemas.microsoft.com/office/drawing/2010/main" val="0"/>
                        </a:ext>
                      </a:extLst>
                    </a:blip>
                    <a:stretch>
                      <a:fillRect/>
                    </a:stretch>
                  </pic:blipFill>
                  <pic:spPr>
                    <a:xfrm>
                      <a:off x="0" y="0"/>
                      <a:ext cx="5486400" cy="2319655"/>
                    </a:xfrm>
                    <a:prstGeom prst="rect">
                      <a:avLst/>
                    </a:prstGeom>
                  </pic:spPr>
                </pic:pic>
              </a:graphicData>
            </a:graphic>
          </wp:inline>
        </w:drawing>
      </w:r>
    </w:p>
    <w:p w14:paraId="006A2337" w14:textId="755B0D73" w:rsidR="00814FF5" w:rsidRPr="00312A48" w:rsidRDefault="00814FF5" w:rsidP="00814FF5">
      <w:pPr>
        <w:snapToGrid w:val="0"/>
        <w:spacing w:line="360" w:lineRule="auto"/>
        <w:jc w:val="both"/>
        <w:rPr>
          <w:rFonts w:ascii="Book Antiqua" w:hAnsi="Book Antiqua"/>
        </w:rPr>
      </w:pPr>
      <w:r w:rsidRPr="00814FF5">
        <w:rPr>
          <w:rFonts w:ascii="Book Antiqua" w:hAnsi="Book Antiqua"/>
          <w:b/>
        </w:rPr>
        <w:t xml:space="preserve">Figure 1 Endoscopy images of a patient with </w:t>
      </w:r>
      <w:r w:rsidR="00CA30D0" w:rsidRPr="00CA30D0">
        <w:rPr>
          <w:rFonts w:ascii="Book Antiqua" w:hAnsi="Book Antiqua"/>
          <w:b/>
        </w:rPr>
        <w:t>radiofrequency ablation</w:t>
      </w:r>
      <w:r w:rsidRPr="00814FF5">
        <w:rPr>
          <w:rFonts w:ascii="Book Antiqua" w:hAnsi="Book Antiqua"/>
          <w:b/>
        </w:rPr>
        <w:t xml:space="preserve"> refractory Barrett’s after multiple sessions of </w:t>
      </w:r>
      <w:r w:rsidR="00CA30D0" w:rsidRPr="00CA30D0">
        <w:rPr>
          <w:rFonts w:ascii="Book Antiqua" w:hAnsi="Book Antiqua"/>
          <w:b/>
        </w:rPr>
        <w:t>radiofrequency ablation</w:t>
      </w:r>
      <w:r w:rsidRPr="00814FF5">
        <w:rPr>
          <w:rFonts w:ascii="Book Antiqua" w:hAnsi="Book Antiqua"/>
          <w:b/>
        </w:rPr>
        <w:t xml:space="preserve">. </w:t>
      </w:r>
      <w:r w:rsidR="00CA30D0">
        <w:rPr>
          <w:rFonts w:ascii="Book Antiqua" w:hAnsi="Book Antiqua"/>
        </w:rPr>
        <w:t xml:space="preserve">A: </w:t>
      </w:r>
      <w:r w:rsidRPr="00312A48">
        <w:rPr>
          <w:rFonts w:ascii="Book Antiqua" w:hAnsi="Book Antiqua"/>
        </w:rPr>
        <w:t>A patient with dysplastic Barrett’s refrac</w:t>
      </w:r>
      <w:r w:rsidR="00CA30D0">
        <w:rPr>
          <w:rFonts w:ascii="Book Antiqua" w:hAnsi="Book Antiqua"/>
        </w:rPr>
        <w:t>tory to radiofrequency ablation;</w:t>
      </w:r>
      <w:r w:rsidRPr="00312A48">
        <w:rPr>
          <w:rFonts w:ascii="Book Antiqua" w:hAnsi="Book Antiqua"/>
        </w:rPr>
        <w:t xml:space="preserve"> </w:t>
      </w:r>
      <w:r w:rsidR="00CA30D0">
        <w:rPr>
          <w:rFonts w:ascii="Book Antiqua" w:hAnsi="Book Antiqua"/>
        </w:rPr>
        <w:t>B:</w:t>
      </w:r>
      <w:r w:rsidRPr="00312A48">
        <w:rPr>
          <w:rFonts w:ascii="Book Antiqua" w:hAnsi="Book Antiqua"/>
        </w:rPr>
        <w:t xml:space="preserve"> </w:t>
      </w:r>
      <w:r w:rsidR="00CA30D0" w:rsidRPr="00312A48">
        <w:rPr>
          <w:rFonts w:ascii="Book Antiqua" w:hAnsi="Book Antiqua"/>
        </w:rPr>
        <w:t xml:space="preserve">Who </w:t>
      </w:r>
      <w:r w:rsidRPr="00312A48">
        <w:rPr>
          <w:rFonts w:ascii="Book Antiqua" w:hAnsi="Book Antiqua"/>
        </w:rPr>
        <w:t>was treated with li</w:t>
      </w:r>
      <w:r w:rsidR="00CA30D0">
        <w:rPr>
          <w:rFonts w:ascii="Book Antiqua" w:hAnsi="Book Antiqua"/>
        </w:rPr>
        <w:t>quid nitrogen spray cryotherapy;</w:t>
      </w:r>
      <w:r w:rsidRPr="00312A48">
        <w:rPr>
          <w:rFonts w:ascii="Book Antiqua" w:hAnsi="Book Antiqua"/>
        </w:rPr>
        <w:t xml:space="preserve"> </w:t>
      </w:r>
      <w:r w:rsidR="00CA30D0">
        <w:rPr>
          <w:rFonts w:ascii="Book Antiqua" w:hAnsi="Book Antiqua"/>
        </w:rPr>
        <w:t>C:</w:t>
      </w:r>
      <w:r w:rsidRPr="00312A48">
        <w:rPr>
          <w:rFonts w:ascii="Book Antiqua" w:hAnsi="Book Antiqua"/>
        </w:rPr>
        <w:t xml:space="preserve"> </w:t>
      </w:r>
      <w:r w:rsidR="00CA30D0" w:rsidRPr="00312A48">
        <w:rPr>
          <w:rFonts w:ascii="Book Antiqua" w:hAnsi="Book Antiqua"/>
        </w:rPr>
        <w:t xml:space="preserve">Achieved </w:t>
      </w:r>
      <w:r w:rsidRPr="00312A48">
        <w:rPr>
          <w:rFonts w:ascii="Book Antiqua" w:hAnsi="Book Antiqua"/>
        </w:rPr>
        <w:t>complete eradic</w:t>
      </w:r>
      <w:r w:rsidR="00CA30D0">
        <w:rPr>
          <w:rFonts w:ascii="Book Antiqua" w:hAnsi="Book Antiqua"/>
        </w:rPr>
        <w:t>ation of intestinal metaplasia.</w:t>
      </w:r>
    </w:p>
    <w:p w14:paraId="0538AA25" w14:textId="3D5FABD0" w:rsidR="00867456" w:rsidRPr="00312A48" w:rsidRDefault="00867456" w:rsidP="00312A48">
      <w:pPr>
        <w:snapToGrid w:val="0"/>
        <w:spacing w:line="360" w:lineRule="auto"/>
        <w:jc w:val="both"/>
        <w:rPr>
          <w:rFonts w:ascii="Book Antiqua" w:hAnsi="Book Antiqua"/>
        </w:rPr>
      </w:pPr>
      <w:r w:rsidRPr="00312A48">
        <w:rPr>
          <w:rFonts w:ascii="Book Antiqua" w:hAnsi="Book Antiqua"/>
        </w:rPr>
        <w:br w:type="page"/>
      </w:r>
    </w:p>
    <w:p w14:paraId="5172D00A" w14:textId="0260FDCE" w:rsidR="00CA30D0" w:rsidRDefault="00CA30D0" w:rsidP="00312A48">
      <w:pPr>
        <w:snapToGrid w:val="0"/>
        <w:spacing w:line="360" w:lineRule="auto"/>
        <w:jc w:val="both"/>
        <w:rPr>
          <w:rFonts w:ascii="Book Antiqua" w:hAnsi="Book Antiqua"/>
        </w:rPr>
      </w:pPr>
      <w:r>
        <w:rPr>
          <w:rFonts w:ascii="Book Antiqua" w:hAnsi="Book Antiqua"/>
          <w:noProof/>
          <w:lang w:eastAsia="zh-CN"/>
        </w:rPr>
        <w:lastRenderedPageBreak/>
        <w:drawing>
          <wp:inline distT="0" distB="0" distL="0" distR="0" wp14:anchorId="5DF58533" wp14:editId="55BB3426">
            <wp:extent cx="5486400" cy="1727835"/>
            <wp:effectExtent l="0" t="0" r="0" b="571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2.png"/>
                    <pic:cNvPicPr/>
                  </pic:nvPicPr>
                  <pic:blipFill>
                    <a:blip r:embed="rId10">
                      <a:extLst>
                        <a:ext uri="{28A0092B-C50C-407E-A947-70E740481C1C}">
                          <a14:useLocalDpi xmlns:a14="http://schemas.microsoft.com/office/drawing/2010/main" val="0"/>
                        </a:ext>
                      </a:extLst>
                    </a:blip>
                    <a:stretch>
                      <a:fillRect/>
                    </a:stretch>
                  </pic:blipFill>
                  <pic:spPr>
                    <a:xfrm>
                      <a:off x="0" y="0"/>
                      <a:ext cx="5486400" cy="1727835"/>
                    </a:xfrm>
                    <a:prstGeom prst="rect">
                      <a:avLst/>
                    </a:prstGeom>
                  </pic:spPr>
                </pic:pic>
              </a:graphicData>
            </a:graphic>
          </wp:inline>
        </w:drawing>
      </w:r>
    </w:p>
    <w:p w14:paraId="316EC0F5" w14:textId="11297393" w:rsidR="00867456" w:rsidRPr="00CA30D0" w:rsidRDefault="00CA30D0" w:rsidP="00312A48">
      <w:pPr>
        <w:snapToGrid w:val="0"/>
        <w:spacing w:line="360" w:lineRule="auto"/>
        <w:jc w:val="both"/>
        <w:rPr>
          <w:rFonts w:ascii="Book Antiqua" w:hAnsi="Book Antiqua"/>
          <w:b/>
        </w:rPr>
      </w:pPr>
      <w:r w:rsidRPr="00CA30D0">
        <w:rPr>
          <w:rFonts w:ascii="Book Antiqua" w:hAnsi="Book Antiqua"/>
          <w:b/>
        </w:rPr>
        <w:t>Figure 2</w:t>
      </w:r>
      <w:r w:rsidR="00867456" w:rsidRPr="00CA30D0">
        <w:rPr>
          <w:rFonts w:ascii="Book Antiqua" w:hAnsi="Book Antiqua"/>
          <w:b/>
        </w:rPr>
        <w:t xml:space="preserve"> </w:t>
      </w:r>
      <w:r w:rsidRPr="00CA30D0">
        <w:rPr>
          <w:rFonts w:ascii="Book Antiqua" w:hAnsi="Book Antiqua"/>
          <w:b/>
        </w:rPr>
        <w:t xml:space="preserve">A patient from our practice who underwent five radiofrequency ablation sessions, who then underwent salvage </w:t>
      </w:r>
      <w:proofErr w:type="spellStart"/>
      <w:r w:rsidRPr="00CA30D0">
        <w:rPr>
          <w:rFonts w:ascii="Book Antiqua" w:hAnsi="Book Antiqua"/>
          <w:b/>
        </w:rPr>
        <w:t>CryoBalloon</w:t>
      </w:r>
      <w:proofErr w:type="spellEnd"/>
      <w:r w:rsidRPr="00CA30D0">
        <w:rPr>
          <w:rFonts w:ascii="Book Antiqua" w:hAnsi="Book Antiqua"/>
          <w:b/>
        </w:rPr>
        <w:t xml:space="preserve"> cryotherapy.</w:t>
      </w:r>
      <w:r>
        <w:rPr>
          <w:rFonts w:ascii="Book Antiqua" w:eastAsia="宋体" w:hAnsi="Book Antiqua" w:hint="eastAsia"/>
          <w:b/>
          <w:lang w:eastAsia="zh-CN"/>
        </w:rPr>
        <w:t xml:space="preserve"> </w:t>
      </w:r>
      <w:r>
        <w:rPr>
          <w:rFonts w:ascii="Book Antiqua" w:hAnsi="Book Antiqua"/>
        </w:rPr>
        <w:t xml:space="preserve">A: </w:t>
      </w:r>
      <w:r w:rsidR="00867456" w:rsidRPr="00312A48">
        <w:rPr>
          <w:rFonts w:ascii="Book Antiqua" w:hAnsi="Book Antiqua"/>
        </w:rPr>
        <w:t>A patient with dysplastic Barrett’s refractory to radiofrequency ablation</w:t>
      </w:r>
      <w:r w:rsidR="00724B7D" w:rsidRPr="00312A48">
        <w:rPr>
          <w:rFonts w:ascii="Book Antiqua" w:hAnsi="Book Antiqua"/>
        </w:rPr>
        <w:t xml:space="preserve"> (note endoscopy image is in narrow band imaging mode)</w:t>
      </w:r>
      <w:r>
        <w:rPr>
          <w:rFonts w:ascii="Book Antiqua" w:hAnsi="Book Antiqua"/>
        </w:rPr>
        <w:t xml:space="preserve">; B: </w:t>
      </w:r>
      <w:r w:rsidRPr="00312A48">
        <w:rPr>
          <w:rFonts w:ascii="Book Antiqua" w:hAnsi="Book Antiqua"/>
        </w:rPr>
        <w:t xml:space="preserve">Who </w:t>
      </w:r>
      <w:r w:rsidR="00867456" w:rsidRPr="00312A48">
        <w:rPr>
          <w:rFonts w:ascii="Book Antiqua" w:hAnsi="Book Antiqua"/>
        </w:rPr>
        <w:t xml:space="preserve">was treated with </w:t>
      </w:r>
      <w:proofErr w:type="spellStart"/>
      <w:r w:rsidR="00867456" w:rsidRPr="00312A48">
        <w:rPr>
          <w:rFonts w:ascii="Book Antiqua" w:hAnsi="Book Antiqua"/>
        </w:rPr>
        <w:t>CryoBalloon</w:t>
      </w:r>
      <w:proofErr w:type="spellEnd"/>
      <w:r w:rsidR="00867456" w:rsidRPr="00312A48">
        <w:rPr>
          <w:rFonts w:ascii="Book Antiqua" w:hAnsi="Book Antiqua"/>
        </w:rPr>
        <w:t xml:space="preserve"> </w:t>
      </w:r>
      <w:r>
        <w:rPr>
          <w:rFonts w:ascii="Book Antiqua" w:hAnsi="Book Antiqua"/>
        </w:rPr>
        <w:t>cryotherapy;</w:t>
      </w:r>
      <w:r w:rsidR="00867456" w:rsidRPr="00312A48">
        <w:rPr>
          <w:rFonts w:ascii="Book Antiqua" w:hAnsi="Book Antiqua"/>
        </w:rPr>
        <w:t xml:space="preserve"> </w:t>
      </w:r>
      <w:r>
        <w:rPr>
          <w:rFonts w:ascii="Book Antiqua" w:hAnsi="Book Antiqua"/>
        </w:rPr>
        <w:t>C:</w:t>
      </w:r>
      <w:r w:rsidR="00867456" w:rsidRPr="00312A48">
        <w:rPr>
          <w:rFonts w:ascii="Book Antiqua" w:hAnsi="Book Antiqua"/>
        </w:rPr>
        <w:t xml:space="preserve"> </w:t>
      </w:r>
      <w:r w:rsidRPr="00312A48">
        <w:rPr>
          <w:rFonts w:ascii="Book Antiqua" w:hAnsi="Book Antiqua"/>
        </w:rPr>
        <w:t xml:space="preserve">Achieved </w:t>
      </w:r>
      <w:r w:rsidR="00867456" w:rsidRPr="00312A48">
        <w:rPr>
          <w:rFonts w:ascii="Book Antiqua" w:hAnsi="Book Antiqua"/>
        </w:rPr>
        <w:t>complete eradication of intestinal metaplasia</w:t>
      </w:r>
      <w:r w:rsidR="00724B7D" w:rsidRPr="00312A48">
        <w:rPr>
          <w:rFonts w:ascii="Book Antiqua" w:hAnsi="Book Antiqua"/>
        </w:rPr>
        <w:t xml:space="preserve"> (note endoscopy image is in narrow band imaging mode)</w:t>
      </w:r>
      <w:r w:rsidR="00867456" w:rsidRPr="00312A48">
        <w:rPr>
          <w:rFonts w:ascii="Book Antiqua" w:hAnsi="Book Antiqua"/>
        </w:rPr>
        <w:t>.</w:t>
      </w:r>
    </w:p>
    <w:p w14:paraId="2899B206" w14:textId="59C2FB39" w:rsidR="00867456" w:rsidRPr="00312A48" w:rsidRDefault="00867456" w:rsidP="00312A48">
      <w:pPr>
        <w:snapToGrid w:val="0"/>
        <w:spacing w:line="360" w:lineRule="auto"/>
        <w:ind w:firstLine="810"/>
        <w:jc w:val="both"/>
        <w:rPr>
          <w:rFonts w:ascii="Book Antiqua" w:hAnsi="Book Antiqua"/>
        </w:rPr>
      </w:pPr>
      <w:r w:rsidRPr="00312A48">
        <w:rPr>
          <w:rFonts w:ascii="Book Antiqua" w:hAnsi="Book Antiqua"/>
        </w:rPr>
        <w:br w:type="page"/>
      </w:r>
    </w:p>
    <w:p w14:paraId="46DDB158" w14:textId="5EAA6512" w:rsidR="00867456" w:rsidRPr="00312A48" w:rsidRDefault="00814FF5" w:rsidP="00312A48">
      <w:pPr>
        <w:snapToGrid w:val="0"/>
        <w:spacing w:line="360" w:lineRule="auto"/>
        <w:jc w:val="both"/>
        <w:rPr>
          <w:rFonts w:ascii="Book Antiqua" w:hAnsi="Book Antiqua"/>
        </w:rPr>
      </w:pPr>
      <w:r>
        <w:rPr>
          <w:rFonts w:ascii="Book Antiqua" w:hAnsi="Book Antiqua"/>
          <w:noProof/>
          <w:lang w:eastAsia="zh-CN"/>
        </w:rPr>
        <w:lastRenderedPageBreak/>
        <w:drawing>
          <wp:inline distT="0" distB="0" distL="0" distR="0" wp14:anchorId="49F44D1D" wp14:editId="6F730113">
            <wp:extent cx="5486400" cy="173609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3.png"/>
                    <pic:cNvPicPr/>
                  </pic:nvPicPr>
                  <pic:blipFill>
                    <a:blip r:embed="rId11">
                      <a:extLst>
                        <a:ext uri="{28A0092B-C50C-407E-A947-70E740481C1C}">
                          <a14:useLocalDpi xmlns:a14="http://schemas.microsoft.com/office/drawing/2010/main" val="0"/>
                        </a:ext>
                      </a:extLst>
                    </a:blip>
                    <a:stretch>
                      <a:fillRect/>
                    </a:stretch>
                  </pic:blipFill>
                  <pic:spPr>
                    <a:xfrm>
                      <a:off x="0" y="0"/>
                      <a:ext cx="5486400" cy="1736090"/>
                    </a:xfrm>
                    <a:prstGeom prst="rect">
                      <a:avLst/>
                    </a:prstGeom>
                  </pic:spPr>
                </pic:pic>
              </a:graphicData>
            </a:graphic>
          </wp:inline>
        </w:drawing>
      </w:r>
    </w:p>
    <w:p w14:paraId="3B7BEA1C" w14:textId="0A898BC0" w:rsidR="00867456" w:rsidRPr="00CA30D0" w:rsidRDefault="00867456" w:rsidP="00312A48">
      <w:pPr>
        <w:snapToGrid w:val="0"/>
        <w:spacing w:line="360" w:lineRule="auto"/>
        <w:jc w:val="both"/>
        <w:rPr>
          <w:rFonts w:ascii="Book Antiqua" w:hAnsi="Book Antiqua"/>
          <w:b/>
        </w:rPr>
      </w:pPr>
      <w:r w:rsidRPr="00CA30D0">
        <w:rPr>
          <w:rFonts w:ascii="Book Antiqua" w:hAnsi="Book Antiqua"/>
          <w:b/>
        </w:rPr>
        <w:t>Figure 3</w:t>
      </w:r>
      <w:r w:rsidR="00CA30D0" w:rsidRPr="00CA30D0">
        <w:rPr>
          <w:rFonts w:ascii="Book Antiqua" w:hAnsi="Book Antiqua"/>
          <w:b/>
        </w:rPr>
        <w:t xml:space="preserve"> A patient who underwent multiple sessions of radiofrequency ablation</w:t>
      </w:r>
      <w:r w:rsidR="00CA30D0">
        <w:rPr>
          <w:rFonts w:ascii="Book Antiqua" w:hAnsi="Book Antiqua"/>
          <w:b/>
        </w:rPr>
        <w:t xml:space="preserve"> with refractory dysplasia. </w:t>
      </w:r>
      <w:r w:rsidR="00814FF5">
        <w:rPr>
          <w:rFonts w:ascii="Book Antiqua" w:hAnsi="Book Antiqua"/>
        </w:rPr>
        <w:t xml:space="preserve">A: </w:t>
      </w:r>
      <w:r w:rsidRPr="00312A48">
        <w:rPr>
          <w:rFonts w:ascii="Book Antiqua" w:hAnsi="Book Antiqua"/>
        </w:rPr>
        <w:t>A patient with dysplastic Barrett’s refrac</w:t>
      </w:r>
      <w:r w:rsidR="00814FF5">
        <w:rPr>
          <w:rFonts w:ascii="Book Antiqua" w:hAnsi="Book Antiqua"/>
        </w:rPr>
        <w:t>tory to radiofrequency ablation;</w:t>
      </w:r>
      <w:r w:rsidRPr="00312A48">
        <w:rPr>
          <w:rFonts w:ascii="Book Antiqua" w:hAnsi="Book Antiqua"/>
        </w:rPr>
        <w:t xml:space="preserve"> </w:t>
      </w:r>
      <w:r w:rsidR="00814FF5">
        <w:rPr>
          <w:rFonts w:ascii="Book Antiqua" w:hAnsi="Book Antiqua"/>
        </w:rPr>
        <w:t>B:</w:t>
      </w:r>
      <w:r w:rsidRPr="00312A48">
        <w:rPr>
          <w:rFonts w:ascii="Book Antiqua" w:hAnsi="Book Antiqua"/>
        </w:rPr>
        <w:t xml:space="preserve"> </w:t>
      </w:r>
      <w:r w:rsidR="00CA30D0" w:rsidRPr="00312A48">
        <w:rPr>
          <w:rFonts w:ascii="Book Antiqua" w:hAnsi="Book Antiqua"/>
        </w:rPr>
        <w:t xml:space="preserve">Who </w:t>
      </w:r>
      <w:r w:rsidRPr="00312A48">
        <w:rPr>
          <w:rFonts w:ascii="Book Antiqua" w:hAnsi="Book Antiqua"/>
        </w:rPr>
        <w:t>was treated with hybri</w:t>
      </w:r>
      <w:r w:rsidR="00CA30D0">
        <w:rPr>
          <w:rFonts w:ascii="Book Antiqua" w:hAnsi="Book Antiqua"/>
        </w:rPr>
        <w:t>d argon plasma coagulation;</w:t>
      </w:r>
      <w:r w:rsidRPr="00312A48">
        <w:rPr>
          <w:rFonts w:ascii="Book Antiqua" w:hAnsi="Book Antiqua"/>
        </w:rPr>
        <w:t xml:space="preserve"> </w:t>
      </w:r>
      <w:r w:rsidR="00CA30D0">
        <w:rPr>
          <w:rFonts w:ascii="Book Antiqua" w:hAnsi="Book Antiqua"/>
        </w:rPr>
        <w:t>C:</w:t>
      </w:r>
      <w:r w:rsidRPr="00312A48">
        <w:rPr>
          <w:rFonts w:ascii="Book Antiqua" w:hAnsi="Book Antiqua"/>
        </w:rPr>
        <w:t xml:space="preserve"> </w:t>
      </w:r>
      <w:r w:rsidR="00CA30D0" w:rsidRPr="00312A48">
        <w:rPr>
          <w:rFonts w:ascii="Book Antiqua" w:hAnsi="Book Antiqua"/>
        </w:rPr>
        <w:t xml:space="preserve">Achieved </w:t>
      </w:r>
      <w:r w:rsidRPr="00312A48">
        <w:rPr>
          <w:rFonts w:ascii="Book Antiqua" w:hAnsi="Book Antiqua"/>
        </w:rPr>
        <w:t>complete eradication of intestinal metaplasia</w:t>
      </w:r>
      <w:r w:rsidR="00724B7D" w:rsidRPr="00312A48">
        <w:rPr>
          <w:rFonts w:ascii="Book Antiqua" w:hAnsi="Book Antiqua"/>
        </w:rPr>
        <w:t xml:space="preserve"> (note endoscopy image is in narrow band imaging mode)</w:t>
      </w:r>
      <w:r w:rsidRPr="00312A48">
        <w:rPr>
          <w:rFonts w:ascii="Book Antiqua" w:hAnsi="Book Antiqua"/>
        </w:rPr>
        <w:t>.</w:t>
      </w:r>
      <w:r w:rsidRPr="00312A48">
        <w:rPr>
          <w:rFonts w:ascii="Book Antiqua" w:hAnsi="Book Antiqua"/>
        </w:rPr>
        <w:br w:type="page"/>
      </w:r>
    </w:p>
    <w:p w14:paraId="1B5C1046" w14:textId="31D9E9B9" w:rsidR="00867456" w:rsidRPr="00312A48" w:rsidRDefault="00814FF5" w:rsidP="00312A48">
      <w:pPr>
        <w:snapToGrid w:val="0"/>
        <w:spacing w:line="360" w:lineRule="auto"/>
        <w:jc w:val="both"/>
        <w:rPr>
          <w:rFonts w:ascii="Book Antiqua" w:hAnsi="Book Antiqua"/>
        </w:rPr>
      </w:pPr>
      <w:r>
        <w:rPr>
          <w:rFonts w:ascii="Book Antiqua" w:hAnsi="Book Antiqua"/>
          <w:noProof/>
          <w:lang w:eastAsia="zh-CN"/>
        </w:rPr>
        <w:lastRenderedPageBreak/>
        <w:drawing>
          <wp:inline distT="0" distB="0" distL="0" distR="0" wp14:anchorId="0FE81C53" wp14:editId="1742B071">
            <wp:extent cx="4257447" cy="1976953"/>
            <wp:effectExtent l="0" t="0" r="0" b="444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4.png"/>
                    <pic:cNvPicPr/>
                  </pic:nvPicPr>
                  <pic:blipFill>
                    <a:blip r:embed="rId12">
                      <a:extLst>
                        <a:ext uri="{28A0092B-C50C-407E-A947-70E740481C1C}">
                          <a14:useLocalDpi xmlns:a14="http://schemas.microsoft.com/office/drawing/2010/main" val="0"/>
                        </a:ext>
                      </a:extLst>
                    </a:blip>
                    <a:stretch>
                      <a:fillRect/>
                    </a:stretch>
                  </pic:blipFill>
                  <pic:spPr>
                    <a:xfrm>
                      <a:off x="0" y="0"/>
                      <a:ext cx="4262758" cy="1979419"/>
                    </a:xfrm>
                    <a:prstGeom prst="rect">
                      <a:avLst/>
                    </a:prstGeom>
                  </pic:spPr>
                </pic:pic>
              </a:graphicData>
            </a:graphic>
          </wp:inline>
        </w:drawing>
      </w:r>
    </w:p>
    <w:p w14:paraId="30230DFE" w14:textId="37F36652" w:rsidR="00867456" w:rsidRPr="00312A48" w:rsidRDefault="00814FF5" w:rsidP="00312A48">
      <w:pPr>
        <w:snapToGrid w:val="0"/>
        <w:spacing w:line="360" w:lineRule="auto"/>
        <w:jc w:val="both"/>
        <w:rPr>
          <w:rFonts w:ascii="Book Antiqua" w:hAnsi="Book Antiqua"/>
        </w:rPr>
      </w:pPr>
      <w:r w:rsidRPr="00814FF5">
        <w:rPr>
          <w:rFonts w:ascii="Book Antiqua" w:hAnsi="Book Antiqua"/>
          <w:b/>
        </w:rPr>
        <w:t xml:space="preserve">Figure 4 </w:t>
      </w:r>
      <w:r w:rsidRPr="00814FF5">
        <w:rPr>
          <w:rFonts w:ascii="Book Antiqua" w:hAnsi="Book Antiqua" w:cs="Times New Roman"/>
          <w:b/>
        </w:rPr>
        <w:t>Such a case of Barrett’s esophagus refractory to multiple sessions of radiofrequency ablation and cryotherapy in long segment Barrett’s.</w:t>
      </w:r>
      <w:r w:rsidRPr="00814FF5">
        <w:rPr>
          <w:rFonts w:ascii="Book Antiqua" w:eastAsia="宋体" w:hAnsi="Book Antiqua" w:hint="eastAsia"/>
          <w:b/>
          <w:lang w:eastAsia="zh-CN"/>
        </w:rPr>
        <w:t xml:space="preserve"> </w:t>
      </w:r>
      <w:r>
        <w:rPr>
          <w:rFonts w:ascii="Book Antiqua" w:hAnsi="Book Antiqua"/>
        </w:rPr>
        <w:t xml:space="preserve">A: </w:t>
      </w:r>
      <w:r w:rsidR="00867456" w:rsidRPr="00312A48">
        <w:rPr>
          <w:rFonts w:ascii="Book Antiqua" w:hAnsi="Book Antiqua"/>
        </w:rPr>
        <w:t>A patient with dysplastic Barrett’s refractory to radiofrequency ablation and had a narrowing in the esophagus with residual dysplastic Barrett’s who was treated wit</w:t>
      </w:r>
      <w:r>
        <w:rPr>
          <w:rFonts w:ascii="Book Antiqua" w:hAnsi="Book Antiqua"/>
        </w:rPr>
        <w:t xml:space="preserve">h the </w:t>
      </w:r>
      <w:proofErr w:type="spellStart"/>
      <w:r>
        <w:rPr>
          <w:rFonts w:ascii="Book Antiqua" w:hAnsi="Book Antiqua"/>
        </w:rPr>
        <w:t>EndoRotor</w:t>
      </w:r>
      <w:proofErr w:type="spellEnd"/>
      <w:r>
        <w:rPr>
          <w:rFonts w:ascii="Book Antiqua" w:hAnsi="Book Antiqua"/>
        </w:rPr>
        <w:t xml:space="preserve"> ablation system;</w:t>
      </w:r>
      <w:r w:rsidR="00867456" w:rsidRPr="00312A48">
        <w:rPr>
          <w:rFonts w:ascii="Book Antiqua" w:hAnsi="Book Antiqua"/>
        </w:rPr>
        <w:t xml:space="preserve"> </w:t>
      </w:r>
      <w:r>
        <w:rPr>
          <w:rFonts w:ascii="Book Antiqua" w:hAnsi="Book Antiqua"/>
        </w:rPr>
        <w:t>B:</w:t>
      </w:r>
      <w:r w:rsidR="00867456" w:rsidRPr="00312A48">
        <w:rPr>
          <w:rFonts w:ascii="Book Antiqua" w:hAnsi="Book Antiqua"/>
        </w:rPr>
        <w:t xml:space="preserve"> </w:t>
      </w:r>
      <w:r w:rsidRPr="00312A48">
        <w:rPr>
          <w:rFonts w:ascii="Book Antiqua" w:hAnsi="Book Antiqua"/>
        </w:rPr>
        <w:t xml:space="preserve">Achieved </w:t>
      </w:r>
      <w:r w:rsidR="00867456" w:rsidRPr="00312A48">
        <w:rPr>
          <w:rFonts w:ascii="Book Antiqua" w:hAnsi="Book Antiqua"/>
        </w:rPr>
        <w:t>complete eradi</w:t>
      </w:r>
      <w:r w:rsidR="00724B7D" w:rsidRPr="00312A48">
        <w:rPr>
          <w:rFonts w:ascii="Book Antiqua" w:hAnsi="Book Antiqua"/>
        </w:rPr>
        <w:t>cation of intestinal metaplasia (note endoscopy image is in narrow band imaging mode).</w:t>
      </w:r>
    </w:p>
    <w:p w14:paraId="417555C4" w14:textId="081F6EC2" w:rsidR="00867456" w:rsidRPr="00312A48" w:rsidRDefault="00867456" w:rsidP="00312A48">
      <w:pPr>
        <w:snapToGrid w:val="0"/>
        <w:spacing w:line="360" w:lineRule="auto"/>
        <w:ind w:firstLine="90"/>
        <w:jc w:val="both"/>
        <w:rPr>
          <w:rFonts w:ascii="Book Antiqua" w:hAnsi="Book Antiqua"/>
        </w:rPr>
      </w:pPr>
      <w:r w:rsidRPr="00312A48">
        <w:rPr>
          <w:rFonts w:ascii="Book Antiqua" w:hAnsi="Book Antiqua"/>
        </w:rPr>
        <w:br w:type="page"/>
      </w:r>
    </w:p>
    <w:p w14:paraId="3E9126B0" w14:textId="6FC24167" w:rsidR="00814FF5" w:rsidRDefault="00814FF5" w:rsidP="00312A48">
      <w:pPr>
        <w:snapToGrid w:val="0"/>
        <w:spacing w:line="360" w:lineRule="auto"/>
        <w:jc w:val="both"/>
        <w:rPr>
          <w:rFonts w:ascii="Book Antiqua" w:hAnsi="Book Antiqua"/>
        </w:rPr>
      </w:pPr>
      <w:r>
        <w:rPr>
          <w:noProof/>
          <w:lang w:eastAsia="zh-CN"/>
        </w:rPr>
        <w:lastRenderedPageBreak/>
        <w:drawing>
          <wp:inline distT="0" distB="0" distL="0" distR="0" wp14:anchorId="0A53FA31" wp14:editId="52B1E152">
            <wp:extent cx="4945809" cy="4343776"/>
            <wp:effectExtent l="0" t="0" r="762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945809" cy="4343776"/>
                    </a:xfrm>
                    <a:prstGeom prst="rect">
                      <a:avLst/>
                    </a:prstGeom>
                  </pic:spPr>
                </pic:pic>
              </a:graphicData>
            </a:graphic>
          </wp:inline>
        </w:drawing>
      </w:r>
    </w:p>
    <w:p w14:paraId="545EB67B" w14:textId="46215750" w:rsidR="00C326DC" w:rsidRPr="00814FF5" w:rsidRDefault="00814FF5" w:rsidP="00312A48">
      <w:pPr>
        <w:snapToGrid w:val="0"/>
        <w:spacing w:line="360" w:lineRule="auto"/>
        <w:jc w:val="both"/>
        <w:rPr>
          <w:rFonts w:ascii="Book Antiqua" w:hAnsi="Book Antiqua"/>
          <w:b/>
        </w:rPr>
      </w:pPr>
      <w:r w:rsidRPr="00814FF5">
        <w:rPr>
          <w:rFonts w:ascii="Book Antiqua" w:hAnsi="Book Antiqua"/>
          <w:b/>
        </w:rPr>
        <w:t>Figure 5</w:t>
      </w:r>
      <w:r w:rsidR="00C326DC" w:rsidRPr="00814FF5">
        <w:rPr>
          <w:rFonts w:ascii="Book Antiqua" w:hAnsi="Book Antiqua"/>
          <w:b/>
        </w:rPr>
        <w:t xml:space="preserve"> Proposed algorithm for management of Barrett’s refractory to radiofrequency ablation</w:t>
      </w:r>
      <w:r>
        <w:rPr>
          <w:rFonts w:ascii="Book Antiqua" w:hAnsi="Book Antiqua"/>
          <w:b/>
        </w:rPr>
        <w:t>.</w:t>
      </w:r>
      <w:r>
        <w:rPr>
          <w:rFonts w:ascii="Book Antiqua" w:eastAsia="宋体" w:hAnsi="Book Antiqua" w:hint="eastAsia"/>
          <w:b/>
          <w:lang w:eastAsia="zh-CN"/>
        </w:rPr>
        <w:t xml:space="preserve"> </w:t>
      </w:r>
      <w:r>
        <w:rPr>
          <w:rFonts w:ascii="Book Antiqua" w:hAnsi="Book Antiqua"/>
        </w:rPr>
        <w:t>RFA:</w:t>
      </w:r>
      <w:r w:rsidR="00C326DC" w:rsidRPr="00312A48">
        <w:rPr>
          <w:rFonts w:ascii="Book Antiqua" w:hAnsi="Book Antiqua"/>
        </w:rPr>
        <w:t xml:space="preserve"> </w:t>
      </w:r>
      <w:r w:rsidRPr="00312A48">
        <w:rPr>
          <w:rFonts w:ascii="Book Antiqua" w:hAnsi="Book Antiqua"/>
        </w:rPr>
        <w:t xml:space="preserve">Radiofrequency </w:t>
      </w:r>
      <w:r>
        <w:rPr>
          <w:rFonts w:ascii="Book Antiqua" w:hAnsi="Book Antiqua"/>
        </w:rPr>
        <w:t>ablation; BE: Barrett’s esophagus; APC:</w:t>
      </w:r>
      <w:r w:rsidR="00C326DC" w:rsidRPr="00312A48">
        <w:rPr>
          <w:rFonts w:ascii="Book Antiqua" w:hAnsi="Book Antiqua"/>
        </w:rPr>
        <w:t xml:space="preserve"> </w:t>
      </w:r>
      <w:r w:rsidRPr="00312A48">
        <w:rPr>
          <w:rFonts w:ascii="Book Antiqua" w:hAnsi="Book Antiqua"/>
        </w:rPr>
        <w:t xml:space="preserve">Argon </w:t>
      </w:r>
      <w:r w:rsidR="00C326DC" w:rsidRPr="00312A48">
        <w:rPr>
          <w:rFonts w:ascii="Book Antiqua" w:hAnsi="Book Antiqua"/>
        </w:rPr>
        <w:t>plasma coagulation</w:t>
      </w:r>
      <w:r>
        <w:rPr>
          <w:rFonts w:ascii="Book Antiqua" w:hAnsi="Book Antiqua"/>
        </w:rPr>
        <w:t>.</w:t>
      </w:r>
    </w:p>
    <w:sectPr w:rsidR="00C326DC" w:rsidRPr="00814FF5" w:rsidSect="007E5441">
      <w:footerReference w:type="even" r:id="rId14"/>
      <w:footerReference w:type="default" r:id="rId15"/>
      <w:pgSz w:w="12240" w:h="15840"/>
      <w:pgMar w:top="1440" w:right="1800" w:bottom="1440" w:left="1800" w:header="720" w:footer="720" w:gutter="0"/>
      <w:cols w:space="720"/>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36E17A" w16cex:dateUtc="2020-04-07T15:24:00Z"/>
  <w16cex:commentExtensible w16cex:durableId="2236E33C" w16cex:dateUtc="2020-04-07T15:32: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1BB3DD0" w14:textId="77777777" w:rsidR="0009155A" w:rsidRDefault="0009155A" w:rsidP="002B4969">
      <w:r>
        <w:separator/>
      </w:r>
    </w:p>
  </w:endnote>
  <w:endnote w:type="continuationSeparator" w:id="0">
    <w:p w14:paraId="4B857261" w14:textId="77777777" w:rsidR="0009155A" w:rsidRDefault="0009155A" w:rsidP="002B49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ucida Grande">
    <w:charset w:val="00"/>
    <w:family w:val="auto"/>
    <w:pitch w:val="variable"/>
    <w:sig w:usb0="A1002AE7" w:usb1="C0000063" w:usb2="00000038" w:usb3="00000000" w:csb0="000000BF"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微软雅黑">
    <w:altName w:val="Microsoft Yahei"/>
    <w:panose1 w:val="020B0503020204020204"/>
    <w:charset w:val="86"/>
    <w:family w:val="swiss"/>
    <w:pitch w:val="variable"/>
    <w:sig w:usb0="80000287" w:usb1="2ACF3C50" w:usb2="00000016" w:usb3="00000000" w:csb0="0004001F" w:csb1="00000000"/>
  </w:font>
  <w:font w:name="等线">
    <w:altName w:val="DengXian"/>
    <w:panose1 w:val="02010600030101010101"/>
    <w:charset w:val="86"/>
    <w:family w:val="auto"/>
    <w:pitch w:val="variable"/>
    <w:sig w:usb0="A00002BF" w:usb1="38CF7CFA" w:usb2="00000016" w:usb3="00000000" w:csb0="0004000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af2"/>
      </w:rPr>
      <w:id w:val="-1987688927"/>
      <w:docPartObj>
        <w:docPartGallery w:val="Page Numbers (Bottom of Page)"/>
        <w:docPartUnique/>
      </w:docPartObj>
    </w:sdtPr>
    <w:sdtEndPr>
      <w:rPr>
        <w:rStyle w:val="af2"/>
      </w:rPr>
    </w:sdtEndPr>
    <w:sdtContent>
      <w:p w14:paraId="29D7FDB3" w14:textId="6B902495" w:rsidR="009F0A09" w:rsidRDefault="009F0A09" w:rsidP="00C633B7">
        <w:pPr>
          <w:pStyle w:val="af0"/>
          <w:framePr w:wrap="none" w:vAnchor="text" w:hAnchor="margin" w:xAlign="center" w:y="1"/>
          <w:rPr>
            <w:rStyle w:val="af2"/>
          </w:rPr>
        </w:pPr>
        <w:r>
          <w:rPr>
            <w:rStyle w:val="af2"/>
          </w:rPr>
          <w:fldChar w:fldCharType="begin"/>
        </w:r>
        <w:r>
          <w:rPr>
            <w:rStyle w:val="af2"/>
          </w:rPr>
          <w:instrText xml:space="preserve"> PAGE </w:instrText>
        </w:r>
        <w:r>
          <w:rPr>
            <w:rStyle w:val="af2"/>
          </w:rPr>
          <w:fldChar w:fldCharType="end"/>
        </w:r>
      </w:p>
    </w:sdtContent>
  </w:sdt>
  <w:p w14:paraId="2C56F917" w14:textId="77777777" w:rsidR="009F0A09" w:rsidRDefault="009F0A09">
    <w:pPr>
      <w:pStyle w:val="af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af2"/>
      </w:rPr>
      <w:id w:val="813677516"/>
      <w:docPartObj>
        <w:docPartGallery w:val="Page Numbers (Bottom of Page)"/>
        <w:docPartUnique/>
      </w:docPartObj>
    </w:sdtPr>
    <w:sdtEndPr>
      <w:rPr>
        <w:rStyle w:val="af2"/>
      </w:rPr>
    </w:sdtEndPr>
    <w:sdtContent>
      <w:p w14:paraId="6372C0E9" w14:textId="7C596208" w:rsidR="009F0A09" w:rsidRDefault="009F0A09" w:rsidP="00C633B7">
        <w:pPr>
          <w:pStyle w:val="af0"/>
          <w:framePr w:wrap="none" w:vAnchor="text" w:hAnchor="margin" w:xAlign="center" w:y="1"/>
          <w:rPr>
            <w:rStyle w:val="af2"/>
          </w:rPr>
        </w:pPr>
        <w:r>
          <w:rPr>
            <w:rStyle w:val="af2"/>
          </w:rPr>
          <w:fldChar w:fldCharType="begin"/>
        </w:r>
        <w:r>
          <w:rPr>
            <w:rStyle w:val="af2"/>
          </w:rPr>
          <w:instrText xml:space="preserve"> PAGE </w:instrText>
        </w:r>
        <w:r>
          <w:rPr>
            <w:rStyle w:val="af2"/>
          </w:rPr>
          <w:fldChar w:fldCharType="separate"/>
        </w:r>
        <w:r w:rsidR="00995A30">
          <w:rPr>
            <w:rStyle w:val="af2"/>
            <w:noProof/>
          </w:rPr>
          <w:t>25</w:t>
        </w:r>
        <w:r>
          <w:rPr>
            <w:rStyle w:val="af2"/>
          </w:rPr>
          <w:fldChar w:fldCharType="end"/>
        </w:r>
      </w:p>
    </w:sdtContent>
  </w:sdt>
  <w:p w14:paraId="23D1A19A" w14:textId="77777777" w:rsidR="009F0A09" w:rsidRDefault="009F0A09">
    <w:pPr>
      <w:pStyle w:val="af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BA5C66D" w14:textId="77777777" w:rsidR="0009155A" w:rsidRDefault="0009155A" w:rsidP="002B4969">
      <w:r>
        <w:separator/>
      </w:r>
    </w:p>
  </w:footnote>
  <w:footnote w:type="continuationSeparator" w:id="0">
    <w:p w14:paraId="4DBFEF92" w14:textId="77777777" w:rsidR="0009155A" w:rsidRDefault="0009155A" w:rsidP="002B496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31128C"/>
    <w:multiLevelType w:val="hybridMultilevel"/>
    <w:tmpl w:val="1EC0020E"/>
    <w:lvl w:ilvl="0" w:tplc="AE7C810C">
      <w:numFmt w:val="bullet"/>
      <w:lvlText w:val="-"/>
      <w:lvlJc w:val="left"/>
      <w:pPr>
        <w:ind w:left="1080" w:hanging="360"/>
      </w:pPr>
      <w:rPr>
        <w:rFonts w:ascii="Cambria" w:eastAsiaTheme="minorEastAsia" w:hAnsi="Cambria"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EA049DB"/>
    <w:multiLevelType w:val="hybridMultilevel"/>
    <w:tmpl w:val="844A6C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JAMA&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2vex92sauze2fke2vrj5vf0opwfx5ww0zz90&quot;&gt;Pancreas Library&lt;record-ids&gt;&lt;item&gt;2980&lt;/item&gt;&lt;item&gt;2981&lt;/item&gt;&lt;item&gt;2982&lt;/item&gt;&lt;item&gt;2983&lt;/item&gt;&lt;item&gt;2985&lt;/item&gt;&lt;item&gt;2991&lt;/item&gt;&lt;item&gt;2993&lt;/item&gt;&lt;item&gt;3001&lt;/item&gt;&lt;item&gt;3004&lt;/item&gt;&lt;item&gt;3005&lt;/item&gt;&lt;item&gt;3007&lt;/item&gt;&lt;item&gt;3008&lt;/item&gt;&lt;item&gt;3010&lt;/item&gt;&lt;item&gt;3011&lt;/item&gt;&lt;item&gt;3012&lt;/item&gt;&lt;item&gt;3013&lt;/item&gt;&lt;item&gt;3020&lt;/item&gt;&lt;item&gt;3025&lt;/item&gt;&lt;item&gt;3026&lt;/item&gt;&lt;item&gt;3027&lt;/item&gt;&lt;item&gt;3028&lt;/item&gt;&lt;item&gt;3029&lt;/item&gt;&lt;item&gt;3030&lt;/item&gt;&lt;item&gt;3031&lt;/item&gt;&lt;item&gt;3039&lt;/item&gt;&lt;item&gt;3046&lt;/item&gt;&lt;item&gt;3047&lt;/item&gt;&lt;item&gt;3048&lt;/item&gt;&lt;item&gt;3049&lt;/item&gt;&lt;item&gt;3050&lt;/item&gt;&lt;item&gt;3051&lt;/item&gt;&lt;item&gt;3052&lt;/item&gt;&lt;item&gt;3053&lt;/item&gt;&lt;item&gt;3054&lt;/item&gt;&lt;item&gt;3055&lt;/item&gt;&lt;item&gt;3058&lt;/item&gt;&lt;item&gt;3061&lt;/item&gt;&lt;item&gt;3062&lt;/item&gt;&lt;item&gt;3063&lt;/item&gt;&lt;item&gt;3064&lt;/item&gt;&lt;item&gt;3065&lt;/item&gt;&lt;item&gt;3069&lt;/item&gt;&lt;item&gt;3070&lt;/item&gt;&lt;item&gt;3071&lt;/item&gt;&lt;item&gt;3072&lt;/item&gt;&lt;item&gt;3073&lt;/item&gt;&lt;item&gt;3075&lt;/item&gt;&lt;item&gt;3076&lt;/item&gt;&lt;item&gt;3079&lt;/item&gt;&lt;item&gt;3080&lt;/item&gt;&lt;item&gt;3081&lt;/item&gt;&lt;/record-ids&gt;&lt;/item&gt;&lt;/Libraries&gt;"/>
  </w:docVars>
  <w:rsids>
    <w:rsidRoot w:val="00B83832"/>
    <w:rsid w:val="00017989"/>
    <w:rsid w:val="0004444B"/>
    <w:rsid w:val="0006269B"/>
    <w:rsid w:val="0007509F"/>
    <w:rsid w:val="000841AA"/>
    <w:rsid w:val="0009155A"/>
    <w:rsid w:val="000A1560"/>
    <w:rsid w:val="000A62EA"/>
    <w:rsid w:val="000E588B"/>
    <w:rsid w:val="000F23FC"/>
    <w:rsid w:val="000F4C05"/>
    <w:rsid w:val="0010502B"/>
    <w:rsid w:val="00105BDF"/>
    <w:rsid w:val="00107690"/>
    <w:rsid w:val="001512E9"/>
    <w:rsid w:val="00152A26"/>
    <w:rsid w:val="00165B0E"/>
    <w:rsid w:val="001747DF"/>
    <w:rsid w:val="00196A52"/>
    <w:rsid w:val="001B02D3"/>
    <w:rsid w:val="001B6EE5"/>
    <w:rsid w:val="001C4546"/>
    <w:rsid w:val="001E0531"/>
    <w:rsid w:val="001F0C9F"/>
    <w:rsid w:val="00216FF9"/>
    <w:rsid w:val="002238E3"/>
    <w:rsid w:val="0025333D"/>
    <w:rsid w:val="002647D2"/>
    <w:rsid w:val="00270150"/>
    <w:rsid w:val="0028501C"/>
    <w:rsid w:val="00296F79"/>
    <w:rsid w:val="002A0FE8"/>
    <w:rsid w:val="002A5B1A"/>
    <w:rsid w:val="002B325E"/>
    <w:rsid w:val="002B4969"/>
    <w:rsid w:val="002C1ADC"/>
    <w:rsid w:val="002D7840"/>
    <w:rsid w:val="002E36F1"/>
    <w:rsid w:val="002E5BE0"/>
    <w:rsid w:val="002F17E3"/>
    <w:rsid w:val="002F2CDE"/>
    <w:rsid w:val="00312A48"/>
    <w:rsid w:val="0032319D"/>
    <w:rsid w:val="00324D0D"/>
    <w:rsid w:val="0032738B"/>
    <w:rsid w:val="00330241"/>
    <w:rsid w:val="0035064E"/>
    <w:rsid w:val="003560C4"/>
    <w:rsid w:val="00362EC7"/>
    <w:rsid w:val="00394956"/>
    <w:rsid w:val="003A310C"/>
    <w:rsid w:val="003A66AC"/>
    <w:rsid w:val="003D6CEE"/>
    <w:rsid w:val="003F6248"/>
    <w:rsid w:val="004003CF"/>
    <w:rsid w:val="00404E6B"/>
    <w:rsid w:val="004414AD"/>
    <w:rsid w:val="00442471"/>
    <w:rsid w:val="004713D5"/>
    <w:rsid w:val="004726BA"/>
    <w:rsid w:val="004B0BE4"/>
    <w:rsid w:val="004D7B17"/>
    <w:rsid w:val="004F0994"/>
    <w:rsid w:val="004F2A03"/>
    <w:rsid w:val="0052326A"/>
    <w:rsid w:val="00530B4C"/>
    <w:rsid w:val="0053718D"/>
    <w:rsid w:val="005A0964"/>
    <w:rsid w:val="005A3132"/>
    <w:rsid w:val="005C3D8D"/>
    <w:rsid w:val="006203A8"/>
    <w:rsid w:val="00623251"/>
    <w:rsid w:val="00625BBC"/>
    <w:rsid w:val="006552DA"/>
    <w:rsid w:val="00682662"/>
    <w:rsid w:val="006C2E99"/>
    <w:rsid w:val="006C3EB9"/>
    <w:rsid w:val="006D5A31"/>
    <w:rsid w:val="006E4F63"/>
    <w:rsid w:val="006F3CD1"/>
    <w:rsid w:val="00703472"/>
    <w:rsid w:val="00724B7D"/>
    <w:rsid w:val="00746207"/>
    <w:rsid w:val="007A1C7E"/>
    <w:rsid w:val="007B3D72"/>
    <w:rsid w:val="007D6515"/>
    <w:rsid w:val="007E5441"/>
    <w:rsid w:val="00805E6C"/>
    <w:rsid w:val="00814FF5"/>
    <w:rsid w:val="008245A3"/>
    <w:rsid w:val="00835B32"/>
    <w:rsid w:val="00846186"/>
    <w:rsid w:val="00857B00"/>
    <w:rsid w:val="00863477"/>
    <w:rsid w:val="00867456"/>
    <w:rsid w:val="00874B0B"/>
    <w:rsid w:val="008A663F"/>
    <w:rsid w:val="008C13BD"/>
    <w:rsid w:val="008D63DD"/>
    <w:rsid w:val="008F4507"/>
    <w:rsid w:val="009043E7"/>
    <w:rsid w:val="009216C7"/>
    <w:rsid w:val="0093726A"/>
    <w:rsid w:val="00995A30"/>
    <w:rsid w:val="009B192F"/>
    <w:rsid w:val="009D129D"/>
    <w:rsid w:val="009F0A09"/>
    <w:rsid w:val="00A1427D"/>
    <w:rsid w:val="00A97B45"/>
    <w:rsid w:val="00AB3DDD"/>
    <w:rsid w:val="00AD78E4"/>
    <w:rsid w:val="00AF3A65"/>
    <w:rsid w:val="00AF46E5"/>
    <w:rsid w:val="00AF47AB"/>
    <w:rsid w:val="00B030E3"/>
    <w:rsid w:val="00B04D59"/>
    <w:rsid w:val="00B14E95"/>
    <w:rsid w:val="00B16BB7"/>
    <w:rsid w:val="00B21914"/>
    <w:rsid w:val="00B603A3"/>
    <w:rsid w:val="00B646D3"/>
    <w:rsid w:val="00B70B75"/>
    <w:rsid w:val="00B76E44"/>
    <w:rsid w:val="00B83295"/>
    <w:rsid w:val="00B83832"/>
    <w:rsid w:val="00B85CD3"/>
    <w:rsid w:val="00B9148D"/>
    <w:rsid w:val="00B93332"/>
    <w:rsid w:val="00BA068E"/>
    <w:rsid w:val="00BA0950"/>
    <w:rsid w:val="00BD4A1B"/>
    <w:rsid w:val="00BE6BC8"/>
    <w:rsid w:val="00C326DC"/>
    <w:rsid w:val="00C5235C"/>
    <w:rsid w:val="00C55AE0"/>
    <w:rsid w:val="00C633B7"/>
    <w:rsid w:val="00C80449"/>
    <w:rsid w:val="00CA30D0"/>
    <w:rsid w:val="00CB1DBD"/>
    <w:rsid w:val="00CB41A6"/>
    <w:rsid w:val="00CD2DA1"/>
    <w:rsid w:val="00CE6425"/>
    <w:rsid w:val="00D43823"/>
    <w:rsid w:val="00D53FBE"/>
    <w:rsid w:val="00D60958"/>
    <w:rsid w:val="00DB1081"/>
    <w:rsid w:val="00DC1B1C"/>
    <w:rsid w:val="00DC696D"/>
    <w:rsid w:val="00DE0942"/>
    <w:rsid w:val="00DF6975"/>
    <w:rsid w:val="00E008C9"/>
    <w:rsid w:val="00E14B05"/>
    <w:rsid w:val="00E462B4"/>
    <w:rsid w:val="00E700EE"/>
    <w:rsid w:val="00EB3C04"/>
    <w:rsid w:val="00EC124E"/>
    <w:rsid w:val="00EE4C6A"/>
    <w:rsid w:val="00EF2B23"/>
    <w:rsid w:val="00F003B1"/>
    <w:rsid w:val="00F05ABF"/>
    <w:rsid w:val="00F067A7"/>
    <w:rsid w:val="00F22D99"/>
    <w:rsid w:val="00F306A7"/>
    <w:rsid w:val="00F330B9"/>
    <w:rsid w:val="00F366E6"/>
    <w:rsid w:val="00F61F9F"/>
    <w:rsid w:val="00F960BD"/>
    <w:rsid w:val="00FA5A99"/>
    <w:rsid w:val="00FC0BBF"/>
    <w:rsid w:val="00FC6546"/>
    <w:rsid w:val="00FD4D5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BBF14A3"/>
  <w14:defaultImageDpi w14:val="300"/>
  <w15:docId w15:val="{AF087AFF-A793-4BDF-BD97-3649ABCC31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32319D"/>
    <w:rPr>
      <w:color w:val="0000FF" w:themeColor="hyperlink"/>
      <w:u w:val="single"/>
    </w:rPr>
  </w:style>
  <w:style w:type="paragraph" w:styleId="a4">
    <w:name w:val="List Paragraph"/>
    <w:basedOn w:val="a"/>
    <w:uiPriority w:val="34"/>
    <w:qFormat/>
    <w:rsid w:val="001B02D3"/>
    <w:pPr>
      <w:ind w:left="720"/>
      <w:contextualSpacing/>
    </w:pPr>
  </w:style>
  <w:style w:type="paragraph" w:styleId="a5">
    <w:name w:val="Balloon Text"/>
    <w:basedOn w:val="a"/>
    <w:link w:val="a6"/>
    <w:uiPriority w:val="99"/>
    <w:semiHidden/>
    <w:unhideWhenUsed/>
    <w:rsid w:val="00017989"/>
    <w:rPr>
      <w:rFonts w:ascii="Lucida Grande" w:hAnsi="Lucida Grande" w:cs="Lucida Grande"/>
      <w:sz w:val="18"/>
      <w:szCs w:val="18"/>
    </w:rPr>
  </w:style>
  <w:style w:type="character" w:customStyle="1" w:styleId="a6">
    <w:name w:val="批注框文本 字符"/>
    <w:basedOn w:val="a0"/>
    <w:link w:val="a5"/>
    <w:uiPriority w:val="99"/>
    <w:semiHidden/>
    <w:rsid w:val="00017989"/>
    <w:rPr>
      <w:rFonts w:ascii="Lucida Grande" w:hAnsi="Lucida Grande" w:cs="Lucida Grande"/>
      <w:sz w:val="18"/>
      <w:szCs w:val="18"/>
    </w:rPr>
  </w:style>
  <w:style w:type="paragraph" w:styleId="a7">
    <w:name w:val="Normal (Web)"/>
    <w:basedOn w:val="a"/>
    <w:uiPriority w:val="99"/>
    <w:unhideWhenUsed/>
    <w:rsid w:val="002E36F1"/>
    <w:pPr>
      <w:spacing w:before="100" w:beforeAutospacing="1" w:after="100" w:afterAutospacing="1"/>
    </w:pPr>
    <w:rPr>
      <w:rFonts w:ascii="Times New Roman" w:eastAsia="Times New Roman" w:hAnsi="Times New Roman" w:cs="Times New Roman"/>
    </w:rPr>
  </w:style>
  <w:style w:type="character" w:styleId="a8">
    <w:name w:val="annotation reference"/>
    <w:basedOn w:val="a0"/>
    <w:uiPriority w:val="99"/>
    <w:unhideWhenUsed/>
    <w:qFormat/>
    <w:rsid w:val="004D7B17"/>
    <w:rPr>
      <w:sz w:val="18"/>
      <w:szCs w:val="18"/>
    </w:rPr>
  </w:style>
  <w:style w:type="paragraph" w:styleId="a9">
    <w:name w:val="annotation text"/>
    <w:basedOn w:val="a"/>
    <w:link w:val="aa"/>
    <w:uiPriority w:val="99"/>
    <w:unhideWhenUsed/>
    <w:qFormat/>
    <w:rsid w:val="004D7B17"/>
  </w:style>
  <w:style w:type="character" w:customStyle="1" w:styleId="aa">
    <w:name w:val="批注文字 字符"/>
    <w:basedOn w:val="a0"/>
    <w:link w:val="a9"/>
    <w:uiPriority w:val="99"/>
    <w:qFormat/>
    <w:rsid w:val="004D7B17"/>
  </w:style>
  <w:style w:type="paragraph" w:styleId="ab">
    <w:name w:val="annotation subject"/>
    <w:basedOn w:val="a9"/>
    <w:next w:val="a9"/>
    <w:link w:val="ac"/>
    <w:uiPriority w:val="99"/>
    <w:semiHidden/>
    <w:unhideWhenUsed/>
    <w:rsid w:val="004D7B17"/>
    <w:rPr>
      <w:b/>
      <w:bCs/>
      <w:sz w:val="20"/>
      <w:szCs w:val="20"/>
    </w:rPr>
  </w:style>
  <w:style w:type="character" w:customStyle="1" w:styleId="ac">
    <w:name w:val="批注主题 字符"/>
    <w:basedOn w:val="aa"/>
    <w:link w:val="ab"/>
    <w:uiPriority w:val="99"/>
    <w:semiHidden/>
    <w:rsid w:val="004D7B17"/>
    <w:rPr>
      <w:b/>
      <w:bCs/>
      <w:sz w:val="20"/>
      <w:szCs w:val="20"/>
    </w:rPr>
  </w:style>
  <w:style w:type="paragraph" w:styleId="ad">
    <w:name w:val="Revision"/>
    <w:hidden/>
    <w:uiPriority w:val="99"/>
    <w:semiHidden/>
    <w:rsid w:val="00B9148D"/>
  </w:style>
  <w:style w:type="character" w:customStyle="1" w:styleId="UnresolvedMention1">
    <w:name w:val="Unresolved Mention1"/>
    <w:basedOn w:val="a0"/>
    <w:uiPriority w:val="99"/>
    <w:semiHidden/>
    <w:unhideWhenUsed/>
    <w:rsid w:val="002A5B1A"/>
    <w:rPr>
      <w:color w:val="605E5C"/>
      <w:shd w:val="clear" w:color="auto" w:fill="E1DFDD"/>
    </w:rPr>
  </w:style>
  <w:style w:type="paragraph" w:styleId="ae">
    <w:name w:val="header"/>
    <w:basedOn w:val="a"/>
    <w:link w:val="af"/>
    <w:uiPriority w:val="99"/>
    <w:unhideWhenUsed/>
    <w:rsid w:val="002B4969"/>
    <w:pPr>
      <w:tabs>
        <w:tab w:val="center" w:pos="4680"/>
        <w:tab w:val="right" w:pos="9360"/>
      </w:tabs>
    </w:pPr>
  </w:style>
  <w:style w:type="character" w:customStyle="1" w:styleId="af">
    <w:name w:val="页眉 字符"/>
    <w:basedOn w:val="a0"/>
    <w:link w:val="ae"/>
    <w:uiPriority w:val="99"/>
    <w:rsid w:val="002B4969"/>
  </w:style>
  <w:style w:type="paragraph" w:styleId="af0">
    <w:name w:val="footer"/>
    <w:basedOn w:val="a"/>
    <w:link w:val="af1"/>
    <w:uiPriority w:val="99"/>
    <w:unhideWhenUsed/>
    <w:rsid w:val="002B4969"/>
    <w:pPr>
      <w:tabs>
        <w:tab w:val="center" w:pos="4680"/>
        <w:tab w:val="right" w:pos="9360"/>
      </w:tabs>
    </w:pPr>
  </w:style>
  <w:style w:type="character" w:customStyle="1" w:styleId="af1">
    <w:name w:val="页脚 字符"/>
    <w:basedOn w:val="a0"/>
    <w:link w:val="af0"/>
    <w:uiPriority w:val="99"/>
    <w:rsid w:val="002B4969"/>
  </w:style>
  <w:style w:type="character" w:styleId="af2">
    <w:name w:val="page number"/>
    <w:basedOn w:val="a0"/>
    <w:uiPriority w:val="99"/>
    <w:semiHidden/>
    <w:unhideWhenUsed/>
    <w:rsid w:val="002B4969"/>
  </w:style>
  <w:style w:type="character" w:styleId="af3">
    <w:name w:val="Strong"/>
    <w:qFormat/>
    <w:rsid w:val="00312A48"/>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34781335">
      <w:bodyDiv w:val="1"/>
      <w:marLeft w:val="0"/>
      <w:marRight w:val="0"/>
      <w:marTop w:val="0"/>
      <w:marBottom w:val="0"/>
      <w:divBdr>
        <w:top w:val="none" w:sz="0" w:space="0" w:color="auto"/>
        <w:left w:val="none" w:sz="0" w:space="0" w:color="auto"/>
        <w:bottom w:val="none" w:sz="0" w:space="0" w:color="auto"/>
        <w:right w:val="none" w:sz="0" w:space="0" w:color="auto"/>
      </w:divBdr>
    </w:div>
    <w:div w:id="177513311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mailto:arvind.trindade@gmail.com" TargetMode="External"/><Relationship Id="rId13" Type="http://schemas.openxmlformats.org/officeDocument/2006/relationships/image" Target="media/image5.png"/><Relationship Id="rId26" Type="http://schemas.microsoft.com/office/2018/08/relationships/commentsExtensible" Target="commentsExtensi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2F22BC-94B3-4062-BAF1-27D4E39DAB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26</Pages>
  <Words>40054</Words>
  <Characters>228312</Characters>
  <Application>Microsoft Office Word</Application>
  <DocSecurity>0</DocSecurity>
  <Lines>1902</Lines>
  <Paragraphs>535</Paragraphs>
  <ScaleCrop>false</ScaleCrop>
  <HeadingPairs>
    <vt:vector size="2" baseType="variant">
      <vt:variant>
        <vt:lpstr>Title</vt:lpstr>
      </vt:variant>
      <vt:variant>
        <vt:i4>1</vt:i4>
      </vt:variant>
    </vt:vector>
  </HeadingPairs>
  <TitlesOfParts>
    <vt:vector size="1" baseType="lpstr">
      <vt:lpstr/>
    </vt:vector>
  </TitlesOfParts>
  <Company>Emory University School of Medicine</Company>
  <LinksUpToDate>false</LinksUpToDate>
  <CharactersWithSpaces>267831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Kara Raphael</dc:creator>
  <cp:keywords/>
  <dc:description/>
  <cp:lastModifiedBy>Liansheng Ma</cp:lastModifiedBy>
  <cp:revision>2</cp:revision>
  <dcterms:created xsi:type="dcterms:W3CDTF">2020-04-24T15:55:00Z</dcterms:created>
  <dcterms:modified xsi:type="dcterms:W3CDTF">2020-04-24T15:55:00Z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http://www.zotero.org/styles/american-sociological-association</vt:lpwstr>
  </property>
  <property fmtid="{D5CDD505-2E9C-101B-9397-08002B2CF9AE}" pid="3" name="Mendeley Recent Style Name 0_1">
    <vt:lpwstr>American Sociological Association</vt:lpwstr>
  </property>
  <property fmtid="{D5CDD505-2E9C-101B-9397-08002B2CF9AE}" pid="4" name="Mendeley Recent Style Id 1_1">
    <vt:lpwstr>http://www.zotero.org/styles/chicago-author-date</vt:lpwstr>
  </property>
  <property fmtid="{D5CDD505-2E9C-101B-9397-08002B2CF9AE}" pid="5" name="Mendeley Recent Style Name 1_1">
    <vt:lpwstr>Chicago Manual of Style 17th edition (author-date)</vt:lpwstr>
  </property>
  <property fmtid="{D5CDD505-2E9C-101B-9397-08002B2CF9AE}" pid="6" name="Mendeley Recent Style Id 2_1">
    <vt:lpwstr>http://www.zotero.org/styles/harvard-cite-them-right</vt:lpwstr>
  </property>
  <property fmtid="{D5CDD505-2E9C-101B-9397-08002B2CF9AE}" pid="7" name="Mendeley Recent Style Name 2_1">
    <vt:lpwstr>Cite Them Right 10th edition - Harvard</vt:lpwstr>
  </property>
  <property fmtid="{D5CDD505-2E9C-101B-9397-08002B2CF9AE}" pid="8" name="Mendeley Recent Style Id 3_1">
    <vt:lpwstr>http://www.zotero.org/styles/endoscopy</vt:lpwstr>
  </property>
  <property fmtid="{D5CDD505-2E9C-101B-9397-08002B2CF9AE}" pid="9" name="Mendeley Recent Style Name 3_1">
    <vt:lpwstr>Endoscopy</vt:lpwstr>
  </property>
  <property fmtid="{D5CDD505-2E9C-101B-9397-08002B2CF9AE}" pid="10" name="Mendeley Recent Style Id 4_1">
    <vt:lpwstr>http://www.zotero.org/styles/ieee</vt:lpwstr>
  </property>
  <property fmtid="{D5CDD505-2E9C-101B-9397-08002B2CF9AE}" pid="11" name="Mendeley Recent Style Name 4_1">
    <vt:lpwstr>IEEE</vt:lpwstr>
  </property>
  <property fmtid="{D5CDD505-2E9C-101B-9397-08002B2CF9AE}" pid="12" name="Mendeley Recent Style Id 5_1">
    <vt:lpwstr>http://www.zotero.org/styles/modern-humanities-research-association</vt:lpwstr>
  </property>
  <property fmtid="{D5CDD505-2E9C-101B-9397-08002B2CF9AE}" pid="13" name="Mendeley Recent Style Name 5_1">
    <vt:lpwstr>Modern Humanities Research Association 3rd edition (note with bibliography)</vt:lpwstr>
  </property>
  <property fmtid="{D5CDD505-2E9C-101B-9397-08002B2CF9AE}" pid="14" name="Mendeley Recent Style Id 6_1">
    <vt:lpwstr>http://www.zotero.org/styles/modern-language-association</vt:lpwstr>
  </property>
  <property fmtid="{D5CDD505-2E9C-101B-9397-08002B2CF9AE}" pid="15" name="Mendeley Recent Style Name 6_1">
    <vt:lpwstr>Modern Language Association 8th edition</vt:lpwstr>
  </property>
  <property fmtid="{D5CDD505-2E9C-101B-9397-08002B2CF9AE}" pid="16" name="Mendeley Recent Style Id 7_1">
    <vt:lpwstr>http://www.zotero.org/styles/nature</vt:lpwstr>
  </property>
  <property fmtid="{D5CDD505-2E9C-101B-9397-08002B2CF9AE}" pid="17" name="Mendeley Recent Style Name 7_1">
    <vt:lpwstr>Nature</vt:lpwstr>
  </property>
  <property fmtid="{D5CDD505-2E9C-101B-9397-08002B2CF9AE}" pid="18" name="Mendeley Recent Style Id 8_1">
    <vt:lpwstr>http://www.zotero.org/styles/vancouver</vt:lpwstr>
  </property>
  <property fmtid="{D5CDD505-2E9C-101B-9397-08002B2CF9AE}" pid="19" name="Mendeley Recent Style Name 8_1">
    <vt:lpwstr>Vancouver</vt:lpwstr>
  </property>
  <property fmtid="{D5CDD505-2E9C-101B-9397-08002B2CF9AE}" pid="20" name="Mendeley Recent Style Id 9_1">
    <vt:lpwstr>http://www.zotero.org/styles/world-journal-of-gastroenterology</vt:lpwstr>
  </property>
  <property fmtid="{D5CDD505-2E9C-101B-9397-08002B2CF9AE}" pid="21" name="Mendeley Recent Style Name 9_1">
    <vt:lpwstr>World Journal of Gastroenterology</vt:lpwstr>
  </property>
  <property fmtid="{D5CDD505-2E9C-101B-9397-08002B2CF9AE}" pid="22" name="Mendeley Document_1">
    <vt:lpwstr>True</vt:lpwstr>
  </property>
  <property fmtid="{D5CDD505-2E9C-101B-9397-08002B2CF9AE}" pid="23" name="Mendeley Unique User Id_1">
    <vt:lpwstr>db2515d5-6b9c-3253-92c2-0ac321c8936e</vt:lpwstr>
  </property>
  <property fmtid="{D5CDD505-2E9C-101B-9397-08002B2CF9AE}" pid="24" name="Mendeley Citation Style_1">
    <vt:lpwstr>http://www.zotero.org/styles/world-journal-of-gastroenterology</vt:lpwstr>
  </property>
</Properties>
</file>