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265" w:rsidRPr="006D6800" w:rsidRDefault="00281265" w:rsidP="006D6800">
      <w:pPr>
        <w:snapToGrid w:val="0"/>
        <w:spacing w:line="360" w:lineRule="auto"/>
        <w:rPr>
          <w:rFonts w:ascii="Book Antiqua" w:hAnsi="Book Antiqua"/>
          <w:b/>
          <w:i/>
          <w:color w:val="000000"/>
          <w:sz w:val="24"/>
          <w:lang w:eastAsia="en-US"/>
        </w:rPr>
      </w:pPr>
      <w:r w:rsidRPr="006D6800">
        <w:rPr>
          <w:rFonts w:ascii="Book Antiqua" w:hAnsi="Book Antiqua"/>
          <w:b/>
          <w:color w:val="000000"/>
          <w:sz w:val="24"/>
          <w:lang w:eastAsia="en-US"/>
        </w:rPr>
        <w:t xml:space="preserve">Name of Journal: </w:t>
      </w:r>
      <w:r w:rsidRPr="006D6800">
        <w:rPr>
          <w:rFonts w:ascii="Book Antiqua" w:hAnsi="Book Antiqua"/>
          <w:i/>
          <w:color w:val="000000"/>
          <w:sz w:val="24"/>
          <w:lang w:eastAsia="en-US"/>
        </w:rPr>
        <w:t>World Journal of Gastrointestinal Oncology</w:t>
      </w:r>
    </w:p>
    <w:p w:rsidR="00281265" w:rsidRPr="006D6800" w:rsidRDefault="00281265" w:rsidP="006D6800">
      <w:pPr>
        <w:snapToGrid w:val="0"/>
        <w:spacing w:line="360" w:lineRule="auto"/>
        <w:rPr>
          <w:rFonts w:ascii="Book Antiqua" w:hAnsi="Book Antiqua"/>
          <w:b/>
          <w:color w:val="000000"/>
          <w:sz w:val="24"/>
          <w:lang w:eastAsia="en-US"/>
        </w:rPr>
      </w:pPr>
      <w:r w:rsidRPr="006D6800">
        <w:rPr>
          <w:rFonts w:ascii="Book Antiqua" w:hAnsi="Book Antiqua"/>
          <w:b/>
          <w:color w:val="000000"/>
          <w:sz w:val="24"/>
          <w:lang w:eastAsia="en-US"/>
        </w:rPr>
        <w:t xml:space="preserve">Manuscript NO: </w:t>
      </w:r>
      <w:r w:rsidRPr="006D6800">
        <w:rPr>
          <w:rFonts w:ascii="Book Antiqua" w:hAnsi="Book Antiqua"/>
          <w:color w:val="000000"/>
          <w:sz w:val="24"/>
          <w:lang w:eastAsia="en-US"/>
        </w:rPr>
        <w:t>53879</w:t>
      </w:r>
    </w:p>
    <w:p w:rsidR="00281265" w:rsidRPr="006D6800" w:rsidRDefault="00281265" w:rsidP="006D6800">
      <w:pPr>
        <w:snapToGrid w:val="0"/>
        <w:spacing w:line="360" w:lineRule="auto"/>
        <w:rPr>
          <w:rFonts w:ascii="Book Antiqua" w:hAnsi="Book Antiqua"/>
          <w:b/>
          <w:color w:val="000000"/>
          <w:sz w:val="24"/>
          <w:lang w:eastAsia="en-US"/>
        </w:rPr>
      </w:pPr>
      <w:bookmarkStart w:id="0" w:name="OLE_LINK3"/>
      <w:bookmarkStart w:id="1" w:name="OLE_LINK4"/>
      <w:r w:rsidRPr="006D6800">
        <w:rPr>
          <w:rFonts w:ascii="Book Antiqua" w:hAnsi="Book Antiqua"/>
          <w:b/>
          <w:color w:val="000000"/>
          <w:sz w:val="24"/>
          <w:shd w:val="clear" w:color="auto" w:fill="FFFFFF"/>
        </w:rPr>
        <w:t>Manuscript Type</w:t>
      </w:r>
      <w:bookmarkEnd w:id="0"/>
      <w:bookmarkEnd w:id="1"/>
      <w:r w:rsidRPr="006D6800">
        <w:rPr>
          <w:rFonts w:ascii="Book Antiqua" w:hAnsi="Book Antiqua"/>
          <w:b/>
          <w:color w:val="000000"/>
          <w:sz w:val="24"/>
          <w:lang w:eastAsia="en-US"/>
        </w:rPr>
        <w:t xml:space="preserve">: </w:t>
      </w:r>
      <w:r w:rsidRPr="006D6800">
        <w:rPr>
          <w:rFonts w:ascii="Book Antiqua" w:hAnsi="Book Antiqua"/>
          <w:color w:val="000000"/>
          <w:sz w:val="24"/>
          <w:lang w:eastAsia="en-US"/>
        </w:rPr>
        <w:t>REVIEW</w:t>
      </w:r>
    </w:p>
    <w:p w:rsidR="00281265" w:rsidRPr="006D6800" w:rsidRDefault="00281265" w:rsidP="006D6800">
      <w:pPr>
        <w:pStyle w:val="a3"/>
        <w:widowControl/>
        <w:snapToGrid w:val="0"/>
        <w:spacing w:beforeAutospacing="0" w:afterAutospacing="0" w:line="360" w:lineRule="auto"/>
        <w:jc w:val="both"/>
        <w:rPr>
          <w:rFonts w:ascii="Book Antiqua" w:hAnsi="Book Antiqua"/>
          <w:b/>
          <w:bCs/>
        </w:rPr>
      </w:pPr>
    </w:p>
    <w:p w:rsidR="00B27CCD" w:rsidRPr="006D6800" w:rsidRDefault="0014178F" w:rsidP="006D6800">
      <w:pPr>
        <w:pStyle w:val="a3"/>
        <w:widowControl/>
        <w:snapToGrid w:val="0"/>
        <w:spacing w:beforeAutospacing="0" w:afterAutospacing="0" w:line="360" w:lineRule="auto"/>
        <w:jc w:val="both"/>
        <w:rPr>
          <w:rFonts w:ascii="Book Antiqua" w:hAnsi="Book Antiqua"/>
        </w:rPr>
      </w:pPr>
      <w:r w:rsidRPr="006D6800">
        <w:rPr>
          <w:rFonts w:ascii="Book Antiqua" w:hAnsi="Book Antiqua"/>
          <w:b/>
          <w:bCs/>
        </w:rPr>
        <w:t>Pancreatic neuroendocrine tumors G3 and pancreatic neuroendocrine carcinomas: differences in basic biology and treatment</w:t>
      </w:r>
    </w:p>
    <w:p w:rsidR="00B27CCD" w:rsidRPr="006D6800" w:rsidRDefault="00B27CCD" w:rsidP="006D6800">
      <w:pPr>
        <w:pStyle w:val="a3"/>
        <w:widowControl/>
        <w:snapToGrid w:val="0"/>
        <w:spacing w:beforeAutospacing="0" w:afterAutospacing="0" w:line="360" w:lineRule="auto"/>
        <w:jc w:val="both"/>
        <w:rPr>
          <w:rFonts w:ascii="Book Antiqua" w:hAnsi="Book Antiqua"/>
          <w:lang w:bidi="ar"/>
        </w:rPr>
      </w:pPr>
    </w:p>
    <w:p w:rsidR="00B955FB" w:rsidRPr="006D6800" w:rsidRDefault="00B955FB" w:rsidP="006D6800">
      <w:pPr>
        <w:pStyle w:val="a3"/>
        <w:widowControl/>
        <w:snapToGrid w:val="0"/>
        <w:spacing w:beforeAutospacing="0" w:afterAutospacing="0" w:line="360" w:lineRule="auto"/>
        <w:jc w:val="both"/>
        <w:rPr>
          <w:rFonts w:ascii="Book Antiqua" w:hAnsi="Book Antiqua"/>
          <w:lang w:bidi="ar"/>
        </w:rPr>
      </w:pPr>
      <w:r w:rsidRPr="006D6800">
        <w:rPr>
          <w:rFonts w:ascii="Book Antiqua" w:hAnsi="Book Antiqua"/>
          <w:lang w:bidi="ar"/>
        </w:rPr>
        <w:t xml:space="preserve">Zhang MY </w:t>
      </w:r>
      <w:r w:rsidRPr="006D6800">
        <w:rPr>
          <w:rFonts w:ascii="Book Antiqua" w:hAnsi="Book Antiqua"/>
          <w:i/>
          <w:iCs/>
          <w:lang w:bidi="ar"/>
        </w:rPr>
        <w:t>et al</w:t>
      </w:r>
      <w:r w:rsidRPr="006D6800">
        <w:rPr>
          <w:rFonts w:ascii="Book Antiqua" w:hAnsi="Book Antiqua"/>
          <w:lang w:bidi="ar"/>
        </w:rPr>
        <w:t>. Difference in pNET G3 and pNEC</w:t>
      </w:r>
    </w:p>
    <w:p w:rsidR="00B955FB" w:rsidRPr="006D6800" w:rsidRDefault="00B955FB" w:rsidP="006D6800">
      <w:pPr>
        <w:pStyle w:val="a3"/>
        <w:widowControl/>
        <w:snapToGrid w:val="0"/>
        <w:spacing w:beforeAutospacing="0" w:afterAutospacing="0" w:line="360" w:lineRule="auto"/>
        <w:jc w:val="both"/>
        <w:rPr>
          <w:rFonts w:ascii="Book Antiqua" w:hAnsi="Book Antiqua"/>
          <w:lang w:bidi="ar"/>
        </w:rPr>
      </w:pPr>
    </w:p>
    <w:p w:rsidR="00B27CCD" w:rsidRPr="006D6800" w:rsidRDefault="0014178F" w:rsidP="006D6800">
      <w:pPr>
        <w:pStyle w:val="a3"/>
        <w:widowControl/>
        <w:snapToGrid w:val="0"/>
        <w:spacing w:beforeAutospacing="0" w:afterAutospacing="0" w:line="360" w:lineRule="auto"/>
        <w:jc w:val="both"/>
        <w:rPr>
          <w:rFonts w:ascii="Book Antiqua" w:hAnsi="Book Antiqua"/>
          <w:lang w:bidi="ar"/>
        </w:rPr>
      </w:pPr>
      <w:r w:rsidRPr="006D6800">
        <w:rPr>
          <w:rFonts w:ascii="Book Antiqua" w:hAnsi="Book Antiqua"/>
          <w:lang w:bidi="ar"/>
        </w:rPr>
        <w:t>Ming-</w:t>
      </w:r>
      <w:r w:rsidR="00B955FB" w:rsidRPr="006D6800">
        <w:rPr>
          <w:rFonts w:ascii="Book Antiqua" w:hAnsi="Book Antiqua"/>
          <w:lang w:bidi="ar"/>
        </w:rPr>
        <w:t xml:space="preserve">Yi </w:t>
      </w:r>
      <w:r w:rsidRPr="006D6800">
        <w:rPr>
          <w:rFonts w:ascii="Book Antiqua" w:hAnsi="Book Antiqua"/>
          <w:lang w:bidi="ar"/>
        </w:rPr>
        <w:t>Zhang, Du He, Shuang Zhang</w:t>
      </w:r>
    </w:p>
    <w:p w:rsidR="00B955FB" w:rsidRPr="006D6800" w:rsidRDefault="00B955FB" w:rsidP="006D6800">
      <w:pPr>
        <w:pStyle w:val="a3"/>
        <w:widowControl/>
        <w:snapToGrid w:val="0"/>
        <w:spacing w:beforeAutospacing="0" w:afterAutospacing="0" w:line="360" w:lineRule="auto"/>
        <w:jc w:val="both"/>
        <w:rPr>
          <w:rFonts w:ascii="Book Antiqua" w:hAnsi="Book Antiqua"/>
          <w:lang w:bidi="ar"/>
        </w:rPr>
      </w:pPr>
    </w:p>
    <w:p w:rsidR="00B27CCD" w:rsidRPr="006D6800" w:rsidRDefault="0014178F" w:rsidP="006D6800">
      <w:pPr>
        <w:pStyle w:val="a3"/>
        <w:widowControl/>
        <w:snapToGrid w:val="0"/>
        <w:spacing w:beforeAutospacing="0" w:afterAutospacing="0" w:line="360" w:lineRule="auto"/>
        <w:jc w:val="both"/>
        <w:rPr>
          <w:rFonts w:ascii="Book Antiqua" w:hAnsi="Book Antiqua"/>
          <w:lang w:bidi="ar"/>
        </w:rPr>
      </w:pPr>
      <w:r w:rsidRPr="006D6800">
        <w:rPr>
          <w:rFonts w:ascii="Book Antiqua" w:hAnsi="Book Antiqua"/>
          <w:b/>
          <w:bCs/>
          <w:lang w:bidi="ar"/>
        </w:rPr>
        <w:t>Ming-</w:t>
      </w:r>
      <w:r w:rsidR="00B955FB" w:rsidRPr="006D6800">
        <w:rPr>
          <w:rFonts w:ascii="Book Antiqua" w:hAnsi="Book Antiqua"/>
          <w:b/>
          <w:bCs/>
          <w:lang w:bidi="ar"/>
        </w:rPr>
        <w:t xml:space="preserve">Yi </w:t>
      </w:r>
      <w:r w:rsidRPr="006D6800">
        <w:rPr>
          <w:rFonts w:ascii="Book Antiqua" w:hAnsi="Book Antiqua"/>
          <w:b/>
          <w:bCs/>
          <w:lang w:bidi="ar"/>
        </w:rPr>
        <w:t xml:space="preserve">Zhang, Shuang Zhang, </w:t>
      </w:r>
      <w:r w:rsidRPr="006D6800">
        <w:rPr>
          <w:rFonts w:ascii="Book Antiqua" w:hAnsi="Book Antiqua"/>
          <w:lang w:bidi="ar"/>
        </w:rPr>
        <w:t>Department of Biotherapy, State Key Laboratory of Biotherapy and Cancer Center, West China Hospital, Sichuan University, Chengdu 610041, Sichuan Province, China</w:t>
      </w:r>
    </w:p>
    <w:p w:rsidR="00B955FB" w:rsidRPr="006D6800" w:rsidRDefault="00B955FB" w:rsidP="006D6800">
      <w:pPr>
        <w:pStyle w:val="a3"/>
        <w:widowControl/>
        <w:snapToGrid w:val="0"/>
        <w:spacing w:beforeAutospacing="0" w:afterAutospacing="0" w:line="360" w:lineRule="auto"/>
        <w:jc w:val="both"/>
        <w:rPr>
          <w:rFonts w:ascii="Book Antiqua" w:hAnsi="Book Antiqua"/>
          <w:lang w:bidi="ar"/>
        </w:rPr>
      </w:pPr>
    </w:p>
    <w:p w:rsidR="00B27CCD" w:rsidRPr="006D6800" w:rsidRDefault="0014178F" w:rsidP="006D6800">
      <w:pPr>
        <w:pStyle w:val="a3"/>
        <w:widowControl/>
        <w:snapToGrid w:val="0"/>
        <w:spacing w:beforeAutospacing="0" w:afterAutospacing="0" w:line="360" w:lineRule="auto"/>
        <w:jc w:val="both"/>
        <w:rPr>
          <w:rFonts w:ascii="Book Antiqua" w:hAnsi="Book Antiqua"/>
          <w:lang w:bidi="ar"/>
        </w:rPr>
      </w:pPr>
      <w:r w:rsidRPr="006D6800">
        <w:rPr>
          <w:rFonts w:ascii="Book Antiqua" w:hAnsi="Book Antiqua"/>
          <w:b/>
          <w:bCs/>
          <w:lang w:bidi="ar"/>
        </w:rPr>
        <w:t>Du He,</w:t>
      </w:r>
      <w:r w:rsidRPr="006D6800">
        <w:rPr>
          <w:rFonts w:ascii="Book Antiqua" w:hAnsi="Book Antiqua"/>
          <w:lang w:bidi="ar"/>
        </w:rPr>
        <w:t xml:space="preserve"> Department of Pathology, West China Hospital, Sichuan University, Chengdu 610041, Sichuan Province, China</w:t>
      </w:r>
    </w:p>
    <w:p w:rsidR="00B955FB" w:rsidRPr="006D6800" w:rsidRDefault="00B955FB" w:rsidP="006D6800">
      <w:pPr>
        <w:pStyle w:val="a3"/>
        <w:widowControl/>
        <w:snapToGrid w:val="0"/>
        <w:spacing w:beforeAutospacing="0" w:afterAutospacing="0" w:line="360" w:lineRule="auto"/>
        <w:jc w:val="both"/>
        <w:rPr>
          <w:rFonts w:ascii="Book Antiqua" w:hAnsi="Book Antiqua"/>
          <w:lang w:bidi="ar"/>
        </w:rPr>
      </w:pPr>
    </w:p>
    <w:p w:rsidR="00B955FB" w:rsidRPr="006D6800" w:rsidRDefault="00281265" w:rsidP="006D6800">
      <w:pPr>
        <w:pStyle w:val="a3"/>
        <w:widowControl/>
        <w:snapToGrid w:val="0"/>
        <w:spacing w:beforeAutospacing="0" w:afterAutospacing="0" w:line="360" w:lineRule="auto"/>
        <w:jc w:val="both"/>
        <w:rPr>
          <w:rFonts w:ascii="Book Antiqua" w:hAnsi="Book Antiqua"/>
          <w:b/>
          <w:bCs/>
          <w:lang w:bidi="ar"/>
        </w:rPr>
      </w:pPr>
      <w:r w:rsidRPr="006D6800">
        <w:rPr>
          <w:rFonts w:ascii="Book Antiqua" w:hAnsi="Book Antiqua"/>
          <w:b/>
        </w:rPr>
        <w:t>Author contributions:</w:t>
      </w:r>
      <w:r w:rsidR="00B955FB" w:rsidRPr="006D6800">
        <w:rPr>
          <w:rFonts w:ascii="Book Antiqua" w:hAnsi="Book Antiqua"/>
          <w:lang w:bidi="ar"/>
        </w:rPr>
        <w:t xml:space="preserve"> Zhang MY drafted the original manuscript and He D provided the images; Zhang S devised the original idea and critically reviewed the review.</w:t>
      </w:r>
    </w:p>
    <w:p w:rsidR="00B955FB" w:rsidRPr="006D6800" w:rsidRDefault="00B955FB" w:rsidP="006D6800">
      <w:pPr>
        <w:pStyle w:val="a3"/>
        <w:widowControl/>
        <w:snapToGrid w:val="0"/>
        <w:spacing w:beforeAutospacing="0" w:afterAutospacing="0" w:line="360" w:lineRule="auto"/>
        <w:jc w:val="both"/>
        <w:rPr>
          <w:rFonts w:ascii="Book Antiqua" w:hAnsi="Book Antiqua"/>
          <w:b/>
          <w:bCs/>
        </w:rPr>
      </w:pPr>
    </w:p>
    <w:p w:rsidR="00B27CCD" w:rsidRPr="006D6800" w:rsidRDefault="00281265" w:rsidP="006D6800">
      <w:pPr>
        <w:pStyle w:val="a3"/>
        <w:widowControl/>
        <w:snapToGrid w:val="0"/>
        <w:spacing w:beforeAutospacing="0" w:afterAutospacing="0" w:line="360" w:lineRule="auto"/>
        <w:jc w:val="both"/>
        <w:rPr>
          <w:rFonts w:ascii="Book Antiqua" w:hAnsi="Book Antiqua"/>
          <w:lang w:bidi="ar"/>
        </w:rPr>
      </w:pPr>
      <w:r w:rsidRPr="006D6800">
        <w:rPr>
          <w:rFonts w:ascii="Book Antiqua" w:hAnsi="Book Antiqua"/>
          <w:b/>
        </w:rPr>
        <w:t>Corresponding author:</w:t>
      </w:r>
      <w:r w:rsidRPr="006D6800">
        <w:rPr>
          <w:rFonts w:ascii="Book Antiqua" w:eastAsia="宋体" w:hAnsi="Book Antiqua" w:cs="Arial"/>
          <w:b/>
          <w:bCs/>
        </w:rPr>
        <w:t xml:space="preserve"> </w:t>
      </w:r>
      <w:r w:rsidR="0014178F" w:rsidRPr="006D6800">
        <w:rPr>
          <w:rFonts w:ascii="Book Antiqua" w:hAnsi="Book Antiqua"/>
          <w:b/>
          <w:bCs/>
          <w:lang w:bidi="ar"/>
        </w:rPr>
        <w:t>Shuang Zhang, MD, PhD, Associate Professor,</w:t>
      </w:r>
      <w:r w:rsidR="0014178F" w:rsidRPr="006D6800">
        <w:rPr>
          <w:rFonts w:ascii="Book Antiqua" w:hAnsi="Book Antiqua"/>
          <w:lang w:bidi="ar"/>
        </w:rPr>
        <w:t xml:space="preserve"> Department of Biotherapy, State Key Laboratory of Biotherapy and Cancer Center, West China Hospital, Sichuan University, Gaopeng Street, Keyuan Road 4, Chengdu 610041, Sichuan Province, China. </w:t>
      </w:r>
      <w:r w:rsidR="0014178F" w:rsidRPr="006D6800">
        <w:rPr>
          <w:rFonts w:ascii="Book Antiqua" w:hAnsi="Book Antiqua"/>
          <w:u w:val="single"/>
          <w:lang w:bidi="ar"/>
        </w:rPr>
        <w:t>shuang.zhang@scu.edu.cn</w:t>
      </w:r>
    </w:p>
    <w:p w:rsidR="00B27CCD" w:rsidRPr="006D6800" w:rsidRDefault="00B27CCD" w:rsidP="006D6800">
      <w:pPr>
        <w:pStyle w:val="a3"/>
        <w:widowControl/>
        <w:snapToGrid w:val="0"/>
        <w:spacing w:beforeAutospacing="0" w:afterAutospacing="0" w:line="360" w:lineRule="auto"/>
        <w:jc w:val="both"/>
        <w:rPr>
          <w:rFonts w:ascii="Book Antiqua" w:hAnsi="Book Antiqua"/>
          <w:b/>
          <w:bCs/>
        </w:rPr>
      </w:pPr>
    </w:p>
    <w:p w:rsidR="00281265" w:rsidRPr="006D6800" w:rsidRDefault="00281265" w:rsidP="006D6800">
      <w:pPr>
        <w:snapToGrid w:val="0"/>
        <w:spacing w:line="360" w:lineRule="auto"/>
        <w:rPr>
          <w:rFonts w:ascii="Book Antiqua" w:hAnsi="Book Antiqua"/>
          <w:b/>
          <w:sz w:val="24"/>
        </w:rPr>
      </w:pPr>
      <w:r w:rsidRPr="006D6800">
        <w:rPr>
          <w:rFonts w:ascii="Book Antiqua" w:hAnsi="Book Antiqua"/>
          <w:b/>
          <w:sz w:val="24"/>
        </w:rPr>
        <w:t>Received:</w:t>
      </w:r>
      <w:r w:rsidRPr="006D6800">
        <w:rPr>
          <w:rFonts w:ascii="Book Antiqua" w:eastAsia="宋体" w:hAnsi="Book Antiqua"/>
          <w:b/>
          <w:sz w:val="24"/>
        </w:rPr>
        <w:t xml:space="preserve"> </w:t>
      </w:r>
      <w:r w:rsidRPr="006D6800">
        <w:rPr>
          <w:rFonts w:ascii="Book Antiqua" w:hAnsi="Book Antiqua"/>
          <w:bCs/>
          <w:sz w:val="24"/>
        </w:rPr>
        <w:t>December 31, 2019</w:t>
      </w:r>
    </w:p>
    <w:p w:rsidR="00281265" w:rsidRPr="006D6800" w:rsidRDefault="00281265" w:rsidP="006D6800">
      <w:pPr>
        <w:snapToGrid w:val="0"/>
        <w:spacing w:line="360" w:lineRule="auto"/>
        <w:rPr>
          <w:rFonts w:ascii="Book Antiqua" w:eastAsia="宋体" w:hAnsi="Book Antiqua"/>
          <w:b/>
          <w:sz w:val="24"/>
        </w:rPr>
      </w:pPr>
      <w:r w:rsidRPr="006D6800">
        <w:rPr>
          <w:rFonts w:ascii="Book Antiqua" w:hAnsi="Book Antiqua"/>
          <w:b/>
          <w:sz w:val="24"/>
        </w:rPr>
        <w:t xml:space="preserve">Revised: </w:t>
      </w:r>
      <w:r w:rsidRPr="006D6800">
        <w:rPr>
          <w:rFonts w:ascii="Book Antiqua" w:hAnsi="Book Antiqua"/>
          <w:bCs/>
          <w:sz w:val="24"/>
        </w:rPr>
        <w:t>May 17, 2020</w:t>
      </w:r>
    </w:p>
    <w:p w:rsidR="00281265" w:rsidRPr="006D6800" w:rsidRDefault="00281265" w:rsidP="006D6800">
      <w:pPr>
        <w:snapToGrid w:val="0"/>
        <w:spacing w:line="360" w:lineRule="auto"/>
        <w:rPr>
          <w:rFonts w:ascii="Book Antiqua" w:hAnsi="Book Antiqua"/>
          <w:color w:val="000000"/>
          <w:sz w:val="24"/>
        </w:rPr>
      </w:pPr>
      <w:r w:rsidRPr="006D6800">
        <w:rPr>
          <w:rFonts w:ascii="Book Antiqua" w:hAnsi="Book Antiqua"/>
          <w:b/>
          <w:sz w:val="24"/>
        </w:rPr>
        <w:t>Accepted:</w:t>
      </w:r>
      <w:bookmarkStart w:id="2" w:name="OLE_LINK98"/>
      <w:bookmarkStart w:id="3" w:name="OLE_LINK99"/>
      <w:bookmarkStart w:id="4" w:name="OLE_LINK104"/>
      <w:bookmarkStart w:id="5" w:name="OLE_LINK110"/>
      <w:bookmarkStart w:id="6" w:name="OLE_LINK111"/>
      <w:bookmarkStart w:id="7" w:name="OLE_LINK115"/>
      <w:bookmarkStart w:id="8" w:name="OLE_LINK116"/>
      <w:r w:rsidRPr="006D6800">
        <w:rPr>
          <w:rFonts w:ascii="Book Antiqua" w:hAnsi="Book Antiqua"/>
          <w:color w:val="000000"/>
          <w:sz w:val="24"/>
        </w:rPr>
        <w:t xml:space="preserve"> </w:t>
      </w:r>
      <w:bookmarkEnd w:id="2"/>
      <w:bookmarkEnd w:id="3"/>
      <w:bookmarkEnd w:id="4"/>
      <w:bookmarkEnd w:id="5"/>
      <w:bookmarkEnd w:id="6"/>
      <w:bookmarkEnd w:id="7"/>
      <w:bookmarkEnd w:id="8"/>
      <w:r w:rsidR="004379AE">
        <w:rPr>
          <w:rFonts w:ascii="Book Antiqua" w:hAnsi="Book Antiqua"/>
          <w:color w:val="000000"/>
          <w:sz w:val="24"/>
        </w:rPr>
        <w:t>June 17, 2020</w:t>
      </w:r>
    </w:p>
    <w:p w:rsidR="00281265" w:rsidRPr="006D6800" w:rsidRDefault="00281265" w:rsidP="006D6800">
      <w:pPr>
        <w:snapToGrid w:val="0"/>
        <w:spacing w:line="360" w:lineRule="auto"/>
        <w:rPr>
          <w:rFonts w:ascii="Book Antiqua" w:hAnsi="Book Antiqua"/>
          <w:b/>
          <w:sz w:val="24"/>
        </w:rPr>
      </w:pPr>
      <w:r w:rsidRPr="006D6800">
        <w:rPr>
          <w:rFonts w:ascii="Book Antiqua" w:hAnsi="Book Antiqua"/>
          <w:b/>
          <w:sz w:val="24"/>
        </w:rPr>
        <w:t xml:space="preserve">Published online: </w:t>
      </w:r>
      <w:r w:rsidR="00E615BC" w:rsidRPr="00E615BC">
        <w:rPr>
          <w:rFonts w:ascii="Book Antiqua" w:hAnsi="Book Antiqua" w:hint="eastAsia"/>
          <w:sz w:val="24"/>
        </w:rPr>
        <w:t>July 15, 2020</w:t>
      </w:r>
    </w:p>
    <w:p w:rsidR="00B27CCD" w:rsidRPr="006D6800" w:rsidRDefault="0014178F" w:rsidP="006D6800">
      <w:pPr>
        <w:pStyle w:val="a3"/>
        <w:widowControl/>
        <w:snapToGrid w:val="0"/>
        <w:spacing w:beforeAutospacing="0" w:afterAutospacing="0" w:line="360" w:lineRule="auto"/>
        <w:jc w:val="both"/>
        <w:rPr>
          <w:rFonts w:ascii="Book Antiqua" w:hAnsi="Book Antiqua"/>
          <w:b/>
          <w:bCs/>
        </w:rPr>
      </w:pPr>
      <w:r w:rsidRPr="006D6800">
        <w:rPr>
          <w:rFonts w:ascii="Book Antiqua" w:hAnsi="Book Antiqua"/>
          <w:b/>
          <w:bCs/>
        </w:rPr>
        <w:lastRenderedPageBreak/>
        <w:t>Abstract</w:t>
      </w:r>
    </w:p>
    <w:p w:rsidR="00B27CCD" w:rsidRPr="006D6800" w:rsidRDefault="0014178F" w:rsidP="006D6800">
      <w:pPr>
        <w:pStyle w:val="a3"/>
        <w:widowControl/>
        <w:snapToGrid w:val="0"/>
        <w:spacing w:beforeAutospacing="0" w:afterAutospacing="0" w:line="360" w:lineRule="auto"/>
        <w:jc w:val="both"/>
        <w:rPr>
          <w:rFonts w:ascii="Book Antiqua" w:hAnsi="Book Antiqua"/>
          <w:lang w:bidi="ar"/>
        </w:rPr>
      </w:pPr>
      <w:r w:rsidRPr="006D6800">
        <w:rPr>
          <w:rFonts w:ascii="Book Antiqua" w:hAnsi="Book Antiqua"/>
          <w:lang w:bidi="ar"/>
        </w:rPr>
        <w:t xml:space="preserve">In 2017 the World Health Organization revised the criteria for classification of pancreatic neuroendocrine neoplasms (pNENs) after a consensus conference at the International Agency for Research on Cancer. The major change in the new classification was to subclassify the original G3 group into well-differentiated pancreatic neuroendocrine tumors G3 (pNETs G3) and poorly differentiated </w:t>
      </w:r>
      <w:bookmarkStart w:id="9" w:name="OLE_LINK12"/>
      <w:bookmarkStart w:id="10" w:name="OLE_LINK13"/>
      <w:r w:rsidRPr="006D6800">
        <w:rPr>
          <w:rFonts w:ascii="Book Antiqua" w:hAnsi="Book Antiqua"/>
          <w:lang w:bidi="ar"/>
        </w:rPr>
        <w:t>pancreatic neuroendocrine carcinoma</w:t>
      </w:r>
      <w:bookmarkEnd w:id="9"/>
      <w:bookmarkEnd w:id="10"/>
      <w:r w:rsidRPr="006D6800">
        <w:rPr>
          <w:rFonts w:ascii="Book Antiqua" w:hAnsi="Book Antiqua"/>
          <w:lang w:bidi="ar"/>
        </w:rPr>
        <w:t xml:space="preserve">s (pNECs), which have been gradually proven to be completely different in biological behavior and clinical manifestations in recent years. In 2019 this major change subsequently extended to NENs involving the entire digestive tract. The updated version of the pNENs grading system marks a growing awareness of these heterogeneous tumors. </w:t>
      </w:r>
      <w:proofErr w:type="gramStart"/>
      <w:r w:rsidRPr="006D6800">
        <w:rPr>
          <w:rFonts w:ascii="Book Antiqua" w:hAnsi="Book Antiqua"/>
          <w:lang w:bidi="ar"/>
        </w:rPr>
        <w:t>This review discusses the clinicopathological, genetic and therapeutic features of poorly differentiated pNECs and compare</w:t>
      </w:r>
      <w:proofErr w:type="gramEnd"/>
      <w:r w:rsidRPr="006D6800">
        <w:rPr>
          <w:rFonts w:ascii="Book Antiqua" w:hAnsi="Book Antiqua"/>
          <w:lang w:bidi="ar"/>
        </w:rPr>
        <w:t xml:space="preserve"> them to those of well-differentiated pNETs G3. For pNETs G3 and pNECs (due to their lower incidence), there are still many problems to be investigated. Previous studies under the new grading classification also need to be reinterpreted. This review summarizes the relevant literature from the perspective of the differences between pNETs G3 and pNECs in order to deepen understanding of these diseases and discuss future research directions.</w:t>
      </w:r>
    </w:p>
    <w:p w:rsidR="00B27CCD" w:rsidRPr="006D6800" w:rsidRDefault="00B27CCD" w:rsidP="006D6800">
      <w:pPr>
        <w:pStyle w:val="a3"/>
        <w:widowControl/>
        <w:snapToGrid w:val="0"/>
        <w:spacing w:beforeAutospacing="0" w:afterAutospacing="0" w:line="360" w:lineRule="auto"/>
        <w:jc w:val="both"/>
        <w:rPr>
          <w:rFonts w:ascii="Book Antiqua" w:hAnsi="Book Antiqua"/>
          <w:b/>
          <w:bCs/>
        </w:rPr>
      </w:pPr>
    </w:p>
    <w:p w:rsidR="00B955FB" w:rsidRPr="006D6800" w:rsidRDefault="00281265" w:rsidP="006D6800">
      <w:pPr>
        <w:pStyle w:val="a3"/>
        <w:widowControl/>
        <w:snapToGrid w:val="0"/>
        <w:spacing w:beforeAutospacing="0" w:afterAutospacing="0" w:line="360" w:lineRule="auto"/>
        <w:jc w:val="both"/>
        <w:rPr>
          <w:rFonts w:ascii="Book Antiqua" w:hAnsi="Book Antiqua"/>
        </w:rPr>
      </w:pPr>
      <w:r w:rsidRPr="006D6800">
        <w:rPr>
          <w:rFonts w:ascii="Book Antiqua" w:hAnsi="Book Antiqua"/>
          <w:b/>
          <w:iCs/>
          <w:lang w:eastAsia="es-ES_tradnl"/>
        </w:rPr>
        <w:t>Key words:</w:t>
      </w:r>
      <w:r w:rsidRPr="006D6800">
        <w:rPr>
          <w:rFonts w:ascii="Book Antiqua" w:eastAsia="宋体" w:hAnsi="Book Antiqua"/>
          <w:color w:val="0000FF"/>
          <w:lang w:val="en"/>
        </w:rPr>
        <w:t xml:space="preserve"> </w:t>
      </w:r>
      <w:r w:rsidR="00B955FB" w:rsidRPr="006D6800">
        <w:rPr>
          <w:rFonts w:ascii="Book Antiqua" w:hAnsi="Book Antiqua"/>
        </w:rPr>
        <w:t xml:space="preserve">Neuroendocrine neoplasms; </w:t>
      </w:r>
      <w:proofErr w:type="gramStart"/>
      <w:r w:rsidR="00B955FB" w:rsidRPr="006D6800">
        <w:rPr>
          <w:rFonts w:ascii="Book Antiqua" w:hAnsi="Book Antiqua"/>
        </w:rPr>
        <w:t>Pancreatic</w:t>
      </w:r>
      <w:proofErr w:type="gramEnd"/>
      <w:r w:rsidR="00B955FB" w:rsidRPr="006D6800">
        <w:rPr>
          <w:rFonts w:ascii="Book Antiqua" w:hAnsi="Book Antiqua"/>
        </w:rPr>
        <w:t xml:space="preserve"> neuroendocrine tumors G3; Pancreatic neuroendocrine carcinomas; Gene sequencing; Clinical management; Histopathology</w:t>
      </w:r>
    </w:p>
    <w:p w:rsidR="00B955FB" w:rsidRPr="006D6800" w:rsidRDefault="00B955FB" w:rsidP="006D6800">
      <w:pPr>
        <w:pStyle w:val="a3"/>
        <w:widowControl/>
        <w:snapToGrid w:val="0"/>
        <w:spacing w:beforeAutospacing="0" w:afterAutospacing="0" w:line="360" w:lineRule="auto"/>
        <w:jc w:val="both"/>
        <w:rPr>
          <w:rFonts w:ascii="Book Antiqua" w:hAnsi="Book Antiqua"/>
          <w:b/>
          <w:bCs/>
        </w:rPr>
      </w:pPr>
    </w:p>
    <w:p w:rsidR="0094427D" w:rsidRDefault="00281265" w:rsidP="005027AB">
      <w:pPr>
        <w:adjustRightInd w:val="0"/>
        <w:snapToGrid w:val="0"/>
        <w:spacing w:line="360" w:lineRule="auto"/>
        <w:rPr>
          <w:rFonts w:ascii="Book Antiqua" w:eastAsia="宋体" w:hAnsi="Book Antiqua" w:hint="eastAsia"/>
          <w:iCs/>
          <w:sz w:val="24"/>
        </w:rPr>
      </w:pPr>
      <w:r w:rsidRPr="006D6800">
        <w:rPr>
          <w:rFonts w:ascii="Book Antiqua" w:hAnsi="Book Antiqua"/>
          <w:sz w:val="24"/>
          <w:lang w:bidi="ar"/>
        </w:rPr>
        <w:t xml:space="preserve">Zhang MY, He D, Zhang S. </w:t>
      </w:r>
      <w:r w:rsidRPr="006D6800">
        <w:rPr>
          <w:rFonts w:ascii="Book Antiqua" w:hAnsi="Book Antiqua"/>
          <w:sz w:val="24"/>
        </w:rPr>
        <w:t xml:space="preserve">Pancreatic neuroendocrine tumors G3 and pancreatic neuroendocrine carcinomas: differences in basic biology and treatment. </w:t>
      </w:r>
      <w:r w:rsidRPr="006D6800">
        <w:rPr>
          <w:rFonts w:ascii="Book Antiqua" w:hAnsi="Book Antiqua"/>
          <w:i/>
          <w:iCs/>
          <w:sz w:val="24"/>
        </w:rPr>
        <w:t>World J Gastrointest Oncol</w:t>
      </w:r>
      <w:r w:rsidRPr="006D6800">
        <w:rPr>
          <w:rFonts w:ascii="Book Antiqua" w:eastAsia="宋体" w:hAnsi="Book Antiqua"/>
          <w:iCs/>
          <w:sz w:val="24"/>
        </w:rPr>
        <w:t xml:space="preserve"> </w:t>
      </w:r>
      <w:r w:rsidR="005027AB">
        <w:rPr>
          <w:rFonts w:ascii="Book Antiqua" w:eastAsia="宋体" w:hAnsi="Book Antiqua"/>
          <w:iCs/>
          <w:sz w:val="24"/>
        </w:rPr>
        <w:t>2020; 1</w:t>
      </w:r>
      <w:r w:rsidR="005027AB">
        <w:rPr>
          <w:rFonts w:ascii="Book Antiqua" w:eastAsia="宋体" w:hAnsi="Book Antiqua" w:hint="eastAsia"/>
          <w:iCs/>
          <w:sz w:val="24"/>
        </w:rPr>
        <w:t>2</w:t>
      </w:r>
      <w:r w:rsidR="005027AB">
        <w:rPr>
          <w:rFonts w:ascii="Book Antiqua" w:eastAsia="宋体" w:hAnsi="Book Antiqua"/>
          <w:iCs/>
          <w:sz w:val="24"/>
        </w:rPr>
        <w:t>(</w:t>
      </w:r>
      <w:r w:rsidR="005027AB">
        <w:rPr>
          <w:rFonts w:ascii="Book Antiqua" w:eastAsia="宋体" w:hAnsi="Book Antiqua" w:hint="eastAsia"/>
          <w:iCs/>
          <w:sz w:val="24"/>
        </w:rPr>
        <w:t>7</w:t>
      </w:r>
      <w:r w:rsidR="0094427D">
        <w:rPr>
          <w:rFonts w:ascii="Book Antiqua" w:eastAsia="宋体" w:hAnsi="Book Antiqua"/>
          <w:iCs/>
          <w:sz w:val="24"/>
        </w:rPr>
        <w:t xml:space="preserve">): </w:t>
      </w:r>
      <w:r w:rsidR="0094427D">
        <w:rPr>
          <w:rFonts w:ascii="Book Antiqua" w:eastAsia="宋体" w:hAnsi="Book Antiqua" w:hint="eastAsia"/>
          <w:iCs/>
          <w:sz w:val="24"/>
        </w:rPr>
        <w:t>705-718</w:t>
      </w:r>
    </w:p>
    <w:p w:rsidR="0094427D" w:rsidRDefault="005027AB" w:rsidP="005027AB">
      <w:pPr>
        <w:adjustRightInd w:val="0"/>
        <w:snapToGrid w:val="0"/>
        <w:spacing w:line="360" w:lineRule="auto"/>
        <w:rPr>
          <w:rFonts w:ascii="Book Antiqua" w:eastAsia="宋体" w:hAnsi="Book Antiqua" w:hint="eastAsia"/>
          <w:iCs/>
          <w:sz w:val="24"/>
        </w:rPr>
      </w:pPr>
      <w:r w:rsidRPr="005027AB">
        <w:rPr>
          <w:rFonts w:ascii="Book Antiqua" w:eastAsia="宋体" w:hAnsi="Book Antiqua"/>
          <w:iCs/>
          <w:sz w:val="24"/>
        </w:rPr>
        <w:t xml:space="preserve">URL: </w:t>
      </w:r>
      <w:r w:rsidR="0094427D" w:rsidRPr="0094427D">
        <w:rPr>
          <w:rFonts w:ascii="Book Antiqua" w:eastAsia="宋体" w:hAnsi="Book Antiqua"/>
          <w:iCs/>
          <w:sz w:val="24"/>
        </w:rPr>
        <w:t>https://www.wjgnet.com/1948-5204/full/v1</w:t>
      </w:r>
      <w:r w:rsidR="0094427D" w:rsidRPr="0094427D">
        <w:rPr>
          <w:rFonts w:ascii="Book Antiqua" w:eastAsia="宋体" w:hAnsi="Book Antiqua" w:hint="eastAsia"/>
          <w:iCs/>
          <w:sz w:val="24"/>
        </w:rPr>
        <w:t>2</w:t>
      </w:r>
      <w:r w:rsidR="0094427D" w:rsidRPr="0094427D">
        <w:rPr>
          <w:rFonts w:ascii="Book Antiqua" w:eastAsia="宋体" w:hAnsi="Book Antiqua"/>
          <w:iCs/>
          <w:sz w:val="24"/>
        </w:rPr>
        <w:t>/i</w:t>
      </w:r>
      <w:r w:rsidR="0094427D" w:rsidRPr="0094427D">
        <w:rPr>
          <w:rFonts w:ascii="Book Antiqua" w:eastAsia="宋体" w:hAnsi="Book Antiqua" w:hint="eastAsia"/>
          <w:iCs/>
          <w:sz w:val="24"/>
        </w:rPr>
        <w:t>7</w:t>
      </w:r>
      <w:r w:rsidR="0094427D" w:rsidRPr="0094427D">
        <w:rPr>
          <w:rFonts w:ascii="Book Antiqua" w:eastAsia="宋体" w:hAnsi="Book Antiqua"/>
          <w:iCs/>
          <w:sz w:val="24"/>
        </w:rPr>
        <w:t>/</w:t>
      </w:r>
      <w:r w:rsidR="0094427D">
        <w:rPr>
          <w:rFonts w:ascii="Book Antiqua" w:eastAsia="宋体" w:hAnsi="Book Antiqua" w:hint="eastAsia"/>
          <w:iCs/>
          <w:sz w:val="24"/>
        </w:rPr>
        <w:t>705</w:t>
      </w:r>
      <w:r w:rsidR="0094427D" w:rsidRPr="0094427D">
        <w:rPr>
          <w:rFonts w:ascii="Book Antiqua" w:eastAsia="宋体" w:hAnsi="Book Antiqua"/>
          <w:iCs/>
          <w:sz w:val="24"/>
        </w:rPr>
        <w:t>.htm</w:t>
      </w:r>
    </w:p>
    <w:p w:rsidR="00281265" w:rsidRDefault="005027AB" w:rsidP="005027AB">
      <w:pPr>
        <w:adjustRightInd w:val="0"/>
        <w:snapToGrid w:val="0"/>
        <w:spacing w:line="360" w:lineRule="auto"/>
        <w:rPr>
          <w:rFonts w:ascii="Book Antiqua" w:eastAsia="宋体" w:hAnsi="Book Antiqua"/>
          <w:iCs/>
          <w:sz w:val="24"/>
        </w:rPr>
      </w:pPr>
      <w:r w:rsidRPr="005027AB">
        <w:rPr>
          <w:rFonts w:ascii="Book Antiqua" w:eastAsia="宋体" w:hAnsi="Book Antiqua"/>
          <w:iCs/>
          <w:sz w:val="24"/>
        </w:rPr>
        <w:t>DOI: https://dx.doi.org/</w:t>
      </w:r>
      <w:r w:rsidR="00E06F65" w:rsidRPr="00E06F65">
        <w:rPr>
          <w:rFonts w:ascii="Book Antiqua" w:eastAsia="宋体" w:hAnsi="Book Antiqua"/>
          <w:iCs/>
          <w:sz w:val="24"/>
        </w:rPr>
        <w:t>10.4251</w:t>
      </w:r>
      <w:r w:rsidR="00E06F65">
        <w:rPr>
          <w:rFonts w:ascii="Book Antiqua" w:eastAsia="宋体" w:hAnsi="Book Antiqua"/>
          <w:iCs/>
          <w:sz w:val="24"/>
        </w:rPr>
        <w:t>/wjg</w:t>
      </w:r>
      <w:r w:rsidR="00E06F65">
        <w:rPr>
          <w:rFonts w:ascii="Book Antiqua" w:eastAsia="宋体" w:hAnsi="Book Antiqua" w:hint="eastAsia"/>
          <w:iCs/>
          <w:sz w:val="24"/>
        </w:rPr>
        <w:t>o</w:t>
      </w:r>
      <w:r w:rsidRPr="005027AB">
        <w:rPr>
          <w:rFonts w:ascii="Book Antiqua" w:eastAsia="宋体" w:hAnsi="Book Antiqua"/>
          <w:iCs/>
          <w:sz w:val="24"/>
        </w:rPr>
        <w:t>.v1</w:t>
      </w:r>
      <w:r w:rsidRPr="005027AB">
        <w:rPr>
          <w:rFonts w:ascii="Book Antiqua" w:eastAsia="宋体" w:hAnsi="Book Antiqua" w:hint="eastAsia"/>
          <w:iCs/>
          <w:sz w:val="24"/>
        </w:rPr>
        <w:t>2</w:t>
      </w:r>
      <w:r w:rsidRPr="005027AB">
        <w:rPr>
          <w:rFonts w:ascii="Book Antiqua" w:eastAsia="宋体" w:hAnsi="Book Antiqua"/>
          <w:iCs/>
          <w:sz w:val="24"/>
        </w:rPr>
        <w:t>.i</w:t>
      </w:r>
      <w:r w:rsidRPr="005027AB">
        <w:rPr>
          <w:rFonts w:ascii="Book Antiqua" w:eastAsia="宋体" w:hAnsi="Book Antiqua" w:hint="eastAsia"/>
          <w:iCs/>
          <w:sz w:val="24"/>
        </w:rPr>
        <w:t>7</w:t>
      </w:r>
      <w:r w:rsidRPr="005027AB">
        <w:rPr>
          <w:rFonts w:ascii="Book Antiqua" w:eastAsia="宋体" w:hAnsi="Book Antiqua"/>
          <w:iCs/>
          <w:sz w:val="24"/>
        </w:rPr>
        <w:t>.</w:t>
      </w:r>
      <w:r w:rsidR="0094427D">
        <w:rPr>
          <w:rFonts w:ascii="Book Antiqua" w:eastAsia="宋体" w:hAnsi="Book Antiqua" w:hint="eastAsia"/>
          <w:iCs/>
          <w:sz w:val="24"/>
        </w:rPr>
        <w:t>705</w:t>
      </w:r>
    </w:p>
    <w:p w:rsidR="005027AB" w:rsidRPr="005027AB" w:rsidRDefault="005027AB" w:rsidP="005027AB">
      <w:pPr>
        <w:adjustRightInd w:val="0"/>
        <w:snapToGrid w:val="0"/>
        <w:spacing w:line="360" w:lineRule="auto"/>
        <w:rPr>
          <w:rFonts w:ascii="Book Antiqua" w:eastAsia="宋体" w:hAnsi="Book Antiqua"/>
          <w:iCs/>
          <w:sz w:val="24"/>
        </w:rPr>
      </w:pPr>
    </w:p>
    <w:p w:rsidR="00B955FB" w:rsidRPr="006D6800" w:rsidRDefault="00281265" w:rsidP="006D6800">
      <w:pPr>
        <w:pStyle w:val="a3"/>
        <w:widowControl/>
        <w:snapToGrid w:val="0"/>
        <w:spacing w:beforeAutospacing="0" w:afterAutospacing="0" w:line="360" w:lineRule="auto"/>
        <w:jc w:val="both"/>
        <w:rPr>
          <w:rFonts w:ascii="Book Antiqua" w:hAnsi="Book Antiqua"/>
        </w:rPr>
      </w:pPr>
      <w:r w:rsidRPr="006D6800">
        <w:rPr>
          <w:rFonts w:ascii="Book Antiqua" w:hAnsi="Book Antiqua"/>
          <w:b/>
          <w:lang w:val="en-GB"/>
        </w:rPr>
        <w:t>Core tip:</w:t>
      </w:r>
      <w:r w:rsidRPr="006D6800">
        <w:rPr>
          <w:rFonts w:ascii="Book Antiqua" w:eastAsia="宋体" w:hAnsi="Book Antiqua"/>
          <w:b/>
          <w:lang w:val="en-GB"/>
        </w:rPr>
        <w:t xml:space="preserve"> </w:t>
      </w:r>
      <w:r w:rsidR="00B955FB" w:rsidRPr="006D6800">
        <w:rPr>
          <w:rFonts w:ascii="Book Antiqua" w:hAnsi="Book Antiqua"/>
        </w:rPr>
        <w:t xml:space="preserve">The major change in the 2017 </w:t>
      </w:r>
      <w:r w:rsidR="00B955FB" w:rsidRPr="006D6800">
        <w:rPr>
          <w:rFonts w:ascii="Book Antiqua" w:hAnsi="Book Antiqua"/>
          <w:lang w:bidi="ar"/>
        </w:rPr>
        <w:t xml:space="preserve">World Health Organization (WHO) </w:t>
      </w:r>
      <w:r w:rsidR="00B955FB" w:rsidRPr="006D6800">
        <w:rPr>
          <w:rFonts w:ascii="Book Antiqua" w:hAnsi="Book Antiqua"/>
        </w:rPr>
        <w:t xml:space="preserve">classification of pancreatic neuroendocrine neoplasms was to further subclassified </w:t>
      </w:r>
      <w:r w:rsidR="00B955FB" w:rsidRPr="006D6800">
        <w:rPr>
          <w:rFonts w:ascii="Book Antiqua" w:hAnsi="Book Antiqua"/>
        </w:rPr>
        <w:lastRenderedPageBreak/>
        <w:t xml:space="preserve">the original G3 group into </w:t>
      </w:r>
      <w:r w:rsidR="00B955FB" w:rsidRPr="006D6800">
        <w:rPr>
          <w:rFonts w:ascii="Book Antiqua" w:hAnsi="Book Antiqua"/>
          <w:lang w:bidi="ar"/>
        </w:rPr>
        <w:t xml:space="preserve">pancreatic neuroendocrine tumors G3 (pNETs G3) </w:t>
      </w:r>
      <w:r w:rsidR="00B955FB" w:rsidRPr="006D6800">
        <w:rPr>
          <w:rFonts w:ascii="Book Antiqua" w:hAnsi="Book Antiqua"/>
        </w:rPr>
        <w:t xml:space="preserve">and </w:t>
      </w:r>
      <w:r w:rsidR="00B955FB" w:rsidRPr="006D6800">
        <w:rPr>
          <w:rFonts w:ascii="Book Antiqua" w:hAnsi="Book Antiqua"/>
          <w:lang w:bidi="ar"/>
        </w:rPr>
        <w:t>pancreatic neuroendocrine carcinoma (pNEC)</w:t>
      </w:r>
      <w:r w:rsidR="00B955FB" w:rsidRPr="006D6800">
        <w:rPr>
          <w:rFonts w:ascii="Book Antiqua" w:hAnsi="Book Antiqua"/>
        </w:rPr>
        <w:t>. In 2019 this major change subsequently extended to neuroendocrine neoplasms involving the entire digestive tract. This review comprehensively summarizes the differences between pNET G3 and pNEC, which is the major update in latest WHO grading classification for pancreatic neuroendocrine neoplasms by the aspects of histology, gene mutation, and clinical management.</w:t>
      </w:r>
    </w:p>
    <w:p w:rsidR="0014178F" w:rsidRPr="006D6800" w:rsidRDefault="0014178F" w:rsidP="006D6800">
      <w:pPr>
        <w:widowControl/>
        <w:snapToGrid w:val="0"/>
        <w:spacing w:line="360" w:lineRule="auto"/>
        <w:rPr>
          <w:rFonts w:ascii="Book Antiqua" w:hAnsi="Book Antiqua" w:cs="Times New Roman"/>
          <w:b/>
          <w:bCs/>
          <w:kern w:val="0"/>
          <w:sz w:val="24"/>
        </w:rPr>
      </w:pPr>
      <w:r w:rsidRPr="006D6800">
        <w:rPr>
          <w:rFonts w:ascii="Book Antiqua" w:hAnsi="Book Antiqua"/>
          <w:b/>
          <w:bCs/>
          <w:sz w:val="24"/>
        </w:rPr>
        <w:br w:type="page"/>
      </w:r>
    </w:p>
    <w:p w:rsidR="00B27CCD" w:rsidRPr="006D6800" w:rsidRDefault="0014178F" w:rsidP="006D6800">
      <w:pPr>
        <w:pStyle w:val="a3"/>
        <w:widowControl/>
        <w:snapToGrid w:val="0"/>
        <w:spacing w:beforeAutospacing="0" w:afterAutospacing="0" w:line="360" w:lineRule="auto"/>
        <w:jc w:val="both"/>
        <w:rPr>
          <w:rFonts w:ascii="Book Antiqua" w:hAnsi="Book Antiqua"/>
          <w:b/>
          <w:bCs/>
          <w:u w:val="single"/>
        </w:rPr>
      </w:pPr>
      <w:r w:rsidRPr="006D6800">
        <w:rPr>
          <w:rFonts w:ascii="Book Antiqua" w:hAnsi="Book Antiqua"/>
          <w:b/>
          <w:bCs/>
          <w:u w:val="single"/>
        </w:rPr>
        <w:lastRenderedPageBreak/>
        <w:t>INTRODUCTION</w:t>
      </w:r>
    </w:p>
    <w:p w:rsidR="00B27CCD" w:rsidRPr="006D6800" w:rsidRDefault="0014178F" w:rsidP="006D6800">
      <w:pPr>
        <w:snapToGrid w:val="0"/>
        <w:spacing w:line="360" w:lineRule="auto"/>
        <w:rPr>
          <w:rFonts w:ascii="Book Antiqua" w:hAnsi="Book Antiqua" w:cs="Times New Roman"/>
          <w:b/>
          <w:bCs/>
          <w:kern w:val="0"/>
          <w:sz w:val="24"/>
          <w:lang w:bidi="ar"/>
        </w:rPr>
      </w:pPr>
      <w:r w:rsidRPr="006D6800">
        <w:rPr>
          <w:rFonts w:ascii="Book Antiqua" w:hAnsi="Book Antiqua"/>
          <w:sz w:val="24"/>
          <w:lang w:bidi="ar"/>
        </w:rPr>
        <w:t xml:space="preserve">Neuroendocrine neoplasms (NENs) </w:t>
      </w:r>
      <w:r w:rsidRPr="006D6800">
        <w:rPr>
          <w:rFonts w:ascii="Book Antiqua" w:hAnsi="Book Antiqua" w:cs="Times New Roman"/>
          <w:kern w:val="0"/>
          <w:sz w:val="24"/>
          <w:lang w:bidi="ar"/>
        </w:rPr>
        <w:t>are a heterogeneous group of tumors characterized by neural antigens such as chromogranin A or synaptophysin (Figure 1A and B). Chromogranin A is a member of the granin family of acidic secretory glycoproteins that occur in secretory granules of a wide variety of endocrine cells and neurons, and synaptophysin is an integral membrane glycoprotein that occurs in presynaptic vesicles of neurons. Chromogranin A and synaptophysin are considered to be the most valuable marker of NENs. Neuroendocrine tumors (NETs) are generated from specialized cells called</w:t>
      </w:r>
      <w:r w:rsidR="00B955FB" w:rsidRPr="006D6800">
        <w:rPr>
          <w:rFonts w:ascii="Book Antiqua" w:hAnsi="Book Antiqua" w:cs="Times New Roman"/>
          <w:kern w:val="0"/>
          <w:sz w:val="24"/>
          <w:lang w:bidi="ar"/>
        </w:rPr>
        <w:t xml:space="preserve"> </w:t>
      </w:r>
      <w:r w:rsidRPr="006D6800">
        <w:rPr>
          <w:rFonts w:ascii="Book Antiqua" w:hAnsi="Book Antiqua" w:cs="Times New Roman"/>
          <w:kern w:val="0"/>
          <w:sz w:val="24"/>
          <w:lang w:bidi="ar"/>
        </w:rPr>
        <w:t xml:space="preserve">neuroendocrine cells whereas neuroendocrine carcinomas (NECs) may be derived from more primitive progenitor cells, but the details remain unclear. NENs occur throughout the body, with most in the digestive tract, pancreas or lungs. </w:t>
      </w:r>
      <w:r w:rsidR="00B955FB" w:rsidRPr="006D6800">
        <w:rPr>
          <w:rFonts w:ascii="Book Antiqua" w:hAnsi="Book Antiqua"/>
          <w:sz w:val="24"/>
          <w:lang w:bidi="ar"/>
        </w:rPr>
        <w:t xml:space="preserve">Pancreatic NENs (pNENs) </w:t>
      </w:r>
      <w:r w:rsidRPr="006D6800">
        <w:rPr>
          <w:rFonts w:ascii="Book Antiqua" w:hAnsi="Book Antiqua" w:cs="Times New Roman"/>
          <w:kern w:val="0"/>
          <w:sz w:val="24"/>
          <w:lang w:bidi="ar"/>
        </w:rPr>
        <w:t xml:space="preserve">are rare in clinical practice and account for &lt; 3% of primary pancreatic </w:t>
      </w:r>
      <w:proofErr w:type="gramStart"/>
      <w:r w:rsidRPr="006D6800">
        <w:rPr>
          <w:rFonts w:ascii="Book Antiqua" w:hAnsi="Book Antiqua" w:cs="Times New Roman"/>
          <w:kern w:val="0"/>
          <w:sz w:val="24"/>
          <w:lang w:bidi="ar"/>
        </w:rPr>
        <w:t>tumors</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1]</w:t>
      </w:r>
      <w:r w:rsidRPr="006D6800">
        <w:rPr>
          <w:rFonts w:ascii="Book Antiqua" w:hAnsi="Book Antiqua" w:cs="Times New Roman"/>
          <w:kern w:val="0"/>
          <w:sz w:val="24"/>
          <w:lang w:bidi="ar"/>
        </w:rPr>
        <w:t>. The incidence and prevalence of NENs have been rising recently due to increased awareness and sophisticated diagnostic techniques. The prevalence of pancreatic neuroendocrine tumors (pNETs) in Japan was 2.69 per 100000 people in 2010, representing a 1.2-fold increase in the number of patients in 2005. The new-onset functioning pNETs in 2010 was similar to that in 2005; however, the number of new-onset nonfunctioning pNETs in 2010 was 1.7-fold greater than that in 2005</w:t>
      </w:r>
      <w:r w:rsidRPr="006D6800">
        <w:rPr>
          <w:rFonts w:ascii="Book Antiqua" w:hAnsi="Book Antiqua" w:cs="Times New Roman"/>
          <w:kern w:val="0"/>
          <w:sz w:val="24"/>
          <w:vertAlign w:val="superscript"/>
          <w:lang w:bidi="ar"/>
        </w:rPr>
        <w:t>[2]</w:t>
      </w:r>
      <w:r w:rsidRPr="006D6800">
        <w:rPr>
          <w:rFonts w:ascii="Book Antiqua" w:hAnsi="Book Antiqua" w:cs="Times New Roman"/>
          <w:kern w:val="0"/>
          <w:sz w:val="24"/>
          <w:lang w:bidi="ar"/>
        </w:rPr>
        <w:t xml:space="preserve">. In the </w:t>
      </w:r>
      <w:r w:rsidR="00B955FB" w:rsidRPr="006D6800">
        <w:rPr>
          <w:rFonts w:ascii="Book Antiqua" w:hAnsi="Book Antiqua" w:cs="Times New Roman"/>
          <w:kern w:val="0"/>
          <w:sz w:val="24"/>
          <w:lang w:bidi="ar"/>
        </w:rPr>
        <w:t>United States</w:t>
      </w:r>
      <w:r w:rsidRPr="006D6800">
        <w:rPr>
          <w:rFonts w:ascii="Book Antiqua" w:hAnsi="Book Antiqua" w:cs="Times New Roman"/>
          <w:kern w:val="0"/>
          <w:sz w:val="24"/>
          <w:lang w:bidi="ar"/>
        </w:rPr>
        <w:t xml:space="preserve">, the incidence rate of pNETs increased approximately fourfold from 1973 (0.2 per 100000) to 2012 (0.8 per 100000), and the incidence in Canada also grew steadily during this </w:t>
      </w:r>
      <w:proofErr w:type="gramStart"/>
      <w:r w:rsidRPr="006D6800">
        <w:rPr>
          <w:rFonts w:ascii="Book Antiqua" w:hAnsi="Book Antiqua" w:cs="Times New Roman"/>
          <w:kern w:val="0"/>
          <w:sz w:val="24"/>
          <w:lang w:bidi="ar"/>
        </w:rPr>
        <w:t>period</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3,4]</w:t>
      </w:r>
      <w:r w:rsidRPr="006D6800">
        <w:rPr>
          <w:rFonts w:ascii="Book Antiqua" w:hAnsi="Book Antiqua" w:cs="Times New Roman"/>
          <w:kern w:val="0"/>
          <w:sz w:val="24"/>
          <w:lang w:bidi="ar"/>
        </w:rPr>
        <w:t xml:space="preserve">. </w:t>
      </w:r>
      <w:proofErr w:type="gramStart"/>
      <w:r w:rsidRPr="006D6800">
        <w:rPr>
          <w:rFonts w:ascii="Book Antiqua" w:hAnsi="Book Antiqua" w:cs="Times New Roman"/>
          <w:kern w:val="0"/>
          <w:sz w:val="24"/>
          <w:lang w:bidi="ar"/>
        </w:rPr>
        <w:t>pNETs</w:t>
      </w:r>
      <w:proofErr w:type="gramEnd"/>
      <w:r w:rsidRPr="006D6800">
        <w:rPr>
          <w:rFonts w:ascii="Book Antiqua" w:hAnsi="Book Antiqua" w:cs="Times New Roman"/>
          <w:kern w:val="0"/>
          <w:sz w:val="24"/>
          <w:lang w:bidi="ar"/>
        </w:rPr>
        <w:t xml:space="preserve"> G3 and </w:t>
      </w:r>
      <w:r w:rsidR="00B955FB" w:rsidRPr="006D6800">
        <w:rPr>
          <w:rFonts w:ascii="Book Antiqua" w:hAnsi="Book Antiqua"/>
          <w:sz w:val="24"/>
          <w:lang w:bidi="ar"/>
        </w:rPr>
        <w:t xml:space="preserve">pancreatic neuroendocrine carcinomas (pNECs) </w:t>
      </w:r>
      <w:r w:rsidRPr="006D6800">
        <w:rPr>
          <w:rFonts w:ascii="Book Antiqua" w:hAnsi="Book Antiqua" w:cs="Times New Roman"/>
          <w:kern w:val="0"/>
          <w:sz w:val="24"/>
          <w:lang w:bidi="ar"/>
        </w:rPr>
        <w:t>are considered to be rarer than pNETs G1/G2, which may account for 7.5% of all pNENs and have a higher rate in nonfunctioning tumors</w:t>
      </w:r>
      <w:r w:rsidRPr="006D6800">
        <w:rPr>
          <w:rFonts w:ascii="Book Antiqua" w:hAnsi="Book Antiqua" w:cs="Times New Roman"/>
          <w:kern w:val="0"/>
          <w:sz w:val="24"/>
          <w:vertAlign w:val="superscript"/>
          <w:lang w:bidi="ar"/>
        </w:rPr>
        <w:t>[2]</w:t>
      </w:r>
      <w:r w:rsidRPr="006D6800">
        <w:rPr>
          <w:rFonts w:ascii="Book Antiqua" w:hAnsi="Book Antiqua" w:cs="Times New Roman"/>
          <w:kern w:val="0"/>
          <w:sz w:val="24"/>
          <w:lang w:bidi="ar"/>
        </w:rPr>
        <w:t xml:space="preserve">. In 2010, </w:t>
      </w:r>
      <w:r w:rsidR="00B955FB" w:rsidRPr="006D6800">
        <w:rPr>
          <w:rFonts w:ascii="Book Antiqua" w:hAnsi="Book Antiqua"/>
          <w:sz w:val="24"/>
          <w:lang w:bidi="ar"/>
        </w:rPr>
        <w:t xml:space="preserve">World Health Organization (WHO) </w:t>
      </w:r>
      <w:r w:rsidRPr="006D6800">
        <w:rPr>
          <w:rFonts w:ascii="Book Antiqua" w:hAnsi="Book Antiqua" w:cs="Times New Roman"/>
          <w:kern w:val="0"/>
          <w:sz w:val="24"/>
          <w:lang w:bidi="ar"/>
        </w:rPr>
        <w:t>released a grading system for gastroenteropancreatic</w:t>
      </w:r>
      <w:r w:rsidR="00902B80" w:rsidRPr="006D6800">
        <w:rPr>
          <w:rFonts w:ascii="Book Antiqua" w:hAnsi="Book Antiqua" w:cs="Times New Roman"/>
          <w:kern w:val="0"/>
          <w:sz w:val="24"/>
          <w:lang w:bidi="ar"/>
        </w:rPr>
        <w:t xml:space="preserve"> (GEP)</w:t>
      </w:r>
      <w:r w:rsidRPr="006D6800">
        <w:rPr>
          <w:rFonts w:ascii="Book Antiqua" w:hAnsi="Book Antiqua" w:cs="Times New Roman"/>
          <w:kern w:val="0"/>
          <w:sz w:val="24"/>
          <w:lang w:bidi="ar"/>
        </w:rPr>
        <w:t xml:space="preserve"> NENs, which classifies the degree of malignancy according to Ki-67 proliferation index and mitotic count. The pNENs were divided in</w:t>
      </w:r>
      <w:r w:rsidR="00E06F65">
        <w:rPr>
          <w:rFonts w:ascii="Book Antiqua" w:hAnsi="Book Antiqua" w:cs="Times New Roman"/>
          <w:kern w:val="0"/>
          <w:sz w:val="24"/>
          <w:lang w:bidi="ar"/>
        </w:rPr>
        <w:t xml:space="preserve">to three groups (Table 1): (1) </w:t>
      </w:r>
      <w:r w:rsidR="00E06F65">
        <w:rPr>
          <w:rFonts w:ascii="Book Antiqua" w:hAnsi="Book Antiqua" w:cs="Times New Roman" w:hint="eastAsia"/>
          <w:kern w:val="0"/>
          <w:sz w:val="24"/>
          <w:lang w:bidi="ar"/>
        </w:rPr>
        <w:t>W</w:t>
      </w:r>
      <w:r w:rsidRPr="006D6800">
        <w:rPr>
          <w:rFonts w:ascii="Book Antiqua" w:hAnsi="Book Antiqua" w:cs="Times New Roman"/>
          <w:kern w:val="0"/>
          <w:sz w:val="24"/>
          <w:lang w:bidi="ar"/>
        </w:rPr>
        <w:t>ell-differentiated pNETs G1 [mitoses &lt; 2/10 high-power field (HPF) and Ki67 index &lt; 2%]; (2) well-differentiated pNETs G2 (mitoses 2</w:t>
      </w:r>
      <w:r w:rsidR="00B955FB" w:rsidRPr="006D6800">
        <w:rPr>
          <w:rFonts w:ascii="Book Antiqua" w:hAnsi="Book Antiqua" w:cs="Times New Roman"/>
          <w:kern w:val="0"/>
          <w:sz w:val="24"/>
          <w:lang w:bidi="ar"/>
        </w:rPr>
        <w:t>-</w:t>
      </w:r>
      <w:r w:rsidRPr="006D6800">
        <w:rPr>
          <w:rFonts w:ascii="Book Antiqua" w:hAnsi="Book Antiqua" w:cs="Times New Roman"/>
          <w:kern w:val="0"/>
          <w:sz w:val="24"/>
          <w:lang w:bidi="ar"/>
        </w:rPr>
        <w:t xml:space="preserve">20/10 HPF or Ki67 index 2%-20%); and (3) pNECs G3 (mitoses &gt; 20/10 HPF or Ki67 index &gt; 20%). With advances in clinical practice and basic research, especially gene sequencing and </w:t>
      </w:r>
      <w:r w:rsidRPr="006D6800">
        <w:rPr>
          <w:rFonts w:ascii="Book Antiqua" w:hAnsi="Book Antiqua" w:cs="Times New Roman"/>
          <w:kern w:val="0"/>
          <w:sz w:val="24"/>
          <w:lang w:bidi="ar"/>
        </w:rPr>
        <w:lastRenderedPageBreak/>
        <w:t xml:space="preserve">analysis, in recent years, it has been gradually recognized that the G3 group contains at least two completely different subtypes, namely the well-differentiated pNETs G3 and poorly differentiated pNECs. Some researchers believe that G3 contains three </w:t>
      </w:r>
      <w:proofErr w:type="gramStart"/>
      <w:r w:rsidRPr="006D6800">
        <w:rPr>
          <w:rFonts w:ascii="Book Antiqua" w:hAnsi="Book Antiqua" w:cs="Times New Roman"/>
          <w:kern w:val="0"/>
          <w:sz w:val="24"/>
          <w:lang w:bidi="ar"/>
        </w:rPr>
        <w:t>subtypes</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5]</w:t>
      </w:r>
      <w:r w:rsidRPr="006D6800">
        <w:rPr>
          <w:rFonts w:ascii="Book Antiqua" w:hAnsi="Book Antiqua" w:cs="Times New Roman"/>
          <w:kern w:val="0"/>
          <w:sz w:val="24"/>
          <w:lang w:bidi="ar"/>
        </w:rPr>
        <w:t>. In 2017, WHO revised the grading classification of pNENs (Table 2)</w:t>
      </w:r>
      <w:proofErr w:type="gramStart"/>
      <w:r w:rsidRPr="006D6800">
        <w:rPr>
          <w:rFonts w:ascii="Book Antiqua" w:hAnsi="Book Antiqua" w:cs="Times New Roman"/>
          <w:kern w:val="0"/>
          <w:sz w:val="24"/>
          <w:lang w:bidi="ar"/>
        </w:rPr>
        <w:t>.</w:t>
      </w:r>
      <w:proofErr w:type="gramEnd"/>
      <w:r w:rsidRPr="006D6800">
        <w:rPr>
          <w:rFonts w:ascii="Book Antiqua" w:hAnsi="Book Antiqua" w:cs="Times New Roman"/>
          <w:kern w:val="0"/>
          <w:sz w:val="24"/>
          <w:lang w:bidi="ar"/>
        </w:rPr>
        <w:t xml:space="preserve"> The most important change in the new grading classification was to divide the original G3 group into pNETs G3 and pNECs, and other changes, such as a 3% cutoff level of Ki67 index instead of the original 2%, were used in the new classification to distinguish G1 and G2. A significantly higher risk of progression was observed using a 5% cutoff level of Ki67 index in G1 and </w:t>
      </w:r>
      <w:proofErr w:type="gramStart"/>
      <w:r w:rsidRPr="006D6800">
        <w:rPr>
          <w:rFonts w:ascii="Book Antiqua" w:hAnsi="Book Antiqua" w:cs="Times New Roman"/>
          <w:kern w:val="0"/>
          <w:sz w:val="24"/>
          <w:lang w:bidi="ar"/>
        </w:rPr>
        <w:t>G2</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6]</w:t>
      </w:r>
      <w:r w:rsidRPr="006D6800">
        <w:rPr>
          <w:rFonts w:ascii="Book Antiqua" w:hAnsi="Book Antiqua" w:cs="Times New Roman"/>
          <w:kern w:val="0"/>
          <w:sz w:val="24"/>
          <w:lang w:bidi="ar"/>
        </w:rPr>
        <w:t xml:space="preserve">. For the above reasons, WHO uses 3% as the cutoff level of </w:t>
      </w:r>
      <w:proofErr w:type="gramStart"/>
      <w:r w:rsidRPr="006D6800">
        <w:rPr>
          <w:rFonts w:ascii="Book Antiqua" w:hAnsi="Book Antiqua" w:cs="Times New Roman"/>
          <w:kern w:val="0"/>
          <w:sz w:val="24"/>
          <w:lang w:bidi="ar"/>
        </w:rPr>
        <w:t>Ki67.</w:t>
      </w:r>
      <w:proofErr w:type="gramEnd"/>
      <w:r w:rsidRPr="006D6800">
        <w:rPr>
          <w:rFonts w:ascii="Book Antiqua" w:hAnsi="Book Antiqua" w:cs="Times New Roman"/>
          <w:kern w:val="0"/>
          <w:sz w:val="24"/>
          <w:lang w:bidi="ar"/>
        </w:rPr>
        <w:t xml:space="preserve"> The update of the 2017 WHO pNENs grading system was based on the consensus that pNETs G3 and pNECs are completely different in many respects such as biological behavior and treatment </w:t>
      </w:r>
      <w:proofErr w:type="gramStart"/>
      <w:r w:rsidRPr="006D6800">
        <w:rPr>
          <w:rFonts w:ascii="Book Antiqua" w:hAnsi="Book Antiqua" w:cs="Times New Roman"/>
          <w:kern w:val="0"/>
          <w:sz w:val="24"/>
          <w:lang w:bidi="ar"/>
        </w:rPr>
        <w:t>options</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7]</w:t>
      </w:r>
      <w:r w:rsidRPr="006D6800">
        <w:rPr>
          <w:rFonts w:ascii="Book Antiqua" w:hAnsi="Book Antiqua" w:cs="Times New Roman"/>
          <w:kern w:val="0"/>
          <w:sz w:val="24"/>
          <w:lang w:bidi="ar"/>
        </w:rPr>
        <w:t xml:space="preserve">. The newest WHO classification and fifth edition classification of digestive system tumors clarify that the G3 group is divided into NETs G3 and NECs in all NENs of the digestive </w:t>
      </w:r>
      <w:proofErr w:type="gramStart"/>
      <w:r w:rsidRPr="006D6800">
        <w:rPr>
          <w:rFonts w:ascii="Book Antiqua" w:hAnsi="Book Antiqua" w:cs="Times New Roman"/>
          <w:kern w:val="0"/>
          <w:sz w:val="24"/>
          <w:lang w:bidi="ar"/>
        </w:rPr>
        <w:t>tract</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8]</w:t>
      </w:r>
      <w:r w:rsidRPr="006D6800">
        <w:rPr>
          <w:rFonts w:ascii="Book Antiqua" w:hAnsi="Book Antiqua" w:cs="Times New Roman"/>
          <w:kern w:val="0"/>
          <w:sz w:val="24"/>
          <w:lang w:bidi="ar"/>
        </w:rPr>
        <w:t>.</w:t>
      </w:r>
    </w:p>
    <w:p w:rsidR="00B27CCD" w:rsidRPr="006D6800" w:rsidRDefault="0014178F" w:rsidP="006D6800">
      <w:pPr>
        <w:snapToGrid w:val="0"/>
        <w:spacing w:line="360" w:lineRule="auto"/>
        <w:ind w:firstLineChars="100" w:firstLine="240"/>
        <w:rPr>
          <w:rFonts w:ascii="Book Antiqua" w:hAnsi="Book Antiqua" w:cs="Times New Roman"/>
          <w:kern w:val="0"/>
          <w:sz w:val="24"/>
          <w:lang w:bidi="ar"/>
        </w:rPr>
      </w:pPr>
      <w:r w:rsidRPr="006D6800">
        <w:rPr>
          <w:rFonts w:ascii="Book Antiqua" w:hAnsi="Book Antiqua" w:cs="Times New Roman"/>
          <w:kern w:val="0"/>
          <w:sz w:val="24"/>
          <w:lang w:bidi="ar"/>
        </w:rPr>
        <w:t>Mitotic index is based on evaluation of mitoses in 50 HPF in areas of higher density and is expressed as mitoses per 10 HPF; the Ki-67 index value is determined by counting at least 500 cells in the regions of highest labeling.</w:t>
      </w:r>
    </w:p>
    <w:p w:rsidR="00B27CCD" w:rsidRPr="006D6800" w:rsidRDefault="00B27CCD" w:rsidP="006D6800">
      <w:pPr>
        <w:snapToGrid w:val="0"/>
        <w:spacing w:line="360" w:lineRule="auto"/>
        <w:rPr>
          <w:rFonts w:ascii="Book Antiqua" w:hAnsi="Book Antiqua" w:cs="Times New Roman"/>
          <w:b/>
          <w:bCs/>
          <w:kern w:val="0"/>
          <w:sz w:val="24"/>
          <w:lang w:bidi="ar"/>
        </w:rPr>
      </w:pPr>
    </w:p>
    <w:p w:rsidR="00B27CCD" w:rsidRPr="006D6800" w:rsidRDefault="0014178F" w:rsidP="006D6800">
      <w:pPr>
        <w:snapToGrid w:val="0"/>
        <w:spacing w:line="360" w:lineRule="auto"/>
        <w:rPr>
          <w:rFonts w:ascii="Book Antiqua" w:hAnsi="Book Antiqua" w:cs="Times New Roman"/>
          <w:b/>
          <w:bCs/>
          <w:kern w:val="0"/>
          <w:sz w:val="24"/>
          <w:u w:val="single"/>
          <w:lang w:bidi="ar"/>
        </w:rPr>
      </w:pPr>
      <w:r w:rsidRPr="006D6800">
        <w:rPr>
          <w:rFonts w:ascii="Book Antiqua" w:hAnsi="Book Antiqua" w:cs="Times New Roman"/>
          <w:b/>
          <w:bCs/>
          <w:kern w:val="0"/>
          <w:sz w:val="24"/>
          <w:u w:val="single"/>
          <w:lang w:bidi="ar"/>
        </w:rPr>
        <w:t>HISTOLOGICAL DIFFERENCES</w:t>
      </w:r>
    </w:p>
    <w:p w:rsidR="00B27CCD"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In the 2017 WHO classification, well-differentiated pNENs with mitotic rate &gt; 20/10 HPF or Ki67 index &gt; 20% are defined as pNETs G3. When the Ki67 index rating is inconsistent with the mitosis rate, the higher is considered as a determinant factor. Ki67 is a nuclear protein involved in cell cycle regulation and expressed in all phases of cell duplication.</w:t>
      </w:r>
      <w:r w:rsidRPr="006D6800">
        <w:rPr>
          <w:rFonts w:ascii="Book Antiqua" w:hAnsi="Book Antiqua"/>
          <w:sz w:val="24"/>
        </w:rPr>
        <w:t xml:space="preserve"> </w:t>
      </w:r>
      <w:r w:rsidRPr="006D6800">
        <w:rPr>
          <w:rFonts w:ascii="Book Antiqua" w:hAnsi="Book Antiqua" w:cs="Times New Roman"/>
          <w:kern w:val="0"/>
          <w:sz w:val="24"/>
          <w:lang w:bidi="ar"/>
        </w:rPr>
        <w:t>Using the Ki67 antibody,</w:t>
      </w:r>
      <w:r w:rsidRPr="006D6800">
        <w:rPr>
          <w:rFonts w:ascii="Book Antiqua" w:hAnsi="Book Antiqua"/>
          <w:sz w:val="24"/>
        </w:rPr>
        <w:t xml:space="preserve"> </w:t>
      </w:r>
      <w:r w:rsidRPr="006D6800">
        <w:rPr>
          <w:rFonts w:ascii="Book Antiqua" w:hAnsi="Book Antiqua" w:cs="Times New Roman"/>
          <w:kern w:val="0"/>
          <w:sz w:val="24"/>
          <w:lang w:bidi="ar"/>
        </w:rPr>
        <w:t xml:space="preserve">it was possible to perform large-scale studies of pathological biopsy tissues to assess the proliferative activity in different </w:t>
      </w:r>
      <w:proofErr w:type="gramStart"/>
      <w:r w:rsidRPr="006D6800">
        <w:rPr>
          <w:rFonts w:ascii="Book Antiqua" w:hAnsi="Book Antiqua" w:cs="Times New Roman"/>
          <w:kern w:val="0"/>
          <w:sz w:val="24"/>
          <w:lang w:bidi="ar"/>
        </w:rPr>
        <w:t>neoplasms</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9]</w:t>
      </w:r>
      <w:r w:rsidRPr="006D6800">
        <w:rPr>
          <w:rFonts w:ascii="Book Antiqua" w:hAnsi="Book Antiqua" w:cs="Times New Roman"/>
          <w:kern w:val="0"/>
          <w:sz w:val="24"/>
          <w:lang w:bidi="ar"/>
        </w:rPr>
        <w:t xml:space="preserve">. Ki67 index has become one of the most reliable prognostic factors to classify pNENs. It is recommended to count between 500 and 1000 tumor cells in randomly selected fields and the “hot spot” is chosen as the corresponding index. Manual count of a camera-captured, printed image appears to be the most reliable method to determine the Ki-67 index while the “eye-ball” estimation is the method </w:t>
      </w:r>
      <w:r w:rsidRPr="006D6800">
        <w:rPr>
          <w:rFonts w:ascii="Book Antiqua" w:hAnsi="Book Antiqua" w:cs="Times New Roman"/>
          <w:kern w:val="0"/>
          <w:sz w:val="24"/>
          <w:lang w:bidi="ar"/>
        </w:rPr>
        <w:lastRenderedPageBreak/>
        <w:t xml:space="preserve">with the poorest reliability and reproducibility. In most cases, the Ki67 index exceeds 20% but the mitotic figures do not exceed 20/10 HPF. Basturk </w:t>
      </w:r>
      <w:r w:rsidRPr="006D6800">
        <w:rPr>
          <w:rFonts w:ascii="Book Antiqua" w:hAnsi="Book Antiqua" w:cs="Times New Roman"/>
          <w:i/>
          <w:iCs/>
          <w:kern w:val="0"/>
          <w:sz w:val="24"/>
          <w:lang w:bidi="ar"/>
        </w:rPr>
        <w:t xml:space="preserve">et </w:t>
      </w:r>
      <w:proofErr w:type="gramStart"/>
      <w:r w:rsidRPr="006D6800">
        <w:rPr>
          <w:rFonts w:ascii="Book Antiqua" w:hAnsi="Book Antiqua" w:cs="Times New Roman"/>
          <w:i/>
          <w:iCs/>
          <w:kern w:val="0"/>
          <w:sz w:val="24"/>
          <w:lang w:bidi="ar"/>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10]</w:t>
      </w:r>
      <w:r w:rsidRPr="006D6800">
        <w:rPr>
          <w:rFonts w:ascii="Book Antiqua" w:hAnsi="Book Antiqua" w:cs="Times New Roman"/>
          <w:kern w:val="0"/>
          <w:sz w:val="24"/>
          <w:lang w:bidi="ar"/>
        </w:rPr>
        <w:t xml:space="preserve"> showed a group of pNETs G3 with discordance between the mitotic rate and Ki67 index; usually having a Ki67 index in the G3 range but a mitotic rate suggesting G2. The patients with mitotic count G2 and Ki67 index G3 had longer survival time compared to the patients with poorly differentiated NECs (median survival of 54.1 mo </w:t>
      </w:r>
      <w:r w:rsidRPr="006D6800">
        <w:rPr>
          <w:rFonts w:ascii="Book Antiqua" w:hAnsi="Book Antiqua" w:cs="Times New Roman"/>
          <w:i/>
          <w:iCs/>
          <w:kern w:val="0"/>
          <w:sz w:val="24"/>
          <w:lang w:bidi="ar"/>
        </w:rPr>
        <w:t>vs</w:t>
      </w:r>
      <w:r w:rsidRPr="006D6800">
        <w:rPr>
          <w:rFonts w:ascii="Book Antiqua" w:hAnsi="Book Antiqua" w:cs="Times New Roman"/>
          <w:kern w:val="0"/>
          <w:sz w:val="24"/>
          <w:lang w:bidi="ar"/>
        </w:rPr>
        <w:t xml:space="preserve"> 11 mo and 5-year survival of 29.1% </w:t>
      </w:r>
      <w:r w:rsidRPr="006D6800">
        <w:rPr>
          <w:rFonts w:ascii="Book Antiqua" w:hAnsi="Book Antiqua" w:cs="Times New Roman"/>
          <w:i/>
          <w:iCs/>
          <w:kern w:val="0"/>
          <w:sz w:val="24"/>
          <w:lang w:bidi="ar"/>
        </w:rPr>
        <w:t>vs</w:t>
      </w:r>
      <w:r w:rsidRPr="006D6800">
        <w:rPr>
          <w:rFonts w:ascii="Book Antiqua" w:hAnsi="Book Antiqua" w:cs="Times New Roman"/>
          <w:kern w:val="0"/>
          <w:sz w:val="24"/>
          <w:lang w:bidi="ar"/>
        </w:rPr>
        <w:t xml:space="preserve"> 16.1%) and had shorter survival time than patients with G2 </w:t>
      </w:r>
      <w:proofErr w:type="gramStart"/>
      <w:r w:rsidRPr="006D6800">
        <w:rPr>
          <w:rFonts w:ascii="Book Antiqua" w:hAnsi="Book Antiqua" w:cs="Times New Roman"/>
          <w:kern w:val="0"/>
          <w:sz w:val="24"/>
          <w:lang w:bidi="ar"/>
        </w:rPr>
        <w:t>had</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10]</w:t>
      </w:r>
      <w:r w:rsidRPr="006D6800">
        <w:rPr>
          <w:rFonts w:ascii="Book Antiqua" w:hAnsi="Book Antiqua" w:cs="Times New Roman"/>
          <w:kern w:val="0"/>
          <w:sz w:val="24"/>
          <w:lang w:bidi="ar"/>
        </w:rPr>
        <w:t xml:space="preserve">. There are still a number of cases in which the mitotic figures rate is higher than the Ki67 index rate (Figure 1C and D). </w:t>
      </w:r>
      <w:r w:rsidRPr="006D6800">
        <w:rPr>
          <w:rFonts w:ascii="Book Antiqua" w:hAnsi="Book Antiqua" w:cs="Times New Roman"/>
          <w:color w:val="000000" w:themeColor="text1"/>
          <w:kern w:val="0"/>
          <w:sz w:val="24"/>
          <w:lang w:bidi="ar"/>
        </w:rPr>
        <w:t>Komaç</w:t>
      </w:r>
      <w:r w:rsidRPr="006D6800">
        <w:rPr>
          <w:rFonts w:ascii="Book Antiqua" w:hAnsi="Book Antiqua" w:cs="Times New Roman"/>
          <w:i/>
          <w:iCs/>
          <w:kern w:val="0"/>
          <w:sz w:val="24"/>
          <w:lang w:bidi="ar"/>
        </w:rPr>
        <w:t xml:space="preserve"> et </w:t>
      </w:r>
      <w:proofErr w:type="gramStart"/>
      <w:r w:rsidRPr="006D6800">
        <w:rPr>
          <w:rFonts w:ascii="Book Antiqua" w:hAnsi="Book Antiqua" w:cs="Times New Roman"/>
          <w:i/>
          <w:iCs/>
          <w:kern w:val="0"/>
          <w:sz w:val="24"/>
          <w:lang w:bidi="ar"/>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11]</w:t>
      </w:r>
      <w:r w:rsidRPr="006D6800">
        <w:rPr>
          <w:rFonts w:ascii="Book Antiqua" w:hAnsi="Book Antiqua" w:cs="Times New Roman"/>
          <w:kern w:val="0"/>
          <w:sz w:val="24"/>
          <w:lang w:bidi="ar"/>
        </w:rPr>
        <w:t xml:space="preserve"> reported the Ki67 levels in 29 patients and the mitotic count in only one patient was in the higher grade. The difference between pNETs G3 with mitotic count G2 and pNETs G3 with Ki67 index G2 is not clear at present. The histological features of pNETs G3 are similar to those of well-differentiated pNETs G1/G2, including “salt and pepper” nuclei, cellular uniformity, central ovoid nuclei, variety of architectures such as ribbons or trabeculae, nesting, gyriform, or pseudorosettes (Figure 1E and F). </w:t>
      </w:r>
      <w:proofErr w:type="gramStart"/>
      <w:r w:rsidRPr="006D6800">
        <w:rPr>
          <w:rFonts w:ascii="Book Antiqua" w:hAnsi="Book Antiqua" w:cs="Times New Roman"/>
          <w:kern w:val="0"/>
          <w:sz w:val="24"/>
          <w:lang w:bidi="ar"/>
        </w:rPr>
        <w:t>pNETs</w:t>
      </w:r>
      <w:proofErr w:type="gramEnd"/>
      <w:r w:rsidRPr="006D6800">
        <w:rPr>
          <w:rFonts w:ascii="Book Antiqua" w:hAnsi="Book Antiqua" w:cs="Times New Roman"/>
          <w:kern w:val="0"/>
          <w:sz w:val="24"/>
          <w:lang w:bidi="ar"/>
        </w:rPr>
        <w:t xml:space="preserve"> G3 is considered to be a continuation of pNETs G1 and G2, but completely different from pNECs. The evidence supporting this comes from studies in which it was found that some pNETs G3 patients were first diagnosed as G1 or G2 but rediagnosed as pNETs G3 after the second pathological biopsy after disease progression. In some pNETs, the pathological diagnosis of the primary pancreatic lesion was G1 or G2 but liver metastasis was diagnosed as G3. Panzuto </w:t>
      </w:r>
      <w:r w:rsidRPr="006D6800">
        <w:rPr>
          <w:rFonts w:ascii="Book Antiqua" w:hAnsi="Book Antiqua" w:cs="Times New Roman"/>
          <w:i/>
          <w:iCs/>
          <w:kern w:val="0"/>
          <w:sz w:val="24"/>
          <w:lang w:bidi="ar"/>
        </w:rPr>
        <w:t xml:space="preserve">et </w:t>
      </w:r>
      <w:proofErr w:type="gramStart"/>
      <w:r w:rsidRPr="006D6800">
        <w:rPr>
          <w:rFonts w:ascii="Book Antiqua" w:hAnsi="Book Antiqua" w:cs="Times New Roman"/>
          <w:i/>
          <w:iCs/>
          <w:kern w:val="0"/>
          <w:sz w:val="24"/>
          <w:lang w:bidi="ar"/>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12]</w:t>
      </w:r>
      <w:r w:rsidRPr="006D6800">
        <w:rPr>
          <w:rFonts w:ascii="Book Antiqua" w:hAnsi="Book Antiqua" w:cs="Times New Roman"/>
          <w:kern w:val="0"/>
          <w:sz w:val="24"/>
          <w:lang w:bidi="ar"/>
        </w:rPr>
        <w:t xml:space="preserve"> retrospectively analyzed 43 patients with sporadic enteropancreatic NENs including 19 NETs G1 patients (44.2%) and 24 NETs G2 patients (55.8%) at the initial histological evaluation. When receiving histological verification after disease progression, 13 patients were reclassified as G1 (30.2%), 26 as G2 (60.5%), and four as G3 (9.3%</w:t>
      </w:r>
      <w:proofErr w:type="gramStart"/>
      <w:r w:rsidRPr="006D6800">
        <w:rPr>
          <w:rFonts w:ascii="Book Antiqua" w:hAnsi="Book Antiqua" w:cs="Times New Roman"/>
          <w:kern w:val="0"/>
          <w:sz w:val="24"/>
          <w:lang w:bidi="ar"/>
        </w:rPr>
        <w:t>)</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12]</w:t>
      </w:r>
      <w:r w:rsidRPr="006D6800">
        <w:rPr>
          <w:rFonts w:ascii="Book Antiqua" w:hAnsi="Book Antiqua" w:cs="Times New Roman"/>
          <w:kern w:val="0"/>
          <w:sz w:val="24"/>
          <w:lang w:bidi="ar"/>
        </w:rPr>
        <w:t xml:space="preserve">. Tang </w:t>
      </w:r>
      <w:r w:rsidRPr="006D6800">
        <w:rPr>
          <w:rFonts w:ascii="Book Antiqua" w:hAnsi="Book Antiqua" w:cs="Times New Roman"/>
          <w:i/>
          <w:iCs/>
          <w:kern w:val="0"/>
          <w:sz w:val="24"/>
          <w:lang w:bidi="ar"/>
        </w:rPr>
        <w:t xml:space="preserve">et </w:t>
      </w:r>
      <w:proofErr w:type="gramStart"/>
      <w:r w:rsidRPr="006D6800">
        <w:rPr>
          <w:rFonts w:ascii="Book Antiqua" w:hAnsi="Book Antiqua" w:cs="Times New Roman"/>
          <w:i/>
          <w:iCs/>
          <w:kern w:val="0"/>
          <w:sz w:val="24"/>
          <w:lang w:bidi="ar"/>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13]</w:t>
      </w:r>
      <w:r w:rsidRPr="006D6800">
        <w:rPr>
          <w:rFonts w:ascii="Book Antiqua" w:hAnsi="Book Antiqua" w:cs="Times New Roman"/>
          <w:kern w:val="0"/>
          <w:sz w:val="24"/>
          <w:lang w:bidi="ar"/>
        </w:rPr>
        <w:t xml:space="preserve"> reported that the high-grade component occurred either within the primary tumor (48%) or metastatic sites (52%). The radiographic features, clinical presentation, and the genotype of these well-differentiated NETs with high-grade component remained similar to G1/</w:t>
      </w:r>
      <w:proofErr w:type="gramStart"/>
      <w:r w:rsidRPr="006D6800">
        <w:rPr>
          <w:rFonts w:ascii="Book Antiqua" w:hAnsi="Book Antiqua" w:cs="Times New Roman"/>
          <w:kern w:val="0"/>
          <w:sz w:val="24"/>
          <w:lang w:bidi="ar"/>
        </w:rPr>
        <w:t>G2</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13]</w:t>
      </w:r>
      <w:r w:rsidRPr="006D6800">
        <w:rPr>
          <w:rFonts w:ascii="Book Antiqua" w:hAnsi="Book Antiqua" w:cs="Times New Roman"/>
          <w:kern w:val="0"/>
          <w:sz w:val="24"/>
          <w:lang w:bidi="ar"/>
        </w:rPr>
        <w:t>.</w:t>
      </w:r>
    </w:p>
    <w:p w:rsidR="00B27CCD" w:rsidRPr="006D6800" w:rsidRDefault="0014178F" w:rsidP="006D6800">
      <w:pPr>
        <w:snapToGrid w:val="0"/>
        <w:spacing w:line="360" w:lineRule="auto"/>
        <w:ind w:firstLineChars="200" w:firstLine="480"/>
        <w:rPr>
          <w:rFonts w:ascii="Book Antiqua" w:hAnsi="Book Antiqua" w:cs="Times New Roman"/>
          <w:kern w:val="0"/>
          <w:sz w:val="24"/>
          <w:lang w:bidi="ar"/>
        </w:rPr>
      </w:pPr>
      <w:r w:rsidRPr="006D6800">
        <w:rPr>
          <w:rFonts w:ascii="Book Antiqua" w:hAnsi="Book Antiqua" w:cs="Times New Roman"/>
          <w:kern w:val="0"/>
          <w:sz w:val="24"/>
          <w:lang w:bidi="ar"/>
        </w:rPr>
        <w:t xml:space="preserve">Poorly differentiated pNECs can be histologically divided into small and large cell types. The main histological features of the small cell variant include small cells </w:t>
      </w:r>
      <w:r w:rsidRPr="006D6800">
        <w:rPr>
          <w:rFonts w:ascii="Book Antiqua" w:hAnsi="Book Antiqua" w:cs="Times New Roman"/>
          <w:kern w:val="0"/>
          <w:sz w:val="24"/>
          <w:lang w:bidi="ar"/>
        </w:rPr>
        <w:lastRenderedPageBreak/>
        <w:t>with large nuclei (high N/C ratio), nuclear molding, dark chromatin with inconspicuous nucleoli and immature or finely speckled chromatin (as seen in pulmonary small cell carcinoma or acute myeloid leukemia). The large cell variant includes large undifferentiated cells with bizarre forms or syncytial aggregates, irregular overlapping nuclei with prominent nucleoli, variable chromatin (fine or coarse) and abundant cytoplasm (delicate, dense or granular</w:t>
      </w:r>
      <w:proofErr w:type="gramStart"/>
      <w:r w:rsidRPr="006D6800">
        <w:rPr>
          <w:rFonts w:ascii="Book Antiqua" w:hAnsi="Book Antiqua" w:cs="Times New Roman"/>
          <w:kern w:val="0"/>
          <w:sz w:val="24"/>
          <w:lang w:bidi="ar"/>
        </w:rPr>
        <w:t>)</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14]</w:t>
      </w:r>
      <w:r w:rsidRPr="006D6800">
        <w:rPr>
          <w:rFonts w:ascii="Book Antiqua" w:hAnsi="Book Antiqua" w:cs="Times New Roman"/>
          <w:kern w:val="0"/>
          <w:sz w:val="24"/>
          <w:lang w:bidi="ar"/>
        </w:rPr>
        <w:t xml:space="preserve"> (Figure 1G and H). It is worth noting that pNECs may be combined with other malignant non-neuroendocrine components such as pancreatic adenocarcinoma. If the pancreatic adenocarcinoma component exceeds 30% of neoplastic cells, a diagnosis of composite NECs with adenocarcinoma is made.</w:t>
      </w:r>
    </w:p>
    <w:p w:rsidR="00B27CCD" w:rsidRPr="006D6800" w:rsidRDefault="0014178F" w:rsidP="006D6800">
      <w:pPr>
        <w:snapToGrid w:val="0"/>
        <w:spacing w:line="360" w:lineRule="auto"/>
        <w:ind w:firstLineChars="200" w:firstLine="480"/>
        <w:rPr>
          <w:rFonts w:ascii="Book Antiqua" w:eastAsia="宋体" w:hAnsi="Book Antiqua" w:cs="Times New Roman"/>
          <w:sz w:val="24"/>
        </w:rPr>
      </w:pPr>
      <w:r w:rsidRPr="006D6800">
        <w:rPr>
          <w:rFonts w:ascii="Book Antiqua" w:hAnsi="Book Antiqua" w:cs="Times New Roman"/>
          <w:kern w:val="0"/>
          <w:sz w:val="24"/>
          <w:lang w:bidi="ar"/>
        </w:rPr>
        <w:t xml:space="preserve">In summary, the histomorphological differences between pNETs G3 and pNECs are obvious. However, in practice some pNETs G3 and pNECs cannot be effectively distinguished. Tang </w:t>
      </w:r>
      <w:r w:rsidRPr="006D6800">
        <w:rPr>
          <w:rFonts w:ascii="Book Antiqua" w:hAnsi="Book Antiqua" w:cs="Times New Roman"/>
          <w:i/>
          <w:iCs/>
          <w:kern w:val="0"/>
          <w:sz w:val="24"/>
          <w:lang w:bidi="ar"/>
        </w:rPr>
        <w:t xml:space="preserve">et </w:t>
      </w:r>
      <w:proofErr w:type="gramStart"/>
      <w:r w:rsidRPr="006D6800">
        <w:rPr>
          <w:rFonts w:ascii="Book Antiqua" w:hAnsi="Book Antiqua" w:cs="Times New Roman"/>
          <w:i/>
          <w:iCs/>
          <w:kern w:val="0"/>
          <w:sz w:val="24"/>
          <w:lang w:bidi="ar"/>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15]</w:t>
      </w:r>
      <w:r w:rsidRPr="006D6800">
        <w:rPr>
          <w:rFonts w:ascii="Book Antiqua" w:hAnsi="Book Antiqua" w:cs="Times New Roman"/>
          <w:kern w:val="0"/>
          <w:sz w:val="24"/>
          <w:lang w:bidi="ar"/>
        </w:rPr>
        <w:t xml:space="preserve"> reassessed pathological diagnosis of 33 cases </w:t>
      </w:r>
      <w:r w:rsidRPr="006D6800">
        <w:rPr>
          <w:rFonts w:ascii="Book Antiqua" w:eastAsia="宋体" w:hAnsi="Book Antiqua" w:cs="Times New Roman"/>
          <w:sz w:val="24"/>
        </w:rPr>
        <w:t xml:space="preserve">of pNETs G3 </w:t>
      </w:r>
      <w:r w:rsidRPr="006D6800">
        <w:rPr>
          <w:rFonts w:ascii="Book Antiqua" w:hAnsi="Book Antiqua" w:cs="Times New Roman"/>
          <w:kern w:val="0"/>
          <w:sz w:val="24"/>
          <w:lang w:bidi="ar"/>
        </w:rPr>
        <w:t xml:space="preserve">using the 2010 WHO criteria to classify them into well-differentiated NETs, small cell poorly differentiated NECs, and large cell poorly differentiated NECs. As a result, 20 of 33 cases (61%) had an uncertain diagnosis rendered by any of three pathologists or there was disagreement in classification among the three </w:t>
      </w:r>
      <w:proofErr w:type="gramStart"/>
      <w:r w:rsidRPr="006D6800">
        <w:rPr>
          <w:rFonts w:ascii="Book Antiqua" w:hAnsi="Book Antiqua" w:cs="Times New Roman"/>
          <w:kern w:val="0"/>
          <w:sz w:val="24"/>
          <w:lang w:bidi="ar"/>
        </w:rPr>
        <w:t>pathologists</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15]</w:t>
      </w:r>
      <w:r w:rsidRPr="006D6800">
        <w:rPr>
          <w:rFonts w:ascii="Book Antiqua" w:hAnsi="Book Antiqua" w:cs="Times New Roman"/>
          <w:kern w:val="0"/>
          <w:sz w:val="24"/>
          <w:lang w:bidi="ar"/>
        </w:rPr>
        <w:t xml:space="preserve">. Other supplementary information may help to solve the </w:t>
      </w:r>
      <w:proofErr w:type="gramStart"/>
      <w:r w:rsidRPr="006D6800">
        <w:rPr>
          <w:rFonts w:ascii="Book Antiqua" w:hAnsi="Book Antiqua" w:cs="Times New Roman"/>
          <w:kern w:val="0"/>
          <w:sz w:val="24"/>
          <w:lang w:bidi="ar"/>
        </w:rPr>
        <w:t>problem</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15,16]</w:t>
      </w:r>
      <w:r w:rsidRPr="006D6800">
        <w:rPr>
          <w:rFonts w:ascii="Book Antiqua" w:hAnsi="Book Antiqua" w:cs="Times New Roman"/>
          <w:kern w:val="0"/>
          <w:sz w:val="24"/>
          <w:lang w:bidi="ar"/>
        </w:rPr>
        <w:t xml:space="preserve">. Coexisting lower grade pNETs components in prior specimens tend to diagnose pNETs G3, while coexisting conventional carcinoma components tend to be diagnosed as pNECs. Loss of nuclear expression for DAXX and ATRX and preserved expression for Rb and p53 tend to be diagnosed as pNETs G3 </w:t>
      </w:r>
      <w:r w:rsidRPr="006D6800">
        <w:rPr>
          <w:rFonts w:ascii="Book Antiqua" w:eastAsia="宋体" w:hAnsi="Book Antiqua" w:cs="Times New Roman"/>
          <w:sz w:val="24"/>
        </w:rPr>
        <w:t>(Figure 2A)</w:t>
      </w:r>
      <w:r w:rsidRPr="006D6800">
        <w:rPr>
          <w:rFonts w:ascii="Book Antiqua" w:hAnsi="Book Antiqua" w:cs="Times New Roman"/>
          <w:kern w:val="0"/>
          <w:sz w:val="24"/>
          <w:lang w:bidi="ar"/>
        </w:rPr>
        <w:t xml:space="preserve"> and</w:t>
      </w:r>
      <w:r w:rsidRPr="006D6800">
        <w:rPr>
          <w:rFonts w:ascii="Book Antiqua" w:eastAsia="宋体" w:hAnsi="Book Antiqua" w:cs="Times New Roman"/>
          <w:sz w:val="24"/>
        </w:rPr>
        <w:t xml:space="preserve"> pNECs (Figure 2B and C), respectively. </w:t>
      </w:r>
      <w:bookmarkStart w:id="11" w:name="OLE_LINK8"/>
      <w:bookmarkStart w:id="12" w:name="OLE_LINK9"/>
      <w:r w:rsidRPr="006D6800">
        <w:rPr>
          <w:rFonts w:ascii="Book Antiqua" w:eastAsia="宋体" w:hAnsi="Book Antiqua" w:cs="Times New Roman"/>
          <w:sz w:val="24"/>
        </w:rPr>
        <w:t xml:space="preserve">Briest </w:t>
      </w:r>
      <w:bookmarkEnd w:id="11"/>
      <w:bookmarkEnd w:id="12"/>
      <w:r w:rsidRPr="006D6800">
        <w:rPr>
          <w:rFonts w:ascii="Book Antiqua" w:eastAsia="宋体" w:hAnsi="Book Antiqua" w:cs="Times New Roman"/>
          <w:i/>
          <w:iCs/>
          <w:sz w:val="24"/>
        </w:rPr>
        <w:t xml:space="preserve">et </w:t>
      </w:r>
      <w:proofErr w:type="gramStart"/>
      <w:r w:rsidRPr="006D6800">
        <w:rPr>
          <w:rFonts w:ascii="Book Antiqua" w:eastAsia="宋体" w:hAnsi="Book Antiqua" w:cs="Times New Roman"/>
          <w:i/>
          <w:iCs/>
          <w:sz w:val="24"/>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17]</w:t>
      </w:r>
      <w:r w:rsidRPr="006D6800">
        <w:rPr>
          <w:rFonts w:ascii="Book Antiqua" w:eastAsia="宋体" w:hAnsi="Book Antiqua" w:cs="Times New Roman"/>
          <w:sz w:val="24"/>
        </w:rPr>
        <w:t xml:space="preserve"> reported that nuclear forkhead box (FOX)</w:t>
      </w:r>
      <w:r w:rsidR="00B955FB" w:rsidRPr="006D6800">
        <w:rPr>
          <w:rFonts w:ascii="Book Antiqua" w:eastAsia="宋体" w:hAnsi="Book Antiqua" w:cs="Times New Roman"/>
          <w:sz w:val="24"/>
        </w:rPr>
        <w:t xml:space="preserve"> </w:t>
      </w:r>
      <w:r w:rsidRPr="006D6800">
        <w:rPr>
          <w:rFonts w:ascii="Book Antiqua" w:eastAsia="宋体" w:hAnsi="Book Antiqua" w:cs="Times New Roman"/>
          <w:sz w:val="24"/>
        </w:rPr>
        <w:t xml:space="preserve">M1 expression was absent in all 26 NETs G3, whereas </w:t>
      </w:r>
      <w:r w:rsidRPr="006D6800">
        <w:rPr>
          <w:rFonts w:ascii="Book Antiqua" w:hAnsi="Book Antiqua" w:cs="Times New Roman"/>
          <w:kern w:val="0"/>
          <w:sz w:val="24"/>
          <w:lang w:bidi="ar"/>
        </w:rPr>
        <w:t xml:space="preserve">40% (2/5) of NECs specimens displayed high nuclear FOXM1 staining. The cell adhesion molecule L1, which has an important function for development of the nervous </w:t>
      </w:r>
      <w:proofErr w:type="gramStart"/>
      <w:r w:rsidRPr="006D6800">
        <w:rPr>
          <w:rFonts w:ascii="Book Antiqua" w:hAnsi="Book Antiqua" w:cs="Times New Roman"/>
          <w:kern w:val="0"/>
          <w:sz w:val="24"/>
          <w:lang w:bidi="ar"/>
        </w:rPr>
        <w:t>system</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18]</w:t>
      </w:r>
      <w:r w:rsidRPr="006D6800">
        <w:rPr>
          <w:rFonts w:ascii="Book Antiqua" w:hAnsi="Book Antiqua" w:cs="Times New Roman"/>
          <w:kern w:val="0"/>
          <w:sz w:val="24"/>
          <w:lang w:bidi="ar"/>
        </w:rPr>
        <w:t>, also may be a potential marker for poorly differentiated pNECs</w:t>
      </w:r>
      <w:r w:rsidRPr="006D6800">
        <w:rPr>
          <w:rFonts w:ascii="Book Antiqua" w:hAnsi="Book Antiqua" w:cs="Times New Roman"/>
          <w:kern w:val="0"/>
          <w:sz w:val="24"/>
          <w:vertAlign w:val="superscript"/>
          <w:lang w:bidi="ar"/>
        </w:rPr>
        <w:t>[19]</w:t>
      </w:r>
      <w:r w:rsidRPr="006D6800">
        <w:rPr>
          <w:rFonts w:ascii="Book Antiqua" w:hAnsi="Book Antiqua" w:cs="Times New Roman"/>
          <w:kern w:val="0"/>
          <w:sz w:val="24"/>
          <w:lang w:bidi="ar"/>
        </w:rPr>
        <w:t xml:space="preserve">. Somatostatin receptors are </w:t>
      </w:r>
      <w:r w:rsidRPr="006D6800">
        <w:rPr>
          <w:rFonts w:ascii="Book Antiqua" w:eastAsia="宋体" w:hAnsi="Book Antiqua" w:cs="Times New Roman"/>
          <w:sz w:val="24"/>
        </w:rPr>
        <w:t xml:space="preserve">commonly expressed in </w:t>
      </w:r>
      <w:proofErr w:type="gramStart"/>
      <w:r w:rsidRPr="006D6800">
        <w:rPr>
          <w:rFonts w:ascii="Book Antiqua" w:eastAsia="宋体" w:hAnsi="Book Antiqua" w:cs="Times New Roman"/>
          <w:sz w:val="24"/>
        </w:rPr>
        <w:t>pNETs</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20,21]</w:t>
      </w:r>
      <w:r w:rsidRPr="006D6800">
        <w:rPr>
          <w:rFonts w:ascii="Book Antiqua" w:hAnsi="Book Antiqua" w:cs="Times New Roman"/>
          <w:kern w:val="0"/>
          <w:sz w:val="24"/>
          <w:lang w:bidi="ar"/>
        </w:rPr>
        <w:t>. Somatostatin receptors might be considered as a feature of well-differentiated NETs, although</w:t>
      </w:r>
      <w:r w:rsidRPr="006D6800">
        <w:rPr>
          <w:rFonts w:ascii="Book Antiqua" w:eastAsia="宋体" w:hAnsi="Book Antiqua" w:cs="Times New Roman"/>
          <w:sz w:val="24"/>
        </w:rPr>
        <w:t xml:space="preserve"> somatostatin receptor 2A was also positive in 16% of poorly differentiated NECs and a few poorly differentiated NECs expressed somatostatin receptor 5</w:t>
      </w:r>
      <w:r w:rsidRPr="006D6800">
        <w:rPr>
          <w:rFonts w:ascii="Book Antiqua" w:hAnsi="Book Antiqua" w:cs="Times New Roman"/>
          <w:kern w:val="0"/>
          <w:sz w:val="24"/>
          <w:vertAlign w:val="superscript"/>
          <w:lang w:bidi="ar"/>
        </w:rPr>
        <w:t>[22]</w:t>
      </w:r>
      <w:r w:rsidRPr="006D6800">
        <w:rPr>
          <w:rFonts w:ascii="Book Antiqua" w:eastAsia="宋体" w:hAnsi="Book Antiqua" w:cs="Times New Roman"/>
          <w:sz w:val="24"/>
        </w:rPr>
        <w:t xml:space="preserve">. Clinical </w:t>
      </w:r>
      <w:r w:rsidRPr="006D6800">
        <w:rPr>
          <w:rFonts w:ascii="Book Antiqua" w:eastAsia="宋体" w:hAnsi="Book Antiqua" w:cs="Times New Roman"/>
          <w:sz w:val="24"/>
        </w:rPr>
        <w:lastRenderedPageBreak/>
        <w:t>presentation due to excess hormone secretion and elevated plasma neuroendocrine markers (</w:t>
      </w:r>
      <w:r w:rsidRPr="006D6800">
        <w:rPr>
          <w:rFonts w:ascii="Book Antiqua" w:eastAsia="宋体" w:hAnsi="Book Antiqua" w:cs="Times New Roman"/>
          <w:i/>
          <w:iCs/>
          <w:sz w:val="24"/>
        </w:rPr>
        <w:t>e.g.</w:t>
      </w:r>
      <w:r w:rsidRPr="006D6800">
        <w:rPr>
          <w:rFonts w:ascii="Book Antiqua" w:eastAsia="宋体" w:hAnsi="Book Antiqua" w:cs="Times New Roman"/>
          <w:sz w:val="24"/>
        </w:rPr>
        <w:t>, chromogranin A) help diagnose pNETs G3, and abdominal pain, jaundice, weight loss and elevated plasma carcinoma markers [</w:t>
      </w:r>
      <w:r w:rsidRPr="006D6800">
        <w:rPr>
          <w:rFonts w:ascii="Book Antiqua" w:eastAsia="宋体" w:hAnsi="Book Antiqua" w:cs="Times New Roman"/>
          <w:i/>
          <w:iCs/>
          <w:sz w:val="24"/>
        </w:rPr>
        <w:t>e.g.</w:t>
      </w:r>
      <w:r w:rsidRPr="006D6800">
        <w:rPr>
          <w:rFonts w:ascii="Book Antiqua" w:eastAsia="宋体" w:hAnsi="Book Antiqua" w:cs="Times New Roman"/>
          <w:sz w:val="24"/>
        </w:rPr>
        <w:t>, carcinoembryonic antigen, carbohydrate antigen (CA)19-9 and CA125] tend to diagnose pNECs.</w:t>
      </w:r>
      <w:r w:rsidRPr="006D6800">
        <w:rPr>
          <w:rFonts w:ascii="Book Antiqua" w:hAnsi="Book Antiqua" w:cs="Times New Roman"/>
          <w:kern w:val="0"/>
          <w:sz w:val="24"/>
          <w:lang w:bidi="ar"/>
        </w:rPr>
        <w:t xml:space="preserve"> Kang </w:t>
      </w:r>
      <w:r w:rsidRPr="006D6800">
        <w:rPr>
          <w:rFonts w:ascii="Book Antiqua" w:hAnsi="Book Antiqua" w:cs="Times New Roman"/>
          <w:i/>
          <w:iCs/>
          <w:kern w:val="0"/>
          <w:sz w:val="24"/>
          <w:lang w:bidi="ar"/>
        </w:rPr>
        <w:t xml:space="preserve">et </w:t>
      </w:r>
      <w:proofErr w:type="gramStart"/>
      <w:r w:rsidRPr="006D6800">
        <w:rPr>
          <w:rFonts w:ascii="Book Antiqua" w:hAnsi="Book Antiqua" w:cs="Times New Roman"/>
          <w:i/>
          <w:iCs/>
          <w:kern w:val="0"/>
          <w:sz w:val="24"/>
          <w:lang w:bidi="ar"/>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23]</w:t>
      </w:r>
      <w:r w:rsidRPr="006D6800">
        <w:rPr>
          <w:rFonts w:ascii="Book Antiqua" w:hAnsi="Book Antiqua" w:cs="Times New Roman"/>
          <w:kern w:val="0"/>
          <w:sz w:val="24"/>
          <w:lang w:bidi="ar"/>
        </w:rPr>
        <w:t xml:space="preserve"> reported that </w:t>
      </w:r>
      <w:r w:rsidRPr="006D6800">
        <w:rPr>
          <w:rFonts w:ascii="Book Antiqua" w:eastAsia="宋体" w:hAnsi="Book Antiqua" w:cs="Times New Roman"/>
          <w:sz w:val="24"/>
        </w:rPr>
        <w:t xml:space="preserve">low enhancement in the portal venous phase, nonuniform enhancement, and combined tumor vasculature in the hepatic NECs group were larger than those in the hepatic </w:t>
      </w:r>
      <w:r w:rsidRPr="006D6800">
        <w:rPr>
          <w:rFonts w:ascii="Book Antiqua" w:hAnsi="Book Antiqua" w:cs="Times New Roman"/>
          <w:kern w:val="0"/>
          <w:sz w:val="24"/>
          <w:lang w:bidi="ar"/>
        </w:rPr>
        <w:t>NETs group. I</w:t>
      </w:r>
      <w:r w:rsidRPr="006D6800">
        <w:rPr>
          <w:rFonts w:ascii="Book Antiqua" w:eastAsia="宋体" w:hAnsi="Book Antiqua" w:cs="Times New Roman"/>
          <w:sz w:val="24"/>
        </w:rPr>
        <w:t xml:space="preserve">n addition, cancer treatment has made significant progress recently with immunotherapy and immune checkpoint inhibitor treatment such as PD-1/PD-L1, which has been approved by the US FDA in recent years. The expression level of PD-L1 in tumor tissues may be related to the efficacy of immune checkpoint inhibitor therapy. Cavalcanti </w:t>
      </w:r>
      <w:r w:rsidRPr="006D6800">
        <w:rPr>
          <w:rFonts w:ascii="Book Antiqua" w:eastAsia="宋体" w:hAnsi="Book Antiqua" w:cs="Times New Roman"/>
          <w:i/>
          <w:iCs/>
          <w:sz w:val="24"/>
        </w:rPr>
        <w:t xml:space="preserve">et </w:t>
      </w:r>
      <w:proofErr w:type="gramStart"/>
      <w:r w:rsidRPr="006D6800">
        <w:rPr>
          <w:rFonts w:ascii="Book Antiqua" w:eastAsia="宋体" w:hAnsi="Book Antiqua" w:cs="Times New Roman"/>
          <w:i/>
          <w:iCs/>
          <w:sz w:val="24"/>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24]</w:t>
      </w:r>
      <w:r w:rsidRPr="006D6800">
        <w:rPr>
          <w:rFonts w:ascii="Book Antiqua" w:eastAsia="宋体" w:hAnsi="Book Antiqua" w:cs="Times New Roman"/>
          <w:sz w:val="24"/>
        </w:rPr>
        <w:t xml:space="preserve"> showed for the first time that PD-L1 is expressed in </w:t>
      </w:r>
      <w:r w:rsidR="00902B80" w:rsidRPr="006D6800">
        <w:rPr>
          <w:rFonts w:ascii="Book Antiqua" w:eastAsia="宋体" w:hAnsi="Book Antiqua" w:cs="Times New Roman"/>
          <w:sz w:val="24"/>
        </w:rPr>
        <w:t>GEP</w:t>
      </w:r>
      <w:r w:rsidRPr="006D6800">
        <w:rPr>
          <w:rFonts w:ascii="Book Antiqua" w:eastAsia="宋体" w:hAnsi="Book Antiqua" w:cs="Times New Roman"/>
          <w:sz w:val="24"/>
        </w:rPr>
        <w:t xml:space="preserve"> NENs, and PD-L1 positivity rate and signal intensity are directly correlated with grade increase from G1 to G3. </w:t>
      </w:r>
      <w:proofErr w:type="gramStart"/>
      <w:r w:rsidRPr="006D6800">
        <w:rPr>
          <w:rFonts w:ascii="Book Antiqua" w:eastAsia="宋体" w:hAnsi="Book Antiqua" w:cs="Times New Roman"/>
          <w:sz w:val="24"/>
        </w:rPr>
        <w:t>Whether pNETs G3 differs from pNECs in PD-L1 expression remains to be confirmed.</w:t>
      </w:r>
      <w:proofErr w:type="gramEnd"/>
    </w:p>
    <w:p w:rsidR="00B27CCD" w:rsidRPr="006D6800" w:rsidRDefault="00B27CCD" w:rsidP="006D6800">
      <w:pPr>
        <w:snapToGrid w:val="0"/>
        <w:spacing w:line="360" w:lineRule="auto"/>
        <w:rPr>
          <w:rFonts w:ascii="Book Antiqua" w:eastAsia="宋体" w:hAnsi="Book Antiqua" w:cs="Times New Roman"/>
          <w:sz w:val="24"/>
        </w:rPr>
      </w:pPr>
    </w:p>
    <w:p w:rsidR="00B27CCD" w:rsidRPr="006D6800" w:rsidRDefault="0014178F" w:rsidP="006D6800">
      <w:pPr>
        <w:snapToGrid w:val="0"/>
        <w:spacing w:line="360" w:lineRule="auto"/>
        <w:rPr>
          <w:rFonts w:ascii="Book Antiqua" w:eastAsia="宋体" w:hAnsi="Book Antiqua" w:cs="Times New Roman"/>
          <w:b/>
          <w:bCs/>
          <w:sz w:val="24"/>
          <w:u w:val="single"/>
        </w:rPr>
      </w:pPr>
      <w:r w:rsidRPr="006D6800">
        <w:rPr>
          <w:rFonts w:ascii="Book Antiqua" w:hAnsi="Book Antiqua" w:cs="Times New Roman"/>
          <w:b/>
          <w:bCs/>
          <w:kern w:val="0"/>
          <w:sz w:val="24"/>
          <w:u w:val="single"/>
          <w:lang w:bidi="ar"/>
        </w:rPr>
        <w:t xml:space="preserve">DIFFERENCES IN </w:t>
      </w:r>
      <w:r w:rsidRPr="006D6800">
        <w:rPr>
          <w:rFonts w:ascii="Book Antiqua" w:eastAsia="宋体" w:hAnsi="Book Antiqua" w:cs="Times New Roman"/>
          <w:b/>
          <w:bCs/>
          <w:sz w:val="24"/>
          <w:u w:val="single"/>
        </w:rPr>
        <w:t>GENETIC A</w:t>
      </w:r>
      <w:r w:rsidRPr="006D6800">
        <w:rPr>
          <w:rFonts w:ascii="Book Antiqua" w:hAnsi="Book Antiqua" w:cs="Times New Roman"/>
          <w:b/>
          <w:bCs/>
          <w:kern w:val="0"/>
          <w:sz w:val="24"/>
          <w:u w:val="single"/>
          <w:lang w:bidi="ar"/>
        </w:rPr>
        <w:t>ND EPIGENETIC CHARACTERISTICS</w:t>
      </w:r>
    </w:p>
    <w:p w:rsidR="00B27CCD" w:rsidRPr="006D6800" w:rsidRDefault="0014178F" w:rsidP="006D6800">
      <w:pPr>
        <w:snapToGrid w:val="0"/>
        <w:spacing w:line="360" w:lineRule="auto"/>
        <w:rPr>
          <w:rFonts w:ascii="Book Antiqua" w:eastAsia="宋体" w:hAnsi="Book Antiqua" w:cs="Times New Roman"/>
          <w:sz w:val="24"/>
        </w:rPr>
      </w:pPr>
      <w:r w:rsidRPr="006D6800">
        <w:rPr>
          <w:rFonts w:ascii="Book Antiqua" w:eastAsia="宋体" w:hAnsi="Book Antiqua" w:cs="Times New Roman"/>
          <w:sz w:val="24"/>
        </w:rPr>
        <w:t xml:space="preserve">A series of gene sequencing studies in recent years has confirmed that the genetic characteristics of the two groups are different. The data for pNETs G3 gene sequencing is mainly derived from sequencing of pNETs, and the pNETs G3 genome landscape is considered to be similar to that of pNETs G1/G2. In 2010, Jiao </w:t>
      </w:r>
      <w:r w:rsidRPr="006D6800">
        <w:rPr>
          <w:rFonts w:ascii="Book Antiqua" w:hAnsi="Book Antiqua" w:cs="Times New Roman"/>
          <w:i/>
          <w:iCs/>
          <w:kern w:val="0"/>
          <w:sz w:val="24"/>
          <w:lang w:bidi="ar"/>
        </w:rPr>
        <w:t xml:space="preserve">et </w:t>
      </w:r>
      <w:proofErr w:type="gramStart"/>
      <w:r w:rsidRPr="006D6800">
        <w:rPr>
          <w:rFonts w:ascii="Book Antiqua" w:hAnsi="Book Antiqua" w:cs="Times New Roman"/>
          <w:i/>
          <w:iCs/>
          <w:kern w:val="0"/>
          <w:sz w:val="24"/>
          <w:lang w:bidi="ar"/>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25]</w:t>
      </w:r>
      <w:r w:rsidRPr="006D6800">
        <w:rPr>
          <w:rFonts w:ascii="Book Antiqua" w:hAnsi="Book Antiqua" w:cs="Times New Roman"/>
          <w:kern w:val="0"/>
          <w:sz w:val="24"/>
          <w:lang w:bidi="ar"/>
        </w:rPr>
        <w:t xml:space="preserve"> </w:t>
      </w:r>
      <w:r w:rsidRPr="006D6800">
        <w:rPr>
          <w:rFonts w:ascii="Book Antiqua" w:eastAsia="宋体" w:hAnsi="Book Antiqua" w:cs="Times New Roman"/>
          <w:sz w:val="24"/>
        </w:rPr>
        <w:t xml:space="preserve">determined the exomic sequences of 10 nonfamilial pNETs and verified some mutated genes in 58 additional pNETs. Forty-four percent of the tumors had somatic inactivating mutations in </w:t>
      </w:r>
      <w:r w:rsidRPr="006D6800">
        <w:rPr>
          <w:rFonts w:ascii="Book Antiqua" w:eastAsia="宋体" w:hAnsi="Book Antiqua" w:cs="Times New Roman"/>
          <w:i/>
          <w:iCs/>
          <w:sz w:val="24"/>
        </w:rPr>
        <w:t>MEN1</w:t>
      </w:r>
      <w:r w:rsidRPr="006D6800">
        <w:rPr>
          <w:rFonts w:ascii="Book Antiqua" w:eastAsia="宋体" w:hAnsi="Book Antiqua" w:cs="Times New Roman"/>
          <w:sz w:val="24"/>
        </w:rPr>
        <w:t xml:space="preserve">, which encodes menin which is the main cause of multiple endocrine neoplasia type 1 syndrome; 43% had mutations in genes encoding either of the two subunits of a transcription/chromatin remodeling complex, including DAXX and ATRX; and 14% had mutations in genes involved in the mammalian target of rapamycin (mTOR) pathway. For successful identification of genes and pathways, they excluded poorly differentiated small cell and large cell NECs. Heaphy </w:t>
      </w:r>
      <w:r w:rsidRPr="006D6800">
        <w:rPr>
          <w:rFonts w:ascii="Book Antiqua" w:eastAsia="宋体" w:hAnsi="Book Antiqua" w:cs="Times New Roman"/>
          <w:i/>
          <w:iCs/>
          <w:sz w:val="24"/>
        </w:rPr>
        <w:t xml:space="preserve">et </w:t>
      </w:r>
      <w:proofErr w:type="gramStart"/>
      <w:r w:rsidRPr="006D6800">
        <w:rPr>
          <w:rFonts w:ascii="Book Antiqua" w:eastAsia="宋体" w:hAnsi="Book Antiqua" w:cs="Times New Roman"/>
          <w:i/>
          <w:iCs/>
          <w:sz w:val="24"/>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26]</w:t>
      </w:r>
      <w:r w:rsidRPr="006D6800">
        <w:rPr>
          <w:rFonts w:ascii="Book Antiqua" w:eastAsia="宋体" w:hAnsi="Book Antiqua" w:cs="Times New Roman"/>
          <w:sz w:val="24"/>
        </w:rPr>
        <w:t xml:space="preserve"> evaluated telomere status in pNETs with </w:t>
      </w:r>
      <w:r w:rsidRPr="006D6800">
        <w:rPr>
          <w:rFonts w:ascii="Book Antiqua" w:eastAsia="宋体" w:hAnsi="Book Antiqua" w:cs="Times New Roman"/>
          <w:i/>
          <w:iCs/>
          <w:sz w:val="24"/>
        </w:rPr>
        <w:t>ATRX</w:t>
      </w:r>
      <w:r w:rsidRPr="006D6800">
        <w:rPr>
          <w:rFonts w:ascii="Book Antiqua" w:eastAsia="宋体" w:hAnsi="Book Antiqua" w:cs="Times New Roman"/>
          <w:sz w:val="24"/>
        </w:rPr>
        <w:t xml:space="preserve"> or </w:t>
      </w:r>
      <w:r w:rsidRPr="006D6800">
        <w:rPr>
          <w:rFonts w:ascii="Book Antiqua" w:eastAsia="宋体" w:hAnsi="Book Antiqua" w:cs="Times New Roman"/>
          <w:i/>
          <w:iCs/>
          <w:sz w:val="24"/>
        </w:rPr>
        <w:t>DAXX</w:t>
      </w:r>
      <w:r w:rsidRPr="006D6800">
        <w:rPr>
          <w:rFonts w:ascii="Book Antiqua" w:eastAsia="宋体" w:hAnsi="Book Antiqua" w:cs="Times New Roman"/>
          <w:sz w:val="24"/>
        </w:rPr>
        <w:t xml:space="preserve"> gene mutations and reported that the mutations were associated with alternative </w:t>
      </w:r>
      <w:r w:rsidRPr="006D6800">
        <w:rPr>
          <w:rFonts w:ascii="Book Antiqua" w:eastAsia="宋体" w:hAnsi="Book Antiqua" w:cs="Times New Roman"/>
          <w:sz w:val="24"/>
        </w:rPr>
        <w:lastRenderedPageBreak/>
        <w:t xml:space="preserve">lengthening of telomeres (telomerase independent telomere maintenance mechanism). The DAXX/ATRX complex can negatively regulate the alternative lengthening of telomeres by repressing the HR DNA repair </w:t>
      </w:r>
      <w:proofErr w:type="gramStart"/>
      <w:r w:rsidRPr="006D6800">
        <w:rPr>
          <w:rFonts w:ascii="Book Antiqua" w:eastAsia="宋体" w:hAnsi="Book Antiqua" w:cs="Times New Roman"/>
          <w:sz w:val="24"/>
        </w:rPr>
        <w:t>complex</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27]</w:t>
      </w:r>
      <w:r w:rsidRPr="006D6800">
        <w:rPr>
          <w:rFonts w:ascii="Book Antiqua" w:eastAsia="宋体" w:hAnsi="Book Antiqua" w:cs="Times New Roman"/>
          <w:sz w:val="24"/>
        </w:rPr>
        <w:t xml:space="preserve">. Scarpa </w:t>
      </w:r>
      <w:r w:rsidRPr="006D6800">
        <w:rPr>
          <w:rFonts w:ascii="Book Antiqua" w:eastAsia="宋体" w:hAnsi="Book Antiqua" w:cs="Times New Roman"/>
          <w:i/>
          <w:iCs/>
          <w:sz w:val="24"/>
        </w:rPr>
        <w:t xml:space="preserve">et </w:t>
      </w:r>
      <w:proofErr w:type="gramStart"/>
      <w:r w:rsidRPr="006D6800">
        <w:rPr>
          <w:rFonts w:ascii="Book Antiqua" w:eastAsia="宋体" w:hAnsi="Book Antiqua" w:cs="Times New Roman"/>
          <w:i/>
          <w:iCs/>
          <w:sz w:val="24"/>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28]</w:t>
      </w:r>
      <w:r w:rsidRPr="006D6800">
        <w:rPr>
          <w:rFonts w:ascii="Book Antiqua" w:eastAsia="宋体" w:hAnsi="Book Antiqua" w:cs="Times New Roman"/>
          <w:sz w:val="24"/>
        </w:rPr>
        <w:t xml:space="preserve"> performed whole-genome sequencing of 102 primary pNETs (mostly pNETs G1/G2) and classified gene muta</w:t>
      </w:r>
      <w:r w:rsidR="00E06F65">
        <w:rPr>
          <w:rFonts w:ascii="Book Antiqua" w:eastAsia="宋体" w:hAnsi="Book Antiqua" w:cs="Times New Roman"/>
          <w:sz w:val="24"/>
        </w:rPr>
        <w:t xml:space="preserve">tions into four main pathways: </w:t>
      </w:r>
      <w:r w:rsidR="00E06F65">
        <w:rPr>
          <w:rFonts w:ascii="Book Antiqua" w:eastAsia="宋体" w:hAnsi="Book Antiqua" w:cs="Times New Roman" w:hint="eastAsia"/>
          <w:sz w:val="24"/>
        </w:rPr>
        <w:t>C</w:t>
      </w:r>
      <w:r w:rsidRPr="006D6800">
        <w:rPr>
          <w:rFonts w:ascii="Book Antiqua" w:eastAsia="宋体" w:hAnsi="Book Antiqua" w:cs="Times New Roman"/>
          <w:sz w:val="24"/>
        </w:rPr>
        <w:t xml:space="preserve">hromatin remodeling, DNA damage repair, increased mTOR signaling (including undescribed </w:t>
      </w:r>
      <w:r w:rsidRPr="006D6800">
        <w:rPr>
          <w:rFonts w:ascii="Book Antiqua" w:eastAsia="宋体" w:hAnsi="Book Antiqua" w:cs="Times New Roman"/>
          <w:i/>
          <w:iCs/>
          <w:sz w:val="24"/>
        </w:rPr>
        <w:t>EWSR1</w:t>
      </w:r>
      <w:r w:rsidRPr="006D6800">
        <w:rPr>
          <w:rFonts w:ascii="Book Antiqua" w:eastAsia="宋体" w:hAnsi="Book Antiqua" w:cs="Times New Roman"/>
          <w:sz w:val="24"/>
        </w:rPr>
        <w:t xml:space="preserve"> gene fusions), and telomere maintenance. Other research confirmed and expanded their </w:t>
      </w:r>
      <w:proofErr w:type="gramStart"/>
      <w:r w:rsidRPr="006D6800">
        <w:rPr>
          <w:rFonts w:ascii="Book Antiqua" w:eastAsia="宋体" w:hAnsi="Book Antiqua" w:cs="Times New Roman"/>
          <w:sz w:val="24"/>
        </w:rPr>
        <w:t>findings</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29-31]</w:t>
      </w:r>
      <w:r w:rsidR="006D6800" w:rsidRPr="006D6800">
        <w:rPr>
          <w:rFonts w:ascii="Book Antiqua" w:hAnsi="Book Antiqua" w:cs="Times New Roman"/>
          <w:kern w:val="0"/>
          <w:sz w:val="24"/>
          <w:vertAlign w:val="superscript"/>
          <w:lang w:bidi="ar"/>
        </w:rPr>
        <w:t xml:space="preserve"> </w:t>
      </w:r>
      <w:r w:rsidR="006D6800" w:rsidRPr="006D6800">
        <w:rPr>
          <w:rFonts w:ascii="Book Antiqua" w:hAnsi="Book Antiqua" w:cs="Times New Roman"/>
          <w:kern w:val="0"/>
          <w:sz w:val="24"/>
          <w:lang w:bidi="ar"/>
        </w:rPr>
        <w:t>(Figure 3)</w:t>
      </w:r>
      <w:r w:rsidRPr="006D6800">
        <w:rPr>
          <w:rFonts w:ascii="Book Antiqua" w:eastAsia="宋体" w:hAnsi="Book Antiqua" w:cs="Times New Roman"/>
          <w:sz w:val="24"/>
        </w:rPr>
        <w:t xml:space="preserve">. In epigenetic epidemiological studies, aberrant DNA methylation of the promoter in </w:t>
      </w:r>
      <w:r w:rsidRPr="006D6800">
        <w:rPr>
          <w:rFonts w:ascii="Book Antiqua" w:eastAsia="宋体" w:hAnsi="Book Antiqua" w:cs="Times New Roman"/>
          <w:i/>
          <w:iCs/>
          <w:sz w:val="24"/>
        </w:rPr>
        <w:t>RASSF1A</w:t>
      </w:r>
      <w:r w:rsidRPr="006D6800">
        <w:rPr>
          <w:rFonts w:ascii="Book Antiqua" w:eastAsia="宋体" w:hAnsi="Book Antiqua" w:cs="Times New Roman"/>
          <w:sz w:val="24"/>
        </w:rPr>
        <w:t xml:space="preserve"> and </w:t>
      </w:r>
      <w:r w:rsidRPr="006D6800">
        <w:rPr>
          <w:rFonts w:ascii="Book Antiqua" w:eastAsia="宋体" w:hAnsi="Book Antiqua" w:cs="Times New Roman"/>
          <w:i/>
          <w:iCs/>
          <w:sz w:val="24"/>
        </w:rPr>
        <w:t>CDKN2A</w:t>
      </w:r>
      <w:r w:rsidRPr="006D6800">
        <w:rPr>
          <w:rFonts w:ascii="Book Antiqua" w:eastAsia="宋体" w:hAnsi="Book Antiqua" w:cs="Times New Roman"/>
          <w:sz w:val="24"/>
        </w:rPr>
        <w:t xml:space="preserve"> were </w:t>
      </w:r>
      <w:proofErr w:type="gramStart"/>
      <w:r w:rsidRPr="006D6800">
        <w:rPr>
          <w:rFonts w:ascii="Book Antiqua" w:eastAsia="宋体" w:hAnsi="Book Antiqua" w:cs="Times New Roman"/>
          <w:sz w:val="24"/>
        </w:rPr>
        <w:t>revealed</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32,33]</w:t>
      </w:r>
      <w:r w:rsidRPr="006D6800">
        <w:rPr>
          <w:rFonts w:ascii="Book Antiqua" w:eastAsia="宋体" w:hAnsi="Book Antiqua" w:cs="Times New Roman"/>
          <w:sz w:val="24"/>
        </w:rPr>
        <w:t xml:space="preserve">. Guo </w:t>
      </w:r>
      <w:r w:rsidRPr="006D6800">
        <w:rPr>
          <w:rFonts w:ascii="Book Antiqua" w:hAnsi="Book Antiqua" w:cs="Times New Roman"/>
          <w:i/>
          <w:iCs/>
          <w:kern w:val="0"/>
          <w:sz w:val="24"/>
          <w:lang w:bidi="ar"/>
        </w:rPr>
        <w:t xml:space="preserve">et </w:t>
      </w:r>
      <w:proofErr w:type="gramStart"/>
      <w:r w:rsidRPr="006D6800">
        <w:rPr>
          <w:rFonts w:ascii="Book Antiqua" w:hAnsi="Book Antiqua" w:cs="Times New Roman"/>
          <w:i/>
          <w:iCs/>
          <w:kern w:val="0"/>
          <w:sz w:val="24"/>
          <w:lang w:bidi="ar"/>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34]</w:t>
      </w:r>
      <w:r w:rsidRPr="006D6800">
        <w:rPr>
          <w:rFonts w:ascii="Book Antiqua" w:hAnsi="Book Antiqua" w:cs="Times New Roman"/>
          <w:kern w:val="0"/>
          <w:sz w:val="24"/>
          <w:lang w:bidi="ar"/>
        </w:rPr>
        <w:t xml:space="preserve"> </w:t>
      </w:r>
      <w:r w:rsidRPr="006D6800">
        <w:rPr>
          <w:rFonts w:ascii="Book Antiqua" w:eastAsia="宋体" w:hAnsi="Book Antiqua" w:cs="Times New Roman"/>
          <w:sz w:val="24"/>
        </w:rPr>
        <w:t xml:space="preserve">examined the methylation changes of specific gene promoter regions observed in 18 pNETs and showed that the promoters of </w:t>
      </w:r>
      <w:r w:rsidRPr="006D6800">
        <w:rPr>
          <w:rFonts w:ascii="Book Antiqua" w:eastAsia="宋体" w:hAnsi="Book Antiqua" w:cs="Times New Roman"/>
          <w:i/>
          <w:iCs/>
          <w:sz w:val="24"/>
        </w:rPr>
        <w:t>APC</w:t>
      </w:r>
      <w:r w:rsidRPr="006D6800">
        <w:rPr>
          <w:rFonts w:ascii="Book Antiqua" w:eastAsia="宋体" w:hAnsi="Book Antiqua" w:cs="Times New Roman"/>
          <w:sz w:val="24"/>
        </w:rPr>
        <w:t>/</w:t>
      </w:r>
      <w:r w:rsidRPr="006D6800">
        <w:rPr>
          <w:rFonts w:ascii="Book Antiqua" w:eastAsia="宋体" w:hAnsi="Book Antiqua" w:cs="Times New Roman"/>
          <w:i/>
          <w:iCs/>
          <w:sz w:val="24"/>
        </w:rPr>
        <w:t>p73</w:t>
      </w:r>
      <w:r w:rsidRPr="006D6800">
        <w:rPr>
          <w:rFonts w:ascii="Book Antiqua" w:eastAsia="宋体" w:hAnsi="Book Antiqua" w:cs="Times New Roman"/>
          <w:sz w:val="24"/>
        </w:rPr>
        <w:t>/</w:t>
      </w:r>
      <w:r w:rsidRPr="006D6800">
        <w:rPr>
          <w:rFonts w:ascii="Book Antiqua" w:eastAsia="宋体" w:hAnsi="Book Antiqua" w:cs="Times New Roman"/>
          <w:i/>
          <w:iCs/>
          <w:sz w:val="24"/>
        </w:rPr>
        <w:t>RAR</w:t>
      </w:r>
      <w:r w:rsidRPr="006D6800">
        <w:rPr>
          <w:rFonts w:ascii="Book Antiqua" w:eastAsia="宋体" w:hAnsi="Book Antiqua" w:cs="Times New Roman"/>
          <w:sz w:val="24"/>
        </w:rPr>
        <w:t xml:space="preserve"> (33%), </w:t>
      </w:r>
      <w:r w:rsidRPr="006D6800">
        <w:rPr>
          <w:rFonts w:ascii="Book Antiqua" w:eastAsia="宋体" w:hAnsi="Book Antiqua" w:cs="Times New Roman"/>
          <w:i/>
          <w:iCs/>
          <w:sz w:val="24"/>
        </w:rPr>
        <w:t>p16</w:t>
      </w:r>
      <w:r w:rsidRPr="006D6800">
        <w:rPr>
          <w:rFonts w:ascii="Book Antiqua" w:eastAsia="宋体" w:hAnsi="Book Antiqua" w:cs="Times New Roman"/>
          <w:sz w:val="24"/>
        </w:rPr>
        <w:t xml:space="preserve"> </w:t>
      </w:r>
      <w:r w:rsidRPr="006D6800">
        <w:rPr>
          <w:rFonts w:ascii="Book Antiqua" w:eastAsia="宋体" w:hAnsi="Book Antiqua" w:cs="Times New Roman"/>
          <w:i/>
          <w:iCs/>
          <w:sz w:val="24"/>
        </w:rPr>
        <w:t>INK4a</w:t>
      </w:r>
      <w:r w:rsidRPr="006D6800">
        <w:rPr>
          <w:rFonts w:ascii="Book Antiqua" w:eastAsia="宋体" w:hAnsi="Book Antiqua" w:cs="Times New Roman"/>
          <w:sz w:val="24"/>
        </w:rPr>
        <w:t>/</w:t>
      </w:r>
      <w:r w:rsidRPr="006D6800">
        <w:rPr>
          <w:rFonts w:ascii="Book Antiqua" w:eastAsia="宋体" w:hAnsi="Book Antiqua" w:cs="Times New Roman"/>
          <w:i/>
          <w:iCs/>
          <w:sz w:val="24"/>
        </w:rPr>
        <w:t>p15 INK4b</w:t>
      </w:r>
      <w:r w:rsidRPr="006D6800">
        <w:rPr>
          <w:rFonts w:ascii="Book Antiqua" w:eastAsia="宋体" w:hAnsi="Book Antiqua" w:cs="Times New Roman"/>
          <w:sz w:val="24"/>
        </w:rPr>
        <w:t>/</w:t>
      </w:r>
      <w:r w:rsidRPr="006D6800">
        <w:rPr>
          <w:rFonts w:ascii="Book Antiqua" w:eastAsia="宋体" w:hAnsi="Book Antiqua" w:cs="Times New Roman"/>
          <w:i/>
          <w:iCs/>
          <w:sz w:val="24"/>
        </w:rPr>
        <w:t>hMLH1</w:t>
      </w:r>
      <w:r w:rsidRPr="006D6800">
        <w:rPr>
          <w:rFonts w:ascii="Book Antiqua" w:eastAsia="宋体" w:hAnsi="Book Antiqua" w:cs="Times New Roman"/>
          <w:sz w:val="24"/>
        </w:rPr>
        <w:t>/</w:t>
      </w:r>
      <w:r w:rsidRPr="006D6800">
        <w:rPr>
          <w:rFonts w:ascii="Book Antiqua" w:eastAsia="宋体" w:hAnsi="Book Antiqua" w:cs="Times New Roman"/>
          <w:i/>
          <w:iCs/>
          <w:sz w:val="24"/>
        </w:rPr>
        <w:t xml:space="preserve">p14 ARF </w:t>
      </w:r>
      <w:r w:rsidRPr="006D6800">
        <w:rPr>
          <w:rFonts w:ascii="Book Antiqua" w:eastAsia="宋体" w:hAnsi="Book Antiqua" w:cs="Times New Roman"/>
          <w:sz w:val="24"/>
        </w:rPr>
        <w:t xml:space="preserve">(39%) and </w:t>
      </w:r>
      <w:r w:rsidRPr="006D6800">
        <w:rPr>
          <w:rFonts w:ascii="Book Antiqua" w:eastAsia="宋体" w:hAnsi="Book Antiqua" w:cs="Times New Roman"/>
          <w:i/>
          <w:iCs/>
          <w:sz w:val="24"/>
        </w:rPr>
        <w:t>BRCA1</w:t>
      </w:r>
      <w:r w:rsidRPr="006D6800">
        <w:rPr>
          <w:rFonts w:ascii="Book Antiqua" w:eastAsia="宋体" w:hAnsi="Book Antiqua" w:cs="Times New Roman"/>
          <w:sz w:val="24"/>
        </w:rPr>
        <w:t xml:space="preserve"> (50%) were commonly hypermethylated. The difference in genetic or epigenetic characteristics between pNETs G3 and pNETs G1/G2 deserves further investigation and may help us better understand how some G1/G2 could evolve into pNETs G3.</w:t>
      </w:r>
    </w:p>
    <w:p w:rsidR="00B27CCD" w:rsidRPr="006D6800" w:rsidRDefault="0014178F" w:rsidP="006D6800">
      <w:pPr>
        <w:snapToGrid w:val="0"/>
        <w:spacing w:line="360" w:lineRule="auto"/>
        <w:ind w:firstLineChars="200" w:firstLine="480"/>
        <w:rPr>
          <w:rFonts w:ascii="Book Antiqua" w:eastAsia="宋体" w:hAnsi="Book Antiqua" w:cs="URWPalladioL"/>
          <w:b/>
          <w:bCs/>
          <w:sz w:val="24"/>
        </w:rPr>
      </w:pPr>
      <w:r w:rsidRPr="006D6800">
        <w:rPr>
          <w:rFonts w:ascii="Book Antiqua" w:eastAsia="宋体" w:hAnsi="Book Antiqua" w:cs="Times New Roman"/>
          <w:sz w:val="24"/>
        </w:rPr>
        <w:t xml:space="preserve">Compared with pNETs, pNECs is relatively lacking in gene sequencing data. The reasons for this scarcity include that pNECs is rarer than pNETs and it is difficult to obtain surgically resected specimens for sequencing due to the rapid progress at the time of diagnosis. By using targeted exomic sequencing, Yachida </w:t>
      </w:r>
      <w:r w:rsidRPr="006D6800">
        <w:rPr>
          <w:rFonts w:ascii="Book Antiqua" w:eastAsia="宋体" w:hAnsi="Book Antiqua" w:cs="Times New Roman"/>
          <w:i/>
          <w:iCs/>
          <w:sz w:val="24"/>
        </w:rPr>
        <w:t xml:space="preserve">et </w:t>
      </w:r>
      <w:proofErr w:type="gramStart"/>
      <w:r w:rsidRPr="006D6800">
        <w:rPr>
          <w:rFonts w:ascii="Book Antiqua" w:eastAsia="宋体" w:hAnsi="Book Antiqua" w:cs="Times New Roman"/>
          <w:i/>
          <w:iCs/>
          <w:sz w:val="24"/>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35]</w:t>
      </w:r>
      <w:r w:rsidRPr="006D6800">
        <w:rPr>
          <w:rFonts w:ascii="Book Antiqua" w:eastAsia="宋体" w:hAnsi="Book Antiqua" w:cs="Times New Roman"/>
          <w:sz w:val="24"/>
        </w:rPr>
        <w:t xml:space="preserve"> investigated the genetic features of nine small cell pNECs, 10 large cell pNECs and 11 well-differentiated pNETs. Inactivating mutations in the </w:t>
      </w:r>
      <w:r w:rsidRPr="006D6800">
        <w:rPr>
          <w:rFonts w:ascii="Book Antiqua" w:eastAsia="宋体" w:hAnsi="Book Antiqua" w:cs="Times New Roman"/>
          <w:i/>
          <w:iCs/>
          <w:sz w:val="24"/>
        </w:rPr>
        <w:t>TP53</w:t>
      </w:r>
      <w:r w:rsidRPr="006D6800">
        <w:rPr>
          <w:rFonts w:ascii="Book Antiqua" w:eastAsia="宋体" w:hAnsi="Book Antiqua" w:cs="Times New Roman"/>
          <w:sz w:val="24"/>
        </w:rPr>
        <w:t xml:space="preserve"> and </w:t>
      </w:r>
      <w:r w:rsidRPr="006D6800">
        <w:rPr>
          <w:rFonts w:ascii="Book Antiqua" w:eastAsia="宋体" w:hAnsi="Book Antiqua" w:cs="Times New Roman"/>
          <w:i/>
          <w:iCs/>
          <w:sz w:val="24"/>
        </w:rPr>
        <w:t>RB1</w:t>
      </w:r>
      <w:r w:rsidRPr="006D6800">
        <w:rPr>
          <w:rFonts w:ascii="Book Antiqua" w:eastAsia="宋体" w:hAnsi="Book Antiqua" w:cs="Times New Roman"/>
          <w:sz w:val="24"/>
        </w:rPr>
        <w:t xml:space="preserve"> genes and activating </w:t>
      </w:r>
      <w:r w:rsidRPr="006D6800">
        <w:rPr>
          <w:rFonts w:ascii="Book Antiqua" w:eastAsia="宋体" w:hAnsi="Book Antiqua" w:cs="Times New Roman"/>
          <w:i/>
          <w:iCs/>
          <w:sz w:val="24"/>
        </w:rPr>
        <w:t>KRAS</w:t>
      </w:r>
      <w:r w:rsidRPr="006D6800">
        <w:rPr>
          <w:rFonts w:ascii="Book Antiqua" w:eastAsia="宋体" w:hAnsi="Book Antiqua" w:cs="Times New Roman"/>
          <w:sz w:val="24"/>
        </w:rPr>
        <w:t xml:space="preserve"> gene mutation were identified only in pNECs, whereas none of the 11 well-differentiated pNETs showed those </w:t>
      </w:r>
      <w:proofErr w:type="gramStart"/>
      <w:r w:rsidRPr="006D6800">
        <w:rPr>
          <w:rFonts w:ascii="Book Antiqua" w:eastAsia="宋体" w:hAnsi="Book Antiqua" w:cs="Times New Roman"/>
          <w:sz w:val="24"/>
        </w:rPr>
        <w:t>mutations</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35]</w:t>
      </w:r>
      <w:r w:rsidRPr="006D6800">
        <w:rPr>
          <w:rFonts w:ascii="Book Antiqua" w:eastAsia="宋体" w:hAnsi="Book Antiqua" w:cs="Times New Roman"/>
          <w:sz w:val="24"/>
        </w:rPr>
        <w:t xml:space="preserve">. Seventy patients, 21 pNETs G3 and 49 pNECs, were analyzed by Hijioka </w:t>
      </w:r>
      <w:r w:rsidRPr="006D6800">
        <w:rPr>
          <w:rFonts w:ascii="Book Antiqua" w:eastAsia="宋体" w:hAnsi="Book Antiqua" w:cs="Times New Roman"/>
          <w:i/>
          <w:iCs/>
          <w:sz w:val="24"/>
        </w:rPr>
        <w:t xml:space="preserve">et </w:t>
      </w:r>
      <w:proofErr w:type="gramStart"/>
      <w:r w:rsidRPr="006D6800">
        <w:rPr>
          <w:rFonts w:ascii="Book Antiqua" w:eastAsia="宋体" w:hAnsi="Book Antiqua" w:cs="Times New Roman"/>
          <w:i/>
          <w:iCs/>
          <w:sz w:val="24"/>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36]</w:t>
      </w:r>
      <w:r w:rsidRPr="006D6800">
        <w:rPr>
          <w:rFonts w:ascii="Book Antiqua" w:eastAsia="宋体" w:hAnsi="Book Antiqua" w:cs="Times New Roman"/>
          <w:sz w:val="24"/>
        </w:rPr>
        <w:t xml:space="preserve"> No </w:t>
      </w:r>
      <w:r w:rsidRPr="006D6800">
        <w:rPr>
          <w:rFonts w:ascii="Book Antiqua" w:eastAsia="宋体" w:hAnsi="Book Antiqua" w:cs="Times New Roman"/>
          <w:i/>
          <w:iCs/>
          <w:sz w:val="24"/>
        </w:rPr>
        <w:t>KRAS</w:t>
      </w:r>
      <w:r w:rsidRPr="006D6800">
        <w:rPr>
          <w:rFonts w:ascii="Book Antiqua" w:eastAsia="宋体" w:hAnsi="Book Antiqua" w:cs="Times New Roman"/>
          <w:sz w:val="24"/>
        </w:rPr>
        <w:t xml:space="preserve"> mutation was found in pNETs G3, whereas </w:t>
      </w:r>
      <w:r w:rsidRPr="006D6800">
        <w:rPr>
          <w:rFonts w:ascii="Book Antiqua" w:eastAsia="宋体" w:hAnsi="Book Antiqua" w:cs="Times New Roman"/>
          <w:i/>
          <w:iCs/>
          <w:sz w:val="24"/>
        </w:rPr>
        <w:t>KRAS</w:t>
      </w:r>
      <w:r w:rsidRPr="006D6800">
        <w:rPr>
          <w:rFonts w:ascii="Book Antiqua" w:eastAsia="宋体" w:hAnsi="Book Antiqua" w:cs="Times New Roman"/>
          <w:sz w:val="24"/>
        </w:rPr>
        <w:t xml:space="preserve"> mutations were detected by PCR gene mutation analysis in 48.7% of pNECs. Vijayvergia </w:t>
      </w:r>
      <w:r w:rsidRPr="006D6800">
        <w:rPr>
          <w:rFonts w:ascii="Book Antiqua" w:eastAsia="宋体" w:hAnsi="Book Antiqua" w:cs="Times New Roman"/>
          <w:i/>
          <w:iCs/>
          <w:sz w:val="24"/>
        </w:rPr>
        <w:t xml:space="preserve">et </w:t>
      </w:r>
      <w:proofErr w:type="gramStart"/>
      <w:r w:rsidRPr="006D6800">
        <w:rPr>
          <w:rFonts w:ascii="Book Antiqua" w:eastAsia="宋体" w:hAnsi="Book Antiqua" w:cs="Times New Roman"/>
          <w:i/>
          <w:iCs/>
          <w:sz w:val="24"/>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37]</w:t>
      </w:r>
      <w:r w:rsidRPr="006D6800">
        <w:rPr>
          <w:rFonts w:ascii="Book Antiqua" w:eastAsia="宋体" w:hAnsi="Book Antiqua" w:cs="Times New Roman"/>
          <w:sz w:val="24"/>
        </w:rPr>
        <w:t xml:space="preserve"> reported </w:t>
      </w:r>
      <w:r w:rsidRPr="006D6800">
        <w:rPr>
          <w:rFonts w:ascii="Book Antiqua" w:eastAsia="宋体" w:hAnsi="Book Antiqua" w:cs="Times New Roman"/>
          <w:i/>
          <w:iCs/>
          <w:sz w:val="24"/>
        </w:rPr>
        <w:t>TP53</w:t>
      </w:r>
      <w:r w:rsidRPr="006D6800">
        <w:rPr>
          <w:rFonts w:ascii="Book Antiqua" w:eastAsia="宋体" w:hAnsi="Book Antiqua" w:cs="Times New Roman"/>
          <w:sz w:val="24"/>
        </w:rPr>
        <w:t xml:space="preserve">, </w:t>
      </w:r>
      <w:r w:rsidRPr="006D6800">
        <w:rPr>
          <w:rFonts w:ascii="Book Antiqua" w:eastAsia="宋体" w:hAnsi="Book Antiqua" w:cs="Times New Roman"/>
          <w:i/>
          <w:iCs/>
          <w:sz w:val="24"/>
        </w:rPr>
        <w:t>PIK3CA</w:t>
      </w:r>
      <w:r w:rsidRPr="006D6800">
        <w:rPr>
          <w:rFonts w:ascii="Book Antiqua" w:eastAsia="宋体" w:hAnsi="Book Antiqua" w:cs="Times New Roman"/>
          <w:sz w:val="24"/>
        </w:rPr>
        <w:t xml:space="preserve">, </w:t>
      </w:r>
      <w:r w:rsidRPr="006D6800">
        <w:rPr>
          <w:rFonts w:ascii="Book Antiqua" w:eastAsia="宋体" w:hAnsi="Book Antiqua" w:cs="Times New Roman"/>
          <w:i/>
          <w:iCs/>
          <w:sz w:val="24"/>
        </w:rPr>
        <w:t>RB1</w:t>
      </w:r>
      <w:r w:rsidRPr="006D6800">
        <w:rPr>
          <w:rFonts w:ascii="Book Antiqua" w:eastAsia="宋体" w:hAnsi="Book Antiqua" w:cs="Times New Roman"/>
          <w:sz w:val="24"/>
        </w:rPr>
        <w:t xml:space="preserve"> and </w:t>
      </w:r>
      <w:r w:rsidRPr="006D6800">
        <w:rPr>
          <w:rFonts w:ascii="Book Antiqua" w:eastAsia="宋体" w:hAnsi="Book Antiqua" w:cs="Times New Roman"/>
          <w:i/>
          <w:iCs/>
          <w:sz w:val="24"/>
        </w:rPr>
        <w:t>KRAS</w:t>
      </w:r>
      <w:r w:rsidRPr="006D6800">
        <w:rPr>
          <w:rFonts w:ascii="Book Antiqua" w:eastAsia="宋体" w:hAnsi="Book Antiqua" w:cs="Times New Roman"/>
          <w:sz w:val="24"/>
        </w:rPr>
        <w:t xml:space="preserve"> gene mutations in four patients with pNECs by next-generation sequencing of 50 cancer-related mutant genes. At the same time, the data from pNECs gene sequencing were used to compare with other NECs in different locations, such as lung, or different pathological types in the same location, such as pancreatic adenocarcinoma. The gene alterations of pNECs are similar to those of pulmonary </w:t>
      </w:r>
      <w:r w:rsidRPr="006D6800">
        <w:rPr>
          <w:rFonts w:ascii="Book Antiqua" w:eastAsia="宋体" w:hAnsi="Book Antiqua" w:cs="Times New Roman"/>
          <w:sz w:val="24"/>
        </w:rPr>
        <w:lastRenderedPageBreak/>
        <w:t xml:space="preserve">neuroendocrine cancer, with a few </w:t>
      </w:r>
      <w:proofErr w:type="gramStart"/>
      <w:r w:rsidRPr="006D6800">
        <w:rPr>
          <w:rFonts w:ascii="Book Antiqua" w:eastAsia="宋体" w:hAnsi="Book Antiqua" w:cs="Times New Roman"/>
          <w:sz w:val="24"/>
        </w:rPr>
        <w:t>differences</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38,39]</w:t>
      </w:r>
      <w:r w:rsidRPr="006D6800">
        <w:rPr>
          <w:rFonts w:ascii="Book Antiqua" w:eastAsia="宋体" w:hAnsi="Book Antiqua" w:cs="Times New Roman"/>
          <w:sz w:val="24"/>
        </w:rPr>
        <w:t xml:space="preserve">. Kimura presented a case of pNECs that was genetically similar to invasive ductal adenocarcinoma. Altered </w:t>
      </w:r>
      <w:r w:rsidRPr="006D6800">
        <w:rPr>
          <w:rFonts w:ascii="Book Antiqua" w:eastAsia="宋体" w:hAnsi="Book Antiqua" w:cs="Times New Roman"/>
          <w:i/>
          <w:iCs/>
          <w:sz w:val="24"/>
        </w:rPr>
        <w:t>KRAS</w:t>
      </w:r>
      <w:r w:rsidRPr="006D6800">
        <w:rPr>
          <w:rFonts w:ascii="Book Antiqua" w:eastAsia="宋体" w:hAnsi="Book Antiqua" w:cs="Times New Roman"/>
          <w:sz w:val="24"/>
        </w:rPr>
        <w:t xml:space="preserve">, </w:t>
      </w:r>
      <w:r w:rsidRPr="006D6800">
        <w:rPr>
          <w:rFonts w:ascii="Book Antiqua" w:eastAsia="宋体" w:hAnsi="Book Antiqua" w:cs="Times New Roman"/>
          <w:i/>
          <w:iCs/>
          <w:sz w:val="24"/>
        </w:rPr>
        <w:t>TP53</w:t>
      </w:r>
      <w:r w:rsidRPr="006D6800">
        <w:rPr>
          <w:rFonts w:ascii="Book Antiqua" w:eastAsia="宋体" w:hAnsi="Book Antiqua" w:cs="Times New Roman"/>
          <w:sz w:val="24"/>
        </w:rPr>
        <w:t xml:space="preserve">, and </w:t>
      </w:r>
      <w:r w:rsidRPr="006D6800">
        <w:rPr>
          <w:rFonts w:ascii="Book Antiqua" w:eastAsia="宋体" w:hAnsi="Book Antiqua" w:cs="Times New Roman"/>
          <w:i/>
          <w:iCs/>
          <w:sz w:val="24"/>
        </w:rPr>
        <w:t>SMAD4</w:t>
      </w:r>
      <w:r w:rsidRPr="006D6800">
        <w:rPr>
          <w:rFonts w:ascii="Book Antiqua" w:eastAsia="宋体" w:hAnsi="Book Antiqua" w:cs="Times New Roman"/>
          <w:sz w:val="24"/>
        </w:rPr>
        <w:t>/</w:t>
      </w:r>
      <w:r w:rsidRPr="006D6800">
        <w:rPr>
          <w:rFonts w:ascii="Book Antiqua" w:eastAsia="宋体" w:hAnsi="Book Antiqua" w:cs="Times New Roman"/>
          <w:i/>
          <w:iCs/>
          <w:sz w:val="24"/>
        </w:rPr>
        <w:t xml:space="preserve">DPC4 </w:t>
      </w:r>
      <w:r w:rsidRPr="006D6800">
        <w:rPr>
          <w:rFonts w:ascii="Book Antiqua" w:eastAsia="宋体" w:hAnsi="Book Antiqua" w:cs="Times New Roman"/>
          <w:sz w:val="24"/>
        </w:rPr>
        <w:t xml:space="preserve">suggested that poorly differentiated invasive ductal adenocarcinomas may transform into </w:t>
      </w:r>
      <w:proofErr w:type="gramStart"/>
      <w:r w:rsidRPr="006D6800">
        <w:rPr>
          <w:rFonts w:ascii="Book Antiqua" w:eastAsia="宋体" w:hAnsi="Book Antiqua" w:cs="Times New Roman"/>
          <w:sz w:val="24"/>
        </w:rPr>
        <w:t>NECs</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40]</w:t>
      </w:r>
      <w:r w:rsidRPr="006D6800">
        <w:rPr>
          <w:rFonts w:ascii="Book Antiqua" w:eastAsia="宋体" w:hAnsi="Book Antiqua" w:cs="Times New Roman"/>
          <w:sz w:val="24"/>
        </w:rPr>
        <w:t xml:space="preserve">. Konukiewitz </w:t>
      </w:r>
      <w:r w:rsidRPr="006D6800">
        <w:rPr>
          <w:rFonts w:ascii="Book Antiqua" w:eastAsia="宋体" w:hAnsi="Book Antiqua" w:cs="Times New Roman"/>
          <w:i/>
          <w:iCs/>
          <w:sz w:val="24"/>
        </w:rPr>
        <w:t xml:space="preserve">et </w:t>
      </w:r>
      <w:proofErr w:type="gramStart"/>
      <w:r w:rsidRPr="006D6800">
        <w:rPr>
          <w:rFonts w:ascii="Book Antiqua" w:eastAsia="宋体" w:hAnsi="Book Antiqua" w:cs="Times New Roman"/>
          <w:i/>
          <w:iCs/>
          <w:sz w:val="24"/>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41]</w:t>
      </w:r>
      <w:r w:rsidRPr="006D6800">
        <w:rPr>
          <w:rFonts w:ascii="Book Antiqua" w:eastAsia="宋体" w:hAnsi="Book Antiqua" w:cs="Times New Roman"/>
          <w:sz w:val="24"/>
        </w:rPr>
        <w:t xml:space="preserve"> conducted a genetic study in 12 pNECs and 11 pNETs G3 using massive parallel sequencing and compared their findings with known data for pancreatic ductal adenocarcinoma. They indicated that pNETs G3 shared singular mutations in five different genes with pNECs, namely, </w:t>
      </w:r>
      <w:r w:rsidRPr="006D6800">
        <w:rPr>
          <w:rFonts w:ascii="Book Antiqua" w:eastAsia="宋体" w:hAnsi="Book Antiqua" w:cs="Times New Roman"/>
          <w:i/>
          <w:iCs/>
          <w:sz w:val="24"/>
        </w:rPr>
        <w:t>TP53</w:t>
      </w:r>
      <w:r w:rsidRPr="006D6800">
        <w:rPr>
          <w:rFonts w:ascii="Book Antiqua" w:eastAsia="宋体" w:hAnsi="Book Antiqua" w:cs="Times New Roman"/>
          <w:sz w:val="24"/>
        </w:rPr>
        <w:t xml:space="preserve">, </w:t>
      </w:r>
      <w:r w:rsidRPr="006D6800">
        <w:rPr>
          <w:rFonts w:ascii="Book Antiqua" w:eastAsia="宋体" w:hAnsi="Book Antiqua" w:cs="Times New Roman"/>
          <w:i/>
          <w:iCs/>
          <w:sz w:val="24"/>
        </w:rPr>
        <w:t>CDKN2A</w:t>
      </w:r>
      <w:r w:rsidRPr="006D6800">
        <w:rPr>
          <w:rFonts w:ascii="Book Antiqua" w:eastAsia="宋体" w:hAnsi="Book Antiqua" w:cs="Times New Roman"/>
          <w:sz w:val="24"/>
        </w:rPr>
        <w:t xml:space="preserve">, </w:t>
      </w:r>
      <w:r w:rsidRPr="006D6800">
        <w:rPr>
          <w:rFonts w:ascii="Book Antiqua" w:eastAsia="宋体" w:hAnsi="Book Antiqua" w:cs="Times New Roman"/>
          <w:i/>
          <w:iCs/>
          <w:sz w:val="24"/>
        </w:rPr>
        <w:t>ARID1A</w:t>
      </w:r>
      <w:r w:rsidRPr="006D6800">
        <w:rPr>
          <w:rFonts w:ascii="Book Antiqua" w:eastAsia="宋体" w:hAnsi="Book Antiqua" w:cs="Times New Roman"/>
          <w:sz w:val="24"/>
        </w:rPr>
        <w:t xml:space="preserve">, </w:t>
      </w:r>
      <w:r w:rsidRPr="006D6800">
        <w:rPr>
          <w:rFonts w:ascii="Book Antiqua" w:eastAsia="宋体" w:hAnsi="Book Antiqua" w:cs="Times New Roman"/>
          <w:i/>
          <w:iCs/>
          <w:sz w:val="24"/>
        </w:rPr>
        <w:t>LRP1B</w:t>
      </w:r>
      <w:r w:rsidRPr="006D6800">
        <w:rPr>
          <w:rFonts w:ascii="Book Antiqua" w:eastAsia="宋体" w:hAnsi="Book Antiqua" w:cs="Times New Roman"/>
          <w:sz w:val="24"/>
        </w:rPr>
        <w:t xml:space="preserve"> and </w:t>
      </w:r>
      <w:r w:rsidRPr="006D6800">
        <w:rPr>
          <w:rFonts w:ascii="Book Antiqua" w:eastAsia="宋体" w:hAnsi="Book Antiqua" w:cs="Times New Roman"/>
          <w:i/>
          <w:iCs/>
          <w:sz w:val="24"/>
        </w:rPr>
        <w:t>APC</w:t>
      </w:r>
      <w:r w:rsidRPr="006D6800">
        <w:rPr>
          <w:rFonts w:ascii="Book Antiqua" w:eastAsia="宋体" w:hAnsi="Book Antiqua" w:cs="Times New Roman"/>
          <w:sz w:val="24"/>
        </w:rPr>
        <w:t xml:space="preserve">. Almost half of the pNECs are genetically and phenotypically related to pancreatic ductal </w:t>
      </w:r>
      <w:proofErr w:type="gramStart"/>
      <w:r w:rsidRPr="006D6800">
        <w:rPr>
          <w:rFonts w:ascii="Book Antiqua" w:eastAsia="宋体" w:hAnsi="Book Antiqua" w:cs="Times New Roman"/>
          <w:sz w:val="24"/>
        </w:rPr>
        <w:t>adenocarcinoma</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41]</w:t>
      </w:r>
      <w:r w:rsidRPr="006D6800">
        <w:rPr>
          <w:rFonts w:ascii="Book Antiqua" w:eastAsia="宋体" w:hAnsi="Book Antiqua" w:cs="Times New Roman"/>
          <w:sz w:val="24"/>
        </w:rPr>
        <w:t>.</w:t>
      </w:r>
    </w:p>
    <w:p w:rsidR="00B27CCD" w:rsidRPr="006D6800" w:rsidRDefault="00B27CCD" w:rsidP="006D6800">
      <w:pPr>
        <w:snapToGrid w:val="0"/>
        <w:spacing w:line="360" w:lineRule="auto"/>
        <w:rPr>
          <w:rFonts w:ascii="Book Antiqua" w:eastAsia="宋体" w:hAnsi="Book Antiqua" w:cs="Times New Roman"/>
          <w:b/>
          <w:bCs/>
          <w:sz w:val="24"/>
        </w:rPr>
      </w:pPr>
    </w:p>
    <w:p w:rsidR="00B27CCD" w:rsidRPr="006D6800" w:rsidRDefault="0014178F" w:rsidP="006D6800">
      <w:pPr>
        <w:snapToGrid w:val="0"/>
        <w:spacing w:line="360" w:lineRule="auto"/>
        <w:rPr>
          <w:rFonts w:ascii="Book Antiqua" w:eastAsia="宋体" w:hAnsi="Book Antiqua" w:cs="Times New Roman"/>
          <w:b/>
          <w:bCs/>
          <w:sz w:val="24"/>
          <w:u w:val="single"/>
        </w:rPr>
      </w:pPr>
      <w:r w:rsidRPr="006D6800">
        <w:rPr>
          <w:rFonts w:ascii="Book Antiqua" w:hAnsi="Book Antiqua" w:cs="Times New Roman"/>
          <w:b/>
          <w:bCs/>
          <w:kern w:val="0"/>
          <w:sz w:val="24"/>
          <w:u w:val="single"/>
          <w:lang w:bidi="ar"/>
        </w:rPr>
        <w:t xml:space="preserve">DIFFERENCES IN </w:t>
      </w:r>
      <w:r w:rsidRPr="006D6800">
        <w:rPr>
          <w:rFonts w:ascii="Book Antiqua" w:eastAsia="宋体" w:hAnsi="Book Antiqua" w:cs="Times New Roman"/>
          <w:b/>
          <w:bCs/>
          <w:sz w:val="24"/>
          <w:u w:val="single"/>
        </w:rPr>
        <w:t>MANAGEMENT</w:t>
      </w:r>
    </w:p>
    <w:p w:rsidR="00B27CCD" w:rsidRPr="006D6800" w:rsidRDefault="0014178F" w:rsidP="006D6800">
      <w:pPr>
        <w:snapToGrid w:val="0"/>
        <w:spacing w:line="360" w:lineRule="auto"/>
        <w:rPr>
          <w:rFonts w:ascii="Book Antiqua" w:eastAsia="宋体" w:hAnsi="Book Antiqua" w:cs="Times New Roman"/>
          <w:sz w:val="24"/>
        </w:rPr>
      </w:pPr>
      <w:proofErr w:type="gramStart"/>
      <w:r w:rsidRPr="006D6800">
        <w:rPr>
          <w:rFonts w:ascii="Book Antiqua" w:eastAsia="宋体" w:hAnsi="Book Antiqua" w:cs="Times New Roman"/>
          <w:sz w:val="24"/>
        </w:rPr>
        <w:t>pNECs</w:t>
      </w:r>
      <w:proofErr w:type="gramEnd"/>
      <w:r w:rsidRPr="006D6800">
        <w:rPr>
          <w:rFonts w:ascii="Book Antiqua" w:eastAsia="宋体" w:hAnsi="Book Antiqua" w:cs="Times New Roman"/>
          <w:sz w:val="24"/>
        </w:rPr>
        <w:t xml:space="preserve"> has a high degree of malignancy and poor prognosis. Although pNETs is better in biological behavior and clinical manifestations, the pNETs G3 and G1/G2 also have the potential for distant metastasis; thus, they should be given adequate attention in clinical management. Other than the WHO 2017 classification of pNENs, TNM staging is important for clinical management. TNM staging has undergone several major improvements too. There once existed two parallel systems. One was administered by European Neuroendocrine Tumor Society (ENETS) in 2006/2007</w:t>
      </w:r>
      <w:r w:rsidRPr="006D6800">
        <w:rPr>
          <w:rFonts w:ascii="Book Antiqua" w:hAnsi="Book Antiqua" w:cs="Times New Roman"/>
          <w:kern w:val="0"/>
          <w:sz w:val="24"/>
          <w:vertAlign w:val="superscript"/>
          <w:lang w:bidi="ar"/>
        </w:rPr>
        <w:t>[42</w:t>
      </w:r>
      <w:proofErr w:type="gramStart"/>
      <w:r w:rsidRPr="006D6800">
        <w:rPr>
          <w:rFonts w:ascii="Book Antiqua" w:hAnsi="Book Antiqua" w:cs="Times New Roman"/>
          <w:kern w:val="0"/>
          <w:sz w:val="24"/>
          <w:vertAlign w:val="superscript"/>
          <w:lang w:bidi="ar"/>
        </w:rPr>
        <w:t>,43</w:t>
      </w:r>
      <w:proofErr w:type="gramEnd"/>
      <w:r w:rsidRPr="006D6800">
        <w:rPr>
          <w:rFonts w:ascii="Book Antiqua" w:hAnsi="Book Antiqua" w:cs="Times New Roman"/>
          <w:kern w:val="0"/>
          <w:sz w:val="24"/>
          <w:vertAlign w:val="superscript"/>
          <w:lang w:bidi="ar"/>
        </w:rPr>
        <w:t>]</w:t>
      </w:r>
      <w:r w:rsidRPr="006D6800">
        <w:rPr>
          <w:rFonts w:ascii="Book Antiqua" w:eastAsia="宋体" w:hAnsi="Book Antiqua" w:cs="Times New Roman"/>
          <w:sz w:val="24"/>
        </w:rPr>
        <w:t>, and the other was published by American Joint Commission on Cancer (AJCC)/International Union Against Cancer (UICC) in 2009</w:t>
      </w:r>
      <w:r w:rsidRPr="006D6800">
        <w:rPr>
          <w:rFonts w:ascii="Book Antiqua" w:hAnsi="Book Antiqua" w:cs="Times New Roman"/>
          <w:kern w:val="0"/>
          <w:sz w:val="24"/>
          <w:vertAlign w:val="superscript"/>
          <w:lang w:bidi="ar"/>
        </w:rPr>
        <w:t>[44]</w:t>
      </w:r>
      <w:r w:rsidRPr="006D6800">
        <w:rPr>
          <w:rFonts w:ascii="Book Antiqua" w:eastAsia="宋体" w:hAnsi="Book Antiqua" w:cs="Times New Roman"/>
          <w:sz w:val="24"/>
        </w:rPr>
        <w:t>. The definition of the T stages for pNENs</w:t>
      </w:r>
      <w:r w:rsidRPr="006D6800">
        <w:rPr>
          <w:rFonts w:ascii="Book Antiqua" w:hAnsi="Book Antiqua" w:cs="Times New Roman"/>
          <w:kern w:val="0"/>
          <w:sz w:val="24"/>
          <w:lang w:bidi="ar"/>
        </w:rPr>
        <w:t xml:space="preserve"> is different between </w:t>
      </w:r>
      <w:r w:rsidRPr="006D6800">
        <w:rPr>
          <w:rFonts w:ascii="Book Antiqua" w:eastAsia="宋体" w:hAnsi="Book Antiqua" w:cs="Times New Roman"/>
          <w:sz w:val="24"/>
        </w:rPr>
        <w:t xml:space="preserve">the AJCC/UICC and ENETS classifications, and AJCC/UICC applied the same TNM classification for the exocrine pancreatic </w:t>
      </w:r>
      <w:proofErr w:type="gramStart"/>
      <w:r w:rsidRPr="006D6800">
        <w:rPr>
          <w:rFonts w:ascii="Book Antiqua" w:eastAsia="宋体" w:hAnsi="Book Antiqua" w:cs="Times New Roman"/>
          <w:sz w:val="24"/>
        </w:rPr>
        <w:t>tumors</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45]</w:t>
      </w:r>
      <w:r w:rsidRPr="006D6800">
        <w:rPr>
          <w:rFonts w:ascii="Book Antiqua" w:eastAsia="宋体" w:hAnsi="Book Antiqua" w:cs="Times New Roman"/>
          <w:sz w:val="24"/>
        </w:rPr>
        <w:t xml:space="preserve">. Luo </w:t>
      </w:r>
      <w:r w:rsidRPr="006D6800">
        <w:rPr>
          <w:rFonts w:ascii="Book Antiqua" w:eastAsia="宋体" w:hAnsi="Book Antiqua" w:cs="Times New Roman"/>
          <w:i/>
          <w:iCs/>
          <w:sz w:val="24"/>
        </w:rPr>
        <w:t xml:space="preserve">et </w:t>
      </w:r>
      <w:proofErr w:type="gramStart"/>
      <w:r w:rsidRPr="006D6800">
        <w:rPr>
          <w:rFonts w:ascii="Book Antiqua" w:eastAsia="宋体" w:hAnsi="Book Antiqua" w:cs="Times New Roman"/>
          <w:i/>
          <w:iCs/>
          <w:sz w:val="24"/>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46]</w:t>
      </w:r>
      <w:r w:rsidRPr="006D6800">
        <w:rPr>
          <w:rFonts w:ascii="Book Antiqua" w:eastAsia="宋体" w:hAnsi="Book Antiqua" w:cs="Times New Roman"/>
          <w:sz w:val="24"/>
        </w:rPr>
        <w:t xml:space="preserve"> evaluated the application of these two staging systems using the Surveillance, Epidemiology, and End Results registry and proposed a modified system based on analysis of the two existing classification systems. In 2016, the new AJCC/UICC classification (eighth edition) largely adopted the ENETS classification and was therefore included in the WHO 2017 staging recommendations.</w:t>
      </w:r>
    </w:p>
    <w:p w:rsidR="00B27CCD" w:rsidRPr="006D6800" w:rsidRDefault="0014178F" w:rsidP="006D6800">
      <w:pPr>
        <w:snapToGrid w:val="0"/>
        <w:spacing w:line="360" w:lineRule="auto"/>
        <w:ind w:firstLineChars="200" w:firstLine="480"/>
        <w:rPr>
          <w:rFonts w:ascii="Book Antiqua" w:eastAsia="宋体" w:hAnsi="Book Antiqua" w:cs="Times New Roman"/>
          <w:sz w:val="24"/>
        </w:rPr>
      </w:pPr>
      <w:r w:rsidRPr="006D6800">
        <w:rPr>
          <w:rFonts w:ascii="Book Antiqua" w:eastAsia="宋体" w:hAnsi="Book Antiqua" w:cs="Times New Roman"/>
          <w:sz w:val="24"/>
        </w:rPr>
        <w:t xml:space="preserve">When G3 contained pNECs in the 2010 WHO </w:t>
      </w:r>
      <w:r w:rsidRPr="006D6800">
        <w:rPr>
          <w:rFonts w:ascii="Book Antiqua" w:hAnsi="Book Antiqua" w:cs="Times New Roman"/>
          <w:kern w:val="0"/>
          <w:sz w:val="24"/>
          <w:lang w:bidi="ar"/>
        </w:rPr>
        <w:t>grading classification,</w:t>
      </w:r>
      <w:r w:rsidRPr="006D6800">
        <w:rPr>
          <w:rFonts w:ascii="Book Antiqua" w:eastAsia="宋体" w:hAnsi="Book Antiqua" w:cs="Times New Roman"/>
          <w:sz w:val="24"/>
        </w:rPr>
        <w:t xml:space="preserve"> many clinicians raised a lot of </w:t>
      </w:r>
      <w:proofErr w:type="gramStart"/>
      <w:r w:rsidRPr="006D6800">
        <w:rPr>
          <w:rFonts w:ascii="Book Antiqua" w:eastAsia="宋体" w:hAnsi="Book Antiqua" w:cs="Times New Roman"/>
          <w:sz w:val="24"/>
        </w:rPr>
        <w:t>questions</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47-49]</w:t>
      </w:r>
      <w:r w:rsidRPr="006D6800">
        <w:rPr>
          <w:rFonts w:ascii="Book Antiqua" w:eastAsia="宋体" w:hAnsi="Book Antiqua" w:cs="Times New Roman"/>
          <w:sz w:val="24"/>
        </w:rPr>
        <w:t xml:space="preserve">. In fact, pNETs G3 and pNECs should attract </w:t>
      </w:r>
      <w:r w:rsidRPr="006D6800">
        <w:rPr>
          <w:rFonts w:ascii="Book Antiqua" w:eastAsia="宋体" w:hAnsi="Book Antiqua" w:cs="Times New Roman"/>
          <w:sz w:val="24"/>
        </w:rPr>
        <w:lastRenderedPageBreak/>
        <w:t>completely different management strategies due to the inherent differences</w:t>
      </w:r>
      <w:r w:rsidRPr="006D6800">
        <w:rPr>
          <w:rFonts w:ascii="Book Antiqua" w:hAnsi="Book Antiqua"/>
          <w:sz w:val="24"/>
        </w:rPr>
        <w:t xml:space="preserve"> </w:t>
      </w:r>
      <w:r w:rsidRPr="006D6800">
        <w:rPr>
          <w:rFonts w:ascii="Book Antiqua" w:eastAsia="宋体" w:hAnsi="Book Antiqua" w:cs="Times New Roman"/>
          <w:sz w:val="24"/>
        </w:rPr>
        <w:t xml:space="preserve">mentioned above. For patients with pNETs with early TNM staging, surgery should be recommended. Despite the lack of definitive evidence, pNETs G3 patients without metastatic lesions should undergo curative surgery first. ENETS guidelines suggest that the wait and see approach might be preferred for asymptomatic pNETs G1, with strict patient </w:t>
      </w:r>
      <w:proofErr w:type="gramStart"/>
      <w:r w:rsidRPr="006D6800">
        <w:rPr>
          <w:rFonts w:ascii="Book Antiqua" w:eastAsia="宋体" w:hAnsi="Book Antiqua" w:cs="Times New Roman"/>
          <w:sz w:val="24"/>
        </w:rPr>
        <w:t>selection</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50]</w:t>
      </w:r>
      <w:r w:rsidRPr="006D6800">
        <w:rPr>
          <w:rFonts w:ascii="Book Antiqua" w:eastAsia="宋体" w:hAnsi="Book Antiqua" w:cs="Times New Roman"/>
          <w:sz w:val="24"/>
        </w:rPr>
        <w:t>. Compared with pNETs G1/G2, pNETs G3 has a higher risk of distant metastasis, and the wait and see approach may be not well suited. Radical surgery of pNETs comprises typical pancreatic resection (pancreaticoduodenectomy, distal pancreatectomy and total pancreatectomy) and atypical pancreatic resection (middle pancreatectomy, middle-preserving pancreatectomy</w:t>
      </w:r>
      <w:proofErr w:type="gramStart"/>
      <w:r w:rsidRPr="006D6800">
        <w:rPr>
          <w:rFonts w:ascii="Book Antiqua" w:eastAsia="宋体" w:hAnsi="Book Antiqua" w:cs="Times New Roman"/>
          <w:sz w:val="24"/>
        </w:rPr>
        <w:t>)</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51]</w:t>
      </w:r>
      <w:r w:rsidRPr="006D6800">
        <w:rPr>
          <w:rFonts w:ascii="Book Antiqua" w:eastAsia="宋体" w:hAnsi="Book Antiqua" w:cs="Times New Roman"/>
          <w:sz w:val="24"/>
        </w:rPr>
        <w:t xml:space="preserve">. The data on neoadjuvant therapy for patients with pNETs, especially for those radical surgery is difficult to implement at the beginning, is still not </w:t>
      </w:r>
      <w:proofErr w:type="gramStart"/>
      <w:r w:rsidRPr="006D6800">
        <w:rPr>
          <w:rFonts w:ascii="Book Antiqua" w:eastAsia="宋体" w:hAnsi="Book Antiqua" w:cs="Times New Roman"/>
          <w:sz w:val="24"/>
        </w:rPr>
        <w:t>available</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52]</w:t>
      </w:r>
      <w:r w:rsidRPr="006D6800">
        <w:rPr>
          <w:rFonts w:ascii="Book Antiqua" w:eastAsia="宋体" w:hAnsi="Book Antiqua" w:cs="Times New Roman"/>
          <w:sz w:val="24"/>
        </w:rPr>
        <w:t xml:space="preserve">. Neoadjuvant peptide receptor radionuclide therapy for pNENs with high risk of recurrence may be </w:t>
      </w:r>
      <w:proofErr w:type="gramStart"/>
      <w:r w:rsidRPr="006D6800">
        <w:rPr>
          <w:rFonts w:ascii="Book Antiqua" w:eastAsia="宋体" w:hAnsi="Book Antiqua" w:cs="Times New Roman"/>
          <w:sz w:val="24"/>
        </w:rPr>
        <w:t>useful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53]</w:t>
      </w:r>
      <w:r w:rsidRPr="006D6800">
        <w:rPr>
          <w:rFonts w:ascii="Book Antiqua" w:eastAsia="宋体" w:hAnsi="Book Antiqua" w:cs="Times New Roman"/>
          <w:sz w:val="24"/>
        </w:rPr>
        <w:t xml:space="preserve">. </w:t>
      </w:r>
      <w:proofErr w:type="gramStart"/>
      <w:r w:rsidRPr="006D6800">
        <w:rPr>
          <w:rFonts w:ascii="Book Antiqua" w:eastAsia="宋体" w:hAnsi="Book Antiqua" w:cs="Times New Roman"/>
          <w:sz w:val="24"/>
        </w:rPr>
        <w:t>pNETs</w:t>
      </w:r>
      <w:proofErr w:type="gramEnd"/>
      <w:r w:rsidRPr="006D6800">
        <w:rPr>
          <w:rFonts w:ascii="Book Antiqua" w:eastAsia="宋体" w:hAnsi="Book Antiqua" w:cs="Times New Roman"/>
          <w:sz w:val="24"/>
        </w:rPr>
        <w:t xml:space="preserve"> patients with distant metastasis are generally considered unsuitable for surgical treatment. For pNETs and pNECs, the most likely site for metastasis is the liver, although metastases to other sites have also been </w:t>
      </w:r>
      <w:proofErr w:type="gramStart"/>
      <w:r w:rsidRPr="006D6800">
        <w:rPr>
          <w:rFonts w:ascii="Book Antiqua" w:eastAsia="宋体" w:hAnsi="Book Antiqua" w:cs="Times New Roman"/>
          <w:sz w:val="24"/>
        </w:rPr>
        <w:t>reported</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54]</w:t>
      </w:r>
      <w:r w:rsidRPr="006D6800">
        <w:rPr>
          <w:rFonts w:ascii="Book Antiqua" w:eastAsia="宋体" w:hAnsi="Book Antiqua" w:cs="Times New Roman"/>
          <w:sz w:val="24"/>
        </w:rPr>
        <w:t xml:space="preserve">. Similar to patients with colorectal cancer with resectable liver metastases, pNETs patients with only liver metastases can still undergo partial liver </w:t>
      </w:r>
      <w:proofErr w:type="gramStart"/>
      <w:r w:rsidRPr="006D6800">
        <w:rPr>
          <w:rFonts w:ascii="Book Antiqua" w:eastAsia="宋体" w:hAnsi="Book Antiqua" w:cs="Times New Roman"/>
          <w:sz w:val="24"/>
        </w:rPr>
        <w:t>resection</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55,56]</w:t>
      </w:r>
      <w:r w:rsidRPr="006D6800">
        <w:rPr>
          <w:rFonts w:ascii="Book Antiqua" w:eastAsia="宋体" w:hAnsi="Book Antiqua" w:cs="Times New Roman"/>
          <w:sz w:val="24"/>
        </w:rPr>
        <w:t xml:space="preserve">. Patients with pNETs G3, which is more malignant and more likely to have liver metastases than G1/2, may also benefit from surgical resection of primary lesions and liver </w:t>
      </w:r>
      <w:proofErr w:type="gramStart"/>
      <w:r w:rsidRPr="006D6800">
        <w:rPr>
          <w:rFonts w:ascii="Book Antiqua" w:eastAsia="宋体" w:hAnsi="Book Antiqua" w:cs="Times New Roman"/>
          <w:sz w:val="24"/>
        </w:rPr>
        <w:t>metastases</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57]</w:t>
      </w:r>
      <w:r w:rsidRPr="006D6800">
        <w:rPr>
          <w:rFonts w:ascii="Book Antiqua" w:eastAsia="宋体" w:hAnsi="Book Antiqua" w:cs="Times New Roman"/>
          <w:sz w:val="24"/>
        </w:rPr>
        <w:t>.</w:t>
      </w:r>
      <w:r w:rsidRPr="006D6800">
        <w:rPr>
          <w:rFonts w:ascii="Book Antiqua" w:hAnsi="Book Antiqua"/>
          <w:sz w:val="24"/>
        </w:rPr>
        <w:t xml:space="preserve"> </w:t>
      </w:r>
      <w:r w:rsidRPr="006D6800">
        <w:rPr>
          <w:rFonts w:ascii="Book Antiqua" w:eastAsia="宋体" w:hAnsi="Book Antiqua" w:cs="Times New Roman"/>
          <w:sz w:val="24"/>
        </w:rPr>
        <w:t xml:space="preserve">There are still not enough data showing whether pNETs G3 patients with complete surgical resection benefit from postoperative adjuvant treatment, and platinum-based therapy is less effective for pNETs G3 compared with </w:t>
      </w:r>
      <w:proofErr w:type="gramStart"/>
      <w:r w:rsidRPr="006D6800">
        <w:rPr>
          <w:rFonts w:ascii="Book Antiqua" w:eastAsia="宋体" w:hAnsi="Book Antiqua" w:cs="Times New Roman"/>
          <w:sz w:val="24"/>
        </w:rPr>
        <w:t>pNECs</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36]</w:t>
      </w:r>
      <w:r w:rsidRPr="006D6800">
        <w:rPr>
          <w:rFonts w:ascii="Book Antiqua" w:eastAsia="宋体" w:hAnsi="Book Antiqua" w:cs="Times New Roman"/>
          <w:sz w:val="24"/>
        </w:rPr>
        <w:t>. For patients with pNETs with metastasis, systemic therapy is the main method. The major methods of systemic treatment include th</w:t>
      </w:r>
      <w:r w:rsidR="00E06F65">
        <w:rPr>
          <w:rFonts w:ascii="Book Antiqua" w:eastAsia="宋体" w:hAnsi="Book Antiqua" w:cs="Times New Roman"/>
          <w:sz w:val="24"/>
        </w:rPr>
        <w:t xml:space="preserve">e following: (1) Chemotherapy: </w:t>
      </w:r>
      <w:r w:rsidR="00E06F65">
        <w:rPr>
          <w:rFonts w:ascii="Book Antiqua" w:eastAsia="宋体" w:hAnsi="Book Antiqua" w:cs="Times New Roman" w:hint="eastAsia"/>
          <w:sz w:val="24"/>
        </w:rPr>
        <w:t>S</w:t>
      </w:r>
      <w:r w:rsidRPr="006D6800">
        <w:rPr>
          <w:rFonts w:ascii="Book Antiqua" w:eastAsia="宋体" w:hAnsi="Book Antiqua" w:cs="Times New Roman"/>
          <w:sz w:val="24"/>
        </w:rPr>
        <w:t xml:space="preserve">treptozocin- or temozolomide-based therapies have been widely used in first-line chemotherapy before other new systemic treatments </w:t>
      </w:r>
      <w:proofErr w:type="gramStart"/>
      <w:r w:rsidRPr="006D6800">
        <w:rPr>
          <w:rFonts w:ascii="Book Antiqua" w:eastAsia="宋体" w:hAnsi="Book Antiqua" w:cs="Times New Roman"/>
          <w:sz w:val="24"/>
        </w:rPr>
        <w:t>appeared</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58-60]</w:t>
      </w:r>
      <w:r w:rsidRPr="006D6800">
        <w:rPr>
          <w:rFonts w:ascii="Book Antiqua" w:eastAsia="宋体" w:hAnsi="Book Antiqua" w:cs="Times New Roman"/>
          <w:sz w:val="24"/>
        </w:rPr>
        <w:t xml:space="preserve">. Welin </w:t>
      </w:r>
      <w:r w:rsidRPr="006D6800">
        <w:rPr>
          <w:rFonts w:ascii="Book Antiqua" w:eastAsia="宋体" w:hAnsi="Book Antiqua" w:cs="Times New Roman"/>
          <w:i/>
          <w:iCs/>
          <w:sz w:val="24"/>
        </w:rPr>
        <w:t xml:space="preserve">et </w:t>
      </w:r>
      <w:proofErr w:type="gramStart"/>
      <w:r w:rsidRPr="006D6800">
        <w:rPr>
          <w:rFonts w:ascii="Book Antiqua" w:eastAsia="宋体" w:hAnsi="Book Antiqua" w:cs="Times New Roman"/>
          <w:i/>
          <w:iCs/>
          <w:sz w:val="24"/>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61]</w:t>
      </w:r>
      <w:r w:rsidRPr="006D6800">
        <w:rPr>
          <w:rFonts w:ascii="Book Antiqua" w:eastAsia="宋体" w:hAnsi="Book Antiqua" w:cs="Times New Roman"/>
          <w:sz w:val="24"/>
        </w:rPr>
        <w:t xml:space="preserve"> studied the treatment response in poorly differentiated endocrine carcinomas patients who failed first-line platinum-based chemotherapy to temozolomide alone or in combination with capecitabine and bevacizumab. The results indicated that patients with a Ki67 index &lt; 60%, positive </w:t>
      </w:r>
      <w:r w:rsidRPr="006D6800">
        <w:rPr>
          <w:rFonts w:ascii="Book Antiqua" w:eastAsia="宋体" w:hAnsi="Book Antiqua" w:cs="Times New Roman"/>
          <w:sz w:val="24"/>
        </w:rPr>
        <w:lastRenderedPageBreak/>
        <w:t xml:space="preserve">immunohistochemistry for CgA, positive somatostatin receptor scintigraphy, and lack of response to first-line therapy seemed to respond more often to temozolomide-based </w:t>
      </w:r>
      <w:proofErr w:type="gramStart"/>
      <w:r w:rsidRPr="006D6800">
        <w:rPr>
          <w:rFonts w:ascii="Book Antiqua" w:eastAsia="宋体" w:hAnsi="Book Antiqua" w:cs="Times New Roman"/>
          <w:sz w:val="24"/>
        </w:rPr>
        <w:t>chemotherapy</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61]</w:t>
      </w:r>
      <w:r w:rsidRPr="006D6800">
        <w:rPr>
          <w:rFonts w:ascii="Book Antiqua" w:eastAsia="宋体" w:hAnsi="Book Antiqua" w:cs="Times New Roman"/>
          <w:sz w:val="24"/>
        </w:rPr>
        <w:t>. In line with this, a randomized trial of NETs G3 is now recrui</w:t>
      </w:r>
      <w:r w:rsidR="00E06F65">
        <w:rPr>
          <w:rFonts w:ascii="Book Antiqua" w:eastAsia="宋体" w:hAnsi="Book Antiqua" w:cs="Times New Roman"/>
          <w:sz w:val="24"/>
        </w:rPr>
        <w:t xml:space="preserve">ting to evaluate two regimens: </w:t>
      </w:r>
      <w:r w:rsidR="00E06F65">
        <w:rPr>
          <w:rFonts w:ascii="Book Antiqua" w:eastAsia="宋体" w:hAnsi="Book Antiqua" w:cs="Times New Roman" w:hint="eastAsia"/>
          <w:sz w:val="24"/>
        </w:rPr>
        <w:t>T</w:t>
      </w:r>
      <w:r w:rsidRPr="006D6800">
        <w:rPr>
          <w:rFonts w:ascii="Book Antiqua" w:eastAsia="宋体" w:hAnsi="Book Antiqua" w:cs="Times New Roman"/>
          <w:sz w:val="24"/>
        </w:rPr>
        <w:t>emozolomide plus capecitabine versus cisplatin plus et</w:t>
      </w:r>
      <w:r w:rsidR="00E06F65">
        <w:rPr>
          <w:rFonts w:ascii="Book Antiqua" w:eastAsia="宋体" w:hAnsi="Book Antiqua" w:cs="Times New Roman"/>
          <w:sz w:val="24"/>
        </w:rPr>
        <w:t xml:space="preserve">oposide; (2) Targeted therapy: </w:t>
      </w:r>
      <w:r w:rsidR="00E06F65">
        <w:rPr>
          <w:rFonts w:ascii="Book Antiqua" w:eastAsia="宋体" w:hAnsi="Book Antiqua" w:cs="Times New Roman" w:hint="eastAsia"/>
          <w:sz w:val="24"/>
        </w:rPr>
        <w:t>W</w:t>
      </w:r>
      <w:r w:rsidRPr="006D6800">
        <w:rPr>
          <w:rFonts w:ascii="Book Antiqua" w:eastAsia="宋体" w:hAnsi="Book Antiqua" w:cs="Times New Roman"/>
          <w:sz w:val="24"/>
        </w:rPr>
        <w:t>ith progress of basic research, small-molecule drugs such as mTOR signaling pathway inhibitors and tyrosine kinase inhibitors are considered to be potentially effective for advanced pNETs</w:t>
      </w:r>
      <w:r w:rsidRPr="006D6800">
        <w:rPr>
          <w:rFonts w:ascii="Book Antiqua" w:hAnsi="Book Antiqua" w:cs="Times New Roman"/>
          <w:kern w:val="0"/>
          <w:sz w:val="24"/>
          <w:vertAlign w:val="superscript"/>
          <w:lang w:bidi="ar"/>
        </w:rPr>
        <w:t>[62]</w:t>
      </w:r>
      <w:r w:rsidRPr="006D6800">
        <w:rPr>
          <w:rFonts w:ascii="Book Antiqua" w:eastAsia="宋体" w:hAnsi="Book Antiqua" w:cs="Times New Roman"/>
          <w:sz w:val="24"/>
        </w:rPr>
        <w:t>. Well-differentiated pNETs always have a</w:t>
      </w:r>
      <w:r w:rsidRPr="006D6800">
        <w:rPr>
          <w:rFonts w:ascii="Book Antiqua" w:hAnsi="Book Antiqua"/>
          <w:sz w:val="24"/>
        </w:rPr>
        <w:t xml:space="preserve"> </w:t>
      </w:r>
      <w:r w:rsidRPr="006D6800">
        <w:rPr>
          <w:rFonts w:ascii="Book Antiqua" w:eastAsia="宋体" w:hAnsi="Book Antiqua" w:cs="Times New Roman"/>
          <w:sz w:val="24"/>
        </w:rPr>
        <w:t xml:space="preserve">rich vascular network, which can be targeted by antiangiogenic </w:t>
      </w:r>
      <w:proofErr w:type="gramStart"/>
      <w:r w:rsidRPr="006D6800">
        <w:rPr>
          <w:rFonts w:ascii="Book Antiqua" w:eastAsia="宋体" w:hAnsi="Book Antiqua" w:cs="Times New Roman"/>
          <w:sz w:val="24"/>
        </w:rPr>
        <w:t>drugs</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63]</w:t>
      </w:r>
      <w:r w:rsidRPr="006D6800">
        <w:rPr>
          <w:rFonts w:ascii="Book Antiqua" w:eastAsia="宋体" w:hAnsi="Book Antiqua" w:cs="Times New Roman"/>
          <w:sz w:val="24"/>
        </w:rPr>
        <w:t xml:space="preserve">. </w:t>
      </w:r>
      <w:proofErr w:type="gramStart"/>
      <w:r w:rsidRPr="006D6800">
        <w:rPr>
          <w:rFonts w:ascii="Book Antiqua" w:eastAsia="宋体" w:hAnsi="Book Antiqua" w:cs="Times New Roman"/>
          <w:sz w:val="24"/>
        </w:rPr>
        <w:t>mTOR</w:t>
      </w:r>
      <w:proofErr w:type="gramEnd"/>
      <w:r w:rsidRPr="006D6800">
        <w:rPr>
          <w:rFonts w:ascii="Book Antiqua" w:eastAsia="宋体" w:hAnsi="Book Antiqua" w:cs="Times New Roman"/>
          <w:sz w:val="24"/>
        </w:rPr>
        <w:t xml:space="preserve"> signaling inhibitor everolimus and multi-targeted tyrosine kinase inhibitor sunitinib have been approved for pNENs in the US and Europe</w:t>
      </w:r>
      <w:r w:rsidRPr="006D6800">
        <w:rPr>
          <w:rFonts w:ascii="Book Antiqua" w:hAnsi="Book Antiqua" w:cs="Times New Roman"/>
          <w:kern w:val="0"/>
          <w:sz w:val="24"/>
          <w:vertAlign w:val="superscript"/>
          <w:lang w:bidi="ar"/>
        </w:rPr>
        <w:t>[64]</w:t>
      </w:r>
      <w:r w:rsidRPr="006D6800">
        <w:rPr>
          <w:rFonts w:ascii="Book Antiqua" w:eastAsia="宋体" w:hAnsi="Book Antiqua" w:cs="Times New Roman"/>
          <w:sz w:val="24"/>
        </w:rPr>
        <w:t>. However, the best targeted therapy for pNETs G3 still needs further investigation; (3) Somatostatin analogs are effective in controlling excess hormone secretion in patients with functioning pNETs and they also have antitumor effects</w:t>
      </w:r>
      <w:r w:rsidRPr="006D6800">
        <w:rPr>
          <w:rFonts w:ascii="Book Antiqua" w:hAnsi="Book Antiqua" w:cs="Times New Roman"/>
          <w:kern w:val="0"/>
          <w:sz w:val="24"/>
          <w:vertAlign w:val="superscript"/>
          <w:lang w:bidi="ar"/>
        </w:rPr>
        <w:t>[65]</w:t>
      </w:r>
      <w:r w:rsidRPr="006D6800">
        <w:rPr>
          <w:rFonts w:ascii="Book Antiqua" w:eastAsia="宋体" w:hAnsi="Book Antiqua" w:cs="Times New Roman"/>
          <w:sz w:val="24"/>
        </w:rPr>
        <w:t xml:space="preserve">. Nevertheless, because of the lack of data for pNETs G3, the use of somatostatin analogs might be restricted to patients with low hepatic tumor involvement and stable disease. The use of somatostatin analogs in pNETs G3 should be undertaken with close monitoring and confirmed high somatostatin receptor expression on related imaging; </w:t>
      </w:r>
      <w:r w:rsidR="00E06F65">
        <w:rPr>
          <w:rFonts w:ascii="Book Antiqua" w:eastAsia="宋体" w:hAnsi="Book Antiqua" w:cs="Times New Roman" w:hint="eastAsia"/>
          <w:sz w:val="24"/>
        </w:rPr>
        <w:t xml:space="preserve">and </w:t>
      </w:r>
      <w:r w:rsidRPr="006D6800">
        <w:rPr>
          <w:rFonts w:ascii="Book Antiqua" w:eastAsia="宋体" w:hAnsi="Book Antiqua" w:cs="Times New Roman"/>
          <w:sz w:val="24"/>
        </w:rPr>
        <w:t xml:space="preserve">(4) Peptide </w:t>
      </w:r>
      <w:r w:rsidR="00E06F65">
        <w:rPr>
          <w:rFonts w:ascii="Book Antiqua" w:eastAsia="宋体" w:hAnsi="Book Antiqua" w:cs="Times New Roman"/>
          <w:sz w:val="24"/>
        </w:rPr>
        <w:t xml:space="preserve">receptor radionuclide therapy: </w:t>
      </w:r>
      <w:r w:rsidR="00E06F65">
        <w:rPr>
          <w:rFonts w:ascii="Book Antiqua" w:eastAsia="宋体" w:hAnsi="Book Antiqua" w:cs="Times New Roman" w:hint="eastAsia"/>
          <w:sz w:val="24"/>
        </w:rPr>
        <w:t>F</w:t>
      </w:r>
      <w:r w:rsidRPr="006D6800">
        <w:rPr>
          <w:rFonts w:ascii="Book Antiqua" w:eastAsia="宋体" w:hAnsi="Book Antiqua" w:cs="Times New Roman"/>
          <w:sz w:val="24"/>
        </w:rPr>
        <w:t xml:space="preserve">or patients with advanced and well-differentiated pNETs, peptide receptor radiation therapy (PRRT) has evolved from the development of nuclide imaging technology. PRRT has been evaluated in recent years in patients with pNETs G3. Carlsen </w:t>
      </w:r>
      <w:r w:rsidRPr="006D6800">
        <w:rPr>
          <w:rFonts w:ascii="Book Antiqua" w:eastAsia="宋体" w:hAnsi="Book Antiqua" w:cs="Times New Roman"/>
          <w:i/>
          <w:iCs/>
          <w:sz w:val="24"/>
        </w:rPr>
        <w:t xml:space="preserve">et </w:t>
      </w:r>
      <w:proofErr w:type="gramStart"/>
      <w:r w:rsidRPr="006D6800">
        <w:rPr>
          <w:rFonts w:ascii="Book Antiqua" w:eastAsia="宋体" w:hAnsi="Book Antiqua" w:cs="Times New Roman"/>
          <w:i/>
          <w:iCs/>
          <w:sz w:val="24"/>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66]</w:t>
      </w:r>
      <w:r w:rsidRPr="006D6800">
        <w:rPr>
          <w:rFonts w:ascii="Book Antiqua" w:eastAsia="宋体" w:hAnsi="Book Antiqua" w:cs="Times New Roman"/>
          <w:sz w:val="24"/>
        </w:rPr>
        <w:t xml:space="preserve"> assessed the benefits and adverse effects of PRRT in patients with GEP NENs G3 and showed that PRRT may be beneficial. Zhang </w:t>
      </w:r>
      <w:r w:rsidRPr="006D6800">
        <w:rPr>
          <w:rFonts w:ascii="Book Antiqua" w:eastAsia="宋体" w:hAnsi="Book Antiqua" w:cs="Times New Roman"/>
          <w:i/>
          <w:iCs/>
          <w:sz w:val="24"/>
        </w:rPr>
        <w:t xml:space="preserve">et </w:t>
      </w:r>
      <w:proofErr w:type="gramStart"/>
      <w:r w:rsidRPr="006D6800">
        <w:rPr>
          <w:rFonts w:ascii="Book Antiqua" w:eastAsia="宋体" w:hAnsi="Book Antiqua" w:cs="Times New Roman"/>
          <w:i/>
          <w:iCs/>
          <w:sz w:val="24"/>
        </w:rPr>
        <w:t>al</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67]</w:t>
      </w:r>
      <w:r w:rsidRPr="006D6800">
        <w:rPr>
          <w:rFonts w:ascii="Book Antiqua" w:eastAsia="宋体" w:hAnsi="Book Antiqua" w:cs="Times New Roman"/>
          <w:sz w:val="24"/>
        </w:rPr>
        <w:t xml:space="preserve"> analyzed the long-term outcome, efficacy, and safety of PRRT in patients with somatostatin-receptor-expressing G3 NENs and reported that PRRT was tolerated well and efficacious, especially in patients with a Ki67 index &lt; 55%, and even in patients for whom chemotherapy had failed.</w:t>
      </w:r>
    </w:p>
    <w:p w:rsidR="00B27CCD" w:rsidRPr="006D6800" w:rsidRDefault="0014178F" w:rsidP="006D6800">
      <w:pPr>
        <w:snapToGrid w:val="0"/>
        <w:spacing w:line="360" w:lineRule="auto"/>
        <w:ind w:firstLineChars="200" w:firstLine="480"/>
        <w:rPr>
          <w:rFonts w:ascii="Book Antiqua" w:eastAsia="宋体" w:hAnsi="Book Antiqua" w:cs="Times New Roman"/>
          <w:sz w:val="24"/>
        </w:rPr>
      </w:pPr>
      <w:proofErr w:type="gramStart"/>
      <w:r w:rsidRPr="006D6800">
        <w:rPr>
          <w:rFonts w:ascii="Book Antiqua" w:eastAsia="宋体" w:hAnsi="Book Antiqua" w:cs="Times New Roman"/>
          <w:sz w:val="24"/>
        </w:rPr>
        <w:t>pNECs</w:t>
      </w:r>
      <w:proofErr w:type="gramEnd"/>
      <w:r w:rsidRPr="006D6800">
        <w:rPr>
          <w:rFonts w:ascii="Book Antiqua" w:eastAsia="宋体" w:hAnsi="Book Antiqua" w:cs="Times New Roman"/>
          <w:sz w:val="24"/>
        </w:rPr>
        <w:t xml:space="preserve"> has more rapid disease progress and worse prognosis than pNETs G3. Patients with NECs treated with palliative chemotherapy had a median OS of 11.2 mo, compared with 1.7 mo for untreated </w:t>
      </w:r>
      <w:proofErr w:type="gramStart"/>
      <w:r w:rsidRPr="006D6800">
        <w:rPr>
          <w:rFonts w:ascii="Book Antiqua" w:eastAsia="宋体" w:hAnsi="Book Antiqua" w:cs="Times New Roman"/>
          <w:sz w:val="24"/>
        </w:rPr>
        <w:t>patients</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68]</w:t>
      </w:r>
      <w:r w:rsidRPr="006D6800">
        <w:rPr>
          <w:rFonts w:ascii="Book Antiqua" w:eastAsia="宋体" w:hAnsi="Book Antiqua" w:cs="Times New Roman"/>
          <w:sz w:val="24"/>
        </w:rPr>
        <w:t xml:space="preserve">. In contrast to pNETs, the effect of surgical resection in pNECs is not clear. Even in patients with pNECs at an early </w:t>
      </w:r>
      <w:r w:rsidRPr="006D6800">
        <w:rPr>
          <w:rFonts w:ascii="Book Antiqua" w:eastAsia="宋体" w:hAnsi="Book Antiqua" w:cs="Times New Roman"/>
          <w:sz w:val="24"/>
        </w:rPr>
        <w:lastRenderedPageBreak/>
        <w:t xml:space="preserve">stage, it is usually difficult to achieve satisfactory results with surgery alone. Most pNECs already have distant metastases when diagnosed and some have recurrence and metastasis &lt; 1 year after surgery. This reflects that the biological behavior of pNECs is highly malignant and existing diagnostic methods fail to identify early metastases, but there are still some patients who achieve long-term survival through aggressive </w:t>
      </w:r>
      <w:proofErr w:type="gramStart"/>
      <w:r w:rsidRPr="006D6800">
        <w:rPr>
          <w:rFonts w:ascii="Book Antiqua" w:eastAsia="宋体" w:hAnsi="Book Antiqua" w:cs="Times New Roman"/>
          <w:sz w:val="24"/>
        </w:rPr>
        <w:t>surgery</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69]</w:t>
      </w:r>
      <w:r w:rsidRPr="006D6800">
        <w:rPr>
          <w:rFonts w:ascii="Book Antiqua" w:eastAsia="宋体" w:hAnsi="Book Antiqua" w:cs="Times New Roman"/>
          <w:sz w:val="24"/>
        </w:rPr>
        <w:t xml:space="preserve">. Based on the treatment paradigm for limited-stage small-cell lung cancer, neoadjuvant chemotherapy and radiation can be considered in many GEP NECs patients, particularly when radical resection is difficult. However, pNECs often progresses rapidly, and neoadjuvant therapy may cause these patients to completely lose their surgical opportunities during treatment. No studies have examined adjuvant postoperative treatment for pNECs. Nevertheless, the aggressive behavior and high rate of recurrence of pNECs have led to consideration of adjuvant treatment, using platinum-based chemotherapy, and also in </w:t>
      </w:r>
      <w:proofErr w:type="gramStart"/>
      <w:r w:rsidRPr="006D6800">
        <w:rPr>
          <w:rFonts w:ascii="Book Antiqua" w:eastAsia="宋体" w:hAnsi="Book Antiqua" w:cs="Times New Roman"/>
          <w:sz w:val="24"/>
        </w:rPr>
        <w:t>SCLC</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70]</w:t>
      </w:r>
      <w:r w:rsidRPr="006D6800">
        <w:rPr>
          <w:rFonts w:ascii="Book Antiqua" w:eastAsia="宋体" w:hAnsi="Book Antiqua" w:cs="Times New Roman"/>
          <w:sz w:val="24"/>
        </w:rPr>
        <w:t>.</w:t>
      </w:r>
    </w:p>
    <w:p w:rsidR="00B27CCD" w:rsidRPr="006D6800" w:rsidRDefault="0014178F" w:rsidP="006D6800">
      <w:pPr>
        <w:snapToGrid w:val="0"/>
        <w:spacing w:line="360" w:lineRule="auto"/>
        <w:ind w:firstLineChars="200" w:firstLine="480"/>
        <w:rPr>
          <w:rFonts w:ascii="Book Antiqua" w:eastAsia="宋体" w:hAnsi="Book Antiqua" w:cs="Times New Roman"/>
          <w:sz w:val="24"/>
        </w:rPr>
      </w:pPr>
      <w:r w:rsidRPr="006D6800">
        <w:rPr>
          <w:rFonts w:ascii="Book Antiqua" w:eastAsia="宋体" w:hAnsi="Book Antiqua" w:cs="Times New Roman"/>
          <w:sz w:val="24"/>
        </w:rPr>
        <w:t>Chemotherapy has become the main treatment for advanced pNECs. GEP</w:t>
      </w:r>
      <w:r w:rsidRPr="006D6800">
        <w:rPr>
          <w:rFonts w:ascii="Book Antiqua" w:hAnsi="Book Antiqua" w:cs="Times New Roman"/>
          <w:kern w:val="0"/>
          <w:sz w:val="24"/>
          <w:lang w:bidi="ar"/>
        </w:rPr>
        <w:t xml:space="preserve"> </w:t>
      </w:r>
      <w:r w:rsidRPr="006D6800">
        <w:rPr>
          <w:rFonts w:ascii="Book Antiqua" w:eastAsia="宋体" w:hAnsi="Book Antiqua" w:cs="Times New Roman"/>
          <w:sz w:val="24"/>
        </w:rPr>
        <w:t xml:space="preserve">NECs currently has no standard chemotherapy regimen. Based on SCLC treatment, platinum-based combination regimens are widely used as first-line </w:t>
      </w:r>
      <w:proofErr w:type="gramStart"/>
      <w:r w:rsidRPr="006D6800">
        <w:rPr>
          <w:rFonts w:ascii="Book Antiqua" w:eastAsia="宋体" w:hAnsi="Book Antiqua" w:cs="Times New Roman"/>
          <w:sz w:val="24"/>
        </w:rPr>
        <w:t>treatment</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71]</w:t>
      </w:r>
      <w:r w:rsidRPr="006D6800">
        <w:rPr>
          <w:rFonts w:ascii="Book Antiqua" w:eastAsia="宋体" w:hAnsi="Book Antiqua" w:cs="Times New Roman"/>
          <w:sz w:val="24"/>
        </w:rPr>
        <w:t xml:space="preserve">. In pNECs, the association of cisplatin and etoposide is the first chemotherapeutic </w:t>
      </w:r>
      <w:proofErr w:type="gramStart"/>
      <w:r w:rsidRPr="006D6800">
        <w:rPr>
          <w:rFonts w:ascii="Book Antiqua" w:eastAsia="宋体" w:hAnsi="Book Antiqua" w:cs="Times New Roman"/>
          <w:sz w:val="24"/>
        </w:rPr>
        <w:t>option</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72]</w:t>
      </w:r>
      <w:r w:rsidRPr="006D6800">
        <w:rPr>
          <w:rFonts w:ascii="Book Antiqua" w:eastAsia="宋体" w:hAnsi="Book Antiqua" w:cs="Times New Roman"/>
          <w:sz w:val="24"/>
        </w:rPr>
        <w:t xml:space="preserve">. However, as mentioned above, the SCLC genetic characteristics are different from those of </w:t>
      </w:r>
      <w:proofErr w:type="gramStart"/>
      <w:r w:rsidRPr="006D6800">
        <w:rPr>
          <w:rFonts w:ascii="Book Antiqua" w:eastAsia="宋体" w:hAnsi="Book Antiqua" w:cs="Times New Roman"/>
          <w:sz w:val="24"/>
        </w:rPr>
        <w:t>pNECs,</w:t>
      </w:r>
      <w:proofErr w:type="gramEnd"/>
      <w:r w:rsidRPr="006D6800">
        <w:rPr>
          <w:rFonts w:ascii="Book Antiqua" w:eastAsia="宋体" w:hAnsi="Book Antiqua" w:cs="Times New Roman"/>
          <w:sz w:val="24"/>
        </w:rPr>
        <w:t xml:space="preserve"> therefor the optimal first-line chemotherapy regimen for pNECs is still uncertain. Whole brain prophylactic radiotherapy is not needed due to rare brain metastases in patients with </w:t>
      </w:r>
      <w:proofErr w:type="gramStart"/>
      <w:r w:rsidRPr="006D6800">
        <w:rPr>
          <w:rFonts w:ascii="Book Antiqua" w:eastAsia="宋体" w:hAnsi="Book Antiqua" w:cs="Times New Roman"/>
          <w:sz w:val="24"/>
        </w:rPr>
        <w:t>pNECs</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73]</w:t>
      </w:r>
      <w:r w:rsidRPr="006D6800">
        <w:rPr>
          <w:rFonts w:ascii="Book Antiqua" w:eastAsia="宋体" w:hAnsi="Book Antiqua" w:cs="Times New Roman"/>
          <w:sz w:val="24"/>
        </w:rPr>
        <w:t xml:space="preserve">. Second-line chemotherapy options are also being </w:t>
      </w:r>
      <w:proofErr w:type="gramStart"/>
      <w:r w:rsidRPr="006D6800">
        <w:rPr>
          <w:rFonts w:ascii="Book Antiqua" w:eastAsia="宋体" w:hAnsi="Book Antiqua" w:cs="Times New Roman"/>
          <w:sz w:val="24"/>
        </w:rPr>
        <w:t>explored</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74-76]</w:t>
      </w:r>
      <w:r w:rsidRPr="006D6800">
        <w:rPr>
          <w:rFonts w:ascii="Book Antiqua" w:eastAsia="宋体" w:hAnsi="Book Antiqua" w:cs="Times New Roman"/>
          <w:sz w:val="24"/>
        </w:rPr>
        <w:t xml:space="preserve">. PRRT is often thought to be an effective, well-tolerated treatment for well-differentiated NETs, but some patients with poorly differentiated pNECs may also </w:t>
      </w:r>
      <w:proofErr w:type="gramStart"/>
      <w:r w:rsidRPr="006D6800">
        <w:rPr>
          <w:rFonts w:ascii="Book Antiqua" w:eastAsia="宋体" w:hAnsi="Book Antiqua" w:cs="Times New Roman"/>
          <w:sz w:val="24"/>
        </w:rPr>
        <w:t>benefit</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77,78]</w:t>
      </w:r>
      <w:r w:rsidRPr="006D6800">
        <w:rPr>
          <w:rFonts w:ascii="Book Antiqua" w:eastAsia="宋体" w:hAnsi="Book Antiqua" w:cs="Times New Roman"/>
          <w:sz w:val="24"/>
        </w:rPr>
        <w:t xml:space="preserve">. Although the application of new molecular targeted drugs has brought success to treatment of various types of tumors, no new targeted drugs have been approved for pNECs. The reasons for that might be due to the underlying genetic changes or pathway of these diseases and too few patients with pNECs, which has prevented effective prospective clinical trials. New clinical trials of targeted drugs for SCLC are underway, which provides some hope for pNECs. In recent years, the rise of immunotherapy and other treatments combined with immunotherapy have brought new expectations to pNECs. As </w:t>
      </w:r>
      <w:r w:rsidRPr="006D6800">
        <w:rPr>
          <w:rFonts w:ascii="Book Antiqua" w:eastAsia="宋体" w:hAnsi="Book Antiqua" w:cs="Times New Roman"/>
          <w:sz w:val="24"/>
        </w:rPr>
        <w:lastRenderedPageBreak/>
        <w:t>mentioned before, pNECs or pNETs G3 is characterized by strong PD-L1 expression in both the tumor and infiltrating immune cells; therefore, immunotherapy may provide</w:t>
      </w:r>
      <w:r w:rsidRPr="006D6800">
        <w:rPr>
          <w:rFonts w:ascii="Book Antiqua" w:hAnsi="Book Antiqua"/>
          <w:sz w:val="24"/>
        </w:rPr>
        <w:t xml:space="preserve"> </w:t>
      </w:r>
      <w:r w:rsidRPr="006D6800">
        <w:rPr>
          <w:rFonts w:ascii="Book Antiqua" w:eastAsia="宋体" w:hAnsi="Book Antiqua" w:cs="Times New Roman"/>
          <w:sz w:val="24"/>
        </w:rPr>
        <w:t xml:space="preserve">longer overall survival and better quality of </w:t>
      </w:r>
      <w:proofErr w:type="gramStart"/>
      <w:r w:rsidRPr="006D6800">
        <w:rPr>
          <w:rFonts w:ascii="Book Antiqua" w:eastAsia="宋体" w:hAnsi="Book Antiqua" w:cs="Times New Roman"/>
          <w:sz w:val="24"/>
        </w:rPr>
        <w:t>life</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79,80]</w:t>
      </w:r>
      <w:r w:rsidRPr="006D6800">
        <w:rPr>
          <w:rFonts w:ascii="Book Antiqua" w:eastAsia="宋体" w:hAnsi="Book Antiqua" w:cs="Times New Roman"/>
          <w:sz w:val="24"/>
        </w:rPr>
        <w:t>.</w:t>
      </w:r>
    </w:p>
    <w:p w:rsidR="00B27CCD" w:rsidRPr="006D6800" w:rsidRDefault="00B27CCD" w:rsidP="006D6800">
      <w:pPr>
        <w:snapToGrid w:val="0"/>
        <w:spacing w:line="360" w:lineRule="auto"/>
        <w:rPr>
          <w:rFonts w:ascii="Book Antiqua" w:eastAsia="宋体" w:hAnsi="Book Antiqua" w:cs="Times New Roman"/>
          <w:b/>
          <w:bCs/>
          <w:sz w:val="24"/>
        </w:rPr>
      </w:pPr>
    </w:p>
    <w:p w:rsidR="00B27CCD" w:rsidRPr="006D6800" w:rsidRDefault="0014178F" w:rsidP="006D6800">
      <w:pPr>
        <w:snapToGrid w:val="0"/>
        <w:spacing w:line="360" w:lineRule="auto"/>
        <w:rPr>
          <w:rFonts w:ascii="Book Antiqua" w:eastAsia="宋体" w:hAnsi="Book Antiqua" w:cs="Times New Roman"/>
          <w:b/>
          <w:bCs/>
          <w:sz w:val="24"/>
          <w:u w:val="single"/>
        </w:rPr>
      </w:pPr>
      <w:r w:rsidRPr="006D6800">
        <w:rPr>
          <w:rFonts w:ascii="Book Antiqua" w:eastAsia="宋体" w:hAnsi="Book Antiqua" w:cs="Times New Roman"/>
          <w:b/>
          <w:bCs/>
          <w:sz w:val="24"/>
          <w:u w:val="single"/>
        </w:rPr>
        <w:t>CONCLUSION</w:t>
      </w:r>
    </w:p>
    <w:p w:rsidR="00B27CCD" w:rsidRPr="006D6800" w:rsidRDefault="0014178F" w:rsidP="006D6800">
      <w:pPr>
        <w:snapToGrid w:val="0"/>
        <w:spacing w:line="360" w:lineRule="auto"/>
        <w:rPr>
          <w:rFonts w:ascii="Book Antiqua" w:eastAsia="宋体" w:hAnsi="Book Antiqua" w:cs="Times New Roman"/>
          <w:sz w:val="24"/>
        </w:rPr>
      </w:pPr>
      <w:r w:rsidRPr="006D6800">
        <w:rPr>
          <w:rFonts w:ascii="Book Antiqua" w:eastAsia="宋体" w:hAnsi="Book Antiqua" w:cs="Times New Roman"/>
          <w:sz w:val="24"/>
        </w:rPr>
        <w:t>This review summarizes the differences between pNETs G3 and pNECs, which is the major update in latest WHO</w:t>
      </w:r>
      <w:r w:rsidRPr="006D6800">
        <w:rPr>
          <w:rFonts w:ascii="Book Antiqua" w:hAnsi="Book Antiqua" w:cs="Times New Roman"/>
          <w:kern w:val="0"/>
          <w:sz w:val="24"/>
          <w:lang w:bidi="ar"/>
        </w:rPr>
        <w:t xml:space="preserve"> </w:t>
      </w:r>
      <w:r w:rsidRPr="006D6800">
        <w:rPr>
          <w:rFonts w:ascii="Book Antiqua" w:eastAsia="宋体" w:hAnsi="Book Antiqua" w:cs="Times New Roman"/>
          <w:sz w:val="24"/>
        </w:rPr>
        <w:t xml:space="preserve">grading classification for </w:t>
      </w:r>
      <w:r w:rsidRPr="006D6800">
        <w:rPr>
          <w:rFonts w:ascii="Book Antiqua" w:hAnsi="Book Antiqua" w:cs="Times New Roman"/>
          <w:kern w:val="0"/>
          <w:sz w:val="24"/>
          <w:lang w:bidi="ar"/>
        </w:rPr>
        <w:t>pNENs,</w:t>
      </w:r>
      <w:r w:rsidRPr="006D6800">
        <w:rPr>
          <w:rFonts w:ascii="Book Antiqua" w:eastAsia="宋体" w:hAnsi="Book Antiqua" w:cs="Times New Roman"/>
          <w:sz w:val="24"/>
        </w:rPr>
        <w:t xml:space="preserve"> in relation to histology, gene mutations, and clinical management. </w:t>
      </w:r>
      <w:proofErr w:type="gramStart"/>
      <w:r w:rsidRPr="006D6800">
        <w:rPr>
          <w:rFonts w:ascii="Book Antiqua" w:eastAsia="宋体" w:hAnsi="Book Antiqua" w:cs="Times New Roman"/>
          <w:sz w:val="24"/>
        </w:rPr>
        <w:t>pNENs</w:t>
      </w:r>
      <w:proofErr w:type="gramEnd"/>
      <w:r w:rsidRPr="006D6800">
        <w:rPr>
          <w:rFonts w:ascii="Book Antiqua" w:eastAsia="宋体" w:hAnsi="Book Antiqua" w:cs="Times New Roman"/>
          <w:sz w:val="24"/>
        </w:rPr>
        <w:t xml:space="preserve"> are rare and heterogeneous, and previously ignored tumors, but have lately attracted increasing interest by researchers. More information and ideas are constantly emerging with a focus on these specific tumors. In 2017, WHO updated the classification of pNENs</w:t>
      </w:r>
      <w:r w:rsidRPr="006D6800">
        <w:rPr>
          <w:rFonts w:ascii="Book Antiqua" w:hAnsi="Book Antiqua" w:cs="Times New Roman"/>
          <w:kern w:val="0"/>
          <w:sz w:val="24"/>
          <w:lang w:bidi="ar"/>
        </w:rPr>
        <w:t>, and</w:t>
      </w:r>
      <w:r w:rsidRPr="006D6800">
        <w:rPr>
          <w:rFonts w:ascii="Book Antiqua" w:eastAsia="宋体" w:hAnsi="Book Antiqua" w:cs="Times New Roman"/>
          <w:sz w:val="24"/>
        </w:rPr>
        <w:t xml:space="preserve"> the G3 group in the 2010 version was divided into pNETs G3 and pNECs, which differ from each other, according to evidence from basic research and clinical practice. Therefore, a lot of past research data deserve re-examination and new prospective research using the new classification is urgently needed. In addition, many questions remain about pNETs G3 and pNECs. For example, some gene sequencing data from pNETs G3 and pNECs are available but not sufficient to identify biomarkers that can guide clinical management and development of new drugs. New sequencing technologies and analysis methods may help, such as single-cell sequencing, which provides better understanding of the function of individual cells and circulating tumor DNA that can reflect the entire tumor genome and monitor tumor progression at various time points. The management options for pNETs G3 and pNECs are still limited. The existing clinical evidence about these tumors, especially pNECs, is basically derived from individual cases or retrospective studies. This may be related to the rare incidence of pNETs G3 and pNECs. To solve this problem, cooperation should be strengthened, and resources should be integrated. Establishment of the models </w:t>
      </w:r>
      <w:r w:rsidRPr="006D6800">
        <w:rPr>
          <w:rFonts w:ascii="Book Antiqua" w:eastAsia="宋体" w:hAnsi="Book Antiqua" w:cs="Times New Roman"/>
          <w:i/>
          <w:iCs/>
          <w:sz w:val="24"/>
        </w:rPr>
        <w:t xml:space="preserve">in vitro </w:t>
      </w:r>
      <w:r w:rsidRPr="006D6800">
        <w:rPr>
          <w:rFonts w:ascii="Book Antiqua" w:eastAsia="宋体" w:hAnsi="Book Antiqua" w:cs="Times New Roman"/>
          <w:sz w:val="24"/>
        </w:rPr>
        <w:t xml:space="preserve">and </w:t>
      </w:r>
      <w:r w:rsidRPr="006D6800">
        <w:rPr>
          <w:rFonts w:ascii="Book Antiqua" w:eastAsia="宋体" w:hAnsi="Book Antiqua" w:cs="Times New Roman"/>
          <w:i/>
          <w:iCs/>
          <w:sz w:val="24"/>
        </w:rPr>
        <w:t>in vivo</w:t>
      </w:r>
      <w:r w:rsidRPr="006D6800">
        <w:rPr>
          <w:rFonts w:ascii="Book Antiqua" w:eastAsia="宋体" w:hAnsi="Book Antiqua" w:cs="Times New Roman"/>
          <w:sz w:val="24"/>
        </w:rPr>
        <w:t xml:space="preserve"> may also be of </w:t>
      </w:r>
      <w:proofErr w:type="gramStart"/>
      <w:r w:rsidRPr="006D6800">
        <w:rPr>
          <w:rFonts w:ascii="Book Antiqua" w:eastAsia="宋体" w:hAnsi="Book Antiqua" w:cs="Times New Roman"/>
          <w:sz w:val="24"/>
        </w:rPr>
        <w:t>help</w:t>
      </w:r>
      <w:r w:rsidRPr="006D6800">
        <w:rPr>
          <w:rFonts w:ascii="Book Antiqua" w:hAnsi="Book Antiqua" w:cs="Times New Roman"/>
          <w:kern w:val="0"/>
          <w:sz w:val="24"/>
          <w:vertAlign w:val="superscript"/>
          <w:lang w:bidi="ar"/>
        </w:rPr>
        <w:t>[</w:t>
      </w:r>
      <w:proofErr w:type="gramEnd"/>
      <w:r w:rsidRPr="006D6800">
        <w:rPr>
          <w:rFonts w:ascii="Book Antiqua" w:hAnsi="Book Antiqua" w:cs="Times New Roman"/>
          <w:kern w:val="0"/>
          <w:sz w:val="24"/>
          <w:vertAlign w:val="superscript"/>
          <w:lang w:bidi="ar"/>
        </w:rPr>
        <w:t>81,82]</w:t>
      </w:r>
      <w:r w:rsidRPr="006D6800">
        <w:rPr>
          <w:rFonts w:ascii="Book Antiqua" w:eastAsia="宋体" w:hAnsi="Book Antiqua" w:cs="Times New Roman"/>
          <w:sz w:val="24"/>
        </w:rPr>
        <w:t>.</w:t>
      </w:r>
    </w:p>
    <w:p w:rsidR="00B27CCD" w:rsidRPr="006D6800" w:rsidRDefault="00B27CCD" w:rsidP="006D6800">
      <w:pPr>
        <w:pStyle w:val="a3"/>
        <w:widowControl/>
        <w:snapToGrid w:val="0"/>
        <w:spacing w:beforeAutospacing="0" w:afterAutospacing="0" w:line="360" w:lineRule="auto"/>
        <w:jc w:val="both"/>
        <w:rPr>
          <w:rFonts w:ascii="Book Antiqua" w:eastAsia="宋体" w:hAnsi="Book Antiqua"/>
          <w:b/>
          <w:bCs/>
          <w:kern w:val="2"/>
        </w:rPr>
      </w:pPr>
    </w:p>
    <w:p w:rsidR="00281265" w:rsidRPr="006D6800" w:rsidRDefault="00281265" w:rsidP="006D6800">
      <w:pPr>
        <w:shd w:val="clear" w:color="auto" w:fill="FFFFFF"/>
        <w:snapToGrid w:val="0"/>
        <w:spacing w:line="360" w:lineRule="auto"/>
        <w:rPr>
          <w:rFonts w:ascii="Book Antiqua" w:hAnsi="Book Antiqua"/>
          <w:b/>
          <w:color w:val="000000"/>
          <w:sz w:val="24"/>
          <w:lang w:val="en-GB"/>
        </w:rPr>
      </w:pPr>
      <w:r w:rsidRPr="006D6800">
        <w:rPr>
          <w:rFonts w:ascii="Book Antiqua" w:hAnsi="Book Antiqua"/>
          <w:b/>
          <w:color w:val="000000"/>
          <w:sz w:val="24"/>
          <w:lang w:val="en-GB"/>
        </w:rPr>
        <w:t>REFERENCES</w:t>
      </w:r>
    </w:p>
    <w:p w:rsidR="006F58B1" w:rsidRPr="006D6800" w:rsidRDefault="006F58B1" w:rsidP="006D6800">
      <w:pPr>
        <w:snapToGrid w:val="0"/>
        <w:spacing w:line="360" w:lineRule="auto"/>
        <w:rPr>
          <w:rFonts w:ascii="Book Antiqua" w:hAnsi="Book Antiqua"/>
          <w:sz w:val="24"/>
        </w:rPr>
      </w:pPr>
      <w:proofErr w:type="gramStart"/>
      <w:r w:rsidRPr="006D6800">
        <w:rPr>
          <w:rFonts w:ascii="Book Antiqua" w:hAnsi="Book Antiqua"/>
          <w:sz w:val="24"/>
        </w:rPr>
        <w:t xml:space="preserve">1 </w:t>
      </w:r>
      <w:r w:rsidRPr="006D6800">
        <w:rPr>
          <w:rFonts w:ascii="Book Antiqua" w:hAnsi="Book Antiqua"/>
          <w:b/>
          <w:sz w:val="24"/>
        </w:rPr>
        <w:t>Fesinmeyer MD</w:t>
      </w:r>
      <w:r w:rsidRPr="006D6800">
        <w:rPr>
          <w:rFonts w:ascii="Book Antiqua" w:hAnsi="Book Antiqua"/>
          <w:sz w:val="24"/>
        </w:rPr>
        <w:t>, Austin MA, Li CI, De Roos AJ, Bowen DJ.</w:t>
      </w:r>
      <w:proofErr w:type="gramEnd"/>
      <w:r w:rsidRPr="006D6800">
        <w:rPr>
          <w:rFonts w:ascii="Book Antiqua" w:hAnsi="Book Antiqua"/>
          <w:sz w:val="24"/>
        </w:rPr>
        <w:t xml:space="preserve"> </w:t>
      </w:r>
      <w:proofErr w:type="gramStart"/>
      <w:r w:rsidRPr="006D6800">
        <w:rPr>
          <w:rFonts w:ascii="Book Antiqua" w:hAnsi="Book Antiqua"/>
          <w:sz w:val="24"/>
        </w:rPr>
        <w:t>Differences in survival by histologic type of pancreatic cancer.</w:t>
      </w:r>
      <w:proofErr w:type="gramEnd"/>
      <w:r w:rsidRPr="006D6800">
        <w:rPr>
          <w:rFonts w:ascii="Book Antiqua" w:hAnsi="Book Antiqua"/>
          <w:sz w:val="24"/>
        </w:rPr>
        <w:t xml:space="preserve"> </w:t>
      </w:r>
      <w:r w:rsidRPr="006D6800">
        <w:rPr>
          <w:rFonts w:ascii="Book Antiqua" w:hAnsi="Book Antiqua"/>
          <w:i/>
          <w:sz w:val="24"/>
        </w:rPr>
        <w:t>Cancer Epidemiol Biomarkers Prev</w:t>
      </w:r>
      <w:r w:rsidRPr="006D6800">
        <w:rPr>
          <w:rFonts w:ascii="Book Antiqua" w:hAnsi="Book Antiqua"/>
          <w:sz w:val="24"/>
        </w:rPr>
        <w:t xml:space="preserve"> 2005; </w:t>
      </w:r>
      <w:r w:rsidRPr="006D6800">
        <w:rPr>
          <w:rFonts w:ascii="Book Antiqua" w:hAnsi="Book Antiqua"/>
          <w:b/>
          <w:sz w:val="24"/>
        </w:rPr>
        <w:t>14</w:t>
      </w:r>
      <w:r w:rsidRPr="006D6800">
        <w:rPr>
          <w:rFonts w:ascii="Book Antiqua" w:hAnsi="Book Antiqua"/>
          <w:sz w:val="24"/>
        </w:rPr>
        <w:t xml:space="preserve">: </w:t>
      </w:r>
      <w:r w:rsidRPr="006D6800">
        <w:rPr>
          <w:rFonts w:ascii="Book Antiqua" w:hAnsi="Book Antiqua"/>
          <w:sz w:val="24"/>
        </w:rPr>
        <w:lastRenderedPageBreak/>
        <w:t>1766-1773 [PMID: 16030115 DOI: 10.1158]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 </w:t>
      </w:r>
      <w:r w:rsidRPr="006D6800">
        <w:rPr>
          <w:rFonts w:ascii="Book Antiqua" w:hAnsi="Book Antiqua"/>
          <w:b/>
          <w:sz w:val="24"/>
        </w:rPr>
        <w:t>Ito T</w:t>
      </w:r>
      <w:r w:rsidRPr="006D6800">
        <w:rPr>
          <w:rFonts w:ascii="Book Antiqua" w:hAnsi="Book Antiqua"/>
          <w:sz w:val="24"/>
        </w:rPr>
        <w:t xml:space="preserve">, Igarashi H, Nakamura K, Sasano H, Okusaka T, Takano K, Komoto I, Tanaka M, Imamura M, Jensen RT, Takayanagi R, Shimatsu A. Epidemiological trends of pancreatic and gastrointestinal neuroendocrine tumors in Japan: a nationwide survey analysis. </w:t>
      </w:r>
      <w:r w:rsidRPr="006D6800">
        <w:rPr>
          <w:rFonts w:ascii="Book Antiqua" w:hAnsi="Book Antiqua"/>
          <w:i/>
          <w:sz w:val="24"/>
        </w:rPr>
        <w:t>J Gastroenterol</w:t>
      </w:r>
      <w:r w:rsidRPr="006D6800">
        <w:rPr>
          <w:rFonts w:ascii="Book Antiqua" w:hAnsi="Book Antiqua"/>
          <w:sz w:val="24"/>
        </w:rPr>
        <w:t xml:space="preserve"> 2015; </w:t>
      </w:r>
      <w:r w:rsidRPr="006D6800">
        <w:rPr>
          <w:rFonts w:ascii="Book Antiqua" w:hAnsi="Book Antiqua"/>
          <w:b/>
          <w:sz w:val="24"/>
        </w:rPr>
        <w:t>50</w:t>
      </w:r>
      <w:r w:rsidRPr="006D6800">
        <w:rPr>
          <w:rFonts w:ascii="Book Antiqua" w:hAnsi="Book Antiqua"/>
          <w:sz w:val="24"/>
        </w:rPr>
        <w:t>: 58-64 [PMID: 24499825 DOI: 10.1007/s00535-014-0934-2]</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 </w:t>
      </w:r>
      <w:r w:rsidRPr="006D6800">
        <w:rPr>
          <w:rFonts w:ascii="Book Antiqua" w:hAnsi="Book Antiqua"/>
          <w:b/>
          <w:sz w:val="24"/>
        </w:rPr>
        <w:t>Dasari A</w:t>
      </w:r>
      <w:r w:rsidRPr="006D6800">
        <w:rPr>
          <w:rFonts w:ascii="Book Antiqua" w:hAnsi="Book Antiqua"/>
          <w:sz w:val="24"/>
        </w:rPr>
        <w:t xml:space="preserve">, Shen C, Halperin D, Zhao B, Zhou S, Xu Y, Shih T, Yao JC. Trends in the Incidence, Prevalence, and Survival Outcomes in Patients </w:t>
      </w:r>
      <w:proofErr w:type="gramStart"/>
      <w:r w:rsidRPr="006D6800">
        <w:rPr>
          <w:rFonts w:ascii="Book Antiqua" w:hAnsi="Book Antiqua"/>
          <w:sz w:val="24"/>
        </w:rPr>
        <w:t>With</w:t>
      </w:r>
      <w:proofErr w:type="gramEnd"/>
      <w:r w:rsidRPr="006D6800">
        <w:rPr>
          <w:rFonts w:ascii="Book Antiqua" w:hAnsi="Book Antiqua"/>
          <w:sz w:val="24"/>
        </w:rPr>
        <w:t xml:space="preserve"> Neuroendocrine Tumors in the United States. </w:t>
      </w:r>
      <w:r w:rsidRPr="006D6800">
        <w:rPr>
          <w:rFonts w:ascii="Book Antiqua" w:hAnsi="Book Antiqua"/>
          <w:i/>
          <w:sz w:val="24"/>
        </w:rPr>
        <w:t>JAMA Oncol</w:t>
      </w:r>
      <w:r w:rsidRPr="006D6800">
        <w:rPr>
          <w:rFonts w:ascii="Book Antiqua" w:hAnsi="Book Antiqua"/>
          <w:sz w:val="24"/>
        </w:rPr>
        <w:t xml:space="preserve"> 2017; </w:t>
      </w:r>
      <w:r w:rsidRPr="006D6800">
        <w:rPr>
          <w:rFonts w:ascii="Book Antiqua" w:hAnsi="Book Antiqua"/>
          <w:b/>
          <w:sz w:val="24"/>
        </w:rPr>
        <w:t>3</w:t>
      </w:r>
      <w:r w:rsidRPr="006D6800">
        <w:rPr>
          <w:rFonts w:ascii="Book Antiqua" w:hAnsi="Book Antiqua"/>
          <w:sz w:val="24"/>
        </w:rPr>
        <w:t>: 1335-1342 [PMID: 28448665 DOI: 10.1001/jamaoncol.2017.0589]</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4 </w:t>
      </w:r>
      <w:r w:rsidRPr="006D6800">
        <w:rPr>
          <w:rFonts w:ascii="Book Antiqua" w:hAnsi="Book Antiqua"/>
          <w:b/>
          <w:sz w:val="24"/>
        </w:rPr>
        <w:t>Hallet J</w:t>
      </w:r>
      <w:r w:rsidRPr="006D6800">
        <w:rPr>
          <w:rFonts w:ascii="Book Antiqua" w:hAnsi="Book Antiqua"/>
          <w:sz w:val="24"/>
        </w:rPr>
        <w:t xml:space="preserve">, Law CH, Cukier M, Saskin R, Liu N, Singh S. Exploring the rising incidence of neuroendocrine tumors: a population-based analysis of epidemiology, metastatic presentation, and outcomes. </w:t>
      </w:r>
      <w:r w:rsidRPr="006D6800">
        <w:rPr>
          <w:rFonts w:ascii="Book Antiqua" w:hAnsi="Book Antiqua"/>
          <w:i/>
          <w:sz w:val="24"/>
        </w:rPr>
        <w:t>Cancer</w:t>
      </w:r>
      <w:r w:rsidRPr="006D6800">
        <w:rPr>
          <w:rFonts w:ascii="Book Antiqua" w:hAnsi="Book Antiqua"/>
          <w:sz w:val="24"/>
        </w:rPr>
        <w:t xml:space="preserve"> 2015; </w:t>
      </w:r>
      <w:r w:rsidRPr="006D6800">
        <w:rPr>
          <w:rFonts w:ascii="Book Antiqua" w:hAnsi="Book Antiqua"/>
          <w:b/>
          <w:sz w:val="24"/>
        </w:rPr>
        <w:t>121</w:t>
      </w:r>
      <w:r w:rsidRPr="006D6800">
        <w:rPr>
          <w:rFonts w:ascii="Book Antiqua" w:hAnsi="Book Antiqua"/>
          <w:sz w:val="24"/>
        </w:rPr>
        <w:t>: 589-597 [PMID: 25312765 DOI: 10.1002/cncr.29099]</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5 </w:t>
      </w:r>
      <w:r w:rsidRPr="006D6800">
        <w:rPr>
          <w:rFonts w:ascii="Book Antiqua" w:hAnsi="Book Antiqua"/>
          <w:b/>
          <w:sz w:val="24"/>
        </w:rPr>
        <w:t>Milione M</w:t>
      </w:r>
      <w:r w:rsidRPr="006D6800">
        <w:rPr>
          <w:rFonts w:ascii="Book Antiqua" w:hAnsi="Book Antiqua"/>
          <w:sz w:val="24"/>
        </w:rPr>
        <w:t xml:space="preserve">, Maisonneuve P, Spada F, Pellegrinelli A, Spaggiari P, Albarello L, Pisa E, Barberis M, Vanoli A, Buzzoni R, Pusceddu S, Concas L, Sessa F, Solcia E, Capella C, Fazio N, La Rosa S. The Clinicopathologic Heterogeneity of Grade 3 Gastroenteropancreatic Neuroendocrine Neoplasms: Morphological Differentiation and Proliferation Identify Different Prognostic Categories. </w:t>
      </w:r>
      <w:r w:rsidRPr="006D6800">
        <w:rPr>
          <w:rFonts w:ascii="Book Antiqua" w:hAnsi="Book Antiqua"/>
          <w:i/>
          <w:sz w:val="24"/>
        </w:rPr>
        <w:t>Neuroendocrinology</w:t>
      </w:r>
      <w:r w:rsidRPr="006D6800">
        <w:rPr>
          <w:rFonts w:ascii="Book Antiqua" w:hAnsi="Book Antiqua"/>
          <w:sz w:val="24"/>
        </w:rPr>
        <w:t xml:space="preserve"> 2017; </w:t>
      </w:r>
      <w:r w:rsidRPr="006D6800">
        <w:rPr>
          <w:rFonts w:ascii="Book Antiqua" w:hAnsi="Book Antiqua"/>
          <w:b/>
          <w:sz w:val="24"/>
        </w:rPr>
        <w:t>104</w:t>
      </w:r>
      <w:r w:rsidRPr="006D6800">
        <w:rPr>
          <w:rFonts w:ascii="Book Antiqua" w:hAnsi="Book Antiqua"/>
          <w:sz w:val="24"/>
        </w:rPr>
        <w:t>: 85-93 [PMID: 26943788 DOI: 10.1159/000445165]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 </w:t>
      </w:r>
      <w:r w:rsidRPr="006D6800">
        <w:rPr>
          <w:rFonts w:ascii="Book Antiqua" w:hAnsi="Book Antiqua"/>
          <w:b/>
          <w:sz w:val="24"/>
        </w:rPr>
        <w:t>Rindi G</w:t>
      </w:r>
      <w:r w:rsidRPr="006D6800">
        <w:rPr>
          <w:rFonts w:ascii="Book Antiqua" w:hAnsi="Book Antiqua"/>
          <w:sz w:val="24"/>
        </w:rPr>
        <w:t xml:space="preserve">, Falconi M, Klersy C, Albarello L, Boninsegna L, Buchler MW, Capella C, Caplin M, Couvelard A, Doglioni C, Delle Fave G, Fischer L, Fusai G, de Herder WW, Jann H, Komminoth P, de Krijger RR, La Rosa S, Luong TV, Pape U, Perren A, Ruszniewski P, Scarpa A, Schmitt A, Solcia E, Wiedenmann B. TNM staging of neoplasms of the endocrine pancreas: results from a large international cohort study. </w:t>
      </w:r>
      <w:r w:rsidRPr="006D6800">
        <w:rPr>
          <w:rFonts w:ascii="Book Antiqua" w:hAnsi="Book Antiqua"/>
          <w:i/>
          <w:sz w:val="24"/>
        </w:rPr>
        <w:t>J Natl Cancer Inst</w:t>
      </w:r>
      <w:r w:rsidRPr="006D6800">
        <w:rPr>
          <w:rFonts w:ascii="Book Antiqua" w:hAnsi="Book Antiqua"/>
          <w:sz w:val="24"/>
        </w:rPr>
        <w:t xml:space="preserve"> 2012; </w:t>
      </w:r>
      <w:r w:rsidRPr="006D6800">
        <w:rPr>
          <w:rFonts w:ascii="Book Antiqua" w:hAnsi="Book Antiqua"/>
          <w:b/>
          <w:sz w:val="24"/>
        </w:rPr>
        <w:t>104</w:t>
      </w:r>
      <w:r w:rsidRPr="006D6800">
        <w:rPr>
          <w:rFonts w:ascii="Book Antiqua" w:hAnsi="Book Antiqua"/>
          <w:sz w:val="24"/>
        </w:rPr>
        <w:t>: 764-777 [PMID: 22525418 DOI: 10.1093/jnci/djs208]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7 </w:t>
      </w:r>
      <w:r w:rsidRPr="006D6800">
        <w:rPr>
          <w:rFonts w:ascii="Book Antiqua" w:hAnsi="Book Antiqua"/>
          <w:b/>
          <w:sz w:val="24"/>
        </w:rPr>
        <w:t>Rindi G</w:t>
      </w:r>
      <w:r w:rsidRPr="006D6800">
        <w:rPr>
          <w:rFonts w:ascii="Book Antiqua" w:hAnsi="Book Antiqua"/>
          <w:sz w:val="24"/>
        </w:rPr>
        <w:t xml:space="preserve">, Klimstra DS, Abedi-Ardekani B, Asa SL, Bosman FT, Brambilla E, Busam KJ, de Krijger RR, Dietel M, El-Naggar AK, Fernandez-Cuesta L, Klöppel G, McCluggage WG, Moch H, Ohgaki H, Rakha EA, Reed NS, Rous BA, Sasano H, Scarpa A, Scoazec JY, Travis WD, Tallini G, Trouillas J, van Krieken JH, Cree IA. A common classification framework for neuroendocrine neoplasms: an International </w:t>
      </w:r>
      <w:r w:rsidRPr="006D6800">
        <w:rPr>
          <w:rFonts w:ascii="Book Antiqua" w:hAnsi="Book Antiqua"/>
          <w:sz w:val="24"/>
        </w:rPr>
        <w:lastRenderedPageBreak/>
        <w:t xml:space="preserve">Agency for Research on Cancer (IARC) and World Health Organization (WHO) expert consensus proposal. </w:t>
      </w:r>
      <w:r w:rsidRPr="006D6800">
        <w:rPr>
          <w:rFonts w:ascii="Book Antiqua" w:hAnsi="Book Antiqua"/>
          <w:i/>
          <w:sz w:val="24"/>
        </w:rPr>
        <w:t>Mod Pathol</w:t>
      </w:r>
      <w:r w:rsidRPr="006D6800">
        <w:rPr>
          <w:rFonts w:ascii="Book Antiqua" w:hAnsi="Book Antiqua"/>
          <w:sz w:val="24"/>
        </w:rPr>
        <w:t xml:space="preserve"> 2018; </w:t>
      </w:r>
      <w:r w:rsidRPr="006D6800">
        <w:rPr>
          <w:rFonts w:ascii="Book Antiqua" w:hAnsi="Book Antiqua"/>
          <w:b/>
          <w:sz w:val="24"/>
        </w:rPr>
        <w:t>31</w:t>
      </w:r>
      <w:r w:rsidRPr="006D6800">
        <w:rPr>
          <w:rFonts w:ascii="Book Antiqua" w:hAnsi="Book Antiqua"/>
          <w:sz w:val="24"/>
        </w:rPr>
        <w:t>: 1770-1786 [PMID: 30140036 DOI: 10.1038/s41379-018-0110-y]</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8 </w:t>
      </w:r>
      <w:r w:rsidRPr="006D6800">
        <w:rPr>
          <w:rFonts w:ascii="Book Antiqua" w:hAnsi="Book Antiqua"/>
          <w:b/>
          <w:sz w:val="24"/>
        </w:rPr>
        <w:t>Nagtegaal ID</w:t>
      </w:r>
      <w:r w:rsidRPr="006D6800">
        <w:rPr>
          <w:rFonts w:ascii="Book Antiqua" w:hAnsi="Book Antiqua"/>
          <w:sz w:val="24"/>
        </w:rPr>
        <w:t xml:space="preserve">, Odze RD, Klimstra D, Paradis V, Rugge M, Schirmacher P, Washington KM, Carneiro F, Cree IA; WHO Classification of Tumours Editorial Board. </w:t>
      </w:r>
      <w:proofErr w:type="gramStart"/>
      <w:r w:rsidRPr="006D6800">
        <w:rPr>
          <w:rFonts w:ascii="Book Antiqua" w:hAnsi="Book Antiqua"/>
          <w:sz w:val="24"/>
        </w:rPr>
        <w:t>The 2019 WHO classification of tumours of the digestive system.</w:t>
      </w:r>
      <w:proofErr w:type="gramEnd"/>
      <w:r w:rsidRPr="006D6800">
        <w:rPr>
          <w:rFonts w:ascii="Book Antiqua" w:hAnsi="Book Antiqua"/>
          <w:sz w:val="24"/>
        </w:rPr>
        <w:t xml:space="preserve"> </w:t>
      </w:r>
      <w:r w:rsidRPr="006D6800">
        <w:rPr>
          <w:rFonts w:ascii="Book Antiqua" w:hAnsi="Book Antiqua"/>
          <w:i/>
          <w:sz w:val="24"/>
        </w:rPr>
        <w:t>Histopathology</w:t>
      </w:r>
      <w:r w:rsidRPr="006D6800">
        <w:rPr>
          <w:rFonts w:ascii="Book Antiqua" w:hAnsi="Book Antiqua"/>
          <w:sz w:val="24"/>
        </w:rPr>
        <w:t xml:space="preserve"> 2020; </w:t>
      </w:r>
      <w:r w:rsidRPr="006D6800">
        <w:rPr>
          <w:rFonts w:ascii="Book Antiqua" w:hAnsi="Book Antiqua"/>
          <w:b/>
          <w:sz w:val="24"/>
        </w:rPr>
        <w:t>76</w:t>
      </w:r>
      <w:r w:rsidRPr="006D6800">
        <w:rPr>
          <w:rFonts w:ascii="Book Antiqua" w:hAnsi="Book Antiqua"/>
          <w:sz w:val="24"/>
        </w:rPr>
        <w:t>: 182-188 [PMID: 31433515 DOI: 10.1111/his.13975]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9 </w:t>
      </w:r>
      <w:r w:rsidRPr="006D6800">
        <w:rPr>
          <w:rFonts w:ascii="Book Antiqua" w:hAnsi="Book Antiqua"/>
          <w:b/>
          <w:sz w:val="24"/>
        </w:rPr>
        <w:t>Gerdes J</w:t>
      </w:r>
      <w:r w:rsidRPr="006D6800">
        <w:rPr>
          <w:rFonts w:ascii="Book Antiqua" w:hAnsi="Book Antiqua"/>
          <w:sz w:val="24"/>
        </w:rPr>
        <w:t xml:space="preserve">, Schwab U, Lemke H, Stein H. Production of a mouse monoclonal antibody reactive with a human nuclear antigen associated with cell proliferation. </w:t>
      </w:r>
      <w:r w:rsidRPr="006D6800">
        <w:rPr>
          <w:rFonts w:ascii="Book Antiqua" w:hAnsi="Book Antiqua"/>
          <w:i/>
          <w:sz w:val="24"/>
        </w:rPr>
        <w:t>Int J Cancer</w:t>
      </w:r>
      <w:r w:rsidRPr="006D6800">
        <w:rPr>
          <w:rFonts w:ascii="Book Antiqua" w:hAnsi="Book Antiqua"/>
          <w:sz w:val="24"/>
        </w:rPr>
        <w:t xml:space="preserve"> 1983; </w:t>
      </w:r>
      <w:r w:rsidRPr="006D6800">
        <w:rPr>
          <w:rFonts w:ascii="Book Antiqua" w:hAnsi="Book Antiqua"/>
          <w:b/>
          <w:sz w:val="24"/>
        </w:rPr>
        <w:t>31</w:t>
      </w:r>
      <w:r w:rsidRPr="006D6800">
        <w:rPr>
          <w:rFonts w:ascii="Book Antiqua" w:hAnsi="Book Antiqua"/>
          <w:sz w:val="24"/>
        </w:rPr>
        <w:t>: 13-20 [PMID: 6339421 DOI: 10.1002/ijc.2910310104]</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10 </w:t>
      </w:r>
      <w:r w:rsidRPr="006D6800">
        <w:rPr>
          <w:rFonts w:ascii="Book Antiqua" w:hAnsi="Book Antiqua"/>
          <w:b/>
          <w:sz w:val="24"/>
        </w:rPr>
        <w:t>Basturk O</w:t>
      </w:r>
      <w:r w:rsidRPr="006D6800">
        <w:rPr>
          <w:rFonts w:ascii="Book Antiqua" w:hAnsi="Book Antiqua"/>
          <w:sz w:val="24"/>
        </w:rPr>
        <w:t xml:space="preserve">, Yang Z, Tang LH, Hruban RH, Adsay V, McCall CM, Krasinskas AM, Jang KT, Frankel WL, Balci S, Sigel C, Klimstra DS. The high-grade (WHO G3) pancreatic neuroendocrine tumor category is morphologically and biologically heterogenous and includes both well differentiated and poorly differentiated neoplasms. </w:t>
      </w:r>
      <w:r w:rsidRPr="006D6800">
        <w:rPr>
          <w:rFonts w:ascii="Book Antiqua" w:hAnsi="Book Antiqua"/>
          <w:i/>
          <w:sz w:val="24"/>
        </w:rPr>
        <w:t>Am J Surg Pathol</w:t>
      </w:r>
      <w:r w:rsidRPr="006D6800">
        <w:rPr>
          <w:rFonts w:ascii="Book Antiqua" w:hAnsi="Book Antiqua"/>
          <w:sz w:val="24"/>
        </w:rPr>
        <w:t xml:space="preserve"> 2015; </w:t>
      </w:r>
      <w:r w:rsidRPr="006D6800">
        <w:rPr>
          <w:rFonts w:ascii="Book Antiqua" w:hAnsi="Book Antiqua"/>
          <w:b/>
          <w:sz w:val="24"/>
        </w:rPr>
        <w:t>39</w:t>
      </w:r>
      <w:r w:rsidRPr="006D6800">
        <w:rPr>
          <w:rFonts w:ascii="Book Antiqua" w:hAnsi="Book Antiqua"/>
          <w:sz w:val="24"/>
        </w:rPr>
        <w:t>: 683-690 [PMID: 25723112 DOI: 10.1097/PAS.0000000000000408]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11 </w:t>
      </w:r>
      <w:r w:rsidRPr="006D6800">
        <w:rPr>
          <w:rFonts w:ascii="Book Antiqua" w:hAnsi="Book Antiqua"/>
          <w:b/>
          <w:sz w:val="24"/>
        </w:rPr>
        <w:t>Komaç Ö</w:t>
      </w:r>
      <w:r w:rsidRPr="006D6800">
        <w:rPr>
          <w:rFonts w:ascii="Book Antiqua" w:hAnsi="Book Antiqua"/>
          <w:sz w:val="24"/>
        </w:rPr>
        <w:t xml:space="preserve">, Bengi G, Sağol Ö, Akarsu M. C-reactive protein may be a prognostic factor for the whole gastroenteropancreatic neuroendocrine tumor group. </w:t>
      </w:r>
      <w:r w:rsidRPr="006D6800">
        <w:rPr>
          <w:rFonts w:ascii="Book Antiqua" w:hAnsi="Book Antiqua"/>
          <w:i/>
          <w:sz w:val="24"/>
        </w:rPr>
        <w:t>World J Gastrointest Oncol</w:t>
      </w:r>
      <w:r w:rsidRPr="006D6800">
        <w:rPr>
          <w:rFonts w:ascii="Book Antiqua" w:hAnsi="Book Antiqua"/>
          <w:sz w:val="24"/>
        </w:rPr>
        <w:t xml:space="preserve"> 2019; </w:t>
      </w:r>
      <w:r w:rsidRPr="006D6800">
        <w:rPr>
          <w:rFonts w:ascii="Book Antiqua" w:hAnsi="Book Antiqua"/>
          <w:b/>
          <w:sz w:val="24"/>
        </w:rPr>
        <w:t>11</w:t>
      </w:r>
      <w:r w:rsidRPr="006D6800">
        <w:rPr>
          <w:rFonts w:ascii="Book Antiqua" w:hAnsi="Book Antiqua"/>
          <w:sz w:val="24"/>
        </w:rPr>
        <w:t>: 139-152 [PMID: 30788040 DOI: 10.4251/wjgo.v11.i2.139]</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12 </w:t>
      </w:r>
      <w:r w:rsidRPr="006D6800">
        <w:rPr>
          <w:rFonts w:ascii="Book Antiqua" w:hAnsi="Book Antiqua"/>
          <w:b/>
          <w:sz w:val="24"/>
        </w:rPr>
        <w:t>Panzuto F</w:t>
      </w:r>
      <w:r w:rsidRPr="006D6800">
        <w:rPr>
          <w:rFonts w:ascii="Book Antiqua" w:hAnsi="Book Antiqua"/>
          <w:sz w:val="24"/>
        </w:rPr>
        <w:t xml:space="preserve">, Cicchese N, Partelli S, Rinzivillo M, Capurso G, Merola E, Manzoni M, Pucci E, Iannicelli E, Pilozzi E, Rossi M, Doglioni C, Falconi M, Delle Fave G. Impact of Ki67 re-assessment at time of disease progression in patients with pancreatic neuroendocrine neoplasms. </w:t>
      </w:r>
      <w:r w:rsidRPr="006D6800">
        <w:rPr>
          <w:rFonts w:ascii="Book Antiqua" w:hAnsi="Book Antiqua"/>
          <w:i/>
          <w:sz w:val="24"/>
        </w:rPr>
        <w:t>PLoS One</w:t>
      </w:r>
      <w:r w:rsidRPr="006D6800">
        <w:rPr>
          <w:rFonts w:ascii="Book Antiqua" w:hAnsi="Book Antiqua"/>
          <w:sz w:val="24"/>
        </w:rPr>
        <w:t xml:space="preserve"> 2017; </w:t>
      </w:r>
      <w:r w:rsidRPr="006D6800">
        <w:rPr>
          <w:rFonts w:ascii="Book Antiqua" w:hAnsi="Book Antiqua"/>
          <w:b/>
          <w:sz w:val="24"/>
        </w:rPr>
        <w:t>12</w:t>
      </w:r>
      <w:r w:rsidRPr="006D6800">
        <w:rPr>
          <w:rFonts w:ascii="Book Antiqua" w:hAnsi="Book Antiqua"/>
          <w:sz w:val="24"/>
        </w:rPr>
        <w:t>: e0179445 [PMID: 28644861 DOI: 10.1371/journal.pone.0179445]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13 </w:t>
      </w:r>
      <w:r w:rsidRPr="006D6800">
        <w:rPr>
          <w:rFonts w:ascii="Book Antiqua" w:hAnsi="Book Antiqua"/>
          <w:b/>
          <w:sz w:val="24"/>
        </w:rPr>
        <w:t>Tang LH</w:t>
      </w:r>
      <w:r w:rsidRPr="006D6800">
        <w:rPr>
          <w:rFonts w:ascii="Book Antiqua" w:hAnsi="Book Antiqua"/>
          <w:sz w:val="24"/>
        </w:rPr>
        <w:t xml:space="preserve">, Untch BR, Reidy DL, O'Reilly E, Dhall D, Jih L, Basturk O, Allen PJ, Klimstra DS. Well-Differentiated Neuroendocrine Tumors with a Morphologically Apparent High-Grade Component: A Pathway Distinct from Poorly Differentiated Neuroendocrine Carcinomas. </w:t>
      </w:r>
      <w:r w:rsidRPr="006D6800">
        <w:rPr>
          <w:rFonts w:ascii="Book Antiqua" w:hAnsi="Book Antiqua"/>
          <w:i/>
          <w:sz w:val="24"/>
        </w:rPr>
        <w:t>Clin Cancer Res</w:t>
      </w:r>
      <w:r w:rsidRPr="006D6800">
        <w:rPr>
          <w:rFonts w:ascii="Book Antiqua" w:hAnsi="Book Antiqua"/>
          <w:sz w:val="24"/>
        </w:rPr>
        <w:t xml:space="preserve"> 2016; </w:t>
      </w:r>
      <w:r w:rsidRPr="006D6800">
        <w:rPr>
          <w:rFonts w:ascii="Book Antiqua" w:hAnsi="Book Antiqua"/>
          <w:b/>
          <w:sz w:val="24"/>
        </w:rPr>
        <w:t>22</w:t>
      </w:r>
      <w:r w:rsidRPr="006D6800">
        <w:rPr>
          <w:rFonts w:ascii="Book Antiqua" w:hAnsi="Book Antiqua"/>
          <w:sz w:val="24"/>
        </w:rPr>
        <w:t>: 1011-1017 [PMID: 26482044 DOI: 10.1158/1078-0432.CCR-15-0548]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14 </w:t>
      </w:r>
      <w:r w:rsidRPr="006D6800">
        <w:rPr>
          <w:rFonts w:ascii="Book Antiqua" w:hAnsi="Book Antiqua"/>
          <w:b/>
          <w:sz w:val="24"/>
        </w:rPr>
        <w:t>Basturk O</w:t>
      </w:r>
      <w:r w:rsidRPr="006D6800">
        <w:rPr>
          <w:rFonts w:ascii="Book Antiqua" w:hAnsi="Book Antiqua"/>
          <w:sz w:val="24"/>
        </w:rPr>
        <w:t xml:space="preserve">, Tang L, Hruban RH, Adsay V, Yang Z, Krasinskas AM, Vakiani E, La Rosa S, Jang KT, Frankel WL, Liu X, Zhang L, Giordano TJ, Bellizzi AM, Chen JH, </w:t>
      </w:r>
      <w:r w:rsidRPr="006D6800">
        <w:rPr>
          <w:rFonts w:ascii="Book Antiqua" w:hAnsi="Book Antiqua"/>
          <w:sz w:val="24"/>
        </w:rPr>
        <w:lastRenderedPageBreak/>
        <w:t xml:space="preserve">Shi C, Allen P, Reidy DL, Wolfgang CL, Saka B, Rezaee N, Deshpande V, Klimstra DS. </w:t>
      </w:r>
      <w:proofErr w:type="gramStart"/>
      <w:r w:rsidRPr="006D6800">
        <w:rPr>
          <w:rFonts w:ascii="Book Antiqua" w:hAnsi="Book Antiqua"/>
          <w:sz w:val="24"/>
        </w:rPr>
        <w:t>Poorly differentiated neuroendocrine carcinomas of the pancreas: a clinicopathologic analysis of 44 cases.</w:t>
      </w:r>
      <w:proofErr w:type="gramEnd"/>
      <w:r w:rsidRPr="006D6800">
        <w:rPr>
          <w:rFonts w:ascii="Book Antiqua" w:hAnsi="Book Antiqua"/>
          <w:sz w:val="24"/>
        </w:rPr>
        <w:t xml:space="preserve"> </w:t>
      </w:r>
      <w:r w:rsidRPr="006D6800">
        <w:rPr>
          <w:rFonts w:ascii="Book Antiqua" w:hAnsi="Book Antiqua"/>
          <w:i/>
          <w:sz w:val="24"/>
        </w:rPr>
        <w:t>Am J Surg Pathol</w:t>
      </w:r>
      <w:r w:rsidRPr="006D6800">
        <w:rPr>
          <w:rFonts w:ascii="Book Antiqua" w:hAnsi="Book Antiqua"/>
          <w:sz w:val="24"/>
        </w:rPr>
        <w:t xml:space="preserve"> 2014; </w:t>
      </w:r>
      <w:r w:rsidRPr="006D6800">
        <w:rPr>
          <w:rFonts w:ascii="Book Antiqua" w:hAnsi="Book Antiqua"/>
          <w:b/>
          <w:sz w:val="24"/>
        </w:rPr>
        <w:t>38</w:t>
      </w:r>
      <w:r w:rsidRPr="006D6800">
        <w:rPr>
          <w:rFonts w:ascii="Book Antiqua" w:hAnsi="Book Antiqua"/>
          <w:sz w:val="24"/>
        </w:rPr>
        <w:t>: 437-447 [PMID: 24503751 DOI: 10.1097/PAS.0000000000000169]</w:t>
      </w:r>
    </w:p>
    <w:p w:rsidR="006F58B1" w:rsidRPr="006D6800" w:rsidRDefault="006F58B1" w:rsidP="006D6800">
      <w:pPr>
        <w:snapToGrid w:val="0"/>
        <w:spacing w:line="360" w:lineRule="auto"/>
        <w:rPr>
          <w:rFonts w:ascii="Book Antiqua" w:hAnsi="Book Antiqua"/>
          <w:sz w:val="24"/>
        </w:rPr>
      </w:pPr>
      <w:proofErr w:type="gramStart"/>
      <w:r w:rsidRPr="006D6800">
        <w:rPr>
          <w:rFonts w:ascii="Book Antiqua" w:hAnsi="Book Antiqua"/>
          <w:sz w:val="24"/>
        </w:rPr>
        <w:t xml:space="preserve">15 </w:t>
      </w:r>
      <w:r w:rsidRPr="006D6800">
        <w:rPr>
          <w:rFonts w:ascii="Book Antiqua" w:hAnsi="Book Antiqua"/>
          <w:b/>
          <w:sz w:val="24"/>
        </w:rPr>
        <w:t>Tang LH</w:t>
      </w:r>
      <w:r w:rsidRPr="006D6800">
        <w:rPr>
          <w:rFonts w:ascii="Book Antiqua" w:hAnsi="Book Antiqua"/>
          <w:sz w:val="24"/>
        </w:rPr>
        <w:t>, Basturk O, Sue JJ, Klimstra DS.</w:t>
      </w:r>
      <w:proofErr w:type="gramEnd"/>
      <w:r w:rsidRPr="006D6800">
        <w:rPr>
          <w:rFonts w:ascii="Book Antiqua" w:hAnsi="Book Antiqua"/>
          <w:sz w:val="24"/>
        </w:rPr>
        <w:t xml:space="preserve"> A Practical Approach to the Classification of WHO Grade 3 (G3) Well-differentiated Neuroendocrine </w:t>
      </w:r>
      <w:proofErr w:type="gramStart"/>
      <w:r w:rsidRPr="006D6800">
        <w:rPr>
          <w:rFonts w:ascii="Book Antiqua" w:hAnsi="Book Antiqua"/>
          <w:sz w:val="24"/>
        </w:rPr>
        <w:t>Tumor</w:t>
      </w:r>
      <w:proofErr w:type="gramEnd"/>
      <w:r w:rsidRPr="006D6800">
        <w:rPr>
          <w:rFonts w:ascii="Book Antiqua" w:hAnsi="Book Antiqua"/>
          <w:sz w:val="24"/>
        </w:rPr>
        <w:t xml:space="preserve"> (WD-NET) and Poorly Differentiated Neuroendocrine Carcinoma (PD-NEC) of the Pancreas. </w:t>
      </w:r>
      <w:r w:rsidRPr="006D6800">
        <w:rPr>
          <w:rFonts w:ascii="Book Antiqua" w:hAnsi="Book Antiqua"/>
          <w:i/>
          <w:sz w:val="24"/>
        </w:rPr>
        <w:t>Am J Surg Pathol</w:t>
      </w:r>
      <w:r w:rsidRPr="006D6800">
        <w:rPr>
          <w:rFonts w:ascii="Book Antiqua" w:hAnsi="Book Antiqua"/>
          <w:sz w:val="24"/>
        </w:rPr>
        <w:t xml:space="preserve"> 2016; </w:t>
      </w:r>
      <w:r w:rsidRPr="006D6800">
        <w:rPr>
          <w:rFonts w:ascii="Book Antiqua" w:hAnsi="Book Antiqua"/>
          <w:b/>
          <w:sz w:val="24"/>
        </w:rPr>
        <w:t>40</w:t>
      </w:r>
      <w:r w:rsidRPr="006D6800">
        <w:rPr>
          <w:rFonts w:ascii="Book Antiqua" w:hAnsi="Book Antiqua"/>
          <w:sz w:val="24"/>
        </w:rPr>
        <w:t>: 1192-1202 [PMID: 27259015 DOI: 10.1097/PAS.0000000000000662]</w:t>
      </w:r>
    </w:p>
    <w:p w:rsidR="006F58B1" w:rsidRPr="006D6800" w:rsidRDefault="006F58B1" w:rsidP="006D6800">
      <w:pPr>
        <w:snapToGrid w:val="0"/>
        <w:spacing w:line="360" w:lineRule="auto"/>
        <w:rPr>
          <w:rFonts w:ascii="Book Antiqua" w:hAnsi="Book Antiqua"/>
          <w:sz w:val="24"/>
        </w:rPr>
      </w:pPr>
      <w:proofErr w:type="gramStart"/>
      <w:r w:rsidRPr="006D6800">
        <w:rPr>
          <w:rFonts w:ascii="Book Antiqua" w:hAnsi="Book Antiqua"/>
          <w:sz w:val="24"/>
        </w:rPr>
        <w:t xml:space="preserve">16 </w:t>
      </w:r>
      <w:r w:rsidRPr="006D6800">
        <w:rPr>
          <w:rFonts w:ascii="Book Antiqua" w:hAnsi="Book Antiqua"/>
          <w:b/>
          <w:sz w:val="24"/>
        </w:rPr>
        <w:t>Singhi AD</w:t>
      </w:r>
      <w:r w:rsidRPr="006D6800">
        <w:rPr>
          <w:rFonts w:ascii="Book Antiqua" w:hAnsi="Book Antiqua"/>
          <w:sz w:val="24"/>
        </w:rPr>
        <w:t>, Klimstra DS.</w:t>
      </w:r>
      <w:proofErr w:type="gramEnd"/>
      <w:r w:rsidRPr="006D6800">
        <w:rPr>
          <w:rFonts w:ascii="Book Antiqua" w:hAnsi="Book Antiqua"/>
          <w:sz w:val="24"/>
        </w:rPr>
        <w:t xml:space="preserve"> Well-differentiated pancreatic neuroendocrine tumours (PanNETs) and poorly differentiated pancreatic neuroendocrine carcinomas (PanNECs): concepts, issues and a practical diagnostic approach to high-grade (G3) cases. </w:t>
      </w:r>
      <w:r w:rsidRPr="006D6800">
        <w:rPr>
          <w:rFonts w:ascii="Book Antiqua" w:hAnsi="Book Antiqua"/>
          <w:i/>
          <w:sz w:val="24"/>
        </w:rPr>
        <w:t>Histopathology</w:t>
      </w:r>
      <w:r w:rsidRPr="006D6800">
        <w:rPr>
          <w:rFonts w:ascii="Book Antiqua" w:hAnsi="Book Antiqua"/>
          <w:sz w:val="24"/>
        </w:rPr>
        <w:t xml:space="preserve"> 2018; </w:t>
      </w:r>
      <w:r w:rsidRPr="006D6800">
        <w:rPr>
          <w:rFonts w:ascii="Book Antiqua" w:hAnsi="Book Antiqua"/>
          <w:b/>
          <w:sz w:val="24"/>
        </w:rPr>
        <w:t>72</w:t>
      </w:r>
      <w:r w:rsidRPr="006D6800">
        <w:rPr>
          <w:rFonts w:ascii="Book Antiqua" w:hAnsi="Book Antiqua"/>
          <w:sz w:val="24"/>
        </w:rPr>
        <w:t>: 168-177 [PMID: 29239037 DOI: 10.1111/his.13408]</w:t>
      </w:r>
    </w:p>
    <w:p w:rsidR="006F58B1" w:rsidRPr="006D6800" w:rsidRDefault="006F58B1" w:rsidP="006D6800">
      <w:pPr>
        <w:snapToGrid w:val="0"/>
        <w:spacing w:line="360" w:lineRule="auto"/>
        <w:rPr>
          <w:rFonts w:ascii="Book Antiqua" w:hAnsi="Book Antiqua"/>
          <w:sz w:val="24"/>
        </w:rPr>
      </w:pPr>
      <w:r w:rsidRPr="0094427D">
        <w:rPr>
          <w:rFonts w:ascii="Book Antiqua" w:hAnsi="Book Antiqua"/>
          <w:sz w:val="24"/>
        </w:rPr>
        <w:t xml:space="preserve">17 </w:t>
      </w:r>
      <w:r w:rsidRPr="0094427D">
        <w:rPr>
          <w:rFonts w:ascii="Book Antiqua" w:hAnsi="Book Antiqua"/>
          <w:b/>
          <w:sz w:val="24"/>
        </w:rPr>
        <w:t>Briest</w:t>
      </w:r>
      <w:r w:rsidRPr="0094427D">
        <w:rPr>
          <w:rFonts w:ascii="Book Antiqua" w:hAnsi="Book Antiqua"/>
          <w:sz w:val="24"/>
        </w:rPr>
        <w:t xml:space="preserve"> </w:t>
      </w:r>
      <w:r w:rsidR="00902B80" w:rsidRPr="0094427D">
        <w:rPr>
          <w:rFonts w:ascii="Book Antiqua" w:hAnsi="Book Antiqua"/>
          <w:sz w:val="24"/>
        </w:rPr>
        <w:t>F,</w:t>
      </w:r>
      <w:r w:rsidRPr="0094427D">
        <w:rPr>
          <w:rFonts w:ascii="Book Antiqua" w:hAnsi="Book Antiqua"/>
          <w:sz w:val="24"/>
        </w:rPr>
        <w:t xml:space="preserve"> Konukiewitz M</w:t>
      </w:r>
      <w:r w:rsidR="00902B80" w:rsidRPr="0094427D">
        <w:rPr>
          <w:rFonts w:ascii="Book Antiqua" w:hAnsi="Book Antiqua"/>
          <w:sz w:val="24"/>
        </w:rPr>
        <w:t>,</w:t>
      </w:r>
      <w:r w:rsidRPr="0094427D">
        <w:rPr>
          <w:rFonts w:ascii="Book Antiqua" w:hAnsi="Book Antiqua"/>
          <w:sz w:val="24"/>
        </w:rPr>
        <w:t xml:space="preserve"> Anlauf</w:t>
      </w:r>
      <w:r w:rsidR="00902B80" w:rsidRPr="0094427D">
        <w:rPr>
          <w:rFonts w:ascii="Book Antiqua" w:hAnsi="Book Antiqua"/>
          <w:sz w:val="24"/>
        </w:rPr>
        <w:t xml:space="preserve"> M</w:t>
      </w:r>
      <w:r w:rsidRPr="0094427D">
        <w:rPr>
          <w:rFonts w:ascii="Book Antiqua" w:hAnsi="Book Antiqua"/>
          <w:sz w:val="24"/>
        </w:rPr>
        <w:t xml:space="preserve">, </w:t>
      </w:r>
      <w:r w:rsidR="00902B80" w:rsidRPr="0094427D">
        <w:rPr>
          <w:rFonts w:ascii="Book Antiqua" w:hAnsi="Book Antiqua"/>
          <w:sz w:val="24"/>
        </w:rPr>
        <w:t>Klöppel G, Grabowski P, Sipos B</w:t>
      </w:r>
      <w:r w:rsidRPr="0094427D">
        <w:rPr>
          <w:rFonts w:ascii="Book Antiqua" w:hAnsi="Book Antiqua"/>
          <w:sz w:val="24"/>
        </w:rPr>
        <w:t xml:space="preserve">. </w:t>
      </w:r>
      <w:bookmarkStart w:id="13" w:name="OLE_LINK6"/>
      <w:bookmarkStart w:id="14" w:name="OLE_LINK7"/>
      <w:r w:rsidRPr="0094427D">
        <w:rPr>
          <w:rFonts w:ascii="Book Antiqua" w:hAnsi="Book Antiqua"/>
          <w:sz w:val="24"/>
        </w:rPr>
        <w:t xml:space="preserve">Expression of FOXM1 in G3 neuroendocrine tumors (NET G3) and G3 neuroendocrine carcinomas (NEC G3) of the pancreas and the intestine. </w:t>
      </w:r>
      <w:bookmarkEnd w:id="13"/>
      <w:bookmarkEnd w:id="14"/>
      <w:proofErr w:type="gramStart"/>
      <w:r w:rsidR="00AE0D53" w:rsidRPr="0094427D">
        <w:rPr>
          <w:rFonts w:ascii="Book Antiqua" w:hAnsi="Book Antiqua"/>
          <w:sz w:val="24"/>
        </w:rPr>
        <w:t xml:space="preserve">15th Annual ENETS conference; </w:t>
      </w:r>
      <w:r w:rsidRPr="0094427D">
        <w:rPr>
          <w:rFonts w:ascii="Book Antiqua" w:hAnsi="Book Antiqua"/>
          <w:sz w:val="24"/>
        </w:rPr>
        <w:t>2018</w:t>
      </w:r>
      <w:r w:rsidR="00AE0D53" w:rsidRPr="0094427D">
        <w:rPr>
          <w:rFonts w:ascii="Book Antiqua" w:hAnsi="Book Antiqua"/>
          <w:sz w:val="24"/>
        </w:rPr>
        <w:t xml:space="preserve"> Mar</w:t>
      </w:r>
      <w:r w:rsidR="00805CE3" w:rsidRPr="0094427D">
        <w:rPr>
          <w:rFonts w:ascii="Book Antiqua" w:hAnsi="Book Antiqua"/>
          <w:sz w:val="24"/>
        </w:rPr>
        <w:t xml:space="preserve"> 7-9; Barcelona, Spain.</w:t>
      </w:r>
      <w:proofErr w:type="gramEnd"/>
    </w:p>
    <w:p w:rsidR="006F58B1" w:rsidRPr="006D6800" w:rsidRDefault="006F58B1" w:rsidP="006D6800">
      <w:pPr>
        <w:snapToGrid w:val="0"/>
        <w:spacing w:line="360" w:lineRule="auto"/>
        <w:rPr>
          <w:rFonts w:ascii="Book Antiqua" w:hAnsi="Book Antiqua"/>
          <w:sz w:val="24"/>
        </w:rPr>
      </w:pPr>
      <w:proofErr w:type="gramStart"/>
      <w:r w:rsidRPr="006D6800">
        <w:rPr>
          <w:rFonts w:ascii="Book Antiqua" w:hAnsi="Book Antiqua"/>
          <w:sz w:val="24"/>
        </w:rPr>
        <w:t xml:space="preserve">18 </w:t>
      </w:r>
      <w:r w:rsidRPr="006D6800">
        <w:rPr>
          <w:rFonts w:ascii="Book Antiqua" w:hAnsi="Book Antiqua"/>
          <w:b/>
          <w:sz w:val="24"/>
        </w:rPr>
        <w:t>Schachner M</w:t>
      </w:r>
      <w:r w:rsidRPr="006D6800">
        <w:rPr>
          <w:rFonts w:ascii="Book Antiqua" w:hAnsi="Book Antiqua"/>
          <w:sz w:val="24"/>
        </w:rPr>
        <w:t>. Neural recognition molecules and synaptic plasticity.</w:t>
      </w:r>
      <w:proofErr w:type="gramEnd"/>
      <w:r w:rsidRPr="006D6800">
        <w:rPr>
          <w:rFonts w:ascii="Book Antiqua" w:hAnsi="Book Antiqua"/>
          <w:sz w:val="24"/>
        </w:rPr>
        <w:t xml:space="preserve"> </w:t>
      </w:r>
      <w:r w:rsidRPr="006D6800">
        <w:rPr>
          <w:rFonts w:ascii="Book Antiqua" w:hAnsi="Book Antiqua"/>
          <w:i/>
          <w:sz w:val="24"/>
        </w:rPr>
        <w:t>Curr Opin Cell Biol</w:t>
      </w:r>
      <w:r w:rsidRPr="006D6800">
        <w:rPr>
          <w:rFonts w:ascii="Book Antiqua" w:hAnsi="Book Antiqua"/>
          <w:sz w:val="24"/>
        </w:rPr>
        <w:t xml:space="preserve"> 1997; </w:t>
      </w:r>
      <w:r w:rsidRPr="006D6800">
        <w:rPr>
          <w:rFonts w:ascii="Book Antiqua" w:hAnsi="Book Antiqua"/>
          <w:b/>
          <w:sz w:val="24"/>
        </w:rPr>
        <w:t>9</w:t>
      </w:r>
      <w:r w:rsidRPr="006D6800">
        <w:rPr>
          <w:rFonts w:ascii="Book Antiqua" w:hAnsi="Book Antiqua"/>
          <w:sz w:val="24"/>
        </w:rPr>
        <w:t>: 627-634 [PMID: 9330865 DOI: 10.1016/s0955-0674(97)80115-9]</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19 </w:t>
      </w:r>
      <w:r w:rsidRPr="006D6800">
        <w:rPr>
          <w:rFonts w:ascii="Book Antiqua" w:hAnsi="Book Antiqua"/>
          <w:b/>
          <w:sz w:val="24"/>
        </w:rPr>
        <w:t>Kaifi JT</w:t>
      </w:r>
      <w:r w:rsidRPr="006D6800">
        <w:rPr>
          <w:rFonts w:ascii="Book Antiqua" w:hAnsi="Book Antiqua"/>
          <w:sz w:val="24"/>
        </w:rPr>
        <w:t xml:space="preserve">, Zinnkann U, Yekebas EF, Schurr PG, Reichelt U, Wachowiak R, Fiegel HC, Petri S, Schachner M, Izbicki JR. L1 is a potential marker for poorly-differentiated pancreatic neuroendocrine carcinoma. </w:t>
      </w:r>
      <w:r w:rsidRPr="006D6800">
        <w:rPr>
          <w:rFonts w:ascii="Book Antiqua" w:hAnsi="Book Antiqua"/>
          <w:i/>
          <w:sz w:val="24"/>
        </w:rPr>
        <w:t>World J Gastroenterol</w:t>
      </w:r>
      <w:r w:rsidRPr="006D6800">
        <w:rPr>
          <w:rFonts w:ascii="Book Antiqua" w:hAnsi="Book Antiqua"/>
          <w:sz w:val="24"/>
        </w:rPr>
        <w:t xml:space="preserve"> 2006; </w:t>
      </w:r>
      <w:r w:rsidRPr="006D6800">
        <w:rPr>
          <w:rFonts w:ascii="Book Antiqua" w:hAnsi="Book Antiqua"/>
          <w:b/>
          <w:sz w:val="24"/>
        </w:rPr>
        <w:t>12</w:t>
      </w:r>
      <w:r w:rsidRPr="006D6800">
        <w:rPr>
          <w:rFonts w:ascii="Book Antiqua" w:hAnsi="Book Antiqua"/>
          <w:sz w:val="24"/>
        </w:rPr>
        <w:t>: 94-98 [PMID: 16440424 DOI: 10.3748/wjg.v12.i1.94]</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20 </w:t>
      </w:r>
      <w:r w:rsidRPr="006D6800">
        <w:rPr>
          <w:rFonts w:ascii="Book Antiqua" w:hAnsi="Book Antiqua"/>
          <w:b/>
          <w:sz w:val="24"/>
        </w:rPr>
        <w:t>Kajtazi Y</w:t>
      </w:r>
      <w:r w:rsidRPr="006D6800">
        <w:rPr>
          <w:rFonts w:ascii="Book Antiqua" w:hAnsi="Book Antiqua"/>
          <w:sz w:val="24"/>
        </w:rPr>
        <w:t xml:space="preserve">, Kaemmerer D, Sänger J, Schulz S, Lupp A. Somatostatin and chemokine CXCR4 receptor expression in pancreatic adenocarcinoma relative to pancreatic neuroendocrine tumours. </w:t>
      </w:r>
      <w:r w:rsidRPr="006D6800">
        <w:rPr>
          <w:rFonts w:ascii="Book Antiqua" w:hAnsi="Book Antiqua"/>
          <w:i/>
          <w:sz w:val="24"/>
        </w:rPr>
        <w:t>J Cancer Res Clin Oncol</w:t>
      </w:r>
      <w:r w:rsidRPr="006D6800">
        <w:rPr>
          <w:rFonts w:ascii="Book Antiqua" w:hAnsi="Book Antiqua"/>
          <w:sz w:val="24"/>
        </w:rPr>
        <w:t xml:space="preserve"> 2019; </w:t>
      </w:r>
      <w:r w:rsidRPr="006D6800">
        <w:rPr>
          <w:rFonts w:ascii="Book Antiqua" w:hAnsi="Book Antiqua"/>
          <w:b/>
          <w:sz w:val="24"/>
        </w:rPr>
        <w:t>145</w:t>
      </w:r>
      <w:r w:rsidRPr="006D6800">
        <w:rPr>
          <w:rFonts w:ascii="Book Antiqua" w:hAnsi="Book Antiqua"/>
          <w:sz w:val="24"/>
        </w:rPr>
        <w:t>: 2481-2493 [PMID: 31451931 DOI: 10.1007/s00432-019-03011-0]</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21 </w:t>
      </w:r>
      <w:r w:rsidRPr="006D6800">
        <w:rPr>
          <w:rFonts w:ascii="Book Antiqua" w:hAnsi="Book Antiqua"/>
          <w:b/>
          <w:sz w:val="24"/>
        </w:rPr>
        <w:t>Herrera-Martínez AD</w:t>
      </w:r>
      <w:r w:rsidRPr="006D6800">
        <w:rPr>
          <w:rFonts w:ascii="Book Antiqua" w:hAnsi="Book Antiqua"/>
          <w:sz w:val="24"/>
        </w:rPr>
        <w:t xml:space="preserve">, Gahete MD, Pedraza-Arevalo S, Sánchez-Sánchez R, Ortega-Salas R, Serrano-Blanch R, Luque RM, Gálvez-Moreno MA, Castaño JP. </w:t>
      </w:r>
      <w:proofErr w:type="gramStart"/>
      <w:r w:rsidRPr="006D6800">
        <w:rPr>
          <w:rFonts w:ascii="Book Antiqua" w:hAnsi="Book Antiqua"/>
          <w:sz w:val="24"/>
        </w:rPr>
        <w:t>Clinical and functional implication of the components of somatostatin system in gastroenteropancreatic neuroendocrine tumors.</w:t>
      </w:r>
      <w:proofErr w:type="gramEnd"/>
      <w:r w:rsidRPr="006D6800">
        <w:rPr>
          <w:rFonts w:ascii="Book Antiqua" w:hAnsi="Book Antiqua"/>
          <w:sz w:val="24"/>
        </w:rPr>
        <w:t xml:space="preserve"> </w:t>
      </w:r>
      <w:r w:rsidRPr="006D6800">
        <w:rPr>
          <w:rFonts w:ascii="Book Antiqua" w:hAnsi="Book Antiqua"/>
          <w:i/>
          <w:sz w:val="24"/>
        </w:rPr>
        <w:t>Endocrine</w:t>
      </w:r>
      <w:r w:rsidRPr="006D6800">
        <w:rPr>
          <w:rFonts w:ascii="Book Antiqua" w:hAnsi="Book Antiqua"/>
          <w:sz w:val="24"/>
        </w:rPr>
        <w:t xml:space="preserve"> 2018; </w:t>
      </w:r>
      <w:r w:rsidRPr="006D6800">
        <w:rPr>
          <w:rFonts w:ascii="Book Antiqua" w:hAnsi="Book Antiqua"/>
          <w:b/>
          <w:sz w:val="24"/>
        </w:rPr>
        <w:t>59</w:t>
      </w:r>
      <w:r w:rsidRPr="006D6800">
        <w:rPr>
          <w:rFonts w:ascii="Book Antiqua" w:hAnsi="Book Antiqua"/>
          <w:sz w:val="24"/>
        </w:rPr>
        <w:t xml:space="preserve">: 426-437 [PMID: </w:t>
      </w:r>
      <w:r w:rsidRPr="006D6800">
        <w:rPr>
          <w:rFonts w:ascii="Book Antiqua" w:hAnsi="Book Antiqua"/>
          <w:sz w:val="24"/>
        </w:rPr>
        <w:lastRenderedPageBreak/>
        <w:t>29196939 DOI: 10.1007/s12020-017-1482-3]</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22 </w:t>
      </w:r>
      <w:r w:rsidRPr="006D6800">
        <w:rPr>
          <w:rFonts w:ascii="Book Antiqua" w:hAnsi="Book Antiqua"/>
          <w:b/>
          <w:sz w:val="24"/>
        </w:rPr>
        <w:t>Konukiewitz B</w:t>
      </w:r>
      <w:r w:rsidRPr="006D6800">
        <w:rPr>
          <w:rFonts w:ascii="Book Antiqua" w:hAnsi="Book Antiqua"/>
          <w:sz w:val="24"/>
        </w:rPr>
        <w:t xml:space="preserve">, Schlitter AM, Jesinghaus M, Pfister D, Steiger K, Segler A, Agaimy A, Sipos B, Zamboni G, Weichert W, Esposito I, Pfarr N, Klöppel G. Somatostatin receptor expression related to TP53 and RB1 alterations in pancreatic and extrapancreatic neuroendocrine neoplasms with a Ki67-index above 20. </w:t>
      </w:r>
      <w:r w:rsidRPr="006D6800">
        <w:rPr>
          <w:rFonts w:ascii="Book Antiqua" w:hAnsi="Book Antiqua"/>
          <w:i/>
          <w:sz w:val="24"/>
        </w:rPr>
        <w:t>Mod Pathol</w:t>
      </w:r>
      <w:r w:rsidRPr="006D6800">
        <w:rPr>
          <w:rFonts w:ascii="Book Antiqua" w:hAnsi="Book Antiqua"/>
          <w:sz w:val="24"/>
        </w:rPr>
        <w:t xml:space="preserve"> 2017; </w:t>
      </w:r>
      <w:r w:rsidRPr="006D6800">
        <w:rPr>
          <w:rFonts w:ascii="Book Antiqua" w:hAnsi="Book Antiqua"/>
          <w:b/>
          <w:sz w:val="24"/>
        </w:rPr>
        <w:t>30</w:t>
      </w:r>
      <w:r w:rsidRPr="006D6800">
        <w:rPr>
          <w:rFonts w:ascii="Book Antiqua" w:hAnsi="Book Antiqua"/>
          <w:sz w:val="24"/>
        </w:rPr>
        <w:t>: 587-598 [PMID: 28059098 DOI: 10.1038/modpathol.2016.217]</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23 </w:t>
      </w:r>
      <w:r w:rsidRPr="006D6800">
        <w:rPr>
          <w:rFonts w:ascii="Book Antiqua" w:hAnsi="Book Antiqua"/>
          <w:b/>
          <w:sz w:val="24"/>
        </w:rPr>
        <w:t>Kang XN</w:t>
      </w:r>
      <w:r w:rsidRPr="006D6800">
        <w:rPr>
          <w:rFonts w:ascii="Book Antiqua" w:hAnsi="Book Antiqua"/>
          <w:sz w:val="24"/>
        </w:rPr>
        <w:t xml:space="preserve">, Zhang XY, Bai J, Wang ZY, Yin WJ, Li L. Analysis of B-ultrasound and contrast-enhanced ultrasound characteristics of different hepatic neuroendocrine neoplasm. </w:t>
      </w:r>
      <w:r w:rsidRPr="006D6800">
        <w:rPr>
          <w:rFonts w:ascii="Book Antiqua" w:hAnsi="Book Antiqua"/>
          <w:i/>
          <w:sz w:val="24"/>
        </w:rPr>
        <w:t>World J Gastrointest Oncol</w:t>
      </w:r>
      <w:r w:rsidRPr="006D6800">
        <w:rPr>
          <w:rFonts w:ascii="Book Antiqua" w:hAnsi="Book Antiqua"/>
          <w:sz w:val="24"/>
        </w:rPr>
        <w:t xml:space="preserve"> 2019; </w:t>
      </w:r>
      <w:r w:rsidRPr="006D6800">
        <w:rPr>
          <w:rFonts w:ascii="Book Antiqua" w:hAnsi="Book Antiqua"/>
          <w:b/>
          <w:sz w:val="24"/>
        </w:rPr>
        <w:t>11</w:t>
      </w:r>
      <w:r w:rsidRPr="006D6800">
        <w:rPr>
          <w:rFonts w:ascii="Book Antiqua" w:hAnsi="Book Antiqua"/>
          <w:sz w:val="24"/>
        </w:rPr>
        <w:t>: 436-448 [PMID: 31139313 DOI: 10.4251/wjgo.v11.i5.436]</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24 </w:t>
      </w:r>
      <w:r w:rsidRPr="006D6800">
        <w:rPr>
          <w:rFonts w:ascii="Book Antiqua" w:hAnsi="Book Antiqua"/>
          <w:b/>
          <w:sz w:val="24"/>
        </w:rPr>
        <w:t>Cavalcanti E</w:t>
      </w:r>
      <w:r w:rsidRPr="006D6800">
        <w:rPr>
          <w:rFonts w:ascii="Book Antiqua" w:hAnsi="Book Antiqua"/>
          <w:sz w:val="24"/>
        </w:rPr>
        <w:t xml:space="preserve">, Armentano R, Valentini AM, Chieppa M, Caruso ML. Role of PD-L1 expression as a biomarker for GEP neuroendocrine neoplasm grading. </w:t>
      </w:r>
      <w:r w:rsidRPr="006D6800">
        <w:rPr>
          <w:rFonts w:ascii="Book Antiqua" w:hAnsi="Book Antiqua"/>
          <w:i/>
          <w:sz w:val="24"/>
        </w:rPr>
        <w:t>Cell Death Dis</w:t>
      </w:r>
      <w:r w:rsidRPr="006D6800">
        <w:rPr>
          <w:rFonts w:ascii="Book Antiqua" w:hAnsi="Book Antiqua"/>
          <w:sz w:val="24"/>
        </w:rPr>
        <w:t xml:space="preserve"> 2017; </w:t>
      </w:r>
      <w:r w:rsidRPr="006D6800">
        <w:rPr>
          <w:rFonts w:ascii="Book Antiqua" w:hAnsi="Book Antiqua"/>
          <w:b/>
          <w:sz w:val="24"/>
        </w:rPr>
        <w:t>8</w:t>
      </w:r>
      <w:r w:rsidRPr="006D6800">
        <w:rPr>
          <w:rFonts w:ascii="Book Antiqua" w:hAnsi="Book Antiqua"/>
          <w:sz w:val="24"/>
        </w:rPr>
        <w:t>: e3004 [PMID: 28837143 DOI: 10.1038/cddis.2017.401]</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25 </w:t>
      </w:r>
      <w:r w:rsidRPr="006D6800">
        <w:rPr>
          <w:rFonts w:ascii="Book Antiqua" w:hAnsi="Book Antiqua"/>
          <w:b/>
          <w:sz w:val="24"/>
        </w:rPr>
        <w:t>Jiao Y</w:t>
      </w:r>
      <w:r w:rsidRPr="006D6800">
        <w:rPr>
          <w:rFonts w:ascii="Book Antiqua" w:hAnsi="Book Antiqua"/>
          <w:sz w:val="24"/>
        </w:rPr>
        <w:t xml:space="preserve">, Shi C, Edil BH, de Wilde RF, Klimstra DS, Maitra A, Schulick RD, Tang LH, Wolfgang CL, Choti MA, Velculescu VE, Diaz LA Jr, Vogelstein B, Kinzler KW, Hruban RH, Papadopoulos N. DAXX/ATRX, MEN1, and mTOR pathway genes are frequently altered in pancreatic neuroendocrine tumors. </w:t>
      </w:r>
      <w:r w:rsidRPr="006D6800">
        <w:rPr>
          <w:rFonts w:ascii="Book Antiqua" w:hAnsi="Book Antiqua"/>
          <w:i/>
          <w:sz w:val="24"/>
        </w:rPr>
        <w:t>Science</w:t>
      </w:r>
      <w:r w:rsidRPr="006D6800">
        <w:rPr>
          <w:rFonts w:ascii="Book Antiqua" w:hAnsi="Book Antiqua"/>
          <w:sz w:val="24"/>
        </w:rPr>
        <w:t xml:space="preserve"> 2011; </w:t>
      </w:r>
      <w:r w:rsidRPr="006D6800">
        <w:rPr>
          <w:rFonts w:ascii="Book Antiqua" w:hAnsi="Book Antiqua"/>
          <w:b/>
          <w:sz w:val="24"/>
        </w:rPr>
        <w:t>331</w:t>
      </w:r>
      <w:r w:rsidRPr="006D6800">
        <w:rPr>
          <w:rFonts w:ascii="Book Antiqua" w:hAnsi="Book Antiqua"/>
          <w:sz w:val="24"/>
        </w:rPr>
        <w:t>: 1199-1203 [PMID: 21252315 DOI: 10.1126/science.1200609]</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26 </w:t>
      </w:r>
      <w:r w:rsidRPr="006D6800">
        <w:rPr>
          <w:rFonts w:ascii="Book Antiqua" w:hAnsi="Book Antiqua"/>
          <w:b/>
          <w:sz w:val="24"/>
        </w:rPr>
        <w:t>Heaphy CM</w:t>
      </w:r>
      <w:r w:rsidRPr="006D6800">
        <w:rPr>
          <w:rFonts w:ascii="Book Antiqua" w:hAnsi="Book Antiqua"/>
          <w:sz w:val="24"/>
        </w:rPr>
        <w:t xml:space="preserve">, de Wilde RF, Jiao Y, Klein AP, Edil BH, Shi C, Bettegowda C, Rodriguez FJ, Eberhart CG, Hebbar S, Offerhaus GJ, McLendon R, Rasheed BA, He Y, Yan H, Bigner DD, Oba-Shinjo SM, Marie SK, Riggins GJ, Kinzler KW, Vogelstein B, Hruban RH, Maitra A, Papadopoulos N, Meeker AK. </w:t>
      </w:r>
      <w:proofErr w:type="gramStart"/>
      <w:r w:rsidRPr="006D6800">
        <w:rPr>
          <w:rFonts w:ascii="Book Antiqua" w:hAnsi="Book Antiqua"/>
          <w:sz w:val="24"/>
        </w:rPr>
        <w:t>Altered telomeres in tumors with ATRX and DAXX mutations.</w:t>
      </w:r>
      <w:proofErr w:type="gramEnd"/>
      <w:r w:rsidRPr="006D6800">
        <w:rPr>
          <w:rFonts w:ascii="Book Antiqua" w:hAnsi="Book Antiqua"/>
          <w:sz w:val="24"/>
        </w:rPr>
        <w:t xml:space="preserve"> </w:t>
      </w:r>
      <w:r w:rsidRPr="006D6800">
        <w:rPr>
          <w:rFonts w:ascii="Book Antiqua" w:hAnsi="Book Antiqua"/>
          <w:i/>
          <w:sz w:val="24"/>
        </w:rPr>
        <w:t>Science</w:t>
      </w:r>
      <w:r w:rsidRPr="006D6800">
        <w:rPr>
          <w:rFonts w:ascii="Book Antiqua" w:hAnsi="Book Antiqua"/>
          <w:sz w:val="24"/>
        </w:rPr>
        <w:t xml:space="preserve"> 2011; </w:t>
      </w:r>
      <w:r w:rsidRPr="006D6800">
        <w:rPr>
          <w:rFonts w:ascii="Book Antiqua" w:hAnsi="Book Antiqua"/>
          <w:b/>
          <w:sz w:val="24"/>
        </w:rPr>
        <w:t>333</w:t>
      </w:r>
      <w:r w:rsidRPr="006D6800">
        <w:rPr>
          <w:rFonts w:ascii="Book Antiqua" w:hAnsi="Book Antiqua"/>
          <w:sz w:val="24"/>
        </w:rPr>
        <w:t>: 425 [PMID: 21719641 DOI: 10.1126/science.1207313]</w:t>
      </w:r>
    </w:p>
    <w:p w:rsidR="006F58B1" w:rsidRPr="006D6800" w:rsidRDefault="006F58B1" w:rsidP="006D6800">
      <w:pPr>
        <w:snapToGrid w:val="0"/>
        <w:spacing w:line="360" w:lineRule="auto"/>
        <w:rPr>
          <w:rFonts w:ascii="Book Antiqua" w:hAnsi="Book Antiqua"/>
          <w:sz w:val="24"/>
        </w:rPr>
      </w:pPr>
      <w:proofErr w:type="gramStart"/>
      <w:r w:rsidRPr="006D6800">
        <w:rPr>
          <w:rFonts w:ascii="Book Antiqua" w:hAnsi="Book Antiqua"/>
          <w:sz w:val="24"/>
        </w:rPr>
        <w:t xml:space="preserve">27 </w:t>
      </w:r>
      <w:r w:rsidRPr="006D6800">
        <w:rPr>
          <w:rFonts w:ascii="Book Antiqua" w:hAnsi="Book Antiqua"/>
          <w:b/>
          <w:sz w:val="24"/>
        </w:rPr>
        <w:t>Pickett HA</w:t>
      </w:r>
      <w:r w:rsidRPr="006D6800">
        <w:rPr>
          <w:rFonts w:ascii="Book Antiqua" w:hAnsi="Book Antiqua"/>
          <w:sz w:val="24"/>
        </w:rPr>
        <w:t>, Reddel RR.</w:t>
      </w:r>
      <w:proofErr w:type="gramEnd"/>
      <w:r w:rsidRPr="006D6800">
        <w:rPr>
          <w:rFonts w:ascii="Book Antiqua" w:hAnsi="Book Antiqua"/>
          <w:sz w:val="24"/>
        </w:rPr>
        <w:t xml:space="preserve"> </w:t>
      </w:r>
      <w:proofErr w:type="gramStart"/>
      <w:r w:rsidRPr="006D6800">
        <w:rPr>
          <w:rFonts w:ascii="Book Antiqua" w:hAnsi="Book Antiqua"/>
          <w:sz w:val="24"/>
        </w:rPr>
        <w:t>Molecular mechanisms of activity and derepression of alternative lengthening of telomeres.</w:t>
      </w:r>
      <w:proofErr w:type="gramEnd"/>
      <w:r w:rsidRPr="006D6800">
        <w:rPr>
          <w:rFonts w:ascii="Book Antiqua" w:hAnsi="Book Antiqua"/>
          <w:sz w:val="24"/>
        </w:rPr>
        <w:t xml:space="preserve"> </w:t>
      </w:r>
      <w:r w:rsidRPr="006D6800">
        <w:rPr>
          <w:rFonts w:ascii="Book Antiqua" w:hAnsi="Book Antiqua"/>
          <w:i/>
          <w:sz w:val="24"/>
        </w:rPr>
        <w:t>Nat Struct Mol Biol</w:t>
      </w:r>
      <w:r w:rsidRPr="006D6800">
        <w:rPr>
          <w:rFonts w:ascii="Book Antiqua" w:hAnsi="Book Antiqua"/>
          <w:sz w:val="24"/>
        </w:rPr>
        <w:t xml:space="preserve"> 2015; </w:t>
      </w:r>
      <w:r w:rsidRPr="006D6800">
        <w:rPr>
          <w:rFonts w:ascii="Book Antiqua" w:hAnsi="Book Antiqua"/>
          <w:b/>
          <w:sz w:val="24"/>
        </w:rPr>
        <w:t>22</w:t>
      </w:r>
      <w:r w:rsidRPr="006D6800">
        <w:rPr>
          <w:rFonts w:ascii="Book Antiqua" w:hAnsi="Book Antiqua"/>
          <w:sz w:val="24"/>
        </w:rPr>
        <w:t>: 875-880 [PMID: 26581522 DOI: 10.1038/nsmb.3106]</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28 </w:t>
      </w:r>
      <w:r w:rsidRPr="006D6800">
        <w:rPr>
          <w:rFonts w:ascii="Book Antiqua" w:hAnsi="Book Antiqua"/>
          <w:b/>
          <w:sz w:val="24"/>
        </w:rPr>
        <w:t>Scarpa A</w:t>
      </w:r>
      <w:r w:rsidRPr="006D6800">
        <w:rPr>
          <w:rFonts w:ascii="Book Antiqua" w:hAnsi="Book Antiqua"/>
          <w:sz w:val="24"/>
        </w:rPr>
        <w:t xml:space="preserve">, Chang DK, Nones K, Corbo V, Patch AM, Bailey P, Lawlor RT, Johns AL, Miller DK, Mafficini A, Rusev B, Scardoni M, Antonello D, Barbi S, Sikora KO, Cingarlini S, Vicentini C, McKay S, Quinn MC, Bruxner TJ, Christ AN, Harliwong I, Idrisoglu S, McLean S, Nourse C, Nourbakhsh E, Wilson PJ, Anderson MJ, Fink JL, </w:t>
      </w:r>
      <w:r w:rsidRPr="006D6800">
        <w:rPr>
          <w:rFonts w:ascii="Book Antiqua" w:hAnsi="Book Antiqua"/>
          <w:sz w:val="24"/>
        </w:rPr>
        <w:lastRenderedPageBreak/>
        <w:t xml:space="preserve">Newell F, Waddell N, Holmes O, Kazakoff SH, Leonard C, Wood S, Xu Q, Nagaraj SH, Amato E, Dalai I, Bersani S, Cataldo I, Dei Tos AP, Capelli P, Davì MV, Landoni L, Malpaga A, Miotto M, Whitehall VL, Leggett BA, Harris JL, Harris J, Jones MD, Humphris J, Chantrill LA, Chin V, Nagrial AM, Pajic M, Scarlett CJ, Pinho A, Rooman I, Toon C, Wu J, Pinese M, Cowley M, Barbour A, Mawson A, Humphrey ES, Colvin EK, Chou A, Lovell JA, Jamieson NB, Duthie F, Gingras MC, Fisher WE, Dagg RA, Lau LM, Lee M, Pickett HA, Reddel RR, Samra JS, Kench JG, Merrett ND, Epari K, Nguyen NQ, Zeps N, Falconi M, Simbolo M, Butturini G, Van Buren G, Partelli S, Fassan M; Australian Pancreatic Cancer Genome Initiative, Khanna KK, Gill AJ, Wheeler DA, Gibbs RA, Musgrove EA, Bassi C, Tortora G, Pederzoli P, Pearson JV, Waddell N, Biankin AV, Grimmond SM. Whole-genome landscape of pancreatic neuroendocrine tumours. </w:t>
      </w:r>
      <w:r w:rsidRPr="006D6800">
        <w:rPr>
          <w:rFonts w:ascii="Book Antiqua" w:hAnsi="Book Antiqua"/>
          <w:i/>
          <w:sz w:val="24"/>
        </w:rPr>
        <w:t>Nature</w:t>
      </w:r>
      <w:r w:rsidRPr="006D6800">
        <w:rPr>
          <w:rFonts w:ascii="Book Antiqua" w:hAnsi="Book Antiqua"/>
          <w:sz w:val="24"/>
        </w:rPr>
        <w:t xml:space="preserve"> 2017; </w:t>
      </w:r>
      <w:r w:rsidRPr="006D6800">
        <w:rPr>
          <w:rFonts w:ascii="Book Antiqua" w:hAnsi="Book Antiqua"/>
          <w:b/>
          <w:sz w:val="24"/>
        </w:rPr>
        <w:t>543</w:t>
      </w:r>
      <w:r w:rsidRPr="006D6800">
        <w:rPr>
          <w:rFonts w:ascii="Book Antiqua" w:hAnsi="Book Antiqua"/>
          <w:sz w:val="24"/>
        </w:rPr>
        <w:t>: 65-71 [PMID: 28199314 DOI: 10.1038/nature21063]</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29 </w:t>
      </w:r>
      <w:r w:rsidRPr="006D6800">
        <w:rPr>
          <w:rFonts w:ascii="Book Antiqua" w:hAnsi="Book Antiqua"/>
          <w:b/>
          <w:sz w:val="24"/>
        </w:rPr>
        <w:t>Ji S</w:t>
      </w:r>
      <w:r w:rsidRPr="006D6800">
        <w:rPr>
          <w:rFonts w:ascii="Book Antiqua" w:hAnsi="Book Antiqua"/>
          <w:sz w:val="24"/>
        </w:rPr>
        <w:t xml:space="preserve">, Yang W, Liu J, Zhao J, Chen L, Ni Q, Long J, Yu X. High throughput gene sequencing reveals altered landscape in DNA damage responses and chromatin remodeling in sporadic pancreatic neuroendocrine tumors. </w:t>
      </w:r>
      <w:r w:rsidRPr="006D6800">
        <w:rPr>
          <w:rFonts w:ascii="Book Antiqua" w:hAnsi="Book Antiqua"/>
          <w:i/>
          <w:sz w:val="24"/>
        </w:rPr>
        <w:t>Pancreatology</w:t>
      </w:r>
      <w:r w:rsidRPr="006D6800">
        <w:rPr>
          <w:rFonts w:ascii="Book Antiqua" w:hAnsi="Book Antiqua"/>
          <w:sz w:val="24"/>
        </w:rPr>
        <w:t xml:space="preserve"> 2018; </w:t>
      </w:r>
      <w:r w:rsidRPr="006D6800">
        <w:rPr>
          <w:rFonts w:ascii="Book Antiqua" w:hAnsi="Book Antiqua"/>
          <w:b/>
          <w:sz w:val="24"/>
        </w:rPr>
        <w:t>18</w:t>
      </w:r>
      <w:r w:rsidRPr="006D6800">
        <w:rPr>
          <w:rFonts w:ascii="Book Antiqua" w:hAnsi="Book Antiqua"/>
          <w:sz w:val="24"/>
        </w:rPr>
        <w:t>: 318-327 [PMID: 29395620 DOI: 10.1016/j.pan.2018.01.006]</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30 </w:t>
      </w:r>
      <w:r w:rsidRPr="006D6800">
        <w:rPr>
          <w:rFonts w:ascii="Book Antiqua" w:hAnsi="Book Antiqua"/>
          <w:b/>
          <w:sz w:val="24"/>
        </w:rPr>
        <w:t>Corbo V</w:t>
      </w:r>
      <w:r w:rsidRPr="006D6800">
        <w:rPr>
          <w:rFonts w:ascii="Book Antiqua" w:hAnsi="Book Antiqua"/>
          <w:sz w:val="24"/>
        </w:rPr>
        <w:t xml:space="preserve">, Beghelli S, Bersani S, Antonello D, Talamini G, Brunelli M, Capelli P, Falconi M, Scarpa A. Pancreatic endocrine tumours: mutational and immunohistochemical survey of protein kinases reveals alterations in targetable kinases in cancer cell lines and rare primaries. </w:t>
      </w:r>
      <w:r w:rsidRPr="006D6800">
        <w:rPr>
          <w:rFonts w:ascii="Book Antiqua" w:hAnsi="Book Antiqua"/>
          <w:i/>
          <w:sz w:val="24"/>
        </w:rPr>
        <w:t>Ann Oncol</w:t>
      </w:r>
      <w:r w:rsidRPr="006D6800">
        <w:rPr>
          <w:rFonts w:ascii="Book Antiqua" w:hAnsi="Book Antiqua"/>
          <w:sz w:val="24"/>
        </w:rPr>
        <w:t xml:space="preserve"> 2012; </w:t>
      </w:r>
      <w:r w:rsidRPr="006D6800">
        <w:rPr>
          <w:rFonts w:ascii="Book Antiqua" w:hAnsi="Book Antiqua"/>
          <w:b/>
          <w:sz w:val="24"/>
        </w:rPr>
        <w:t>23</w:t>
      </w:r>
      <w:r w:rsidRPr="006D6800">
        <w:rPr>
          <w:rFonts w:ascii="Book Antiqua" w:hAnsi="Book Antiqua"/>
          <w:sz w:val="24"/>
        </w:rPr>
        <w:t>: 127-134 [PMID: 21447618 DOI: 10.1093/annonc/mdr048]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31 </w:t>
      </w:r>
      <w:r w:rsidRPr="006D6800">
        <w:rPr>
          <w:rFonts w:ascii="Book Antiqua" w:hAnsi="Book Antiqua"/>
          <w:b/>
          <w:sz w:val="24"/>
        </w:rPr>
        <w:t>Vandamme T</w:t>
      </w:r>
      <w:r w:rsidRPr="006D6800">
        <w:rPr>
          <w:rFonts w:ascii="Book Antiqua" w:hAnsi="Book Antiqua"/>
          <w:sz w:val="24"/>
        </w:rPr>
        <w:t xml:space="preserve">, Beyens M, Boons G, Schepers A, Kamp K, Biermann K, Pauwels P, De Herder WW, Hofland LJ, Peeters M, Van Camp G, Op de Beeck K. Hotspot DAXX, PTCH2 and CYFIP2 mutations in pancreatic neuroendocrine neoplasms. </w:t>
      </w:r>
      <w:r w:rsidRPr="006D6800">
        <w:rPr>
          <w:rFonts w:ascii="Book Antiqua" w:hAnsi="Book Antiqua"/>
          <w:i/>
          <w:sz w:val="24"/>
        </w:rPr>
        <w:t>Endocr Relat Cancer</w:t>
      </w:r>
      <w:r w:rsidRPr="006D6800">
        <w:rPr>
          <w:rFonts w:ascii="Book Antiqua" w:hAnsi="Book Antiqua"/>
          <w:sz w:val="24"/>
        </w:rPr>
        <w:t xml:space="preserve"> 2019; </w:t>
      </w:r>
      <w:r w:rsidRPr="006D6800">
        <w:rPr>
          <w:rFonts w:ascii="Book Antiqua" w:hAnsi="Book Antiqua"/>
          <w:b/>
          <w:sz w:val="24"/>
        </w:rPr>
        <w:t>26</w:t>
      </w:r>
      <w:r w:rsidRPr="006D6800">
        <w:rPr>
          <w:rFonts w:ascii="Book Antiqua" w:hAnsi="Book Antiqua"/>
          <w:sz w:val="24"/>
        </w:rPr>
        <w:t>: 1-12 [PMID: 30021865 DOI: 10.1530/ERC-18-0120]</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32 </w:t>
      </w:r>
      <w:r w:rsidRPr="006D6800">
        <w:rPr>
          <w:rFonts w:ascii="Book Antiqua" w:hAnsi="Book Antiqua"/>
          <w:b/>
          <w:sz w:val="24"/>
        </w:rPr>
        <w:t>Dammann R</w:t>
      </w:r>
      <w:r w:rsidRPr="006D6800">
        <w:rPr>
          <w:rFonts w:ascii="Book Antiqua" w:hAnsi="Book Antiqua"/>
          <w:sz w:val="24"/>
        </w:rPr>
        <w:t xml:space="preserve">, Schagdarsurengin U, Liu L, Otto N, Gimm O, Dralle H, Boehm BO, Pfeifer GP, Hoang-Vu C. Frequent RASSF1A promoter hypermethylation and K-ras mutations in pancreatic carcinoma. </w:t>
      </w:r>
      <w:r w:rsidRPr="006D6800">
        <w:rPr>
          <w:rFonts w:ascii="Book Antiqua" w:hAnsi="Book Antiqua"/>
          <w:i/>
          <w:sz w:val="24"/>
        </w:rPr>
        <w:t>Oncogene</w:t>
      </w:r>
      <w:r w:rsidRPr="006D6800">
        <w:rPr>
          <w:rFonts w:ascii="Book Antiqua" w:hAnsi="Book Antiqua"/>
          <w:sz w:val="24"/>
        </w:rPr>
        <w:t xml:space="preserve"> 2003; </w:t>
      </w:r>
      <w:r w:rsidRPr="006D6800">
        <w:rPr>
          <w:rFonts w:ascii="Book Antiqua" w:hAnsi="Book Antiqua"/>
          <w:b/>
          <w:sz w:val="24"/>
        </w:rPr>
        <w:t>22</w:t>
      </w:r>
      <w:r w:rsidRPr="006D6800">
        <w:rPr>
          <w:rFonts w:ascii="Book Antiqua" w:hAnsi="Book Antiqua"/>
          <w:sz w:val="24"/>
        </w:rPr>
        <w:t>: 3806-3812 [PMID: 12802288 DOI: 10.1038/sj.onc.1206582]</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33 </w:t>
      </w:r>
      <w:r w:rsidRPr="006D6800">
        <w:rPr>
          <w:rFonts w:ascii="Book Antiqua" w:hAnsi="Book Antiqua"/>
          <w:b/>
          <w:sz w:val="24"/>
        </w:rPr>
        <w:t>Karpathakis A</w:t>
      </w:r>
      <w:r w:rsidRPr="006D6800">
        <w:rPr>
          <w:rFonts w:ascii="Book Antiqua" w:hAnsi="Book Antiqua"/>
          <w:sz w:val="24"/>
        </w:rPr>
        <w:t xml:space="preserve">, Dibra H, Thirlwell C. Neuroendocrine tumours: cracking the </w:t>
      </w:r>
      <w:r w:rsidRPr="006D6800">
        <w:rPr>
          <w:rFonts w:ascii="Book Antiqua" w:hAnsi="Book Antiqua"/>
          <w:sz w:val="24"/>
        </w:rPr>
        <w:lastRenderedPageBreak/>
        <w:t xml:space="preserve">epigenetic code. </w:t>
      </w:r>
      <w:r w:rsidRPr="006D6800">
        <w:rPr>
          <w:rFonts w:ascii="Book Antiqua" w:hAnsi="Book Antiqua"/>
          <w:i/>
          <w:sz w:val="24"/>
        </w:rPr>
        <w:t>Endocr Relat Cancer</w:t>
      </w:r>
      <w:r w:rsidRPr="006D6800">
        <w:rPr>
          <w:rFonts w:ascii="Book Antiqua" w:hAnsi="Book Antiqua"/>
          <w:sz w:val="24"/>
        </w:rPr>
        <w:t xml:space="preserve"> 2013; </w:t>
      </w:r>
      <w:r w:rsidRPr="006D6800">
        <w:rPr>
          <w:rFonts w:ascii="Book Antiqua" w:hAnsi="Book Antiqua"/>
          <w:b/>
          <w:sz w:val="24"/>
        </w:rPr>
        <w:t>20</w:t>
      </w:r>
      <w:r w:rsidRPr="006D6800">
        <w:rPr>
          <w:rFonts w:ascii="Book Antiqua" w:hAnsi="Book Antiqua"/>
          <w:sz w:val="24"/>
        </w:rPr>
        <w:t>: R65-R82 [PMID: 23429748 DOI: 10.1530/ERC-12-0338]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34 </w:t>
      </w:r>
      <w:r w:rsidRPr="006D6800">
        <w:rPr>
          <w:rFonts w:ascii="Book Antiqua" w:hAnsi="Book Antiqua"/>
          <w:b/>
          <w:sz w:val="24"/>
        </w:rPr>
        <w:t>Guo M</w:t>
      </w:r>
      <w:r w:rsidRPr="006D6800">
        <w:rPr>
          <w:rFonts w:ascii="Book Antiqua" w:hAnsi="Book Antiqua"/>
          <w:sz w:val="24"/>
        </w:rPr>
        <w:t xml:space="preserve">, Jia Y, Yu Z, House MG, Esteller M, Brock MV, Herman JG. Epigenetic changes associated with neoplasms of the exocrine and endocrine pancreas. </w:t>
      </w:r>
      <w:r w:rsidRPr="006D6800">
        <w:rPr>
          <w:rFonts w:ascii="Book Antiqua" w:hAnsi="Book Antiqua"/>
          <w:i/>
          <w:sz w:val="24"/>
        </w:rPr>
        <w:t>Discov Med</w:t>
      </w:r>
      <w:r w:rsidRPr="006D6800">
        <w:rPr>
          <w:rFonts w:ascii="Book Antiqua" w:hAnsi="Book Antiqua"/>
          <w:sz w:val="24"/>
        </w:rPr>
        <w:t xml:space="preserve"> 2014; </w:t>
      </w:r>
      <w:r w:rsidRPr="006D6800">
        <w:rPr>
          <w:rFonts w:ascii="Book Antiqua" w:hAnsi="Book Antiqua"/>
          <w:b/>
          <w:sz w:val="24"/>
        </w:rPr>
        <w:t>17</w:t>
      </w:r>
      <w:r w:rsidRPr="006D6800">
        <w:rPr>
          <w:rFonts w:ascii="Book Antiqua" w:hAnsi="Book Antiqua"/>
          <w:sz w:val="24"/>
        </w:rPr>
        <w:t>: 67-73 [PMID: 24534469]</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35 </w:t>
      </w:r>
      <w:r w:rsidRPr="006D6800">
        <w:rPr>
          <w:rFonts w:ascii="Book Antiqua" w:hAnsi="Book Antiqua"/>
          <w:b/>
          <w:sz w:val="24"/>
        </w:rPr>
        <w:t>Yachida S</w:t>
      </w:r>
      <w:r w:rsidRPr="006D6800">
        <w:rPr>
          <w:rFonts w:ascii="Book Antiqua" w:hAnsi="Book Antiqua"/>
          <w:sz w:val="24"/>
        </w:rPr>
        <w:t xml:space="preserve">, Vakiani E, White CM, Zhong Y, Saunders T, Morgan R, de Wilde RF, Maitra A, Hicks J, Demarzo AM, Shi C, Sharma R, Laheru D, Edil BH, Wolfgang CL, Schulick RD, Hruban RH, Tang LH, Klimstra DS, Iacobuzio-Donahue CA. Small cell and large cell neuroendocrine carcinomas of the pancreas are genetically similar and distinct from well-differentiated pancreatic neuroendocrine tumors. </w:t>
      </w:r>
      <w:r w:rsidRPr="006D6800">
        <w:rPr>
          <w:rFonts w:ascii="Book Antiqua" w:hAnsi="Book Antiqua"/>
          <w:i/>
          <w:sz w:val="24"/>
        </w:rPr>
        <w:t>Am J Surg Pathol</w:t>
      </w:r>
      <w:r w:rsidRPr="006D6800">
        <w:rPr>
          <w:rFonts w:ascii="Book Antiqua" w:hAnsi="Book Antiqua"/>
          <w:sz w:val="24"/>
        </w:rPr>
        <w:t xml:space="preserve"> 2012; </w:t>
      </w:r>
      <w:r w:rsidRPr="006D6800">
        <w:rPr>
          <w:rFonts w:ascii="Book Antiqua" w:hAnsi="Book Antiqua"/>
          <w:b/>
          <w:sz w:val="24"/>
        </w:rPr>
        <w:t>36</w:t>
      </w:r>
      <w:r w:rsidRPr="006D6800">
        <w:rPr>
          <w:rFonts w:ascii="Book Antiqua" w:hAnsi="Book Antiqua"/>
          <w:sz w:val="24"/>
        </w:rPr>
        <w:t>: 173-184 [PMID: 22251937 DOI: 10.1097/PAS.0b013e3182417d36]</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36 </w:t>
      </w:r>
      <w:r w:rsidRPr="006D6800">
        <w:rPr>
          <w:rFonts w:ascii="Book Antiqua" w:hAnsi="Book Antiqua"/>
          <w:b/>
          <w:sz w:val="24"/>
        </w:rPr>
        <w:t>Hijioka S</w:t>
      </w:r>
      <w:r w:rsidRPr="006D6800">
        <w:rPr>
          <w:rFonts w:ascii="Book Antiqua" w:hAnsi="Book Antiqua"/>
          <w:sz w:val="24"/>
        </w:rPr>
        <w:t xml:space="preserve">, Hosoda W, Matsuo K, Ueno M, Furukawa M, Yoshitomi H, Kobayashi N, Ikeda M, Ito T, Nakamori S, Ishii H, Kodama Y, Morizane C, Okusaka T, Yanagimoto H, Notohara K, Taguchi H, Kitano M, Yane K, Maguchi H, Tsuchiya Y, Komoto I, Tanaka H, Tsuji A, Hashigo S, Kawaguchi Y, Mine T, Kanno A, Murohisa G, Miyabe K, Takagi T, Matayoshi N, Yoshida T, Hara K, Imamura M, Furuse J, Yatabe Y, Mizuno N. Rb Loss and </w:t>
      </w:r>
      <w:r w:rsidRPr="006D6800">
        <w:rPr>
          <w:rFonts w:ascii="Book Antiqua" w:hAnsi="Book Antiqua"/>
          <w:i/>
          <w:sz w:val="24"/>
        </w:rPr>
        <w:t>KRAS</w:t>
      </w:r>
      <w:r w:rsidRPr="006D6800">
        <w:rPr>
          <w:rFonts w:ascii="Book Antiqua" w:hAnsi="Book Antiqua"/>
          <w:sz w:val="24"/>
        </w:rPr>
        <w:t xml:space="preserve"> Mutation Are Predictors of the Response to Platinum-Based Chemotherapy in Pancreatic Neuroendocrine Neoplasm with Grade 3: A Japanese Multicenter Pancreatic NEN-G3 Study. </w:t>
      </w:r>
      <w:r w:rsidRPr="006D6800">
        <w:rPr>
          <w:rFonts w:ascii="Book Antiqua" w:hAnsi="Book Antiqua"/>
          <w:i/>
          <w:sz w:val="24"/>
        </w:rPr>
        <w:t>Clin Cancer Res</w:t>
      </w:r>
      <w:r w:rsidRPr="006D6800">
        <w:rPr>
          <w:rFonts w:ascii="Book Antiqua" w:hAnsi="Book Antiqua"/>
          <w:sz w:val="24"/>
        </w:rPr>
        <w:t xml:space="preserve"> 2017; </w:t>
      </w:r>
      <w:r w:rsidRPr="006D6800">
        <w:rPr>
          <w:rFonts w:ascii="Book Antiqua" w:hAnsi="Book Antiqua"/>
          <w:b/>
          <w:sz w:val="24"/>
        </w:rPr>
        <w:t>23</w:t>
      </w:r>
      <w:r w:rsidRPr="006D6800">
        <w:rPr>
          <w:rFonts w:ascii="Book Antiqua" w:hAnsi="Book Antiqua"/>
          <w:sz w:val="24"/>
        </w:rPr>
        <w:t>: 4625-4632 [PMID: 28455360 DOI: 10.1158/1078-0432.CCR-16-3135]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37 </w:t>
      </w:r>
      <w:r w:rsidRPr="006D6800">
        <w:rPr>
          <w:rFonts w:ascii="Book Antiqua" w:hAnsi="Book Antiqua"/>
          <w:b/>
          <w:sz w:val="24"/>
        </w:rPr>
        <w:t>Vijayvergia N</w:t>
      </w:r>
      <w:r w:rsidRPr="006D6800">
        <w:rPr>
          <w:rFonts w:ascii="Book Antiqua" w:hAnsi="Book Antiqua"/>
          <w:sz w:val="24"/>
        </w:rPr>
        <w:t xml:space="preserve">, Boland PM, Handorf E, Gustafson KS, Gong Y, Cooper HS, Sheriff F, Astsaturov I, Cohen SJ, Engstrom PF. Molecular profiling of neuroendocrine malignancies to identify prognostic and therapeutic markers: a Fox Chase Cancer Center Pilot Study. </w:t>
      </w:r>
      <w:r w:rsidRPr="006D6800">
        <w:rPr>
          <w:rFonts w:ascii="Book Antiqua" w:hAnsi="Book Antiqua"/>
          <w:i/>
          <w:sz w:val="24"/>
        </w:rPr>
        <w:t>Br J Cancer</w:t>
      </w:r>
      <w:r w:rsidRPr="006D6800">
        <w:rPr>
          <w:rFonts w:ascii="Book Antiqua" w:hAnsi="Book Antiqua"/>
          <w:sz w:val="24"/>
        </w:rPr>
        <w:t xml:space="preserve"> 2016; </w:t>
      </w:r>
      <w:r w:rsidRPr="006D6800">
        <w:rPr>
          <w:rFonts w:ascii="Book Antiqua" w:hAnsi="Book Antiqua"/>
          <w:b/>
          <w:sz w:val="24"/>
        </w:rPr>
        <w:t>115</w:t>
      </w:r>
      <w:r w:rsidRPr="006D6800">
        <w:rPr>
          <w:rFonts w:ascii="Book Antiqua" w:hAnsi="Book Antiqua"/>
          <w:sz w:val="24"/>
        </w:rPr>
        <w:t>: 564-570 [PMID: 27482646 DOI: 10.1038/bjc.2016.229]</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38 </w:t>
      </w:r>
      <w:r w:rsidRPr="006D6800">
        <w:rPr>
          <w:rFonts w:ascii="Book Antiqua" w:hAnsi="Book Antiqua"/>
          <w:b/>
          <w:sz w:val="24"/>
        </w:rPr>
        <w:t>Dreijerink KM</w:t>
      </w:r>
      <w:r w:rsidRPr="006D6800">
        <w:rPr>
          <w:rFonts w:ascii="Book Antiqua" w:hAnsi="Book Antiqua"/>
          <w:sz w:val="24"/>
        </w:rPr>
        <w:t xml:space="preserve">, Derks JL, Cataldo I, Scarpa A, Valk GD, Speel EJ. </w:t>
      </w:r>
      <w:proofErr w:type="gramStart"/>
      <w:r w:rsidRPr="006D6800">
        <w:rPr>
          <w:rFonts w:ascii="Book Antiqua" w:hAnsi="Book Antiqua"/>
          <w:sz w:val="24"/>
        </w:rPr>
        <w:t>Genetics and Epigenetics of Pancreatic Neuroendocrine Tumors and Pulmonary Carcinoids.</w:t>
      </w:r>
      <w:proofErr w:type="gramEnd"/>
      <w:r w:rsidRPr="006D6800">
        <w:rPr>
          <w:rFonts w:ascii="Book Antiqua" w:hAnsi="Book Antiqua"/>
          <w:sz w:val="24"/>
        </w:rPr>
        <w:t xml:space="preserve"> </w:t>
      </w:r>
      <w:r w:rsidRPr="006D6800">
        <w:rPr>
          <w:rFonts w:ascii="Book Antiqua" w:hAnsi="Book Antiqua"/>
          <w:i/>
          <w:sz w:val="24"/>
        </w:rPr>
        <w:t>Front Horm Res</w:t>
      </w:r>
      <w:r w:rsidRPr="006D6800">
        <w:rPr>
          <w:rFonts w:ascii="Book Antiqua" w:hAnsi="Book Antiqua"/>
          <w:sz w:val="24"/>
        </w:rPr>
        <w:t xml:space="preserve"> 2015; </w:t>
      </w:r>
      <w:r w:rsidRPr="006D6800">
        <w:rPr>
          <w:rFonts w:ascii="Book Antiqua" w:hAnsi="Book Antiqua"/>
          <w:b/>
          <w:sz w:val="24"/>
        </w:rPr>
        <w:t>44</w:t>
      </w:r>
      <w:r w:rsidRPr="006D6800">
        <w:rPr>
          <w:rFonts w:ascii="Book Antiqua" w:hAnsi="Book Antiqua"/>
          <w:sz w:val="24"/>
        </w:rPr>
        <w:t>: 115-138 [PMID: 26303708 DOI: 10.1159/000382138]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39 </w:t>
      </w:r>
      <w:r w:rsidRPr="006D6800">
        <w:rPr>
          <w:rFonts w:ascii="Book Antiqua" w:hAnsi="Book Antiqua"/>
          <w:b/>
          <w:sz w:val="24"/>
        </w:rPr>
        <w:t>George J</w:t>
      </w:r>
      <w:r w:rsidRPr="006D6800">
        <w:rPr>
          <w:rFonts w:ascii="Book Antiqua" w:hAnsi="Book Antiqua"/>
          <w:sz w:val="24"/>
        </w:rPr>
        <w:t xml:space="preserve">, Lim JS, Jang SJ, Cun Y, Ozretić L, Kong G, Leenders F, Lu X, Fernández-Cuesta L, Bosco G, Müller C, Dahmen I, Jahchan NS, Park KS, Yang D, Karnezis AN, Vaka D, Torres A, Wang MS, Korbel JO, Menon R, Chun SM, Kim D, </w:t>
      </w:r>
      <w:r w:rsidRPr="006D6800">
        <w:rPr>
          <w:rFonts w:ascii="Book Antiqua" w:hAnsi="Book Antiqua"/>
          <w:sz w:val="24"/>
        </w:rPr>
        <w:lastRenderedPageBreak/>
        <w:t xml:space="preserve">Wilkerson M, Hayes N, Engelmann D, Pützer B, Bos M, Michels S, Vlasic I, Seidel D, Pinther B, Schaub P, Becker C, Altmüller J, Yokota J, Kohno T, Iwakawa R, Tsuta K, Noguchi M, Muley T, Hoffmann H, Schnabel PA, Petersen I, Chen Y, Soltermann A, Tischler V, Choi CM, Kim YH, Massion PP, Zou Y, Jovanovic D, Kontic M, Wright GM, Russell PA, Solomon B, Koch I, Lindner M, Muscarella LA, la Torre A, Field JK, Jakopovic M, Knezevic J, Castaños-Vélez E, Roz L, Pastorino U, Brustugun OT, Lund-Iversen M, Thunnissen E, Köhler J, Schuler M, Botling J, Sandelin M, Sanchez-Cespedes M, Salvesen HB, Achter V, Lang U, Bogus M, Schneider PM, Zander T, Ansén S, Hallek M, Wolf J, Vingron M, Yatabe Y, Travis WD, Nürnberg P, Reinhardt C, Perner S, Heukamp L, Büttner R, Haas SA, Brambilla E, Peifer M, Sage J, Thomas RK. </w:t>
      </w:r>
      <w:proofErr w:type="gramStart"/>
      <w:r w:rsidRPr="006D6800">
        <w:rPr>
          <w:rFonts w:ascii="Book Antiqua" w:hAnsi="Book Antiqua"/>
          <w:sz w:val="24"/>
        </w:rPr>
        <w:t>Comprehensive genomic profiles of small cell lung cancer.</w:t>
      </w:r>
      <w:proofErr w:type="gramEnd"/>
      <w:r w:rsidRPr="006D6800">
        <w:rPr>
          <w:rFonts w:ascii="Book Antiqua" w:hAnsi="Book Antiqua"/>
          <w:sz w:val="24"/>
        </w:rPr>
        <w:t xml:space="preserve"> </w:t>
      </w:r>
      <w:r w:rsidRPr="006D6800">
        <w:rPr>
          <w:rFonts w:ascii="Book Antiqua" w:hAnsi="Book Antiqua"/>
          <w:i/>
          <w:sz w:val="24"/>
        </w:rPr>
        <w:t>Nature</w:t>
      </w:r>
      <w:r w:rsidRPr="006D6800">
        <w:rPr>
          <w:rFonts w:ascii="Book Antiqua" w:hAnsi="Book Antiqua"/>
          <w:sz w:val="24"/>
        </w:rPr>
        <w:t xml:space="preserve"> 2015; </w:t>
      </w:r>
      <w:r w:rsidRPr="006D6800">
        <w:rPr>
          <w:rFonts w:ascii="Book Antiqua" w:hAnsi="Book Antiqua"/>
          <w:b/>
          <w:sz w:val="24"/>
        </w:rPr>
        <w:t>524</w:t>
      </w:r>
      <w:r w:rsidRPr="006D6800">
        <w:rPr>
          <w:rFonts w:ascii="Book Antiqua" w:hAnsi="Book Antiqua"/>
          <w:sz w:val="24"/>
        </w:rPr>
        <w:t>: 47-53 [PMID: 26168399 DOI: 10.1038/nature14664]</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40 </w:t>
      </w:r>
      <w:r w:rsidRPr="006D6800">
        <w:rPr>
          <w:rFonts w:ascii="Book Antiqua" w:hAnsi="Book Antiqua"/>
          <w:b/>
          <w:sz w:val="24"/>
        </w:rPr>
        <w:t>Kimura T</w:t>
      </w:r>
      <w:r w:rsidRPr="006D6800">
        <w:rPr>
          <w:rFonts w:ascii="Book Antiqua" w:hAnsi="Book Antiqua"/>
          <w:sz w:val="24"/>
        </w:rPr>
        <w:t xml:space="preserve">, Miyamoto H, Fukuya A, Kitamura S, Okamoto K, Kimura M, Muguruma N, Ikemoto T, Shimada M, Yoneda A, Bando Y, Takishita M, Takayama T. Neuroendocrine carcinoma of the pancreas with similar genetic alterations to invasive ductal adenocarcinoma. </w:t>
      </w:r>
      <w:r w:rsidRPr="006D6800">
        <w:rPr>
          <w:rFonts w:ascii="Book Antiqua" w:hAnsi="Book Antiqua"/>
          <w:i/>
          <w:sz w:val="24"/>
        </w:rPr>
        <w:t>Clin J Gastroenterol</w:t>
      </w:r>
      <w:r w:rsidRPr="006D6800">
        <w:rPr>
          <w:rFonts w:ascii="Book Antiqua" w:hAnsi="Book Antiqua"/>
          <w:sz w:val="24"/>
        </w:rPr>
        <w:t xml:space="preserve"> 2016; </w:t>
      </w:r>
      <w:r w:rsidRPr="006D6800">
        <w:rPr>
          <w:rFonts w:ascii="Book Antiqua" w:hAnsi="Book Antiqua"/>
          <w:b/>
          <w:sz w:val="24"/>
        </w:rPr>
        <w:t>9</w:t>
      </w:r>
      <w:r w:rsidRPr="006D6800">
        <w:rPr>
          <w:rFonts w:ascii="Book Antiqua" w:hAnsi="Book Antiqua"/>
          <w:sz w:val="24"/>
        </w:rPr>
        <w:t>: 261-265 [PMID: 27262570 DOI: 10.1007/s12328-016-0655-6]</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41 </w:t>
      </w:r>
      <w:r w:rsidRPr="006D6800">
        <w:rPr>
          <w:rFonts w:ascii="Book Antiqua" w:hAnsi="Book Antiqua"/>
          <w:b/>
          <w:sz w:val="24"/>
        </w:rPr>
        <w:t>Konukiewitz B</w:t>
      </w:r>
      <w:r w:rsidRPr="006D6800">
        <w:rPr>
          <w:rFonts w:ascii="Book Antiqua" w:hAnsi="Book Antiqua"/>
          <w:sz w:val="24"/>
        </w:rPr>
        <w:t xml:space="preserve">, Jesinghaus M, Steiger K, Schlitter AM, Kasajima A, Sipos B, Zamboni G, Weichert W, Pfarr N, Klöppel G. Pancreatic neuroendocrine carcinomas reveal a closer relationship to ductal adenocarcinomas than to neuroendocrine tumors G3. </w:t>
      </w:r>
      <w:r w:rsidRPr="006D6800">
        <w:rPr>
          <w:rFonts w:ascii="Book Antiqua" w:hAnsi="Book Antiqua"/>
          <w:i/>
          <w:sz w:val="24"/>
        </w:rPr>
        <w:t>Hum Pathol</w:t>
      </w:r>
      <w:r w:rsidRPr="006D6800">
        <w:rPr>
          <w:rFonts w:ascii="Book Antiqua" w:hAnsi="Book Antiqua"/>
          <w:sz w:val="24"/>
        </w:rPr>
        <w:t xml:space="preserve"> 2018; </w:t>
      </w:r>
      <w:r w:rsidRPr="006D6800">
        <w:rPr>
          <w:rFonts w:ascii="Book Antiqua" w:hAnsi="Book Antiqua"/>
          <w:b/>
          <w:sz w:val="24"/>
        </w:rPr>
        <w:t>77</w:t>
      </w:r>
      <w:r w:rsidRPr="006D6800">
        <w:rPr>
          <w:rFonts w:ascii="Book Antiqua" w:hAnsi="Book Antiqua"/>
          <w:sz w:val="24"/>
        </w:rPr>
        <w:t>: 70-79 [PMID: 29596894 DOI: 10.1016/j.humpath.2018.03.018]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42 </w:t>
      </w:r>
      <w:r w:rsidRPr="006D6800">
        <w:rPr>
          <w:rFonts w:ascii="Book Antiqua" w:hAnsi="Book Antiqua"/>
          <w:b/>
          <w:sz w:val="24"/>
        </w:rPr>
        <w:t>Rindi G</w:t>
      </w:r>
      <w:r w:rsidRPr="006D6800">
        <w:rPr>
          <w:rFonts w:ascii="Book Antiqua" w:hAnsi="Book Antiqua"/>
          <w:sz w:val="24"/>
        </w:rPr>
        <w:t>, Klöppel G, Alhman H, Caplin M, Couvelard A, de Herder WW, Erikssson B, Falchetti A, Falconi M, Komminoth P, Körner M, Lopes JM, McNicol AM, Nilsson O, Perren A, Scarpa A, Scoazec JY, Wiedenmann B; all other Frascati Consensus Conference participants; European Neuroendocrine Tumor Society (ENETS). TNM staging of foregut (neuro</w:t>
      </w:r>
      <w:proofErr w:type="gramStart"/>
      <w:r w:rsidRPr="006D6800">
        <w:rPr>
          <w:rFonts w:ascii="Book Antiqua" w:hAnsi="Book Antiqua"/>
          <w:sz w:val="24"/>
        </w:rPr>
        <w:t>)endocrine</w:t>
      </w:r>
      <w:proofErr w:type="gramEnd"/>
      <w:r w:rsidRPr="006D6800">
        <w:rPr>
          <w:rFonts w:ascii="Book Antiqua" w:hAnsi="Book Antiqua"/>
          <w:sz w:val="24"/>
        </w:rPr>
        <w:t xml:space="preserve"> tumors: a consensus proposal including a grading system. </w:t>
      </w:r>
      <w:r w:rsidRPr="006D6800">
        <w:rPr>
          <w:rFonts w:ascii="Book Antiqua" w:hAnsi="Book Antiqua"/>
          <w:i/>
          <w:sz w:val="24"/>
        </w:rPr>
        <w:t>Virchows Arch</w:t>
      </w:r>
      <w:r w:rsidRPr="006D6800">
        <w:rPr>
          <w:rFonts w:ascii="Book Antiqua" w:hAnsi="Book Antiqua"/>
          <w:sz w:val="24"/>
        </w:rPr>
        <w:t xml:space="preserve"> 2006; </w:t>
      </w:r>
      <w:r w:rsidRPr="006D6800">
        <w:rPr>
          <w:rFonts w:ascii="Book Antiqua" w:hAnsi="Book Antiqua"/>
          <w:b/>
          <w:sz w:val="24"/>
        </w:rPr>
        <w:t>449</w:t>
      </w:r>
      <w:r w:rsidRPr="006D6800">
        <w:rPr>
          <w:rFonts w:ascii="Book Antiqua" w:hAnsi="Book Antiqua"/>
          <w:sz w:val="24"/>
        </w:rPr>
        <w:t>: 395-401 [PMID: 16967267 DOI: 10.1007/s00428-006-0250-1]</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43 </w:t>
      </w:r>
      <w:r w:rsidRPr="006D6800">
        <w:rPr>
          <w:rFonts w:ascii="Book Antiqua" w:hAnsi="Book Antiqua"/>
          <w:b/>
          <w:sz w:val="24"/>
        </w:rPr>
        <w:t>Rindi G</w:t>
      </w:r>
      <w:r w:rsidRPr="006D6800">
        <w:rPr>
          <w:rFonts w:ascii="Book Antiqua" w:hAnsi="Book Antiqua"/>
          <w:sz w:val="24"/>
        </w:rPr>
        <w:t xml:space="preserve">, Klöppel G, Couvelard A, Komminoth P, Körner M, Lopes JM, McNicol AM, Nilsson O, Perren A, Scarpa A, Scoazec JY, Wiedenmann B. TNM staging of </w:t>
      </w:r>
      <w:r w:rsidRPr="006D6800">
        <w:rPr>
          <w:rFonts w:ascii="Book Antiqua" w:hAnsi="Book Antiqua"/>
          <w:sz w:val="24"/>
        </w:rPr>
        <w:lastRenderedPageBreak/>
        <w:t xml:space="preserve">midgut and hindgut (neuro) endocrine tumors: a consensus proposal including a grading system. </w:t>
      </w:r>
      <w:r w:rsidRPr="006D6800">
        <w:rPr>
          <w:rFonts w:ascii="Book Antiqua" w:hAnsi="Book Antiqua"/>
          <w:i/>
          <w:sz w:val="24"/>
        </w:rPr>
        <w:t>Virchows Arch</w:t>
      </w:r>
      <w:r w:rsidRPr="006D6800">
        <w:rPr>
          <w:rFonts w:ascii="Book Antiqua" w:hAnsi="Book Antiqua"/>
          <w:sz w:val="24"/>
        </w:rPr>
        <w:t xml:space="preserve"> 2007; </w:t>
      </w:r>
      <w:r w:rsidRPr="006D6800">
        <w:rPr>
          <w:rFonts w:ascii="Book Antiqua" w:hAnsi="Book Antiqua"/>
          <w:b/>
          <w:sz w:val="24"/>
        </w:rPr>
        <w:t>451</w:t>
      </w:r>
      <w:r w:rsidRPr="006D6800">
        <w:rPr>
          <w:rFonts w:ascii="Book Antiqua" w:hAnsi="Book Antiqua"/>
          <w:sz w:val="24"/>
        </w:rPr>
        <w:t>: 757-762 [PMID: 17674042 DOI: 10.1007/s00428-007-0452-1]</w:t>
      </w:r>
    </w:p>
    <w:p w:rsidR="006F58B1" w:rsidRPr="006D6800" w:rsidRDefault="006F58B1" w:rsidP="006D6800">
      <w:pPr>
        <w:snapToGrid w:val="0"/>
        <w:spacing w:line="360" w:lineRule="auto"/>
        <w:rPr>
          <w:rFonts w:ascii="Book Antiqua" w:hAnsi="Book Antiqua"/>
          <w:sz w:val="24"/>
        </w:rPr>
      </w:pPr>
      <w:r w:rsidRPr="0094427D">
        <w:rPr>
          <w:rFonts w:ascii="Book Antiqua" w:hAnsi="Book Antiqua"/>
          <w:sz w:val="24"/>
        </w:rPr>
        <w:t xml:space="preserve">44 </w:t>
      </w:r>
      <w:r w:rsidRPr="0094427D">
        <w:rPr>
          <w:rFonts w:ascii="Book Antiqua" w:hAnsi="Book Antiqua"/>
          <w:b/>
          <w:sz w:val="24"/>
        </w:rPr>
        <w:t>Sobin LH,</w:t>
      </w:r>
      <w:r w:rsidRPr="0094427D">
        <w:rPr>
          <w:rFonts w:ascii="Book Antiqua" w:hAnsi="Book Antiqua"/>
          <w:sz w:val="24"/>
        </w:rPr>
        <w:t xml:space="preserve"> Gospodarowicz MK, Wittekind C. UICC: TNM classification of malignant tumours, 7th ed. Wiley-Blackwell</w:t>
      </w:r>
      <w:r w:rsidR="00AE0D53" w:rsidRPr="0094427D">
        <w:rPr>
          <w:rFonts w:ascii="Book Antiqua" w:hAnsi="Book Antiqua"/>
          <w:sz w:val="24"/>
        </w:rPr>
        <w:t>:</w:t>
      </w:r>
      <w:r w:rsidRPr="0094427D">
        <w:rPr>
          <w:rFonts w:ascii="Book Antiqua" w:hAnsi="Book Antiqua"/>
          <w:sz w:val="24"/>
        </w:rPr>
        <w:t xml:space="preserve"> Oxford</w:t>
      </w:r>
      <w:r w:rsidR="00AE0D53" w:rsidRPr="0094427D">
        <w:rPr>
          <w:rFonts w:ascii="Book Antiqua" w:hAnsi="Book Antiqua"/>
          <w:sz w:val="24"/>
        </w:rPr>
        <w:t>, 2009</w:t>
      </w:r>
    </w:p>
    <w:p w:rsidR="006F58B1" w:rsidRPr="006D6800" w:rsidRDefault="006F58B1" w:rsidP="006D6800">
      <w:pPr>
        <w:snapToGrid w:val="0"/>
        <w:spacing w:line="360" w:lineRule="auto"/>
        <w:rPr>
          <w:rFonts w:ascii="Book Antiqua" w:hAnsi="Book Antiqua"/>
          <w:sz w:val="24"/>
        </w:rPr>
      </w:pPr>
      <w:proofErr w:type="gramStart"/>
      <w:r w:rsidRPr="006D6800">
        <w:rPr>
          <w:rFonts w:ascii="Book Antiqua" w:hAnsi="Book Antiqua"/>
          <w:sz w:val="24"/>
        </w:rPr>
        <w:t xml:space="preserve">45 </w:t>
      </w:r>
      <w:r w:rsidRPr="006D6800">
        <w:rPr>
          <w:rFonts w:ascii="Book Antiqua" w:hAnsi="Book Antiqua"/>
          <w:b/>
          <w:sz w:val="24"/>
        </w:rPr>
        <w:t>Klöppel G</w:t>
      </w:r>
      <w:r w:rsidRPr="006D6800">
        <w:rPr>
          <w:rFonts w:ascii="Book Antiqua" w:hAnsi="Book Antiqua"/>
          <w:sz w:val="24"/>
        </w:rPr>
        <w:t>, Rindi G, Perren A, Komminoth P, Klimstra DS.</w:t>
      </w:r>
      <w:proofErr w:type="gramEnd"/>
      <w:r w:rsidRPr="006D6800">
        <w:rPr>
          <w:rFonts w:ascii="Book Antiqua" w:hAnsi="Book Antiqua"/>
          <w:sz w:val="24"/>
        </w:rPr>
        <w:t xml:space="preserve"> The ENETS and AJCC/UICC TNM classifications of the neuroendocrine tumors of the gastrointestinal tract and the pancreas: a statement. </w:t>
      </w:r>
      <w:r w:rsidRPr="006D6800">
        <w:rPr>
          <w:rFonts w:ascii="Book Antiqua" w:hAnsi="Book Antiqua"/>
          <w:i/>
          <w:sz w:val="24"/>
        </w:rPr>
        <w:t>Virchows Arch</w:t>
      </w:r>
      <w:r w:rsidRPr="006D6800">
        <w:rPr>
          <w:rFonts w:ascii="Book Antiqua" w:hAnsi="Book Antiqua"/>
          <w:sz w:val="24"/>
        </w:rPr>
        <w:t xml:space="preserve"> 2010; </w:t>
      </w:r>
      <w:r w:rsidRPr="006D6800">
        <w:rPr>
          <w:rFonts w:ascii="Book Antiqua" w:hAnsi="Book Antiqua"/>
          <w:b/>
          <w:sz w:val="24"/>
        </w:rPr>
        <w:t>456</w:t>
      </w:r>
      <w:r w:rsidRPr="006D6800">
        <w:rPr>
          <w:rFonts w:ascii="Book Antiqua" w:hAnsi="Book Antiqua"/>
          <w:sz w:val="24"/>
        </w:rPr>
        <w:t>: 595-597 [PMID: 20422210 DOI: 10.1007/s00428-010-0924-6]</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46 </w:t>
      </w:r>
      <w:r w:rsidRPr="006D6800">
        <w:rPr>
          <w:rFonts w:ascii="Book Antiqua" w:hAnsi="Book Antiqua"/>
          <w:b/>
          <w:sz w:val="24"/>
        </w:rPr>
        <w:t>Luo G</w:t>
      </w:r>
      <w:r w:rsidRPr="006D6800">
        <w:rPr>
          <w:rFonts w:ascii="Book Antiqua" w:hAnsi="Book Antiqua"/>
          <w:sz w:val="24"/>
        </w:rPr>
        <w:t xml:space="preserve">, Javed A, Strosberg JR, Jin K, Zhang Y, Liu C, Xu J, Soares K, Weiss MJ, Zheng L, Wolfgang CL, Cives M, Wong J, Wang W, Sun J, Shao C, Wang W, Tan H, Li J, Ni Q, Shen L, Chen M, He J, Chen J, Yu X. Modified Staging Classification for Pancreatic Neuroendocrine Tumors on the Basis of the American Joint Committee on Cancer and European Neuroendocrine Tumor Society Systems. </w:t>
      </w:r>
      <w:r w:rsidRPr="006D6800">
        <w:rPr>
          <w:rFonts w:ascii="Book Antiqua" w:hAnsi="Book Antiqua"/>
          <w:i/>
          <w:sz w:val="24"/>
        </w:rPr>
        <w:t>J Clin Oncol</w:t>
      </w:r>
      <w:r w:rsidRPr="006D6800">
        <w:rPr>
          <w:rFonts w:ascii="Book Antiqua" w:hAnsi="Book Antiqua"/>
          <w:sz w:val="24"/>
        </w:rPr>
        <w:t xml:space="preserve"> 2017; </w:t>
      </w:r>
      <w:r w:rsidRPr="006D6800">
        <w:rPr>
          <w:rFonts w:ascii="Book Antiqua" w:hAnsi="Book Antiqua"/>
          <w:b/>
          <w:sz w:val="24"/>
        </w:rPr>
        <w:t>35</w:t>
      </w:r>
      <w:r w:rsidRPr="006D6800">
        <w:rPr>
          <w:rFonts w:ascii="Book Antiqua" w:hAnsi="Book Antiqua"/>
          <w:sz w:val="24"/>
        </w:rPr>
        <w:t>: 274-280 [PMID: 27646952 DOI: 10.1200/JCO.2016.67.8193]</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47 </w:t>
      </w:r>
      <w:r w:rsidRPr="006D6800">
        <w:rPr>
          <w:rFonts w:ascii="Book Antiqua" w:hAnsi="Book Antiqua"/>
          <w:b/>
          <w:sz w:val="24"/>
        </w:rPr>
        <w:t>Hijioka S</w:t>
      </w:r>
      <w:r w:rsidRPr="006D6800">
        <w:rPr>
          <w:rFonts w:ascii="Book Antiqua" w:hAnsi="Book Antiqua"/>
          <w:sz w:val="24"/>
        </w:rPr>
        <w:t xml:space="preserve">, Hosoda W, Mizuno N, Hara K, Imaoka H, Bhatia V, Mekky MA, Tajika M, Tanaka T, Ishihara M, Yogi T, Tsutumi H, Fujiyoshi T, Sato T, Hieda N, Yoshida T, Okuno N, Shimizu Y, Yatabe Y, Niwa Y, Yamao K. Does the WHO 2010 classification of pancreatic neuroendocrine neoplasms accurately characterize pancreatic neuroendocrine carcinomas? </w:t>
      </w:r>
      <w:r w:rsidRPr="006D6800">
        <w:rPr>
          <w:rFonts w:ascii="Book Antiqua" w:hAnsi="Book Antiqua"/>
          <w:i/>
          <w:sz w:val="24"/>
        </w:rPr>
        <w:t>J Gastroenterol</w:t>
      </w:r>
      <w:r w:rsidRPr="006D6800">
        <w:rPr>
          <w:rFonts w:ascii="Book Antiqua" w:hAnsi="Book Antiqua"/>
          <w:sz w:val="24"/>
        </w:rPr>
        <w:t xml:space="preserve"> 2015; </w:t>
      </w:r>
      <w:r w:rsidRPr="006D6800">
        <w:rPr>
          <w:rFonts w:ascii="Book Antiqua" w:hAnsi="Book Antiqua"/>
          <w:b/>
          <w:sz w:val="24"/>
        </w:rPr>
        <w:t>50</w:t>
      </w:r>
      <w:r w:rsidRPr="006D6800">
        <w:rPr>
          <w:rFonts w:ascii="Book Antiqua" w:hAnsi="Book Antiqua"/>
          <w:sz w:val="24"/>
        </w:rPr>
        <w:t>: 564-572 [PMID: 25142799 DOI: 10.1007/s00535-014-0987-2]</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48 </w:t>
      </w:r>
      <w:r w:rsidRPr="006D6800">
        <w:rPr>
          <w:rFonts w:ascii="Book Antiqua" w:hAnsi="Book Antiqua"/>
          <w:b/>
          <w:sz w:val="24"/>
        </w:rPr>
        <w:t>Raj N</w:t>
      </w:r>
      <w:r w:rsidRPr="006D6800">
        <w:rPr>
          <w:rFonts w:ascii="Book Antiqua" w:hAnsi="Book Antiqua"/>
          <w:sz w:val="24"/>
        </w:rPr>
        <w:t xml:space="preserve">, Valentino E, Capanu M, Tang LH, Basturk O, Untch BR, Allen PJ, Klimstra DS, Reidy-Lagunes D. Treatment Response and Outcomes of Grade 3 Pancreatic Neuroendocrine Neoplasms Based on Morphology: Well Differentiated Versus Poorly Differentiated. </w:t>
      </w:r>
      <w:r w:rsidRPr="006D6800">
        <w:rPr>
          <w:rFonts w:ascii="Book Antiqua" w:hAnsi="Book Antiqua"/>
          <w:i/>
          <w:sz w:val="24"/>
        </w:rPr>
        <w:t>Pancreas</w:t>
      </w:r>
      <w:r w:rsidRPr="006D6800">
        <w:rPr>
          <w:rFonts w:ascii="Book Antiqua" w:hAnsi="Book Antiqua"/>
          <w:sz w:val="24"/>
        </w:rPr>
        <w:t xml:space="preserve"> 2017; </w:t>
      </w:r>
      <w:r w:rsidRPr="006D6800">
        <w:rPr>
          <w:rFonts w:ascii="Book Antiqua" w:hAnsi="Book Antiqua"/>
          <w:b/>
          <w:sz w:val="24"/>
        </w:rPr>
        <w:t>46</w:t>
      </w:r>
      <w:r w:rsidRPr="006D6800">
        <w:rPr>
          <w:rFonts w:ascii="Book Antiqua" w:hAnsi="Book Antiqua"/>
          <w:sz w:val="24"/>
        </w:rPr>
        <w:t>: 296-301 [PMID: 27759713 DOI: 10.1097/MPA.0000000000000735]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49 </w:t>
      </w:r>
      <w:r w:rsidRPr="006D6800">
        <w:rPr>
          <w:rFonts w:ascii="Book Antiqua" w:hAnsi="Book Antiqua"/>
          <w:b/>
          <w:sz w:val="24"/>
        </w:rPr>
        <w:t>Vélayoudom-Céphise FL</w:t>
      </w:r>
      <w:r w:rsidRPr="006D6800">
        <w:rPr>
          <w:rFonts w:ascii="Book Antiqua" w:hAnsi="Book Antiqua"/>
          <w:sz w:val="24"/>
        </w:rPr>
        <w:t xml:space="preserve">, Duvillard P, Foucan L, Hadoux J, Chougnet CN, Leboulleux S, Malka D, Guigay J, Goere D, Debaere T, Caramella C, Schlumberger M, Planchard D, Elias D, Ducreux M, Scoazec JY, Baudin E. Are G3 ENETS neuroendocrine neoplasms heterogeneous? </w:t>
      </w:r>
      <w:r w:rsidRPr="006D6800">
        <w:rPr>
          <w:rFonts w:ascii="Book Antiqua" w:hAnsi="Book Antiqua"/>
          <w:i/>
          <w:sz w:val="24"/>
        </w:rPr>
        <w:t>Endocr Relat Cancer</w:t>
      </w:r>
      <w:r w:rsidRPr="006D6800">
        <w:rPr>
          <w:rFonts w:ascii="Book Antiqua" w:hAnsi="Book Antiqua"/>
          <w:sz w:val="24"/>
        </w:rPr>
        <w:t xml:space="preserve"> 2013; </w:t>
      </w:r>
      <w:r w:rsidRPr="006D6800">
        <w:rPr>
          <w:rFonts w:ascii="Book Antiqua" w:hAnsi="Book Antiqua"/>
          <w:b/>
          <w:sz w:val="24"/>
        </w:rPr>
        <w:t>20</w:t>
      </w:r>
      <w:r w:rsidRPr="006D6800">
        <w:rPr>
          <w:rFonts w:ascii="Book Antiqua" w:hAnsi="Book Antiqua"/>
          <w:sz w:val="24"/>
        </w:rPr>
        <w:t>: 649-657 [PMID: 23845449 DOI: 10.1530/ERC-13-0027]</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lastRenderedPageBreak/>
        <w:t xml:space="preserve">50 </w:t>
      </w:r>
      <w:r w:rsidRPr="006D6800">
        <w:rPr>
          <w:rFonts w:ascii="Book Antiqua" w:hAnsi="Book Antiqua"/>
          <w:b/>
          <w:sz w:val="24"/>
        </w:rPr>
        <w:t>Falconi M</w:t>
      </w:r>
      <w:r w:rsidRPr="006D6800">
        <w:rPr>
          <w:rFonts w:ascii="Book Antiqua" w:hAnsi="Book Antiqua"/>
          <w:sz w:val="24"/>
        </w:rPr>
        <w:t xml:space="preserve">, Zerbi A, Crippa S, Balzano G, Boninsegna L, Capitanio V, Bassi C, Di Carlo V, Pederzoli P. Parenchyma-preserving resections for small nonfunctioning pancreatic endocrine tumors. </w:t>
      </w:r>
      <w:r w:rsidRPr="006D6800">
        <w:rPr>
          <w:rFonts w:ascii="Book Antiqua" w:hAnsi="Book Antiqua"/>
          <w:i/>
          <w:sz w:val="24"/>
        </w:rPr>
        <w:t>Ann Surg Oncol</w:t>
      </w:r>
      <w:r w:rsidRPr="006D6800">
        <w:rPr>
          <w:rFonts w:ascii="Book Antiqua" w:hAnsi="Book Antiqua"/>
          <w:sz w:val="24"/>
        </w:rPr>
        <w:t xml:space="preserve"> 2010; </w:t>
      </w:r>
      <w:r w:rsidRPr="006D6800">
        <w:rPr>
          <w:rFonts w:ascii="Book Antiqua" w:hAnsi="Book Antiqua"/>
          <w:b/>
          <w:sz w:val="24"/>
        </w:rPr>
        <w:t>17</w:t>
      </w:r>
      <w:r w:rsidRPr="006D6800">
        <w:rPr>
          <w:rFonts w:ascii="Book Antiqua" w:hAnsi="Book Antiqua"/>
          <w:sz w:val="24"/>
        </w:rPr>
        <w:t>: 1621-1627 [PMID: 20162460 DOI: 10.1245/s10434-010-0949-8]</w:t>
      </w:r>
    </w:p>
    <w:p w:rsidR="006F58B1" w:rsidRPr="006D6800" w:rsidRDefault="006F58B1" w:rsidP="006D6800">
      <w:pPr>
        <w:snapToGrid w:val="0"/>
        <w:spacing w:line="360" w:lineRule="auto"/>
        <w:rPr>
          <w:rFonts w:ascii="Book Antiqua" w:hAnsi="Book Antiqua"/>
          <w:sz w:val="24"/>
        </w:rPr>
      </w:pPr>
      <w:proofErr w:type="gramStart"/>
      <w:r w:rsidRPr="006D6800">
        <w:rPr>
          <w:rFonts w:ascii="Book Antiqua" w:hAnsi="Book Antiqua"/>
          <w:sz w:val="24"/>
        </w:rPr>
        <w:t xml:space="preserve">51 </w:t>
      </w:r>
      <w:r w:rsidRPr="006D6800">
        <w:rPr>
          <w:rFonts w:ascii="Book Antiqua" w:hAnsi="Book Antiqua"/>
          <w:b/>
          <w:sz w:val="24"/>
        </w:rPr>
        <w:t>Maurizi A</w:t>
      </w:r>
      <w:r w:rsidRPr="006D6800">
        <w:rPr>
          <w:rFonts w:ascii="Book Antiqua" w:hAnsi="Book Antiqua"/>
          <w:sz w:val="24"/>
        </w:rPr>
        <w:t>, Partelli S, Falconi M. Pancreatic Surgery.</w:t>
      </w:r>
      <w:proofErr w:type="gramEnd"/>
      <w:r w:rsidRPr="006D6800">
        <w:rPr>
          <w:rFonts w:ascii="Book Antiqua" w:hAnsi="Book Antiqua"/>
          <w:sz w:val="24"/>
        </w:rPr>
        <w:t xml:space="preserve"> </w:t>
      </w:r>
      <w:r w:rsidRPr="006D6800">
        <w:rPr>
          <w:rFonts w:ascii="Book Antiqua" w:hAnsi="Book Antiqua"/>
          <w:i/>
          <w:sz w:val="24"/>
        </w:rPr>
        <w:t>Front Horm Res</w:t>
      </w:r>
      <w:r w:rsidRPr="006D6800">
        <w:rPr>
          <w:rFonts w:ascii="Book Antiqua" w:hAnsi="Book Antiqua"/>
          <w:sz w:val="24"/>
        </w:rPr>
        <w:t xml:space="preserve"> 2015; </w:t>
      </w:r>
      <w:r w:rsidRPr="006D6800">
        <w:rPr>
          <w:rFonts w:ascii="Book Antiqua" w:hAnsi="Book Antiqua"/>
          <w:b/>
          <w:sz w:val="24"/>
        </w:rPr>
        <w:t>44</w:t>
      </w:r>
      <w:r w:rsidRPr="006D6800">
        <w:rPr>
          <w:rFonts w:ascii="Book Antiqua" w:hAnsi="Book Antiqua"/>
          <w:sz w:val="24"/>
        </w:rPr>
        <w:t>: 139-148 [PMID: 26303709 DOI: 10.1159/000382143]</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52 </w:t>
      </w:r>
      <w:r w:rsidRPr="006D6800">
        <w:rPr>
          <w:rFonts w:ascii="Book Antiqua" w:hAnsi="Book Antiqua"/>
          <w:b/>
          <w:sz w:val="24"/>
        </w:rPr>
        <w:t>Ambe CM</w:t>
      </w:r>
      <w:r w:rsidRPr="006D6800">
        <w:rPr>
          <w:rFonts w:ascii="Book Antiqua" w:hAnsi="Book Antiqua"/>
          <w:sz w:val="24"/>
        </w:rPr>
        <w:t xml:space="preserve">, Nguyen P, Centeno BA, Choi J, Strosberg J, Kvols L, Hodul P, Hoffe S, Malafa MP. Multimodality Management of "Borderline Resectable" Pancreatic Neuroendocrine Tumors: Report of a Single-Institution Experience. </w:t>
      </w:r>
      <w:r w:rsidRPr="006D6800">
        <w:rPr>
          <w:rFonts w:ascii="Book Antiqua" w:hAnsi="Book Antiqua"/>
          <w:i/>
          <w:sz w:val="24"/>
        </w:rPr>
        <w:t>Cancer Control</w:t>
      </w:r>
      <w:r w:rsidRPr="006D6800">
        <w:rPr>
          <w:rFonts w:ascii="Book Antiqua" w:hAnsi="Book Antiqua"/>
          <w:sz w:val="24"/>
        </w:rPr>
        <w:t xml:space="preserve"> 2017; </w:t>
      </w:r>
      <w:r w:rsidRPr="006D6800">
        <w:rPr>
          <w:rFonts w:ascii="Book Antiqua" w:hAnsi="Book Antiqua"/>
          <w:b/>
          <w:sz w:val="24"/>
        </w:rPr>
        <w:t>24</w:t>
      </w:r>
      <w:r w:rsidRPr="006D6800">
        <w:rPr>
          <w:rFonts w:ascii="Book Antiqua" w:hAnsi="Book Antiqua"/>
          <w:sz w:val="24"/>
        </w:rPr>
        <w:t>: 1073274817729076 [PMID: 28975822 DOI: 10.1177/1073274817729076]</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53 </w:t>
      </w:r>
      <w:r w:rsidRPr="006D6800">
        <w:rPr>
          <w:rFonts w:ascii="Book Antiqua" w:hAnsi="Book Antiqua"/>
          <w:b/>
          <w:sz w:val="24"/>
        </w:rPr>
        <w:t>Partelli S</w:t>
      </w:r>
      <w:r w:rsidRPr="006D6800">
        <w:rPr>
          <w:rFonts w:ascii="Book Antiqua" w:hAnsi="Book Antiqua"/>
          <w:sz w:val="24"/>
        </w:rPr>
        <w:t xml:space="preserve">, Bertani E, Bartolomei M, Perali C, Muffatti F, Grana CM, Schiavo Lena M, Doglioni C, Crippa S, Fazio N, Zamboni G, Falconi M. Peptide receptor radionuclide therapy as neoadjuvant therapy for resectable or potentially resectable pancreatic neuroendocrine neoplasms. </w:t>
      </w:r>
      <w:r w:rsidRPr="006D6800">
        <w:rPr>
          <w:rFonts w:ascii="Book Antiqua" w:hAnsi="Book Antiqua"/>
          <w:i/>
          <w:sz w:val="24"/>
        </w:rPr>
        <w:t>Surgery</w:t>
      </w:r>
      <w:r w:rsidRPr="006D6800">
        <w:rPr>
          <w:rFonts w:ascii="Book Antiqua" w:hAnsi="Book Antiqua"/>
          <w:sz w:val="24"/>
        </w:rPr>
        <w:t xml:space="preserve"> 2018; </w:t>
      </w:r>
      <w:r w:rsidRPr="006D6800">
        <w:rPr>
          <w:rFonts w:ascii="Book Antiqua" w:hAnsi="Book Antiqua"/>
          <w:b/>
          <w:sz w:val="24"/>
        </w:rPr>
        <w:t>163</w:t>
      </w:r>
      <w:r w:rsidRPr="006D6800">
        <w:rPr>
          <w:rFonts w:ascii="Book Antiqua" w:hAnsi="Book Antiqua"/>
          <w:sz w:val="24"/>
        </w:rPr>
        <w:t>: 761-767 [PMID: 29284590 DOI: 10.1016/j.surg.2017.11.007]</w:t>
      </w:r>
    </w:p>
    <w:p w:rsidR="006F58B1" w:rsidRPr="006D6800" w:rsidRDefault="006F58B1" w:rsidP="006D6800">
      <w:pPr>
        <w:snapToGrid w:val="0"/>
        <w:spacing w:line="360" w:lineRule="auto"/>
        <w:rPr>
          <w:rFonts w:ascii="Book Antiqua" w:hAnsi="Book Antiqua"/>
          <w:sz w:val="24"/>
        </w:rPr>
      </w:pPr>
      <w:proofErr w:type="gramStart"/>
      <w:r w:rsidRPr="006D6800">
        <w:rPr>
          <w:rFonts w:ascii="Book Antiqua" w:hAnsi="Book Antiqua"/>
          <w:sz w:val="24"/>
        </w:rPr>
        <w:t xml:space="preserve">54 </w:t>
      </w:r>
      <w:r w:rsidRPr="006D6800">
        <w:rPr>
          <w:rFonts w:ascii="Book Antiqua" w:hAnsi="Book Antiqua"/>
          <w:b/>
          <w:sz w:val="24"/>
        </w:rPr>
        <w:t>Ghetie C</w:t>
      </w:r>
      <w:r w:rsidRPr="006D6800">
        <w:rPr>
          <w:rFonts w:ascii="Book Antiqua" w:hAnsi="Book Antiqua"/>
          <w:sz w:val="24"/>
        </w:rPr>
        <w:t>, Cornfeld D, Ramfidis VS, Syrigos KN, Saif MW.</w:t>
      </w:r>
      <w:proofErr w:type="gramEnd"/>
      <w:r w:rsidRPr="006D6800">
        <w:rPr>
          <w:rFonts w:ascii="Book Antiqua" w:hAnsi="Book Antiqua"/>
          <w:sz w:val="24"/>
        </w:rPr>
        <w:t xml:space="preserve"> Bone lesions in recurrent glucagonoma: A case report and review of literature. </w:t>
      </w:r>
      <w:r w:rsidRPr="006D6800">
        <w:rPr>
          <w:rFonts w:ascii="Book Antiqua" w:hAnsi="Book Antiqua"/>
          <w:i/>
          <w:sz w:val="24"/>
        </w:rPr>
        <w:t>World J Gastrointest Oncol</w:t>
      </w:r>
      <w:r w:rsidRPr="006D6800">
        <w:rPr>
          <w:rFonts w:ascii="Book Antiqua" w:hAnsi="Book Antiqua"/>
          <w:sz w:val="24"/>
        </w:rPr>
        <w:t xml:space="preserve"> 2012; </w:t>
      </w:r>
      <w:r w:rsidRPr="006D6800">
        <w:rPr>
          <w:rFonts w:ascii="Book Antiqua" w:hAnsi="Book Antiqua"/>
          <w:b/>
          <w:sz w:val="24"/>
        </w:rPr>
        <w:t>4</w:t>
      </w:r>
      <w:r w:rsidRPr="006D6800">
        <w:rPr>
          <w:rFonts w:ascii="Book Antiqua" w:hAnsi="Book Antiqua"/>
          <w:sz w:val="24"/>
        </w:rPr>
        <w:t>: 152-155 [PMID: 22737277 DOI: 10.4251/wjgo.v4.i6.152]</w:t>
      </w:r>
    </w:p>
    <w:p w:rsidR="006F58B1" w:rsidRPr="006D6800" w:rsidRDefault="006F58B1" w:rsidP="006D6800">
      <w:pPr>
        <w:snapToGrid w:val="0"/>
        <w:spacing w:line="360" w:lineRule="auto"/>
        <w:rPr>
          <w:rFonts w:ascii="Book Antiqua" w:hAnsi="Book Antiqua"/>
          <w:sz w:val="24"/>
        </w:rPr>
      </w:pPr>
      <w:proofErr w:type="gramStart"/>
      <w:r w:rsidRPr="006D6800">
        <w:rPr>
          <w:rFonts w:ascii="Book Antiqua" w:hAnsi="Book Antiqua"/>
          <w:sz w:val="24"/>
        </w:rPr>
        <w:t xml:space="preserve">55 </w:t>
      </w:r>
      <w:r w:rsidRPr="006D6800">
        <w:rPr>
          <w:rFonts w:ascii="Book Antiqua" w:hAnsi="Book Antiqua"/>
          <w:b/>
          <w:sz w:val="24"/>
        </w:rPr>
        <w:t>Touzios JG</w:t>
      </w:r>
      <w:r w:rsidRPr="006D6800">
        <w:rPr>
          <w:rFonts w:ascii="Book Antiqua" w:hAnsi="Book Antiqua"/>
          <w:sz w:val="24"/>
        </w:rPr>
        <w:t>, Kiely JM, Pitt SC, Rilling WS, Quebbeman EJ, Wilson SD, Pitt HA.</w:t>
      </w:r>
      <w:proofErr w:type="gramEnd"/>
      <w:r w:rsidRPr="006D6800">
        <w:rPr>
          <w:rFonts w:ascii="Book Antiqua" w:hAnsi="Book Antiqua"/>
          <w:sz w:val="24"/>
        </w:rPr>
        <w:t xml:space="preserve"> Neuroendocrine hepatic metastases: does aggressive management improve survival? </w:t>
      </w:r>
      <w:r w:rsidRPr="006D6800">
        <w:rPr>
          <w:rFonts w:ascii="Book Antiqua" w:hAnsi="Book Antiqua"/>
          <w:i/>
          <w:sz w:val="24"/>
        </w:rPr>
        <w:t>Ann Surg</w:t>
      </w:r>
      <w:r w:rsidRPr="006D6800">
        <w:rPr>
          <w:rFonts w:ascii="Book Antiqua" w:hAnsi="Book Antiqua"/>
          <w:sz w:val="24"/>
        </w:rPr>
        <w:t xml:space="preserve"> 2005; </w:t>
      </w:r>
      <w:r w:rsidRPr="006D6800">
        <w:rPr>
          <w:rFonts w:ascii="Book Antiqua" w:hAnsi="Book Antiqua"/>
          <w:b/>
          <w:sz w:val="24"/>
        </w:rPr>
        <w:t>241</w:t>
      </w:r>
      <w:r w:rsidRPr="006D6800">
        <w:rPr>
          <w:rFonts w:ascii="Book Antiqua" w:hAnsi="Book Antiqua"/>
          <w:sz w:val="24"/>
        </w:rPr>
        <w:t>: 776-</w:t>
      </w:r>
      <w:r w:rsidR="00DE2FD3">
        <w:rPr>
          <w:rFonts w:ascii="Book Antiqua" w:hAnsi="Book Antiqua"/>
          <w:sz w:val="24"/>
        </w:rPr>
        <w:t>7</w:t>
      </w:r>
      <w:r w:rsidRPr="006D6800">
        <w:rPr>
          <w:rFonts w:ascii="Book Antiqua" w:hAnsi="Book Antiqua"/>
          <w:sz w:val="24"/>
        </w:rPr>
        <w:t>83; discussion 783-</w:t>
      </w:r>
      <w:r w:rsidR="00DE2FD3">
        <w:rPr>
          <w:rFonts w:ascii="Book Antiqua" w:hAnsi="Book Antiqua"/>
          <w:sz w:val="24"/>
        </w:rPr>
        <w:t>78</w:t>
      </w:r>
      <w:r w:rsidRPr="006D6800">
        <w:rPr>
          <w:rFonts w:ascii="Book Antiqua" w:hAnsi="Book Antiqua"/>
          <w:sz w:val="24"/>
        </w:rPr>
        <w:t>5 [PMID: 15849513 DOI: 10.1097/01.sla.0000161981.58631.ab]</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56 </w:t>
      </w:r>
      <w:r w:rsidRPr="006D6800">
        <w:rPr>
          <w:rFonts w:ascii="Book Antiqua" w:hAnsi="Book Antiqua"/>
          <w:b/>
          <w:sz w:val="24"/>
        </w:rPr>
        <w:t>Fendrich V</w:t>
      </w:r>
      <w:r w:rsidRPr="006D6800">
        <w:rPr>
          <w:rFonts w:ascii="Book Antiqua" w:hAnsi="Book Antiqua"/>
          <w:sz w:val="24"/>
        </w:rPr>
        <w:t xml:space="preserve">, Langer P, Celik I, Bartsch DK, Zielke A, Ramaswamy A, Rothmund M. An aggressive surgical approach leads to long-term survival in patients with pancreatic endocrine tumors. </w:t>
      </w:r>
      <w:r w:rsidRPr="006D6800">
        <w:rPr>
          <w:rFonts w:ascii="Book Antiqua" w:hAnsi="Book Antiqua"/>
          <w:i/>
          <w:sz w:val="24"/>
        </w:rPr>
        <w:t>Ann Surg</w:t>
      </w:r>
      <w:r w:rsidRPr="006D6800">
        <w:rPr>
          <w:rFonts w:ascii="Book Antiqua" w:hAnsi="Book Antiqua"/>
          <w:sz w:val="24"/>
        </w:rPr>
        <w:t xml:space="preserve"> 2006; </w:t>
      </w:r>
      <w:r w:rsidRPr="006D6800">
        <w:rPr>
          <w:rFonts w:ascii="Book Antiqua" w:hAnsi="Book Antiqua"/>
          <w:b/>
          <w:sz w:val="24"/>
        </w:rPr>
        <w:t>244</w:t>
      </w:r>
      <w:r w:rsidRPr="006D6800">
        <w:rPr>
          <w:rFonts w:ascii="Book Antiqua" w:hAnsi="Book Antiqua"/>
          <w:sz w:val="24"/>
        </w:rPr>
        <w:t>: 845-</w:t>
      </w:r>
      <w:r w:rsidR="00DE2FD3">
        <w:rPr>
          <w:rFonts w:ascii="Book Antiqua" w:hAnsi="Book Antiqua"/>
          <w:sz w:val="24"/>
        </w:rPr>
        <w:t>8</w:t>
      </w:r>
      <w:r w:rsidRPr="006D6800">
        <w:rPr>
          <w:rFonts w:ascii="Book Antiqua" w:hAnsi="Book Antiqua"/>
          <w:sz w:val="24"/>
        </w:rPr>
        <w:t>51; discussion 852-</w:t>
      </w:r>
      <w:r w:rsidR="00DE2FD3">
        <w:rPr>
          <w:rFonts w:ascii="Book Antiqua" w:hAnsi="Book Antiqua"/>
          <w:sz w:val="24"/>
        </w:rPr>
        <w:t>85</w:t>
      </w:r>
      <w:r w:rsidRPr="006D6800">
        <w:rPr>
          <w:rFonts w:ascii="Book Antiqua" w:hAnsi="Book Antiqua"/>
          <w:sz w:val="24"/>
        </w:rPr>
        <w:t>3 [PMID: 17122609 DOI: 10.1097/01.sla.0000246951.21252.60]</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57 </w:t>
      </w:r>
      <w:r w:rsidRPr="006D6800">
        <w:rPr>
          <w:rFonts w:ascii="Book Antiqua" w:hAnsi="Book Antiqua"/>
          <w:b/>
          <w:sz w:val="24"/>
        </w:rPr>
        <w:t>Birnbaum DJ</w:t>
      </w:r>
      <w:r w:rsidRPr="006D6800">
        <w:rPr>
          <w:rFonts w:ascii="Book Antiqua" w:hAnsi="Book Antiqua"/>
          <w:sz w:val="24"/>
        </w:rPr>
        <w:t xml:space="preserve">, Turrini O, Vigano L, Russolillo N, Autret A, Moutardier V, Capussotti L, Le Treut YP, Delpero JR, Hardwigsen J. Surgical management of advanced pancreatic neuroendocrine tumors: short-term and long-term results from an international multi-institutional study. </w:t>
      </w:r>
      <w:r w:rsidRPr="006D6800">
        <w:rPr>
          <w:rFonts w:ascii="Book Antiqua" w:hAnsi="Book Antiqua"/>
          <w:i/>
          <w:sz w:val="24"/>
        </w:rPr>
        <w:t>Ann Surg Oncol</w:t>
      </w:r>
      <w:r w:rsidRPr="006D6800">
        <w:rPr>
          <w:rFonts w:ascii="Book Antiqua" w:hAnsi="Book Antiqua"/>
          <w:sz w:val="24"/>
        </w:rPr>
        <w:t xml:space="preserve"> 2015; </w:t>
      </w:r>
      <w:r w:rsidRPr="006D6800">
        <w:rPr>
          <w:rFonts w:ascii="Book Antiqua" w:hAnsi="Book Antiqua"/>
          <w:b/>
          <w:sz w:val="24"/>
        </w:rPr>
        <w:t>22</w:t>
      </w:r>
      <w:r w:rsidRPr="006D6800">
        <w:rPr>
          <w:rFonts w:ascii="Book Antiqua" w:hAnsi="Book Antiqua"/>
          <w:sz w:val="24"/>
        </w:rPr>
        <w:t>: 1000-1007 [PMID: 25190116 DOI: 10.1245/s10434-014-4016-8]</w:t>
      </w:r>
    </w:p>
    <w:p w:rsidR="006F58B1" w:rsidRPr="006D6800" w:rsidRDefault="006F58B1" w:rsidP="006D6800">
      <w:pPr>
        <w:snapToGrid w:val="0"/>
        <w:spacing w:line="360" w:lineRule="auto"/>
        <w:rPr>
          <w:rFonts w:ascii="Book Antiqua" w:hAnsi="Book Antiqua"/>
          <w:sz w:val="24"/>
        </w:rPr>
      </w:pPr>
      <w:proofErr w:type="gramStart"/>
      <w:r w:rsidRPr="006D6800">
        <w:rPr>
          <w:rFonts w:ascii="Book Antiqua" w:hAnsi="Book Antiqua"/>
          <w:sz w:val="24"/>
        </w:rPr>
        <w:lastRenderedPageBreak/>
        <w:t xml:space="preserve">58 </w:t>
      </w:r>
      <w:r w:rsidRPr="006D6800">
        <w:rPr>
          <w:rFonts w:ascii="Book Antiqua" w:hAnsi="Book Antiqua"/>
          <w:b/>
          <w:sz w:val="24"/>
        </w:rPr>
        <w:t>Kouvaraki MA</w:t>
      </w:r>
      <w:r w:rsidRPr="006D6800">
        <w:rPr>
          <w:rFonts w:ascii="Book Antiqua" w:hAnsi="Book Antiqua"/>
          <w:sz w:val="24"/>
        </w:rPr>
        <w:t>, Ajani JA, Hoff P, Wolff R, Evans DB, Lozano R, Yao JC.</w:t>
      </w:r>
      <w:proofErr w:type="gramEnd"/>
      <w:r w:rsidRPr="006D6800">
        <w:rPr>
          <w:rFonts w:ascii="Book Antiqua" w:hAnsi="Book Antiqua"/>
          <w:sz w:val="24"/>
        </w:rPr>
        <w:t xml:space="preserve"> </w:t>
      </w:r>
      <w:proofErr w:type="gramStart"/>
      <w:r w:rsidRPr="006D6800">
        <w:rPr>
          <w:rFonts w:ascii="Book Antiqua" w:hAnsi="Book Antiqua"/>
          <w:sz w:val="24"/>
        </w:rPr>
        <w:t>Fluorouracil, doxorubicin, and streptozocin in the treatment of patients with locally advanced and metastatic pancreatic endocrine carcinomas.</w:t>
      </w:r>
      <w:proofErr w:type="gramEnd"/>
      <w:r w:rsidRPr="006D6800">
        <w:rPr>
          <w:rFonts w:ascii="Book Antiqua" w:hAnsi="Book Antiqua"/>
          <w:sz w:val="24"/>
        </w:rPr>
        <w:t xml:space="preserve"> </w:t>
      </w:r>
      <w:r w:rsidRPr="006D6800">
        <w:rPr>
          <w:rFonts w:ascii="Book Antiqua" w:hAnsi="Book Antiqua"/>
          <w:i/>
          <w:sz w:val="24"/>
        </w:rPr>
        <w:t>J Clin Oncol</w:t>
      </w:r>
      <w:r w:rsidRPr="006D6800">
        <w:rPr>
          <w:rFonts w:ascii="Book Antiqua" w:hAnsi="Book Antiqua"/>
          <w:sz w:val="24"/>
        </w:rPr>
        <w:t xml:space="preserve"> 2004; </w:t>
      </w:r>
      <w:r w:rsidRPr="006D6800">
        <w:rPr>
          <w:rFonts w:ascii="Book Antiqua" w:hAnsi="Book Antiqua"/>
          <w:b/>
          <w:sz w:val="24"/>
        </w:rPr>
        <w:t>22</w:t>
      </w:r>
      <w:r w:rsidRPr="006D6800">
        <w:rPr>
          <w:rFonts w:ascii="Book Antiqua" w:hAnsi="Book Antiqua"/>
          <w:sz w:val="24"/>
        </w:rPr>
        <w:t>: 4762-4771 [PMID: 15570077 DOI: 10.1200/JCO.2004.04.024]</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59 </w:t>
      </w:r>
      <w:r w:rsidRPr="006D6800">
        <w:rPr>
          <w:rFonts w:ascii="Book Antiqua" w:hAnsi="Book Antiqua"/>
          <w:b/>
          <w:sz w:val="24"/>
        </w:rPr>
        <w:t>Delaunoit T</w:t>
      </w:r>
      <w:r w:rsidRPr="006D6800">
        <w:rPr>
          <w:rFonts w:ascii="Book Antiqua" w:hAnsi="Book Antiqua"/>
          <w:sz w:val="24"/>
        </w:rPr>
        <w:t xml:space="preserve">, Ducreux M, Boige V, Dromain C, Sabourin JC, Duvillard P, Schlumberger M, de Baere T, Rougier P, Ruffie P, Elias D, Lasser P, Baudin E. </w:t>
      </w:r>
      <w:proofErr w:type="gramStart"/>
      <w:r w:rsidRPr="006D6800">
        <w:rPr>
          <w:rFonts w:ascii="Book Antiqua" w:hAnsi="Book Antiqua"/>
          <w:sz w:val="24"/>
        </w:rPr>
        <w:t>The doxorubicin-streptozotocin combination for the treatment of advanced well-differentiated pancreatic endocrine carcinoma; a judicious option?</w:t>
      </w:r>
      <w:proofErr w:type="gramEnd"/>
      <w:r w:rsidRPr="006D6800">
        <w:rPr>
          <w:rFonts w:ascii="Book Antiqua" w:hAnsi="Book Antiqua"/>
          <w:sz w:val="24"/>
        </w:rPr>
        <w:t xml:space="preserve"> </w:t>
      </w:r>
      <w:r w:rsidRPr="006D6800">
        <w:rPr>
          <w:rFonts w:ascii="Book Antiqua" w:hAnsi="Book Antiqua"/>
          <w:i/>
          <w:sz w:val="24"/>
        </w:rPr>
        <w:t>Eur J Cancer</w:t>
      </w:r>
      <w:r w:rsidRPr="006D6800">
        <w:rPr>
          <w:rFonts w:ascii="Book Antiqua" w:hAnsi="Book Antiqua"/>
          <w:sz w:val="24"/>
        </w:rPr>
        <w:t xml:space="preserve"> 2004; </w:t>
      </w:r>
      <w:r w:rsidRPr="006D6800">
        <w:rPr>
          <w:rFonts w:ascii="Book Antiqua" w:hAnsi="Book Antiqua"/>
          <w:b/>
          <w:sz w:val="24"/>
        </w:rPr>
        <w:t>40</w:t>
      </w:r>
      <w:r w:rsidRPr="006D6800">
        <w:rPr>
          <w:rFonts w:ascii="Book Antiqua" w:hAnsi="Book Antiqua"/>
          <w:sz w:val="24"/>
        </w:rPr>
        <w:t>: 515-520 [PMID: 14962717 DOI: 10.1016/j.ejca.2003.09.035]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60 </w:t>
      </w:r>
      <w:r w:rsidRPr="006D6800">
        <w:rPr>
          <w:rFonts w:ascii="Book Antiqua" w:hAnsi="Book Antiqua"/>
          <w:b/>
          <w:sz w:val="24"/>
        </w:rPr>
        <w:t>Kulke MH</w:t>
      </w:r>
      <w:r w:rsidRPr="006D6800">
        <w:rPr>
          <w:rFonts w:ascii="Book Antiqua" w:hAnsi="Book Antiqua"/>
          <w:sz w:val="24"/>
        </w:rPr>
        <w:t xml:space="preserve">, Stuart K, Enzinger PC, Ryan DP, Clark JW, Muzikansky A, Vincitore M, Michelini A, Fuchs CS. Phase II study of temozolomide and thalidomide in patients with metastatic neuroendocrine tumors. </w:t>
      </w:r>
      <w:r w:rsidRPr="006D6800">
        <w:rPr>
          <w:rFonts w:ascii="Book Antiqua" w:hAnsi="Book Antiqua"/>
          <w:i/>
          <w:sz w:val="24"/>
        </w:rPr>
        <w:t>J Clin Oncol</w:t>
      </w:r>
      <w:r w:rsidRPr="006D6800">
        <w:rPr>
          <w:rFonts w:ascii="Book Antiqua" w:hAnsi="Book Antiqua"/>
          <w:sz w:val="24"/>
        </w:rPr>
        <w:t xml:space="preserve"> 2006; </w:t>
      </w:r>
      <w:r w:rsidRPr="006D6800">
        <w:rPr>
          <w:rFonts w:ascii="Book Antiqua" w:hAnsi="Book Antiqua"/>
          <w:b/>
          <w:sz w:val="24"/>
        </w:rPr>
        <w:t>24</w:t>
      </w:r>
      <w:r w:rsidRPr="006D6800">
        <w:rPr>
          <w:rFonts w:ascii="Book Antiqua" w:hAnsi="Book Antiqua"/>
          <w:sz w:val="24"/>
        </w:rPr>
        <w:t>: 401-406 [PMID: 16421420 DOI: 10.1200/JCO.2005.03.6046]</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61 </w:t>
      </w:r>
      <w:r w:rsidRPr="006D6800">
        <w:rPr>
          <w:rFonts w:ascii="Book Antiqua" w:hAnsi="Book Antiqua"/>
          <w:b/>
          <w:sz w:val="24"/>
        </w:rPr>
        <w:t>Welin S</w:t>
      </w:r>
      <w:r w:rsidRPr="006D6800">
        <w:rPr>
          <w:rFonts w:ascii="Book Antiqua" w:hAnsi="Book Antiqua"/>
          <w:sz w:val="24"/>
        </w:rPr>
        <w:t xml:space="preserve">, Sorbye H, Sebjornsen S, Knappskog S, Busch C, Oberg K. Clinical effect of temozolomide-based chemotherapy in poorly differentiated endocrine carcinoma after progression on first-line chemotherapy. </w:t>
      </w:r>
      <w:r w:rsidRPr="006D6800">
        <w:rPr>
          <w:rFonts w:ascii="Book Antiqua" w:hAnsi="Book Antiqua"/>
          <w:i/>
          <w:sz w:val="24"/>
        </w:rPr>
        <w:t>Cancer</w:t>
      </w:r>
      <w:r w:rsidRPr="006D6800">
        <w:rPr>
          <w:rFonts w:ascii="Book Antiqua" w:hAnsi="Book Antiqua"/>
          <w:sz w:val="24"/>
        </w:rPr>
        <w:t xml:space="preserve"> 2011; </w:t>
      </w:r>
      <w:r w:rsidRPr="006D6800">
        <w:rPr>
          <w:rFonts w:ascii="Book Antiqua" w:hAnsi="Book Antiqua"/>
          <w:b/>
          <w:sz w:val="24"/>
        </w:rPr>
        <w:t>117</w:t>
      </w:r>
      <w:r w:rsidRPr="006D6800">
        <w:rPr>
          <w:rFonts w:ascii="Book Antiqua" w:hAnsi="Book Antiqua"/>
          <w:sz w:val="24"/>
        </w:rPr>
        <w:t>: 4617-4622 [PMID: 21456005 DOI: 10.1002/cncr.26124]</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62 </w:t>
      </w:r>
      <w:r w:rsidRPr="006D6800">
        <w:rPr>
          <w:rFonts w:ascii="Book Antiqua" w:hAnsi="Book Antiqua"/>
          <w:b/>
          <w:sz w:val="24"/>
        </w:rPr>
        <w:t>Yao JC</w:t>
      </w:r>
      <w:r w:rsidRPr="006D6800">
        <w:rPr>
          <w:rFonts w:ascii="Book Antiqua" w:hAnsi="Book Antiqua"/>
          <w:sz w:val="24"/>
        </w:rPr>
        <w:t xml:space="preserve">, Shah MH, Ito T, Bohas CL, Wolin EM, Van Cutsem E, Hobday TJ, Okusaka T, Capdevila J, de Vries EG, Tomassetti P, Pavel ME, Hoosen S, Haas T, Lincy J, Lebwohl D, Öberg K; RAD001 in Advanced Neuroendocrine Tumors, Third Trial (RADIANT-3) Study Group. </w:t>
      </w:r>
      <w:proofErr w:type="gramStart"/>
      <w:r w:rsidRPr="006D6800">
        <w:rPr>
          <w:rFonts w:ascii="Book Antiqua" w:hAnsi="Book Antiqua"/>
          <w:sz w:val="24"/>
        </w:rPr>
        <w:t>Everolimus for advanced pancreatic neuroendocrine tumors.</w:t>
      </w:r>
      <w:proofErr w:type="gramEnd"/>
      <w:r w:rsidRPr="006D6800">
        <w:rPr>
          <w:rFonts w:ascii="Book Antiqua" w:hAnsi="Book Antiqua"/>
          <w:sz w:val="24"/>
        </w:rPr>
        <w:t xml:space="preserve"> </w:t>
      </w:r>
      <w:r w:rsidRPr="006D6800">
        <w:rPr>
          <w:rFonts w:ascii="Book Antiqua" w:hAnsi="Book Antiqua"/>
          <w:i/>
          <w:sz w:val="24"/>
        </w:rPr>
        <w:t>N Engl J Med</w:t>
      </w:r>
      <w:r w:rsidRPr="006D6800">
        <w:rPr>
          <w:rFonts w:ascii="Book Antiqua" w:hAnsi="Book Antiqua"/>
          <w:sz w:val="24"/>
        </w:rPr>
        <w:t xml:space="preserve"> 2011; </w:t>
      </w:r>
      <w:r w:rsidRPr="006D6800">
        <w:rPr>
          <w:rFonts w:ascii="Book Antiqua" w:hAnsi="Book Antiqua"/>
          <w:b/>
          <w:sz w:val="24"/>
        </w:rPr>
        <w:t>364</w:t>
      </w:r>
      <w:r w:rsidRPr="006D6800">
        <w:rPr>
          <w:rFonts w:ascii="Book Antiqua" w:hAnsi="Book Antiqua"/>
          <w:sz w:val="24"/>
        </w:rPr>
        <w:t>: 514-523 [PMID: 21306238 DOI: 10.1056/NEJMoa1009290]</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63 </w:t>
      </w:r>
      <w:r w:rsidRPr="006D6800">
        <w:rPr>
          <w:rFonts w:ascii="Book Antiqua" w:hAnsi="Book Antiqua"/>
          <w:b/>
          <w:sz w:val="24"/>
        </w:rPr>
        <w:t>Zhang J</w:t>
      </w:r>
      <w:r w:rsidRPr="006D6800">
        <w:rPr>
          <w:rFonts w:ascii="Book Antiqua" w:hAnsi="Book Antiqua"/>
          <w:sz w:val="24"/>
        </w:rPr>
        <w:t xml:space="preserve">, Francois R, Iyer R, Seshadri M, Zajac-Kaye M, Hochwald SN. </w:t>
      </w:r>
      <w:proofErr w:type="gramStart"/>
      <w:r w:rsidRPr="006D6800">
        <w:rPr>
          <w:rFonts w:ascii="Book Antiqua" w:hAnsi="Book Antiqua"/>
          <w:sz w:val="24"/>
        </w:rPr>
        <w:t>Current understanding of the molecular biology of pancreatic neuroendocrine tumors.</w:t>
      </w:r>
      <w:proofErr w:type="gramEnd"/>
      <w:r w:rsidRPr="006D6800">
        <w:rPr>
          <w:rFonts w:ascii="Book Antiqua" w:hAnsi="Book Antiqua"/>
          <w:sz w:val="24"/>
        </w:rPr>
        <w:t xml:space="preserve"> </w:t>
      </w:r>
      <w:r w:rsidRPr="006D6800">
        <w:rPr>
          <w:rFonts w:ascii="Book Antiqua" w:hAnsi="Book Antiqua"/>
          <w:i/>
          <w:sz w:val="24"/>
        </w:rPr>
        <w:t>J Natl Cancer Inst</w:t>
      </w:r>
      <w:r w:rsidRPr="006D6800">
        <w:rPr>
          <w:rFonts w:ascii="Book Antiqua" w:hAnsi="Book Antiqua"/>
          <w:sz w:val="24"/>
        </w:rPr>
        <w:t xml:space="preserve"> 2013; </w:t>
      </w:r>
      <w:r w:rsidRPr="006D6800">
        <w:rPr>
          <w:rFonts w:ascii="Book Antiqua" w:hAnsi="Book Antiqua"/>
          <w:b/>
          <w:sz w:val="24"/>
        </w:rPr>
        <w:t>105</w:t>
      </w:r>
      <w:r w:rsidRPr="006D6800">
        <w:rPr>
          <w:rFonts w:ascii="Book Antiqua" w:hAnsi="Book Antiqua"/>
          <w:sz w:val="24"/>
        </w:rPr>
        <w:t>: 1005-1017 [PMID: 23840053 DOI: 10.1093/jnci/djt135]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64 </w:t>
      </w:r>
      <w:r w:rsidRPr="006D6800">
        <w:rPr>
          <w:rFonts w:ascii="Book Antiqua" w:hAnsi="Book Antiqua"/>
          <w:b/>
          <w:sz w:val="24"/>
        </w:rPr>
        <w:t>Raymond E</w:t>
      </w:r>
      <w:r w:rsidRPr="006D6800">
        <w:rPr>
          <w:rFonts w:ascii="Book Antiqua" w:hAnsi="Book Antiqua"/>
          <w:sz w:val="24"/>
        </w:rPr>
        <w:t xml:space="preserve">, Dahan L, Raoul JL, Bang YJ, Borbath I, Lombard-Bohas C, Valle J, Metrakos P, Smith D, Vinik A, Chen JS, Hörsch D, Hammel P, Wiedenmann B, Van Cutsem E, Patyna S, Lu DR, Blanckmeister C, Chao R, Ruszniewski P. Sunitinib malate for the treatment of pancreatic neuroendocrine tumors. </w:t>
      </w:r>
      <w:r w:rsidRPr="006D6800">
        <w:rPr>
          <w:rFonts w:ascii="Book Antiqua" w:hAnsi="Book Antiqua"/>
          <w:i/>
          <w:sz w:val="24"/>
        </w:rPr>
        <w:t>N Engl J Med</w:t>
      </w:r>
      <w:r w:rsidRPr="006D6800">
        <w:rPr>
          <w:rFonts w:ascii="Book Antiqua" w:hAnsi="Book Antiqua"/>
          <w:sz w:val="24"/>
        </w:rPr>
        <w:t xml:space="preserve"> 2011; </w:t>
      </w:r>
      <w:r w:rsidRPr="006D6800">
        <w:rPr>
          <w:rFonts w:ascii="Book Antiqua" w:hAnsi="Book Antiqua"/>
          <w:b/>
          <w:sz w:val="24"/>
        </w:rPr>
        <w:t>364</w:t>
      </w:r>
      <w:r w:rsidRPr="006D6800">
        <w:rPr>
          <w:rFonts w:ascii="Book Antiqua" w:hAnsi="Book Antiqua"/>
          <w:sz w:val="24"/>
        </w:rPr>
        <w:t>: 501-513 [PMID: 21306237 DOI: 10.1056/NEJMoa1003825]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lastRenderedPageBreak/>
        <w:t xml:space="preserve">65 </w:t>
      </w:r>
      <w:r w:rsidRPr="006D6800">
        <w:rPr>
          <w:rFonts w:ascii="Book Antiqua" w:hAnsi="Book Antiqua"/>
          <w:b/>
          <w:sz w:val="24"/>
        </w:rPr>
        <w:t>Baudin E</w:t>
      </w:r>
      <w:r w:rsidRPr="006D6800">
        <w:rPr>
          <w:rFonts w:ascii="Book Antiqua" w:hAnsi="Book Antiqua"/>
          <w:sz w:val="24"/>
        </w:rPr>
        <w:t xml:space="preserve">, Planchard D, Scoazec JY, Guigay J, Dromain C, Hadoux J, Debaere T, Elias D, Ducreux M. Intervention in gastro-enteropancreatic neuroendocrine tumours. </w:t>
      </w:r>
      <w:r w:rsidRPr="006D6800">
        <w:rPr>
          <w:rFonts w:ascii="Book Antiqua" w:hAnsi="Book Antiqua"/>
          <w:i/>
          <w:sz w:val="24"/>
        </w:rPr>
        <w:t>Best Pract Res Clin Gastroenterol</w:t>
      </w:r>
      <w:r w:rsidRPr="006D6800">
        <w:rPr>
          <w:rFonts w:ascii="Book Antiqua" w:hAnsi="Book Antiqua"/>
          <w:sz w:val="24"/>
        </w:rPr>
        <w:t xml:space="preserve"> 2012; </w:t>
      </w:r>
      <w:r w:rsidRPr="006D6800">
        <w:rPr>
          <w:rFonts w:ascii="Book Antiqua" w:hAnsi="Book Antiqua"/>
          <w:b/>
          <w:sz w:val="24"/>
        </w:rPr>
        <w:t>26</w:t>
      </w:r>
      <w:r w:rsidRPr="006D6800">
        <w:rPr>
          <w:rFonts w:ascii="Book Antiqua" w:hAnsi="Book Antiqua"/>
          <w:sz w:val="24"/>
        </w:rPr>
        <w:t>: 855-865 [PMID: 23582924 DOI: 10.1016/j.bpg.2013.01.008]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66 </w:t>
      </w:r>
      <w:r w:rsidRPr="006D6800">
        <w:rPr>
          <w:rFonts w:ascii="Book Antiqua" w:hAnsi="Book Antiqua"/>
          <w:b/>
          <w:sz w:val="24"/>
        </w:rPr>
        <w:t>Carlsen EA</w:t>
      </w:r>
      <w:r w:rsidRPr="006D6800">
        <w:rPr>
          <w:rFonts w:ascii="Book Antiqua" w:hAnsi="Book Antiqua"/>
          <w:sz w:val="24"/>
        </w:rPr>
        <w:t xml:space="preserve">, Fazio N, Granberg D, Grozinsky-Glasberg S, Ahmadzadehfar H, Grana CM, Zandee WT, Cwikla J, Walter MA, Oturai PS, Rinke A, Weaver A, Frilling A, Gritti S, Arveschoug AK, Meirovitz A, Knigge U, Sorbye H. Peptide receptor radionuclide therapy in gastroenteropancreatic NEN G3: a multicenter cohort study. </w:t>
      </w:r>
      <w:r w:rsidRPr="006D6800">
        <w:rPr>
          <w:rFonts w:ascii="Book Antiqua" w:hAnsi="Book Antiqua"/>
          <w:i/>
          <w:sz w:val="24"/>
        </w:rPr>
        <w:t>Endocr Relat Cancer</w:t>
      </w:r>
      <w:r w:rsidRPr="006D6800">
        <w:rPr>
          <w:rFonts w:ascii="Book Antiqua" w:hAnsi="Book Antiqua"/>
          <w:sz w:val="24"/>
        </w:rPr>
        <w:t xml:space="preserve"> 2019; </w:t>
      </w:r>
      <w:r w:rsidRPr="006D6800">
        <w:rPr>
          <w:rFonts w:ascii="Book Antiqua" w:hAnsi="Book Antiqua"/>
          <w:b/>
          <w:sz w:val="24"/>
        </w:rPr>
        <w:t>26</w:t>
      </w:r>
      <w:r w:rsidRPr="006D6800">
        <w:rPr>
          <w:rFonts w:ascii="Book Antiqua" w:hAnsi="Book Antiqua"/>
          <w:sz w:val="24"/>
        </w:rPr>
        <w:t>: 227-239 [PMID: 30540557 DOI: 10.1530/ERC-18-0424]</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67 </w:t>
      </w:r>
      <w:r w:rsidRPr="006D6800">
        <w:rPr>
          <w:rFonts w:ascii="Book Antiqua" w:hAnsi="Book Antiqua"/>
          <w:b/>
          <w:sz w:val="24"/>
        </w:rPr>
        <w:t>Zhang J</w:t>
      </w:r>
      <w:r w:rsidRPr="006D6800">
        <w:rPr>
          <w:rFonts w:ascii="Book Antiqua" w:hAnsi="Book Antiqua"/>
          <w:sz w:val="24"/>
        </w:rPr>
        <w:t xml:space="preserve">, Kulkarni HR, Singh A, Niepsch K, Müller D, Baum RP. Peptide Receptor Radionuclide Therapy in Grade 3 Neuroendocrine Neoplasms: Safety and Survival Analysis in 69 Patients. </w:t>
      </w:r>
      <w:r w:rsidRPr="006D6800">
        <w:rPr>
          <w:rFonts w:ascii="Book Antiqua" w:hAnsi="Book Antiqua"/>
          <w:i/>
          <w:sz w:val="24"/>
        </w:rPr>
        <w:t>J Nucl Med</w:t>
      </w:r>
      <w:r w:rsidRPr="006D6800">
        <w:rPr>
          <w:rFonts w:ascii="Book Antiqua" w:hAnsi="Book Antiqua"/>
          <w:sz w:val="24"/>
        </w:rPr>
        <w:t xml:space="preserve"> 2019; </w:t>
      </w:r>
      <w:r w:rsidRPr="006D6800">
        <w:rPr>
          <w:rFonts w:ascii="Book Antiqua" w:hAnsi="Book Antiqua"/>
          <w:b/>
          <w:sz w:val="24"/>
        </w:rPr>
        <w:t>60</w:t>
      </w:r>
      <w:r w:rsidRPr="006D6800">
        <w:rPr>
          <w:rFonts w:ascii="Book Antiqua" w:hAnsi="Book Antiqua"/>
          <w:sz w:val="24"/>
        </w:rPr>
        <w:t>: 377-385 [PMID: 30115686 DOI: 10.2967/jnumed.118.215848]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68 </w:t>
      </w:r>
      <w:r w:rsidRPr="006D6800">
        <w:rPr>
          <w:rFonts w:ascii="Book Antiqua" w:hAnsi="Book Antiqua"/>
          <w:b/>
          <w:sz w:val="24"/>
        </w:rPr>
        <w:t>Alese OB</w:t>
      </w:r>
      <w:r w:rsidRPr="006D6800">
        <w:rPr>
          <w:rFonts w:ascii="Book Antiqua" w:hAnsi="Book Antiqua"/>
          <w:sz w:val="24"/>
        </w:rPr>
        <w:t xml:space="preserve">, Jiang R, Shaib W, Wu C, Akce M, Behera M, El-Rayes BF. High-Grade Gastrointestinal Neuroendocrine Carcinoma Management and Outcomes: A National Cancer Database Study. </w:t>
      </w:r>
      <w:r w:rsidRPr="006D6800">
        <w:rPr>
          <w:rFonts w:ascii="Book Antiqua" w:hAnsi="Book Antiqua"/>
          <w:i/>
          <w:sz w:val="24"/>
        </w:rPr>
        <w:t>Oncologist</w:t>
      </w:r>
      <w:r w:rsidRPr="006D6800">
        <w:rPr>
          <w:rFonts w:ascii="Book Antiqua" w:hAnsi="Book Antiqua"/>
          <w:sz w:val="24"/>
        </w:rPr>
        <w:t xml:space="preserve"> 2019; </w:t>
      </w:r>
      <w:r w:rsidRPr="006D6800">
        <w:rPr>
          <w:rFonts w:ascii="Book Antiqua" w:hAnsi="Book Antiqua"/>
          <w:b/>
          <w:sz w:val="24"/>
        </w:rPr>
        <w:t>24</w:t>
      </w:r>
      <w:r w:rsidRPr="006D6800">
        <w:rPr>
          <w:rFonts w:ascii="Book Antiqua" w:hAnsi="Book Antiqua"/>
          <w:sz w:val="24"/>
        </w:rPr>
        <w:t>: 911-920 [PMID: 30482824 DOI: 10.1634/theoncologist.2018-0382]</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69 </w:t>
      </w:r>
      <w:r w:rsidRPr="006D6800">
        <w:rPr>
          <w:rFonts w:ascii="Book Antiqua" w:hAnsi="Book Antiqua"/>
          <w:b/>
          <w:sz w:val="24"/>
        </w:rPr>
        <w:t>Haugvik SP</w:t>
      </w:r>
      <w:r w:rsidRPr="006D6800">
        <w:rPr>
          <w:rFonts w:ascii="Book Antiqua" w:hAnsi="Book Antiqua"/>
          <w:sz w:val="24"/>
        </w:rPr>
        <w:t xml:space="preserve">, Janson ET, Österlund P, Langer SW, Falk RS, Labori KJ, Vestermark LW, Grønbæk H, Gladhaug IP, Sorbye H. Surgical Treatment as a Principle for Patients with High-Grade Pancreatic Neuroendocrine Carcinoma: A Nordic Multicenter Comparative Study. </w:t>
      </w:r>
      <w:r w:rsidRPr="006D6800">
        <w:rPr>
          <w:rFonts w:ascii="Book Antiqua" w:hAnsi="Book Antiqua"/>
          <w:i/>
          <w:sz w:val="24"/>
        </w:rPr>
        <w:t>Ann Surg Oncol</w:t>
      </w:r>
      <w:r w:rsidRPr="006D6800">
        <w:rPr>
          <w:rFonts w:ascii="Book Antiqua" w:hAnsi="Book Antiqua"/>
          <w:sz w:val="24"/>
        </w:rPr>
        <w:t xml:space="preserve"> 2016; </w:t>
      </w:r>
      <w:r w:rsidRPr="006D6800">
        <w:rPr>
          <w:rFonts w:ascii="Book Antiqua" w:hAnsi="Book Antiqua"/>
          <w:b/>
          <w:sz w:val="24"/>
        </w:rPr>
        <w:t>23</w:t>
      </w:r>
      <w:r w:rsidRPr="006D6800">
        <w:rPr>
          <w:rFonts w:ascii="Book Antiqua" w:hAnsi="Book Antiqua"/>
          <w:sz w:val="24"/>
        </w:rPr>
        <w:t>: 1721-1728 [PMID: 26678407 DOI: 10.1245/s10434-015-5013-2]</w:t>
      </w:r>
    </w:p>
    <w:p w:rsidR="006F58B1" w:rsidRPr="006D6800" w:rsidRDefault="006F58B1" w:rsidP="006D6800">
      <w:pPr>
        <w:snapToGrid w:val="0"/>
        <w:spacing w:line="360" w:lineRule="auto"/>
        <w:rPr>
          <w:rFonts w:ascii="Book Antiqua" w:hAnsi="Book Antiqua"/>
          <w:sz w:val="24"/>
        </w:rPr>
      </w:pPr>
      <w:proofErr w:type="gramStart"/>
      <w:r w:rsidRPr="006D6800">
        <w:rPr>
          <w:rFonts w:ascii="Book Antiqua" w:hAnsi="Book Antiqua"/>
          <w:sz w:val="24"/>
        </w:rPr>
        <w:t xml:space="preserve">70 </w:t>
      </w:r>
      <w:r w:rsidRPr="006D6800">
        <w:rPr>
          <w:rFonts w:ascii="Book Antiqua" w:hAnsi="Book Antiqua"/>
          <w:b/>
          <w:sz w:val="24"/>
        </w:rPr>
        <w:t>Strosberg JR</w:t>
      </w:r>
      <w:r w:rsidRPr="006D6800">
        <w:rPr>
          <w:rFonts w:ascii="Book Antiqua" w:hAnsi="Book Antiqua"/>
          <w:sz w:val="24"/>
        </w:rPr>
        <w:t>, Coppola D, Klimstra DS, Phan AT, Kulke MH, Wiseman GA, Kvols LK; North American Neuroendocrine Tumor Society (NANETS).</w:t>
      </w:r>
      <w:proofErr w:type="gramEnd"/>
      <w:r w:rsidRPr="006D6800">
        <w:rPr>
          <w:rFonts w:ascii="Book Antiqua" w:hAnsi="Book Antiqua"/>
          <w:sz w:val="24"/>
        </w:rPr>
        <w:t xml:space="preserve"> The NANETS consensus guidelines for the diagnosis and management of poorly differentiated (high-grade) extrapulmonary neuroendocrine carcinomas. </w:t>
      </w:r>
      <w:r w:rsidRPr="006D6800">
        <w:rPr>
          <w:rFonts w:ascii="Book Antiqua" w:hAnsi="Book Antiqua"/>
          <w:i/>
          <w:sz w:val="24"/>
        </w:rPr>
        <w:t>Pancreas</w:t>
      </w:r>
      <w:r w:rsidRPr="006D6800">
        <w:rPr>
          <w:rFonts w:ascii="Book Antiqua" w:hAnsi="Book Antiqua"/>
          <w:sz w:val="24"/>
        </w:rPr>
        <w:t xml:space="preserve"> 2010; </w:t>
      </w:r>
      <w:r w:rsidRPr="006D6800">
        <w:rPr>
          <w:rFonts w:ascii="Book Antiqua" w:hAnsi="Book Antiqua"/>
          <w:b/>
          <w:sz w:val="24"/>
        </w:rPr>
        <w:t>39</w:t>
      </w:r>
      <w:r w:rsidRPr="006D6800">
        <w:rPr>
          <w:rFonts w:ascii="Book Antiqua" w:hAnsi="Book Antiqua"/>
          <w:sz w:val="24"/>
        </w:rPr>
        <w:t>: 799-800 [PMID: 20664477 DOI: 10.1097/MPA.0b013e3181ebb56f]</w:t>
      </w:r>
    </w:p>
    <w:p w:rsidR="006F58B1" w:rsidRPr="006D6800" w:rsidRDefault="006F58B1" w:rsidP="006D6800">
      <w:pPr>
        <w:snapToGrid w:val="0"/>
        <w:spacing w:line="360" w:lineRule="auto"/>
        <w:rPr>
          <w:rFonts w:ascii="Book Antiqua" w:hAnsi="Book Antiqua"/>
          <w:sz w:val="24"/>
        </w:rPr>
      </w:pPr>
      <w:proofErr w:type="gramStart"/>
      <w:r w:rsidRPr="006D6800">
        <w:rPr>
          <w:rFonts w:ascii="Book Antiqua" w:hAnsi="Book Antiqua"/>
          <w:sz w:val="24"/>
        </w:rPr>
        <w:t xml:space="preserve">71 </w:t>
      </w:r>
      <w:r w:rsidRPr="006D6800">
        <w:rPr>
          <w:rFonts w:ascii="Book Antiqua" w:hAnsi="Book Antiqua"/>
          <w:b/>
          <w:sz w:val="24"/>
        </w:rPr>
        <w:t>Rinke A</w:t>
      </w:r>
      <w:r w:rsidRPr="006D6800">
        <w:rPr>
          <w:rFonts w:ascii="Book Antiqua" w:hAnsi="Book Antiqua"/>
          <w:sz w:val="24"/>
        </w:rPr>
        <w:t>, Gress TM.</w:t>
      </w:r>
      <w:proofErr w:type="gramEnd"/>
      <w:r w:rsidRPr="006D6800">
        <w:rPr>
          <w:rFonts w:ascii="Book Antiqua" w:hAnsi="Book Antiqua"/>
          <w:sz w:val="24"/>
        </w:rPr>
        <w:t xml:space="preserve"> </w:t>
      </w:r>
      <w:proofErr w:type="gramStart"/>
      <w:r w:rsidRPr="006D6800">
        <w:rPr>
          <w:rFonts w:ascii="Book Antiqua" w:hAnsi="Book Antiqua"/>
          <w:sz w:val="24"/>
        </w:rPr>
        <w:t>Neuroendocrine Cancer, Therapeutic Strategies in G3 Cancers.</w:t>
      </w:r>
      <w:proofErr w:type="gramEnd"/>
      <w:r w:rsidRPr="006D6800">
        <w:rPr>
          <w:rFonts w:ascii="Book Antiqua" w:hAnsi="Book Antiqua"/>
          <w:sz w:val="24"/>
        </w:rPr>
        <w:t xml:space="preserve"> </w:t>
      </w:r>
      <w:r w:rsidRPr="006D6800">
        <w:rPr>
          <w:rFonts w:ascii="Book Antiqua" w:hAnsi="Book Antiqua"/>
          <w:i/>
          <w:sz w:val="24"/>
        </w:rPr>
        <w:t>Digestion</w:t>
      </w:r>
      <w:r w:rsidRPr="006D6800">
        <w:rPr>
          <w:rFonts w:ascii="Book Antiqua" w:hAnsi="Book Antiqua"/>
          <w:sz w:val="24"/>
        </w:rPr>
        <w:t xml:space="preserve"> 2017; </w:t>
      </w:r>
      <w:r w:rsidRPr="006D6800">
        <w:rPr>
          <w:rFonts w:ascii="Book Antiqua" w:hAnsi="Book Antiqua"/>
          <w:b/>
          <w:sz w:val="24"/>
        </w:rPr>
        <w:t>95</w:t>
      </w:r>
      <w:r w:rsidRPr="006D6800">
        <w:rPr>
          <w:rFonts w:ascii="Book Antiqua" w:hAnsi="Book Antiqua"/>
          <w:sz w:val="24"/>
        </w:rPr>
        <w:t>: 109-114 [PMID: 28161703 DOI: 10.1159/000454761]</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72 </w:t>
      </w:r>
      <w:r w:rsidRPr="006D6800">
        <w:rPr>
          <w:rFonts w:ascii="Book Antiqua" w:hAnsi="Book Antiqua"/>
          <w:b/>
          <w:sz w:val="24"/>
        </w:rPr>
        <w:t>Nakano K</w:t>
      </w:r>
      <w:r w:rsidRPr="006D6800">
        <w:rPr>
          <w:rFonts w:ascii="Book Antiqua" w:hAnsi="Book Antiqua"/>
          <w:sz w:val="24"/>
        </w:rPr>
        <w:t xml:space="preserve">, Takahashi S, Yuasa T, Nishimura N, Mishima Y, Sakajiri S, Yokoyama </w:t>
      </w:r>
      <w:r w:rsidRPr="006D6800">
        <w:rPr>
          <w:rFonts w:ascii="Book Antiqua" w:hAnsi="Book Antiqua"/>
          <w:sz w:val="24"/>
        </w:rPr>
        <w:lastRenderedPageBreak/>
        <w:t xml:space="preserve">M, Tsuyama N, Ishikawa Y, Hatake K. Feasibility and efficacy of combined cisplatin and irinotecan chemotherapy for poorly differentiated neuroendocrine carcinomas. </w:t>
      </w:r>
      <w:r w:rsidRPr="006D6800">
        <w:rPr>
          <w:rFonts w:ascii="Book Antiqua" w:hAnsi="Book Antiqua"/>
          <w:i/>
          <w:sz w:val="24"/>
        </w:rPr>
        <w:t>Jpn J Clin Oncol</w:t>
      </w:r>
      <w:r w:rsidRPr="006D6800">
        <w:rPr>
          <w:rFonts w:ascii="Book Antiqua" w:hAnsi="Book Antiqua"/>
          <w:sz w:val="24"/>
        </w:rPr>
        <w:t xml:space="preserve"> 2012; </w:t>
      </w:r>
      <w:r w:rsidRPr="006D6800">
        <w:rPr>
          <w:rFonts w:ascii="Book Antiqua" w:hAnsi="Book Antiqua"/>
          <w:b/>
          <w:sz w:val="24"/>
        </w:rPr>
        <w:t>42</w:t>
      </w:r>
      <w:r w:rsidRPr="006D6800">
        <w:rPr>
          <w:rFonts w:ascii="Book Antiqua" w:hAnsi="Book Antiqua"/>
          <w:sz w:val="24"/>
        </w:rPr>
        <w:t>: 697-703 [PMID: 22701038 DOI: 10.1093/jjco/hys085]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73 </w:t>
      </w:r>
      <w:r w:rsidRPr="006D6800">
        <w:rPr>
          <w:rFonts w:ascii="Book Antiqua" w:hAnsi="Book Antiqua"/>
          <w:b/>
          <w:sz w:val="24"/>
        </w:rPr>
        <w:t>Riihimäki M</w:t>
      </w:r>
      <w:r w:rsidRPr="006D6800">
        <w:rPr>
          <w:rFonts w:ascii="Book Antiqua" w:hAnsi="Book Antiqua"/>
          <w:sz w:val="24"/>
        </w:rPr>
        <w:t xml:space="preserve">, Hemminki A, Sundquist K, Sundquist J, Hemminki K. </w:t>
      </w:r>
      <w:proofErr w:type="gramStart"/>
      <w:r w:rsidRPr="006D6800">
        <w:rPr>
          <w:rFonts w:ascii="Book Antiqua" w:hAnsi="Book Antiqua"/>
          <w:sz w:val="24"/>
        </w:rPr>
        <w:t>The epidemiology of metastases in neuroendocrine tumors.</w:t>
      </w:r>
      <w:proofErr w:type="gramEnd"/>
      <w:r w:rsidRPr="006D6800">
        <w:rPr>
          <w:rFonts w:ascii="Book Antiqua" w:hAnsi="Book Antiqua"/>
          <w:sz w:val="24"/>
        </w:rPr>
        <w:t xml:space="preserve"> </w:t>
      </w:r>
      <w:r w:rsidRPr="006D6800">
        <w:rPr>
          <w:rFonts w:ascii="Book Antiqua" w:hAnsi="Book Antiqua"/>
          <w:i/>
          <w:sz w:val="24"/>
        </w:rPr>
        <w:t>Int J Cancer</w:t>
      </w:r>
      <w:r w:rsidRPr="006D6800">
        <w:rPr>
          <w:rFonts w:ascii="Book Antiqua" w:hAnsi="Book Antiqua"/>
          <w:sz w:val="24"/>
        </w:rPr>
        <w:t xml:space="preserve"> 2016; </w:t>
      </w:r>
      <w:r w:rsidRPr="006D6800">
        <w:rPr>
          <w:rFonts w:ascii="Book Antiqua" w:hAnsi="Book Antiqua"/>
          <w:b/>
          <w:sz w:val="24"/>
        </w:rPr>
        <w:t>139</w:t>
      </w:r>
      <w:r w:rsidRPr="006D6800">
        <w:rPr>
          <w:rFonts w:ascii="Book Antiqua" w:hAnsi="Book Antiqua"/>
          <w:sz w:val="24"/>
        </w:rPr>
        <w:t>: 2679-2686 [PMID: 27553864 DOI: 10.1002/ijc.30400]</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74 </w:t>
      </w:r>
      <w:r w:rsidRPr="006D6800">
        <w:rPr>
          <w:rFonts w:ascii="Book Antiqua" w:hAnsi="Book Antiqua"/>
          <w:b/>
          <w:sz w:val="24"/>
        </w:rPr>
        <w:t>Hadoux J</w:t>
      </w:r>
      <w:r w:rsidRPr="006D6800">
        <w:rPr>
          <w:rFonts w:ascii="Book Antiqua" w:hAnsi="Book Antiqua"/>
          <w:sz w:val="24"/>
        </w:rPr>
        <w:t xml:space="preserve">, Malka D, Planchard D, Scoazec JY, Caramella C, Guigay J, Boige V, Leboulleux S, Burtin P, Berdelou A, Loriot Y, Duvillard P, Chougnet CN, Déandréis D, Schlumberger M, Borget I, Ducreux M, Baudin E. Post-first-line FOLFOX chemotherapy for grade 3 neuroendocrine carcinoma. </w:t>
      </w:r>
      <w:r w:rsidRPr="006D6800">
        <w:rPr>
          <w:rFonts w:ascii="Book Antiqua" w:hAnsi="Book Antiqua"/>
          <w:i/>
          <w:sz w:val="24"/>
        </w:rPr>
        <w:t>Endocr Relat Cancer</w:t>
      </w:r>
      <w:r w:rsidRPr="006D6800">
        <w:rPr>
          <w:rFonts w:ascii="Book Antiqua" w:hAnsi="Book Antiqua"/>
          <w:sz w:val="24"/>
        </w:rPr>
        <w:t xml:space="preserve"> 2015; </w:t>
      </w:r>
      <w:r w:rsidRPr="006D6800">
        <w:rPr>
          <w:rFonts w:ascii="Book Antiqua" w:hAnsi="Book Antiqua"/>
          <w:b/>
          <w:sz w:val="24"/>
        </w:rPr>
        <w:t>22</w:t>
      </w:r>
      <w:r w:rsidRPr="006D6800">
        <w:rPr>
          <w:rFonts w:ascii="Book Antiqua" w:hAnsi="Book Antiqua"/>
          <w:sz w:val="24"/>
        </w:rPr>
        <w:t>: 289-298 [PMID: 25770151 DOI: 10.1530/ERC-15-0075]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75 </w:t>
      </w:r>
      <w:r w:rsidRPr="006D6800">
        <w:rPr>
          <w:rFonts w:ascii="Book Antiqua" w:hAnsi="Book Antiqua"/>
          <w:b/>
          <w:sz w:val="24"/>
        </w:rPr>
        <w:t>Zhu J</w:t>
      </w:r>
      <w:r w:rsidRPr="006D6800">
        <w:rPr>
          <w:rFonts w:ascii="Book Antiqua" w:hAnsi="Book Antiqua"/>
          <w:sz w:val="24"/>
        </w:rPr>
        <w:t xml:space="preserve">, Strosberg JR, Dropkin E, Strickler JH. </w:t>
      </w:r>
      <w:proofErr w:type="gramStart"/>
      <w:r w:rsidRPr="006D6800">
        <w:rPr>
          <w:rFonts w:ascii="Book Antiqua" w:hAnsi="Book Antiqua"/>
          <w:sz w:val="24"/>
        </w:rPr>
        <w:t>Treatment of High-Grade Metastatic Pancreatic Neuroendocrine Carcinoma with FOLFIRINOX.</w:t>
      </w:r>
      <w:proofErr w:type="gramEnd"/>
      <w:r w:rsidRPr="006D6800">
        <w:rPr>
          <w:rFonts w:ascii="Book Antiqua" w:hAnsi="Book Antiqua"/>
          <w:sz w:val="24"/>
        </w:rPr>
        <w:t xml:space="preserve"> </w:t>
      </w:r>
      <w:r w:rsidRPr="006D6800">
        <w:rPr>
          <w:rFonts w:ascii="Book Antiqua" w:hAnsi="Book Antiqua"/>
          <w:i/>
          <w:sz w:val="24"/>
        </w:rPr>
        <w:t>J Gastrointest Cancer</w:t>
      </w:r>
      <w:r w:rsidRPr="006D6800">
        <w:rPr>
          <w:rFonts w:ascii="Book Antiqua" w:hAnsi="Book Antiqua"/>
          <w:sz w:val="24"/>
        </w:rPr>
        <w:t xml:space="preserve"> 2015; </w:t>
      </w:r>
      <w:r w:rsidRPr="006D6800">
        <w:rPr>
          <w:rFonts w:ascii="Book Antiqua" w:hAnsi="Book Antiqua"/>
          <w:b/>
          <w:sz w:val="24"/>
        </w:rPr>
        <w:t>46</w:t>
      </w:r>
      <w:r w:rsidRPr="006D6800">
        <w:rPr>
          <w:rFonts w:ascii="Book Antiqua" w:hAnsi="Book Antiqua"/>
          <w:sz w:val="24"/>
        </w:rPr>
        <w:t>: 166-169 [PMID: 25662891 DOI: 10.1007/s12029-015-9689-0]</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76 </w:t>
      </w:r>
      <w:r w:rsidRPr="006D6800">
        <w:rPr>
          <w:rFonts w:ascii="Book Antiqua" w:hAnsi="Book Antiqua"/>
          <w:b/>
          <w:sz w:val="24"/>
        </w:rPr>
        <w:t>Hentic O</w:t>
      </w:r>
      <w:r w:rsidRPr="006D6800">
        <w:rPr>
          <w:rFonts w:ascii="Book Antiqua" w:hAnsi="Book Antiqua"/>
          <w:sz w:val="24"/>
        </w:rPr>
        <w:t xml:space="preserve">, Hammel P, Couvelard A, Rebours V, Zappa M, Palazzo M, Maire F, Goujon G, Gillet A, Lévy P, Ruszniewski P. FOLFIRI regimen: an effective second-line chemotherapy after failure of etoposide-platinum combination in patients with neuroendocrine carcinomas grade 3. </w:t>
      </w:r>
      <w:r w:rsidRPr="006D6800">
        <w:rPr>
          <w:rFonts w:ascii="Book Antiqua" w:hAnsi="Book Antiqua"/>
          <w:i/>
          <w:sz w:val="24"/>
        </w:rPr>
        <w:t>Endocr Relat Cancer</w:t>
      </w:r>
      <w:r w:rsidRPr="006D6800">
        <w:rPr>
          <w:rFonts w:ascii="Book Antiqua" w:hAnsi="Book Antiqua"/>
          <w:sz w:val="24"/>
        </w:rPr>
        <w:t xml:space="preserve"> 2012; </w:t>
      </w:r>
      <w:r w:rsidRPr="006D6800">
        <w:rPr>
          <w:rFonts w:ascii="Book Antiqua" w:hAnsi="Book Antiqua"/>
          <w:b/>
          <w:sz w:val="24"/>
        </w:rPr>
        <w:t>19</w:t>
      </w:r>
      <w:r w:rsidRPr="006D6800">
        <w:rPr>
          <w:rFonts w:ascii="Book Antiqua" w:hAnsi="Book Antiqua"/>
          <w:sz w:val="24"/>
        </w:rPr>
        <w:t>: 751-757 [PMID: 22940375 DOI: 10.1530/ERC-12-0002]</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77 </w:t>
      </w:r>
      <w:r w:rsidRPr="006D6800">
        <w:rPr>
          <w:rFonts w:ascii="Book Antiqua" w:hAnsi="Book Antiqua"/>
          <w:b/>
          <w:sz w:val="24"/>
        </w:rPr>
        <w:t>Lorenzoni A</w:t>
      </w:r>
      <w:r w:rsidRPr="006D6800">
        <w:rPr>
          <w:rFonts w:ascii="Book Antiqua" w:hAnsi="Book Antiqua"/>
          <w:sz w:val="24"/>
        </w:rPr>
        <w:t>, Capozza A, Artale S, Maccauro M, Seregni EC. Impressive Response to Tandem Treatment With [90Y</w:t>
      </w:r>
      <w:proofErr w:type="gramStart"/>
      <w:r w:rsidRPr="006D6800">
        <w:rPr>
          <w:rFonts w:ascii="Book Antiqua" w:hAnsi="Book Antiqua"/>
          <w:sz w:val="24"/>
        </w:rPr>
        <w:t>]DOTATOC</w:t>
      </w:r>
      <w:proofErr w:type="gramEnd"/>
      <w:r w:rsidRPr="006D6800">
        <w:rPr>
          <w:rFonts w:ascii="Book Antiqua" w:hAnsi="Book Antiqua"/>
          <w:sz w:val="24"/>
        </w:rPr>
        <w:t xml:space="preserve"> and [177Lu]DOTATOC in Grade 3 Pancreatic Neuroendocrine Carcinoma. </w:t>
      </w:r>
      <w:r w:rsidRPr="006D6800">
        <w:rPr>
          <w:rFonts w:ascii="Book Antiqua" w:hAnsi="Book Antiqua"/>
          <w:i/>
          <w:sz w:val="24"/>
        </w:rPr>
        <w:t>Clin Nucl Med</w:t>
      </w:r>
      <w:r w:rsidRPr="006D6800">
        <w:rPr>
          <w:rFonts w:ascii="Book Antiqua" w:hAnsi="Book Antiqua"/>
          <w:sz w:val="24"/>
        </w:rPr>
        <w:t xml:space="preserve"> 2018; </w:t>
      </w:r>
      <w:r w:rsidRPr="006D6800">
        <w:rPr>
          <w:rFonts w:ascii="Book Antiqua" w:hAnsi="Book Antiqua"/>
          <w:b/>
          <w:sz w:val="24"/>
        </w:rPr>
        <w:t>43</w:t>
      </w:r>
      <w:r w:rsidRPr="006D6800">
        <w:rPr>
          <w:rFonts w:ascii="Book Antiqua" w:hAnsi="Book Antiqua"/>
          <w:sz w:val="24"/>
        </w:rPr>
        <w:t>: 506-508 [PMID: 29742602 DOI: 10.1097/RLU.0000000000002116]</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78 </w:t>
      </w:r>
      <w:r w:rsidRPr="006D6800">
        <w:rPr>
          <w:rFonts w:ascii="Book Antiqua" w:hAnsi="Book Antiqua"/>
          <w:b/>
          <w:sz w:val="24"/>
        </w:rPr>
        <w:t>Demirci E</w:t>
      </w:r>
      <w:r w:rsidRPr="006D6800">
        <w:rPr>
          <w:rFonts w:ascii="Book Antiqua" w:hAnsi="Book Antiqua"/>
          <w:sz w:val="24"/>
        </w:rPr>
        <w:t xml:space="preserve">, Kabasakal L, Toklu T, Ocak M, Şahin OE, Alan-Selcuk N, Araman A. 177Lu-DOTATATE therapy in patients with neuroendocrine tumours including high-grade (WHO G3) neuroendocrine tumours: response to treatment and long-term survival update. </w:t>
      </w:r>
      <w:r w:rsidRPr="006D6800">
        <w:rPr>
          <w:rFonts w:ascii="Book Antiqua" w:hAnsi="Book Antiqua"/>
          <w:i/>
          <w:sz w:val="24"/>
        </w:rPr>
        <w:t>Nucl Med Commun</w:t>
      </w:r>
      <w:r w:rsidRPr="006D6800">
        <w:rPr>
          <w:rFonts w:ascii="Book Antiqua" w:hAnsi="Book Antiqua"/>
          <w:sz w:val="24"/>
        </w:rPr>
        <w:t xml:space="preserve"> 2018; </w:t>
      </w:r>
      <w:r w:rsidRPr="006D6800">
        <w:rPr>
          <w:rFonts w:ascii="Book Antiqua" w:hAnsi="Book Antiqua"/>
          <w:b/>
          <w:sz w:val="24"/>
        </w:rPr>
        <w:t>39</w:t>
      </w:r>
      <w:r w:rsidRPr="006D6800">
        <w:rPr>
          <w:rFonts w:ascii="Book Antiqua" w:hAnsi="Book Antiqua"/>
          <w:sz w:val="24"/>
        </w:rPr>
        <w:t>: 789-796 [PMID: 29912750 DOI: 10.1097/MNM.0000000000000874]</w:t>
      </w:r>
    </w:p>
    <w:p w:rsidR="006F58B1" w:rsidRPr="006D6800" w:rsidRDefault="006F58B1" w:rsidP="006D6800">
      <w:pPr>
        <w:snapToGrid w:val="0"/>
        <w:spacing w:line="360" w:lineRule="auto"/>
        <w:rPr>
          <w:rFonts w:ascii="Book Antiqua" w:hAnsi="Book Antiqua"/>
          <w:bCs/>
          <w:sz w:val="24"/>
        </w:rPr>
      </w:pPr>
      <w:r w:rsidRPr="006D6800">
        <w:rPr>
          <w:rFonts w:ascii="Book Antiqua" w:hAnsi="Book Antiqua"/>
          <w:sz w:val="24"/>
        </w:rPr>
        <w:t xml:space="preserve">79 </w:t>
      </w:r>
      <w:r w:rsidR="00947A3F" w:rsidRPr="006D6800">
        <w:rPr>
          <w:rFonts w:ascii="Book Antiqua" w:hAnsi="Book Antiqua"/>
          <w:b/>
          <w:sz w:val="24"/>
        </w:rPr>
        <w:t xml:space="preserve">Vijayvergia N, </w:t>
      </w:r>
      <w:r w:rsidR="00947A3F" w:rsidRPr="006D6800">
        <w:rPr>
          <w:rFonts w:ascii="Book Antiqua" w:hAnsi="Book Antiqua"/>
          <w:bCs/>
          <w:sz w:val="24"/>
        </w:rPr>
        <w:t xml:space="preserve">Dasari A, Deng M, Litwin S, Al-Toubah T, Alpaugh RK, Dotan E, Hall MJ, Ross NM, Runyen MM, Denlinger CS, Halperin DM, Cohen SJ, Engstrom PF, Strosberg JR. Pembrolizumab monotherapy in patients with previously treated </w:t>
      </w:r>
      <w:r w:rsidR="00947A3F" w:rsidRPr="006D6800">
        <w:rPr>
          <w:rFonts w:ascii="Book Antiqua" w:hAnsi="Book Antiqua"/>
          <w:bCs/>
          <w:sz w:val="24"/>
        </w:rPr>
        <w:lastRenderedPageBreak/>
        <w:t xml:space="preserve">metastatic high-grade neuroendocrine neoplasms: joint analysis of two prospective, non-randomised trials. </w:t>
      </w:r>
      <w:r w:rsidR="00947A3F" w:rsidRPr="006D6800">
        <w:rPr>
          <w:rFonts w:ascii="Book Antiqua" w:hAnsi="Book Antiqua"/>
          <w:bCs/>
          <w:i/>
          <w:iCs/>
          <w:sz w:val="24"/>
        </w:rPr>
        <w:t xml:space="preserve">Br J Cancer </w:t>
      </w:r>
      <w:r w:rsidR="00947A3F" w:rsidRPr="006D6800">
        <w:rPr>
          <w:rFonts w:ascii="Book Antiqua" w:hAnsi="Book Antiqua"/>
          <w:bCs/>
          <w:sz w:val="24"/>
        </w:rPr>
        <w:t xml:space="preserve">2020; </w:t>
      </w:r>
      <w:r w:rsidR="00947A3F" w:rsidRPr="006D6800">
        <w:rPr>
          <w:rFonts w:ascii="Book Antiqua" w:hAnsi="Book Antiqua"/>
          <w:b/>
          <w:sz w:val="24"/>
        </w:rPr>
        <w:t>122</w:t>
      </w:r>
      <w:r w:rsidR="00947A3F" w:rsidRPr="006D6800">
        <w:rPr>
          <w:rFonts w:ascii="Book Antiqua" w:hAnsi="Book Antiqua"/>
          <w:bCs/>
          <w:sz w:val="24"/>
        </w:rPr>
        <w:t>: 1309-1314 [PMID: 32152503 DOI: 10.1038/s41416-020-0775-0]</w:t>
      </w:r>
    </w:p>
    <w:p w:rsidR="006F58B1" w:rsidRPr="006D6800" w:rsidRDefault="006F58B1" w:rsidP="006D6800">
      <w:pPr>
        <w:snapToGrid w:val="0"/>
        <w:spacing w:line="360" w:lineRule="auto"/>
        <w:rPr>
          <w:rFonts w:ascii="Book Antiqua" w:hAnsi="Book Antiqua"/>
          <w:sz w:val="24"/>
        </w:rPr>
      </w:pPr>
      <w:bookmarkStart w:id="15" w:name="_GoBack"/>
      <w:bookmarkEnd w:id="15"/>
      <w:proofErr w:type="gramStart"/>
      <w:r w:rsidRPr="0094427D">
        <w:rPr>
          <w:rFonts w:ascii="Book Antiqua" w:hAnsi="Book Antiqua"/>
          <w:sz w:val="24"/>
        </w:rPr>
        <w:t xml:space="preserve">80 </w:t>
      </w:r>
      <w:r w:rsidR="00E00496" w:rsidRPr="0094427D">
        <w:rPr>
          <w:rFonts w:ascii="Book Antiqua" w:hAnsi="Book Antiqua"/>
          <w:b/>
          <w:sz w:val="24"/>
        </w:rPr>
        <w:t>Goodman A</w:t>
      </w:r>
      <w:r w:rsidRPr="0094427D">
        <w:rPr>
          <w:rFonts w:ascii="Book Antiqua" w:hAnsi="Book Antiqua"/>
          <w:sz w:val="24"/>
        </w:rPr>
        <w:t xml:space="preserve">. </w:t>
      </w:r>
      <w:r w:rsidR="00E00496" w:rsidRPr="0094427D">
        <w:rPr>
          <w:rFonts w:ascii="Book Antiqua" w:hAnsi="Book Antiqua"/>
          <w:sz w:val="24"/>
        </w:rPr>
        <w:t>Dual-Immunotherapy Approach Shows Efficacy in High-Grade Neuroendocrine Tumors</w:t>
      </w:r>
      <w:r w:rsidRPr="0094427D">
        <w:rPr>
          <w:rFonts w:ascii="Book Antiqua" w:hAnsi="Book Antiqua"/>
          <w:sz w:val="24"/>
        </w:rPr>
        <w:t>.</w:t>
      </w:r>
      <w:proofErr w:type="gramEnd"/>
      <w:r w:rsidRPr="0094427D">
        <w:rPr>
          <w:rFonts w:ascii="Book Antiqua" w:hAnsi="Book Antiqua"/>
          <w:sz w:val="24"/>
        </w:rPr>
        <w:t xml:space="preserve"> </w:t>
      </w:r>
      <w:bookmarkStart w:id="16" w:name="OLE_LINK10"/>
      <w:bookmarkStart w:id="17" w:name="OLE_LINK11"/>
      <w:r w:rsidR="00805CE3" w:rsidRPr="0094427D">
        <w:rPr>
          <w:rFonts w:ascii="Book Antiqua" w:hAnsi="Book Antiqua"/>
          <w:sz w:val="24"/>
        </w:rPr>
        <w:t>[</w:t>
      </w:r>
      <w:proofErr w:type="gramStart"/>
      <w:r w:rsidR="00805CE3" w:rsidRPr="0094427D">
        <w:rPr>
          <w:rFonts w:ascii="Book Antiqua" w:hAnsi="Book Antiqua"/>
          <w:sz w:val="24"/>
        </w:rPr>
        <w:t>published</w:t>
      </w:r>
      <w:proofErr w:type="gramEnd"/>
      <w:r w:rsidR="00805CE3" w:rsidRPr="0094427D">
        <w:rPr>
          <w:rFonts w:ascii="Book Antiqua" w:hAnsi="Book Antiqua"/>
          <w:sz w:val="24"/>
        </w:rPr>
        <w:t xml:space="preserve"> 10</w:t>
      </w:r>
      <w:r w:rsidR="00947A3F" w:rsidRPr="0094427D">
        <w:rPr>
          <w:rFonts w:ascii="Book Antiqua" w:hAnsi="Book Antiqua"/>
          <w:sz w:val="24"/>
        </w:rPr>
        <w:t xml:space="preserve"> </w:t>
      </w:r>
      <w:r w:rsidRPr="0094427D">
        <w:rPr>
          <w:rFonts w:ascii="Book Antiqua" w:hAnsi="Book Antiqua"/>
          <w:sz w:val="24"/>
        </w:rPr>
        <w:t xml:space="preserve">May </w:t>
      </w:r>
      <w:bookmarkEnd w:id="16"/>
      <w:bookmarkEnd w:id="17"/>
      <w:r w:rsidR="00805CE3" w:rsidRPr="0094427D">
        <w:rPr>
          <w:rFonts w:ascii="Book Antiqua" w:hAnsi="Book Antiqua"/>
          <w:sz w:val="24"/>
        </w:rPr>
        <w:t>2019]</w:t>
      </w:r>
      <w:r w:rsidR="00E00496" w:rsidRPr="0094427D">
        <w:rPr>
          <w:rFonts w:ascii="Book Antiqua" w:hAnsi="Book Antiqua"/>
          <w:sz w:val="24"/>
        </w:rPr>
        <w:t xml:space="preserve">. Available from: </w:t>
      </w:r>
      <w:r w:rsidR="005C38C9" w:rsidRPr="0094427D">
        <w:rPr>
          <w:rFonts w:ascii="Book Antiqua" w:hAnsi="Book Antiqua"/>
          <w:sz w:val="24"/>
        </w:rPr>
        <w:t>https://ascopost.com/issues/may-10-2019/dual-immunotherapy-in-high-grade-neuroendocrine-tumors/</w:t>
      </w:r>
      <w:r w:rsidR="005C38C9">
        <w:rPr>
          <w:rFonts w:ascii="Book Antiqua" w:hAnsi="Book Antiqua"/>
          <w:sz w:val="24"/>
        </w:rPr>
        <w:t xml:space="preserve"> </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81 </w:t>
      </w:r>
      <w:r w:rsidRPr="006D6800">
        <w:rPr>
          <w:rFonts w:ascii="Book Antiqua" w:hAnsi="Book Antiqua"/>
          <w:b/>
          <w:sz w:val="24"/>
        </w:rPr>
        <w:t>Swidnicka-Siergiejko AK</w:t>
      </w:r>
      <w:r w:rsidRPr="006D6800">
        <w:rPr>
          <w:rFonts w:ascii="Book Antiqua" w:hAnsi="Book Antiqua"/>
          <w:sz w:val="24"/>
        </w:rPr>
        <w:t xml:space="preserve">, Gomez-Chou SB, Cruz-Monserrate Z, Deng D, Liu Y, Huang H, Ji B, Azizian N, Daniluk J, Lu W, Wang H, Maitra A, Logsdon CD. Chronic inflammation initiates multiple forms of K-Ras-independent mouse pancreatic cancer in the absence of TP53. </w:t>
      </w:r>
      <w:r w:rsidRPr="006D6800">
        <w:rPr>
          <w:rFonts w:ascii="Book Antiqua" w:hAnsi="Book Antiqua"/>
          <w:i/>
          <w:sz w:val="24"/>
        </w:rPr>
        <w:t>Oncogene</w:t>
      </w:r>
      <w:r w:rsidRPr="006D6800">
        <w:rPr>
          <w:rFonts w:ascii="Book Antiqua" w:hAnsi="Book Antiqua"/>
          <w:sz w:val="24"/>
        </w:rPr>
        <w:t xml:space="preserve"> 2017; </w:t>
      </w:r>
      <w:r w:rsidRPr="006D6800">
        <w:rPr>
          <w:rFonts w:ascii="Book Antiqua" w:hAnsi="Book Antiqua"/>
          <w:b/>
          <w:sz w:val="24"/>
        </w:rPr>
        <w:t>36</w:t>
      </w:r>
      <w:r w:rsidRPr="006D6800">
        <w:rPr>
          <w:rFonts w:ascii="Book Antiqua" w:hAnsi="Book Antiqua"/>
          <w:sz w:val="24"/>
        </w:rPr>
        <w:t>: 3149-3158 [PMID: 27991926 DOI: 10.1038/onc.2016.461]</w:t>
      </w:r>
    </w:p>
    <w:p w:rsidR="00B27CCD"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82 </w:t>
      </w:r>
      <w:r w:rsidRPr="006D6800">
        <w:rPr>
          <w:rFonts w:ascii="Book Antiqua" w:hAnsi="Book Antiqua"/>
          <w:b/>
          <w:sz w:val="24"/>
        </w:rPr>
        <w:t>Benten D</w:t>
      </w:r>
      <w:r w:rsidRPr="006D6800">
        <w:rPr>
          <w:rFonts w:ascii="Book Antiqua" w:hAnsi="Book Antiqua"/>
          <w:sz w:val="24"/>
        </w:rPr>
        <w:t xml:space="preserve">, Behrang Y, Unrau L, Weissmann V, Wolters-Eisfeld G, Burdak-Rothkamm S, Stahl FR, Anlauf M, Grabowski P, Möbs M, Dieckhoff J, Sipos B, Fahl M, Eggers C, Perez D, Bockhorn M, Izbicki JR, Lohse AW, Schrader J. Establishment of the First Well-differentiated Human Pancreatic Neuroendocrine Tumor Model. </w:t>
      </w:r>
      <w:r w:rsidRPr="006D6800">
        <w:rPr>
          <w:rFonts w:ascii="Book Antiqua" w:hAnsi="Book Antiqua"/>
          <w:i/>
          <w:sz w:val="24"/>
        </w:rPr>
        <w:t>Mol Cancer Res</w:t>
      </w:r>
      <w:r w:rsidRPr="006D6800">
        <w:rPr>
          <w:rFonts w:ascii="Book Antiqua" w:hAnsi="Book Antiqua"/>
          <w:sz w:val="24"/>
        </w:rPr>
        <w:t xml:space="preserve"> 2018; </w:t>
      </w:r>
      <w:r w:rsidRPr="006D6800">
        <w:rPr>
          <w:rFonts w:ascii="Book Antiqua" w:hAnsi="Book Antiqua"/>
          <w:b/>
          <w:sz w:val="24"/>
        </w:rPr>
        <w:t>16</w:t>
      </w:r>
      <w:r w:rsidRPr="006D6800">
        <w:rPr>
          <w:rFonts w:ascii="Book Antiqua" w:hAnsi="Book Antiqua"/>
          <w:sz w:val="24"/>
        </w:rPr>
        <w:t>: 496-507 [PMID: 29330294 DOI: 10.1158/1541-7786.MCR-17-0163]</w:t>
      </w:r>
    </w:p>
    <w:p w:rsidR="006F58B1" w:rsidRPr="006D6800" w:rsidRDefault="006F58B1" w:rsidP="006D6800">
      <w:pPr>
        <w:widowControl/>
        <w:snapToGrid w:val="0"/>
        <w:spacing w:line="360" w:lineRule="auto"/>
        <w:rPr>
          <w:rFonts w:ascii="Book Antiqua" w:hAnsi="Book Antiqua" w:cs="Times New Roman"/>
          <w:color w:val="000000" w:themeColor="text1"/>
          <w:kern w:val="0"/>
          <w:sz w:val="24"/>
          <w:lang w:bidi="ar"/>
        </w:rPr>
      </w:pPr>
      <w:r w:rsidRPr="006D6800">
        <w:rPr>
          <w:rFonts w:ascii="Book Antiqua" w:hAnsi="Book Antiqua" w:cs="Times New Roman"/>
          <w:color w:val="000000" w:themeColor="text1"/>
          <w:kern w:val="0"/>
          <w:sz w:val="24"/>
          <w:lang w:bidi="ar"/>
        </w:rPr>
        <w:br w:type="page"/>
      </w:r>
    </w:p>
    <w:p w:rsidR="00281265" w:rsidRPr="006D6800" w:rsidRDefault="00281265" w:rsidP="006D6800">
      <w:pPr>
        <w:adjustRightInd w:val="0"/>
        <w:snapToGrid w:val="0"/>
        <w:spacing w:line="360" w:lineRule="auto"/>
        <w:rPr>
          <w:rFonts w:ascii="Book Antiqua" w:hAnsi="Book Antiqua"/>
          <w:b/>
          <w:sz w:val="24"/>
        </w:rPr>
      </w:pPr>
      <w:r w:rsidRPr="006D6800">
        <w:rPr>
          <w:rFonts w:ascii="Book Antiqua" w:hAnsi="Book Antiqua"/>
          <w:b/>
          <w:sz w:val="24"/>
        </w:rPr>
        <w:lastRenderedPageBreak/>
        <w:t>Footnotes</w:t>
      </w:r>
    </w:p>
    <w:p w:rsidR="00281265" w:rsidRPr="006D6800" w:rsidRDefault="00281265" w:rsidP="006D6800">
      <w:pPr>
        <w:snapToGrid w:val="0"/>
        <w:spacing w:line="360" w:lineRule="auto"/>
        <w:rPr>
          <w:rFonts w:ascii="Book Antiqua" w:eastAsia="宋体" w:hAnsi="Book Antiqua"/>
          <w:color w:val="000000"/>
          <w:sz w:val="24"/>
        </w:rPr>
      </w:pPr>
      <w:r w:rsidRPr="006D6800">
        <w:rPr>
          <w:rFonts w:ascii="Book Antiqua" w:hAnsi="Book Antiqua"/>
          <w:b/>
          <w:color w:val="000000"/>
          <w:sz w:val="24"/>
        </w:rPr>
        <w:t>Conflict-of-interest statement</w:t>
      </w:r>
      <w:r w:rsidRPr="006D6800">
        <w:rPr>
          <w:rFonts w:ascii="Book Antiqua" w:hAnsi="Book Antiqua"/>
          <w:b/>
          <w:sz w:val="24"/>
        </w:rPr>
        <w:t>:</w:t>
      </w:r>
      <w:r w:rsidRPr="006D6800">
        <w:rPr>
          <w:rFonts w:ascii="Book Antiqua" w:eastAsia="宋体" w:hAnsi="Book Antiqua" w:cs="TimesNewRomanPS-BoldItalicMT"/>
          <w:b/>
          <w:bCs/>
          <w:iCs/>
          <w:color w:val="000000"/>
          <w:sz w:val="24"/>
        </w:rPr>
        <w:t xml:space="preserve"> </w:t>
      </w:r>
      <w:r w:rsidRPr="006D6800">
        <w:rPr>
          <w:rFonts w:ascii="Book Antiqua" w:hAnsi="Book Antiqua"/>
          <w:color w:val="000000"/>
          <w:sz w:val="24"/>
        </w:rPr>
        <w:t>Authors declare no conflict of interests for this article.</w:t>
      </w:r>
    </w:p>
    <w:p w:rsidR="00281265" w:rsidRPr="006D6800" w:rsidRDefault="00281265" w:rsidP="006D6800">
      <w:pPr>
        <w:snapToGrid w:val="0"/>
        <w:spacing w:line="360" w:lineRule="auto"/>
        <w:rPr>
          <w:rFonts w:ascii="Book Antiqua" w:eastAsia="宋体" w:hAnsi="Book Antiqua"/>
          <w:b/>
          <w:color w:val="000000"/>
          <w:sz w:val="24"/>
        </w:rPr>
      </w:pPr>
    </w:p>
    <w:p w:rsidR="00281265" w:rsidRPr="006D6800" w:rsidRDefault="00281265" w:rsidP="006D6800">
      <w:pPr>
        <w:snapToGrid w:val="0"/>
        <w:spacing w:line="360" w:lineRule="auto"/>
        <w:rPr>
          <w:rFonts w:ascii="Book Antiqua" w:hAnsi="Book Antiqua"/>
          <w:sz w:val="24"/>
        </w:rPr>
      </w:pPr>
      <w:r w:rsidRPr="006D6800">
        <w:rPr>
          <w:rFonts w:ascii="Book Antiqua" w:hAnsi="Book Antiqua"/>
          <w:b/>
          <w:color w:val="000000"/>
          <w:sz w:val="24"/>
        </w:rPr>
        <w:t>Open-Access:</w:t>
      </w:r>
      <w:r w:rsidRPr="006D6800">
        <w:rPr>
          <w:rFonts w:ascii="Book Antiqua" w:hAnsi="Book Antiqua"/>
          <w:color w:val="000000"/>
          <w:sz w:val="24"/>
        </w:rPr>
        <w:t xml:space="preserve"> This article is an open-access </w:t>
      </w:r>
      <w:r w:rsidRPr="006D6800">
        <w:rPr>
          <w:rFonts w:ascii="Book Antiqua" w:hAnsi="Book Antiqua"/>
          <w:sz w:val="24"/>
        </w:rPr>
        <w:t xml:space="preserve">article that was selected </w:t>
      </w:r>
      <w:r w:rsidRPr="006D6800">
        <w:rPr>
          <w:rFonts w:ascii="Book Antiqua" w:hAnsi="Book Antiqua"/>
          <w:color w:val="000000"/>
          <w:sz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81265" w:rsidRPr="006D6800" w:rsidRDefault="00281265" w:rsidP="006D6800">
      <w:pPr>
        <w:pStyle w:val="a5"/>
        <w:snapToGrid w:val="0"/>
        <w:spacing w:before="0" w:after="0" w:line="360" w:lineRule="auto"/>
        <w:jc w:val="both"/>
        <w:rPr>
          <w:rFonts w:ascii="Book Antiqua" w:eastAsia="宋体" w:hAnsi="Book Antiqua" w:cs="Times New Roman"/>
          <w:bCs/>
          <w:color w:val="000000"/>
          <w:sz w:val="24"/>
          <w:szCs w:val="24"/>
          <w:lang w:eastAsia="zh-CN"/>
        </w:rPr>
      </w:pPr>
    </w:p>
    <w:p w:rsidR="00281265" w:rsidRPr="006D6800" w:rsidRDefault="00281265" w:rsidP="006D6800">
      <w:pPr>
        <w:adjustRightInd w:val="0"/>
        <w:snapToGrid w:val="0"/>
        <w:spacing w:line="360" w:lineRule="auto"/>
        <w:rPr>
          <w:rFonts w:ascii="Book Antiqua" w:hAnsi="Book Antiqua"/>
          <w:bCs/>
          <w:color w:val="000000"/>
          <w:sz w:val="24"/>
        </w:rPr>
      </w:pPr>
      <w:r w:rsidRPr="006D6800">
        <w:rPr>
          <w:rFonts w:ascii="Book Antiqua" w:hAnsi="Book Antiqua"/>
          <w:b/>
          <w:bCs/>
          <w:color w:val="000000"/>
          <w:sz w:val="24"/>
          <w:lang w:eastAsia="pl-PL"/>
        </w:rPr>
        <w:t>Manuscript source:</w:t>
      </w:r>
      <w:r w:rsidRPr="006D6800">
        <w:rPr>
          <w:rFonts w:ascii="Book Antiqua" w:hAnsi="Book Antiqua"/>
          <w:b/>
          <w:bCs/>
          <w:color w:val="000000"/>
          <w:sz w:val="24"/>
        </w:rPr>
        <w:t xml:space="preserve"> </w:t>
      </w:r>
      <w:r w:rsidRPr="006D6800">
        <w:rPr>
          <w:rFonts w:ascii="Book Antiqua" w:hAnsi="Book Antiqua"/>
          <w:bCs/>
          <w:color w:val="000000"/>
          <w:sz w:val="24"/>
          <w:lang w:eastAsia="pl-PL"/>
        </w:rPr>
        <w:t>Invited manuscript</w:t>
      </w:r>
    </w:p>
    <w:p w:rsidR="00281265" w:rsidRPr="006D6800" w:rsidRDefault="00281265" w:rsidP="006D6800">
      <w:pPr>
        <w:adjustRightInd w:val="0"/>
        <w:snapToGrid w:val="0"/>
        <w:spacing w:line="360" w:lineRule="auto"/>
        <w:rPr>
          <w:rFonts w:ascii="Book Antiqua" w:hAnsi="Book Antiqua"/>
          <w:b/>
          <w:bCs/>
          <w:color w:val="000000"/>
          <w:sz w:val="24"/>
        </w:rPr>
      </w:pPr>
    </w:p>
    <w:p w:rsidR="00281265" w:rsidRPr="006D6800" w:rsidRDefault="00281265" w:rsidP="006D6800">
      <w:pPr>
        <w:snapToGrid w:val="0"/>
        <w:spacing w:line="360" w:lineRule="auto"/>
        <w:rPr>
          <w:rFonts w:ascii="Book Antiqua" w:eastAsia="宋体" w:hAnsi="Book Antiqua"/>
          <w:b/>
          <w:sz w:val="24"/>
        </w:rPr>
      </w:pPr>
      <w:r w:rsidRPr="006D6800">
        <w:rPr>
          <w:rFonts w:ascii="Book Antiqua" w:hAnsi="Book Antiqua"/>
          <w:b/>
          <w:sz w:val="24"/>
        </w:rPr>
        <w:t>Peer-review started:</w:t>
      </w:r>
      <w:r w:rsidRPr="006D6800">
        <w:rPr>
          <w:rFonts w:ascii="Book Antiqua" w:eastAsia="宋体" w:hAnsi="Book Antiqua"/>
          <w:b/>
          <w:sz w:val="24"/>
        </w:rPr>
        <w:t xml:space="preserve"> </w:t>
      </w:r>
      <w:r w:rsidRPr="006D6800">
        <w:rPr>
          <w:rFonts w:ascii="Book Antiqua" w:eastAsia="宋体" w:hAnsi="Book Antiqua"/>
          <w:sz w:val="24"/>
        </w:rPr>
        <w:t>December 31, 2019</w:t>
      </w:r>
    </w:p>
    <w:p w:rsidR="00281265" w:rsidRPr="006D6800" w:rsidRDefault="00281265" w:rsidP="006D6800">
      <w:pPr>
        <w:snapToGrid w:val="0"/>
        <w:spacing w:line="360" w:lineRule="auto"/>
        <w:rPr>
          <w:rFonts w:ascii="Book Antiqua" w:eastAsia="宋体" w:hAnsi="Book Antiqua"/>
          <w:b/>
          <w:sz w:val="24"/>
        </w:rPr>
      </w:pPr>
      <w:r w:rsidRPr="006D6800">
        <w:rPr>
          <w:rFonts w:ascii="Book Antiqua" w:hAnsi="Book Antiqua"/>
          <w:b/>
          <w:sz w:val="24"/>
        </w:rPr>
        <w:t>First decision:</w:t>
      </w:r>
      <w:r w:rsidRPr="006D6800">
        <w:rPr>
          <w:rFonts w:ascii="Book Antiqua" w:eastAsia="宋体" w:hAnsi="Book Antiqua"/>
          <w:b/>
          <w:sz w:val="24"/>
        </w:rPr>
        <w:t xml:space="preserve"> </w:t>
      </w:r>
      <w:r w:rsidRPr="006D6800">
        <w:rPr>
          <w:rFonts w:ascii="Book Antiqua" w:eastAsia="宋体" w:hAnsi="Book Antiqua"/>
          <w:sz w:val="24"/>
        </w:rPr>
        <w:t>May 5, 2020</w:t>
      </w:r>
    </w:p>
    <w:p w:rsidR="00281265" w:rsidRPr="006D6800" w:rsidRDefault="00281265" w:rsidP="006D6800">
      <w:pPr>
        <w:snapToGrid w:val="0"/>
        <w:spacing w:line="360" w:lineRule="auto"/>
        <w:rPr>
          <w:rFonts w:ascii="Book Antiqua" w:hAnsi="Book Antiqua"/>
          <w:b/>
          <w:sz w:val="24"/>
        </w:rPr>
      </w:pPr>
      <w:r w:rsidRPr="006D6800">
        <w:rPr>
          <w:rFonts w:ascii="Book Antiqua" w:hAnsi="Book Antiqua"/>
          <w:b/>
          <w:sz w:val="24"/>
        </w:rPr>
        <w:t>Article in press:</w:t>
      </w:r>
      <w:r w:rsidR="00F64368">
        <w:rPr>
          <w:rFonts w:ascii="Book Antiqua" w:hAnsi="Book Antiqua" w:hint="eastAsia"/>
          <w:b/>
          <w:sz w:val="24"/>
        </w:rPr>
        <w:t xml:space="preserve"> </w:t>
      </w:r>
      <w:r w:rsidR="00F64368">
        <w:rPr>
          <w:rFonts w:ascii="Book Antiqua" w:hAnsi="Book Antiqua"/>
          <w:color w:val="000000"/>
          <w:sz w:val="24"/>
        </w:rPr>
        <w:t>June 17, 2020</w:t>
      </w:r>
    </w:p>
    <w:p w:rsidR="00281265" w:rsidRPr="006D6800" w:rsidRDefault="00281265" w:rsidP="006D6800">
      <w:pPr>
        <w:snapToGrid w:val="0"/>
        <w:spacing w:line="360" w:lineRule="auto"/>
        <w:rPr>
          <w:rFonts w:ascii="Book Antiqua" w:eastAsia="宋体" w:hAnsi="Book Antiqua"/>
          <w:color w:val="000000"/>
          <w:sz w:val="24"/>
        </w:rPr>
      </w:pPr>
    </w:p>
    <w:p w:rsidR="00281265" w:rsidRPr="006D6800" w:rsidRDefault="00281265" w:rsidP="006D6800">
      <w:pPr>
        <w:adjustRightInd w:val="0"/>
        <w:snapToGrid w:val="0"/>
        <w:spacing w:line="360" w:lineRule="auto"/>
        <w:rPr>
          <w:rFonts w:ascii="Book Antiqua" w:eastAsia="微软雅黑" w:hAnsi="Book Antiqua" w:cs="宋体"/>
          <w:sz w:val="24"/>
        </w:rPr>
      </w:pPr>
      <w:r w:rsidRPr="006D6800">
        <w:rPr>
          <w:rFonts w:ascii="Book Antiqua" w:hAnsi="Book Antiqua" w:cs="宋体"/>
          <w:b/>
          <w:sz w:val="24"/>
        </w:rPr>
        <w:t xml:space="preserve">Specialty type: </w:t>
      </w:r>
      <w:r w:rsidRPr="006D6800">
        <w:rPr>
          <w:rFonts w:ascii="Book Antiqua" w:eastAsia="微软雅黑" w:hAnsi="Book Antiqua" w:cs="宋体"/>
          <w:sz w:val="24"/>
        </w:rPr>
        <w:t>Oncology</w:t>
      </w:r>
    </w:p>
    <w:p w:rsidR="00281265" w:rsidRPr="006D6800" w:rsidRDefault="00281265" w:rsidP="006D6800">
      <w:pPr>
        <w:adjustRightInd w:val="0"/>
        <w:snapToGrid w:val="0"/>
        <w:spacing w:line="360" w:lineRule="auto"/>
        <w:rPr>
          <w:rFonts w:ascii="Book Antiqua" w:hAnsi="Book Antiqua" w:cs="宋体"/>
          <w:sz w:val="24"/>
        </w:rPr>
      </w:pPr>
      <w:r w:rsidRPr="006D6800">
        <w:rPr>
          <w:rFonts w:ascii="Book Antiqua" w:hAnsi="Book Antiqua" w:cs="宋体"/>
          <w:b/>
          <w:sz w:val="24"/>
        </w:rPr>
        <w:t xml:space="preserve">Country/Territory of origin: </w:t>
      </w:r>
      <w:r w:rsidR="006D6800" w:rsidRPr="006D6800">
        <w:rPr>
          <w:rFonts w:ascii="Book Antiqua" w:eastAsia="宋体" w:hAnsi="Book Antiqua"/>
          <w:sz w:val="24"/>
          <w:lang w:eastAsia="es-ES_tradnl"/>
        </w:rPr>
        <w:t>China</w:t>
      </w:r>
    </w:p>
    <w:p w:rsidR="00281265" w:rsidRPr="006D6800" w:rsidRDefault="00281265" w:rsidP="006D6800">
      <w:pPr>
        <w:adjustRightInd w:val="0"/>
        <w:snapToGrid w:val="0"/>
        <w:spacing w:line="360" w:lineRule="auto"/>
        <w:rPr>
          <w:rFonts w:ascii="Book Antiqua" w:hAnsi="Book Antiqua" w:cs="宋体"/>
          <w:b/>
          <w:sz w:val="24"/>
        </w:rPr>
      </w:pPr>
      <w:r w:rsidRPr="006D6800">
        <w:rPr>
          <w:rFonts w:ascii="Book Antiqua" w:hAnsi="Book Antiqua" w:cs="宋体"/>
          <w:b/>
          <w:sz w:val="24"/>
        </w:rPr>
        <w:t>Peer-review report’s scientific quality classification</w:t>
      </w:r>
    </w:p>
    <w:p w:rsidR="00281265" w:rsidRPr="006D6800" w:rsidRDefault="00281265" w:rsidP="006D6800">
      <w:pPr>
        <w:adjustRightInd w:val="0"/>
        <w:snapToGrid w:val="0"/>
        <w:spacing w:line="360" w:lineRule="auto"/>
        <w:rPr>
          <w:rFonts w:ascii="Book Antiqua" w:hAnsi="Book Antiqua" w:cs="宋体"/>
          <w:sz w:val="24"/>
        </w:rPr>
      </w:pPr>
      <w:r w:rsidRPr="006D6800">
        <w:rPr>
          <w:rFonts w:ascii="Book Antiqua" w:hAnsi="Book Antiqua" w:cs="宋体"/>
          <w:sz w:val="24"/>
        </w:rPr>
        <w:t>Grade </w:t>
      </w:r>
      <w:proofErr w:type="gramStart"/>
      <w:r w:rsidRPr="006D6800">
        <w:rPr>
          <w:rFonts w:ascii="Book Antiqua" w:hAnsi="Book Antiqua" w:cs="宋体"/>
          <w:sz w:val="24"/>
        </w:rPr>
        <w:t>A</w:t>
      </w:r>
      <w:proofErr w:type="gramEnd"/>
      <w:r w:rsidRPr="006D6800">
        <w:rPr>
          <w:rFonts w:ascii="Book Antiqua" w:hAnsi="Book Antiqua" w:cs="宋体"/>
          <w:sz w:val="24"/>
        </w:rPr>
        <w:t xml:space="preserve"> (Excellent): </w:t>
      </w:r>
      <w:r w:rsidR="006D6800" w:rsidRPr="006D6800">
        <w:rPr>
          <w:rFonts w:ascii="Book Antiqua" w:hAnsi="Book Antiqua" w:cs="宋体"/>
          <w:sz w:val="24"/>
        </w:rPr>
        <w:t>0</w:t>
      </w:r>
    </w:p>
    <w:p w:rsidR="00281265" w:rsidRPr="006D6800" w:rsidRDefault="00281265" w:rsidP="006D6800">
      <w:pPr>
        <w:adjustRightInd w:val="0"/>
        <w:snapToGrid w:val="0"/>
        <w:spacing w:line="360" w:lineRule="auto"/>
        <w:rPr>
          <w:rFonts w:ascii="Book Antiqua" w:eastAsia="宋体" w:hAnsi="Book Antiqua" w:cs="宋体"/>
          <w:sz w:val="24"/>
        </w:rPr>
      </w:pPr>
      <w:r w:rsidRPr="006D6800">
        <w:rPr>
          <w:rFonts w:ascii="Book Antiqua" w:hAnsi="Book Antiqua" w:cs="宋体"/>
          <w:sz w:val="24"/>
        </w:rPr>
        <w:t xml:space="preserve">Grade B (Very good): </w:t>
      </w:r>
      <w:r w:rsidR="006D6800" w:rsidRPr="006D6800">
        <w:rPr>
          <w:rFonts w:ascii="Book Antiqua" w:eastAsia="宋体" w:hAnsi="Book Antiqua" w:cs="宋体"/>
          <w:sz w:val="24"/>
        </w:rPr>
        <w:t>0</w:t>
      </w:r>
    </w:p>
    <w:p w:rsidR="00281265" w:rsidRPr="006D6800" w:rsidRDefault="00281265" w:rsidP="006D6800">
      <w:pPr>
        <w:adjustRightInd w:val="0"/>
        <w:snapToGrid w:val="0"/>
        <w:spacing w:line="360" w:lineRule="auto"/>
        <w:rPr>
          <w:rFonts w:ascii="Book Antiqua" w:hAnsi="Book Antiqua" w:cs="宋体"/>
          <w:sz w:val="24"/>
        </w:rPr>
      </w:pPr>
      <w:r w:rsidRPr="006D6800">
        <w:rPr>
          <w:rFonts w:ascii="Book Antiqua" w:hAnsi="Book Antiqua" w:cs="宋体"/>
          <w:sz w:val="24"/>
        </w:rPr>
        <w:t>Grade C (Good): C</w:t>
      </w:r>
    </w:p>
    <w:p w:rsidR="00281265" w:rsidRPr="006D6800" w:rsidRDefault="00281265" w:rsidP="006D6800">
      <w:pPr>
        <w:adjustRightInd w:val="0"/>
        <w:snapToGrid w:val="0"/>
        <w:spacing w:line="360" w:lineRule="auto"/>
        <w:rPr>
          <w:rFonts w:ascii="Book Antiqua" w:hAnsi="Book Antiqua" w:cs="宋体"/>
          <w:sz w:val="24"/>
        </w:rPr>
      </w:pPr>
      <w:r w:rsidRPr="006D6800">
        <w:rPr>
          <w:rFonts w:ascii="Book Antiqua" w:hAnsi="Book Antiqua" w:cs="宋体"/>
          <w:sz w:val="24"/>
        </w:rPr>
        <w:t>Grade D (Fair): 0</w:t>
      </w:r>
    </w:p>
    <w:p w:rsidR="00281265" w:rsidRPr="006D6800" w:rsidRDefault="00281265" w:rsidP="006D6800">
      <w:pPr>
        <w:adjustRightInd w:val="0"/>
        <w:snapToGrid w:val="0"/>
        <w:spacing w:line="360" w:lineRule="auto"/>
        <w:rPr>
          <w:rFonts w:ascii="Book Antiqua" w:eastAsia="等线" w:hAnsi="Book Antiqua"/>
          <w:sz w:val="24"/>
          <w:lang w:val="hu-HU"/>
        </w:rPr>
      </w:pPr>
      <w:r w:rsidRPr="006D6800">
        <w:rPr>
          <w:rFonts w:ascii="Book Antiqua" w:hAnsi="Book Antiqua" w:cs="宋体"/>
          <w:sz w:val="24"/>
        </w:rPr>
        <w:t>Grade E (Poor): 0</w:t>
      </w:r>
    </w:p>
    <w:p w:rsidR="00281265" w:rsidRPr="006D6800" w:rsidRDefault="00281265" w:rsidP="006D6800">
      <w:pPr>
        <w:snapToGrid w:val="0"/>
        <w:spacing w:line="360" w:lineRule="auto"/>
        <w:rPr>
          <w:rFonts w:ascii="Book Antiqua" w:eastAsia="宋体" w:hAnsi="Book Antiqua"/>
          <w:b/>
          <w:sz w:val="24"/>
          <w:lang w:val="hu-HU"/>
        </w:rPr>
      </w:pPr>
    </w:p>
    <w:p w:rsidR="00281265" w:rsidRPr="006D6800" w:rsidRDefault="00281265" w:rsidP="006D6800">
      <w:pPr>
        <w:widowControl/>
        <w:snapToGrid w:val="0"/>
        <w:spacing w:line="360" w:lineRule="auto"/>
        <w:rPr>
          <w:rFonts w:ascii="Book Antiqua" w:eastAsia="宋体" w:hAnsi="Book Antiqua" w:cs="宋体"/>
          <w:kern w:val="0"/>
          <w:sz w:val="24"/>
        </w:rPr>
      </w:pPr>
      <w:r w:rsidRPr="006D6800">
        <w:rPr>
          <w:rFonts w:ascii="Book Antiqua" w:hAnsi="Book Antiqua"/>
          <w:b/>
          <w:sz w:val="24"/>
        </w:rPr>
        <w:t>P- Reviewer:</w:t>
      </w:r>
      <w:r w:rsidRPr="006D6800">
        <w:rPr>
          <w:rFonts w:ascii="Book Antiqua" w:eastAsia="宋体" w:hAnsi="Book Antiqua"/>
          <w:b/>
          <w:sz w:val="24"/>
        </w:rPr>
        <w:t xml:space="preserve"> </w:t>
      </w:r>
      <w:r w:rsidR="006D6800" w:rsidRPr="006D6800">
        <w:rPr>
          <w:rFonts w:ascii="Book Antiqua" w:eastAsia="宋体" w:hAnsi="Book Antiqua" w:cs="宋体"/>
          <w:color w:val="000000"/>
          <w:kern w:val="0"/>
          <w:sz w:val="24"/>
          <w:shd w:val="clear" w:color="auto" w:fill="FFFFFF"/>
        </w:rPr>
        <w:t>Casadei</w:t>
      </w:r>
      <w:r w:rsidR="006D6800" w:rsidRPr="006D6800">
        <w:rPr>
          <w:rFonts w:ascii="Book Antiqua" w:eastAsia="宋体" w:hAnsi="Book Antiqua" w:cs="宋体"/>
          <w:kern w:val="0"/>
          <w:sz w:val="24"/>
        </w:rPr>
        <w:t xml:space="preserve"> R</w:t>
      </w:r>
      <w:r w:rsidRPr="006D6800">
        <w:rPr>
          <w:rFonts w:ascii="Book Antiqua" w:eastAsia="宋体" w:hAnsi="Book Antiqua" w:cs="宋体"/>
          <w:color w:val="000000"/>
          <w:sz w:val="24"/>
        </w:rPr>
        <w:t xml:space="preserve"> </w:t>
      </w:r>
      <w:r w:rsidRPr="006D6800">
        <w:rPr>
          <w:rFonts w:ascii="Book Antiqua" w:hAnsi="Book Antiqua"/>
          <w:b/>
          <w:sz w:val="24"/>
        </w:rPr>
        <w:t>S- Editor:</w:t>
      </w:r>
      <w:r w:rsidRPr="006D6800">
        <w:rPr>
          <w:rFonts w:ascii="Book Antiqua" w:hAnsi="Book Antiqua"/>
          <w:sz w:val="24"/>
        </w:rPr>
        <w:t xml:space="preserve"> Dou Y</w:t>
      </w:r>
      <w:r w:rsidRPr="006D6800">
        <w:rPr>
          <w:rFonts w:ascii="Book Antiqua" w:hAnsi="Book Antiqua"/>
          <w:b/>
          <w:sz w:val="24"/>
        </w:rPr>
        <w:t xml:space="preserve"> L- Editor:</w:t>
      </w:r>
      <w:r w:rsidRPr="006D6800">
        <w:rPr>
          <w:rFonts w:ascii="Book Antiqua" w:hAnsi="Book Antiqua"/>
          <w:sz w:val="24"/>
        </w:rPr>
        <w:t xml:space="preserve"> </w:t>
      </w:r>
      <w:r w:rsidR="00F64368">
        <w:rPr>
          <w:rFonts w:ascii="Book Antiqua" w:hAnsi="Book Antiqua" w:hint="eastAsia"/>
          <w:sz w:val="24"/>
        </w:rPr>
        <w:t xml:space="preserve">A </w:t>
      </w:r>
      <w:r w:rsidRPr="006D6800">
        <w:rPr>
          <w:rFonts w:ascii="Book Antiqua" w:hAnsi="Book Antiqua"/>
          <w:b/>
          <w:sz w:val="24"/>
        </w:rPr>
        <w:t>E- Editor:</w:t>
      </w:r>
      <w:r w:rsidR="00F64368">
        <w:rPr>
          <w:rFonts w:ascii="Book Antiqua" w:hAnsi="Book Antiqua" w:hint="eastAsia"/>
          <w:b/>
          <w:sz w:val="24"/>
        </w:rPr>
        <w:t xml:space="preserve"> </w:t>
      </w:r>
      <w:r w:rsidR="00F64368" w:rsidRPr="00F64368">
        <w:rPr>
          <w:rFonts w:ascii="Book Antiqua" w:hAnsi="Book Antiqua" w:hint="eastAsia"/>
          <w:sz w:val="24"/>
        </w:rPr>
        <w:t>Liu MY</w:t>
      </w:r>
    </w:p>
    <w:p w:rsidR="00281265" w:rsidRPr="006D6800" w:rsidRDefault="00281265" w:rsidP="006D6800">
      <w:pPr>
        <w:widowControl/>
        <w:snapToGrid w:val="0"/>
        <w:spacing w:line="360" w:lineRule="auto"/>
        <w:rPr>
          <w:rFonts w:ascii="Book Antiqua" w:hAnsi="Book Antiqua"/>
          <w:b/>
          <w:sz w:val="24"/>
        </w:rPr>
      </w:pPr>
      <w:r w:rsidRPr="006D6800">
        <w:rPr>
          <w:rFonts w:ascii="Book Antiqua" w:hAnsi="Book Antiqua"/>
          <w:b/>
          <w:sz w:val="24"/>
        </w:rPr>
        <w:br w:type="page"/>
      </w:r>
    </w:p>
    <w:p w:rsidR="00B27CCD" w:rsidRPr="006D6800" w:rsidRDefault="00281265" w:rsidP="006D6800">
      <w:pPr>
        <w:adjustRightInd w:val="0"/>
        <w:snapToGrid w:val="0"/>
        <w:spacing w:line="360" w:lineRule="auto"/>
        <w:rPr>
          <w:rFonts w:ascii="Book Antiqua" w:eastAsia="宋体" w:hAnsi="Book Antiqua"/>
          <w:b/>
          <w:sz w:val="24"/>
        </w:rPr>
      </w:pPr>
      <w:r w:rsidRPr="006D6800">
        <w:rPr>
          <w:rFonts w:ascii="Book Antiqua" w:hAnsi="Book Antiqua"/>
          <w:b/>
          <w:sz w:val="24"/>
        </w:rPr>
        <w:lastRenderedPageBreak/>
        <w:t>Figure Legends</w:t>
      </w:r>
    </w:p>
    <w:p w:rsidR="00B27CCD" w:rsidRPr="006D6800" w:rsidRDefault="00003636" w:rsidP="006D6800">
      <w:pPr>
        <w:snapToGrid w:val="0"/>
        <w:spacing w:line="360" w:lineRule="auto"/>
        <w:rPr>
          <w:rFonts w:ascii="Book Antiqua" w:eastAsia="宋体" w:hAnsi="Book Antiqua" w:cs="Times New Roman"/>
          <w:b/>
          <w:bCs/>
          <w:sz w:val="24"/>
        </w:rPr>
      </w:pPr>
      <w:r w:rsidRPr="00003636">
        <w:rPr>
          <w:rFonts w:ascii="Book Antiqua" w:eastAsia="宋体" w:hAnsi="Book Antiqua" w:cs="Times New Roman"/>
          <w:b/>
          <w:bCs/>
          <w:noProof/>
          <w:sz w:val="24"/>
        </w:rPr>
        <w:drawing>
          <wp:inline distT="0" distB="0" distL="0" distR="0" wp14:anchorId="22A093B7" wp14:editId="24DB2AEC">
            <wp:extent cx="5731510" cy="2242820"/>
            <wp:effectExtent l="0" t="0" r="0" b="5080"/>
            <wp:docPr id="4" name="图片 4" descr="图片包含 照片, 瓷砖, 绿色, 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242820"/>
                    </a:xfrm>
                    <a:prstGeom prst="rect">
                      <a:avLst/>
                    </a:prstGeom>
                  </pic:spPr>
                </pic:pic>
              </a:graphicData>
            </a:graphic>
          </wp:inline>
        </w:drawing>
      </w:r>
    </w:p>
    <w:p w:rsidR="00B27CCD"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eastAsia="宋体" w:hAnsi="Book Antiqua" w:cs="Times New Roman"/>
          <w:b/>
          <w:bCs/>
          <w:sz w:val="24"/>
        </w:rPr>
        <w:t>Figure 1</w:t>
      </w:r>
      <w:r w:rsidR="006F58B1" w:rsidRPr="006D6800">
        <w:rPr>
          <w:rFonts w:ascii="Book Antiqua" w:eastAsia="宋体" w:hAnsi="Book Antiqua" w:cs="Times New Roman"/>
          <w:b/>
          <w:bCs/>
          <w:sz w:val="24"/>
        </w:rPr>
        <w:t xml:space="preserve"> </w:t>
      </w:r>
      <w:r w:rsidR="00902B80" w:rsidRPr="006D6800">
        <w:rPr>
          <w:rFonts w:ascii="Book Antiqua" w:eastAsia="宋体" w:hAnsi="Book Antiqua" w:cs="Times New Roman"/>
          <w:b/>
          <w:bCs/>
          <w:sz w:val="24"/>
        </w:rPr>
        <w:t xml:space="preserve">Immunohistochemical staining </w:t>
      </w:r>
      <w:r w:rsidRPr="006D6800">
        <w:rPr>
          <w:rFonts w:ascii="Book Antiqua" w:eastAsia="宋体" w:hAnsi="Book Antiqua" w:cs="Times New Roman"/>
          <w:b/>
          <w:bCs/>
          <w:sz w:val="24"/>
        </w:rPr>
        <w:t>(400</w:t>
      </w:r>
      <w:r w:rsidR="00921C3E">
        <w:rPr>
          <w:rFonts w:ascii="Book Antiqua" w:eastAsia="宋体" w:hAnsi="Book Antiqua" w:cs="Times New Roman"/>
          <w:b/>
          <w:bCs/>
          <w:sz w:val="24"/>
        </w:rPr>
        <w:t xml:space="preserve"> </w:t>
      </w:r>
      <w:r w:rsidRPr="006D6800">
        <w:rPr>
          <w:rFonts w:ascii="Book Antiqua" w:eastAsia="宋体" w:hAnsi="Book Antiqua" w:cs="Times New Roman"/>
          <w:b/>
          <w:bCs/>
          <w:sz w:val="24"/>
        </w:rPr>
        <w:t>×</w:t>
      </w:r>
      <w:r w:rsidRPr="006D6800">
        <w:rPr>
          <w:rFonts w:ascii="Book Antiqua" w:hAnsi="Book Antiqua" w:cs="Times New Roman"/>
          <w:b/>
          <w:bCs/>
          <w:color w:val="000000" w:themeColor="text1"/>
          <w:kern w:val="0"/>
          <w:sz w:val="24"/>
          <w:lang w:bidi="ar"/>
        </w:rPr>
        <w:t xml:space="preserve">). </w:t>
      </w:r>
      <w:r w:rsidR="006F58B1" w:rsidRPr="006D6800">
        <w:rPr>
          <w:rFonts w:ascii="Book Antiqua" w:hAnsi="Book Antiqua" w:cs="Times New Roman"/>
          <w:color w:val="000000" w:themeColor="text1"/>
          <w:kern w:val="0"/>
          <w:sz w:val="24"/>
          <w:lang w:bidi="ar"/>
        </w:rPr>
        <w:t xml:space="preserve">A and B: </w:t>
      </w:r>
      <w:r w:rsidRPr="006D6800">
        <w:rPr>
          <w:rFonts w:ascii="Book Antiqua" w:hAnsi="Book Antiqua" w:cs="Times New Roman"/>
          <w:color w:val="000000" w:themeColor="text1"/>
          <w:kern w:val="0"/>
          <w:sz w:val="24"/>
          <w:lang w:bidi="ar"/>
        </w:rPr>
        <w:t xml:space="preserve">Immunohistochemical positivity for chromogranin A (A) or synaptophysin (B) is considered to be a marker for </w:t>
      </w:r>
      <w:r w:rsidR="006D6800" w:rsidRPr="006D6800">
        <w:rPr>
          <w:rFonts w:ascii="Book Antiqua" w:hAnsi="Book Antiqua"/>
          <w:sz w:val="24"/>
          <w:lang w:bidi="ar"/>
        </w:rPr>
        <w:t>neuroendocrine neoplasms</w:t>
      </w:r>
      <w:r w:rsidRPr="006D6800">
        <w:rPr>
          <w:rFonts w:ascii="Book Antiqua" w:hAnsi="Book Antiqua" w:cs="Times New Roman"/>
          <w:color w:val="000000" w:themeColor="text1"/>
          <w:kern w:val="0"/>
          <w:sz w:val="24"/>
          <w:lang w:bidi="ar"/>
        </w:rPr>
        <w:t xml:space="preserve">. Mitotic figures rating </w:t>
      </w:r>
      <w:r w:rsidR="006D6800" w:rsidRPr="006D6800">
        <w:rPr>
          <w:rFonts w:ascii="Book Antiqua" w:hAnsi="Book Antiqua" w:cs="Times New Roman"/>
          <w:color w:val="000000" w:themeColor="text1"/>
          <w:kern w:val="0"/>
          <w:sz w:val="24"/>
          <w:lang w:bidi="ar"/>
        </w:rPr>
        <w:t>[</w:t>
      </w:r>
      <w:r w:rsidRPr="006D6800">
        <w:rPr>
          <w:rFonts w:ascii="Book Antiqua" w:hAnsi="Book Antiqua" w:cs="Times New Roman"/>
          <w:color w:val="000000" w:themeColor="text1"/>
          <w:kern w:val="0"/>
          <w:sz w:val="24"/>
          <w:lang w:bidi="ar"/>
        </w:rPr>
        <w:t xml:space="preserve">G3 26/10 </w:t>
      </w:r>
      <w:r w:rsidR="006D6800" w:rsidRPr="006D6800">
        <w:rPr>
          <w:rFonts w:ascii="Book Antiqua" w:hAnsi="Book Antiqua" w:cs="Times New Roman"/>
          <w:kern w:val="0"/>
          <w:sz w:val="24"/>
          <w:lang w:bidi="ar"/>
        </w:rPr>
        <w:t>high-power field</w:t>
      </w:r>
      <w:r w:rsidR="006D6800" w:rsidRPr="006D6800">
        <w:rPr>
          <w:rFonts w:ascii="Book Antiqua" w:hAnsi="Book Antiqua" w:cs="Times New Roman"/>
          <w:color w:val="000000" w:themeColor="text1"/>
          <w:kern w:val="0"/>
          <w:sz w:val="24"/>
          <w:lang w:bidi="ar"/>
        </w:rPr>
        <w:t xml:space="preserve"> (</w:t>
      </w:r>
      <w:r w:rsidRPr="006D6800">
        <w:rPr>
          <w:rFonts w:ascii="Book Antiqua" w:hAnsi="Book Antiqua" w:cs="Times New Roman"/>
          <w:color w:val="000000" w:themeColor="text1"/>
          <w:kern w:val="0"/>
          <w:sz w:val="24"/>
          <w:lang w:bidi="ar"/>
        </w:rPr>
        <w:t>HPF)</w:t>
      </w:r>
      <w:r w:rsidR="006D6800" w:rsidRPr="006D6800">
        <w:rPr>
          <w:rFonts w:ascii="Book Antiqua" w:hAnsi="Book Antiqua" w:cs="Times New Roman"/>
          <w:color w:val="000000" w:themeColor="text1"/>
          <w:kern w:val="0"/>
          <w:sz w:val="24"/>
          <w:lang w:bidi="ar"/>
        </w:rPr>
        <w:t>]</w:t>
      </w:r>
      <w:r w:rsidRPr="006D6800">
        <w:rPr>
          <w:rFonts w:ascii="Book Antiqua" w:hAnsi="Book Antiqua" w:cs="Times New Roman"/>
          <w:color w:val="000000" w:themeColor="text1"/>
          <w:kern w:val="0"/>
          <w:sz w:val="24"/>
          <w:lang w:bidi="ar"/>
        </w:rPr>
        <w:t xml:space="preserve"> is higher than the Ki67 index rating (G2, 16%)</w:t>
      </w:r>
      <w:r w:rsidR="006F58B1" w:rsidRPr="006D6800">
        <w:rPr>
          <w:rFonts w:ascii="Book Antiqua" w:hAnsi="Book Antiqua" w:cs="Times New Roman"/>
          <w:color w:val="000000" w:themeColor="text1"/>
          <w:kern w:val="0"/>
          <w:sz w:val="24"/>
          <w:lang w:bidi="ar"/>
        </w:rPr>
        <w:t>; C and D:</w:t>
      </w:r>
      <w:r w:rsidRPr="006D6800">
        <w:rPr>
          <w:rFonts w:ascii="Book Antiqua" w:hAnsi="Book Antiqua" w:cs="Times New Roman"/>
          <w:color w:val="000000" w:themeColor="text1"/>
          <w:kern w:val="0"/>
          <w:sz w:val="24"/>
          <w:lang w:bidi="ar"/>
        </w:rPr>
        <w:t xml:space="preserve"> Four mitoses in one HPF is shown by black arrows (C) and related Ki67 immunohistochemical staining is shown in D</w:t>
      </w:r>
      <w:r w:rsidR="006F58B1" w:rsidRPr="006D6800">
        <w:rPr>
          <w:rFonts w:ascii="Book Antiqua" w:hAnsi="Book Antiqua" w:cs="Times New Roman"/>
          <w:color w:val="000000" w:themeColor="text1"/>
          <w:kern w:val="0"/>
          <w:sz w:val="24"/>
          <w:lang w:bidi="ar"/>
        </w:rPr>
        <w:t>; E and F:</w:t>
      </w:r>
      <w:r w:rsidRPr="006D6800">
        <w:rPr>
          <w:rFonts w:ascii="Book Antiqua" w:hAnsi="Book Antiqua" w:cs="Times New Roman"/>
          <w:color w:val="000000" w:themeColor="text1"/>
          <w:kern w:val="0"/>
          <w:sz w:val="24"/>
          <w:lang w:bidi="ar"/>
        </w:rPr>
        <w:t xml:space="preserve"> </w:t>
      </w:r>
      <w:r w:rsidRPr="006D6800">
        <w:rPr>
          <w:rFonts w:ascii="Book Antiqua" w:eastAsia="宋体" w:hAnsi="Book Antiqua" w:cs="Times New Roman"/>
          <w:sz w:val="24"/>
        </w:rPr>
        <w:t xml:space="preserve">Hemtoxylin and eosin (H&amp;E) staining of </w:t>
      </w:r>
      <w:r w:rsidRPr="006D6800">
        <w:rPr>
          <w:rFonts w:ascii="Book Antiqua" w:hAnsi="Book Antiqua" w:cs="Times New Roman"/>
          <w:kern w:val="0"/>
          <w:sz w:val="24"/>
          <w:lang w:bidi="ar"/>
        </w:rPr>
        <w:t xml:space="preserve">well-differentiated </w:t>
      </w:r>
      <w:r w:rsidR="006D6800" w:rsidRPr="006D6800">
        <w:rPr>
          <w:rFonts w:ascii="Book Antiqua" w:hAnsi="Book Antiqua"/>
          <w:sz w:val="24"/>
          <w:lang w:bidi="ar"/>
        </w:rPr>
        <w:t>pancreatic neuroendocrine tumor G3</w:t>
      </w:r>
      <w:r w:rsidRPr="006D6800">
        <w:rPr>
          <w:rFonts w:ascii="Book Antiqua" w:hAnsi="Book Antiqua" w:cs="Times New Roman"/>
          <w:kern w:val="0"/>
          <w:sz w:val="24"/>
          <w:lang w:bidi="ar"/>
        </w:rPr>
        <w:t xml:space="preserve"> (E) and related </w:t>
      </w:r>
      <w:r w:rsidRPr="006D6800">
        <w:rPr>
          <w:rFonts w:ascii="Book Antiqua" w:eastAsia="宋体" w:hAnsi="Book Antiqua" w:cs="Times New Roman"/>
          <w:sz w:val="24"/>
        </w:rPr>
        <w:t>Ki67 immunohistochemical staining (F)</w:t>
      </w:r>
      <w:r w:rsidR="006F58B1" w:rsidRPr="006D6800">
        <w:rPr>
          <w:rFonts w:ascii="Book Antiqua" w:hAnsi="Book Antiqua" w:cs="Times New Roman"/>
          <w:kern w:val="0"/>
          <w:sz w:val="24"/>
          <w:lang w:bidi="ar"/>
        </w:rPr>
        <w:t>; G and H:</w:t>
      </w:r>
      <w:r w:rsidRPr="006D6800">
        <w:rPr>
          <w:rFonts w:ascii="Book Antiqua" w:hAnsi="Book Antiqua" w:cs="Times New Roman"/>
          <w:kern w:val="0"/>
          <w:sz w:val="24"/>
          <w:lang w:bidi="ar"/>
        </w:rPr>
        <w:t xml:space="preserve"> </w:t>
      </w:r>
      <w:r w:rsidRPr="006D6800">
        <w:rPr>
          <w:rFonts w:ascii="Book Antiqua" w:eastAsia="宋体" w:hAnsi="Book Antiqua" w:cs="Times New Roman"/>
          <w:sz w:val="24"/>
        </w:rPr>
        <w:t>H&amp;E staining of poorly</w:t>
      </w:r>
      <w:r w:rsidRPr="006D6800">
        <w:rPr>
          <w:rFonts w:ascii="Book Antiqua" w:hAnsi="Book Antiqua" w:cs="Times New Roman"/>
          <w:kern w:val="0"/>
          <w:sz w:val="24"/>
          <w:lang w:bidi="ar"/>
        </w:rPr>
        <w:t xml:space="preserve"> differentiated </w:t>
      </w:r>
      <w:r w:rsidR="006D6800" w:rsidRPr="006D6800">
        <w:rPr>
          <w:rFonts w:ascii="Book Antiqua" w:hAnsi="Book Antiqua"/>
          <w:sz w:val="24"/>
          <w:lang w:bidi="ar"/>
        </w:rPr>
        <w:t>pancreatic neuroendocrine carcinoma</w:t>
      </w:r>
      <w:r w:rsidR="006D6800" w:rsidRPr="006D6800">
        <w:rPr>
          <w:rFonts w:ascii="Book Antiqua" w:hAnsi="Book Antiqua" w:cs="Times New Roman"/>
          <w:kern w:val="0"/>
          <w:sz w:val="24"/>
          <w:lang w:bidi="ar"/>
        </w:rPr>
        <w:t xml:space="preserve"> </w:t>
      </w:r>
      <w:r w:rsidRPr="006D6800">
        <w:rPr>
          <w:rFonts w:ascii="Book Antiqua" w:hAnsi="Book Antiqua" w:cs="Times New Roman"/>
          <w:kern w:val="0"/>
          <w:sz w:val="24"/>
          <w:lang w:bidi="ar"/>
        </w:rPr>
        <w:t xml:space="preserve">(G) and related </w:t>
      </w:r>
      <w:r w:rsidRPr="006D6800">
        <w:rPr>
          <w:rFonts w:ascii="Book Antiqua" w:eastAsia="宋体" w:hAnsi="Book Antiqua" w:cs="Times New Roman"/>
          <w:sz w:val="24"/>
        </w:rPr>
        <w:t>Ki-67 immunohistochemical staining (H)</w:t>
      </w:r>
      <w:r w:rsidRPr="006D6800">
        <w:rPr>
          <w:rFonts w:ascii="Book Antiqua" w:hAnsi="Book Antiqua" w:cs="Times New Roman"/>
          <w:kern w:val="0"/>
          <w:sz w:val="24"/>
          <w:lang w:bidi="ar"/>
        </w:rPr>
        <w:t>.</w:t>
      </w:r>
    </w:p>
    <w:p w:rsidR="006F58B1" w:rsidRPr="006D6800" w:rsidRDefault="006F58B1" w:rsidP="006D6800">
      <w:pPr>
        <w:widowControl/>
        <w:snapToGrid w:val="0"/>
        <w:spacing w:line="360" w:lineRule="auto"/>
        <w:rPr>
          <w:rFonts w:ascii="Book Antiqua" w:eastAsia="宋体" w:hAnsi="Book Antiqua" w:cs="Times New Roman"/>
          <w:b/>
          <w:bCs/>
          <w:sz w:val="24"/>
        </w:rPr>
      </w:pPr>
      <w:r w:rsidRPr="006D6800">
        <w:rPr>
          <w:rFonts w:ascii="Book Antiqua" w:eastAsia="宋体" w:hAnsi="Book Antiqua" w:cs="Times New Roman"/>
          <w:b/>
          <w:bCs/>
          <w:sz w:val="24"/>
        </w:rPr>
        <w:br w:type="page"/>
      </w:r>
    </w:p>
    <w:p w:rsidR="00B27CCD" w:rsidRPr="006D6800" w:rsidRDefault="00003636" w:rsidP="006D6800">
      <w:pPr>
        <w:snapToGrid w:val="0"/>
        <w:spacing w:line="360" w:lineRule="auto"/>
        <w:rPr>
          <w:rFonts w:ascii="Book Antiqua" w:eastAsia="宋体" w:hAnsi="Book Antiqua" w:cs="Times New Roman"/>
          <w:b/>
          <w:bCs/>
          <w:sz w:val="24"/>
        </w:rPr>
      </w:pPr>
      <w:r w:rsidRPr="00003636">
        <w:rPr>
          <w:rFonts w:ascii="Book Antiqua" w:eastAsia="宋体" w:hAnsi="Book Antiqua" w:cs="URWPalladioL"/>
          <w:noProof/>
          <w:sz w:val="24"/>
        </w:rPr>
        <w:lastRenderedPageBreak/>
        <w:drawing>
          <wp:inline distT="0" distB="0" distL="0" distR="0" wp14:anchorId="264E2A84" wp14:editId="437210FF">
            <wp:extent cx="5731510" cy="1506855"/>
            <wp:effectExtent l="0" t="0" r="0" b="4445"/>
            <wp:docPr id="5" name="图片 5" descr="瓷砖地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506855"/>
                    </a:xfrm>
                    <a:prstGeom prst="rect">
                      <a:avLst/>
                    </a:prstGeom>
                  </pic:spPr>
                </pic:pic>
              </a:graphicData>
            </a:graphic>
          </wp:inline>
        </w:drawing>
      </w:r>
    </w:p>
    <w:p w:rsidR="00B27CCD" w:rsidRPr="006D6800" w:rsidRDefault="0014178F" w:rsidP="006D6800">
      <w:pPr>
        <w:snapToGrid w:val="0"/>
        <w:spacing w:line="360" w:lineRule="auto"/>
        <w:rPr>
          <w:rFonts w:ascii="Book Antiqua" w:hAnsi="Book Antiqua" w:cs="Times New Roman"/>
          <w:kern w:val="0"/>
          <w:sz w:val="24"/>
          <w:lang w:bidi="ar"/>
        </w:rPr>
      </w:pPr>
      <w:proofErr w:type="gramStart"/>
      <w:r w:rsidRPr="006D6800">
        <w:rPr>
          <w:rFonts w:ascii="Book Antiqua" w:eastAsia="宋体" w:hAnsi="Book Antiqua" w:cs="Times New Roman"/>
          <w:b/>
          <w:bCs/>
          <w:sz w:val="24"/>
        </w:rPr>
        <w:t xml:space="preserve">Figure 2 </w:t>
      </w:r>
      <w:r w:rsidR="00902B80" w:rsidRPr="006D6800">
        <w:rPr>
          <w:rFonts w:ascii="Book Antiqua" w:eastAsia="宋体" w:hAnsi="Book Antiqua" w:cs="Times New Roman"/>
          <w:b/>
          <w:bCs/>
          <w:sz w:val="24"/>
        </w:rPr>
        <w:t xml:space="preserve">Immunohistochemical staining </w:t>
      </w:r>
      <w:r w:rsidRPr="006D6800">
        <w:rPr>
          <w:rFonts w:ascii="Book Antiqua" w:eastAsia="宋体" w:hAnsi="Book Antiqua" w:cs="Times New Roman"/>
          <w:b/>
          <w:bCs/>
          <w:sz w:val="24"/>
        </w:rPr>
        <w:t>(400</w:t>
      </w:r>
      <w:r w:rsidR="00686663">
        <w:rPr>
          <w:rFonts w:ascii="Book Antiqua" w:eastAsia="宋体" w:hAnsi="Book Antiqua" w:cs="Times New Roman"/>
          <w:b/>
          <w:bCs/>
          <w:sz w:val="24"/>
        </w:rPr>
        <w:t xml:space="preserve"> </w:t>
      </w:r>
      <w:r w:rsidRPr="006D6800">
        <w:rPr>
          <w:rFonts w:ascii="Book Antiqua" w:eastAsia="宋体" w:hAnsi="Book Antiqua" w:cs="Times New Roman"/>
          <w:b/>
          <w:bCs/>
          <w:sz w:val="24"/>
        </w:rPr>
        <w:t>×).</w:t>
      </w:r>
      <w:proofErr w:type="gramEnd"/>
      <w:r w:rsidRPr="006D6800">
        <w:rPr>
          <w:rFonts w:ascii="Book Antiqua" w:eastAsia="宋体" w:hAnsi="Book Antiqua" w:cs="Times New Roman"/>
          <w:b/>
          <w:bCs/>
          <w:sz w:val="24"/>
        </w:rPr>
        <w:t xml:space="preserve"> </w:t>
      </w:r>
      <w:r w:rsidR="006F58B1" w:rsidRPr="006D6800">
        <w:rPr>
          <w:rFonts w:ascii="Book Antiqua" w:eastAsia="宋体" w:hAnsi="Book Antiqua" w:cs="Times New Roman"/>
          <w:sz w:val="24"/>
        </w:rPr>
        <w:t xml:space="preserve">A: </w:t>
      </w:r>
      <w:r w:rsidRPr="006D6800">
        <w:rPr>
          <w:rFonts w:ascii="Book Antiqua" w:hAnsi="Book Antiqua" w:cs="Times New Roman"/>
          <w:kern w:val="0"/>
          <w:sz w:val="24"/>
          <w:lang w:bidi="ar"/>
        </w:rPr>
        <w:t xml:space="preserve">Loss of nuclear expression for </w:t>
      </w:r>
      <w:r w:rsidRPr="006D6800">
        <w:rPr>
          <w:rFonts w:ascii="Book Antiqua" w:hAnsi="Book Antiqua" w:cs="Times New Roman"/>
          <w:i/>
          <w:iCs/>
          <w:kern w:val="0"/>
          <w:sz w:val="24"/>
          <w:lang w:bidi="ar"/>
        </w:rPr>
        <w:t>ATRX</w:t>
      </w:r>
      <w:r w:rsidRPr="006D6800">
        <w:rPr>
          <w:rFonts w:ascii="Book Antiqua" w:hAnsi="Book Antiqua" w:cs="Times New Roman"/>
          <w:kern w:val="0"/>
          <w:sz w:val="24"/>
          <w:lang w:bidi="ar"/>
        </w:rPr>
        <w:t xml:space="preserve"> in </w:t>
      </w:r>
      <w:r w:rsidR="006D6800" w:rsidRPr="006D6800">
        <w:rPr>
          <w:rFonts w:ascii="Book Antiqua" w:hAnsi="Book Antiqua"/>
          <w:sz w:val="24"/>
          <w:lang w:bidi="ar"/>
        </w:rPr>
        <w:t>pancreatic neuroendocrine tumor G3</w:t>
      </w:r>
      <w:r w:rsidRPr="006D6800">
        <w:rPr>
          <w:rFonts w:ascii="Book Antiqua" w:hAnsi="Book Antiqua" w:cs="Times New Roman"/>
          <w:kern w:val="0"/>
          <w:sz w:val="24"/>
          <w:lang w:bidi="ar"/>
        </w:rPr>
        <w:t xml:space="preserve">; </w:t>
      </w:r>
      <w:r w:rsidR="006F58B1" w:rsidRPr="006D6800">
        <w:rPr>
          <w:rFonts w:ascii="Book Antiqua" w:hAnsi="Book Antiqua" w:cs="Times New Roman"/>
          <w:kern w:val="0"/>
          <w:sz w:val="24"/>
          <w:lang w:bidi="ar"/>
        </w:rPr>
        <w:t xml:space="preserve">B and C: </w:t>
      </w:r>
      <w:r w:rsidRPr="006D6800">
        <w:rPr>
          <w:rFonts w:ascii="Book Antiqua" w:hAnsi="Book Antiqua" w:cs="Times New Roman"/>
          <w:kern w:val="0"/>
          <w:sz w:val="24"/>
          <w:lang w:bidi="ar"/>
        </w:rPr>
        <w:t xml:space="preserve">Aberrant expression for </w:t>
      </w:r>
      <w:r w:rsidRPr="006D6800">
        <w:rPr>
          <w:rFonts w:ascii="Book Antiqua" w:hAnsi="Book Antiqua" w:cs="Times New Roman"/>
          <w:i/>
          <w:iCs/>
          <w:kern w:val="0"/>
          <w:sz w:val="24"/>
          <w:lang w:bidi="ar"/>
        </w:rPr>
        <w:t>p53</w:t>
      </w:r>
      <w:r w:rsidRPr="006D6800">
        <w:rPr>
          <w:rFonts w:ascii="Book Antiqua" w:hAnsi="Book Antiqua" w:cs="Times New Roman"/>
          <w:kern w:val="0"/>
          <w:sz w:val="24"/>
          <w:lang w:bidi="ar"/>
        </w:rPr>
        <w:t xml:space="preserve"> (B) and loss of expression of </w:t>
      </w:r>
      <w:r w:rsidRPr="006D6800">
        <w:rPr>
          <w:rFonts w:ascii="Book Antiqua" w:hAnsi="Book Antiqua" w:cs="Times New Roman"/>
          <w:i/>
          <w:iCs/>
          <w:kern w:val="0"/>
          <w:sz w:val="24"/>
          <w:lang w:bidi="ar"/>
        </w:rPr>
        <w:t>Rb1</w:t>
      </w:r>
      <w:r w:rsidRPr="006D6800">
        <w:rPr>
          <w:rFonts w:ascii="Book Antiqua" w:hAnsi="Book Antiqua" w:cs="Times New Roman"/>
          <w:kern w:val="0"/>
          <w:sz w:val="24"/>
          <w:lang w:bidi="ar"/>
        </w:rPr>
        <w:t xml:space="preserve"> (C) in </w:t>
      </w:r>
      <w:r w:rsidR="006D6800" w:rsidRPr="006D6800">
        <w:rPr>
          <w:rFonts w:ascii="Book Antiqua" w:hAnsi="Book Antiqua"/>
          <w:sz w:val="24"/>
          <w:lang w:bidi="ar"/>
        </w:rPr>
        <w:t>pancreatic neuroendocrine carcinoma</w:t>
      </w:r>
      <w:r w:rsidRPr="006D6800">
        <w:rPr>
          <w:rFonts w:ascii="Book Antiqua" w:hAnsi="Book Antiqua" w:cs="Times New Roman"/>
          <w:kern w:val="0"/>
          <w:sz w:val="24"/>
          <w:lang w:bidi="ar"/>
        </w:rPr>
        <w:t>.</w:t>
      </w:r>
    </w:p>
    <w:p w:rsidR="006F58B1" w:rsidRPr="006D6800" w:rsidRDefault="006F58B1" w:rsidP="006D6800">
      <w:pPr>
        <w:widowControl/>
        <w:snapToGrid w:val="0"/>
        <w:spacing w:line="360" w:lineRule="auto"/>
        <w:rPr>
          <w:rFonts w:ascii="Book Antiqua" w:eastAsia="宋体" w:hAnsi="Book Antiqua" w:cs="Times New Roman"/>
          <w:b/>
          <w:bCs/>
          <w:sz w:val="24"/>
        </w:rPr>
      </w:pPr>
      <w:r w:rsidRPr="006D6800">
        <w:rPr>
          <w:rFonts w:ascii="Book Antiqua" w:eastAsia="宋体" w:hAnsi="Book Antiqua" w:cs="Times New Roman"/>
          <w:b/>
          <w:bCs/>
          <w:sz w:val="24"/>
        </w:rPr>
        <w:br w:type="page"/>
      </w:r>
    </w:p>
    <w:p w:rsidR="00B27CCD" w:rsidRPr="006D6800" w:rsidRDefault="00003636" w:rsidP="006D6800">
      <w:pPr>
        <w:snapToGrid w:val="0"/>
        <w:spacing w:line="360" w:lineRule="auto"/>
        <w:rPr>
          <w:rFonts w:ascii="Book Antiqua" w:eastAsia="宋体" w:hAnsi="Book Antiqua" w:cs="Times New Roman"/>
          <w:b/>
          <w:bCs/>
          <w:sz w:val="24"/>
        </w:rPr>
      </w:pPr>
      <w:r w:rsidRPr="00003636">
        <w:rPr>
          <w:rFonts w:ascii="Book Antiqua" w:eastAsia="宋体" w:hAnsi="Book Antiqua" w:cs="Times New Roman"/>
          <w:b/>
          <w:bCs/>
          <w:noProof/>
          <w:sz w:val="24"/>
        </w:rPr>
        <w:lastRenderedPageBreak/>
        <w:drawing>
          <wp:inline distT="0" distB="0" distL="0" distR="0" wp14:anchorId="76CC7481" wp14:editId="7A5AFEB1">
            <wp:extent cx="5731510" cy="2929890"/>
            <wp:effectExtent l="0" t="0" r="0" b="3810"/>
            <wp:docPr id="1" name="图片 1" descr="图片包含 截图, 游戏机, 桌子, 装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929890"/>
                    </a:xfrm>
                    <a:prstGeom prst="rect">
                      <a:avLst/>
                    </a:prstGeom>
                  </pic:spPr>
                </pic:pic>
              </a:graphicData>
            </a:graphic>
          </wp:inline>
        </w:drawing>
      </w:r>
    </w:p>
    <w:p w:rsidR="00B27CCD" w:rsidRPr="006D6800" w:rsidRDefault="0014178F" w:rsidP="006D6800">
      <w:pPr>
        <w:snapToGrid w:val="0"/>
        <w:spacing w:line="360" w:lineRule="auto"/>
        <w:rPr>
          <w:rFonts w:ascii="Book Antiqua" w:eastAsia="宋体" w:hAnsi="Book Antiqua" w:cs="Times New Roman"/>
          <w:sz w:val="24"/>
        </w:rPr>
      </w:pPr>
      <w:r w:rsidRPr="006D6800">
        <w:rPr>
          <w:rFonts w:ascii="Book Antiqua" w:eastAsia="宋体" w:hAnsi="Book Antiqua" w:cs="Times New Roman"/>
          <w:b/>
          <w:bCs/>
          <w:sz w:val="24"/>
        </w:rPr>
        <w:t xml:space="preserve">Figure 3 </w:t>
      </w:r>
      <w:r w:rsidR="006F58B1" w:rsidRPr="006D6800">
        <w:rPr>
          <w:rFonts w:ascii="Book Antiqua" w:eastAsia="宋体" w:hAnsi="Book Antiqua" w:cs="Times New Roman"/>
          <w:b/>
          <w:bCs/>
          <w:sz w:val="24"/>
        </w:rPr>
        <w:t>High</w:t>
      </w:r>
      <w:r w:rsidRPr="006D6800">
        <w:rPr>
          <w:rFonts w:ascii="Book Antiqua" w:eastAsia="宋体" w:hAnsi="Book Antiqua" w:cs="Times New Roman"/>
          <w:b/>
          <w:bCs/>
          <w:sz w:val="24"/>
        </w:rPr>
        <w:t xml:space="preserve">-throughput sequencing. </w:t>
      </w:r>
      <w:r w:rsidR="006F58B1" w:rsidRPr="006D6800">
        <w:rPr>
          <w:rFonts w:ascii="Book Antiqua" w:eastAsia="宋体" w:hAnsi="Book Antiqua" w:cs="Times New Roman"/>
          <w:sz w:val="24"/>
        </w:rPr>
        <w:t xml:space="preserve">A: </w:t>
      </w:r>
      <w:r w:rsidRPr="006D6800">
        <w:rPr>
          <w:rFonts w:ascii="Book Antiqua" w:eastAsia="宋体" w:hAnsi="Book Antiqua" w:cs="Times New Roman"/>
          <w:sz w:val="24"/>
        </w:rPr>
        <w:t xml:space="preserve">Base C (red) mutates to G (blue) on the </w:t>
      </w:r>
      <w:r w:rsidRPr="006D6800">
        <w:rPr>
          <w:rFonts w:ascii="Book Antiqua" w:eastAsia="宋体" w:hAnsi="Book Antiqua" w:cs="Times New Roman"/>
          <w:i/>
          <w:iCs/>
          <w:sz w:val="24"/>
        </w:rPr>
        <w:t>Men1</w:t>
      </w:r>
      <w:r w:rsidRPr="006D6800">
        <w:rPr>
          <w:rFonts w:ascii="Book Antiqua" w:eastAsia="宋体" w:hAnsi="Book Antiqua" w:cs="Times New Roman"/>
          <w:sz w:val="24"/>
        </w:rPr>
        <w:t xml:space="preserve"> gene of chromosome 11 in </w:t>
      </w:r>
      <w:r w:rsidR="006D6800" w:rsidRPr="006D6800">
        <w:rPr>
          <w:rFonts w:ascii="Book Antiqua" w:hAnsi="Book Antiqua"/>
          <w:sz w:val="24"/>
          <w:lang w:bidi="ar"/>
        </w:rPr>
        <w:t>pancreatic neuroendocrine tumor G3 (</w:t>
      </w:r>
      <w:r w:rsidRPr="006D6800">
        <w:rPr>
          <w:rFonts w:ascii="Book Antiqua" w:eastAsia="宋体" w:hAnsi="Book Antiqua" w:cs="Times New Roman"/>
          <w:sz w:val="24"/>
        </w:rPr>
        <w:t>pNET G3</w:t>
      </w:r>
      <w:r w:rsidR="006D6800" w:rsidRPr="006D6800">
        <w:rPr>
          <w:rFonts w:ascii="Book Antiqua" w:eastAsia="宋体" w:hAnsi="Book Antiqua" w:cs="Times New Roman"/>
          <w:sz w:val="24"/>
        </w:rPr>
        <w:t>)</w:t>
      </w:r>
      <w:r w:rsidRPr="006D6800">
        <w:rPr>
          <w:rFonts w:ascii="Book Antiqua" w:eastAsia="宋体" w:hAnsi="Book Antiqua" w:cs="Times New Roman"/>
          <w:sz w:val="24"/>
        </w:rPr>
        <w:t>;</w:t>
      </w:r>
      <w:r w:rsidR="006F58B1" w:rsidRPr="006D6800">
        <w:rPr>
          <w:rFonts w:ascii="Book Antiqua" w:eastAsia="宋体" w:hAnsi="Book Antiqua" w:cs="Times New Roman"/>
          <w:sz w:val="24"/>
        </w:rPr>
        <w:t xml:space="preserve"> B:</w:t>
      </w:r>
      <w:r w:rsidRPr="006D6800">
        <w:rPr>
          <w:rFonts w:ascii="Book Antiqua" w:eastAsia="宋体" w:hAnsi="Book Antiqua" w:cs="Times New Roman"/>
          <w:sz w:val="24"/>
        </w:rPr>
        <w:t xml:space="preserve"> Base G (blue) mutates to A (green) on the </w:t>
      </w:r>
      <w:r w:rsidRPr="006D6800">
        <w:rPr>
          <w:rFonts w:ascii="Book Antiqua" w:eastAsia="宋体" w:hAnsi="Book Antiqua" w:cs="Times New Roman"/>
          <w:i/>
          <w:iCs/>
          <w:sz w:val="24"/>
        </w:rPr>
        <w:t>ARTX</w:t>
      </w:r>
      <w:r w:rsidRPr="006D6800">
        <w:rPr>
          <w:rFonts w:ascii="Book Antiqua" w:eastAsia="宋体" w:hAnsi="Book Antiqua" w:cs="Times New Roman"/>
          <w:sz w:val="24"/>
        </w:rPr>
        <w:t xml:space="preserve"> gene of chromosome X in pNET G3;</w:t>
      </w:r>
      <w:r w:rsidR="006F58B1" w:rsidRPr="006D6800">
        <w:rPr>
          <w:rFonts w:ascii="Book Antiqua" w:eastAsia="宋体" w:hAnsi="Book Antiqua" w:cs="Times New Roman"/>
          <w:sz w:val="24"/>
        </w:rPr>
        <w:t xml:space="preserve"> C:</w:t>
      </w:r>
      <w:r w:rsidRPr="006D6800">
        <w:rPr>
          <w:rFonts w:ascii="Book Antiqua" w:eastAsia="宋体" w:hAnsi="Book Antiqua" w:cs="Times New Roman"/>
          <w:sz w:val="24"/>
        </w:rPr>
        <w:t xml:space="preserve"> Base T (purple) mutates to A (green) on the </w:t>
      </w:r>
      <w:r w:rsidRPr="006D6800">
        <w:rPr>
          <w:rFonts w:ascii="Book Antiqua" w:eastAsia="宋体" w:hAnsi="Book Antiqua" w:cs="Times New Roman"/>
          <w:i/>
          <w:iCs/>
          <w:sz w:val="24"/>
        </w:rPr>
        <w:t>Tp53</w:t>
      </w:r>
      <w:r w:rsidRPr="006D6800">
        <w:rPr>
          <w:rFonts w:ascii="Book Antiqua" w:eastAsia="宋体" w:hAnsi="Book Antiqua" w:cs="Times New Roman"/>
          <w:sz w:val="24"/>
        </w:rPr>
        <w:t xml:space="preserve"> gene of chromosome 17 in </w:t>
      </w:r>
      <w:r w:rsidR="006D6800" w:rsidRPr="006D6800">
        <w:rPr>
          <w:rFonts w:ascii="Book Antiqua" w:hAnsi="Book Antiqua"/>
          <w:sz w:val="24"/>
          <w:lang w:bidi="ar"/>
        </w:rPr>
        <w:t>pancreatic neuroendocrine carcinoma (</w:t>
      </w:r>
      <w:r w:rsidRPr="006D6800">
        <w:rPr>
          <w:rFonts w:ascii="Book Antiqua" w:eastAsia="宋体" w:hAnsi="Book Antiqua" w:cs="Times New Roman"/>
          <w:sz w:val="24"/>
        </w:rPr>
        <w:t>pNEC</w:t>
      </w:r>
      <w:r w:rsidR="006D6800" w:rsidRPr="006D6800">
        <w:rPr>
          <w:rFonts w:ascii="Book Antiqua" w:eastAsia="宋体" w:hAnsi="Book Antiqua" w:cs="Times New Roman"/>
          <w:sz w:val="24"/>
        </w:rPr>
        <w:t>)</w:t>
      </w:r>
      <w:r w:rsidRPr="006D6800">
        <w:rPr>
          <w:rFonts w:ascii="Book Antiqua" w:eastAsia="宋体" w:hAnsi="Book Antiqua" w:cs="Times New Roman"/>
          <w:sz w:val="24"/>
        </w:rPr>
        <w:t xml:space="preserve">; </w:t>
      </w:r>
      <w:r w:rsidR="006F58B1" w:rsidRPr="006D6800">
        <w:rPr>
          <w:rFonts w:ascii="Book Antiqua" w:eastAsia="宋体" w:hAnsi="Book Antiqua" w:cs="Times New Roman"/>
          <w:sz w:val="24"/>
        </w:rPr>
        <w:t xml:space="preserve">D: </w:t>
      </w:r>
      <w:r w:rsidRPr="006D6800">
        <w:rPr>
          <w:rFonts w:ascii="Book Antiqua" w:eastAsia="宋体" w:hAnsi="Book Antiqua" w:cs="Times New Roman"/>
          <w:sz w:val="24"/>
        </w:rPr>
        <w:t xml:space="preserve">Base A (green) mutates to T (purple) on the </w:t>
      </w:r>
      <w:r w:rsidRPr="006D6800">
        <w:rPr>
          <w:rFonts w:ascii="Book Antiqua" w:eastAsia="宋体" w:hAnsi="Book Antiqua" w:cs="Times New Roman"/>
          <w:i/>
          <w:iCs/>
          <w:sz w:val="24"/>
        </w:rPr>
        <w:t xml:space="preserve">Rb1 </w:t>
      </w:r>
      <w:r w:rsidRPr="006D6800">
        <w:rPr>
          <w:rFonts w:ascii="Book Antiqua" w:eastAsia="宋体" w:hAnsi="Book Antiqua" w:cs="Times New Roman"/>
          <w:sz w:val="24"/>
        </w:rPr>
        <w:t>gene of chromosome 13 in pNEC.</w:t>
      </w:r>
    </w:p>
    <w:p w:rsidR="0014178F" w:rsidRPr="006D6800" w:rsidRDefault="0014178F" w:rsidP="006D6800">
      <w:pPr>
        <w:widowControl/>
        <w:snapToGrid w:val="0"/>
        <w:spacing w:line="360" w:lineRule="auto"/>
        <w:rPr>
          <w:rFonts w:ascii="Book Antiqua" w:eastAsia="宋体" w:hAnsi="Book Antiqua" w:cs="Times New Roman"/>
          <w:sz w:val="24"/>
        </w:rPr>
      </w:pPr>
      <w:r w:rsidRPr="006D6800">
        <w:rPr>
          <w:rFonts w:ascii="Book Antiqua" w:eastAsia="宋体" w:hAnsi="Book Antiqua" w:cs="Times New Roman"/>
          <w:sz w:val="24"/>
        </w:rPr>
        <w:br w:type="page"/>
      </w:r>
    </w:p>
    <w:p w:rsidR="0014178F" w:rsidRPr="006D6800" w:rsidRDefault="0014178F" w:rsidP="006D6800">
      <w:pPr>
        <w:snapToGrid w:val="0"/>
        <w:spacing w:line="360" w:lineRule="auto"/>
        <w:rPr>
          <w:rFonts w:ascii="Book Antiqua" w:hAnsi="Book Antiqua" w:cs="Times New Roman"/>
          <w:b/>
          <w:bCs/>
          <w:kern w:val="0"/>
          <w:sz w:val="24"/>
          <w:lang w:bidi="ar"/>
        </w:rPr>
      </w:pPr>
      <w:r w:rsidRPr="006D6800">
        <w:rPr>
          <w:rFonts w:ascii="Book Antiqua" w:hAnsi="Book Antiqua" w:cs="Times New Roman"/>
          <w:b/>
          <w:bCs/>
          <w:kern w:val="0"/>
          <w:sz w:val="24"/>
          <w:lang w:bidi="ar"/>
        </w:rPr>
        <w:lastRenderedPageBreak/>
        <w:t xml:space="preserve">Table 1 2010 </w:t>
      </w:r>
      <w:r w:rsidR="00B955FB" w:rsidRPr="006D6800">
        <w:rPr>
          <w:rFonts w:ascii="Book Antiqua" w:hAnsi="Book Antiqua"/>
          <w:b/>
          <w:bCs/>
          <w:sz w:val="24"/>
          <w:lang w:bidi="ar"/>
        </w:rPr>
        <w:t xml:space="preserve">World Health Organization </w:t>
      </w:r>
      <w:r w:rsidRPr="006D6800">
        <w:rPr>
          <w:rFonts w:ascii="Book Antiqua" w:hAnsi="Book Antiqua" w:cs="Times New Roman"/>
          <w:b/>
          <w:bCs/>
          <w:kern w:val="0"/>
          <w:sz w:val="24"/>
          <w:lang w:bidi="ar"/>
        </w:rPr>
        <w:t xml:space="preserve">grading classification of gastroenteropancreatic </w:t>
      </w:r>
      <w:r w:rsidR="00B955FB" w:rsidRPr="006D6800">
        <w:rPr>
          <w:rFonts w:ascii="Book Antiqua" w:hAnsi="Book Antiqua"/>
          <w:b/>
          <w:bCs/>
          <w:sz w:val="24"/>
          <w:lang w:bidi="ar"/>
        </w:rPr>
        <w:t>neuroendocrine neoplasms</w:t>
      </w:r>
    </w:p>
    <w:tbl>
      <w:tblPr>
        <w:tblStyle w:va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3505"/>
        <w:gridCol w:w="2177"/>
      </w:tblGrid>
      <w:tr w:rsidR="0014178F" w:rsidRPr="006D6800" w:rsidTr="00C36CC4">
        <w:tc>
          <w:tcPr>
            <w:tcW w:w="2840" w:type="dxa"/>
            <w:tcBorders>
              <w:top w:val="single" w:sz="4" w:space="0" w:color="auto"/>
              <w:bottom w:val="single" w:sz="4" w:space="0" w:color="auto"/>
            </w:tcBorders>
          </w:tcPr>
          <w:p w:rsidR="0014178F" w:rsidRPr="006D6800" w:rsidRDefault="0014178F" w:rsidP="006D6800">
            <w:pPr>
              <w:snapToGrid w:val="0"/>
              <w:spacing w:line="360" w:lineRule="auto"/>
              <w:rPr>
                <w:rFonts w:ascii="Book Antiqua" w:hAnsi="Book Antiqua" w:cs="Times New Roman"/>
                <w:b/>
                <w:bCs/>
                <w:kern w:val="0"/>
                <w:sz w:val="24"/>
                <w:lang w:bidi="ar"/>
              </w:rPr>
            </w:pPr>
            <w:r w:rsidRPr="006D6800">
              <w:rPr>
                <w:rFonts w:ascii="Book Antiqua" w:hAnsi="Book Antiqua" w:cs="Times New Roman"/>
                <w:b/>
                <w:bCs/>
                <w:kern w:val="0"/>
                <w:sz w:val="24"/>
                <w:lang w:bidi="ar"/>
              </w:rPr>
              <w:t>Classification/grade</w:t>
            </w:r>
          </w:p>
        </w:tc>
        <w:tc>
          <w:tcPr>
            <w:tcW w:w="3505" w:type="dxa"/>
            <w:tcBorders>
              <w:top w:val="single" w:sz="4" w:space="0" w:color="auto"/>
              <w:bottom w:val="single" w:sz="4" w:space="0" w:color="auto"/>
            </w:tcBorders>
          </w:tcPr>
          <w:p w:rsidR="0014178F" w:rsidRPr="006D6800" w:rsidRDefault="0014178F" w:rsidP="006D6800">
            <w:pPr>
              <w:snapToGrid w:val="0"/>
              <w:spacing w:line="360" w:lineRule="auto"/>
              <w:rPr>
                <w:rFonts w:ascii="Book Antiqua" w:hAnsi="Book Antiqua" w:cs="Times New Roman"/>
                <w:b/>
                <w:bCs/>
                <w:kern w:val="0"/>
                <w:sz w:val="24"/>
                <w:lang w:bidi="ar"/>
              </w:rPr>
            </w:pPr>
            <w:r w:rsidRPr="006D6800">
              <w:rPr>
                <w:rFonts w:ascii="Book Antiqua" w:hAnsi="Book Antiqua" w:cs="Times New Roman"/>
                <w:b/>
                <w:bCs/>
                <w:kern w:val="0"/>
                <w:sz w:val="24"/>
                <w:lang w:bidi="ar"/>
              </w:rPr>
              <w:t>Mitotic index (per 10 HPF)</w:t>
            </w:r>
          </w:p>
        </w:tc>
        <w:tc>
          <w:tcPr>
            <w:tcW w:w="2177" w:type="dxa"/>
            <w:tcBorders>
              <w:top w:val="single" w:sz="4" w:space="0" w:color="auto"/>
              <w:bottom w:val="single" w:sz="4" w:space="0" w:color="auto"/>
            </w:tcBorders>
          </w:tcPr>
          <w:p w:rsidR="0014178F" w:rsidRPr="006D6800" w:rsidRDefault="0014178F" w:rsidP="006D6800">
            <w:pPr>
              <w:snapToGrid w:val="0"/>
              <w:spacing w:line="360" w:lineRule="auto"/>
              <w:rPr>
                <w:rFonts w:ascii="Book Antiqua" w:hAnsi="Book Antiqua" w:cs="Times New Roman"/>
                <w:b/>
                <w:bCs/>
                <w:kern w:val="0"/>
                <w:sz w:val="24"/>
                <w:lang w:bidi="ar"/>
              </w:rPr>
            </w:pPr>
            <w:r w:rsidRPr="006D6800">
              <w:rPr>
                <w:rFonts w:ascii="Book Antiqua" w:hAnsi="Book Antiqua" w:cs="Times New Roman"/>
                <w:b/>
                <w:bCs/>
                <w:kern w:val="0"/>
                <w:sz w:val="24"/>
                <w:lang w:bidi="ar"/>
              </w:rPr>
              <w:t>Ki67 index (%)</w:t>
            </w:r>
          </w:p>
        </w:tc>
      </w:tr>
      <w:tr w:rsidR="0014178F" w:rsidRPr="006D6800" w:rsidTr="00C36CC4">
        <w:tc>
          <w:tcPr>
            <w:tcW w:w="2840" w:type="dxa"/>
            <w:tcBorders>
              <w:top w:val="single" w:sz="4" w:space="0" w:color="auto"/>
            </w:tcBorders>
          </w:tcPr>
          <w:p w:rsidR="0014178F"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G1 (NET G1)</w:t>
            </w:r>
          </w:p>
        </w:tc>
        <w:tc>
          <w:tcPr>
            <w:tcW w:w="3505" w:type="dxa"/>
            <w:tcBorders>
              <w:top w:val="single" w:sz="4" w:space="0" w:color="auto"/>
            </w:tcBorders>
          </w:tcPr>
          <w:p w:rsidR="0014178F"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&lt; 2</w:t>
            </w:r>
          </w:p>
        </w:tc>
        <w:tc>
          <w:tcPr>
            <w:tcW w:w="2177" w:type="dxa"/>
            <w:tcBorders>
              <w:top w:val="single" w:sz="4" w:space="0" w:color="auto"/>
            </w:tcBorders>
          </w:tcPr>
          <w:p w:rsidR="0014178F"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&lt; 2</w:t>
            </w:r>
          </w:p>
        </w:tc>
      </w:tr>
      <w:tr w:rsidR="0014178F" w:rsidRPr="006D6800" w:rsidTr="00C36CC4">
        <w:tc>
          <w:tcPr>
            <w:tcW w:w="2840" w:type="dxa"/>
          </w:tcPr>
          <w:p w:rsidR="0014178F"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G2 (NET G2)</w:t>
            </w:r>
          </w:p>
        </w:tc>
        <w:tc>
          <w:tcPr>
            <w:tcW w:w="3505" w:type="dxa"/>
          </w:tcPr>
          <w:p w:rsidR="0014178F"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2</w:t>
            </w:r>
            <w:r w:rsidR="006F58B1" w:rsidRPr="006D6800">
              <w:rPr>
                <w:rFonts w:ascii="Book Antiqua" w:hAnsi="Book Antiqua" w:cs="Times New Roman"/>
                <w:kern w:val="0"/>
                <w:sz w:val="24"/>
                <w:lang w:bidi="ar"/>
              </w:rPr>
              <w:t>-</w:t>
            </w:r>
            <w:r w:rsidRPr="006D6800">
              <w:rPr>
                <w:rFonts w:ascii="Book Antiqua" w:hAnsi="Book Antiqua" w:cs="Times New Roman"/>
                <w:kern w:val="0"/>
                <w:sz w:val="24"/>
                <w:lang w:bidi="ar"/>
              </w:rPr>
              <w:t>20</w:t>
            </w:r>
          </w:p>
        </w:tc>
        <w:tc>
          <w:tcPr>
            <w:tcW w:w="2177" w:type="dxa"/>
          </w:tcPr>
          <w:p w:rsidR="0014178F"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2</w:t>
            </w:r>
            <w:r w:rsidR="006F58B1" w:rsidRPr="006D6800">
              <w:rPr>
                <w:rFonts w:ascii="Book Antiqua" w:hAnsi="Book Antiqua" w:cs="Times New Roman"/>
                <w:kern w:val="0"/>
                <w:sz w:val="24"/>
                <w:lang w:bidi="ar"/>
              </w:rPr>
              <w:t>-</w:t>
            </w:r>
            <w:r w:rsidRPr="006D6800">
              <w:rPr>
                <w:rFonts w:ascii="Book Antiqua" w:hAnsi="Book Antiqua" w:cs="Times New Roman"/>
                <w:kern w:val="0"/>
                <w:sz w:val="24"/>
                <w:lang w:bidi="ar"/>
              </w:rPr>
              <w:t>20</w:t>
            </w:r>
          </w:p>
        </w:tc>
      </w:tr>
      <w:tr w:rsidR="0014178F" w:rsidRPr="006D6800" w:rsidTr="00C36CC4">
        <w:tc>
          <w:tcPr>
            <w:tcW w:w="2840" w:type="dxa"/>
          </w:tcPr>
          <w:p w:rsidR="0014178F"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G3 (NEC)</w:t>
            </w:r>
          </w:p>
        </w:tc>
        <w:tc>
          <w:tcPr>
            <w:tcW w:w="3505" w:type="dxa"/>
          </w:tcPr>
          <w:p w:rsidR="0014178F"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&gt; 20</w:t>
            </w:r>
          </w:p>
        </w:tc>
        <w:tc>
          <w:tcPr>
            <w:tcW w:w="2177" w:type="dxa"/>
          </w:tcPr>
          <w:p w:rsidR="0014178F"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&gt; 20</w:t>
            </w:r>
          </w:p>
        </w:tc>
      </w:tr>
    </w:tbl>
    <w:p w:rsidR="0014178F" w:rsidRPr="006D6800" w:rsidRDefault="00B955FB" w:rsidP="006D6800">
      <w:pPr>
        <w:pStyle w:val="a3"/>
        <w:widowControl/>
        <w:snapToGrid w:val="0"/>
        <w:spacing w:beforeAutospacing="0" w:afterAutospacing="0" w:line="360" w:lineRule="auto"/>
        <w:jc w:val="both"/>
        <w:rPr>
          <w:rFonts w:ascii="Book Antiqua" w:hAnsi="Book Antiqua"/>
          <w:lang w:bidi="ar"/>
        </w:rPr>
      </w:pPr>
      <w:r w:rsidRPr="006D6800">
        <w:rPr>
          <w:rFonts w:ascii="Book Antiqua" w:hAnsi="Book Antiqua"/>
          <w:lang w:bidi="ar"/>
        </w:rPr>
        <w:t xml:space="preserve">HPF: </w:t>
      </w:r>
      <w:r w:rsidR="006D6800" w:rsidRPr="006D6800">
        <w:rPr>
          <w:rFonts w:ascii="Book Antiqua" w:hAnsi="Book Antiqua"/>
          <w:lang w:bidi="ar"/>
        </w:rPr>
        <w:t>High</w:t>
      </w:r>
      <w:r w:rsidRPr="006D6800">
        <w:rPr>
          <w:rFonts w:ascii="Book Antiqua" w:hAnsi="Book Antiqua"/>
          <w:lang w:bidi="ar"/>
        </w:rPr>
        <w:t>-power field</w:t>
      </w:r>
      <w:r w:rsidR="006D6800" w:rsidRPr="006D6800">
        <w:rPr>
          <w:rFonts w:ascii="Book Antiqua" w:hAnsi="Book Antiqua"/>
          <w:lang w:bidi="ar"/>
        </w:rPr>
        <w:t>; NET: Neuroendocrine tumor; NEC: Neuroendocrine carcinoma.</w:t>
      </w:r>
    </w:p>
    <w:p w:rsidR="0014178F" w:rsidRPr="006D6800" w:rsidRDefault="0014178F" w:rsidP="006D6800">
      <w:pPr>
        <w:widowControl/>
        <w:snapToGrid w:val="0"/>
        <w:spacing w:line="360" w:lineRule="auto"/>
        <w:rPr>
          <w:rFonts w:ascii="Book Antiqua" w:hAnsi="Book Antiqua" w:cs="Times New Roman"/>
          <w:b/>
          <w:bCs/>
          <w:kern w:val="0"/>
          <w:sz w:val="24"/>
          <w:lang w:bidi="ar"/>
        </w:rPr>
      </w:pPr>
      <w:r w:rsidRPr="006D6800">
        <w:rPr>
          <w:rFonts w:ascii="Book Antiqua" w:hAnsi="Book Antiqua"/>
          <w:b/>
          <w:bCs/>
          <w:sz w:val="24"/>
          <w:lang w:bidi="ar"/>
        </w:rPr>
        <w:br w:type="page"/>
      </w:r>
    </w:p>
    <w:p w:rsidR="0014178F" w:rsidRPr="006D6800" w:rsidRDefault="0014178F" w:rsidP="006D6800">
      <w:pPr>
        <w:pStyle w:val="a3"/>
        <w:widowControl/>
        <w:snapToGrid w:val="0"/>
        <w:spacing w:beforeAutospacing="0" w:afterAutospacing="0" w:line="360" w:lineRule="auto"/>
        <w:jc w:val="both"/>
        <w:rPr>
          <w:rFonts w:ascii="Book Antiqua" w:hAnsi="Book Antiqua"/>
          <w:b/>
          <w:bCs/>
          <w:lang w:bidi="ar"/>
        </w:rPr>
      </w:pPr>
      <w:r w:rsidRPr="006D6800">
        <w:rPr>
          <w:rFonts w:ascii="Book Antiqua" w:hAnsi="Book Antiqua"/>
          <w:b/>
          <w:bCs/>
          <w:lang w:bidi="ar"/>
        </w:rPr>
        <w:lastRenderedPageBreak/>
        <w:t xml:space="preserve">Table 2 2017 </w:t>
      </w:r>
      <w:r w:rsidR="00B955FB" w:rsidRPr="006D6800">
        <w:rPr>
          <w:rFonts w:ascii="Book Antiqua" w:hAnsi="Book Antiqua"/>
          <w:b/>
          <w:bCs/>
          <w:lang w:bidi="ar"/>
        </w:rPr>
        <w:t xml:space="preserve">World Health Organization </w:t>
      </w:r>
      <w:r w:rsidRPr="006D6800">
        <w:rPr>
          <w:rFonts w:ascii="Book Antiqua" w:hAnsi="Book Antiqua"/>
          <w:b/>
          <w:bCs/>
          <w:lang w:bidi="ar"/>
        </w:rPr>
        <w:t xml:space="preserve">grading classification of </w:t>
      </w:r>
      <w:r w:rsidR="00B955FB" w:rsidRPr="006D6800">
        <w:rPr>
          <w:rFonts w:ascii="Book Antiqua" w:hAnsi="Book Antiqua"/>
          <w:b/>
          <w:bCs/>
          <w:lang w:bidi="ar"/>
        </w:rPr>
        <w:t>pancreatic neuroendocrine neoplasms</w:t>
      </w:r>
    </w:p>
    <w:tbl>
      <w:tblPr>
        <w:tblStyle w:va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3647"/>
        <w:gridCol w:w="2035"/>
      </w:tblGrid>
      <w:tr w:rsidR="0014178F" w:rsidRPr="006D6800" w:rsidTr="006F58B1">
        <w:tc>
          <w:tcPr>
            <w:tcW w:w="2840" w:type="dxa"/>
            <w:tcBorders>
              <w:top w:val="single" w:sz="4" w:space="0" w:color="auto"/>
              <w:bottom w:val="single" w:sz="4" w:space="0" w:color="auto"/>
            </w:tcBorders>
          </w:tcPr>
          <w:p w:rsidR="0014178F" w:rsidRPr="006D6800" w:rsidRDefault="0014178F" w:rsidP="006D6800">
            <w:pPr>
              <w:pStyle w:val="a3"/>
              <w:widowControl/>
              <w:snapToGrid w:val="0"/>
              <w:spacing w:beforeAutospacing="0" w:afterAutospacing="0" w:line="360" w:lineRule="auto"/>
              <w:jc w:val="both"/>
              <w:rPr>
                <w:rFonts w:ascii="Book Antiqua" w:hAnsi="Book Antiqua"/>
                <w:b/>
                <w:bCs/>
                <w:lang w:bidi="ar"/>
              </w:rPr>
            </w:pPr>
            <w:r w:rsidRPr="006D6800">
              <w:rPr>
                <w:rFonts w:ascii="Book Antiqua" w:hAnsi="Book Antiqua"/>
                <w:b/>
                <w:bCs/>
                <w:lang w:bidi="ar"/>
              </w:rPr>
              <w:t>Classification/grade</w:t>
            </w:r>
          </w:p>
        </w:tc>
        <w:tc>
          <w:tcPr>
            <w:tcW w:w="3647" w:type="dxa"/>
            <w:tcBorders>
              <w:top w:val="single" w:sz="4" w:space="0" w:color="auto"/>
              <w:bottom w:val="single" w:sz="4" w:space="0" w:color="auto"/>
            </w:tcBorders>
          </w:tcPr>
          <w:p w:rsidR="0014178F" w:rsidRPr="006D6800" w:rsidRDefault="0014178F" w:rsidP="006D6800">
            <w:pPr>
              <w:pStyle w:val="a3"/>
              <w:widowControl/>
              <w:snapToGrid w:val="0"/>
              <w:spacing w:beforeAutospacing="0" w:afterAutospacing="0" w:line="360" w:lineRule="auto"/>
              <w:jc w:val="both"/>
              <w:rPr>
                <w:rFonts w:ascii="Book Antiqua" w:hAnsi="Book Antiqua"/>
                <w:b/>
                <w:bCs/>
                <w:lang w:bidi="ar"/>
              </w:rPr>
            </w:pPr>
            <w:r w:rsidRPr="006D6800">
              <w:rPr>
                <w:rFonts w:ascii="Book Antiqua" w:hAnsi="Book Antiqua"/>
                <w:b/>
                <w:bCs/>
                <w:lang w:bidi="ar"/>
              </w:rPr>
              <w:t xml:space="preserve"> Mitotic index (per 10 HPF)</w:t>
            </w:r>
          </w:p>
        </w:tc>
        <w:tc>
          <w:tcPr>
            <w:tcW w:w="2035" w:type="dxa"/>
            <w:tcBorders>
              <w:top w:val="single" w:sz="4" w:space="0" w:color="auto"/>
              <w:bottom w:val="single" w:sz="4" w:space="0" w:color="auto"/>
            </w:tcBorders>
          </w:tcPr>
          <w:p w:rsidR="0014178F" w:rsidRPr="006D6800" w:rsidRDefault="0014178F" w:rsidP="006D6800">
            <w:pPr>
              <w:pStyle w:val="a3"/>
              <w:widowControl/>
              <w:snapToGrid w:val="0"/>
              <w:spacing w:beforeAutospacing="0" w:afterAutospacing="0" w:line="360" w:lineRule="auto"/>
              <w:jc w:val="both"/>
              <w:rPr>
                <w:rFonts w:ascii="Book Antiqua" w:hAnsi="Book Antiqua"/>
                <w:b/>
                <w:bCs/>
                <w:lang w:bidi="ar"/>
              </w:rPr>
            </w:pPr>
            <w:r w:rsidRPr="006D6800">
              <w:rPr>
                <w:rFonts w:ascii="Book Antiqua" w:hAnsi="Book Antiqua"/>
                <w:b/>
                <w:bCs/>
                <w:lang w:bidi="ar"/>
              </w:rPr>
              <w:t>Ki67 index (%)</w:t>
            </w:r>
          </w:p>
        </w:tc>
      </w:tr>
      <w:tr w:rsidR="0014178F" w:rsidRPr="006D6800" w:rsidTr="006F58B1">
        <w:trPr>
          <w:trHeight w:val="437"/>
        </w:trPr>
        <w:tc>
          <w:tcPr>
            <w:tcW w:w="2840" w:type="dxa"/>
            <w:tcBorders>
              <w:top w:val="single" w:sz="4" w:space="0" w:color="auto"/>
            </w:tcBorders>
          </w:tcPr>
          <w:p w:rsidR="0014178F" w:rsidRPr="006D6800" w:rsidRDefault="0014178F" w:rsidP="006D6800">
            <w:pPr>
              <w:pStyle w:val="a3"/>
              <w:snapToGrid w:val="0"/>
              <w:spacing w:beforeAutospacing="0" w:afterAutospacing="0" w:line="360" w:lineRule="auto"/>
              <w:jc w:val="both"/>
              <w:rPr>
                <w:rFonts w:ascii="Book Antiqua" w:hAnsi="Book Antiqua"/>
                <w:lang w:bidi="ar"/>
              </w:rPr>
            </w:pPr>
            <w:r w:rsidRPr="006D6800">
              <w:rPr>
                <w:rFonts w:ascii="Book Antiqua" w:hAnsi="Book Antiqua"/>
                <w:lang w:bidi="ar"/>
              </w:rPr>
              <w:t>pNET</w:t>
            </w:r>
          </w:p>
        </w:tc>
        <w:tc>
          <w:tcPr>
            <w:tcW w:w="3647" w:type="dxa"/>
            <w:tcBorders>
              <w:top w:val="single" w:sz="4" w:space="0" w:color="auto"/>
            </w:tcBorders>
          </w:tcPr>
          <w:p w:rsidR="0014178F" w:rsidRPr="006D6800" w:rsidRDefault="0014178F" w:rsidP="006D6800">
            <w:pPr>
              <w:pStyle w:val="a3"/>
              <w:widowControl/>
              <w:snapToGrid w:val="0"/>
              <w:spacing w:beforeAutospacing="0" w:afterAutospacing="0" w:line="360" w:lineRule="auto"/>
              <w:jc w:val="both"/>
              <w:rPr>
                <w:rFonts w:ascii="Book Antiqua" w:hAnsi="Book Antiqua"/>
                <w:lang w:bidi="ar"/>
              </w:rPr>
            </w:pPr>
          </w:p>
        </w:tc>
        <w:tc>
          <w:tcPr>
            <w:tcW w:w="2035" w:type="dxa"/>
            <w:tcBorders>
              <w:top w:val="single" w:sz="4" w:space="0" w:color="auto"/>
            </w:tcBorders>
          </w:tcPr>
          <w:p w:rsidR="0014178F" w:rsidRPr="006D6800" w:rsidRDefault="0014178F" w:rsidP="006D6800">
            <w:pPr>
              <w:pStyle w:val="a3"/>
              <w:widowControl/>
              <w:snapToGrid w:val="0"/>
              <w:spacing w:beforeAutospacing="0" w:afterAutospacing="0" w:line="360" w:lineRule="auto"/>
              <w:jc w:val="both"/>
              <w:rPr>
                <w:rFonts w:ascii="Book Antiqua" w:hAnsi="Book Antiqua"/>
                <w:lang w:bidi="ar"/>
              </w:rPr>
            </w:pPr>
          </w:p>
        </w:tc>
      </w:tr>
      <w:tr w:rsidR="006F58B1" w:rsidRPr="006D6800" w:rsidTr="006F58B1">
        <w:trPr>
          <w:trHeight w:val="599"/>
        </w:trPr>
        <w:tc>
          <w:tcPr>
            <w:tcW w:w="2840" w:type="dxa"/>
          </w:tcPr>
          <w:p w:rsidR="006F58B1" w:rsidRPr="006D6800" w:rsidRDefault="006F58B1" w:rsidP="006D6800">
            <w:pPr>
              <w:pStyle w:val="a3"/>
              <w:widowControl/>
              <w:snapToGrid w:val="0"/>
              <w:spacing w:beforeAutospacing="0" w:afterAutospacing="0" w:line="360" w:lineRule="auto"/>
              <w:ind w:firstLineChars="100" w:firstLine="240"/>
              <w:jc w:val="both"/>
              <w:rPr>
                <w:rFonts w:ascii="Book Antiqua" w:hAnsi="Book Antiqua"/>
                <w:lang w:bidi="ar"/>
              </w:rPr>
            </w:pPr>
            <w:r w:rsidRPr="006D6800">
              <w:rPr>
                <w:rFonts w:ascii="Book Antiqua" w:hAnsi="Book Antiqua"/>
                <w:lang w:bidi="ar"/>
              </w:rPr>
              <w:t>G1</w:t>
            </w:r>
          </w:p>
        </w:tc>
        <w:tc>
          <w:tcPr>
            <w:tcW w:w="3647" w:type="dxa"/>
          </w:tcPr>
          <w:p w:rsidR="006F58B1" w:rsidRPr="006D6800" w:rsidRDefault="006F58B1" w:rsidP="006D6800">
            <w:pPr>
              <w:pStyle w:val="a3"/>
              <w:widowControl/>
              <w:snapToGrid w:val="0"/>
              <w:spacing w:beforeAutospacing="0" w:afterAutospacing="0" w:line="360" w:lineRule="auto"/>
              <w:jc w:val="both"/>
              <w:rPr>
                <w:rFonts w:ascii="Book Antiqua" w:hAnsi="Book Antiqua"/>
                <w:lang w:bidi="ar"/>
              </w:rPr>
            </w:pPr>
            <w:r w:rsidRPr="006D6800">
              <w:rPr>
                <w:rFonts w:ascii="Book Antiqua" w:hAnsi="Book Antiqua"/>
                <w:lang w:bidi="ar"/>
              </w:rPr>
              <w:t>&lt; 3</w:t>
            </w:r>
          </w:p>
        </w:tc>
        <w:tc>
          <w:tcPr>
            <w:tcW w:w="2035" w:type="dxa"/>
          </w:tcPr>
          <w:p w:rsidR="006F58B1" w:rsidRPr="006D6800" w:rsidRDefault="006F58B1" w:rsidP="006D6800">
            <w:pPr>
              <w:pStyle w:val="a3"/>
              <w:widowControl/>
              <w:snapToGrid w:val="0"/>
              <w:spacing w:beforeAutospacing="0" w:afterAutospacing="0" w:line="360" w:lineRule="auto"/>
              <w:jc w:val="both"/>
              <w:rPr>
                <w:rFonts w:ascii="Book Antiqua" w:hAnsi="Book Antiqua"/>
                <w:lang w:bidi="ar"/>
              </w:rPr>
            </w:pPr>
            <w:r w:rsidRPr="006D6800">
              <w:rPr>
                <w:rFonts w:ascii="Book Antiqua" w:hAnsi="Book Antiqua"/>
                <w:lang w:bidi="ar"/>
              </w:rPr>
              <w:t>&lt; 3</w:t>
            </w:r>
          </w:p>
        </w:tc>
      </w:tr>
      <w:tr w:rsidR="006F58B1" w:rsidRPr="006D6800" w:rsidTr="006F58B1">
        <w:trPr>
          <w:trHeight w:val="601"/>
        </w:trPr>
        <w:tc>
          <w:tcPr>
            <w:tcW w:w="2840" w:type="dxa"/>
          </w:tcPr>
          <w:p w:rsidR="006F58B1" w:rsidRPr="006D6800" w:rsidRDefault="006F58B1" w:rsidP="006D6800">
            <w:pPr>
              <w:pStyle w:val="a3"/>
              <w:snapToGrid w:val="0"/>
              <w:spacing w:beforeAutospacing="0" w:afterAutospacing="0" w:line="360" w:lineRule="auto"/>
              <w:ind w:firstLineChars="100" w:firstLine="240"/>
              <w:jc w:val="both"/>
              <w:rPr>
                <w:rFonts w:ascii="Book Antiqua" w:hAnsi="Book Antiqua"/>
                <w:lang w:bidi="ar"/>
              </w:rPr>
            </w:pPr>
            <w:r w:rsidRPr="006D6800">
              <w:rPr>
                <w:rFonts w:ascii="Book Antiqua" w:hAnsi="Book Antiqua"/>
                <w:lang w:bidi="ar"/>
              </w:rPr>
              <w:t>G2</w:t>
            </w:r>
          </w:p>
        </w:tc>
        <w:tc>
          <w:tcPr>
            <w:tcW w:w="3647" w:type="dxa"/>
          </w:tcPr>
          <w:p w:rsidR="006F58B1" w:rsidRPr="006D6800" w:rsidRDefault="006F58B1" w:rsidP="006D6800">
            <w:pPr>
              <w:pStyle w:val="a3"/>
              <w:snapToGrid w:val="0"/>
              <w:spacing w:beforeAutospacing="0" w:afterAutospacing="0" w:line="360" w:lineRule="auto"/>
              <w:jc w:val="both"/>
              <w:rPr>
                <w:rFonts w:ascii="Book Antiqua" w:hAnsi="Book Antiqua"/>
                <w:lang w:bidi="ar"/>
              </w:rPr>
            </w:pPr>
            <w:r w:rsidRPr="006D6800">
              <w:rPr>
                <w:rFonts w:ascii="Book Antiqua" w:hAnsi="Book Antiqua"/>
                <w:lang w:bidi="ar"/>
              </w:rPr>
              <w:t>3–20</w:t>
            </w:r>
          </w:p>
        </w:tc>
        <w:tc>
          <w:tcPr>
            <w:tcW w:w="2035" w:type="dxa"/>
          </w:tcPr>
          <w:p w:rsidR="006F58B1" w:rsidRPr="006D6800" w:rsidRDefault="006F58B1" w:rsidP="006D6800">
            <w:pPr>
              <w:pStyle w:val="a3"/>
              <w:snapToGrid w:val="0"/>
              <w:spacing w:beforeAutospacing="0" w:afterAutospacing="0" w:line="360" w:lineRule="auto"/>
              <w:jc w:val="both"/>
              <w:rPr>
                <w:rFonts w:ascii="Book Antiqua" w:hAnsi="Book Antiqua"/>
                <w:lang w:bidi="ar"/>
              </w:rPr>
            </w:pPr>
            <w:r w:rsidRPr="006D6800">
              <w:rPr>
                <w:rFonts w:ascii="Book Antiqua" w:hAnsi="Book Antiqua"/>
                <w:lang w:bidi="ar"/>
              </w:rPr>
              <w:t>3–20</w:t>
            </w:r>
          </w:p>
        </w:tc>
      </w:tr>
      <w:tr w:rsidR="006F58B1" w:rsidRPr="006D6800" w:rsidTr="006F58B1">
        <w:trPr>
          <w:trHeight w:val="572"/>
        </w:trPr>
        <w:tc>
          <w:tcPr>
            <w:tcW w:w="2840" w:type="dxa"/>
          </w:tcPr>
          <w:p w:rsidR="006F58B1" w:rsidRPr="006D6800" w:rsidRDefault="006F58B1" w:rsidP="006D6800">
            <w:pPr>
              <w:pStyle w:val="a3"/>
              <w:snapToGrid w:val="0"/>
              <w:spacing w:beforeAutospacing="0" w:afterAutospacing="0" w:line="360" w:lineRule="auto"/>
              <w:ind w:firstLineChars="100" w:firstLine="240"/>
              <w:jc w:val="both"/>
              <w:rPr>
                <w:rFonts w:ascii="Book Antiqua" w:hAnsi="Book Antiqua"/>
                <w:lang w:bidi="ar"/>
              </w:rPr>
            </w:pPr>
            <w:r w:rsidRPr="006D6800">
              <w:rPr>
                <w:rFonts w:ascii="Book Antiqua" w:hAnsi="Book Antiqua"/>
                <w:lang w:bidi="ar"/>
              </w:rPr>
              <w:t>G3</w:t>
            </w:r>
          </w:p>
        </w:tc>
        <w:tc>
          <w:tcPr>
            <w:tcW w:w="3647" w:type="dxa"/>
          </w:tcPr>
          <w:p w:rsidR="006F58B1" w:rsidRPr="006D6800" w:rsidRDefault="006F58B1" w:rsidP="006D6800">
            <w:pPr>
              <w:pStyle w:val="a3"/>
              <w:snapToGrid w:val="0"/>
              <w:spacing w:beforeAutospacing="0" w:afterAutospacing="0" w:line="360" w:lineRule="auto"/>
              <w:jc w:val="both"/>
              <w:rPr>
                <w:rFonts w:ascii="Book Antiqua" w:hAnsi="Book Antiqua"/>
                <w:lang w:bidi="ar"/>
              </w:rPr>
            </w:pPr>
            <w:r w:rsidRPr="006D6800">
              <w:rPr>
                <w:rFonts w:ascii="Book Antiqua" w:hAnsi="Book Antiqua"/>
                <w:lang w:bidi="ar"/>
              </w:rPr>
              <w:t>&gt; 20</w:t>
            </w:r>
          </w:p>
        </w:tc>
        <w:tc>
          <w:tcPr>
            <w:tcW w:w="2035" w:type="dxa"/>
          </w:tcPr>
          <w:p w:rsidR="006F58B1" w:rsidRPr="006D6800" w:rsidRDefault="006F58B1" w:rsidP="006D6800">
            <w:pPr>
              <w:pStyle w:val="a3"/>
              <w:snapToGrid w:val="0"/>
              <w:spacing w:beforeAutospacing="0" w:afterAutospacing="0" w:line="360" w:lineRule="auto"/>
              <w:jc w:val="both"/>
              <w:rPr>
                <w:rFonts w:ascii="Book Antiqua" w:hAnsi="Book Antiqua"/>
                <w:lang w:bidi="ar"/>
              </w:rPr>
            </w:pPr>
            <w:r w:rsidRPr="006D6800">
              <w:rPr>
                <w:rFonts w:ascii="Book Antiqua" w:hAnsi="Book Antiqua"/>
                <w:lang w:bidi="ar"/>
              </w:rPr>
              <w:t>&gt; 20</w:t>
            </w:r>
          </w:p>
        </w:tc>
      </w:tr>
      <w:tr w:rsidR="0014178F" w:rsidRPr="006D6800" w:rsidTr="006F58B1">
        <w:trPr>
          <w:trHeight w:val="388"/>
        </w:trPr>
        <w:tc>
          <w:tcPr>
            <w:tcW w:w="2840" w:type="dxa"/>
          </w:tcPr>
          <w:p w:rsidR="0014178F" w:rsidRPr="006D6800" w:rsidRDefault="0014178F" w:rsidP="006D6800">
            <w:pPr>
              <w:pStyle w:val="a3"/>
              <w:snapToGrid w:val="0"/>
              <w:spacing w:beforeAutospacing="0" w:afterAutospacing="0" w:line="360" w:lineRule="auto"/>
              <w:jc w:val="both"/>
              <w:rPr>
                <w:rFonts w:ascii="Book Antiqua" w:hAnsi="Book Antiqua"/>
                <w:lang w:bidi="ar"/>
              </w:rPr>
            </w:pPr>
            <w:r w:rsidRPr="006D6800">
              <w:rPr>
                <w:rFonts w:ascii="Book Antiqua" w:hAnsi="Book Antiqua"/>
                <w:lang w:bidi="ar"/>
              </w:rPr>
              <w:t>pNEC</w:t>
            </w:r>
          </w:p>
        </w:tc>
        <w:tc>
          <w:tcPr>
            <w:tcW w:w="3647" w:type="dxa"/>
          </w:tcPr>
          <w:p w:rsidR="0014178F" w:rsidRPr="006D6800" w:rsidRDefault="0014178F" w:rsidP="006D6800">
            <w:pPr>
              <w:pStyle w:val="a3"/>
              <w:widowControl/>
              <w:snapToGrid w:val="0"/>
              <w:spacing w:beforeAutospacing="0" w:afterAutospacing="0" w:line="360" w:lineRule="auto"/>
              <w:jc w:val="both"/>
              <w:rPr>
                <w:rFonts w:ascii="Book Antiqua" w:hAnsi="Book Antiqua"/>
                <w:lang w:bidi="ar"/>
              </w:rPr>
            </w:pPr>
          </w:p>
        </w:tc>
        <w:tc>
          <w:tcPr>
            <w:tcW w:w="2035" w:type="dxa"/>
          </w:tcPr>
          <w:p w:rsidR="0014178F" w:rsidRPr="006D6800" w:rsidRDefault="0014178F" w:rsidP="006D6800">
            <w:pPr>
              <w:pStyle w:val="a3"/>
              <w:widowControl/>
              <w:snapToGrid w:val="0"/>
              <w:spacing w:beforeAutospacing="0" w:afterAutospacing="0" w:line="360" w:lineRule="auto"/>
              <w:jc w:val="both"/>
              <w:rPr>
                <w:rFonts w:ascii="Book Antiqua" w:hAnsi="Book Antiqua"/>
                <w:lang w:bidi="ar"/>
              </w:rPr>
            </w:pPr>
          </w:p>
        </w:tc>
      </w:tr>
      <w:tr w:rsidR="006F58B1" w:rsidRPr="006D6800" w:rsidTr="006F58B1">
        <w:trPr>
          <w:trHeight w:val="472"/>
        </w:trPr>
        <w:tc>
          <w:tcPr>
            <w:tcW w:w="2840" w:type="dxa"/>
          </w:tcPr>
          <w:p w:rsidR="006F58B1" w:rsidRPr="006D6800" w:rsidRDefault="006F58B1" w:rsidP="006D6800">
            <w:pPr>
              <w:pStyle w:val="a3"/>
              <w:widowControl/>
              <w:snapToGrid w:val="0"/>
              <w:spacing w:beforeAutospacing="0" w:afterAutospacing="0" w:line="360" w:lineRule="auto"/>
              <w:ind w:firstLineChars="100" w:firstLine="240"/>
              <w:jc w:val="both"/>
              <w:rPr>
                <w:rFonts w:ascii="Book Antiqua" w:hAnsi="Book Antiqua"/>
                <w:lang w:bidi="ar"/>
              </w:rPr>
            </w:pPr>
            <w:r w:rsidRPr="006D6800">
              <w:rPr>
                <w:rFonts w:ascii="Book Antiqua" w:hAnsi="Book Antiqua"/>
                <w:lang w:bidi="ar"/>
              </w:rPr>
              <w:t>Small cell type</w:t>
            </w:r>
          </w:p>
        </w:tc>
        <w:tc>
          <w:tcPr>
            <w:tcW w:w="3647" w:type="dxa"/>
          </w:tcPr>
          <w:p w:rsidR="006F58B1" w:rsidRPr="006D6800" w:rsidRDefault="006F58B1" w:rsidP="006D6800">
            <w:pPr>
              <w:pStyle w:val="a3"/>
              <w:widowControl/>
              <w:snapToGrid w:val="0"/>
              <w:spacing w:beforeAutospacing="0" w:afterAutospacing="0" w:line="360" w:lineRule="auto"/>
              <w:jc w:val="both"/>
              <w:rPr>
                <w:rFonts w:ascii="Book Antiqua" w:hAnsi="Book Antiqua"/>
                <w:lang w:bidi="ar"/>
              </w:rPr>
            </w:pPr>
            <w:r w:rsidRPr="006D6800">
              <w:rPr>
                <w:rFonts w:ascii="Book Antiqua" w:hAnsi="Book Antiqua"/>
                <w:lang w:bidi="ar"/>
              </w:rPr>
              <w:t>&gt; 20</w:t>
            </w:r>
          </w:p>
        </w:tc>
        <w:tc>
          <w:tcPr>
            <w:tcW w:w="2035" w:type="dxa"/>
          </w:tcPr>
          <w:p w:rsidR="006F58B1" w:rsidRPr="006D6800" w:rsidRDefault="006F58B1" w:rsidP="006D6800">
            <w:pPr>
              <w:pStyle w:val="a3"/>
              <w:widowControl/>
              <w:snapToGrid w:val="0"/>
              <w:spacing w:beforeAutospacing="0" w:afterAutospacing="0" w:line="360" w:lineRule="auto"/>
              <w:jc w:val="both"/>
              <w:rPr>
                <w:rFonts w:ascii="Book Antiqua" w:hAnsi="Book Antiqua"/>
                <w:lang w:bidi="ar"/>
              </w:rPr>
            </w:pPr>
            <w:r w:rsidRPr="006D6800">
              <w:rPr>
                <w:rFonts w:ascii="Book Antiqua" w:hAnsi="Book Antiqua"/>
                <w:lang w:bidi="ar"/>
              </w:rPr>
              <w:t>&gt; 20</w:t>
            </w:r>
          </w:p>
        </w:tc>
      </w:tr>
      <w:tr w:rsidR="006F58B1" w:rsidRPr="006D6800" w:rsidTr="006F58B1">
        <w:trPr>
          <w:trHeight w:val="580"/>
        </w:trPr>
        <w:tc>
          <w:tcPr>
            <w:tcW w:w="2840" w:type="dxa"/>
          </w:tcPr>
          <w:p w:rsidR="006F58B1" w:rsidRPr="006D6800" w:rsidRDefault="006F58B1" w:rsidP="006D6800">
            <w:pPr>
              <w:pStyle w:val="a3"/>
              <w:snapToGrid w:val="0"/>
              <w:spacing w:beforeAutospacing="0" w:afterAutospacing="0" w:line="360" w:lineRule="auto"/>
              <w:ind w:firstLineChars="100" w:firstLine="240"/>
              <w:jc w:val="both"/>
              <w:rPr>
                <w:rFonts w:ascii="Book Antiqua" w:hAnsi="Book Antiqua"/>
                <w:lang w:bidi="ar"/>
              </w:rPr>
            </w:pPr>
            <w:r w:rsidRPr="006D6800">
              <w:rPr>
                <w:rFonts w:ascii="Book Antiqua" w:hAnsi="Book Antiqua"/>
                <w:lang w:bidi="ar"/>
              </w:rPr>
              <w:t>Large cell type</w:t>
            </w:r>
          </w:p>
        </w:tc>
        <w:tc>
          <w:tcPr>
            <w:tcW w:w="3647" w:type="dxa"/>
          </w:tcPr>
          <w:p w:rsidR="006F58B1" w:rsidRPr="006D6800" w:rsidRDefault="006F58B1" w:rsidP="006D6800">
            <w:pPr>
              <w:pStyle w:val="a3"/>
              <w:snapToGrid w:val="0"/>
              <w:spacing w:beforeAutospacing="0" w:afterAutospacing="0" w:line="360" w:lineRule="auto"/>
              <w:jc w:val="both"/>
              <w:rPr>
                <w:rFonts w:ascii="Book Antiqua" w:hAnsi="Book Antiqua"/>
                <w:lang w:bidi="ar"/>
              </w:rPr>
            </w:pPr>
            <w:r w:rsidRPr="006D6800">
              <w:rPr>
                <w:rFonts w:ascii="Book Antiqua" w:hAnsi="Book Antiqua"/>
                <w:lang w:bidi="ar"/>
              </w:rPr>
              <w:t>&gt; 20</w:t>
            </w:r>
          </w:p>
        </w:tc>
        <w:tc>
          <w:tcPr>
            <w:tcW w:w="2035" w:type="dxa"/>
          </w:tcPr>
          <w:p w:rsidR="006F58B1" w:rsidRPr="006D6800" w:rsidRDefault="006F58B1" w:rsidP="006D6800">
            <w:pPr>
              <w:pStyle w:val="a3"/>
              <w:snapToGrid w:val="0"/>
              <w:spacing w:beforeAutospacing="0" w:afterAutospacing="0" w:line="360" w:lineRule="auto"/>
              <w:jc w:val="both"/>
              <w:rPr>
                <w:rFonts w:ascii="Book Antiqua" w:hAnsi="Book Antiqua"/>
                <w:lang w:bidi="ar"/>
              </w:rPr>
            </w:pPr>
            <w:r w:rsidRPr="006D6800">
              <w:rPr>
                <w:rFonts w:ascii="Book Antiqua" w:hAnsi="Book Antiqua"/>
                <w:lang w:bidi="ar"/>
              </w:rPr>
              <w:t>&gt; 20</w:t>
            </w:r>
          </w:p>
        </w:tc>
      </w:tr>
    </w:tbl>
    <w:p w:rsidR="0014178F" w:rsidRPr="006D6800" w:rsidRDefault="00B955FB" w:rsidP="006D6800">
      <w:pPr>
        <w:snapToGrid w:val="0"/>
        <w:spacing w:line="360" w:lineRule="auto"/>
        <w:rPr>
          <w:rFonts w:ascii="Book Antiqua" w:hAnsi="Book Antiqua"/>
          <w:sz w:val="24"/>
        </w:rPr>
      </w:pPr>
      <w:r w:rsidRPr="006D6800">
        <w:rPr>
          <w:rFonts w:ascii="Book Antiqua" w:hAnsi="Book Antiqua"/>
          <w:sz w:val="24"/>
        </w:rPr>
        <w:t xml:space="preserve">HPF: </w:t>
      </w:r>
      <w:r w:rsidR="006D6800" w:rsidRPr="006D6800">
        <w:rPr>
          <w:rFonts w:ascii="Book Antiqua" w:hAnsi="Book Antiqua"/>
          <w:sz w:val="24"/>
        </w:rPr>
        <w:t>High</w:t>
      </w:r>
      <w:r w:rsidRPr="006D6800">
        <w:rPr>
          <w:rFonts w:ascii="Book Antiqua" w:hAnsi="Book Antiqua"/>
          <w:sz w:val="24"/>
        </w:rPr>
        <w:t>-power field</w:t>
      </w:r>
      <w:r w:rsidR="006D6800" w:rsidRPr="006D6800">
        <w:rPr>
          <w:rFonts w:ascii="Book Antiqua" w:hAnsi="Book Antiqua"/>
          <w:sz w:val="24"/>
        </w:rPr>
        <w:t xml:space="preserve">; pNET: </w:t>
      </w:r>
      <w:r w:rsidR="006D6800" w:rsidRPr="006D6800">
        <w:rPr>
          <w:rFonts w:ascii="Book Antiqua" w:hAnsi="Book Antiqua"/>
          <w:sz w:val="24"/>
          <w:lang w:bidi="ar"/>
        </w:rPr>
        <w:t xml:space="preserve">Pancreatic neuroendocrine neoplasm; </w:t>
      </w:r>
      <w:r w:rsidR="006D6800" w:rsidRPr="006D6800">
        <w:rPr>
          <w:rFonts w:ascii="Book Antiqua" w:hAnsi="Book Antiqua"/>
          <w:sz w:val="24"/>
        </w:rPr>
        <w:t xml:space="preserve">pNEC: </w:t>
      </w:r>
      <w:r w:rsidR="006D6800" w:rsidRPr="006D6800">
        <w:rPr>
          <w:rFonts w:ascii="Book Antiqua" w:hAnsi="Book Antiqua"/>
          <w:sz w:val="24"/>
          <w:lang w:bidi="ar"/>
        </w:rPr>
        <w:t>Pancreatic neuroendocrine carcinoma.</w:t>
      </w:r>
    </w:p>
    <w:sectPr w:rsidR="0014178F" w:rsidRPr="006D6800">
      <w:footerReference w:type="default" r:id="rId12"/>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530" w:rsidRDefault="00674530" w:rsidP="006D6800">
      <w:r>
        <w:separator/>
      </w:r>
    </w:p>
  </w:endnote>
  <w:endnote w:type="continuationSeparator" w:id="0">
    <w:p w:rsidR="00674530" w:rsidRDefault="00674530" w:rsidP="006D6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URWPalladioL">
    <w:altName w:val="Segoe Print"/>
    <w:charset w:val="00"/>
    <w:family w:val="auto"/>
    <w:pitch w:val="default"/>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800" w:rsidRPr="006D6800" w:rsidRDefault="006D6800" w:rsidP="006D6800">
    <w:pPr>
      <w:pStyle w:val="a8"/>
      <w:jc w:val="right"/>
      <w:rPr>
        <w:rFonts w:ascii="Book Antiqua" w:hAnsi="Book Antiqua"/>
        <w:color w:val="000000" w:themeColor="text1"/>
        <w:sz w:val="24"/>
        <w:szCs w:val="24"/>
      </w:rPr>
    </w:pPr>
    <w:r w:rsidRPr="006D6800">
      <w:rPr>
        <w:rFonts w:ascii="Book Antiqua" w:hAnsi="Book Antiqua"/>
        <w:color w:val="000000" w:themeColor="text1"/>
        <w:sz w:val="24"/>
        <w:szCs w:val="24"/>
      </w:rPr>
      <w:fldChar w:fldCharType="begin"/>
    </w:r>
    <w:r w:rsidRPr="006D6800">
      <w:rPr>
        <w:rFonts w:ascii="Book Antiqua" w:hAnsi="Book Antiqua"/>
        <w:color w:val="000000" w:themeColor="text1"/>
        <w:sz w:val="24"/>
        <w:szCs w:val="24"/>
      </w:rPr>
      <w:instrText>PAGE  \* Arabic  \* MERGEFORMAT</w:instrText>
    </w:r>
    <w:r w:rsidRPr="006D6800">
      <w:rPr>
        <w:rFonts w:ascii="Book Antiqua" w:hAnsi="Book Antiqua"/>
        <w:color w:val="000000" w:themeColor="text1"/>
        <w:sz w:val="24"/>
        <w:szCs w:val="24"/>
      </w:rPr>
      <w:fldChar w:fldCharType="separate"/>
    </w:r>
    <w:r w:rsidR="0094427D" w:rsidRPr="0094427D">
      <w:rPr>
        <w:rFonts w:ascii="Book Antiqua" w:hAnsi="Book Antiqua"/>
        <w:noProof/>
        <w:color w:val="000000" w:themeColor="text1"/>
        <w:sz w:val="24"/>
        <w:szCs w:val="24"/>
        <w:lang w:val="zh-CN"/>
      </w:rPr>
      <w:t>33</w:t>
    </w:r>
    <w:r w:rsidRPr="006D6800">
      <w:rPr>
        <w:rFonts w:ascii="Book Antiqua" w:hAnsi="Book Antiqua"/>
        <w:color w:val="000000" w:themeColor="text1"/>
        <w:sz w:val="24"/>
        <w:szCs w:val="24"/>
      </w:rPr>
      <w:fldChar w:fldCharType="end"/>
    </w:r>
    <w:r w:rsidRPr="006D6800">
      <w:rPr>
        <w:rFonts w:ascii="Book Antiqua" w:hAnsi="Book Antiqua"/>
        <w:color w:val="000000" w:themeColor="text1"/>
        <w:sz w:val="24"/>
        <w:szCs w:val="24"/>
        <w:lang w:val="zh-CN"/>
      </w:rPr>
      <w:t>/</w:t>
    </w:r>
    <w:r w:rsidRPr="006D6800">
      <w:rPr>
        <w:rFonts w:ascii="Book Antiqua" w:hAnsi="Book Antiqua"/>
        <w:color w:val="000000" w:themeColor="text1"/>
        <w:sz w:val="24"/>
        <w:szCs w:val="24"/>
      </w:rPr>
      <w:fldChar w:fldCharType="begin"/>
    </w:r>
    <w:r w:rsidRPr="006D6800">
      <w:rPr>
        <w:rFonts w:ascii="Book Antiqua" w:hAnsi="Book Antiqua"/>
        <w:color w:val="000000" w:themeColor="text1"/>
        <w:sz w:val="24"/>
        <w:szCs w:val="24"/>
      </w:rPr>
      <w:instrText>NUMPAGES  \* Arabic  \* MERGEFORMAT</w:instrText>
    </w:r>
    <w:r w:rsidRPr="006D6800">
      <w:rPr>
        <w:rFonts w:ascii="Book Antiqua" w:hAnsi="Book Antiqua"/>
        <w:color w:val="000000" w:themeColor="text1"/>
        <w:sz w:val="24"/>
        <w:szCs w:val="24"/>
      </w:rPr>
      <w:fldChar w:fldCharType="separate"/>
    </w:r>
    <w:r w:rsidR="0094427D" w:rsidRPr="0094427D">
      <w:rPr>
        <w:rFonts w:ascii="Book Antiqua" w:hAnsi="Book Antiqua"/>
        <w:noProof/>
        <w:color w:val="000000" w:themeColor="text1"/>
        <w:sz w:val="24"/>
        <w:szCs w:val="24"/>
        <w:lang w:val="zh-CN"/>
      </w:rPr>
      <w:t>33</w:t>
    </w:r>
    <w:r w:rsidRPr="006D6800">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530" w:rsidRDefault="00674530" w:rsidP="006D6800">
      <w:r>
        <w:separator/>
      </w:r>
    </w:p>
  </w:footnote>
  <w:footnote w:type="continuationSeparator" w:id="0">
    <w:p w:rsidR="00674530" w:rsidRDefault="00674530" w:rsidP="006D68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AB8BCD"/>
    <w:multiLevelType w:val="singleLevel"/>
    <w:tmpl w:val="81AB8BCD"/>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CCD"/>
    <w:rsid w:val="00003636"/>
    <w:rsid w:val="00083DDE"/>
    <w:rsid w:val="0014178F"/>
    <w:rsid w:val="00180C03"/>
    <w:rsid w:val="001C7E09"/>
    <w:rsid w:val="00281265"/>
    <w:rsid w:val="00386E8D"/>
    <w:rsid w:val="003C6FCE"/>
    <w:rsid w:val="004379AE"/>
    <w:rsid w:val="005027AB"/>
    <w:rsid w:val="00560946"/>
    <w:rsid w:val="005C38C9"/>
    <w:rsid w:val="00674530"/>
    <w:rsid w:val="006832E0"/>
    <w:rsid w:val="00686663"/>
    <w:rsid w:val="006D6800"/>
    <w:rsid w:val="006F58B1"/>
    <w:rsid w:val="00805CE3"/>
    <w:rsid w:val="00855F91"/>
    <w:rsid w:val="00902B80"/>
    <w:rsid w:val="00921C3E"/>
    <w:rsid w:val="0094427D"/>
    <w:rsid w:val="00947A3F"/>
    <w:rsid w:val="00A31B12"/>
    <w:rsid w:val="00AE0D53"/>
    <w:rsid w:val="00B27CCD"/>
    <w:rsid w:val="00B955FB"/>
    <w:rsid w:val="00BC26E3"/>
    <w:rsid w:val="00C36CC4"/>
    <w:rsid w:val="00D86F44"/>
    <w:rsid w:val="00DE2FD3"/>
    <w:rsid w:val="00E00496"/>
    <w:rsid w:val="00E06F65"/>
    <w:rsid w:val="00E615BC"/>
    <w:rsid w:val="00E9154E"/>
    <w:rsid w:val="00F61E93"/>
    <w:rsid w:val="00F64368"/>
    <w:rsid w:val="16996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table" w:styleId="a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annotation text"/>
    <w:basedOn w:val="a"/>
    <w:link w:val="Char"/>
    <w:rsid w:val="00281265"/>
    <w:pPr>
      <w:widowControl/>
      <w:suppressAutoHyphens/>
      <w:spacing w:before="120" w:after="120"/>
      <w:jc w:val="left"/>
    </w:pPr>
    <w:rPr>
      <w:rFonts w:ascii="Calibri" w:eastAsia="Calibri" w:hAnsi="Calibri" w:cs="Calibri"/>
      <w:kern w:val="0"/>
      <w:sz w:val="22"/>
      <w:szCs w:val="22"/>
      <w:lang w:eastAsia="ar-SA"/>
    </w:rPr>
  </w:style>
  <w:style w:type="character" w:customStyle="1" w:styleId="a6">
    <w:name w:val="批注文字 字符"/>
    <w:basedOn w:val="a0"/>
    <w:rsid w:val="00281265"/>
    <w:rPr>
      <w:rFonts w:asciiTheme="minorHAnsi" w:eastAsiaTheme="minorEastAsia" w:hAnsiTheme="minorHAnsi" w:cstheme="minorBidi"/>
      <w:kern w:val="2"/>
      <w:sz w:val="21"/>
      <w:szCs w:val="24"/>
    </w:rPr>
  </w:style>
  <w:style w:type="character" w:customStyle="1" w:styleId="Char">
    <w:name w:val="批注文字 Char"/>
    <w:link w:val="a5"/>
    <w:rsid w:val="00281265"/>
    <w:rPr>
      <w:rFonts w:ascii="Calibri" w:eastAsia="Calibri" w:hAnsi="Calibri" w:cs="Calibri"/>
      <w:sz w:val="22"/>
      <w:szCs w:val="22"/>
      <w:lang w:eastAsia="ar-SA"/>
    </w:rPr>
  </w:style>
  <w:style w:type="paragraph" w:styleId="a7">
    <w:name w:val="header"/>
    <w:basedOn w:val="a"/>
    <w:link w:val="Char0"/>
    <w:rsid w:val="006D680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6D6800"/>
    <w:rPr>
      <w:rFonts w:asciiTheme="minorHAnsi" w:eastAsiaTheme="minorEastAsia" w:hAnsiTheme="minorHAnsi" w:cstheme="minorBidi"/>
      <w:kern w:val="2"/>
      <w:sz w:val="18"/>
      <w:szCs w:val="18"/>
    </w:rPr>
  </w:style>
  <w:style w:type="paragraph" w:styleId="a8">
    <w:name w:val="footer"/>
    <w:basedOn w:val="a"/>
    <w:link w:val="Char1"/>
    <w:uiPriority w:val="99"/>
    <w:rsid w:val="006D6800"/>
    <w:pPr>
      <w:tabs>
        <w:tab w:val="center" w:pos="4153"/>
        <w:tab w:val="right" w:pos="8306"/>
      </w:tabs>
      <w:snapToGrid w:val="0"/>
      <w:jc w:val="left"/>
    </w:pPr>
    <w:rPr>
      <w:sz w:val="18"/>
      <w:szCs w:val="18"/>
    </w:rPr>
  </w:style>
  <w:style w:type="character" w:customStyle="1" w:styleId="Char1">
    <w:name w:val="页脚 Char"/>
    <w:basedOn w:val="a0"/>
    <w:link w:val="a8"/>
    <w:uiPriority w:val="99"/>
    <w:rsid w:val="006D6800"/>
    <w:rPr>
      <w:rFonts w:asciiTheme="minorHAnsi" w:eastAsiaTheme="minorEastAsia" w:hAnsiTheme="minorHAnsi" w:cstheme="minorBidi"/>
      <w:kern w:val="2"/>
      <w:sz w:val="18"/>
      <w:szCs w:val="18"/>
    </w:rPr>
  </w:style>
  <w:style w:type="character" w:styleId="a9">
    <w:name w:val="Hyperlink"/>
    <w:basedOn w:val="a0"/>
    <w:rsid w:val="005C38C9"/>
    <w:rPr>
      <w:color w:val="0563C1" w:themeColor="hyperlink"/>
      <w:u w:val="single"/>
    </w:rPr>
  </w:style>
  <w:style w:type="character" w:styleId="aa">
    <w:name w:val="FollowedHyperlink"/>
    <w:basedOn w:val="a0"/>
    <w:rsid w:val="00805CE3"/>
    <w:rPr>
      <w:color w:val="954F72" w:themeColor="followedHyperlink"/>
      <w:u w:val="single"/>
    </w:rPr>
  </w:style>
  <w:style w:type="paragraph" w:styleId="ab">
    <w:name w:val="Balloon Text"/>
    <w:basedOn w:val="a"/>
    <w:link w:val="Char2"/>
    <w:rsid w:val="00E06F65"/>
    <w:rPr>
      <w:sz w:val="18"/>
      <w:szCs w:val="18"/>
    </w:rPr>
  </w:style>
  <w:style w:type="character" w:customStyle="1" w:styleId="Char2">
    <w:name w:val="批注框文本 Char"/>
    <w:basedOn w:val="a0"/>
    <w:link w:val="ab"/>
    <w:rsid w:val="00E06F65"/>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table" w:styleId="a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annotation text"/>
    <w:basedOn w:val="a"/>
    <w:link w:val="Char"/>
    <w:rsid w:val="00281265"/>
    <w:pPr>
      <w:widowControl/>
      <w:suppressAutoHyphens/>
      <w:spacing w:before="120" w:after="120"/>
      <w:jc w:val="left"/>
    </w:pPr>
    <w:rPr>
      <w:rFonts w:ascii="Calibri" w:eastAsia="Calibri" w:hAnsi="Calibri" w:cs="Calibri"/>
      <w:kern w:val="0"/>
      <w:sz w:val="22"/>
      <w:szCs w:val="22"/>
      <w:lang w:eastAsia="ar-SA"/>
    </w:rPr>
  </w:style>
  <w:style w:type="character" w:customStyle="1" w:styleId="a6">
    <w:name w:val="批注文字 字符"/>
    <w:basedOn w:val="a0"/>
    <w:rsid w:val="00281265"/>
    <w:rPr>
      <w:rFonts w:asciiTheme="minorHAnsi" w:eastAsiaTheme="minorEastAsia" w:hAnsiTheme="minorHAnsi" w:cstheme="minorBidi"/>
      <w:kern w:val="2"/>
      <w:sz w:val="21"/>
      <w:szCs w:val="24"/>
    </w:rPr>
  </w:style>
  <w:style w:type="character" w:customStyle="1" w:styleId="Char">
    <w:name w:val="批注文字 Char"/>
    <w:link w:val="a5"/>
    <w:rsid w:val="00281265"/>
    <w:rPr>
      <w:rFonts w:ascii="Calibri" w:eastAsia="Calibri" w:hAnsi="Calibri" w:cs="Calibri"/>
      <w:sz w:val="22"/>
      <w:szCs w:val="22"/>
      <w:lang w:eastAsia="ar-SA"/>
    </w:rPr>
  </w:style>
  <w:style w:type="paragraph" w:styleId="a7">
    <w:name w:val="header"/>
    <w:basedOn w:val="a"/>
    <w:link w:val="Char0"/>
    <w:rsid w:val="006D680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6D6800"/>
    <w:rPr>
      <w:rFonts w:asciiTheme="minorHAnsi" w:eastAsiaTheme="minorEastAsia" w:hAnsiTheme="minorHAnsi" w:cstheme="minorBidi"/>
      <w:kern w:val="2"/>
      <w:sz w:val="18"/>
      <w:szCs w:val="18"/>
    </w:rPr>
  </w:style>
  <w:style w:type="paragraph" w:styleId="a8">
    <w:name w:val="footer"/>
    <w:basedOn w:val="a"/>
    <w:link w:val="Char1"/>
    <w:uiPriority w:val="99"/>
    <w:rsid w:val="006D6800"/>
    <w:pPr>
      <w:tabs>
        <w:tab w:val="center" w:pos="4153"/>
        <w:tab w:val="right" w:pos="8306"/>
      </w:tabs>
      <w:snapToGrid w:val="0"/>
      <w:jc w:val="left"/>
    </w:pPr>
    <w:rPr>
      <w:sz w:val="18"/>
      <w:szCs w:val="18"/>
    </w:rPr>
  </w:style>
  <w:style w:type="character" w:customStyle="1" w:styleId="Char1">
    <w:name w:val="页脚 Char"/>
    <w:basedOn w:val="a0"/>
    <w:link w:val="a8"/>
    <w:uiPriority w:val="99"/>
    <w:rsid w:val="006D6800"/>
    <w:rPr>
      <w:rFonts w:asciiTheme="minorHAnsi" w:eastAsiaTheme="minorEastAsia" w:hAnsiTheme="minorHAnsi" w:cstheme="minorBidi"/>
      <w:kern w:val="2"/>
      <w:sz w:val="18"/>
      <w:szCs w:val="18"/>
    </w:rPr>
  </w:style>
  <w:style w:type="character" w:styleId="a9">
    <w:name w:val="Hyperlink"/>
    <w:basedOn w:val="a0"/>
    <w:rsid w:val="005C38C9"/>
    <w:rPr>
      <w:color w:val="0563C1" w:themeColor="hyperlink"/>
      <w:u w:val="single"/>
    </w:rPr>
  </w:style>
  <w:style w:type="character" w:styleId="aa">
    <w:name w:val="FollowedHyperlink"/>
    <w:basedOn w:val="a0"/>
    <w:rsid w:val="00805CE3"/>
    <w:rPr>
      <w:color w:val="954F72" w:themeColor="followedHyperlink"/>
      <w:u w:val="single"/>
    </w:rPr>
  </w:style>
  <w:style w:type="paragraph" w:styleId="ab">
    <w:name w:val="Balloon Text"/>
    <w:basedOn w:val="a"/>
    <w:link w:val="Char2"/>
    <w:rsid w:val="00E06F65"/>
    <w:rPr>
      <w:sz w:val="18"/>
      <w:szCs w:val="18"/>
    </w:rPr>
  </w:style>
  <w:style w:type="character" w:customStyle="1" w:styleId="Char2">
    <w:name w:val="批注框文本 Char"/>
    <w:basedOn w:val="a0"/>
    <w:link w:val="ab"/>
    <w:rsid w:val="00E06F65"/>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001105">
      <w:bodyDiv w:val="1"/>
      <w:marLeft w:val="0"/>
      <w:marRight w:val="0"/>
      <w:marTop w:val="0"/>
      <w:marBottom w:val="0"/>
      <w:divBdr>
        <w:top w:val="none" w:sz="0" w:space="0" w:color="auto"/>
        <w:left w:val="none" w:sz="0" w:space="0" w:color="auto"/>
        <w:bottom w:val="none" w:sz="0" w:space="0" w:color="auto"/>
        <w:right w:val="none" w:sz="0" w:space="0" w:color="auto"/>
      </w:divBdr>
    </w:div>
    <w:div w:id="1010135060">
      <w:bodyDiv w:val="1"/>
      <w:marLeft w:val="0"/>
      <w:marRight w:val="0"/>
      <w:marTop w:val="0"/>
      <w:marBottom w:val="0"/>
      <w:divBdr>
        <w:top w:val="none" w:sz="0" w:space="0" w:color="auto"/>
        <w:left w:val="none" w:sz="0" w:space="0" w:color="auto"/>
        <w:bottom w:val="none" w:sz="0" w:space="0" w:color="auto"/>
        <w:right w:val="none" w:sz="0" w:space="0" w:color="auto"/>
      </w:divBdr>
    </w:div>
    <w:div w:id="1693610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33</Pages>
  <Words>9038</Words>
  <Characters>51520</Characters>
  <Application>Microsoft Office Word</Application>
  <DocSecurity>0</DocSecurity>
  <Lines>429</Lines>
  <Paragraphs>120</Paragraphs>
  <ScaleCrop>false</ScaleCrop>
  <Company/>
  <LinksUpToDate>false</LinksUpToDate>
  <CharactersWithSpaces>60438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zmy</dc:creator>
  <cp:lastModifiedBy>xiang li</cp:lastModifiedBy>
  <cp:revision>10</cp:revision>
  <dcterms:created xsi:type="dcterms:W3CDTF">2020-06-17T18:54:00Z</dcterms:created>
  <dcterms:modified xsi:type="dcterms:W3CDTF">2020-07-14T09:25:00Z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