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7C" w:rsidRDefault="00D55AAA">
      <w:pPr>
        <w:spacing w:after="0" w:line="360" w:lineRule="auto"/>
        <w:jc w:val="both"/>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Name of Journal: </w:t>
      </w:r>
      <w:r>
        <w:rPr>
          <w:rFonts w:ascii="Book Antiqua" w:hAnsi="Book Antiqua" w:cs="Arial"/>
          <w:i/>
          <w:color w:val="000000" w:themeColor="text1"/>
          <w:sz w:val="24"/>
          <w:szCs w:val="24"/>
          <w:shd w:val="clear" w:color="auto" w:fill="FFFFFF"/>
        </w:rPr>
        <w:t>World Journal of Clinical Cases</w:t>
      </w:r>
    </w:p>
    <w:p w:rsidR="005D4C7C" w:rsidRDefault="00D55AAA">
      <w:pPr>
        <w:spacing w:after="0" w:line="360" w:lineRule="auto"/>
        <w:jc w:val="both"/>
        <w:rPr>
          <w:rFonts w:ascii="Book Antiqua" w:eastAsiaTheme="minorEastAsi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Manuscript NO: </w:t>
      </w:r>
      <w:r>
        <w:rPr>
          <w:rFonts w:ascii="Book Antiqua" w:eastAsiaTheme="minorEastAsia" w:hAnsi="Book Antiqua" w:cs="Arial"/>
          <w:color w:val="000000" w:themeColor="text1"/>
          <w:sz w:val="24"/>
          <w:szCs w:val="24"/>
          <w:shd w:val="clear" w:color="auto" w:fill="FFFFFF"/>
        </w:rPr>
        <w:t>54108</w:t>
      </w:r>
    </w:p>
    <w:p w:rsidR="005D4C7C" w:rsidRDefault="00D55AAA">
      <w:pPr>
        <w:spacing w:after="0" w:line="360" w:lineRule="auto"/>
        <w:jc w:val="both"/>
        <w:rPr>
          <w:rFonts w:ascii="Book Antiqua" w:eastAsia="幼圆" w:hAnsi="Book Antiqua"/>
          <w:color w:val="000000" w:themeColor="text1"/>
          <w:sz w:val="24"/>
          <w:szCs w:val="24"/>
        </w:rPr>
      </w:pPr>
      <w:bookmarkStart w:id="0" w:name="OLE_LINK3"/>
      <w:bookmarkStart w:id="1" w:name="OLE_LINK4"/>
      <w:r>
        <w:rPr>
          <w:rFonts w:ascii="Book Antiqua" w:hAnsi="Book Antiqua"/>
          <w:b/>
          <w:color w:val="000000" w:themeColor="text1"/>
          <w:sz w:val="24"/>
          <w:szCs w:val="24"/>
          <w:shd w:val="clear" w:color="auto" w:fill="FFFFFF"/>
        </w:rPr>
        <w:t>Manuscript Type</w:t>
      </w:r>
      <w:r>
        <w:rPr>
          <w:rFonts w:ascii="Book Antiqua" w:hAnsi="Book Antiqua"/>
          <w:b/>
          <w:color w:val="000000" w:themeColor="text1"/>
          <w:sz w:val="24"/>
          <w:szCs w:val="24"/>
        </w:rPr>
        <w:t>:</w:t>
      </w:r>
      <w:bookmarkEnd w:id="0"/>
      <w:bookmarkEnd w:id="1"/>
      <w:r>
        <w:rPr>
          <w:rFonts w:ascii="Book Antiqua" w:eastAsiaTheme="minorEastAsia" w:hAnsi="Book Antiqua" w:cs="Arial"/>
          <w:b/>
          <w:color w:val="000000" w:themeColor="text1"/>
          <w:sz w:val="24"/>
          <w:szCs w:val="24"/>
          <w:shd w:val="clear" w:color="auto" w:fill="FFFFFF"/>
        </w:rPr>
        <w:t xml:space="preserve"> </w:t>
      </w:r>
      <w:r>
        <w:rPr>
          <w:rFonts w:ascii="Book Antiqua" w:hAnsi="Book Antiqua"/>
          <w:color w:val="000000" w:themeColor="text1"/>
          <w:sz w:val="24"/>
          <w:szCs w:val="24"/>
        </w:rPr>
        <w:t>ORIGINAL ARTICLE</w:t>
      </w:r>
    </w:p>
    <w:p w:rsidR="005D4C7C" w:rsidRDefault="005D4C7C">
      <w:pPr>
        <w:spacing w:after="0" w:line="360" w:lineRule="auto"/>
        <w:jc w:val="both"/>
        <w:rPr>
          <w:rFonts w:ascii="Book Antiqua" w:eastAsia="幼圆" w:hAnsi="Book Antiqua"/>
          <w:b/>
          <w:i/>
          <w:color w:val="000000" w:themeColor="text1"/>
          <w:sz w:val="24"/>
          <w:szCs w:val="24"/>
        </w:rPr>
      </w:pPr>
    </w:p>
    <w:p w:rsidR="005D4C7C" w:rsidRDefault="00D55AAA">
      <w:pPr>
        <w:spacing w:after="0" w:line="360" w:lineRule="auto"/>
        <w:jc w:val="both"/>
        <w:rPr>
          <w:rFonts w:ascii="Book Antiqua" w:eastAsia="幼圆" w:hAnsi="Book Antiqua"/>
          <w:b/>
          <w:i/>
          <w:color w:val="000000" w:themeColor="text1"/>
          <w:sz w:val="24"/>
          <w:szCs w:val="24"/>
        </w:rPr>
      </w:pPr>
      <w:r>
        <w:rPr>
          <w:rFonts w:ascii="Book Antiqua" w:eastAsia="幼圆" w:hAnsi="Book Antiqua"/>
          <w:b/>
          <w:i/>
          <w:color w:val="000000" w:themeColor="text1"/>
          <w:sz w:val="24"/>
          <w:szCs w:val="24"/>
        </w:rPr>
        <w:t>Retrospective Study</w:t>
      </w:r>
    </w:p>
    <w:p w:rsidR="005D4C7C" w:rsidRDefault="00D55AAA">
      <w:pPr>
        <w:widowControl w:val="0"/>
        <w:spacing w:after="0" w:line="360" w:lineRule="auto"/>
        <w:jc w:val="both"/>
        <w:rPr>
          <w:rFonts w:ascii="Book Antiqua" w:eastAsia="等线" w:hAnsi="Book Antiqua" w:cs="Times New Roman"/>
          <w:b/>
          <w:bCs/>
          <w:color w:val="000000" w:themeColor="text1"/>
          <w:kern w:val="2"/>
          <w:sz w:val="24"/>
          <w:szCs w:val="24"/>
        </w:rPr>
      </w:pPr>
      <w:r>
        <w:rPr>
          <w:rFonts w:ascii="Book Antiqua" w:eastAsia="等线" w:hAnsi="Book Antiqua" w:cs="Times New Roman" w:hint="eastAsia"/>
          <w:b/>
          <w:bCs/>
          <w:color w:val="000000" w:themeColor="text1"/>
          <w:kern w:val="2"/>
          <w:sz w:val="24"/>
          <w:szCs w:val="24"/>
        </w:rPr>
        <w:t>Comparison</w:t>
      </w:r>
      <w:r>
        <w:rPr>
          <w:rFonts w:ascii="Book Antiqua" w:eastAsia="等线" w:hAnsi="Book Antiqua" w:cs="Times New Roman"/>
          <w:b/>
          <w:bCs/>
          <w:color w:val="000000" w:themeColor="text1"/>
          <w:kern w:val="2"/>
          <w:sz w:val="24"/>
          <w:szCs w:val="24"/>
        </w:rPr>
        <w:t xml:space="preserve"> of </w:t>
      </w:r>
      <w:r>
        <w:rPr>
          <w:rFonts w:ascii="Book Antiqua" w:eastAsia="等线" w:hAnsi="Book Antiqua" w:cs="Times New Roman" w:hint="eastAsia"/>
          <w:b/>
          <w:bCs/>
          <w:color w:val="000000" w:themeColor="text1"/>
          <w:kern w:val="2"/>
          <w:sz w:val="24"/>
          <w:szCs w:val="24"/>
        </w:rPr>
        <w:t>microendoscopic discectomy</w:t>
      </w:r>
      <w:r>
        <w:rPr>
          <w:rFonts w:ascii="Book Antiqua" w:eastAsia="等线" w:hAnsi="Book Antiqua" w:cs="Times New Roman"/>
          <w:b/>
          <w:bCs/>
          <w:color w:val="000000" w:themeColor="text1"/>
          <w:kern w:val="2"/>
          <w:sz w:val="24"/>
          <w:szCs w:val="24"/>
        </w:rPr>
        <w:t xml:space="preserve"> and </w:t>
      </w:r>
      <w:r>
        <w:rPr>
          <w:rFonts w:ascii="Book Antiqua" w:eastAsia="等线" w:hAnsi="Book Antiqua" w:cs="Times New Roman" w:hint="eastAsia"/>
          <w:b/>
          <w:bCs/>
          <w:color w:val="000000" w:themeColor="text1"/>
          <w:kern w:val="2"/>
          <w:sz w:val="24"/>
          <w:szCs w:val="24"/>
        </w:rPr>
        <w:t>open discectomy</w:t>
      </w:r>
      <w:r>
        <w:rPr>
          <w:rFonts w:ascii="Book Antiqua" w:eastAsia="等线" w:hAnsi="Book Antiqua" w:cs="Times New Roman"/>
          <w:b/>
          <w:bCs/>
          <w:color w:val="000000" w:themeColor="text1"/>
          <w:kern w:val="2"/>
          <w:sz w:val="24"/>
          <w:szCs w:val="24"/>
        </w:rPr>
        <w:t xml:space="preserve"> for single-segment lumbar disc herniation</w:t>
      </w:r>
    </w:p>
    <w:p w:rsidR="005D4C7C" w:rsidRDefault="005D4C7C">
      <w:pPr>
        <w:widowControl w:val="0"/>
        <w:spacing w:after="0" w:line="360" w:lineRule="auto"/>
        <w:jc w:val="both"/>
        <w:rPr>
          <w:rFonts w:ascii="Book Antiqua" w:eastAsia="等线" w:hAnsi="Book Antiqua" w:cs="Times New Roman"/>
          <w:bCs/>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bCs/>
          <w:color w:val="000000" w:themeColor="text1"/>
          <w:kern w:val="2"/>
          <w:sz w:val="24"/>
          <w:szCs w:val="24"/>
        </w:rPr>
      </w:pPr>
      <w:r>
        <w:rPr>
          <w:rFonts w:ascii="Book Antiqua" w:eastAsia="等线" w:hAnsi="Book Antiqua" w:cs="Times New Roman"/>
          <w:bCs/>
          <w:color w:val="000000" w:themeColor="text1"/>
          <w:kern w:val="2"/>
          <w:sz w:val="24"/>
          <w:szCs w:val="24"/>
        </w:rPr>
        <w:t xml:space="preserve">Pang JY </w:t>
      </w:r>
      <w:r>
        <w:rPr>
          <w:rFonts w:ascii="Book Antiqua" w:eastAsia="等线" w:hAnsi="Book Antiqua" w:cs="Times New Roman"/>
          <w:bCs/>
          <w:i/>
          <w:color w:val="000000" w:themeColor="text1"/>
          <w:kern w:val="2"/>
          <w:sz w:val="24"/>
          <w:szCs w:val="24"/>
        </w:rPr>
        <w:t>et al</w:t>
      </w:r>
      <w:r>
        <w:rPr>
          <w:rFonts w:ascii="Book Antiqua" w:eastAsia="等线" w:hAnsi="Book Antiqua" w:cs="Times New Roman"/>
          <w:bCs/>
          <w:color w:val="000000" w:themeColor="text1"/>
          <w:kern w:val="2"/>
          <w:sz w:val="24"/>
          <w:szCs w:val="24"/>
        </w:rPr>
        <w:t xml:space="preserve">. </w:t>
      </w:r>
      <w:r w:rsidR="00012585">
        <w:rPr>
          <w:rFonts w:ascii="Book Antiqua" w:eastAsia="等线" w:hAnsi="Book Antiqua" w:cs="Times New Roman"/>
          <w:bCs/>
          <w:color w:val="000000" w:themeColor="text1"/>
          <w:kern w:val="2"/>
          <w:sz w:val="24"/>
          <w:szCs w:val="24"/>
        </w:rPr>
        <w:t xml:space="preserve">Microendoscopic </w:t>
      </w:r>
      <w:r>
        <w:rPr>
          <w:rFonts w:ascii="Book Antiqua" w:eastAsia="等线" w:hAnsi="Book Antiqua" w:cs="Times New Roman" w:hint="eastAsia"/>
          <w:bCs/>
          <w:color w:val="000000" w:themeColor="text1"/>
          <w:kern w:val="2"/>
          <w:sz w:val="24"/>
          <w:szCs w:val="24"/>
        </w:rPr>
        <w:t>discectomy</w:t>
      </w:r>
      <w:r>
        <w:rPr>
          <w:rFonts w:ascii="Book Antiqua" w:eastAsia="等线" w:hAnsi="Book Antiqua" w:cs="Times New Roman"/>
          <w:bCs/>
          <w:color w:val="000000" w:themeColor="text1"/>
          <w:kern w:val="2"/>
          <w:sz w:val="24"/>
          <w:szCs w:val="24"/>
        </w:rPr>
        <w:t xml:space="preserve"> and </w:t>
      </w:r>
      <w:r>
        <w:rPr>
          <w:rFonts w:ascii="Book Antiqua" w:eastAsia="等线" w:hAnsi="Book Antiqua" w:cs="Times New Roman" w:hint="eastAsia"/>
          <w:bCs/>
          <w:color w:val="000000" w:themeColor="text1"/>
          <w:kern w:val="2"/>
          <w:sz w:val="24"/>
          <w:szCs w:val="24"/>
        </w:rPr>
        <w:t>open discectomy</w:t>
      </w:r>
      <w:r>
        <w:rPr>
          <w:rFonts w:ascii="Book Antiqua" w:eastAsia="等线" w:hAnsi="Book Antiqua" w:cs="Times New Roman"/>
          <w:bCs/>
          <w:color w:val="000000" w:themeColor="text1"/>
          <w:kern w:val="2"/>
          <w:sz w:val="24"/>
          <w:szCs w:val="24"/>
        </w:rPr>
        <w:t xml:space="preserve"> for single-segment lumbar disc herniation</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bCs/>
          <w:color w:val="000000" w:themeColor="text1"/>
          <w:kern w:val="2"/>
          <w:sz w:val="24"/>
          <w:szCs w:val="24"/>
        </w:rPr>
      </w:pPr>
      <w:r>
        <w:rPr>
          <w:rFonts w:ascii="Book Antiqua" w:eastAsia="等线" w:hAnsi="Book Antiqua" w:cs="Times New Roman"/>
          <w:bCs/>
          <w:color w:val="000000" w:themeColor="text1"/>
          <w:kern w:val="2"/>
          <w:sz w:val="24"/>
          <w:szCs w:val="24"/>
        </w:rPr>
        <w:t>Jiu-Ya Pang, Fei Tan, Wei-Wei Chen, Cui-Hua Li, Shu-Ping Dou, Jing-Ran Guo, Li-Ying Zhao</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 xml:space="preserve">Jiu-Ya Pang, </w:t>
      </w:r>
      <w:r>
        <w:rPr>
          <w:rFonts w:ascii="Book Antiqua" w:eastAsia="等线" w:hAnsi="Book Antiqua" w:cs="Times New Roman"/>
          <w:color w:val="000000" w:themeColor="text1"/>
          <w:kern w:val="2"/>
          <w:sz w:val="24"/>
          <w:szCs w:val="24"/>
        </w:rPr>
        <w:t>Department of Traumatology, The Second Hospital of Tangshan, Tangshan 0630000, Hebei Province,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bCs/>
          <w:color w:val="000000" w:themeColor="text1"/>
          <w:kern w:val="2"/>
          <w:sz w:val="24"/>
          <w:szCs w:val="24"/>
        </w:rPr>
        <w:t>Fei Tan,</w:t>
      </w:r>
      <w:r>
        <w:rPr>
          <w:rFonts w:ascii="Book Antiqua" w:eastAsia="等线" w:hAnsi="Book Antiqua" w:cs="Times New Roman"/>
          <w:bCs/>
          <w:color w:val="000000" w:themeColor="text1"/>
          <w:kern w:val="2"/>
          <w:sz w:val="24"/>
          <w:szCs w:val="24"/>
        </w:rPr>
        <w:t xml:space="preserve"> </w:t>
      </w:r>
      <w:r>
        <w:rPr>
          <w:rFonts w:ascii="Book Antiqua" w:eastAsia="等线" w:hAnsi="Book Antiqua" w:cs="Times New Roman"/>
          <w:b/>
          <w:color w:val="000000" w:themeColor="text1"/>
          <w:kern w:val="2"/>
          <w:sz w:val="24"/>
          <w:szCs w:val="24"/>
        </w:rPr>
        <w:t xml:space="preserve">Wei-Wei Chen, </w:t>
      </w:r>
      <w:r>
        <w:rPr>
          <w:rFonts w:ascii="Book Antiqua" w:eastAsia="等线" w:hAnsi="Book Antiqua" w:cs="Times New Roman"/>
          <w:bCs/>
          <w:color w:val="000000" w:themeColor="text1"/>
          <w:kern w:val="2"/>
          <w:sz w:val="24"/>
          <w:szCs w:val="24"/>
        </w:rPr>
        <w:t xml:space="preserve">Intensive Care Unit,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 xml:space="preserve">Cui-Hua Li, </w:t>
      </w:r>
      <w:r>
        <w:rPr>
          <w:rFonts w:ascii="Book Antiqua" w:eastAsia="等线" w:hAnsi="Book Antiqua" w:cs="Times New Roman"/>
          <w:color w:val="000000" w:themeColor="text1"/>
          <w:kern w:val="2"/>
          <w:sz w:val="24"/>
          <w:szCs w:val="24"/>
        </w:rPr>
        <w:t>Department of Nursing</w:t>
      </w:r>
      <w:r>
        <w:rPr>
          <w:rFonts w:ascii="Book Antiqua" w:eastAsia="等线" w:hAnsi="Book Antiqua" w:cs="Times New Roman"/>
          <w:bCs/>
          <w:color w:val="000000" w:themeColor="text1"/>
          <w:kern w:val="2"/>
          <w:sz w:val="24"/>
          <w:szCs w:val="24"/>
        </w:rPr>
        <w:t xml:space="preserve">,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 xml:space="preserve">Shu-Ping Dou, </w:t>
      </w:r>
      <w:r>
        <w:rPr>
          <w:rFonts w:ascii="Book Antiqua" w:eastAsia="等线" w:hAnsi="Book Antiqua" w:cs="Times New Roman"/>
          <w:color w:val="000000" w:themeColor="text1"/>
          <w:kern w:val="2"/>
          <w:sz w:val="24"/>
          <w:szCs w:val="24"/>
        </w:rPr>
        <w:t>Department of Hand Surgery,</w:t>
      </w:r>
      <w:r>
        <w:rPr>
          <w:rFonts w:ascii="Book Antiqua" w:eastAsia="等线" w:hAnsi="Book Antiqua" w:cs="Times New Roman"/>
          <w:bCs/>
          <w:color w:val="000000" w:themeColor="text1"/>
          <w:kern w:val="2"/>
          <w:sz w:val="24"/>
          <w:szCs w:val="24"/>
        </w:rPr>
        <w:t xml:space="preserve">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 xml:space="preserve">Jing-Ran Guo, </w:t>
      </w:r>
      <w:r>
        <w:rPr>
          <w:rFonts w:ascii="Book Antiqua" w:eastAsia="等线" w:hAnsi="Book Antiqua" w:cs="Times New Roman"/>
          <w:color w:val="000000" w:themeColor="text1"/>
          <w:kern w:val="2"/>
          <w:sz w:val="24"/>
          <w:szCs w:val="24"/>
        </w:rPr>
        <w:t>Department of Spinal Surgery,</w:t>
      </w:r>
      <w:r>
        <w:rPr>
          <w:rFonts w:ascii="Book Antiqua" w:eastAsia="等线" w:hAnsi="Book Antiqua" w:cs="Times New Roman"/>
          <w:bCs/>
          <w:color w:val="000000" w:themeColor="text1"/>
          <w:kern w:val="2"/>
          <w:sz w:val="24"/>
          <w:szCs w:val="24"/>
        </w:rPr>
        <w:t xml:space="preserve">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Li-Ying Zhao,</w:t>
      </w:r>
      <w:r>
        <w:rPr>
          <w:rFonts w:ascii="Book Antiqua" w:eastAsia="等线" w:hAnsi="Book Antiqua" w:cs="Times New Roman"/>
          <w:color w:val="000000" w:themeColor="text1"/>
          <w:kern w:val="2"/>
          <w:sz w:val="24"/>
          <w:szCs w:val="24"/>
        </w:rPr>
        <w:t xml:space="preserve"> Hospital Office, The Second Hospital of Tangshan, Tangshan 0630000, Hebei Province, China</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Author contributions:</w:t>
      </w:r>
      <w:bookmarkStart w:id="2" w:name="_Hlk534109132"/>
      <w:r>
        <w:rPr>
          <w:rFonts w:ascii="Book Antiqua" w:eastAsia="等线" w:hAnsi="Book Antiqua" w:cs="Times New Roman"/>
          <w:b/>
          <w:color w:val="000000" w:themeColor="text1"/>
          <w:kern w:val="2"/>
          <w:sz w:val="24"/>
          <w:szCs w:val="24"/>
        </w:rPr>
        <w:t xml:space="preserve"> </w:t>
      </w:r>
      <w:bookmarkEnd w:id="2"/>
      <w:r>
        <w:rPr>
          <w:rFonts w:ascii="Book Antiqua" w:eastAsia="等线" w:hAnsi="Book Antiqua" w:cs="Times New Roman"/>
          <w:bCs/>
          <w:color w:val="000000" w:themeColor="text1"/>
          <w:kern w:val="2"/>
          <w:sz w:val="24"/>
          <w:szCs w:val="24"/>
        </w:rPr>
        <w:t>Pang</w:t>
      </w:r>
      <w:r>
        <w:rPr>
          <w:rFonts w:ascii="Book Antiqua" w:eastAsia="等线" w:hAnsi="Book Antiqua" w:cs="Times New Roman"/>
          <w:color w:val="000000" w:themeColor="text1"/>
          <w:kern w:val="2"/>
          <w:sz w:val="24"/>
          <w:szCs w:val="24"/>
        </w:rPr>
        <w:t xml:space="preserve"> JY and </w:t>
      </w:r>
      <w:r>
        <w:rPr>
          <w:rFonts w:ascii="Book Antiqua" w:eastAsia="等线" w:hAnsi="Book Antiqua" w:cs="Times New Roman"/>
          <w:bCs/>
          <w:color w:val="000000" w:themeColor="text1"/>
          <w:kern w:val="2"/>
          <w:sz w:val="24"/>
          <w:szCs w:val="24"/>
        </w:rPr>
        <w:t xml:space="preserve">Tan F </w:t>
      </w:r>
      <w:r>
        <w:rPr>
          <w:rFonts w:ascii="Book Antiqua" w:eastAsia="等线" w:hAnsi="Book Antiqua" w:cs="Times New Roman"/>
          <w:color w:val="000000" w:themeColor="text1"/>
          <w:kern w:val="2"/>
          <w:sz w:val="24"/>
          <w:szCs w:val="24"/>
        </w:rPr>
        <w:t>contributed equally to this article and should be considered as co-first authors</w:t>
      </w:r>
      <w:r>
        <w:rPr>
          <w:rFonts w:ascii="Book Antiqua" w:eastAsia="等线" w:hAnsi="Book Antiqua" w:cs="Times New Roman"/>
          <w:bCs/>
          <w:color w:val="000000" w:themeColor="text1"/>
          <w:kern w:val="2"/>
          <w:sz w:val="24"/>
          <w:szCs w:val="24"/>
        </w:rPr>
        <w:t>;</w:t>
      </w:r>
      <w:r>
        <w:rPr>
          <w:rFonts w:ascii="Book Antiqua" w:eastAsia="等线" w:hAnsi="Book Antiqua" w:cs="Times New Roman"/>
          <w:color w:val="000000" w:themeColor="text1"/>
          <w:kern w:val="2"/>
          <w:sz w:val="24"/>
          <w:szCs w:val="24"/>
        </w:rPr>
        <w:t xml:space="preserve"> Pang JY, Tan F, and Zhao LY designed this study; </w:t>
      </w:r>
      <w:r>
        <w:rPr>
          <w:rFonts w:ascii="Book Antiqua" w:eastAsia="等线" w:hAnsi="Book Antiqua" w:cs="Times New Roman"/>
          <w:bCs/>
          <w:color w:val="000000" w:themeColor="text1"/>
          <w:kern w:val="2"/>
          <w:sz w:val="24"/>
          <w:szCs w:val="24"/>
        </w:rPr>
        <w:t>Chen WW</w:t>
      </w:r>
      <w:r>
        <w:rPr>
          <w:rFonts w:ascii="Book Antiqua" w:eastAsia="等线" w:hAnsi="Book Antiqua" w:cs="Times New Roman"/>
          <w:color w:val="000000" w:themeColor="text1"/>
          <w:kern w:val="2"/>
          <w:sz w:val="24"/>
          <w:szCs w:val="24"/>
        </w:rPr>
        <w:t xml:space="preserve"> drafted the work and collected the data; </w:t>
      </w:r>
      <w:r>
        <w:rPr>
          <w:rFonts w:ascii="Book Antiqua" w:eastAsia="等线" w:hAnsi="Book Antiqua" w:cs="Times New Roman"/>
          <w:bCs/>
          <w:color w:val="000000" w:themeColor="text1"/>
          <w:kern w:val="2"/>
          <w:sz w:val="24"/>
          <w:szCs w:val="24"/>
        </w:rPr>
        <w:t>Tan F, Li</w:t>
      </w:r>
      <w:r>
        <w:rPr>
          <w:rFonts w:ascii="Book Antiqua" w:eastAsia="等线" w:hAnsi="Book Antiqua" w:cs="Times New Roman"/>
          <w:color w:val="000000" w:themeColor="text1"/>
          <w:kern w:val="2"/>
          <w:sz w:val="24"/>
          <w:szCs w:val="24"/>
        </w:rPr>
        <w:t xml:space="preserve"> CH, </w:t>
      </w:r>
      <w:r>
        <w:rPr>
          <w:rFonts w:ascii="Book Antiqua" w:eastAsia="等线" w:hAnsi="Book Antiqua" w:cs="Times New Roman"/>
          <w:bCs/>
          <w:color w:val="000000" w:themeColor="text1"/>
          <w:kern w:val="2"/>
          <w:sz w:val="24"/>
          <w:szCs w:val="24"/>
        </w:rPr>
        <w:t xml:space="preserve">Dou SP, </w:t>
      </w:r>
      <w:r>
        <w:rPr>
          <w:rFonts w:ascii="Book Antiqua" w:eastAsia="等线" w:hAnsi="Book Antiqua" w:cs="Times New Roman"/>
          <w:color w:val="000000" w:themeColor="text1"/>
          <w:kern w:val="2"/>
          <w:sz w:val="24"/>
          <w:szCs w:val="24"/>
        </w:rPr>
        <w:t xml:space="preserve">and </w:t>
      </w:r>
      <w:r>
        <w:rPr>
          <w:rFonts w:ascii="Book Antiqua" w:eastAsia="等线" w:hAnsi="Book Antiqua" w:cs="Times New Roman"/>
          <w:bCs/>
          <w:color w:val="000000" w:themeColor="text1"/>
          <w:kern w:val="2"/>
          <w:sz w:val="24"/>
          <w:szCs w:val="24"/>
        </w:rPr>
        <w:t>Guo JR analyzed and interpreted the data and wrote the article.</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bCs/>
          <w:color w:val="000000" w:themeColor="text1"/>
          <w:kern w:val="2"/>
          <w:sz w:val="24"/>
          <w:szCs w:val="24"/>
        </w:rPr>
      </w:pPr>
      <w:bookmarkStart w:id="3" w:name="_Hlk27346423"/>
      <w:r>
        <w:rPr>
          <w:rFonts w:ascii="Book Antiqua" w:hAnsi="Book Antiqua"/>
          <w:b/>
          <w:color w:val="000000" w:themeColor="text1"/>
          <w:sz w:val="24"/>
          <w:szCs w:val="24"/>
        </w:rPr>
        <w:t xml:space="preserve">Corresponding author: </w:t>
      </w:r>
      <w:r>
        <w:rPr>
          <w:rFonts w:ascii="Book Antiqua" w:eastAsia="等线" w:hAnsi="Book Antiqua" w:cs="Times New Roman"/>
          <w:b/>
          <w:color w:val="000000" w:themeColor="text1"/>
          <w:kern w:val="2"/>
          <w:sz w:val="24"/>
          <w:szCs w:val="24"/>
        </w:rPr>
        <w:t xml:space="preserve">Cui-Hua Li, MNurs, Associate Chief Nurse, </w:t>
      </w:r>
      <w:bookmarkEnd w:id="3"/>
      <w:r>
        <w:rPr>
          <w:rFonts w:ascii="Book Antiqua" w:eastAsia="等线" w:hAnsi="Book Antiqua" w:cs="Times New Roman"/>
          <w:color w:val="000000" w:themeColor="text1"/>
          <w:kern w:val="2"/>
          <w:sz w:val="24"/>
          <w:szCs w:val="24"/>
        </w:rPr>
        <w:t>Department of Nursing</w:t>
      </w:r>
      <w:r>
        <w:rPr>
          <w:rFonts w:ascii="Book Antiqua" w:eastAsia="等线" w:hAnsi="Book Antiqua" w:cs="Times New Roman"/>
          <w:bCs/>
          <w:color w:val="000000" w:themeColor="text1"/>
          <w:kern w:val="2"/>
          <w:sz w:val="24"/>
          <w:szCs w:val="24"/>
        </w:rPr>
        <w:t xml:space="preserve">, The Second Hospital of Tangshan, 21 Jianshe Road, Tangshan 0630000, Hebei Province, China. </w:t>
      </w:r>
      <w:hyperlink r:id="rId8" w:history="1">
        <w:r>
          <w:rPr>
            <w:rStyle w:val="aa"/>
            <w:rFonts w:ascii="Book Antiqua" w:eastAsia="等线" w:hAnsi="Book Antiqua" w:cs="Times New Roman"/>
            <w:bCs/>
            <w:kern w:val="2"/>
            <w:sz w:val="24"/>
            <w:szCs w:val="24"/>
          </w:rPr>
          <w:t>ly80222@163.com</w:t>
        </w:r>
      </w:hyperlink>
    </w:p>
    <w:p w:rsidR="005D4C7C" w:rsidRDefault="005D4C7C">
      <w:pPr>
        <w:spacing w:after="0" w:line="360" w:lineRule="auto"/>
        <w:jc w:val="both"/>
        <w:rPr>
          <w:rFonts w:ascii="Book Antiqua" w:eastAsiaTheme="minorEastAsia" w:hAnsi="Book Antiqua"/>
          <w:b/>
          <w:color w:val="000000" w:themeColor="text1"/>
          <w:sz w:val="24"/>
          <w:szCs w:val="24"/>
        </w:rPr>
      </w:pP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Received: </w:t>
      </w:r>
      <w:r>
        <w:rPr>
          <w:rFonts w:ascii="Book Antiqua" w:hAnsi="Book Antiqua"/>
          <w:color w:val="000000" w:themeColor="text1"/>
          <w:sz w:val="24"/>
          <w:szCs w:val="24"/>
        </w:rPr>
        <w:t>March 22, 2020</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color w:val="000000" w:themeColor="text1"/>
          <w:sz w:val="24"/>
          <w:szCs w:val="24"/>
        </w:rPr>
        <w:t>April 24, 2020</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Accepted: </w:t>
      </w:r>
      <w:r>
        <w:rPr>
          <w:rFonts w:ascii="Book Antiqua" w:hAnsi="Book Antiqua"/>
          <w:bCs/>
          <w:color w:val="000000" w:themeColor="text1"/>
          <w:sz w:val="24"/>
          <w:szCs w:val="24"/>
        </w:rPr>
        <w:t>May 26, 2020</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Published online:</w:t>
      </w:r>
      <w:r w:rsidR="00363B13" w:rsidRPr="00D310ED">
        <w:rPr>
          <w:rFonts w:ascii="Book Antiqua" w:hAnsi="Book Antiqua"/>
          <w:szCs w:val="24"/>
        </w:rPr>
        <w:t xml:space="preserve"> </w:t>
      </w:r>
      <w:r w:rsidR="00363B13">
        <w:rPr>
          <w:rFonts w:ascii="Book Antiqua" w:hAnsi="Book Antiqua"/>
          <w:szCs w:val="24"/>
        </w:rPr>
        <w:t>Ju</w:t>
      </w:r>
      <w:r w:rsidR="00363B13">
        <w:rPr>
          <w:rFonts w:ascii="Book Antiqua" w:hAnsi="Book Antiqua" w:hint="eastAsia"/>
          <w:szCs w:val="24"/>
        </w:rPr>
        <w:t>ly</w:t>
      </w:r>
      <w:r w:rsidR="00363B13">
        <w:rPr>
          <w:rFonts w:ascii="Book Antiqua" w:hAnsi="Book Antiqua"/>
          <w:szCs w:val="24"/>
        </w:rPr>
        <w:t xml:space="preserve"> </w:t>
      </w:r>
      <w:r w:rsidR="00363B13">
        <w:rPr>
          <w:rFonts w:ascii="Book Antiqua" w:hAnsi="Book Antiqua" w:hint="eastAsia"/>
          <w:szCs w:val="24"/>
        </w:rPr>
        <w:t>2</w:t>
      </w:r>
      <w:r w:rsidR="00363B13" w:rsidRPr="004B7583">
        <w:rPr>
          <w:rFonts w:ascii="Book Antiqua" w:hAnsi="Book Antiqua"/>
          <w:szCs w:val="24"/>
        </w:rPr>
        <w:t>6, 2020</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br w:type="page"/>
      </w:r>
    </w:p>
    <w:p w:rsidR="005D4C7C" w:rsidRDefault="00D55AAA">
      <w:pPr>
        <w:spacing w:after="0" w:line="360" w:lineRule="auto"/>
        <w:jc w:val="both"/>
        <w:rPr>
          <w:rFonts w:ascii="Book Antiqua" w:eastAsiaTheme="minorEastAsia" w:hAnsi="Book Antiqua"/>
          <w:b/>
          <w:bCs/>
          <w:color w:val="000000" w:themeColor="text1"/>
          <w:sz w:val="24"/>
          <w:szCs w:val="24"/>
        </w:rPr>
      </w:pPr>
      <w:r>
        <w:rPr>
          <w:rFonts w:ascii="Book Antiqua" w:eastAsiaTheme="minorEastAsia" w:hAnsi="Book Antiqua"/>
          <w:b/>
          <w:bCs/>
          <w:color w:val="000000" w:themeColor="text1"/>
          <w:sz w:val="24"/>
          <w:szCs w:val="24"/>
        </w:rPr>
        <w:t>Abstract</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hAnsi="Book Antiqua"/>
          <w:color w:val="000000" w:themeColor="text1"/>
          <w:sz w:val="24"/>
          <w:szCs w:val="24"/>
        </w:rPr>
        <w:t>BACKGROUND</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Lumbar disc herniation is a common disease. Endoscopic treatment may have more advantages than traditional surgery.</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lang w:val="en"/>
        </w:rPr>
      </w:pPr>
      <w:r>
        <w:rPr>
          <w:rFonts w:ascii="Book Antiqua" w:hAnsi="Book Antiqua"/>
          <w:color w:val="000000" w:themeColor="text1"/>
          <w:sz w:val="24"/>
          <w:szCs w:val="24"/>
        </w:rPr>
        <w:t>AIM</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To compare the clinical efficacy and safety of </w:t>
      </w:r>
      <w:r>
        <w:rPr>
          <w:rFonts w:ascii="Book Antiqua" w:eastAsiaTheme="minorEastAsia" w:hAnsi="Book Antiqua" w:hint="eastAsia"/>
          <w:color w:val="000000" w:themeColor="text1"/>
          <w:sz w:val="24"/>
          <w:szCs w:val="24"/>
        </w:rPr>
        <w:t>microendoscopic discectomy</w:t>
      </w:r>
      <w:r w:rsidR="00FF4E19">
        <w:rPr>
          <w:rFonts w:ascii="Book Antiqua" w:eastAsiaTheme="minorEastAsia" w:hAnsi="Book Antiqua" w:hint="eastAsia"/>
          <w:color w:val="000000" w:themeColor="text1"/>
          <w:sz w:val="24"/>
          <w:szCs w:val="24"/>
        </w:rPr>
        <w:t xml:space="preserve"> (MED)</w:t>
      </w:r>
      <w:r>
        <w:rPr>
          <w:rFonts w:ascii="Book Antiqua" w:eastAsiaTheme="minorEastAsia" w:hAnsi="Book Antiqua"/>
          <w:color w:val="000000" w:themeColor="text1"/>
          <w:sz w:val="24"/>
          <w:szCs w:val="24"/>
        </w:rPr>
        <w:t xml:space="preserve"> and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with lamina nucleus enucleation in the treatment of single-segment lumbar intervertebral disc herniation. </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METHODS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Ninety-six patients who were operated at our hospital were selected for this study. Patients with single-segment lumbar disc herniation were admitted to the hospital from March 2018 to March 2019 and were randomly divided into the observation group and the control group with 48 cases in each group. The former group underwent lumbar discectomy and the latter underwent laparotomy and nucleus pulpectomy. Surgical effects were compared between the two groups. </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RESULTS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In terms of surgical indicators, the observation group had a longer operation time, shorter postoperative bedtime and hospital stay, less intraoperative blood loss, and smaller incision length than the control group (</w:t>
      </w: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&lt; 0.05). The excellent recovery rate did not differ significantly between the observation group (93.75%) and the control group (91.67%).V</w:t>
      </w:r>
      <w:r>
        <w:rPr>
          <w:rStyle w:val="apple-converted-space"/>
          <w:rFonts w:ascii="Book Antiqua" w:eastAsiaTheme="minorEastAsia" w:hAnsi="Book Antiqua" w:cs="Arial"/>
          <w:color w:val="000000" w:themeColor="text1"/>
          <w:sz w:val="24"/>
          <w:szCs w:val="24"/>
          <w:shd w:val="clear" w:color="auto" w:fill="FFFFFF"/>
        </w:rPr>
        <w:t>isual analogue scale</w:t>
      </w:r>
      <w:r>
        <w:rPr>
          <w:rFonts w:ascii="Book Antiqua" w:eastAsiaTheme="minorEastAsia" w:hAnsi="Book Antiqua"/>
          <w:color w:val="000000" w:themeColor="text1"/>
          <w:sz w:val="24"/>
          <w:szCs w:val="24"/>
        </w:rPr>
        <w:t xml:space="preserve"> pain scores were significantly lower in the observation group than in the control group at 1 d, 3 d, 1 mo, and 6 mo after surgery (</w:t>
      </w: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&lt; 0.05). The incidence of complications was significantly lower in the observation group than in the control group (6.25% </w:t>
      </w:r>
      <w:r>
        <w:rPr>
          <w:rFonts w:ascii="Book Antiqua" w:eastAsiaTheme="minorEastAsia" w:hAnsi="Book Antiqua"/>
          <w:i/>
          <w:color w:val="000000" w:themeColor="text1"/>
          <w:sz w:val="24"/>
          <w:szCs w:val="24"/>
        </w:rPr>
        <w:t>vs</w:t>
      </w:r>
      <w:r>
        <w:rPr>
          <w:rFonts w:ascii="Book Antiqua" w:eastAsiaTheme="minorEastAsia" w:hAnsi="Book Antiqua"/>
          <w:color w:val="000000" w:themeColor="text1"/>
          <w:sz w:val="24"/>
          <w:szCs w:val="24"/>
        </w:rPr>
        <w:t xml:space="preserve"> 22.92%, </w:t>
      </w: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&lt; 0.05). </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CONCLUSION</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Both </w:t>
      </w:r>
      <w:r w:rsidR="00FF4E19">
        <w:rPr>
          <w:rFonts w:ascii="Book Antiqua" w:eastAsiaTheme="minorEastAsia" w:hAnsi="Book Antiqua" w:hint="eastAsia"/>
          <w:color w:val="000000" w:themeColor="text1"/>
          <w:sz w:val="24"/>
          <w:szCs w:val="24"/>
        </w:rPr>
        <w:t xml:space="preserve">MED </w:t>
      </w:r>
      <w:r>
        <w:rPr>
          <w:rFonts w:ascii="Book Antiqua" w:eastAsiaTheme="minorEastAsia" w:hAnsi="Book Antiqua"/>
          <w:color w:val="000000" w:themeColor="text1"/>
          <w:sz w:val="24"/>
          <w:szCs w:val="24"/>
        </w:rPr>
        <w:t xml:space="preserve">and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can effectively improve single-segment lumbar disc herniation, but </w:t>
      </w:r>
      <w:r w:rsidR="00FF4E19">
        <w:rPr>
          <w:rFonts w:ascii="Book Antiqua" w:eastAsiaTheme="minorEastAsia" w:hAnsi="Book Antiqua" w:hint="eastAsia"/>
          <w:color w:val="000000" w:themeColor="text1"/>
          <w:sz w:val="24"/>
          <w:szCs w:val="24"/>
        </w:rPr>
        <w:t>MED</w:t>
      </w:r>
      <w:r>
        <w:rPr>
          <w:rFonts w:ascii="Book Antiqua" w:eastAsiaTheme="minorEastAsia" w:hAnsi="Book Antiqua"/>
          <w:color w:val="000000" w:themeColor="text1"/>
          <w:sz w:val="24"/>
          <w:szCs w:val="24"/>
        </w:rPr>
        <w:t xml:space="preserve"> is associated with less</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trauma, less bleeding, and a lower incidence of complications.</w:t>
      </w:r>
    </w:p>
    <w:p w:rsidR="005D4C7C" w:rsidRDefault="005D4C7C">
      <w:pPr>
        <w:spacing w:after="0" w:line="360" w:lineRule="auto"/>
        <w:jc w:val="both"/>
        <w:rPr>
          <w:rFonts w:ascii="Book Antiqua" w:eastAsiaTheme="minorEastAsia" w:hAnsi="Book Antiqua" w:cs="Arial"/>
          <w:color w:val="000000" w:themeColor="text1"/>
          <w:sz w:val="24"/>
          <w:szCs w:val="24"/>
          <w:shd w:val="clear" w:color="auto" w:fill="FFFFFF"/>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hAnsi="Book Antiqua"/>
          <w:b/>
          <w:color w:val="000000" w:themeColor="text1"/>
          <w:sz w:val="24"/>
          <w:szCs w:val="24"/>
        </w:rPr>
        <w:t>Key words:</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rPr>
        <w:t xml:space="preserve">Lumbar intervertebral discectomy;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with fenestrated windows; Single-segment lumbar disc herniation; Nerve root; Nucleus pulposus; Pain</w:t>
      </w:r>
    </w:p>
    <w:p w:rsidR="005D4C7C" w:rsidRDefault="005D4C7C">
      <w:pPr>
        <w:spacing w:after="0" w:line="360" w:lineRule="auto"/>
        <w:jc w:val="both"/>
        <w:rPr>
          <w:rFonts w:ascii="Book Antiqua" w:eastAsiaTheme="minorEastAsia" w:hAnsi="Book Antiqua"/>
          <w:color w:val="000000" w:themeColor="text1"/>
          <w:sz w:val="24"/>
          <w:szCs w:val="24"/>
        </w:rPr>
      </w:pPr>
    </w:p>
    <w:p w:rsidR="007C0B26" w:rsidRPr="007C0B26" w:rsidRDefault="00824878" w:rsidP="007C0B26">
      <w:pPr>
        <w:widowControl w:val="0"/>
        <w:spacing w:after="0" w:line="360" w:lineRule="auto"/>
        <w:jc w:val="both"/>
        <w:rPr>
          <w:rFonts w:ascii="Book Antiqua" w:eastAsia="宋体" w:hAnsi="Book Antiqua" w:cs="Times New Roman"/>
          <w:color w:val="000000" w:themeColor="text1"/>
          <w:sz w:val="24"/>
          <w:szCs w:val="24"/>
        </w:rPr>
      </w:pPr>
      <w:r w:rsidRPr="00824878">
        <w:rPr>
          <w:rFonts w:ascii="Book Antiqua" w:eastAsia="等线" w:hAnsi="Book Antiqua" w:cs="Times New Roman" w:hint="eastAsia"/>
          <w:b/>
          <w:bCs/>
          <w:color w:val="000000" w:themeColor="text1"/>
          <w:kern w:val="2"/>
          <w:sz w:val="24"/>
          <w:szCs w:val="24"/>
        </w:rPr>
        <w:t xml:space="preserve">Citation: </w:t>
      </w:r>
      <w:r w:rsidR="00D55AAA">
        <w:rPr>
          <w:rFonts w:ascii="Book Antiqua" w:eastAsia="等线" w:hAnsi="Book Antiqua" w:cs="Times New Roman"/>
          <w:bCs/>
          <w:color w:val="000000" w:themeColor="text1"/>
          <w:kern w:val="2"/>
          <w:sz w:val="24"/>
          <w:szCs w:val="24"/>
        </w:rPr>
        <w:t xml:space="preserve">Pang JY, Tan F, Chen WW, Li CH, Dou SP, Guo JR, Zhao LY. </w:t>
      </w:r>
      <w:r w:rsidR="00D55AAA">
        <w:rPr>
          <w:rFonts w:ascii="Book Antiqua" w:eastAsia="等线" w:hAnsi="Book Antiqua" w:cs="Times New Roman" w:hint="eastAsia"/>
          <w:bCs/>
          <w:color w:val="000000" w:themeColor="text1"/>
          <w:kern w:val="2"/>
          <w:sz w:val="24"/>
          <w:szCs w:val="24"/>
        </w:rPr>
        <w:t>Comparison</w:t>
      </w:r>
      <w:r w:rsidR="00D55AAA">
        <w:rPr>
          <w:rFonts w:ascii="Book Antiqua" w:eastAsia="等线" w:hAnsi="Book Antiqua" w:cs="Times New Roman"/>
          <w:bCs/>
          <w:color w:val="000000" w:themeColor="text1"/>
          <w:kern w:val="2"/>
          <w:sz w:val="24"/>
          <w:szCs w:val="24"/>
        </w:rPr>
        <w:t xml:space="preserve"> of </w:t>
      </w:r>
      <w:r w:rsidR="00D55AAA">
        <w:rPr>
          <w:rFonts w:ascii="Book Antiqua" w:eastAsia="等线" w:hAnsi="Book Antiqua" w:cs="Times New Roman" w:hint="eastAsia"/>
          <w:bCs/>
          <w:color w:val="000000" w:themeColor="text1"/>
          <w:kern w:val="2"/>
          <w:sz w:val="24"/>
          <w:szCs w:val="24"/>
        </w:rPr>
        <w:t>microendoscopic discectomy</w:t>
      </w:r>
      <w:r w:rsidR="00D55AAA">
        <w:rPr>
          <w:rFonts w:ascii="Book Antiqua" w:eastAsia="等线" w:hAnsi="Book Antiqua" w:cs="Times New Roman"/>
          <w:bCs/>
          <w:color w:val="000000" w:themeColor="text1"/>
          <w:kern w:val="2"/>
          <w:sz w:val="24"/>
          <w:szCs w:val="24"/>
        </w:rPr>
        <w:t xml:space="preserve"> and </w:t>
      </w:r>
      <w:r w:rsidR="00D55AAA">
        <w:rPr>
          <w:rFonts w:ascii="Book Antiqua" w:eastAsia="等线" w:hAnsi="Book Antiqua" w:cs="Times New Roman" w:hint="eastAsia"/>
          <w:bCs/>
          <w:color w:val="000000" w:themeColor="text1"/>
          <w:kern w:val="2"/>
          <w:sz w:val="24"/>
          <w:szCs w:val="24"/>
        </w:rPr>
        <w:t>open discectomy</w:t>
      </w:r>
      <w:r w:rsidR="00D55AAA">
        <w:rPr>
          <w:rFonts w:ascii="Book Antiqua" w:eastAsia="等线" w:hAnsi="Book Antiqua" w:cs="Times New Roman"/>
          <w:bCs/>
          <w:color w:val="000000" w:themeColor="text1"/>
          <w:kern w:val="2"/>
          <w:sz w:val="24"/>
          <w:szCs w:val="24"/>
        </w:rPr>
        <w:t xml:space="preserve"> for single-segment lumbar disc herniation.</w:t>
      </w:r>
      <w:r w:rsidR="00D55AAA">
        <w:rPr>
          <w:rFonts w:ascii="Book Antiqua" w:eastAsia="宋体" w:hAnsi="Book Antiqua" w:cs="Times New Roman"/>
          <w:color w:val="000000" w:themeColor="text1"/>
          <w:sz w:val="24"/>
          <w:szCs w:val="24"/>
        </w:rPr>
        <w:t xml:space="preserve"> </w:t>
      </w:r>
      <w:r w:rsidR="00D55AAA">
        <w:rPr>
          <w:rFonts w:ascii="Book Antiqua" w:eastAsia="宋体" w:hAnsi="Book Antiqua" w:cs="Times New Roman"/>
          <w:i/>
          <w:color w:val="000000" w:themeColor="text1"/>
          <w:sz w:val="24"/>
          <w:szCs w:val="24"/>
        </w:rPr>
        <w:t>World J Clin Cases</w:t>
      </w:r>
      <w:r w:rsidR="00D55AAA">
        <w:rPr>
          <w:rFonts w:ascii="Book Antiqua" w:eastAsia="宋体" w:hAnsi="Book Antiqua" w:cs="Times New Roman"/>
          <w:color w:val="000000" w:themeColor="text1"/>
          <w:sz w:val="24"/>
          <w:szCs w:val="24"/>
        </w:rPr>
        <w:t xml:space="preserve"> </w:t>
      </w:r>
      <w:r w:rsidR="007C0B26" w:rsidRPr="007C0B26">
        <w:rPr>
          <w:rFonts w:ascii="Book Antiqua" w:eastAsia="宋体" w:hAnsi="Book Antiqua" w:cs="Times New Roman"/>
          <w:color w:val="000000" w:themeColor="text1"/>
          <w:sz w:val="24"/>
          <w:szCs w:val="24"/>
        </w:rPr>
        <w:t xml:space="preserve">2020; 8(14): </w:t>
      </w:r>
      <w:r w:rsidRPr="00824878">
        <w:rPr>
          <w:rFonts w:ascii="Book Antiqua" w:eastAsia="宋体" w:hAnsi="Book Antiqua" w:cs="Times New Roman"/>
          <w:color w:val="000000" w:themeColor="text1"/>
          <w:sz w:val="24"/>
          <w:szCs w:val="24"/>
        </w:rPr>
        <w:t>2942-2949</w:t>
      </w:r>
      <w:r w:rsidR="007C0B26" w:rsidRPr="007C0B26">
        <w:rPr>
          <w:rFonts w:ascii="Book Antiqua" w:eastAsia="宋体" w:hAnsi="Book Antiqua" w:cs="Times New Roman"/>
          <w:color w:val="000000" w:themeColor="text1"/>
          <w:sz w:val="24"/>
          <w:szCs w:val="24"/>
        </w:rPr>
        <w:t xml:space="preserve">  </w:t>
      </w:r>
    </w:p>
    <w:p w:rsidR="007C0B26" w:rsidRPr="007C0B26" w:rsidRDefault="007C0B26" w:rsidP="007C0B26">
      <w:pPr>
        <w:widowControl w:val="0"/>
        <w:spacing w:after="0" w:line="360" w:lineRule="auto"/>
        <w:jc w:val="both"/>
        <w:rPr>
          <w:rFonts w:ascii="Book Antiqua" w:eastAsia="宋体" w:hAnsi="Book Antiqua" w:cs="Times New Roman"/>
          <w:color w:val="000000" w:themeColor="text1"/>
          <w:sz w:val="24"/>
          <w:szCs w:val="24"/>
        </w:rPr>
      </w:pPr>
      <w:r w:rsidRPr="00234AAA">
        <w:rPr>
          <w:rFonts w:ascii="Book Antiqua" w:eastAsia="宋体" w:hAnsi="Book Antiqua" w:cs="Times New Roman"/>
          <w:b/>
          <w:color w:val="000000" w:themeColor="text1"/>
          <w:sz w:val="24"/>
          <w:szCs w:val="24"/>
        </w:rPr>
        <w:t>URL:</w:t>
      </w:r>
      <w:r w:rsidRPr="007C0B26">
        <w:rPr>
          <w:rFonts w:ascii="Book Antiqua" w:eastAsia="宋体" w:hAnsi="Book Antiqua" w:cs="Times New Roman"/>
          <w:color w:val="000000" w:themeColor="text1"/>
          <w:sz w:val="24"/>
          <w:szCs w:val="24"/>
        </w:rPr>
        <w:t xml:space="preserve"> https://www.wjgnet.com/2307-8960/full/v8/i14/</w:t>
      </w:r>
      <w:r w:rsidR="00824878">
        <w:rPr>
          <w:rFonts w:ascii="Book Antiqua" w:eastAsia="宋体" w:hAnsi="Book Antiqua" w:cs="Times New Roman" w:hint="eastAsia"/>
          <w:color w:val="000000" w:themeColor="text1"/>
          <w:sz w:val="24"/>
          <w:szCs w:val="24"/>
        </w:rPr>
        <w:t>2942</w:t>
      </w:r>
      <w:r w:rsidRPr="007C0B26">
        <w:rPr>
          <w:rFonts w:ascii="Book Antiqua" w:eastAsia="宋体" w:hAnsi="Book Antiqua" w:cs="Times New Roman"/>
          <w:color w:val="000000" w:themeColor="text1"/>
          <w:sz w:val="24"/>
          <w:szCs w:val="24"/>
        </w:rPr>
        <w:t xml:space="preserve">.htm  </w:t>
      </w:r>
    </w:p>
    <w:p w:rsidR="005D4C7C" w:rsidRPr="007C0B26" w:rsidRDefault="007C0B26" w:rsidP="007C0B26">
      <w:pPr>
        <w:widowControl w:val="0"/>
        <w:spacing w:after="0" w:line="360" w:lineRule="auto"/>
        <w:jc w:val="both"/>
        <w:rPr>
          <w:rFonts w:ascii="Book Antiqua" w:eastAsia="等线" w:hAnsi="Book Antiqua" w:cs="Times New Roman"/>
          <w:bCs/>
          <w:color w:val="000000" w:themeColor="text1"/>
          <w:kern w:val="2"/>
          <w:sz w:val="24"/>
          <w:szCs w:val="24"/>
        </w:rPr>
      </w:pPr>
      <w:bookmarkStart w:id="4" w:name="_GoBack"/>
      <w:r w:rsidRPr="00234AAA">
        <w:rPr>
          <w:rFonts w:ascii="Book Antiqua" w:eastAsia="宋体" w:hAnsi="Book Antiqua" w:cs="Times New Roman"/>
          <w:b/>
          <w:color w:val="000000" w:themeColor="text1"/>
          <w:sz w:val="24"/>
          <w:szCs w:val="24"/>
        </w:rPr>
        <w:t>DOI:</w:t>
      </w:r>
      <w:bookmarkEnd w:id="4"/>
      <w:r w:rsidRPr="007C0B26">
        <w:rPr>
          <w:rFonts w:ascii="Book Antiqua" w:eastAsia="宋体" w:hAnsi="Book Antiqua" w:cs="Times New Roman"/>
          <w:color w:val="000000" w:themeColor="text1"/>
          <w:sz w:val="24"/>
          <w:szCs w:val="24"/>
        </w:rPr>
        <w:t xml:space="preserve"> https://dx.doi.org/10.12998/wjcc.v8.i14.</w:t>
      </w:r>
      <w:r w:rsidR="00824878">
        <w:rPr>
          <w:rFonts w:ascii="Book Antiqua" w:eastAsia="宋体" w:hAnsi="Book Antiqua" w:cs="Times New Roman" w:hint="eastAsia"/>
          <w:color w:val="000000" w:themeColor="text1"/>
          <w:sz w:val="24"/>
          <w:szCs w:val="24"/>
        </w:rPr>
        <w:t>2942</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hAnsi="Book Antiqua"/>
          <w:b/>
          <w:color w:val="000000" w:themeColor="text1"/>
          <w:sz w:val="24"/>
          <w:szCs w:val="24"/>
        </w:rPr>
        <w:t>Core tip:</w:t>
      </w:r>
      <w:r>
        <w:rPr>
          <w:rFonts w:ascii="Book Antiqua" w:hAnsi="Book Antiqua"/>
          <w:color w:val="000000" w:themeColor="text1"/>
          <w:sz w:val="24"/>
          <w:szCs w:val="24"/>
        </w:rPr>
        <w:t xml:space="preserve"> </w:t>
      </w:r>
      <w:r w:rsidR="00EA2895">
        <w:rPr>
          <w:rFonts w:ascii="Book Antiqua" w:eastAsiaTheme="minorEastAsia" w:hAnsi="Book Antiqua"/>
          <w:color w:val="000000" w:themeColor="text1"/>
          <w:sz w:val="24"/>
          <w:szCs w:val="24"/>
        </w:rPr>
        <w:t xml:space="preserve">Microendoscopic </w:t>
      </w:r>
      <w:r>
        <w:rPr>
          <w:rFonts w:ascii="Book Antiqua" w:eastAsiaTheme="minorEastAsia" w:hAnsi="Book Antiqua" w:hint="eastAsia"/>
          <w:color w:val="000000" w:themeColor="text1"/>
          <w:sz w:val="24"/>
          <w:szCs w:val="24"/>
        </w:rPr>
        <w:t>discectomy</w:t>
      </w:r>
      <w:r>
        <w:rPr>
          <w:rFonts w:ascii="Book Antiqua" w:eastAsiaTheme="minorEastAsia" w:hAnsi="Book Antiqua"/>
          <w:color w:val="000000" w:themeColor="text1"/>
          <w:sz w:val="24"/>
          <w:szCs w:val="24"/>
        </w:rPr>
        <w:t xml:space="preserve"> has less trauma, less bleeding, and a lower incidence of complications compared with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in the treatment of single-segment lumbar disc herniation. Patients were able to get out of bed faster, with reduced pain, and recovered sooner.</w:t>
      </w:r>
    </w:p>
    <w:p w:rsidR="005D4C7C" w:rsidRDefault="00D55AAA">
      <w:pPr>
        <w:spacing w:after="0" w:line="360" w:lineRule="auto"/>
        <w:jc w:val="both"/>
        <w:rPr>
          <w:rFonts w:ascii="Book Antiqua" w:eastAsiaTheme="minorEastAsia" w:hAnsi="Book Antiqua"/>
          <w:color w:val="000000" w:themeColor="text1"/>
          <w:sz w:val="24"/>
          <w:szCs w:val="24"/>
        </w:rPr>
      </w:pPr>
      <w:bookmarkStart w:id="5" w:name="_Hlk38646982"/>
      <w:r>
        <w:rPr>
          <w:rFonts w:ascii="Book Antiqua" w:eastAsiaTheme="minorEastAsia" w:hAnsi="Book Antiqua"/>
          <w:color w:val="000000" w:themeColor="text1"/>
          <w:sz w:val="24"/>
          <w:szCs w:val="24"/>
        </w:rPr>
        <w:br w:type="page"/>
      </w:r>
    </w:p>
    <w:p w:rsidR="005D4C7C" w:rsidRDefault="00D55AAA">
      <w:pPr>
        <w:spacing w:after="0" w:line="360" w:lineRule="auto"/>
        <w:jc w:val="both"/>
        <w:rPr>
          <w:rFonts w:ascii="Book Antiqua" w:hAnsi="Book Antiqua"/>
          <w:b/>
          <w:color w:val="000000" w:themeColor="text1"/>
          <w:sz w:val="24"/>
          <w:szCs w:val="24"/>
          <w:u w:val="single"/>
        </w:rPr>
      </w:pPr>
      <w:r>
        <w:rPr>
          <w:rFonts w:ascii="Book Antiqua" w:hAnsi="Book Antiqua"/>
          <w:b/>
          <w:color w:val="000000" w:themeColor="text1"/>
          <w:sz w:val="24"/>
          <w:szCs w:val="24"/>
          <w:u w:val="single"/>
        </w:rPr>
        <w:t>INTRODUCTION</w:t>
      </w:r>
    </w:p>
    <w:bookmarkEnd w:id="5"/>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Of all orthopedic diseases, lumbar disc herniation is a common joint disease. It is mainly caused by degenerative changes of the lumbar intervertebral disc; external forces; or nerves, horsetails and other nerves. Patients exhibit back pain, lower limb radiation neuralgia and neurological dysfunction. If the disease is serious, it may cause paralysis</w:t>
      </w:r>
      <w:r>
        <w:rPr>
          <w:rFonts w:ascii="Book Antiqua" w:eastAsiaTheme="minorEastAsia" w:hAnsi="Book Antiqua"/>
          <w:color w:val="000000" w:themeColor="text1"/>
          <w:sz w:val="24"/>
          <w:szCs w:val="24"/>
        </w:rPr>
        <w:fldChar w:fldCharType="begin"/>
      </w:r>
      <w:r>
        <w:rPr>
          <w:rFonts w:ascii="Book Antiqua" w:eastAsiaTheme="minorEastAsia" w:hAnsi="Book Antiqua"/>
          <w:color w:val="000000" w:themeColor="text1"/>
          <w:sz w:val="24"/>
          <w:szCs w:val="24"/>
        </w:rPr>
        <w:instrText xml:space="preserve"> ADDIN KYMRREF{2827EE3C-66B4-4477-88B0-BE4066AB322F}183</w:instrText>
      </w:r>
      <w:r>
        <w:rPr>
          <w:rFonts w:ascii="Book Antiqua" w:eastAsiaTheme="minorEastAsia" w:hAnsi="Book Antiqua"/>
          <w:color w:val="000000" w:themeColor="text1"/>
          <w:sz w:val="24"/>
          <w:szCs w:val="24"/>
        </w:rPr>
        <w:fldChar w:fldCharType="separate"/>
      </w:r>
      <w:r>
        <w:rPr>
          <w:rFonts w:ascii="Book Antiqua" w:eastAsiaTheme="minorEastAsia" w:hAnsi="Book Antiqua"/>
          <w:color w:val="000000" w:themeColor="text1"/>
          <w:sz w:val="24"/>
          <w:szCs w:val="24"/>
          <w:vertAlign w:val="superscript"/>
        </w:rPr>
        <w:t>[1]</w:t>
      </w:r>
      <w:r>
        <w:rPr>
          <w:rFonts w:ascii="Book Antiqua" w:eastAsiaTheme="minorEastAsia" w:hAnsi="Book Antiqua"/>
          <w:color w:val="000000" w:themeColor="text1"/>
          <w:sz w:val="24"/>
          <w:szCs w:val="24"/>
        </w:rPr>
        <w:fldChar w:fldCharType="end"/>
      </w:r>
      <w:r>
        <w:rPr>
          <w:rFonts w:ascii="Book Antiqua" w:eastAsiaTheme="minorEastAsia" w:hAnsi="Book Antiqua"/>
          <w:color w:val="000000" w:themeColor="text1"/>
          <w:sz w:val="24"/>
          <w:szCs w:val="24"/>
        </w:rPr>
        <w:t xml:space="preserve">. In clinical practice, the main treatment methods are conservative treatment and surgical treatment. Patients in whom treatments are ineffective for 3 </w:t>
      </w:r>
      <w:r>
        <w:rPr>
          <w:rFonts w:ascii="Book Antiqua" w:eastAsiaTheme="minorEastAsia" w:hAnsi="Book Antiqua" w:hint="eastAsia"/>
          <w:color w:val="000000" w:themeColor="text1"/>
          <w:sz w:val="24"/>
          <w:szCs w:val="24"/>
        </w:rPr>
        <w:t xml:space="preserve">mo </w:t>
      </w:r>
      <w:r>
        <w:rPr>
          <w:rFonts w:ascii="Book Antiqua" w:eastAsiaTheme="minorEastAsia" w:hAnsi="Book Antiqua"/>
          <w:color w:val="000000" w:themeColor="text1"/>
          <w:sz w:val="24"/>
          <w:szCs w:val="24"/>
        </w:rPr>
        <w:t>or those who have lumbar disc herniation with lumbar spinal stenosis, cauda equina paralysis, single nerve palsy, or severe pain should be treated promptly</w:t>
      </w:r>
      <w:r>
        <w:rPr>
          <w:rFonts w:ascii="Book Antiqua" w:eastAsiaTheme="minorEastAsia" w:hAnsi="Book Antiqua"/>
          <w:color w:val="000000" w:themeColor="text1"/>
          <w:sz w:val="24"/>
          <w:szCs w:val="24"/>
        </w:rPr>
        <w:fldChar w:fldCharType="begin"/>
      </w:r>
      <w:r>
        <w:rPr>
          <w:rFonts w:ascii="Book Antiqua" w:eastAsiaTheme="minorEastAsia" w:hAnsi="Book Antiqua"/>
          <w:color w:val="000000" w:themeColor="text1"/>
          <w:sz w:val="24"/>
          <w:szCs w:val="24"/>
        </w:rPr>
        <w:instrText xml:space="preserve"> ADDIN KYMRREF{2827EE3C-66B4-4477-88B0-BE4066AB322F}170,{2827EE3C-66B4-4477-88B0-BE4066AB322F}174</w:instrText>
      </w:r>
      <w:r>
        <w:rPr>
          <w:rFonts w:ascii="Book Antiqua" w:eastAsiaTheme="minorEastAsia" w:hAnsi="Book Antiqua"/>
          <w:color w:val="000000" w:themeColor="text1"/>
          <w:sz w:val="24"/>
          <w:szCs w:val="24"/>
        </w:rPr>
        <w:fldChar w:fldCharType="separate"/>
      </w:r>
      <w:r>
        <w:rPr>
          <w:rFonts w:ascii="Book Antiqua" w:eastAsiaTheme="minorEastAsia" w:hAnsi="Book Antiqua"/>
          <w:color w:val="000000" w:themeColor="text1"/>
          <w:sz w:val="24"/>
          <w:szCs w:val="24"/>
          <w:vertAlign w:val="superscript"/>
        </w:rPr>
        <w:t>[2,3]</w:t>
      </w:r>
      <w:r>
        <w:rPr>
          <w:rFonts w:ascii="Book Antiqua" w:eastAsiaTheme="minorEastAsia" w:hAnsi="Book Antiqua"/>
          <w:color w:val="000000" w:themeColor="text1"/>
          <w:sz w:val="24"/>
          <w:szCs w:val="24"/>
        </w:rPr>
        <w:fldChar w:fldCharType="end"/>
      </w:r>
      <w:r>
        <w:rPr>
          <w:rFonts w:ascii="Book Antiqua" w:eastAsiaTheme="minorEastAsia" w:hAnsi="Book Antiqua"/>
          <w:color w:val="000000" w:themeColor="text1"/>
          <w:sz w:val="24"/>
          <w:szCs w:val="24"/>
        </w:rPr>
        <w:t xml:space="preserve">. Related studies have found that for patients with single-segment lumbar disc herniation, the success rate of surgical treatment is 80%-98%. Among the surgical treatments performed,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with lamellar fenestration is widely used and can release compressed nerve roots in whole or in part, thereby reducing pain symptoms. However, surgical treatment causes serious trauma, it is not easy to recover after surgery, and complications such as lumbar instability can easily occur.</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Currently, the continuous development of endoscope technology and minimally invasive technology has gradually improved spinal minimally invasive surgical instruments, especially </w:t>
      </w:r>
      <w:r>
        <w:rPr>
          <w:rFonts w:ascii="Book Antiqua" w:eastAsiaTheme="minorEastAsia" w:hAnsi="Book Antiqua" w:hint="eastAsia"/>
          <w:color w:val="000000" w:themeColor="text1"/>
          <w:sz w:val="24"/>
          <w:szCs w:val="24"/>
        </w:rPr>
        <w:t>microendoscopic discectomy</w:t>
      </w:r>
      <w:r w:rsidR="00EE3458">
        <w:rPr>
          <w:rFonts w:ascii="Book Antiqua" w:eastAsiaTheme="minorEastAsia" w:hAnsi="Book Antiqua" w:hint="eastAsia"/>
          <w:color w:val="000000" w:themeColor="text1"/>
          <w:sz w:val="24"/>
          <w:szCs w:val="24"/>
        </w:rPr>
        <w:t xml:space="preserve"> (MED)</w:t>
      </w:r>
      <w:r>
        <w:rPr>
          <w:rFonts w:ascii="Book Antiqua" w:eastAsiaTheme="minorEastAsia" w:hAnsi="Book Antiqua"/>
          <w:color w:val="000000" w:themeColor="text1"/>
          <w:sz w:val="24"/>
          <w:szCs w:val="24"/>
        </w:rPr>
        <w:t>, which can be performed with a microscreen to obtain a clearer surgical field of view and to ensure surgical accuracy. This technique can completely relieve the pressure on nerve roots; at the same time, it can reduce the number of surgical incisions and surgical trauma, and patients recover faster after surgery</w:t>
      </w:r>
      <w:r>
        <w:rPr>
          <w:rFonts w:ascii="Book Antiqua" w:eastAsiaTheme="minorEastAsia" w:hAnsi="Book Antiqua"/>
          <w:color w:val="000000" w:themeColor="text1"/>
          <w:sz w:val="24"/>
          <w:szCs w:val="24"/>
        </w:rPr>
        <w:fldChar w:fldCharType="begin"/>
      </w:r>
      <w:r>
        <w:rPr>
          <w:rFonts w:ascii="Book Antiqua" w:eastAsiaTheme="minorEastAsia" w:hAnsi="Book Antiqua"/>
          <w:color w:val="000000" w:themeColor="text1"/>
          <w:sz w:val="24"/>
          <w:szCs w:val="24"/>
        </w:rPr>
        <w:instrText xml:space="preserve"> ADDIN KYMRREF{2827EE3C-66B4-4477-88B0-BE4066AB322F}172</w:instrText>
      </w:r>
      <w:r>
        <w:rPr>
          <w:rFonts w:ascii="Book Antiqua" w:eastAsiaTheme="minorEastAsia" w:hAnsi="Book Antiqua"/>
          <w:color w:val="000000" w:themeColor="text1"/>
          <w:sz w:val="24"/>
          <w:szCs w:val="24"/>
        </w:rPr>
        <w:fldChar w:fldCharType="separate"/>
      </w:r>
      <w:r>
        <w:rPr>
          <w:rFonts w:ascii="Book Antiqua" w:eastAsiaTheme="minorEastAsia" w:hAnsi="Book Antiqua"/>
          <w:color w:val="000000" w:themeColor="text1"/>
          <w:sz w:val="24"/>
          <w:szCs w:val="24"/>
          <w:vertAlign w:val="superscript"/>
        </w:rPr>
        <w:t>[4]</w:t>
      </w:r>
      <w:r>
        <w:rPr>
          <w:rFonts w:ascii="Book Antiqua" w:eastAsiaTheme="minorEastAsia" w:hAnsi="Book Antiqua"/>
          <w:color w:val="000000" w:themeColor="text1"/>
          <w:sz w:val="24"/>
          <w:szCs w:val="24"/>
        </w:rPr>
        <w:fldChar w:fldCharType="end"/>
      </w:r>
      <w:r>
        <w:rPr>
          <w:rFonts w:ascii="Book Antiqua" w:eastAsiaTheme="minorEastAsia" w:hAnsi="Book Antiqua"/>
          <w:color w:val="000000" w:themeColor="text1"/>
          <w:sz w:val="24"/>
          <w:szCs w:val="24"/>
        </w:rPr>
        <w:t>.</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To clarify the clinical effects of discectomy and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96 patients who received treatment from March 2018 to March 2019 were selected for a comparative study.</w:t>
      </w:r>
    </w:p>
    <w:p w:rsidR="005D4C7C" w:rsidRDefault="005D4C7C">
      <w:pPr>
        <w:spacing w:after="0" w:line="360" w:lineRule="auto"/>
        <w:ind w:firstLineChars="100" w:firstLine="240"/>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hAnsi="Book Antiqua"/>
          <w:b/>
          <w:sz w:val="24"/>
          <w:szCs w:val="24"/>
          <w:u w:val="single"/>
        </w:rPr>
      </w:pPr>
      <w:r>
        <w:rPr>
          <w:rFonts w:ascii="Book Antiqua" w:hAnsi="Book Antiqua"/>
          <w:b/>
          <w:sz w:val="24"/>
          <w:szCs w:val="24"/>
          <w:u w:val="single"/>
        </w:rPr>
        <w:t>MATERIALS AND METHODS</w:t>
      </w:r>
    </w:p>
    <w:p w:rsidR="005D4C7C" w:rsidRDefault="00D55AAA">
      <w:pPr>
        <w:spacing w:after="0" w:line="360" w:lineRule="auto"/>
        <w:jc w:val="both"/>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Baseline information</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The subjects in this study were selected from 96 patients with single-segment lumbar disc herniation who underwent surgery in our hospital from March 2018 to March 2019. The digital table method was used for random grouping. The observation group (48 cases) consisted of 17 women and 31 men. The patient's age range was 29-69 years, with an average age of (45.28</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6.43) years; the disease duration was 5 </w:t>
      </w:r>
      <w:r>
        <w:rPr>
          <w:rFonts w:ascii="Book Antiqua" w:eastAsiaTheme="minorEastAsia" w:hAnsi="Book Antiqua" w:hint="eastAsia"/>
          <w:color w:val="000000" w:themeColor="text1"/>
          <w:sz w:val="24"/>
          <w:szCs w:val="24"/>
        </w:rPr>
        <w:t>mo</w:t>
      </w:r>
      <w:r>
        <w:rPr>
          <w:rFonts w:ascii="Book Antiqua" w:eastAsiaTheme="minorEastAsia" w:hAnsi="Book Antiqua"/>
          <w:color w:val="000000" w:themeColor="text1"/>
          <w:sz w:val="24"/>
          <w:szCs w:val="24"/>
        </w:rPr>
        <w:t xml:space="preserve"> to 6 years, with an average of (2.15</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0.63) years; prominent type: 5 cases of free type, prolapse. There were 16 cases of type and 27 cases of prominent type. The affected segments in 20 cases was L5S1 and in 28 cases was L4,5. The control group (48 cases) consisted of 16 women and 32 men, aged 27 to 67 years, average (45.18</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6.29) years; the disease duration was 6 </w:t>
      </w:r>
      <w:r>
        <w:rPr>
          <w:rFonts w:ascii="Book Antiqua" w:eastAsiaTheme="minorEastAsia" w:hAnsi="Book Antiqua" w:hint="eastAsia"/>
          <w:color w:val="000000" w:themeColor="text1"/>
          <w:sz w:val="24"/>
          <w:szCs w:val="24"/>
        </w:rPr>
        <w:t>mo</w:t>
      </w:r>
      <w:r>
        <w:rPr>
          <w:rFonts w:ascii="Book Antiqua" w:eastAsiaTheme="minorEastAsia" w:hAnsi="Book Antiqua"/>
          <w:color w:val="000000" w:themeColor="text1"/>
          <w:sz w:val="24"/>
          <w:szCs w:val="24"/>
        </w:rPr>
        <w:t xml:space="preserve"> to 5 years, average (2.03</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0.47) years; prominent type: 4. There were three types of free type, 15 types of prolapsed type, and 29 types of protruding type; the protruding part in 18 cases was L5S1, and in 30 cases was L4,5. When comparing the basic data of the two groups of subjects, there were no significant differences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&gt;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which meets the comparison requirements.</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The inclusion criteria were as follows: disease confirmed by computed tomography, magnetic resonance imaging, or lumbar spine X-ray examination; after conservative treatment for more than three months, all symptoms such as unilateral lower extremity pain and low back pain </w:t>
      </w:r>
      <w:r w:rsidRPr="00A04C74">
        <w:rPr>
          <w:rFonts w:ascii="Book Antiqua" w:eastAsiaTheme="minorEastAsia" w:hAnsi="Book Antiqua"/>
          <w:color w:val="000000" w:themeColor="text1"/>
          <w:sz w:val="24"/>
          <w:szCs w:val="24"/>
          <w:highlight w:val="yellow"/>
        </w:rPr>
        <w:t xml:space="preserve">are </w:t>
      </w:r>
      <w:r>
        <w:rPr>
          <w:rFonts w:ascii="宋体" w:eastAsia="宋体" w:hAnsi="宋体" w:cs="宋体"/>
          <w:sz w:val="24"/>
          <w:szCs w:val="24"/>
        </w:rPr>
        <w:br/>
      </w:r>
      <w:r>
        <w:rPr>
          <w:rFonts w:ascii="Book Antiqua" w:eastAsiaTheme="minorEastAsia" w:hAnsi="Book Antiqua"/>
          <w:color w:val="000000" w:themeColor="text1"/>
          <w:sz w:val="24"/>
          <w:szCs w:val="24"/>
        </w:rPr>
        <w:t>difficult to relieve; patients met the relevant indications for the nucleus pulposus; patients or their families voluntarily signed a written informed consent. The hospital ethics committee approved the study.</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The exclusion criteria were as follows: patients without strict non-surgical treatment; patients with pelvic inflammatory disease, tuberculosis, spinal stenosis, lumbar spine tumors,</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lumbar spondylolisthesis, lumbar spine instability, </w:t>
      </w:r>
      <w:r>
        <w:rPr>
          <w:rFonts w:ascii="Book Antiqua" w:eastAsiaTheme="minorEastAsia" w:hAnsi="Book Antiqua"/>
          <w:i/>
          <w:color w:val="000000" w:themeColor="text1"/>
          <w:sz w:val="24"/>
          <w:szCs w:val="24"/>
        </w:rPr>
        <w:t>etc</w:t>
      </w:r>
      <w:r>
        <w:rPr>
          <w:rFonts w:ascii="Book Antiqua" w:eastAsiaTheme="minorEastAsia" w:hAnsi="Book Antiqua"/>
          <w:color w:val="000000" w:themeColor="text1"/>
          <w:sz w:val="24"/>
          <w:szCs w:val="24"/>
        </w:rPr>
        <w:t>.; patients with lumbar disc degeneration and multi-segment recurrence; patients with skin damage or skin diseases; patients with serious medical diseases and mental diseases.</w:t>
      </w:r>
    </w:p>
    <w:p w:rsidR="005D4C7C" w:rsidRDefault="005D4C7C">
      <w:pPr>
        <w:spacing w:after="0" w:line="360" w:lineRule="auto"/>
        <w:ind w:firstLineChars="100" w:firstLine="240"/>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Methods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b/>
          <w:color w:val="000000" w:themeColor="text1"/>
          <w:sz w:val="24"/>
          <w:szCs w:val="24"/>
        </w:rPr>
        <w:t>Observation group (</w:t>
      </w:r>
      <w:r w:rsidR="000D5657">
        <w:rPr>
          <w:rFonts w:ascii="Book Antiqua" w:eastAsia="等线" w:hAnsi="Book Antiqua" w:cs="Times New Roman" w:hint="eastAsia"/>
          <w:b/>
          <w:bCs/>
          <w:color w:val="000000" w:themeColor="text1"/>
          <w:kern w:val="2"/>
          <w:sz w:val="24"/>
          <w:szCs w:val="24"/>
        </w:rPr>
        <w:t>MED</w:t>
      </w:r>
      <w:r>
        <w:rPr>
          <w:rFonts w:ascii="Book Antiqua" w:eastAsiaTheme="minorEastAsia" w:hAnsi="Book Antiqua"/>
          <w:b/>
          <w:color w:val="000000" w:themeColor="text1"/>
          <w:sz w:val="24"/>
          <w:szCs w:val="24"/>
        </w:rPr>
        <w:t>):</w:t>
      </w:r>
      <w:r>
        <w:rPr>
          <w:rFonts w:ascii="Book Antiqua" w:eastAsiaTheme="minorEastAsia" w:hAnsi="Book Antiqua"/>
          <w:color w:val="000000" w:themeColor="text1"/>
          <w:sz w:val="24"/>
          <w:szCs w:val="24"/>
        </w:rPr>
        <w:t xml:space="preserve"> During the operation, the patient was placed in the prone position, the abdomen was suspended using a U-shaped positioning pad, epidural anesthesia was performed during the operation, and the syringe needle space was inserted 1 cm near the midline of the target surgical vertebra. For the laminae, the location of the lesion was determined using C-arm X-ray fluoroscopy; a 0.5-1 cm length incision was made next to the midline of the intervertebral space, the lower back fascia was cut, and the cannula was gradually expanded to establish a surgical channel, and the free arm was used to fix the surgical site channel and operating table; the soft tissue on the surface of the yellow ligament and lamina was removed under direct vision, and the channel tube was organized so that the medial edge of the lower articular process, yellow ligaments and upper lamina could be clearly seen. The lumbar discoscope was inserted, the focal length and direction of the field of view were adjusted to confim that the surgical channel was correctly placed under fluoroscopy. Layered forceps were used to bite the lower edge of the lamina and cut the ligament longitudinally. The occlusion was removed, the nerve root and dura mater fully exposed, while traction protected the medial side, the protruding disc was exposed, the annulus fibrosus cut, and the diseased nucleus pulposus tissue was removed. The condition of the spinal canal in the saline pressure gap was checked to ensure that the compressed nerve root was completely released. A satisfactory standard of release was achieved when the nerve root was moved about 1 cm. A hemostatic gelatin sponge and hemostatic electrocoagulation can be used to treat intraspinal bleeding. The surgical site was flushed with saline several times to avoid inflammation or adhesion of the intervertebral disc. Following surgery, a rubber tube was placed for drainage, and the incision was sutured layer by layer.</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b/>
          <w:color w:val="000000" w:themeColor="text1"/>
          <w:sz w:val="24"/>
          <w:szCs w:val="24"/>
        </w:rPr>
        <w:t>The control group (</w:t>
      </w:r>
      <w:r>
        <w:rPr>
          <w:rFonts w:ascii="Book Antiqua" w:eastAsia="等线" w:hAnsi="Book Antiqua" w:cs="Times New Roman" w:hint="eastAsia"/>
          <w:b/>
          <w:bCs/>
          <w:color w:val="000000" w:themeColor="text1"/>
          <w:kern w:val="2"/>
          <w:sz w:val="24"/>
          <w:szCs w:val="24"/>
        </w:rPr>
        <w:t>open discectomy</w:t>
      </w:r>
      <w:r>
        <w:rPr>
          <w:rFonts w:ascii="Book Antiqua" w:eastAsiaTheme="minorEastAsia" w:hAnsi="Book Antiqua"/>
          <w:b/>
          <w:color w:val="000000" w:themeColor="text1"/>
          <w:sz w:val="24"/>
          <w:szCs w:val="24"/>
        </w:rPr>
        <w:t xml:space="preserve">): </w:t>
      </w:r>
      <w:r>
        <w:rPr>
          <w:rFonts w:ascii="Book Antiqua" w:eastAsiaTheme="minorEastAsia" w:hAnsi="Book Antiqua"/>
          <w:color w:val="000000" w:themeColor="text1"/>
          <w:sz w:val="24"/>
          <w:szCs w:val="24"/>
        </w:rPr>
        <w:t xml:space="preserve">The patient was placed in the prone position during surgery, the abdomen was suspended using a U-shaped cushion, epidural anesthesia was performed during the operation 5-8 cm in the middle of the target intervertebral space. An incision was made, the skin was cut layer by layer, in addition to the subcutaneous and lower back fascia, the paravertebral muscle tissue was peeled down the spinous process lamina, and the ligamentum flavum and lamina were fully exposed. At about 3 o'clock, the hyperplastic adhesive articular process or ligamentum flavum was removed. If necessary, the nerve root canal was dilated and decompressed. The nerve root was pulled inward and protected to expose the protruding intervertebral disc and the fibrosis was cut open. The ring was removed or protruding nucleus pulposus tissue, allowing the compressed nerve root to move inward by 8 mm or more to make it completely decompressed, repeatedly rinsing with physiological </w:t>
      </w:r>
      <w:r>
        <w:rPr>
          <w:rFonts w:ascii="Book Antiqua" w:eastAsiaTheme="minorEastAsia" w:hAnsi="Book Antiqua" w:hint="eastAsia"/>
          <w:color w:val="000000" w:themeColor="text1"/>
          <w:sz w:val="24"/>
          <w:szCs w:val="24"/>
          <w:highlight w:val="yellow"/>
        </w:rPr>
        <w:t>solution</w:t>
      </w:r>
      <w:r>
        <w:rPr>
          <w:rFonts w:ascii="Book Antiqua" w:eastAsiaTheme="minorEastAsia" w:hAnsi="Book Antiqua"/>
          <w:color w:val="000000" w:themeColor="text1"/>
          <w:sz w:val="24"/>
          <w:szCs w:val="24"/>
        </w:rPr>
        <w:t xml:space="preserve"> a drainage tube was inserted and the incision was sutured layer by layer.</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Postoperative treatment consisting of antibiotics, hormones, and dehydrating drugs were routinely used in both groups at 24-48 </w:t>
      </w:r>
      <w:r>
        <w:rPr>
          <w:rFonts w:ascii="Book Antiqua" w:eastAsiaTheme="minorEastAsia" w:hAnsi="Book Antiqua" w:hint="eastAsia"/>
          <w:color w:val="000000" w:themeColor="text1"/>
          <w:sz w:val="24"/>
          <w:szCs w:val="24"/>
        </w:rPr>
        <w:t>h</w:t>
      </w:r>
      <w:r>
        <w:rPr>
          <w:rFonts w:ascii="Book Antiqua" w:eastAsiaTheme="minorEastAsia" w:hAnsi="Book Antiqua"/>
          <w:color w:val="000000" w:themeColor="text1"/>
          <w:sz w:val="24"/>
          <w:szCs w:val="24"/>
        </w:rPr>
        <w:t xml:space="preserve"> postoperatively: (1) Observation group: rubber drainage strips were removed 24 </w:t>
      </w:r>
      <w:r>
        <w:rPr>
          <w:rFonts w:ascii="Book Antiqua" w:eastAsiaTheme="minorEastAsia" w:hAnsi="Book Antiqua" w:hint="eastAsia"/>
          <w:color w:val="000000" w:themeColor="text1"/>
          <w:sz w:val="24"/>
          <w:szCs w:val="24"/>
        </w:rPr>
        <w:t>h</w:t>
      </w:r>
      <w:r>
        <w:rPr>
          <w:rFonts w:ascii="Book Antiqua" w:eastAsiaTheme="minorEastAsia" w:hAnsi="Book Antiqua"/>
          <w:color w:val="000000" w:themeColor="text1"/>
          <w:sz w:val="24"/>
          <w:szCs w:val="24"/>
        </w:rPr>
        <w:t xml:space="preserve"> postoperatively, and lower limb and other basic activities were performed after symptoms appeared to reduce leg pain. Kick training; back muscle training 5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surgery was performed; stitches were removed </w:t>
      </w:r>
      <w:r w:rsidRPr="00A04C74">
        <w:rPr>
          <w:rFonts w:ascii="Book Antiqua" w:eastAsiaTheme="minorEastAsia" w:hAnsi="Book Antiqua"/>
          <w:color w:val="000000" w:themeColor="text1"/>
          <w:sz w:val="24"/>
          <w:szCs w:val="24"/>
          <w:highlight w:val="yellow"/>
        </w:rPr>
        <w:t>7</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surgery; normal activities and work gradually resumed 6-8 </w:t>
      </w:r>
      <w:r>
        <w:rPr>
          <w:rFonts w:ascii="Book Antiqua" w:eastAsiaTheme="minorEastAsia" w:hAnsi="Book Antiqua" w:hint="eastAsia"/>
          <w:color w:val="000000" w:themeColor="text1"/>
          <w:sz w:val="24"/>
          <w:szCs w:val="24"/>
        </w:rPr>
        <w:t>wk</w:t>
      </w:r>
      <w:r>
        <w:rPr>
          <w:rFonts w:ascii="Book Antiqua" w:eastAsiaTheme="minorEastAsia" w:hAnsi="Book Antiqua"/>
          <w:color w:val="000000" w:themeColor="text1"/>
          <w:sz w:val="24"/>
          <w:szCs w:val="24"/>
        </w:rPr>
        <w:t xml:space="preserve"> after surgery; </w:t>
      </w:r>
      <w:r>
        <w:rPr>
          <w:rFonts w:ascii="Book Antiqua" w:eastAsiaTheme="minorEastAsia" w:hAnsi="Book Antiqua" w:hint="eastAsia"/>
          <w:color w:val="000000" w:themeColor="text1"/>
          <w:sz w:val="24"/>
          <w:szCs w:val="24"/>
        </w:rPr>
        <w:t xml:space="preserve">and </w:t>
      </w:r>
      <w:r>
        <w:rPr>
          <w:rFonts w:ascii="Book Antiqua" w:eastAsiaTheme="minorEastAsia" w:hAnsi="Book Antiqua"/>
          <w:color w:val="000000" w:themeColor="text1"/>
          <w:sz w:val="24"/>
          <w:szCs w:val="24"/>
        </w:rPr>
        <w:t>(2) Control group: postoperative drainage was &lt;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50 mL/d. At that time, the drainage tube was removed, and the indwelling time did not exceed 48 </w:t>
      </w:r>
      <w:r>
        <w:rPr>
          <w:rFonts w:ascii="Book Antiqua" w:eastAsiaTheme="minorEastAsia" w:hAnsi="Book Antiqua" w:hint="eastAsia"/>
          <w:color w:val="000000" w:themeColor="text1"/>
          <w:sz w:val="24"/>
          <w:szCs w:val="24"/>
        </w:rPr>
        <w:t>h</w:t>
      </w:r>
      <w:r>
        <w:rPr>
          <w:rFonts w:ascii="Book Antiqua" w:eastAsiaTheme="minorEastAsia" w:hAnsi="Book Antiqua"/>
          <w:color w:val="000000" w:themeColor="text1"/>
          <w:sz w:val="24"/>
          <w:szCs w:val="24"/>
        </w:rPr>
        <w:t xml:space="preserve">. After alleviating the symptoms of lower back pain, basic activities such as kick training for the lower limbs were performed; lumbar and back muscle training was performed 7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the operation; sutures were removed 10 to 14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the operation; normal work was resumed three months after the operation.</w:t>
      </w:r>
    </w:p>
    <w:p w:rsidR="005D4C7C" w:rsidRDefault="005D4C7C">
      <w:pPr>
        <w:spacing w:after="0" w:line="360" w:lineRule="auto"/>
        <w:ind w:firstLineChars="200" w:firstLine="480"/>
        <w:jc w:val="both"/>
        <w:rPr>
          <w:rFonts w:ascii="Book Antiqua" w:eastAsiaTheme="minorEastAsia" w:hAnsi="Book Antiqua"/>
          <w:color w:val="000000" w:themeColor="text1"/>
          <w:sz w:val="24"/>
          <w:szCs w:val="24"/>
        </w:rPr>
      </w:pPr>
    </w:p>
    <w:p w:rsidR="005D4C7C" w:rsidRDefault="00D55AAA">
      <w:pPr>
        <w:spacing w:after="0" w:line="360" w:lineRule="auto"/>
        <w:jc w:val="both"/>
        <w:rPr>
          <w:rStyle w:val="apple-converted-space"/>
          <w:rFonts w:ascii="Book Antiqua" w:eastAsiaTheme="minorEastAsia" w:hAnsi="Book Antiqua" w:cs="Arial"/>
          <w:b/>
          <w:bCs/>
          <w:i/>
          <w:color w:val="000000" w:themeColor="text1"/>
          <w:sz w:val="24"/>
          <w:szCs w:val="24"/>
          <w:shd w:val="clear" w:color="auto" w:fill="FFFFFF"/>
        </w:rPr>
      </w:pPr>
      <w:r>
        <w:rPr>
          <w:rStyle w:val="apple-converted-space"/>
          <w:rFonts w:ascii="Book Antiqua" w:eastAsiaTheme="minorEastAsia" w:hAnsi="Book Antiqua" w:cs="Arial"/>
          <w:b/>
          <w:bCs/>
          <w:i/>
          <w:color w:val="000000" w:themeColor="text1"/>
          <w:sz w:val="24"/>
          <w:szCs w:val="24"/>
          <w:shd w:val="clear" w:color="auto" w:fill="FFFFFF"/>
        </w:rPr>
        <w:t>Observation indicators and efficacy evaluation</w:t>
      </w:r>
    </w:p>
    <w:p w:rsidR="005D4C7C" w:rsidRDefault="00D55AAA">
      <w:pPr>
        <w:spacing w:after="0" w:line="360" w:lineRule="auto"/>
        <w:jc w:val="both"/>
        <w:rPr>
          <w:rStyle w:val="apple-converted-space"/>
          <w:rFonts w:ascii="Book Antiqua" w:eastAsia="宋体" w:hAnsi="Book Antiqua" w:cs="宋体"/>
          <w:color w:val="000000" w:themeColor="text1"/>
          <w:sz w:val="24"/>
          <w:szCs w:val="24"/>
          <w:shd w:val="clear" w:color="auto" w:fill="FFFFFF"/>
        </w:rPr>
      </w:pPr>
      <w:r>
        <w:rPr>
          <w:rStyle w:val="apple-converted-space"/>
          <w:rFonts w:ascii="Book Antiqua" w:eastAsia="宋体" w:hAnsi="Book Antiqua" w:cs="宋体"/>
          <w:color w:val="000000" w:themeColor="text1"/>
          <w:sz w:val="24"/>
          <w:szCs w:val="24"/>
          <w:shd w:val="clear" w:color="auto" w:fill="FFFFFF"/>
        </w:rPr>
        <w:t>(1) Surgical indicators in the two groups of patients were compared, including the operation time, the amount of blood loss during the operation, the length of the incision, the length of time spent in bed, and the length of hospital stay. The Japanese Orthopedic Association has the highest score for lumbar spine disease with 29 points - excellent: recovery rate greater than 90%; good: recovery rate 75%-89%; general: recovery rate 50%-74%; poor: recovery rate less than 49%; (</w:t>
      </w:r>
      <w:r>
        <w:rPr>
          <w:rStyle w:val="apple-converted-space"/>
          <w:rFonts w:ascii="Book Antiqua" w:eastAsia="宋体" w:hAnsi="Book Antiqua" w:cs="宋体" w:hint="eastAsia"/>
          <w:color w:val="000000" w:themeColor="text1"/>
          <w:sz w:val="24"/>
          <w:szCs w:val="24"/>
          <w:shd w:val="clear" w:color="auto" w:fill="FFFFFF"/>
        </w:rPr>
        <w:t>2</w:t>
      </w:r>
      <w:r>
        <w:rPr>
          <w:rStyle w:val="apple-converted-space"/>
          <w:rFonts w:ascii="Book Antiqua" w:eastAsia="宋体" w:hAnsi="Book Antiqua" w:cs="宋体"/>
          <w:color w:val="000000" w:themeColor="text1"/>
          <w:sz w:val="24"/>
          <w:szCs w:val="24"/>
          <w:shd w:val="clear" w:color="auto" w:fill="FFFFFF"/>
        </w:rPr>
        <w:t xml:space="preserve">) In order to assess the pain level in the two groups of patients, the visual analog scale (VAS) was used to evaluate the pain scores at 1 d, 3 d, 1 mo and 6 mo before and after surgery using a score of 0-10 points, the higher the score, the greater the pain; </w:t>
      </w:r>
      <w:r>
        <w:rPr>
          <w:rStyle w:val="apple-converted-space"/>
          <w:rFonts w:ascii="Book Antiqua" w:eastAsia="宋体" w:hAnsi="Book Antiqua" w:cs="宋体" w:hint="eastAsia"/>
          <w:color w:val="000000" w:themeColor="text1"/>
          <w:sz w:val="24"/>
          <w:szCs w:val="24"/>
          <w:shd w:val="clear" w:color="auto" w:fill="FFFFFF"/>
        </w:rPr>
        <w:t xml:space="preserve">and </w:t>
      </w:r>
      <w:r>
        <w:rPr>
          <w:rStyle w:val="apple-converted-space"/>
          <w:rFonts w:ascii="Book Antiqua" w:eastAsia="宋体" w:hAnsi="Book Antiqua" w:cs="宋体"/>
          <w:color w:val="000000" w:themeColor="text1"/>
          <w:sz w:val="24"/>
          <w:szCs w:val="24"/>
          <w:shd w:val="clear" w:color="auto" w:fill="FFFFFF"/>
        </w:rPr>
        <w:t>(</w:t>
      </w:r>
      <w:r>
        <w:rPr>
          <w:rStyle w:val="apple-converted-space"/>
          <w:rFonts w:ascii="Book Antiqua" w:eastAsia="宋体" w:hAnsi="Book Antiqua" w:cs="宋体" w:hint="eastAsia"/>
          <w:color w:val="000000" w:themeColor="text1"/>
          <w:sz w:val="24"/>
          <w:szCs w:val="24"/>
          <w:shd w:val="clear" w:color="auto" w:fill="FFFFFF"/>
        </w:rPr>
        <w:t>3</w:t>
      </w:r>
      <w:r>
        <w:rPr>
          <w:rStyle w:val="apple-converted-space"/>
          <w:rFonts w:ascii="Book Antiqua" w:eastAsia="宋体" w:hAnsi="Book Antiqua" w:cs="宋体"/>
          <w:color w:val="000000" w:themeColor="text1"/>
          <w:sz w:val="24"/>
          <w:szCs w:val="24"/>
          <w:shd w:val="clear" w:color="auto" w:fill="FFFFFF"/>
        </w:rPr>
        <w:t>) Intraoperative and postoperative complications in both groups of patients were determined, including dura rupture, nerve root injury, wound infection, lumbar spine instability, and postoperative recurrence.</w:t>
      </w:r>
    </w:p>
    <w:p w:rsidR="005D4C7C" w:rsidRDefault="005D4C7C">
      <w:pPr>
        <w:spacing w:after="0" w:line="360" w:lineRule="auto"/>
        <w:jc w:val="both"/>
        <w:rPr>
          <w:rStyle w:val="apple-converted-space"/>
          <w:rFonts w:ascii="Book Antiqua" w:eastAsiaTheme="minorEastAsia" w:hAnsi="Book Antiqua" w:cs="Arial"/>
          <w:color w:val="000000" w:themeColor="text1"/>
          <w:sz w:val="24"/>
          <w:szCs w:val="24"/>
          <w:shd w:val="clear" w:color="auto" w:fill="FFFFFF"/>
        </w:rPr>
      </w:pPr>
    </w:p>
    <w:p w:rsidR="005D4C7C" w:rsidRDefault="00D55AAA">
      <w:pPr>
        <w:spacing w:after="0" w:line="360" w:lineRule="auto"/>
        <w:jc w:val="both"/>
        <w:rPr>
          <w:rStyle w:val="apple-converted-space"/>
          <w:rFonts w:ascii="Book Antiqua" w:eastAsiaTheme="minorEastAsia" w:hAnsi="Book Antiqua" w:cs="Arial"/>
          <w:b/>
          <w:bCs/>
          <w:i/>
          <w:color w:val="000000" w:themeColor="text1"/>
          <w:sz w:val="24"/>
          <w:szCs w:val="24"/>
          <w:shd w:val="clear" w:color="auto" w:fill="FFFFFF"/>
        </w:rPr>
      </w:pPr>
      <w:r>
        <w:rPr>
          <w:rStyle w:val="apple-converted-space"/>
          <w:rFonts w:ascii="Book Antiqua" w:eastAsiaTheme="minorEastAsia" w:hAnsi="Book Antiqua" w:cs="Arial"/>
          <w:b/>
          <w:bCs/>
          <w:i/>
          <w:color w:val="000000" w:themeColor="text1"/>
          <w:sz w:val="24"/>
          <w:szCs w:val="24"/>
          <w:shd w:val="clear" w:color="auto" w:fill="FFFFFF"/>
        </w:rPr>
        <w:t>Statistical analysis</w:t>
      </w:r>
    </w:p>
    <w:p w:rsidR="005D4C7C" w:rsidRDefault="00D55AAA">
      <w:pPr>
        <w:spacing w:after="0" w:line="360" w:lineRule="auto"/>
        <w:jc w:val="both"/>
        <w:rPr>
          <w:rFonts w:ascii="Book Antiqua" w:eastAsia="宋体" w:hAnsi="Book Antiqua" w:cs="Arial"/>
          <w:color w:val="000000" w:themeColor="text1"/>
          <w:sz w:val="24"/>
          <w:szCs w:val="24"/>
          <w:shd w:val="clear" w:color="auto" w:fill="FFFFFF"/>
        </w:rPr>
      </w:pPr>
      <w:r>
        <w:rPr>
          <w:rFonts w:ascii="Book Antiqua" w:eastAsia="宋体" w:hAnsi="Book Antiqua" w:cs="Arial"/>
          <w:color w:val="000000" w:themeColor="text1"/>
          <w:sz w:val="24"/>
          <w:szCs w:val="24"/>
          <w:shd w:val="clear" w:color="auto" w:fill="FFFFFF"/>
        </w:rPr>
        <w:t>SPSS 21.0 software was used to compile the research data. The count data were expressed as [</w:t>
      </w:r>
      <w:r>
        <w:rPr>
          <w:rFonts w:ascii="Book Antiqua" w:eastAsia="宋体" w:hAnsi="Book Antiqua" w:cs="Arial"/>
          <w:i/>
          <w:color w:val="000000" w:themeColor="text1"/>
          <w:sz w:val="24"/>
          <w:szCs w:val="24"/>
          <w:shd w:val="clear" w:color="auto" w:fill="FFFFFF"/>
        </w:rPr>
        <w:t>n</w:t>
      </w:r>
      <w:r>
        <w:rPr>
          <w:rFonts w:ascii="Book Antiqua" w:eastAsia="宋体" w:hAnsi="Book Antiqua" w:cs="Arial"/>
          <w:color w:val="000000" w:themeColor="text1"/>
          <w:sz w:val="24"/>
          <w:szCs w:val="24"/>
          <w:shd w:val="clear" w:color="auto" w:fill="FFFFFF"/>
        </w:rPr>
        <w:t xml:space="preserve"> (%)], and the </w:t>
      </w:r>
      <w:r>
        <w:rPr>
          <w:rFonts w:ascii="Book Antiqua" w:eastAsia="宋体" w:hAnsi="Book Antiqua" w:cs="Arial"/>
          <w:i/>
          <w:color w:val="000000" w:themeColor="text1"/>
          <w:sz w:val="24"/>
          <w:szCs w:val="24"/>
          <w:shd w:val="clear" w:color="auto" w:fill="FFFFFF"/>
        </w:rPr>
        <w:t>χ</w:t>
      </w:r>
      <w:r>
        <w:rPr>
          <w:rFonts w:ascii="Book Antiqua" w:eastAsia="宋体" w:hAnsi="Book Antiqua" w:cs="Arial"/>
          <w:color w:val="000000" w:themeColor="text1"/>
          <w:sz w:val="24"/>
          <w:szCs w:val="24"/>
          <w:shd w:val="clear" w:color="auto" w:fill="FFFFFF"/>
          <w:vertAlign w:val="superscript"/>
        </w:rPr>
        <w:t>2</w:t>
      </w:r>
      <w:r>
        <w:rPr>
          <w:rFonts w:ascii="Book Antiqua" w:eastAsia="宋体" w:hAnsi="Book Antiqua" w:cs="Arial"/>
          <w:color w:val="000000" w:themeColor="text1"/>
          <w:sz w:val="24"/>
          <w:szCs w:val="24"/>
          <w:shd w:val="clear" w:color="auto" w:fill="FFFFFF"/>
        </w:rPr>
        <w:t xml:space="preserve"> test was performed. Measured data (mean ± SD) were analyzed using the </w:t>
      </w:r>
      <w:r>
        <w:rPr>
          <w:rFonts w:ascii="Book Antiqua" w:eastAsia="宋体" w:hAnsi="Book Antiqua" w:cs="Arial"/>
          <w:i/>
          <w:color w:val="000000" w:themeColor="text1"/>
          <w:sz w:val="24"/>
          <w:szCs w:val="24"/>
          <w:shd w:val="clear" w:color="auto" w:fill="FFFFFF"/>
        </w:rPr>
        <w:t>t</w:t>
      </w:r>
      <w:r>
        <w:rPr>
          <w:rFonts w:ascii="Book Antiqua" w:eastAsia="宋体" w:hAnsi="Book Antiqua" w:cs="Arial"/>
          <w:color w:val="000000" w:themeColor="text1"/>
          <w:sz w:val="24"/>
          <w:szCs w:val="24"/>
          <w:shd w:val="clear" w:color="auto" w:fill="FFFFFF"/>
        </w:rPr>
        <w:t xml:space="preserve">-test, and the grade data were analyzed using a non-parametric test. </w:t>
      </w:r>
      <w:r>
        <w:rPr>
          <w:rFonts w:ascii="Book Antiqua" w:eastAsia="宋体" w:hAnsi="Book Antiqua" w:cs="Arial"/>
          <w:i/>
          <w:color w:val="000000" w:themeColor="text1"/>
          <w:sz w:val="24"/>
          <w:szCs w:val="24"/>
          <w:shd w:val="clear" w:color="auto" w:fill="FFFFFF"/>
        </w:rPr>
        <w:t>P</w:t>
      </w:r>
      <w:r>
        <w:rPr>
          <w:rFonts w:ascii="Book Antiqua" w:eastAsia="宋体" w:hAnsi="Book Antiqua" w:cs="Arial"/>
          <w:color w:val="000000" w:themeColor="text1"/>
          <w:sz w:val="24"/>
          <w:szCs w:val="24"/>
          <w:shd w:val="clear" w:color="auto" w:fill="FFFFFF"/>
        </w:rPr>
        <w:t xml:space="preserve"> &lt;</w:t>
      </w:r>
      <w:r>
        <w:rPr>
          <w:rFonts w:ascii="Book Antiqua" w:eastAsia="宋体" w:hAnsi="Book Antiqua" w:cs="Arial" w:hint="eastAsia"/>
          <w:color w:val="000000" w:themeColor="text1"/>
          <w:sz w:val="24"/>
          <w:szCs w:val="24"/>
          <w:shd w:val="clear" w:color="auto" w:fill="FFFFFF"/>
        </w:rPr>
        <w:t xml:space="preserve"> </w:t>
      </w:r>
      <w:r>
        <w:rPr>
          <w:rFonts w:ascii="Book Antiqua" w:eastAsia="宋体" w:hAnsi="Book Antiqua" w:cs="Arial"/>
          <w:color w:val="000000" w:themeColor="text1"/>
          <w:sz w:val="24"/>
          <w:szCs w:val="24"/>
          <w:shd w:val="clear" w:color="auto" w:fill="FFFFFF"/>
        </w:rPr>
        <w:t>0.05 indicated that the difference was statistically significant.</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u w:val="single"/>
        </w:rPr>
      </w:pPr>
      <w:r>
        <w:rPr>
          <w:rFonts w:ascii="Book Antiqua" w:eastAsiaTheme="minorEastAsia" w:hAnsi="Book Antiqua"/>
          <w:b/>
          <w:color w:val="000000" w:themeColor="text1"/>
          <w:sz w:val="24"/>
          <w:szCs w:val="24"/>
          <w:u w:val="single"/>
        </w:rPr>
        <w:t>RESULTS</w:t>
      </w: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the surgical indicators in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In the observation group, the operation time was longer than that in the control group, blood loss during surgery was less than that in the control group, and the length of the incision was shorter than that in the control group. Postoperative bed time and hospitalization time were also shorter than those in the control group, and the difference between the two groups was statistically significant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1).</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the excellent and good recovery rate of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The excellent recovery rate of patients in the observation group 6 </w:t>
      </w:r>
      <w:r>
        <w:rPr>
          <w:rFonts w:ascii="Book Antiqua" w:eastAsiaTheme="minorEastAsia" w:hAnsi="Book Antiqua" w:hint="eastAsia"/>
          <w:color w:val="000000" w:themeColor="text1"/>
          <w:sz w:val="24"/>
          <w:szCs w:val="24"/>
        </w:rPr>
        <w:t>mo</w:t>
      </w:r>
      <w:r>
        <w:rPr>
          <w:rFonts w:ascii="Book Antiqua" w:eastAsiaTheme="minorEastAsia" w:hAnsi="Book Antiqua"/>
          <w:color w:val="000000" w:themeColor="text1"/>
          <w:sz w:val="24"/>
          <w:szCs w:val="24"/>
        </w:rPr>
        <w:t xml:space="preserve"> after the operation was 93.75%, and was 91.67% in the control group. There was no significant difference between the two groups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&gt;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2).</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VAS pain scores before and after surgery in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There was no significant difference in preoperative VAS pain score between the two groups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&gt;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0.05). The VAS pain scores at 1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3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1 </w:t>
      </w:r>
      <w:r>
        <w:rPr>
          <w:rFonts w:ascii="Book Antiqua" w:eastAsiaTheme="minorEastAsia" w:hAnsi="Book Antiqua" w:hint="eastAsia"/>
          <w:color w:val="000000" w:themeColor="text1"/>
          <w:sz w:val="24"/>
          <w:szCs w:val="24"/>
        </w:rPr>
        <w:t>mo</w:t>
      </w:r>
      <w:r>
        <w:rPr>
          <w:rFonts w:ascii="Book Antiqua" w:eastAsiaTheme="minorEastAsia" w:hAnsi="Book Antiqua"/>
          <w:color w:val="000000" w:themeColor="text1"/>
          <w:sz w:val="24"/>
          <w:szCs w:val="24"/>
        </w:rPr>
        <w:t xml:space="preserve"> and 6 </w:t>
      </w:r>
      <w:r>
        <w:rPr>
          <w:rFonts w:ascii="Book Antiqua" w:eastAsiaTheme="minorEastAsia" w:hAnsi="Book Antiqua" w:hint="eastAsia"/>
          <w:color w:val="000000" w:themeColor="text1"/>
          <w:sz w:val="24"/>
          <w:szCs w:val="24"/>
        </w:rPr>
        <w:t>mo</w:t>
      </w:r>
      <w:r>
        <w:rPr>
          <w:rFonts w:ascii="Book Antiqua" w:eastAsiaTheme="minorEastAsia" w:hAnsi="Book Antiqua"/>
          <w:color w:val="000000" w:themeColor="text1"/>
          <w:sz w:val="24"/>
          <w:szCs w:val="24"/>
        </w:rPr>
        <w:t xml:space="preserve"> in the observation group were lower than those in the control group. The difference between the two groups was statistically significant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3).</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intraoperative and postoperative complications between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 total of 3 patients in the observation group had various degrees of complications during and after surgery, with an incidence rate of 6.25%. A total of 11 patients in the control group had various degrees of complications, with an incidence rate was 22.92%. The difference between the two groups was statistically significant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4).</w:t>
      </w:r>
    </w:p>
    <w:p w:rsidR="005D4C7C" w:rsidRDefault="005D4C7C">
      <w:pPr>
        <w:spacing w:after="0" w:line="360" w:lineRule="auto"/>
        <w:jc w:val="both"/>
        <w:rPr>
          <w:rFonts w:ascii="Book Antiqua" w:eastAsiaTheme="minorEastAsia" w:hAnsi="Book Antiqua"/>
          <w:b/>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u w:val="single"/>
        </w:rPr>
      </w:pPr>
      <w:r>
        <w:rPr>
          <w:rFonts w:ascii="Book Antiqua" w:eastAsiaTheme="minorEastAsia" w:hAnsi="Book Antiqua"/>
          <w:b/>
          <w:color w:val="000000" w:themeColor="text1"/>
          <w:sz w:val="24"/>
          <w:szCs w:val="24"/>
          <w:u w:val="single"/>
        </w:rPr>
        <w:t>DISCUSSION</w:t>
      </w:r>
    </w:p>
    <w:p w:rsidR="005D4C7C" w:rsidRDefault="00D55AAA">
      <w:pPr>
        <w:spacing w:after="0" w:line="360" w:lineRule="auto"/>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In the clinic, approximately 20% of patients have lumbar and leg pain symptoms that are caused by lumbar disc herniation. This is because people over the age of 20 years will begin to experience degenerative changes in their intervertebral disc tissue due to increased activity. If patients are overweight, there will be negative consequences: intervertebral disc tissues will be damaged, and the annulus fibrosis will be damaged. The nucleus pulposus mechanically compresses the nerve root, causing symptoms such as waist and leg pain and restricted mobility</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KYMRREF{2827EE3C-66B4-4477-88B0-BE4066AB322F}182</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[5]</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Due to poor repairability of the intervertebral disc tissue and poor blood supply, targeted treatment can restore health; otherwise, patients can easily become disabled. Most patients with single-segment lumbar disc herniation can obtain better rehabilitation results through conservative treatment, such as medicine, acupuncture and massage, as this type of treatment results in low pain levels, low costs and strong resistance</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KYMRREF{2827EE3C-66B4-4477-88B0-BE4066AB322F}181,{2827EE3C-66B4-4477-88B0-BE4066AB322F}180,{2827EE3C-66B4-4477-88B0-BE4066AB322F}179</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[6-8]</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Patient acceptance of this treatment is high. However, in approximately 10%-20% of patients after formal and systematic conservative treatment, the condition still worsens or the condition does not improve; then, surgical treatment is required.</w:t>
      </w:r>
    </w:p>
    <w:p w:rsidR="005D4C7C" w:rsidRDefault="00D55AAA">
      <w:pPr>
        <w:spacing w:after="0" w:line="360" w:lineRule="auto"/>
        <w:ind w:firstLineChars="100" w:firstLine="240"/>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 xml:space="preserve">The conventional surgical methods are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and lamellar fenestration. The effect is better with these methods than with open surgery</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KYMRREF{2827EE3C-66B4-4477-88B0-BE4066AB322F}188</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[9]</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Decompression is thorough and suitable for patients with different types of single-segment lumbar disc herniation</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KYMRREF{2827EE3C-66B4-4477-88B0-BE4066AB322F}178</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[10]</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In addition, surgery provides excellent vision and a wide range of exploration in the spinal canal. It can avoid the omission of free nucleus pulposus, reduce damage to the nerve root and dura mater during surgery, and expand the nerve root and lateral crypt more conveniently. However, surgery can cause greater trauma to the body and cause massive bleeding during the operation. The long bed-rest period after surgery can also easily induce low back pain, lumbar instability and recurrence. In addition,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can cause hyperplasia and adhesion of scar tissue, can cause nerve root adhesion and spinal stenosis, and can reduce patient prognosis. This is not ideal, and there are certain limitations in its clinical application. At present, increasing attention is focused on the stability, integrity and postoperative complications after spinal surgery. Therefore, surgical methods are constantly being updated. With the improvement in surgical instruments, disc nucleus pulposus excision can address lesions such as crypt stenosis, nerve root adhesion, disc tissue dislocation and protrusion under direct vision and has a wide range of indications; therefore, it has broad application prospects for clinical use. Furthermore, the use of the camera system and endoscope can visualize the surgical area, can clearly show the tissue anatomy, and can avoid nerve roots during surgery</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KYMRREF{2827EE3C-66B4-4477-88B0-BE4066AB322F}172</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[4]</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however, the various procedures involved in this operation are carried out in a working channel with a size of approximately 1.6 cm. This channel exists when exploring the spinal canal, and limitations will affect the expansion of spinal stenosis</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KYMRREF{2827EE3C-66B4-4477-88B0-BE4066AB322F}191</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[11]</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w:t>
      </w:r>
    </w:p>
    <w:p w:rsidR="005D4C7C" w:rsidRDefault="00D55AAA">
      <w:pPr>
        <w:spacing w:after="0" w:line="360" w:lineRule="auto"/>
        <w:ind w:firstLineChars="100" w:firstLine="240"/>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 xml:space="preserve">In this study, 48 patients undergoing lumbar discectomy and nuclear enucleation in the observation group and 48 patients undergoing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and nuclear enucleation in the control group were followed for 6 </w:t>
      </w:r>
      <w:r>
        <w:rPr>
          <w:rFonts w:ascii="Book Antiqua" w:eastAsiaTheme="minorEastAsia" w:hAnsi="Book Antiqua" w:hint="eastAsia"/>
          <w:color w:val="000000" w:themeColor="text1"/>
          <w:sz w:val="24"/>
          <w:szCs w:val="24"/>
        </w:rPr>
        <w:t>mo</w:t>
      </w:r>
      <w:r>
        <w:rPr>
          <w:rFonts w:ascii="Book Antiqua" w:eastAsiaTheme="minorEastAsia" w:hAnsi="Book Antiqua"/>
          <w:color w:val="000000" w:themeColor="text1"/>
          <w:sz w:val="24"/>
          <w:szCs w:val="24"/>
        </w:rPr>
        <w:t>. T</w:t>
      </w:r>
      <w:r>
        <w:rPr>
          <w:rFonts w:ascii="Book Antiqua" w:eastAsiaTheme="minorEastAsia" w:hAnsi="Book Antiqua" w:cs="Arial"/>
          <w:color w:val="000000" w:themeColor="text1"/>
          <w:sz w:val="24"/>
          <w:szCs w:val="24"/>
          <w:shd w:val="clear" w:color="auto" w:fill="FFFFFF"/>
        </w:rPr>
        <w:t>he excellent and good recovery rate in the observation group was 93.75% and the rate in the control group was 91.67%, and there was no significant difference between the two groups (</w:t>
      </w:r>
      <w:r>
        <w:rPr>
          <w:rFonts w:ascii="Book Antiqua" w:eastAsiaTheme="minorEastAsia" w:hAnsi="Book Antiqua" w:cs="Arial"/>
          <w:i/>
          <w:color w:val="000000" w:themeColor="text1"/>
          <w:sz w:val="24"/>
          <w:szCs w:val="24"/>
          <w:shd w:val="clear" w:color="auto" w:fill="FFFFFF"/>
        </w:rPr>
        <w:t>P</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&gt;</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0.05). The two surgical methods achieved the same degree of recovery. The reason for this is that both surgical methods were performed directly. Both methods completely removed the nucleus pulposus and reduced the pressure on the nerve roots; thus, the symptoms associated with movement disorders, gait, and lower back pain were significantly reduced, resulting in good recovery.</w:t>
      </w:r>
    </w:p>
    <w:p w:rsidR="005D4C7C" w:rsidRDefault="00D55AAA">
      <w:pPr>
        <w:spacing w:after="0" w:line="360" w:lineRule="auto"/>
        <w:ind w:firstLineChars="100" w:firstLine="240"/>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In addition, in this study, compared with the control group, the observation group had a shorter bed-rest time and hospital stay, less blood loss during surgery, and shorter incision lengths. In terms of the postoperative VAS pain scores at 1 d, 3 d, 1 mo, and 6 mo, the scores were low, and the differences between the two groups were statistically significant (</w:t>
      </w:r>
      <w:r>
        <w:rPr>
          <w:rFonts w:ascii="Book Antiqua" w:eastAsiaTheme="minorEastAsia" w:hAnsi="Book Antiqua" w:cs="Arial"/>
          <w:i/>
          <w:color w:val="000000" w:themeColor="text1"/>
          <w:sz w:val="24"/>
          <w:szCs w:val="24"/>
          <w:shd w:val="clear" w:color="auto" w:fill="FFFFFF"/>
        </w:rPr>
        <w:t>P</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&lt;</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0.05). Lumbar discectomy achieved a higher quality of surgery, had faster healing and reduced pain more quickly after surgery. In addition, the rate of complications in this group was 6.25%, which was lower than the rate of 22.92% in the control group. The difference between the two groups was statistically significant (</w:t>
      </w:r>
      <w:r>
        <w:rPr>
          <w:rFonts w:ascii="Book Antiqua" w:eastAsiaTheme="minorEastAsia" w:hAnsi="Book Antiqua" w:cs="Arial"/>
          <w:i/>
          <w:color w:val="000000" w:themeColor="text1"/>
          <w:sz w:val="24"/>
          <w:szCs w:val="24"/>
          <w:shd w:val="clear" w:color="auto" w:fill="FFFFFF"/>
        </w:rPr>
        <w:t>P</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&lt;</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0.05). The application of a lumbar discoscope can reduce various complications during and after surgery</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KYMRREF{2827EE3C-66B4-4477-88B0-BE4066AB322F}171,{2827EE3C-66B4-4477-88B0-BE4066AB322F}185</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[12,13]</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The reason for this is that the dorsal branch of the spinal nerve dominates the paravertebral muscles and lumbar spine joints, and the lumbar spine joint is dominated by more than two spinal cord segments</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KYMRREF{2827EE3C-66B4-4477-88B0-BE4066AB322F}186,{2827EE3C-66B4-4477-88B0-BE4066AB322F}190</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[14,15]</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If this nerve is injured, the patient will have symptoms of back pain. During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the paraspinal muscles adjacent to the laminae are extensively dissected, and inevitably, the neurovasculature of the lower joints and paravertebral muscles are inevitably injured during the operation. At the same time, during the operation, the hook will compress the paravertebral muscles for a long time, which will cause ischemic injury to the paravertebral muscles. In severe cases, the symptoms of low back pain cannot be effectively improved. During lumbar discectomy, it is not easy to place an expansion tube in the paravertebral muscles to establish a working channel, and it is not necessary to dissect the paravertebral muscles on a large scale. Damage to nerves and blood vessels that dominate facet joints and paravertebral muscles is apparent</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KYMRREF{2827EE3C-66B4-4477-88B0-BE4066AB322F}177</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[16]</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In addition, lumbar discectomy can enlarge local tissue through the monitor, improve the accuracy of the operation, and reduce the degree of damage to the paravertebral muscles. Postoperative pain is less severe, recovery is faster, lumbar spine and back function training can be started early, wound infections are reduced, as well as lumbar instability and other complications, and hospital stay is shortened</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KYMRREF{2827EE3C-66B4-4477-88B0-BE4066AB322F}173,{2827EE3C-66B4-4477-88B0-BE4066AB322F}175</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[17,18]</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However, all operations under </w:t>
      </w:r>
      <w:r>
        <w:rPr>
          <w:rFonts w:ascii="Book Antiqua" w:eastAsiaTheme="minorEastAsia" w:hAnsi="Book Antiqua" w:cs="Arial" w:hint="eastAsia"/>
          <w:color w:val="000000" w:themeColor="text1"/>
          <w:sz w:val="24"/>
          <w:szCs w:val="24"/>
          <w:shd w:val="clear" w:color="auto" w:fill="FFFFFF"/>
        </w:rPr>
        <w:t>MED</w:t>
      </w:r>
      <w:r>
        <w:rPr>
          <w:rFonts w:ascii="Book Antiqua" w:eastAsiaTheme="minorEastAsia" w:hAnsi="Book Antiqua" w:cs="Arial"/>
          <w:color w:val="000000" w:themeColor="text1"/>
          <w:sz w:val="24"/>
          <w:szCs w:val="24"/>
          <w:shd w:val="clear" w:color="auto" w:fill="FFFFFF"/>
        </w:rPr>
        <w:t xml:space="preserve"> are performed in narrow passages, which will reduce the scope of the operation and increase the difficulty of the operation</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KYMRREF{2827EE3C-66B4-4477-88B0-BE4066AB322F}184</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[19]</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This requires surgeons with strong operating skills and surgical experience. The removal of lamellar nuclei is also a reason for the longer operation time</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KYMRREF{2827EE3C-66B4-4477-88B0-BE4066AB322F}187,{2827EE3C-66B4-4477-88B0-BE4066AB322F}189</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[20,21]</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w:t>
      </w:r>
    </w:p>
    <w:p w:rsidR="005D4C7C" w:rsidRDefault="00D55AAA">
      <w:pPr>
        <w:spacing w:after="0" w:line="360" w:lineRule="auto"/>
        <w:ind w:firstLineChars="100" w:firstLine="240"/>
        <w:jc w:val="both"/>
        <w:rPr>
          <w:rStyle w:val="apple-converted-space"/>
          <w:rFonts w:ascii="Book Antiqua" w:eastAsiaTheme="minorEastAsia" w:hAnsi="Book Antiqua" w:cs="Arial"/>
          <w:color w:val="000000" w:themeColor="text1"/>
          <w:sz w:val="24"/>
          <w:szCs w:val="24"/>
        </w:rPr>
      </w:pPr>
      <w:r>
        <w:rPr>
          <w:rFonts w:ascii="Book Antiqua" w:eastAsiaTheme="minorEastAsia" w:hAnsi="Book Antiqua" w:cs="Arial"/>
          <w:color w:val="000000" w:themeColor="text1"/>
          <w:sz w:val="24"/>
          <w:szCs w:val="24"/>
          <w:shd w:val="clear" w:color="auto" w:fill="FFFFFF"/>
        </w:rPr>
        <w:t xml:space="preserve">In summary, for the treatment of single-segment lumbar disc herniation, </w:t>
      </w:r>
      <w:r>
        <w:rPr>
          <w:rFonts w:ascii="Book Antiqua" w:eastAsiaTheme="minorEastAsia" w:hAnsi="Book Antiqua" w:cs="Arial" w:hint="eastAsia"/>
          <w:color w:val="000000" w:themeColor="text1"/>
          <w:sz w:val="24"/>
          <w:szCs w:val="24"/>
          <w:shd w:val="clear" w:color="auto" w:fill="FFFFFF"/>
        </w:rPr>
        <w:t>MED</w:t>
      </w:r>
      <w:r>
        <w:rPr>
          <w:rFonts w:ascii="Book Antiqua" w:eastAsiaTheme="minorEastAsia" w:hAnsi="Book Antiqua" w:cs="Arial"/>
          <w:color w:val="000000" w:themeColor="text1"/>
          <w:sz w:val="24"/>
          <w:szCs w:val="24"/>
          <w:shd w:val="clear" w:color="auto" w:fill="FFFFFF"/>
        </w:rPr>
        <w:t xml:space="preserve"> and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have similar clinical effects, but </w:t>
      </w:r>
      <w:r>
        <w:rPr>
          <w:rFonts w:ascii="Book Antiqua" w:eastAsiaTheme="minorEastAsia" w:hAnsi="Book Antiqua" w:cs="Arial" w:hint="eastAsia"/>
          <w:color w:val="000000" w:themeColor="text1"/>
          <w:sz w:val="24"/>
          <w:szCs w:val="24"/>
          <w:shd w:val="clear" w:color="auto" w:fill="FFFFFF"/>
        </w:rPr>
        <w:t>MED</w:t>
      </w:r>
      <w:r>
        <w:rPr>
          <w:rFonts w:ascii="Book Antiqua" w:eastAsiaTheme="minorEastAsia" w:hAnsi="Book Antiqua" w:cs="Arial"/>
          <w:color w:val="000000" w:themeColor="text1"/>
          <w:sz w:val="24"/>
          <w:szCs w:val="24"/>
          <w:shd w:val="clear" w:color="auto" w:fill="FFFFFF"/>
        </w:rPr>
        <w:t xml:space="preserve"> has less trauma and less bleeding. The incidence of complications is low. Patients can resume activities faster, pain is relieved faster, and patients can recover faster. The prognosis is good, and this treatment is worthy of comprehensive clinical application</w:t>
      </w:r>
      <w:r>
        <w:rPr>
          <w:rFonts w:ascii="Book Antiqua" w:eastAsiaTheme="minorEastAsia" w:hAnsi="Book Antiqua" w:cs="Arial" w:hint="eastAsia"/>
          <w:color w:val="000000" w:themeColor="text1"/>
          <w:sz w:val="24"/>
          <w:szCs w:val="24"/>
          <w:shd w:val="clear" w:color="auto" w:fill="FFFFFF"/>
        </w:rPr>
        <w:t>.</w:t>
      </w:r>
    </w:p>
    <w:p w:rsidR="005D4C7C" w:rsidRDefault="005D4C7C">
      <w:pPr>
        <w:spacing w:after="0" w:line="360" w:lineRule="auto"/>
        <w:ind w:firstLineChars="100" w:firstLine="240"/>
        <w:jc w:val="both"/>
        <w:rPr>
          <w:rStyle w:val="apple-converted-space"/>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color w:val="000000"/>
          <w:sz w:val="24"/>
          <w:szCs w:val="24"/>
          <w:u w:val="single"/>
        </w:rPr>
      </w:pPr>
      <w:r>
        <w:rPr>
          <w:rFonts w:ascii="Book Antiqua" w:hAnsi="Book Antiqua"/>
          <w:b/>
          <w:color w:val="000000"/>
          <w:sz w:val="24"/>
          <w:szCs w:val="24"/>
          <w:u w:val="single"/>
        </w:rPr>
        <w:t>ARTICLE HIGHLIGHTS</w:t>
      </w: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background</w:t>
      </w:r>
    </w:p>
    <w:p w:rsidR="005D4C7C" w:rsidRDefault="00D55AAA">
      <w:pPr>
        <w:widowControl w:val="0"/>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Among all orthopedic diseases, lumbar disc herniation is a common joint disease.</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motivation</w:t>
      </w:r>
    </w:p>
    <w:p w:rsidR="005D4C7C" w:rsidRDefault="00D55AAA">
      <w:pPr>
        <w:widowControl w:val="0"/>
        <w:spacing w:after="0" w:line="360" w:lineRule="auto"/>
        <w:jc w:val="both"/>
        <w:rPr>
          <w:rFonts w:ascii="Book Antiqua" w:eastAsia="MS PMincho" w:hAnsi="Book Antiqua" w:cs="Times New Roman"/>
          <w:bCs/>
          <w:color w:val="000000" w:themeColor="text1"/>
          <w:kern w:val="2"/>
          <w:sz w:val="24"/>
          <w:szCs w:val="24"/>
          <w:lang w:eastAsia="ja-JP"/>
        </w:rPr>
      </w:pPr>
      <w:r>
        <w:rPr>
          <w:rFonts w:ascii="Book Antiqua" w:eastAsiaTheme="minorEastAsia" w:hAnsi="Book Antiqua"/>
          <w:color w:val="000000" w:themeColor="text1"/>
          <w:sz w:val="24"/>
          <w:szCs w:val="24"/>
        </w:rPr>
        <w:t xml:space="preserve">Endoscopic technology and minimally invasive technology has gradually improved spine minimally invasive surgical instruments, especially </w:t>
      </w:r>
      <w:r>
        <w:rPr>
          <w:rFonts w:ascii="Book Antiqua" w:eastAsiaTheme="minorEastAsia" w:hAnsi="Book Antiqua" w:hint="eastAsia"/>
          <w:color w:val="000000" w:themeColor="text1"/>
          <w:sz w:val="24"/>
          <w:szCs w:val="24"/>
        </w:rPr>
        <w:t>microendoscopic discectomy</w:t>
      </w:r>
      <w:r w:rsidR="00FF4E19">
        <w:rPr>
          <w:rFonts w:ascii="Book Antiqua" w:eastAsiaTheme="minorEastAsia" w:hAnsi="Book Antiqua" w:hint="eastAsia"/>
          <w:color w:val="000000" w:themeColor="text1"/>
          <w:sz w:val="24"/>
          <w:szCs w:val="24"/>
        </w:rPr>
        <w:t xml:space="preserve"> (MED)</w:t>
      </w:r>
      <w:r>
        <w:rPr>
          <w:rFonts w:ascii="Book Antiqua" w:eastAsiaTheme="minorEastAsia" w:hAnsi="Book Antiqua"/>
          <w:color w:val="000000" w:themeColor="text1"/>
          <w:sz w:val="24"/>
          <w:szCs w:val="24"/>
        </w:rPr>
        <w:t>.</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 xml:space="preserve">Research objectives </w:t>
      </w:r>
    </w:p>
    <w:p w:rsidR="005D4C7C" w:rsidRDefault="00D55AAA">
      <w:pPr>
        <w:widowControl w:val="0"/>
        <w:spacing w:after="0" w:line="360" w:lineRule="auto"/>
        <w:jc w:val="both"/>
        <w:rPr>
          <w:rFonts w:ascii="Book Antiqua" w:eastAsia="MS PMincho" w:hAnsi="Book Antiqua" w:cs="Times New Roman"/>
          <w:bCs/>
          <w:color w:val="000000" w:themeColor="text1"/>
          <w:kern w:val="2"/>
          <w:sz w:val="24"/>
          <w:szCs w:val="24"/>
          <w:lang w:eastAsia="ja-JP"/>
        </w:rPr>
      </w:pPr>
      <w:r>
        <w:rPr>
          <w:rFonts w:ascii="Book Antiqua" w:eastAsia="MS PMincho" w:hAnsi="Book Antiqua" w:cs="Times New Roman"/>
          <w:bCs/>
          <w:color w:val="000000" w:themeColor="text1"/>
          <w:kern w:val="2"/>
          <w:sz w:val="24"/>
          <w:szCs w:val="24"/>
          <w:lang w:eastAsia="ja-JP"/>
        </w:rPr>
        <w:t>Clarify the clinical effects of discectomy and laminar nucleus pulpectomy.</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methods</w:t>
      </w:r>
    </w:p>
    <w:p w:rsidR="005D4C7C" w:rsidRDefault="00D55AAA">
      <w:pPr>
        <w:widowControl w:val="0"/>
        <w:spacing w:after="0" w:line="360" w:lineRule="auto"/>
        <w:jc w:val="both"/>
        <w:rPr>
          <w:rFonts w:ascii="Book Antiqua" w:eastAsia="MS PMincho" w:hAnsi="Book Antiqua" w:cs="Times New Roman"/>
          <w:bCs/>
          <w:color w:val="000000" w:themeColor="text1"/>
          <w:kern w:val="2"/>
          <w:sz w:val="24"/>
          <w:szCs w:val="24"/>
          <w:lang w:eastAsia="ja-JP"/>
        </w:rPr>
      </w:pPr>
      <w:r>
        <w:rPr>
          <w:rFonts w:ascii="Book Antiqua" w:eastAsiaTheme="minorEastAsia" w:hAnsi="Book Antiqua" w:cs="Times New Roman"/>
          <w:bCs/>
          <w:color w:val="000000" w:themeColor="text1"/>
          <w:kern w:val="2"/>
          <w:sz w:val="24"/>
          <w:szCs w:val="24"/>
        </w:rPr>
        <w:t xml:space="preserve">A total of </w:t>
      </w:r>
      <w:r>
        <w:rPr>
          <w:rFonts w:ascii="Book Antiqua" w:eastAsia="MS PMincho" w:hAnsi="Book Antiqua" w:cs="Times New Roman"/>
          <w:bCs/>
          <w:color w:val="000000" w:themeColor="text1"/>
          <w:kern w:val="2"/>
          <w:sz w:val="24"/>
          <w:szCs w:val="24"/>
          <w:lang w:eastAsia="ja-JP"/>
        </w:rPr>
        <w:t>96 patients with single-segment lumbar disc herniation who underwent surgical treatment</w:t>
      </w:r>
      <w:r>
        <w:rPr>
          <w:rFonts w:ascii="Book Antiqua" w:eastAsiaTheme="minorEastAsia" w:hAnsi="Book Antiqua" w:cs="Times New Roman"/>
          <w:bCs/>
          <w:color w:val="000000" w:themeColor="text1"/>
          <w:kern w:val="2"/>
          <w:sz w:val="24"/>
          <w:szCs w:val="24"/>
        </w:rPr>
        <w:t xml:space="preserve"> were </w:t>
      </w:r>
      <w:r>
        <w:rPr>
          <w:rFonts w:ascii="Book Antiqua" w:eastAsia="MS PMincho" w:hAnsi="Book Antiqua" w:cs="Times New Roman"/>
          <w:bCs/>
          <w:color w:val="000000" w:themeColor="text1"/>
          <w:kern w:val="2"/>
          <w:sz w:val="24"/>
          <w:szCs w:val="24"/>
          <w:lang w:eastAsia="ja-JP"/>
        </w:rPr>
        <w:t>selected.</w:t>
      </w:r>
      <w:r>
        <w:rPr>
          <w:rFonts w:ascii="Book Antiqua" w:eastAsiaTheme="minorEastAsia" w:hAnsi="Book Antiqua"/>
          <w:color w:val="000000" w:themeColor="text1"/>
          <w:sz w:val="24"/>
          <w:szCs w:val="24"/>
        </w:rPr>
        <w:t xml:space="preserve"> The observation group underwent lumbar discectomy, and the control group underwent lamina excision.</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results</w:t>
      </w:r>
    </w:p>
    <w:p w:rsidR="005D4C7C" w:rsidRDefault="00D55AAA">
      <w:pPr>
        <w:widowControl w:val="0"/>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In terms of surgical indicators, the observation group had a longer operation time than the control group, the postoperative bedtime and hospital stay were shorter, the intraoperative blood loss was less, and the incision length was shorter. In terms of pain, the </w:t>
      </w:r>
      <w:r>
        <w:rPr>
          <w:rStyle w:val="apple-converted-space"/>
          <w:rFonts w:ascii="Book Antiqua" w:eastAsiaTheme="minorEastAsia" w:hAnsi="Book Antiqua" w:cs="Arial"/>
          <w:color w:val="000000" w:themeColor="text1"/>
          <w:sz w:val="24"/>
          <w:szCs w:val="24"/>
          <w:shd w:val="clear" w:color="auto" w:fill="FFFFFF"/>
        </w:rPr>
        <w:t>visual analogue scale</w:t>
      </w:r>
      <w:r>
        <w:rPr>
          <w:rFonts w:ascii="Book Antiqua" w:eastAsiaTheme="minorEastAsia" w:hAnsi="Book Antiqua"/>
          <w:color w:val="000000" w:themeColor="text1"/>
          <w:sz w:val="24"/>
          <w:szCs w:val="24"/>
        </w:rPr>
        <w:t xml:space="preserve"> pain scores were lower in the observation group compared to the control group at 1 d, 3 d, 1 mo, and 6 mo after surgery, and the difference was statistically significant. The incidence of complications was also lower in the observation group. </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conclusions</w:t>
      </w:r>
    </w:p>
    <w:p w:rsidR="005D4C7C" w:rsidRDefault="00D55AAA">
      <w:pPr>
        <w:widowControl w:val="0"/>
        <w:spacing w:after="0" w:line="360" w:lineRule="auto"/>
        <w:jc w:val="both"/>
        <w:rPr>
          <w:rStyle w:val="apple-converted-space"/>
          <w:rFonts w:ascii="Book Antiqua" w:eastAsiaTheme="minorEastAsia" w:hAnsi="Book Antiqua" w:cs="Arial"/>
          <w:color w:val="000000" w:themeColor="text1"/>
          <w:sz w:val="24"/>
          <w:szCs w:val="24"/>
        </w:rPr>
      </w:pPr>
      <w:r>
        <w:rPr>
          <w:rStyle w:val="apple-converted-space"/>
          <w:rFonts w:ascii="Book Antiqua" w:eastAsiaTheme="minorEastAsia" w:hAnsi="Book Antiqua" w:cs="Arial" w:hint="eastAsia"/>
          <w:color w:val="000000" w:themeColor="text1"/>
          <w:sz w:val="24"/>
          <w:szCs w:val="24"/>
        </w:rPr>
        <w:t>MED</w:t>
      </w:r>
      <w:r>
        <w:rPr>
          <w:rStyle w:val="apple-converted-space"/>
          <w:rFonts w:ascii="Book Antiqua" w:eastAsiaTheme="minorEastAsia" w:hAnsi="Book Antiqua" w:cs="Arial"/>
          <w:color w:val="000000" w:themeColor="text1"/>
          <w:sz w:val="24"/>
          <w:szCs w:val="24"/>
        </w:rPr>
        <w:t xml:space="preserve"> allows patients to get out of bed faster, reduces pain more quickly, and patients can recover sooner. It has a good prognosis and is worthy of all-round promotion and application in the clinic.</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perspectives</w:t>
      </w:r>
    </w:p>
    <w:p w:rsidR="005D4C7C" w:rsidRDefault="00D55AAA">
      <w:pPr>
        <w:spacing w:after="0" w:line="360" w:lineRule="auto"/>
        <w:jc w:val="both"/>
        <w:rPr>
          <w:rFonts w:ascii="Book Antiqua" w:eastAsia="宋体" w:hAnsi="Book Antiqua" w:cs="MS PGothic"/>
          <w:color w:val="000000" w:themeColor="text1"/>
          <w:sz w:val="24"/>
          <w:szCs w:val="24"/>
        </w:rPr>
      </w:pPr>
      <w:r>
        <w:rPr>
          <w:rFonts w:ascii="Book Antiqua" w:eastAsia="宋体" w:hAnsi="Book Antiqua" w:cs="MS PGothic"/>
          <w:color w:val="000000" w:themeColor="text1"/>
          <w:sz w:val="24"/>
          <w:szCs w:val="24"/>
        </w:rPr>
        <w:t>Minimally invasive technology will gradually become the mainstream treatment method.</w:t>
      </w:r>
    </w:p>
    <w:p w:rsidR="005D4C7C" w:rsidRDefault="005D4C7C">
      <w:pPr>
        <w:spacing w:after="0" w:line="360" w:lineRule="auto"/>
        <w:jc w:val="both"/>
        <w:rPr>
          <w:rFonts w:ascii="Book Antiqua" w:eastAsia="宋体" w:hAnsi="Book Antiqua" w:cs="MS PGothic"/>
          <w:color w:val="000000" w:themeColor="text1"/>
          <w:sz w:val="24"/>
          <w:szCs w:val="24"/>
        </w:rPr>
      </w:pPr>
    </w:p>
    <w:p w:rsidR="005D4C7C" w:rsidRDefault="00D55AAA">
      <w:pPr>
        <w:spacing w:after="0" w:line="360" w:lineRule="auto"/>
        <w:jc w:val="both"/>
        <w:rPr>
          <w:rStyle w:val="apple-converted-space"/>
          <w:rFonts w:ascii="Book Antiqua" w:eastAsiaTheme="minorEastAsia" w:hAnsi="Book Antiqua" w:cs="Arial"/>
          <w:b/>
          <w:color w:val="000000" w:themeColor="text1"/>
          <w:sz w:val="24"/>
          <w:szCs w:val="24"/>
          <w:shd w:val="clear" w:color="auto" w:fill="FFFFFF"/>
        </w:rPr>
      </w:pPr>
      <w:r>
        <w:rPr>
          <w:rStyle w:val="apple-converted-space"/>
          <w:rFonts w:ascii="Book Antiqua" w:eastAsiaTheme="minorEastAsia" w:hAnsi="Book Antiqua" w:cs="Arial"/>
          <w:b/>
          <w:color w:val="000000" w:themeColor="text1"/>
          <w:sz w:val="24"/>
          <w:szCs w:val="24"/>
          <w:shd w:val="clear" w:color="auto" w:fill="FFFFFF"/>
        </w:rPr>
        <w:t>REFERENCES</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Ohtori S</w:t>
      </w:r>
      <w:r>
        <w:rPr>
          <w:rFonts w:ascii="Book Antiqua" w:hAnsi="Book Antiqua"/>
          <w:sz w:val="24"/>
          <w:szCs w:val="24"/>
        </w:rPr>
        <w:t xml:space="preserve">, Yamashita M, Yamauchi K, Inoue G, Koshi T, Suzuki M, Orita S, Eguchi Y, Ochiai N, Kishida S, Takaso M, Aoki Y, Ishikawa T, Arai G, Miyagi M, Kamoda H, Nakamura J, Takahashi K. Low back pain after lumbar discectomy in patients showing endplate modic type 1 change. </w:t>
      </w:r>
      <w:r>
        <w:rPr>
          <w:rFonts w:ascii="Book Antiqua" w:hAnsi="Book Antiqua"/>
          <w:i/>
          <w:sz w:val="24"/>
          <w:szCs w:val="24"/>
        </w:rPr>
        <w:t>Spine (Phila Pa 1976)</w:t>
      </w:r>
      <w:r>
        <w:rPr>
          <w:rFonts w:ascii="Book Antiqua" w:hAnsi="Book Antiqua"/>
          <w:sz w:val="24"/>
          <w:szCs w:val="24"/>
        </w:rPr>
        <w:t xml:space="preserve"> 2010; </w:t>
      </w:r>
      <w:r>
        <w:rPr>
          <w:rFonts w:ascii="Book Antiqua" w:hAnsi="Book Antiqua"/>
          <w:b/>
          <w:sz w:val="24"/>
          <w:szCs w:val="24"/>
        </w:rPr>
        <w:t>35</w:t>
      </w:r>
      <w:r>
        <w:rPr>
          <w:rFonts w:ascii="Book Antiqua" w:hAnsi="Book Antiqua"/>
          <w:sz w:val="24"/>
          <w:szCs w:val="24"/>
        </w:rPr>
        <w:t>: E596-E600 [PMID: 20461034 DOI: 10.1097/BRS.0b013e3181cd2cb8]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Oktay K</w:t>
      </w:r>
      <w:r>
        <w:rPr>
          <w:rFonts w:ascii="Book Antiqua" w:hAnsi="Book Antiqua"/>
          <w:sz w:val="24"/>
          <w:szCs w:val="24"/>
        </w:rPr>
        <w:t xml:space="preserve">, Ozsoy KM, Dere UA, Cetinalp NE, Arslan M, Erman T, Guzel A. Spontaneous regression of lumbar disc herniations: A retrospective analysis of 5 patients. </w:t>
      </w:r>
      <w:r>
        <w:rPr>
          <w:rFonts w:ascii="Book Antiqua" w:hAnsi="Book Antiqua"/>
          <w:i/>
          <w:sz w:val="24"/>
          <w:szCs w:val="24"/>
        </w:rPr>
        <w:t>Niger J Clin Pract</w:t>
      </w:r>
      <w:r>
        <w:rPr>
          <w:rFonts w:ascii="Book Antiqua" w:hAnsi="Book Antiqua"/>
          <w:sz w:val="24"/>
          <w:szCs w:val="24"/>
        </w:rPr>
        <w:t xml:space="preserve"> 2019; </w:t>
      </w:r>
      <w:r>
        <w:rPr>
          <w:rFonts w:ascii="Book Antiqua" w:hAnsi="Book Antiqua"/>
          <w:b/>
          <w:sz w:val="24"/>
          <w:szCs w:val="24"/>
        </w:rPr>
        <w:t>22</w:t>
      </w:r>
      <w:r>
        <w:rPr>
          <w:rFonts w:ascii="Book Antiqua" w:hAnsi="Book Antiqua"/>
          <w:sz w:val="24"/>
          <w:szCs w:val="24"/>
        </w:rPr>
        <w:t>: 1785-1789 [PMID: 31793490 DOI: 10.4103/njcp.njcp_437_18]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Aprígio RM</w:t>
      </w:r>
      <w:r>
        <w:rPr>
          <w:rFonts w:ascii="Book Antiqua" w:hAnsi="Book Antiqua"/>
          <w:sz w:val="24"/>
          <w:szCs w:val="24"/>
        </w:rPr>
        <w:t xml:space="preserve">, Caramanti RL, Santos FOR, Maia IPT, Filipe FMR, de Moraes DF, da Silva EC, Nogueira FM. Intradural disc herniation at the L1-L2 level: A case report and literature review. </w:t>
      </w:r>
      <w:r>
        <w:rPr>
          <w:rFonts w:ascii="Book Antiqua" w:hAnsi="Book Antiqua"/>
          <w:i/>
          <w:sz w:val="24"/>
          <w:szCs w:val="24"/>
        </w:rPr>
        <w:t>Surg Neurol Int</w:t>
      </w:r>
      <w:r>
        <w:rPr>
          <w:rFonts w:ascii="Book Antiqua" w:hAnsi="Book Antiqua"/>
          <w:sz w:val="24"/>
          <w:szCs w:val="24"/>
        </w:rPr>
        <w:t xml:space="preserve"> 2019; </w:t>
      </w:r>
      <w:r>
        <w:rPr>
          <w:rFonts w:ascii="Book Antiqua" w:hAnsi="Book Antiqua"/>
          <w:b/>
          <w:sz w:val="24"/>
          <w:szCs w:val="24"/>
        </w:rPr>
        <w:t>10</w:t>
      </w:r>
      <w:r>
        <w:rPr>
          <w:rFonts w:ascii="Book Antiqua" w:hAnsi="Book Antiqua"/>
          <w:sz w:val="24"/>
          <w:szCs w:val="24"/>
        </w:rPr>
        <w:t>: 196 [PMID: 31768276 DOI: 10.25259/SNI_452_2019]</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Xu J</w:t>
      </w:r>
      <w:r>
        <w:rPr>
          <w:rFonts w:ascii="Book Antiqua" w:hAnsi="Book Antiqua"/>
          <w:sz w:val="24"/>
          <w:szCs w:val="24"/>
        </w:rPr>
        <w:t xml:space="preserve">, Li Y, Wang B, Lv GH, Wu P, Dai Y, Jiang B, Zheng Z, Xiao S. Percutaneous Endoscopic Lumbar Discectomy for Lumbar Disc Herniation with Modic Changes via a Transforaminal Approach: A Retrospective Study. </w:t>
      </w:r>
      <w:r>
        <w:rPr>
          <w:rFonts w:ascii="Book Antiqua" w:hAnsi="Book Antiqua"/>
          <w:i/>
          <w:sz w:val="24"/>
          <w:szCs w:val="24"/>
        </w:rPr>
        <w:t>Pain Physician</w:t>
      </w:r>
      <w:r>
        <w:rPr>
          <w:rFonts w:ascii="Book Antiqua" w:hAnsi="Book Antiqua"/>
          <w:sz w:val="24"/>
          <w:szCs w:val="24"/>
        </w:rPr>
        <w:t xml:space="preserve"> 2019; </w:t>
      </w:r>
      <w:r>
        <w:rPr>
          <w:rFonts w:ascii="Book Antiqua" w:hAnsi="Book Antiqua"/>
          <w:b/>
          <w:sz w:val="24"/>
          <w:szCs w:val="24"/>
        </w:rPr>
        <w:t>22</w:t>
      </w:r>
      <w:r>
        <w:rPr>
          <w:rFonts w:ascii="Book Antiqua" w:hAnsi="Book Antiqua"/>
          <w:sz w:val="24"/>
          <w:szCs w:val="24"/>
        </w:rPr>
        <w:t>: E601-E608 [PMID: 31775413]</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Hayashi T</w:t>
      </w:r>
      <w:r>
        <w:rPr>
          <w:rFonts w:ascii="Book Antiqua" w:hAnsi="Book Antiqua"/>
          <w:sz w:val="24"/>
          <w:szCs w:val="24"/>
        </w:rPr>
        <w:t xml:space="preserve">, Daubs MD, Suzuki A, Scott TP, Phan KH, Ruangchainikom M, Takahashi S, Shiba K, Wang JC. Motion characteristics and related factors of Modic changes in the lumbar spine. </w:t>
      </w:r>
      <w:r>
        <w:rPr>
          <w:rFonts w:ascii="Book Antiqua" w:hAnsi="Book Antiqua"/>
          <w:i/>
          <w:sz w:val="24"/>
          <w:szCs w:val="24"/>
        </w:rPr>
        <w:t>J Neurosurg Spine</w:t>
      </w:r>
      <w:r>
        <w:rPr>
          <w:rFonts w:ascii="Book Antiqua" w:hAnsi="Book Antiqua"/>
          <w:sz w:val="24"/>
          <w:szCs w:val="24"/>
        </w:rPr>
        <w:t xml:space="preserve"> 2015; </w:t>
      </w:r>
      <w:r>
        <w:rPr>
          <w:rFonts w:ascii="Book Antiqua" w:hAnsi="Book Antiqua"/>
          <w:b/>
          <w:sz w:val="24"/>
          <w:szCs w:val="24"/>
        </w:rPr>
        <w:t>22</w:t>
      </w:r>
      <w:r>
        <w:rPr>
          <w:rFonts w:ascii="Book Antiqua" w:hAnsi="Book Antiqua"/>
          <w:sz w:val="24"/>
          <w:szCs w:val="24"/>
        </w:rPr>
        <w:t>: 511-517 [PMID: 25700242 DOI: 10.3171/2014.10.SPINE14496]</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Yang X</w:t>
      </w:r>
      <w:r>
        <w:rPr>
          <w:rFonts w:ascii="Book Antiqua" w:hAnsi="Book Antiqua"/>
          <w:sz w:val="24"/>
          <w:szCs w:val="24"/>
        </w:rPr>
        <w:t xml:space="preserve">, Zhang Q, Hao X, Guo X, Wang L. Spontaneous regression of herniated lumbar discs: Report of one illustrative case and review of the literature. </w:t>
      </w:r>
      <w:r>
        <w:rPr>
          <w:rFonts w:ascii="Book Antiqua" w:hAnsi="Book Antiqua"/>
          <w:i/>
          <w:sz w:val="24"/>
          <w:szCs w:val="24"/>
        </w:rPr>
        <w:t>Clin Neurol Neurosurg</w:t>
      </w:r>
      <w:r>
        <w:rPr>
          <w:rFonts w:ascii="Book Antiqua" w:hAnsi="Book Antiqua"/>
          <w:sz w:val="24"/>
          <w:szCs w:val="24"/>
        </w:rPr>
        <w:t xml:space="preserve"> 2016; </w:t>
      </w:r>
      <w:r>
        <w:rPr>
          <w:rFonts w:ascii="Book Antiqua" w:hAnsi="Book Antiqua"/>
          <w:b/>
          <w:sz w:val="24"/>
          <w:szCs w:val="24"/>
        </w:rPr>
        <w:t>143</w:t>
      </w:r>
      <w:r>
        <w:rPr>
          <w:rFonts w:ascii="Book Antiqua" w:hAnsi="Book Antiqua"/>
          <w:sz w:val="24"/>
          <w:szCs w:val="24"/>
        </w:rPr>
        <w:t>: 86-89 [PMID: 26907997 DOI: 10.1016/j.clineuro.2016.02.020]</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Macki M</w:t>
      </w:r>
      <w:r>
        <w:rPr>
          <w:rFonts w:ascii="Book Antiqua" w:hAnsi="Book Antiqua"/>
          <w:sz w:val="24"/>
          <w:szCs w:val="24"/>
        </w:rPr>
        <w:t xml:space="preserve">, Hernandez-Hermann M, Bydon M, Gokaslan A, McGovern K, Bydon A. Spontaneous regression of sequestrated lumbar disc herniations: Literature review. </w:t>
      </w:r>
      <w:r>
        <w:rPr>
          <w:rFonts w:ascii="Book Antiqua" w:hAnsi="Book Antiqua"/>
          <w:i/>
          <w:sz w:val="24"/>
          <w:szCs w:val="24"/>
        </w:rPr>
        <w:t>Clin Neurol Neurosurg</w:t>
      </w:r>
      <w:r>
        <w:rPr>
          <w:rFonts w:ascii="Book Antiqua" w:hAnsi="Book Antiqua"/>
          <w:sz w:val="24"/>
          <w:szCs w:val="24"/>
        </w:rPr>
        <w:t xml:space="preserve"> 2014; </w:t>
      </w:r>
      <w:r>
        <w:rPr>
          <w:rFonts w:ascii="Book Antiqua" w:hAnsi="Book Antiqua"/>
          <w:b/>
          <w:sz w:val="24"/>
          <w:szCs w:val="24"/>
        </w:rPr>
        <w:t>120</w:t>
      </w:r>
      <w:r>
        <w:rPr>
          <w:rFonts w:ascii="Book Antiqua" w:hAnsi="Book Antiqua"/>
          <w:sz w:val="24"/>
          <w:szCs w:val="24"/>
        </w:rPr>
        <w:t>: 136-141 [PMID: 24630494 DOI: 10.1016/j.clineuro.2014.02.013]</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Kim ES</w:t>
      </w:r>
      <w:r>
        <w:rPr>
          <w:rFonts w:ascii="Book Antiqua" w:hAnsi="Book Antiqua"/>
          <w:sz w:val="24"/>
          <w:szCs w:val="24"/>
        </w:rPr>
        <w:t xml:space="preserve">, Oladunjoye AO, Li JA, Kim KD. Spontaneous regression of herniated lumbar discs. </w:t>
      </w:r>
      <w:r>
        <w:rPr>
          <w:rFonts w:ascii="Book Antiqua" w:hAnsi="Book Antiqua"/>
          <w:i/>
          <w:sz w:val="24"/>
          <w:szCs w:val="24"/>
        </w:rPr>
        <w:t>J Clin Neurosci</w:t>
      </w:r>
      <w:r>
        <w:rPr>
          <w:rFonts w:ascii="Book Antiqua" w:hAnsi="Book Antiqua"/>
          <w:sz w:val="24"/>
          <w:szCs w:val="24"/>
        </w:rPr>
        <w:t xml:space="preserve"> 2014; </w:t>
      </w:r>
      <w:r>
        <w:rPr>
          <w:rFonts w:ascii="Book Antiqua" w:hAnsi="Book Antiqua"/>
          <w:b/>
          <w:sz w:val="24"/>
          <w:szCs w:val="24"/>
        </w:rPr>
        <w:t>21</w:t>
      </w:r>
      <w:r>
        <w:rPr>
          <w:rFonts w:ascii="Book Antiqua" w:hAnsi="Book Antiqua"/>
          <w:sz w:val="24"/>
          <w:szCs w:val="24"/>
        </w:rPr>
        <w:t>: 909-913 [PMID: 24316264 DOI: 10.1016/j.jocn.2013.10.008]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Hermantin FU</w:t>
      </w:r>
      <w:r>
        <w:rPr>
          <w:rFonts w:ascii="Book Antiqua" w:hAnsi="Book Antiqua"/>
          <w:sz w:val="24"/>
          <w:szCs w:val="24"/>
        </w:rPr>
        <w:t xml:space="preserve">, Peters T, Quartararo L, Kambin P. A prospective, randomized study comparing the results of open discectomy with those of video-assisted arthroscopic microdiscectomy. </w:t>
      </w:r>
      <w:r>
        <w:rPr>
          <w:rFonts w:ascii="Book Antiqua" w:hAnsi="Book Antiqua"/>
          <w:i/>
          <w:sz w:val="24"/>
          <w:szCs w:val="24"/>
        </w:rPr>
        <w:t>J Bone Joint Surg Am</w:t>
      </w:r>
      <w:r>
        <w:rPr>
          <w:rFonts w:ascii="Book Antiqua" w:hAnsi="Book Antiqua"/>
          <w:sz w:val="24"/>
          <w:szCs w:val="24"/>
        </w:rPr>
        <w:t xml:space="preserve"> 1999; </w:t>
      </w:r>
      <w:r>
        <w:rPr>
          <w:rFonts w:ascii="Book Antiqua" w:hAnsi="Book Antiqua"/>
          <w:b/>
          <w:sz w:val="24"/>
          <w:szCs w:val="24"/>
        </w:rPr>
        <w:t>81</w:t>
      </w:r>
      <w:r>
        <w:rPr>
          <w:rFonts w:ascii="Book Antiqua" w:hAnsi="Book Antiqua"/>
          <w:sz w:val="24"/>
          <w:szCs w:val="24"/>
        </w:rPr>
        <w:t>: 958-965 [PMID: 10428127 DOI: 10.2106/00004623-199907000-00008]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Mahesha K</w:t>
      </w:r>
      <w:r>
        <w:rPr>
          <w:rFonts w:ascii="Book Antiqua" w:hAnsi="Book Antiqua"/>
          <w:sz w:val="24"/>
          <w:szCs w:val="24"/>
        </w:rPr>
        <w:t xml:space="preserve">. Percutaneous endoscopic lumbar discectomy: Results of first 100 cases. </w:t>
      </w:r>
      <w:r>
        <w:rPr>
          <w:rFonts w:ascii="Book Antiqua" w:hAnsi="Book Antiqua"/>
          <w:i/>
          <w:sz w:val="24"/>
          <w:szCs w:val="24"/>
        </w:rPr>
        <w:t>Indian J Orthop</w:t>
      </w:r>
      <w:r>
        <w:rPr>
          <w:rFonts w:ascii="Book Antiqua" w:hAnsi="Book Antiqua"/>
          <w:sz w:val="24"/>
          <w:szCs w:val="24"/>
        </w:rPr>
        <w:t xml:space="preserve"> 2017; </w:t>
      </w:r>
      <w:r>
        <w:rPr>
          <w:rFonts w:ascii="Book Antiqua" w:hAnsi="Book Antiqua"/>
          <w:b/>
          <w:sz w:val="24"/>
          <w:szCs w:val="24"/>
        </w:rPr>
        <w:t>51</w:t>
      </w:r>
      <w:r>
        <w:rPr>
          <w:rFonts w:ascii="Book Antiqua" w:hAnsi="Book Antiqua"/>
          <w:sz w:val="24"/>
          <w:szCs w:val="24"/>
        </w:rPr>
        <w:t>: 36-42 [PMID: 28216749 DOI: 10.4103/0019-5413.197520]</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Kulkarni AG</w:t>
      </w:r>
      <w:r>
        <w:rPr>
          <w:rFonts w:ascii="Book Antiqua" w:hAnsi="Book Antiqua"/>
          <w:sz w:val="24"/>
          <w:szCs w:val="24"/>
        </w:rPr>
        <w:t xml:space="preserve">, Bassi A, Dhruv A. Microendoscopic lumbar discectomy: Technique and results of 188 cases. </w:t>
      </w:r>
      <w:r>
        <w:rPr>
          <w:rFonts w:ascii="Book Antiqua" w:hAnsi="Book Antiqua"/>
          <w:i/>
          <w:sz w:val="24"/>
          <w:szCs w:val="24"/>
        </w:rPr>
        <w:t>Indian J Orthop</w:t>
      </w:r>
      <w:r>
        <w:rPr>
          <w:rFonts w:ascii="Book Antiqua" w:hAnsi="Book Antiqua"/>
          <w:sz w:val="24"/>
          <w:szCs w:val="24"/>
        </w:rPr>
        <w:t xml:space="preserve"> 2014; </w:t>
      </w:r>
      <w:r>
        <w:rPr>
          <w:rFonts w:ascii="Book Antiqua" w:hAnsi="Book Antiqua"/>
          <w:b/>
          <w:sz w:val="24"/>
          <w:szCs w:val="24"/>
        </w:rPr>
        <w:t>48</w:t>
      </w:r>
      <w:r>
        <w:rPr>
          <w:rFonts w:ascii="Book Antiqua" w:hAnsi="Book Antiqua"/>
          <w:sz w:val="24"/>
          <w:szCs w:val="24"/>
        </w:rPr>
        <w:t>: 81-87 [PMID: 24600068 DOI: 10.4103/0019-5413.125511]</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Moon SJ</w:t>
      </w:r>
      <w:r>
        <w:rPr>
          <w:rFonts w:ascii="Book Antiqua" w:hAnsi="Book Antiqua"/>
          <w:sz w:val="24"/>
          <w:szCs w:val="24"/>
        </w:rPr>
        <w:t xml:space="preserve">, Han MS, Lee GJ, Lee SK, Moon BJ, Lee JK. Unexpected Intradural Lumbar Disk Herniation Found During Transforaminal Endoscopic Surgery. </w:t>
      </w:r>
      <w:r>
        <w:rPr>
          <w:rFonts w:ascii="Book Antiqua" w:hAnsi="Book Antiqua"/>
          <w:i/>
          <w:sz w:val="24"/>
          <w:szCs w:val="24"/>
        </w:rPr>
        <w:t>World Neurosurg</w:t>
      </w:r>
      <w:r>
        <w:rPr>
          <w:rFonts w:ascii="Book Antiqua" w:hAnsi="Book Antiqua"/>
          <w:sz w:val="24"/>
          <w:szCs w:val="24"/>
        </w:rPr>
        <w:t xml:space="preserve"> 2020; </w:t>
      </w:r>
      <w:r>
        <w:rPr>
          <w:rFonts w:ascii="Book Antiqua" w:hAnsi="Book Antiqua"/>
          <w:b/>
          <w:sz w:val="24"/>
          <w:szCs w:val="24"/>
        </w:rPr>
        <w:t>134</w:t>
      </w:r>
      <w:r>
        <w:rPr>
          <w:rFonts w:ascii="Book Antiqua" w:hAnsi="Book Antiqua"/>
          <w:sz w:val="24"/>
          <w:szCs w:val="24"/>
        </w:rPr>
        <w:t>: 540-543 [PMID: 31786381 DOI: 10.1016/j.wneu.2019.11.121]</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Ruetten S</w:t>
      </w:r>
      <w:r>
        <w:rPr>
          <w:rFonts w:ascii="Book Antiqua" w:hAnsi="Book Antiqua"/>
          <w:sz w:val="24"/>
          <w:szCs w:val="24"/>
        </w:rPr>
        <w:t xml:space="preserve">, Komp M, Merk H, Godolias G. Full-endoscopic interlaminar and transforaminal lumbar discectomy versus conventional microsurgical technique: a prospective, randomized, controlled study. </w:t>
      </w:r>
      <w:r>
        <w:rPr>
          <w:rFonts w:ascii="Book Antiqua" w:hAnsi="Book Antiqua"/>
          <w:i/>
          <w:sz w:val="24"/>
          <w:szCs w:val="24"/>
        </w:rPr>
        <w:t>Spine (Phila Pa 1976)</w:t>
      </w:r>
      <w:r>
        <w:rPr>
          <w:rFonts w:ascii="Book Antiqua" w:hAnsi="Book Antiqua"/>
          <w:sz w:val="24"/>
          <w:szCs w:val="24"/>
        </w:rPr>
        <w:t xml:space="preserve"> 2008; </w:t>
      </w:r>
      <w:r>
        <w:rPr>
          <w:rFonts w:ascii="Book Antiqua" w:hAnsi="Book Antiqua"/>
          <w:b/>
          <w:sz w:val="24"/>
          <w:szCs w:val="24"/>
        </w:rPr>
        <w:t>33</w:t>
      </w:r>
      <w:r>
        <w:rPr>
          <w:rFonts w:ascii="Book Antiqua" w:hAnsi="Book Antiqua"/>
          <w:sz w:val="24"/>
          <w:szCs w:val="24"/>
        </w:rPr>
        <w:t>: 931-939 [PMID: 18427312 DOI: 10.1097/BRS.0b013e31816c8af7]</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Kim HS</w:t>
      </w:r>
      <w:r>
        <w:rPr>
          <w:rFonts w:ascii="Book Antiqua" w:hAnsi="Book Antiqua"/>
          <w:sz w:val="24"/>
          <w:szCs w:val="24"/>
        </w:rPr>
        <w:t xml:space="preserve">, Yudoyono F, Paudel B, Kim KJ, Jang JS, Choi JH, Chung SK, Kim JH, Jang IT, Oh SH, Park JE, Lee S. Suprapedicular Circumferential Opening Technique of Percutaneous Endoscopic Transforaminal Lumbar Discectomy for High Grade Inferiorly Migrated Lumbar Disc Herniation. </w:t>
      </w:r>
      <w:r>
        <w:rPr>
          <w:rFonts w:ascii="Book Antiqua" w:hAnsi="Book Antiqua"/>
          <w:i/>
          <w:sz w:val="24"/>
          <w:szCs w:val="24"/>
        </w:rPr>
        <w:t>Biomed Res Int</w:t>
      </w:r>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5349680 [PMID: 29581978 DOI: 10.1155/2018/5349680]</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Li M</w:t>
      </w:r>
      <w:r>
        <w:rPr>
          <w:rFonts w:ascii="Book Antiqua" w:hAnsi="Book Antiqua"/>
          <w:sz w:val="24"/>
          <w:szCs w:val="24"/>
        </w:rPr>
        <w:t xml:space="preserve">, Yang H, Yang Q. Full-Endoscopic Technique Discectomy Versus Microendoscopic Discectomy for the Surgical Treatment of Lumbar Disc Herniation. </w:t>
      </w:r>
      <w:r>
        <w:rPr>
          <w:rFonts w:ascii="Book Antiqua" w:hAnsi="Book Antiqua"/>
          <w:i/>
          <w:sz w:val="24"/>
          <w:szCs w:val="24"/>
        </w:rPr>
        <w:t>Pain Physician</w:t>
      </w:r>
      <w:r>
        <w:rPr>
          <w:rFonts w:ascii="Book Antiqua" w:hAnsi="Book Antiqua"/>
          <w:sz w:val="24"/>
          <w:szCs w:val="24"/>
        </w:rPr>
        <w:t xml:space="preserve"> 2015; </w:t>
      </w:r>
      <w:r>
        <w:rPr>
          <w:rFonts w:ascii="Book Antiqua" w:hAnsi="Book Antiqua"/>
          <w:b/>
          <w:sz w:val="24"/>
          <w:szCs w:val="24"/>
        </w:rPr>
        <w:t>18</w:t>
      </w:r>
      <w:r>
        <w:rPr>
          <w:rFonts w:ascii="Book Antiqua" w:hAnsi="Book Antiqua"/>
          <w:sz w:val="24"/>
          <w:szCs w:val="24"/>
        </w:rPr>
        <w:t>: 359-363 [PMID: 26218939]</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Shen J</w:t>
      </w:r>
      <w:r>
        <w:rPr>
          <w:rFonts w:ascii="Book Antiqua" w:hAnsi="Book Antiqua"/>
          <w:sz w:val="24"/>
          <w:szCs w:val="24"/>
        </w:rPr>
        <w:t xml:space="preserve">. Fully Endoscopic Lumbar Laminectomy and Transforaminal Lumbar Interbody Fusion Under Local Anesthesia with Conscious Sedation: A Case Series. </w:t>
      </w:r>
      <w:r>
        <w:rPr>
          <w:rFonts w:ascii="Book Antiqua" w:hAnsi="Book Antiqua"/>
          <w:i/>
          <w:sz w:val="24"/>
          <w:szCs w:val="24"/>
        </w:rPr>
        <w:t>World Neurosurg</w:t>
      </w:r>
      <w:r>
        <w:rPr>
          <w:rFonts w:ascii="Book Antiqua" w:hAnsi="Book Antiqua"/>
          <w:sz w:val="24"/>
          <w:szCs w:val="24"/>
        </w:rPr>
        <w:t xml:space="preserve"> 2019; </w:t>
      </w:r>
      <w:r>
        <w:rPr>
          <w:rFonts w:ascii="Book Antiqua" w:hAnsi="Book Antiqua"/>
          <w:b/>
          <w:sz w:val="24"/>
          <w:szCs w:val="24"/>
        </w:rPr>
        <w:t>127</w:t>
      </w:r>
      <w:r>
        <w:rPr>
          <w:rFonts w:ascii="Book Antiqua" w:hAnsi="Book Antiqua"/>
          <w:sz w:val="24"/>
          <w:szCs w:val="24"/>
        </w:rPr>
        <w:t>: e745-e750 [PMID: 30951914 DOI: 10.1016/j.wneu.2019.03.257]</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Frucella G</w:t>
      </w:r>
      <w:r>
        <w:rPr>
          <w:rFonts w:ascii="Book Antiqua" w:hAnsi="Book Antiqua"/>
          <w:sz w:val="24"/>
          <w:szCs w:val="24"/>
        </w:rPr>
        <w:t xml:space="preserve">, Maldonado D. [Percutaneous Lumbar Endoscopic Discectomy: Presentation of 60 Cases Intervened in Argentina with Awake Patients]. </w:t>
      </w:r>
      <w:r>
        <w:rPr>
          <w:rFonts w:ascii="Book Antiqua" w:hAnsi="Book Antiqua"/>
          <w:i/>
          <w:sz w:val="24"/>
          <w:szCs w:val="24"/>
        </w:rPr>
        <w:t>Surg Neurol Int</w:t>
      </w:r>
      <w:r>
        <w:rPr>
          <w:rFonts w:ascii="Book Antiqua" w:hAnsi="Book Antiqua"/>
          <w:sz w:val="24"/>
          <w:szCs w:val="24"/>
        </w:rPr>
        <w:t xml:space="preserve"> 2019; </w:t>
      </w:r>
      <w:r>
        <w:rPr>
          <w:rFonts w:ascii="Book Antiqua" w:hAnsi="Book Antiqua"/>
          <w:b/>
          <w:sz w:val="24"/>
          <w:szCs w:val="24"/>
        </w:rPr>
        <w:t>10</w:t>
      </w:r>
      <w:r>
        <w:rPr>
          <w:rFonts w:ascii="Book Antiqua" w:hAnsi="Book Antiqua"/>
          <w:sz w:val="24"/>
          <w:szCs w:val="24"/>
        </w:rPr>
        <w:t>: S37-S45 [PMID: 31772818 DOI: 10.25259/SNI_325_2019]</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Li K</w:t>
      </w:r>
      <w:r>
        <w:rPr>
          <w:rFonts w:ascii="Book Antiqua" w:hAnsi="Book Antiqua"/>
          <w:sz w:val="24"/>
          <w:szCs w:val="24"/>
        </w:rPr>
        <w:t xml:space="preserve">, Gao K, Zhang T, Lv CL. Comparison of percutaneous transforaminal endoscopic lumbar discectomy through unilateral versus bilateral approach for L3/4 or L4/5 lumbar disc herniation with bilateral symptoms: technical notes and a prospective randomized study. </w:t>
      </w:r>
      <w:r>
        <w:rPr>
          <w:rFonts w:ascii="Book Antiqua" w:hAnsi="Book Antiqua"/>
          <w:i/>
          <w:sz w:val="24"/>
          <w:szCs w:val="24"/>
        </w:rPr>
        <w:t>Eur Spine J</w:t>
      </w:r>
      <w:r>
        <w:rPr>
          <w:rFonts w:ascii="Book Antiqua" w:hAnsi="Book Antiqua"/>
          <w:sz w:val="24"/>
          <w:szCs w:val="24"/>
        </w:rPr>
        <w:t xml:space="preserve"> 2019 [PMID: 31734805 DOI: 10.1007/s00586-019-06210-y]</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Hsu HT</w:t>
      </w:r>
      <w:r>
        <w:rPr>
          <w:rFonts w:ascii="Book Antiqua" w:hAnsi="Book Antiqua"/>
          <w:sz w:val="24"/>
          <w:szCs w:val="24"/>
        </w:rPr>
        <w:t xml:space="preserve">, Chang SJ, Yang SS, Chai CL. Learning curve of full-endoscopic lumbar discectomy. </w:t>
      </w:r>
      <w:r>
        <w:rPr>
          <w:rFonts w:ascii="Book Antiqua" w:hAnsi="Book Antiqua"/>
          <w:i/>
          <w:sz w:val="24"/>
          <w:szCs w:val="24"/>
        </w:rPr>
        <w:t>Eur Spine J</w:t>
      </w:r>
      <w:r>
        <w:rPr>
          <w:rFonts w:ascii="Book Antiqua" w:hAnsi="Book Antiqua"/>
          <w:sz w:val="24"/>
          <w:szCs w:val="24"/>
        </w:rPr>
        <w:t xml:space="preserve"> 2013; </w:t>
      </w:r>
      <w:r>
        <w:rPr>
          <w:rFonts w:ascii="Book Antiqua" w:hAnsi="Book Antiqua"/>
          <w:b/>
          <w:sz w:val="24"/>
          <w:szCs w:val="24"/>
        </w:rPr>
        <w:t>22</w:t>
      </w:r>
      <w:r>
        <w:rPr>
          <w:rFonts w:ascii="Book Antiqua" w:hAnsi="Book Antiqua"/>
          <w:sz w:val="24"/>
          <w:szCs w:val="24"/>
        </w:rPr>
        <w:t>: 727-733 [PMID: 23076645 DOI: 10.1007/s00586-012-2540-4]</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Acharya KN</w:t>
      </w:r>
      <w:r>
        <w:rPr>
          <w:rFonts w:ascii="Book Antiqua" w:hAnsi="Book Antiqua"/>
          <w:sz w:val="24"/>
          <w:szCs w:val="24"/>
        </w:rPr>
        <w:t xml:space="preserve">, Nathan TS, Kumar JR, Menon KV. Primary and revision lumbar discectomy: a three-year review from one center. </w:t>
      </w:r>
      <w:r>
        <w:rPr>
          <w:rFonts w:ascii="Book Antiqua" w:hAnsi="Book Antiqua"/>
          <w:i/>
          <w:sz w:val="24"/>
          <w:szCs w:val="24"/>
        </w:rPr>
        <w:t>Indian J Orthop</w:t>
      </w:r>
      <w:r>
        <w:rPr>
          <w:rFonts w:ascii="Book Antiqua" w:hAnsi="Book Antiqua"/>
          <w:sz w:val="24"/>
          <w:szCs w:val="24"/>
        </w:rPr>
        <w:t xml:space="preserve"> 2008; </w:t>
      </w:r>
      <w:r>
        <w:rPr>
          <w:rFonts w:ascii="Book Antiqua" w:hAnsi="Book Antiqua"/>
          <w:b/>
          <w:sz w:val="24"/>
          <w:szCs w:val="24"/>
        </w:rPr>
        <w:t>42</w:t>
      </w:r>
      <w:r>
        <w:rPr>
          <w:rFonts w:ascii="Book Antiqua" w:hAnsi="Book Antiqua"/>
          <w:sz w:val="24"/>
          <w:szCs w:val="24"/>
        </w:rPr>
        <w:t>: 178-181 [PMID: 19826524 DOI: 10.4103/0019-5413.40254]</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Gibson JN</w:t>
      </w:r>
      <w:r>
        <w:rPr>
          <w:rFonts w:ascii="Book Antiqua" w:hAnsi="Book Antiqua"/>
          <w:sz w:val="24"/>
          <w:szCs w:val="24"/>
        </w:rPr>
        <w:t xml:space="preserve">, Cowie JG, Iprenburg M. Transforaminal endoscopic spinal surgery: the future 'gold standard' for discectomy? - A review. </w:t>
      </w:r>
      <w:r>
        <w:rPr>
          <w:rFonts w:ascii="Book Antiqua" w:hAnsi="Book Antiqua"/>
          <w:i/>
          <w:sz w:val="24"/>
          <w:szCs w:val="24"/>
        </w:rPr>
        <w:t>Surgeon</w:t>
      </w:r>
      <w:r>
        <w:rPr>
          <w:rFonts w:ascii="Book Antiqua" w:hAnsi="Book Antiqua"/>
          <w:sz w:val="24"/>
          <w:szCs w:val="24"/>
        </w:rPr>
        <w:t xml:space="preserve"> 2012; </w:t>
      </w:r>
      <w:r>
        <w:rPr>
          <w:rFonts w:ascii="Book Antiqua" w:hAnsi="Book Antiqua"/>
          <w:b/>
          <w:sz w:val="24"/>
          <w:szCs w:val="24"/>
        </w:rPr>
        <w:t>10</w:t>
      </w:r>
      <w:r>
        <w:rPr>
          <w:rFonts w:ascii="Book Antiqua" w:hAnsi="Book Antiqua"/>
          <w:sz w:val="24"/>
          <w:szCs w:val="24"/>
        </w:rPr>
        <w:t>: 290-296 [PMID: 22705355 DOI: 10.1016/j.surge.2012.05.001]</w:t>
      </w:r>
    </w:p>
    <w:p w:rsidR="005D4C7C" w:rsidRDefault="00D55AAA">
      <w:pPr>
        <w:spacing w:after="0" w:line="360" w:lineRule="auto"/>
        <w:jc w:val="both"/>
        <w:rPr>
          <w:rFonts w:ascii="Book Antiqua" w:eastAsia="等线" w:hAnsi="Book Antiqua" w:cs="Times New Roman"/>
          <w:b/>
          <w:color w:val="000000" w:themeColor="text1"/>
          <w:kern w:val="2"/>
          <w:sz w:val="24"/>
          <w:szCs w:val="24"/>
        </w:rPr>
      </w:pPr>
      <w:r>
        <w:rPr>
          <w:rFonts w:ascii="Book Antiqua" w:eastAsia="等线" w:hAnsi="Book Antiqua" w:cs="Times New Roman"/>
          <w:b/>
          <w:color w:val="000000" w:themeColor="text1"/>
          <w:kern w:val="2"/>
          <w:sz w:val="24"/>
          <w:szCs w:val="24"/>
        </w:rPr>
        <w:br w:type="page"/>
      </w:r>
    </w:p>
    <w:p w:rsidR="005D4C7C" w:rsidRDefault="00D55AAA">
      <w:pPr>
        <w:spacing w:after="0" w:line="360" w:lineRule="auto"/>
        <w:jc w:val="both"/>
        <w:rPr>
          <w:rFonts w:ascii="Book Antiqua" w:hAnsi="Book Antiqua"/>
          <w:b/>
          <w:sz w:val="24"/>
          <w:szCs w:val="24"/>
        </w:rPr>
      </w:pPr>
      <w:r>
        <w:rPr>
          <w:rFonts w:ascii="Book Antiqua" w:hAnsi="Book Antiqua"/>
          <w:b/>
          <w:sz w:val="24"/>
          <w:szCs w:val="24"/>
        </w:rPr>
        <w:t>Footnotes</w:t>
      </w:r>
    </w:p>
    <w:p w:rsidR="005D4C7C" w:rsidRDefault="00D55AAA">
      <w:pPr>
        <w:widowControl w:val="0"/>
        <w:spacing w:after="0" w:line="360" w:lineRule="auto"/>
        <w:jc w:val="both"/>
        <w:rPr>
          <w:rFonts w:ascii="Book Antiqua" w:eastAsia="等线" w:hAnsi="Book Antiqua" w:cs="Times New Roman"/>
          <w:b/>
          <w:color w:val="000000" w:themeColor="text1"/>
          <w:kern w:val="2"/>
          <w:sz w:val="24"/>
          <w:szCs w:val="24"/>
        </w:rPr>
      </w:pPr>
      <w:r>
        <w:rPr>
          <w:rFonts w:ascii="Book Antiqua" w:hAnsi="Book Antiqua"/>
          <w:b/>
          <w:sz w:val="24"/>
          <w:szCs w:val="24"/>
        </w:rPr>
        <w:t>Institutional review board statement</w:t>
      </w:r>
      <w:r>
        <w:rPr>
          <w:rFonts w:ascii="Book Antiqua" w:hAnsi="Book Antiqua"/>
          <w:b/>
          <w:iCs/>
          <w:color w:val="000000"/>
          <w:sz w:val="24"/>
          <w:szCs w:val="24"/>
        </w:rPr>
        <w:t xml:space="preserve">: </w:t>
      </w:r>
      <w:r>
        <w:rPr>
          <w:rFonts w:ascii="Book Antiqua" w:hAnsi="Book Antiqua"/>
          <w:sz w:val="24"/>
          <w:szCs w:val="24"/>
        </w:rPr>
        <w:t xml:space="preserve">This study was reviewed and approved by the Ethics Committee of </w:t>
      </w:r>
      <w:r>
        <w:rPr>
          <w:rFonts w:ascii="Book Antiqua" w:eastAsia="等线" w:hAnsi="Book Antiqua" w:cs="Times New Roman"/>
          <w:bCs/>
          <w:color w:val="000000" w:themeColor="text1"/>
          <w:kern w:val="2"/>
          <w:sz w:val="24"/>
          <w:szCs w:val="24"/>
        </w:rPr>
        <w:t>The Second Hospital of Tangshan.</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hAnsi="Book Antiqua"/>
          <w:b/>
          <w:iCs/>
          <w:color w:val="000000"/>
          <w:sz w:val="24"/>
          <w:szCs w:val="24"/>
        </w:rPr>
      </w:pPr>
      <w:r>
        <w:rPr>
          <w:rFonts w:ascii="Book Antiqua" w:hAnsi="Book Antiqua"/>
          <w:b/>
          <w:sz w:val="24"/>
          <w:szCs w:val="24"/>
        </w:rPr>
        <w:t>Informed consent statement</w:t>
      </w:r>
      <w:r>
        <w:rPr>
          <w:rFonts w:ascii="Book Antiqua" w:hAnsi="Book Antiqua"/>
          <w:b/>
          <w:iCs/>
          <w:color w:val="000000"/>
          <w:sz w:val="24"/>
          <w:szCs w:val="24"/>
        </w:rPr>
        <w:t>:</w:t>
      </w:r>
      <w:r>
        <w:rPr>
          <w:rFonts w:ascii="Book Antiqua" w:hAnsi="Book Antiqua"/>
          <w:sz w:val="24"/>
          <w:szCs w:val="24"/>
        </w:rPr>
        <w:t xml:space="preserve"> Patients were not required to give informed consent to the study because the analysis used anonymous clinical data that were obtained after each patient agreed to treatment by written consent.</w:t>
      </w:r>
    </w:p>
    <w:p w:rsidR="005D4C7C" w:rsidRDefault="005D4C7C">
      <w:pPr>
        <w:widowControl w:val="0"/>
        <w:spacing w:after="0" w:line="360" w:lineRule="auto"/>
        <w:jc w:val="both"/>
        <w:rPr>
          <w:rFonts w:ascii="Book Antiqua" w:hAnsi="Book Antiqua"/>
          <w:b/>
          <w:iCs/>
          <w:color w:val="000000"/>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hAnsi="Book Antiqua"/>
          <w:b/>
          <w:sz w:val="24"/>
          <w:szCs w:val="24"/>
        </w:rPr>
        <w:t>Conflict-of-interest statement</w:t>
      </w:r>
      <w:r>
        <w:rPr>
          <w:rFonts w:ascii="Book Antiqua" w:hAnsi="Book Antiqua" w:cs="TimesNewRomanPS-BoldItalicMT"/>
          <w:b/>
          <w:iCs/>
          <w:color w:val="000000"/>
          <w:sz w:val="24"/>
          <w:szCs w:val="24"/>
        </w:rPr>
        <w:t xml:space="preserve">: </w:t>
      </w:r>
      <w:r>
        <w:rPr>
          <w:rFonts w:ascii="Book Antiqua" w:eastAsia="等线" w:hAnsi="Book Antiqua" w:cs="Times New Roman"/>
          <w:color w:val="000000" w:themeColor="text1"/>
          <w:kern w:val="2"/>
          <w:sz w:val="24"/>
          <w:szCs w:val="24"/>
        </w:rPr>
        <w:t>Dr. Li CH received grants from 2018 Hebei Provincial Key Medical Science Project Plan (20181289), during this study.</w:t>
      </w:r>
      <w:r>
        <w:rPr>
          <w:rFonts w:ascii="Book Antiqua" w:hAnsi="Book Antiqua" w:cs="TimesNewRomanPS-BoldItalicMT"/>
          <w:iCs/>
          <w:color w:val="000000"/>
          <w:sz w:val="24"/>
          <w:szCs w:val="24"/>
        </w:rPr>
        <w:t xml:space="preserve"> There are no other financial relationships to disclose.</w:t>
      </w:r>
    </w:p>
    <w:p w:rsidR="005D4C7C" w:rsidRDefault="005D4C7C">
      <w:pPr>
        <w:spacing w:after="0" w:line="360" w:lineRule="auto"/>
        <w:jc w:val="both"/>
        <w:rPr>
          <w:rFonts w:ascii="Book Antiqua" w:hAnsi="Book Antiqua"/>
          <w:color w:val="000000" w:themeColor="text1"/>
          <w:sz w:val="24"/>
          <w:szCs w:val="24"/>
        </w:rPr>
      </w:pPr>
    </w:p>
    <w:p w:rsidR="005D4C7C" w:rsidRDefault="00D55AAA">
      <w:pPr>
        <w:spacing w:after="0" w:line="360" w:lineRule="auto"/>
        <w:jc w:val="both"/>
        <w:rPr>
          <w:rFonts w:ascii="Book Antiqua" w:hAnsi="Book Antiqua"/>
          <w:sz w:val="24"/>
          <w:szCs w:val="24"/>
        </w:rPr>
      </w:pPr>
      <w:r>
        <w:rPr>
          <w:rFonts w:ascii="Book Antiqua" w:hAnsi="Book Antiqua"/>
          <w:b/>
          <w:sz w:val="24"/>
          <w:szCs w:val="24"/>
        </w:rPr>
        <w:t>Data sharing statement</w:t>
      </w:r>
      <w:r>
        <w:rPr>
          <w:rFonts w:ascii="Book Antiqua" w:hAnsi="Book Antiqua" w:cs="TimesNewRomanPS-BoldItalicMT"/>
          <w:b/>
          <w:iCs/>
          <w:color w:val="000000"/>
          <w:sz w:val="24"/>
          <w:szCs w:val="24"/>
        </w:rPr>
        <w:t>:</w:t>
      </w:r>
      <w:r>
        <w:rPr>
          <w:rFonts w:ascii="Book Antiqua" w:hAnsi="Book Antiqua"/>
          <w:b/>
          <w:sz w:val="24"/>
          <w:szCs w:val="24"/>
        </w:rPr>
        <w:t xml:space="preserve"> </w:t>
      </w:r>
      <w:r>
        <w:rPr>
          <w:rFonts w:ascii="Book Antiqua" w:hAnsi="Book Antiqua"/>
          <w:sz w:val="24"/>
          <w:szCs w:val="24"/>
        </w:rPr>
        <w:t>No additional data are available.</w:t>
      </w:r>
    </w:p>
    <w:p w:rsidR="005D4C7C" w:rsidRDefault="005D4C7C">
      <w:pPr>
        <w:spacing w:after="0" w:line="360" w:lineRule="auto"/>
        <w:jc w:val="both"/>
        <w:rPr>
          <w:rFonts w:ascii="Book Antiqua" w:hAnsi="Book Antiqua"/>
          <w:b/>
          <w:sz w:val="24"/>
          <w:szCs w:val="24"/>
        </w:rPr>
      </w:pPr>
    </w:p>
    <w:p w:rsidR="005D4C7C" w:rsidRDefault="00D55AAA">
      <w:pPr>
        <w:spacing w:after="0" w:line="360" w:lineRule="auto"/>
        <w:jc w:val="both"/>
        <w:rPr>
          <w:rFonts w:ascii="Book Antiqua" w:hAnsi="Book Antiqua" w:cs="宋体"/>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D4C7C" w:rsidRDefault="005D4C7C">
      <w:pPr>
        <w:spacing w:after="0" w:line="360" w:lineRule="auto"/>
        <w:jc w:val="both"/>
        <w:rPr>
          <w:rFonts w:ascii="Book Antiqua" w:eastAsiaTheme="minorEastAsia" w:hAnsi="Book Antiqua"/>
          <w:sz w:val="24"/>
          <w:szCs w:val="24"/>
        </w:rPr>
      </w:pPr>
    </w:p>
    <w:p w:rsidR="005D4C7C" w:rsidRDefault="00D55AAA">
      <w:pPr>
        <w:spacing w:after="0" w:line="360" w:lineRule="auto"/>
        <w:jc w:val="both"/>
        <w:rPr>
          <w:rFonts w:ascii="Book Antiqua" w:hAnsi="Book Antiqua"/>
          <w:bCs/>
          <w:color w:val="000000"/>
          <w:sz w:val="24"/>
          <w:szCs w:val="24"/>
        </w:rPr>
      </w:pPr>
      <w:r>
        <w:rPr>
          <w:rFonts w:ascii="Book Antiqua" w:hAnsi="Book Antiqua"/>
          <w:b/>
          <w:color w:val="000000"/>
          <w:sz w:val="24"/>
          <w:szCs w:val="24"/>
          <w:lang w:eastAsia="pl-PL"/>
        </w:rPr>
        <w:t>Manuscript source:</w:t>
      </w:r>
      <w:r>
        <w:rPr>
          <w:rFonts w:ascii="Book Antiqua" w:hAnsi="Book Antiqua"/>
          <w:b/>
          <w:color w:val="000000"/>
          <w:sz w:val="24"/>
          <w:szCs w:val="24"/>
        </w:rPr>
        <w:t xml:space="preserve"> </w:t>
      </w:r>
      <w:r>
        <w:rPr>
          <w:rFonts w:ascii="Book Antiqua" w:hAnsi="Book Antiqua"/>
          <w:color w:val="000000"/>
          <w:sz w:val="24"/>
          <w:szCs w:val="24"/>
          <w:lang w:eastAsia="pl-PL"/>
        </w:rPr>
        <w:t>Unsolicited manuscript</w:t>
      </w:r>
    </w:p>
    <w:p w:rsidR="005D4C7C" w:rsidRDefault="005D4C7C">
      <w:pPr>
        <w:spacing w:after="0" w:line="360" w:lineRule="auto"/>
        <w:jc w:val="both"/>
        <w:rPr>
          <w:rFonts w:ascii="Book Antiqua" w:hAnsi="Book Antiqua"/>
          <w:b/>
          <w:sz w:val="24"/>
          <w:szCs w:val="24"/>
        </w:rPr>
      </w:pPr>
    </w:p>
    <w:p w:rsidR="005D4C7C" w:rsidRDefault="00D55AAA">
      <w:pPr>
        <w:spacing w:after="0" w:line="360" w:lineRule="auto"/>
        <w:jc w:val="both"/>
        <w:rPr>
          <w:rFonts w:ascii="Book Antiqua" w:eastAsiaTheme="minorEastAsia" w:hAnsi="Book Antiqua"/>
          <w:b/>
          <w:sz w:val="24"/>
          <w:szCs w:val="24"/>
        </w:rPr>
      </w:pPr>
      <w:r>
        <w:rPr>
          <w:rFonts w:ascii="Book Antiqua" w:hAnsi="Book Antiqua"/>
          <w:b/>
          <w:sz w:val="24"/>
          <w:szCs w:val="24"/>
        </w:rPr>
        <w:t>Peer-review started:</w:t>
      </w:r>
      <w:r>
        <w:rPr>
          <w:rFonts w:ascii="Book Antiqua" w:eastAsiaTheme="minorEastAsia" w:hAnsi="Book Antiqua"/>
          <w:b/>
          <w:sz w:val="24"/>
          <w:szCs w:val="24"/>
        </w:rPr>
        <w:t xml:space="preserve"> </w:t>
      </w:r>
      <w:r>
        <w:rPr>
          <w:rFonts w:ascii="Book Antiqua" w:hAnsi="Book Antiqua"/>
          <w:sz w:val="24"/>
          <w:szCs w:val="24"/>
        </w:rPr>
        <w:t>March</w:t>
      </w:r>
      <w:r>
        <w:rPr>
          <w:rFonts w:ascii="Book Antiqua" w:eastAsiaTheme="minorEastAsia" w:hAnsi="Book Antiqua"/>
          <w:sz w:val="24"/>
          <w:szCs w:val="24"/>
        </w:rPr>
        <w:t xml:space="preserve"> 22, 2020</w:t>
      </w:r>
    </w:p>
    <w:p w:rsidR="005D4C7C" w:rsidRDefault="00D55AAA">
      <w:pPr>
        <w:spacing w:after="0" w:line="360" w:lineRule="auto"/>
        <w:jc w:val="both"/>
        <w:rPr>
          <w:rFonts w:ascii="Book Antiqua" w:eastAsiaTheme="minorEastAsia" w:hAnsi="Book Antiqua"/>
          <w:b/>
          <w:sz w:val="24"/>
          <w:szCs w:val="24"/>
        </w:rPr>
      </w:pPr>
      <w:r>
        <w:rPr>
          <w:rFonts w:ascii="Book Antiqua" w:hAnsi="Book Antiqua"/>
          <w:b/>
          <w:sz w:val="24"/>
          <w:szCs w:val="24"/>
        </w:rPr>
        <w:t>First decision:</w:t>
      </w:r>
      <w:r>
        <w:rPr>
          <w:rFonts w:ascii="Book Antiqua" w:eastAsiaTheme="minorEastAsia" w:hAnsi="Book Antiqua"/>
          <w:b/>
          <w:sz w:val="24"/>
          <w:szCs w:val="24"/>
        </w:rPr>
        <w:t xml:space="preserve"> </w:t>
      </w:r>
      <w:r>
        <w:rPr>
          <w:rFonts w:ascii="Book Antiqua" w:hAnsi="Book Antiqua"/>
          <w:sz w:val="24"/>
          <w:szCs w:val="24"/>
        </w:rPr>
        <w:t>April 14, 2020</w:t>
      </w:r>
    </w:p>
    <w:p w:rsidR="005D4C7C" w:rsidRDefault="00D55AAA">
      <w:pPr>
        <w:spacing w:after="0" w:line="360" w:lineRule="auto"/>
        <w:jc w:val="both"/>
        <w:rPr>
          <w:rFonts w:ascii="Book Antiqua" w:hAnsi="Book Antiqua"/>
          <w:b/>
          <w:sz w:val="24"/>
          <w:szCs w:val="24"/>
        </w:rPr>
      </w:pPr>
      <w:r>
        <w:rPr>
          <w:rFonts w:ascii="Book Antiqua" w:hAnsi="Book Antiqua"/>
          <w:b/>
          <w:sz w:val="24"/>
          <w:szCs w:val="24"/>
        </w:rPr>
        <w:t>Article in press:</w:t>
      </w:r>
      <w:r w:rsidR="00D8168E" w:rsidRPr="00D8168E">
        <w:rPr>
          <w:rFonts w:ascii="Book Antiqua" w:hAnsi="Book Antiqua"/>
          <w:bCs/>
          <w:color w:val="000000" w:themeColor="text1"/>
          <w:sz w:val="24"/>
          <w:szCs w:val="24"/>
        </w:rPr>
        <w:t xml:space="preserve"> </w:t>
      </w:r>
      <w:r w:rsidR="00D8168E">
        <w:rPr>
          <w:rFonts w:ascii="Book Antiqua" w:hAnsi="Book Antiqua"/>
          <w:bCs/>
          <w:color w:val="000000" w:themeColor="text1"/>
          <w:sz w:val="24"/>
          <w:szCs w:val="24"/>
        </w:rPr>
        <w:t>May 26, 2020</w:t>
      </w:r>
    </w:p>
    <w:p w:rsidR="005D4C7C" w:rsidRDefault="005D4C7C">
      <w:pPr>
        <w:spacing w:after="0" w:line="360" w:lineRule="auto"/>
        <w:jc w:val="both"/>
        <w:rPr>
          <w:rFonts w:ascii="Book Antiqua" w:eastAsiaTheme="minorEastAsia" w:hAnsi="Book Antiqua"/>
          <w:sz w:val="24"/>
          <w:szCs w:val="24"/>
        </w:rPr>
      </w:pPr>
    </w:p>
    <w:p w:rsidR="005D4C7C" w:rsidRDefault="00D55AAA">
      <w:pPr>
        <w:spacing w:after="0" w:line="360" w:lineRule="auto"/>
        <w:jc w:val="both"/>
        <w:rPr>
          <w:rFonts w:ascii="Book Antiqua" w:hAnsi="Book Antiqua" w:cs="宋体"/>
          <w:sz w:val="24"/>
          <w:szCs w:val="24"/>
        </w:rPr>
      </w:pPr>
      <w:r>
        <w:rPr>
          <w:rFonts w:ascii="Book Antiqua" w:hAnsi="Book Antiqua" w:cs="宋体"/>
          <w:b/>
          <w:sz w:val="24"/>
          <w:szCs w:val="24"/>
        </w:rPr>
        <w:t xml:space="preserve">Specialty type: </w:t>
      </w:r>
      <w:r>
        <w:rPr>
          <w:rFonts w:ascii="Book Antiqua" w:hAnsi="Book Antiqua" w:cs="宋体"/>
          <w:sz w:val="24"/>
          <w:szCs w:val="24"/>
        </w:rPr>
        <w:t>Medicine, research and experimental</w:t>
      </w:r>
    </w:p>
    <w:p w:rsidR="005D4C7C" w:rsidRDefault="00D55AAA">
      <w:pPr>
        <w:spacing w:after="0" w:line="360" w:lineRule="auto"/>
        <w:jc w:val="both"/>
        <w:rPr>
          <w:rFonts w:ascii="Book Antiqua" w:eastAsiaTheme="minorEastAsia" w:hAnsi="Book Antiqua" w:cs="宋体"/>
          <w:sz w:val="24"/>
          <w:szCs w:val="24"/>
        </w:rPr>
      </w:pPr>
      <w:r>
        <w:rPr>
          <w:rFonts w:ascii="Book Antiqua" w:hAnsi="Book Antiqua" w:cs="宋体"/>
          <w:b/>
          <w:sz w:val="24"/>
          <w:szCs w:val="24"/>
        </w:rPr>
        <w:t xml:space="preserve">Country/Territory of origin: </w:t>
      </w:r>
      <w:r>
        <w:rPr>
          <w:rFonts w:ascii="Book Antiqua" w:eastAsiaTheme="minorEastAsia" w:hAnsi="Book Antiqua" w:cs="宋体"/>
          <w:sz w:val="24"/>
          <w:szCs w:val="24"/>
        </w:rPr>
        <w:t>China</w:t>
      </w:r>
    </w:p>
    <w:p w:rsidR="005D4C7C" w:rsidRDefault="00D55AAA">
      <w:pPr>
        <w:spacing w:after="0" w:line="360" w:lineRule="auto"/>
        <w:jc w:val="both"/>
        <w:rPr>
          <w:rFonts w:ascii="Book Antiqua" w:hAnsi="Book Antiqua" w:cs="宋体"/>
          <w:b/>
          <w:sz w:val="24"/>
          <w:szCs w:val="24"/>
        </w:rPr>
      </w:pPr>
      <w:r>
        <w:rPr>
          <w:rFonts w:ascii="Book Antiqua" w:hAnsi="Book Antiqua" w:cs="宋体"/>
          <w:b/>
          <w:sz w:val="24"/>
          <w:szCs w:val="24"/>
        </w:rPr>
        <w:t>Peer-review report’s scientific quality classification</w:t>
      </w:r>
    </w:p>
    <w:p w:rsidR="005D4C7C" w:rsidRDefault="00D55AAA">
      <w:pPr>
        <w:spacing w:after="0" w:line="360" w:lineRule="auto"/>
        <w:jc w:val="both"/>
        <w:rPr>
          <w:rFonts w:ascii="Book Antiqua" w:hAnsi="Book Antiqua" w:cs="宋体"/>
          <w:sz w:val="24"/>
          <w:szCs w:val="24"/>
        </w:rPr>
      </w:pPr>
      <w:r>
        <w:rPr>
          <w:rFonts w:ascii="Book Antiqua" w:hAnsi="Book Antiqua" w:cs="宋体"/>
          <w:sz w:val="24"/>
          <w:szCs w:val="24"/>
        </w:rPr>
        <w:t>Grade A (Excellent): 0</w:t>
      </w:r>
    </w:p>
    <w:p w:rsidR="005D4C7C" w:rsidRDefault="00D55AAA">
      <w:pPr>
        <w:spacing w:after="0" w:line="360" w:lineRule="auto"/>
        <w:jc w:val="both"/>
        <w:rPr>
          <w:rFonts w:ascii="Book Antiqua" w:eastAsiaTheme="minorEastAsia" w:hAnsi="Book Antiqua" w:cs="宋体"/>
          <w:sz w:val="24"/>
          <w:szCs w:val="24"/>
        </w:rPr>
      </w:pPr>
      <w:r>
        <w:rPr>
          <w:rFonts w:ascii="Book Antiqua" w:hAnsi="Book Antiqua" w:cs="宋体"/>
          <w:sz w:val="24"/>
          <w:szCs w:val="24"/>
        </w:rPr>
        <w:t xml:space="preserve">Grade B (Very good): </w:t>
      </w:r>
      <w:r>
        <w:rPr>
          <w:rFonts w:ascii="Book Antiqua" w:eastAsiaTheme="minorEastAsia" w:hAnsi="Book Antiqua" w:cs="宋体"/>
          <w:sz w:val="24"/>
          <w:szCs w:val="24"/>
        </w:rPr>
        <w:t>B, B, B</w:t>
      </w:r>
    </w:p>
    <w:p w:rsidR="005D4C7C" w:rsidRDefault="00D55AAA">
      <w:pPr>
        <w:spacing w:after="0" w:line="360" w:lineRule="auto"/>
        <w:jc w:val="both"/>
        <w:rPr>
          <w:rFonts w:ascii="Book Antiqua" w:hAnsi="Book Antiqua" w:cs="宋体"/>
          <w:sz w:val="24"/>
          <w:szCs w:val="24"/>
        </w:rPr>
      </w:pPr>
      <w:r>
        <w:rPr>
          <w:rFonts w:ascii="Book Antiqua" w:hAnsi="Book Antiqua" w:cs="宋体"/>
          <w:sz w:val="24"/>
          <w:szCs w:val="24"/>
        </w:rPr>
        <w:t>Grade C (Good): 0</w:t>
      </w:r>
    </w:p>
    <w:p w:rsidR="005D4C7C" w:rsidRDefault="00D55AAA">
      <w:pPr>
        <w:spacing w:after="0" w:line="360" w:lineRule="auto"/>
        <w:jc w:val="both"/>
        <w:rPr>
          <w:rFonts w:ascii="Book Antiqua" w:hAnsi="Book Antiqua" w:cs="宋体"/>
          <w:sz w:val="24"/>
          <w:szCs w:val="24"/>
        </w:rPr>
      </w:pPr>
      <w:r>
        <w:rPr>
          <w:rFonts w:ascii="Book Antiqua" w:hAnsi="Book Antiqua" w:cs="宋体"/>
          <w:sz w:val="24"/>
          <w:szCs w:val="24"/>
        </w:rPr>
        <w:t>Grade D (Fair): 0</w:t>
      </w:r>
    </w:p>
    <w:p w:rsidR="005D4C7C" w:rsidRDefault="00D55AAA">
      <w:pPr>
        <w:spacing w:after="0" w:line="360" w:lineRule="auto"/>
        <w:jc w:val="both"/>
        <w:rPr>
          <w:rFonts w:ascii="Book Antiqua" w:eastAsia="等线" w:hAnsi="Book Antiqua"/>
          <w:sz w:val="24"/>
          <w:szCs w:val="24"/>
          <w:lang w:val="hu-HU"/>
        </w:rPr>
      </w:pPr>
      <w:r>
        <w:rPr>
          <w:rFonts w:ascii="Book Antiqua" w:hAnsi="Book Antiqua" w:cs="宋体"/>
          <w:sz w:val="24"/>
          <w:szCs w:val="24"/>
        </w:rPr>
        <w:t>Grade E (Poor): 0</w:t>
      </w:r>
    </w:p>
    <w:p w:rsidR="005D4C7C" w:rsidRDefault="005D4C7C">
      <w:pPr>
        <w:spacing w:after="0" w:line="360" w:lineRule="auto"/>
        <w:jc w:val="both"/>
        <w:rPr>
          <w:rFonts w:ascii="Book Antiqua" w:eastAsiaTheme="minorEastAsia" w:hAnsi="Book Antiqua"/>
          <w:b/>
          <w:bCs/>
          <w:sz w:val="24"/>
          <w:szCs w:val="24"/>
          <w:lang w:val="hu-HU"/>
        </w:rPr>
      </w:pPr>
    </w:p>
    <w:p w:rsidR="005D4C7C" w:rsidRDefault="00D55AAA">
      <w:pPr>
        <w:spacing w:after="0" w:line="360" w:lineRule="auto"/>
        <w:jc w:val="both"/>
        <w:rPr>
          <w:rFonts w:ascii="Book Antiqua" w:hAnsi="Book Antiqua"/>
          <w:b/>
          <w:bCs/>
          <w:sz w:val="24"/>
          <w:szCs w:val="24"/>
        </w:rPr>
      </w:pPr>
      <w:r>
        <w:rPr>
          <w:rFonts w:ascii="Book Antiqua" w:hAnsi="Book Antiqua"/>
          <w:b/>
          <w:sz w:val="24"/>
          <w:szCs w:val="24"/>
        </w:rPr>
        <w:t xml:space="preserve">P-Reviewer: </w:t>
      </w:r>
      <w:r>
        <w:rPr>
          <w:rFonts w:ascii="Book Antiqua" w:hAnsi="Book Antiqua"/>
          <w:sz w:val="24"/>
          <w:szCs w:val="24"/>
        </w:rPr>
        <w:t xml:space="preserve">Ko E, Mathur A, Rakhya P </w:t>
      </w:r>
      <w:r>
        <w:rPr>
          <w:rFonts w:ascii="Book Antiqua" w:hAnsi="Book Antiqua"/>
          <w:b/>
          <w:sz w:val="24"/>
          <w:szCs w:val="24"/>
        </w:rPr>
        <w:t>S-Editor:</w:t>
      </w:r>
      <w:r>
        <w:rPr>
          <w:rFonts w:ascii="Book Antiqua" w:hAnsi="Book Antiqua"/>
          <w:sz w:val="24"/>
          <w:szCs w:val="24"/>
        </w:rPr>
        <w:t xml:space="preserve"> </w:t>
      </w:r>
      <w:r>
        <w:rPr>
          <w:rFonts w:ascii="Book Antiqua" w:eastAsiaTheme="minorEastAsia" w:hAnsi="Book Antiqua"/>
          <w:sz w:val="24"/>
          <w:szCs w:val="24"/>
        </w:rPr>
        <w:t>Wang JL</w:t>
      </w:r>
      <w:r>
        <w:rPr>
          <w:rFonts w:ascii="Book Antiqua" w:eastAsiaTheme="minorEastAsia" w:hAnsi="Book Antiqua" w:hint="eastAsia"/>
          <w:sz w:val="24"/>
          <w:szCs w:val="24"/>
        </w:rPr>
        <w:t xml:space="preserve"> </w:t>
      </w:r>
      <w:r>
        <w:rPr>
          <w:rFonts w:ascii="Book Antiqua" w:hAnsi="Book Antiqua"/>
          <w:b/>
          <w:sz w:val="24"/>
          <w:szCs w:val="24"/>
        </w:rPr>
        <w:t>L-Editor:</w:t>
      </w:r>
      <w:r>
        <w:rPr>
          <w:rFonts w:ascii="Book Antiqua" w:hAnsi="Book Antiqua"/>
          <w:sz w:val="24"/>
          <w:szCs w:val="24"/>
        </w:rPr>
        <w:t xml:space="preserve"> Webster JR </w:t>
      </w:r>
      <w:r>
        <w:rPr>
          <w:rFonts w:ascii="Book Antiqua" w:hAnsi="Book Antiqua"/>
          <w:b/>
          <w:sz w:val="24"/>
          <w:szCs w:val="24"/>
        </w:rPr>
        <w:t>E-Editor:</w:t>
      </w:r>
      <w:r w:rsidR="00D8168E">
        <w:rPr>
          <w:rFonts w:ascii="Book Antiqua" w:hAnsi="Book Antiqua" w:hint="eastAsia"/>
          <w:b/>
          <w:sz w:val="24"/>
          <w:szCs w:val="24"/>
        </w:rPr>
        <w:t xml:space="preserve"> </w:t>
      </w:r>
      <w:r w:rsidR="00D8168E" w:rsidRPr="00D8168E">
        <w:rPr>
          <w:rFonts w:ascii="Book Antiqua" w:hAnsi="Book Antiqua" w:hint="eastAsia"/>
          <w:sz w:val="24"/>
          <w:szCs w:val="24"/>
        </w:rPr>
        <w:t>Liu JH</w:t>
      </w:r>
    </w:p>
    <w:p w:rsidR="005D4C7C" w:rsidRDefault="00D55AAA">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 xml:space="preserve">Table 1 Comparison of the surgical indicators in the two groups of patients (mean ± SD) </w:t>
      </w:r>
    </w:p>
    <w:tbl>
      <w:tblPr>
        <w:tblStyle w:val="a8"/>
        <w:tblW w:w="97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36"/>
        <w:gridCol w:w="1413"/>
        <w:gridCol w:w="1777"/>
        <w:gridCol w:w="1322"/>
        <w:gridCol w:w="1278"/>
        <w:gridCol w:w="1264"/>
      </w:tblGrid>
      <w:tr w:rsidR="005D4C7C">
        <w:trPr>
          <w:trHeight w:val="689"/>
          <w:jc w:val="center"/>
        </w:trPr>
        <w:tc>
          <w:tcPr>
            <w:tcW w:w="152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136"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458"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Operation time (min)</w:t>
            </w:r>
          </w:p>
        </w:tc>
        <w:tc>
          <w:tcPr>
            <w:tcW w:w="1547"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Intraoperative blood loss (mL)</w:t>
            </w:r>
          </w:p>
        </w:tc>
        <w:tc>
          <w:tcPr>
            <w:tcW w:w="1444"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Incision length (</w:t>
            </w:r>
            <w:r>
              <w:rPr>
                <w:rStyle w:val="apple-converted-space"/>
                <w:rFonts w:ascii="Book Antiqua" w:eastAsiaTheme="minorEastAsia" w:hAnsi="Book Antiqua" w:cs="Arial" w:hint="eastAsia"/>
                <w:b/>
                <w:color w:val="000000" w:themeColor="text1"/>
                <w:sz w:val="24"/>
                <w:szCs w:val="24"/>
                <w:shd w:val="clear" w:color="auto" w:fill="FFFFFF"/>
              </w:rPr>
              <w:t>mm</w:t>
            </w:r>
            <w:r>
              <w:rPr>
                <w:rStyle w:val="apple-converted-space"/>
                <w:rFonts w:ascii="Book Antiqua" w:eastAsiaTheme="minorEastAsia" w:hAnsi="Book Antiqua" w:cs="Arial"/>
                <w:b/>
                <w:color w:val="000000" w:themeColor="text1"/>
                <w:sz w:val="24"/>
                <w:szCs w:val="24"/>
                <w:shd w:val="clear" w:color="auto" w:fill="FFFFFF"/>
              </w:rPr>
              <w:t>)</w:t>
            </w:r>
          </w:p>
        </w:tc>
        <w:tc>
          <w:tcPr>
            <w:tcW w:w="128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Bed time after operation (d)</w:t>
            </w:r>
          </w:p>
        </w:tc>
        <w:tc>
          <w:tcPr>
            <w:tcW w:w="132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Hospital stay (d)</w:t>
            </w:r>
          </w:p>
        </w:tc>
      </w:tr>
      <w:tr w:rsidR="005D4C7C">
        <w:trPr>
          <w:trHeight w:val="489"/>
          <w:jc w:val="center"/>
        </w:trPr>
        <w:tc>
          <w:tcPr>
            <w:tcW w:w="152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136"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58"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72.64 ± 6.32</w:t>
            </w:r>
          </w:p>
        </w:tc>
        <w:tc>
          <w:tcPr>
            <w:tcW w:w="1547"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35.42 ± 8.16</w:t>
            </w:r>
          </w:p>
        </w:tc>
        <w:tc>
          <w:tcPr>
            <w:tcW w:w="1444"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2.25 ± 0.34</w:t>
            </w:r>
          </w:p>
        </w:tc>
        <w:tc>
          <w:tcPr>
            <w:tcW w:w="128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3.36 ± 2.18</w:t>
            </w:r>
          </w:p>
        </w:tc>
        <w:tc>
          <w:tcPr>
            <w:tcW w:w="132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7.25 ± 3.64</w:t>
            </w:r>
          </w:p>
        </w:tc>
      </w:tr>
      <w:tr w:rsidR="005D4C7C">
        <w:trPr>
          <w:trHeight w:val="482"/>
          <w:jc w:val="center"/>
        </w:trPr>
        <w:tc>
          <w:tcPr>
            <w:tcW w:w="152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136"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58"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52.87 ± 4.34</w:t>
            </w:r>
          </w:p>
        </w:tc>
        <w:tc>
          <w:tcPr>
            <w:tcW w:w="154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60.25 ± 11.24</w:t>
            </w:r>
          </w:p>
        </w:tc>
        <w:tc>
          <w:tcPr>
            <w:tcW w:w="144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6.82 ± 0.41</w:t>
            </w:r>
          </w:p>
        </w:tc>
        <w:tc>
          <w:tcPr>
            <w:tcW w:w="128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4.79 ± 1.86</w:t>
            </w:r>
          </w:p>
        </w:tc>
        <w:tc>
          <w:tcPr>
            <w:tcW w:w="132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10.86 ± 4.25</w:t>
            </w:r>
          </w:p>
        </w:tc>
      </w:tr>
      <w:tr w:rsidR="005D4C7C">
        <w:trPr>
          <w:trHeight w:val="482"/>
          <w:jc w:val="center"/>
        </w:trPr>
        <w:tc>
          <w:tcPr>
            <w:tcW w:w="1525" w:type="dxa"/>
            <w:vAlign w:val="center"/>
          </w:tcPr>
          <w:p w:rsidR="005D4C7C" w:rsidRDefault="00D55AAA">
            <w:pPr>
              <w:spacing w:after="0" w:line="360" w:lineRule="auto"/>
              <w:jc w:val="both"/>
              <w:rPr>
                <w:rFonts w:ascii="Book Antiqua" w:eastAsiaTheme="minorEastAsia" w:hAnsi="Book Antiqua"/>
                <w:i/>
                <w:color w:val="000000" w:themeColor="text1"/>
                <w:sz w:val="24"/>
                <w:szCs w:val="24"/>
              </w:rPr>
            </w:pPr>
            <w:r>
              <w:rPr>
                <w:rStyle w:val="apple-converted-space"/>
                <w:rFonts w:ascii="Book Antiqua" w:eastAsiaTheme="minorEastAsia" w:hAnsi="Book Antiqua" w:cs="Arial"/>
                <w:i/>
                <w:color w:val="000000" w:themeColor="text1"/>
                <w:sz w:val="24"/>
                <w:szCs w:val="24"/>
                <w:shd w:val="clear" w:color="auto" w:fill="FFFFFF"/>
              </w:rPr>
              <w:t>t</w:t>
            </w:r>
          </w:p>
        </w:tc>
        <w:tc>
          <w:tcPr>
            <w:tcW w:w="1136"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58"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17.866</w:t>
            </w:r>
          </w:p>
        </w:tc>
        <w:tc>
          <w:tcPr>
            <w:tcW w:w="154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12.385</w:t>
            </w:r>
          </w:p>
        </w:tc>
        <w:tc>
          <w:tcPr>
            <w:tcW w:w="144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59.444</w:t>
            </w:r>
          </w:p>
        </w:tc>
        <w:tc>
          <w:tcPr>
            <w:tcW w:w="128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3.457</w:t>
            </w:r>
          </w:p>
        </w:tc>
        <w:tc>
          <w:tcPr>
            <w:tcW w:w="132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4.469</w:t>
            </w:r>
          </w:p>
        </w:tc>
      </w:tr>
      <w:tr w:rsidR="005D4C7C">
        <w:trPr>
          <w:trHeight w:val="489"/>
          <w:jc w:val="center"/>
        </w:trPr>
        <w:tc>
          <w:tcPr>
            <w:tcW w:w="152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value</w:t>
            </w:r>
          </w:p>
        </w:tc>
        <w:tc>
          <w:tcPr>
            <w:tcW w:w="1136"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58"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w:t>
            </w:r>
          </w:p>
        </w:tc>
        <w:tc>
          <w:tcPr>
            <w:tcW w:w="154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c>
          <w:tcPr>
            <w:tcW w:w="144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c>
          <w:tcPr>
            <w:tcW w:w="128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0.001</w:t>
            </w:r>
          </w:p>
        </w:tc>
        <w:tc>
          <w:tcPr>
            <w:tcW w:w="132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bl>
    <w:p w:rsidR="005D4C7C" w:rsidRDefault="005D4C7C">
      <w:pPr>
        <w:spacing w:after="0" w:line="360" w:lineRule="auto"/>
        <w:jc w:val="both"/>
        <w:rPr>
          <w:rFonts w:ascii="Book Antiqua" w:eastAsiaTheme="minorEastAsia" w:hAnsi="Book Antiqua"/>
          <w:b/>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 xml:space="preserve">Table 2 Comparison of the postoperative recovery rate between the two groups of patients, </w:t>
      </w:r>
      <w:r>
        <w:rPr>
          <w:rFonts w:ascii="Book Antiqua" w:eastAsiaTheme="minorEastAsia" w:hAnsi="Book Antiqua"/>
          <w:b/>
          <w:i/>
          <w:color w:val="000000" w:themeColor="text1"/>
          <w:sz w:val="24"/>
          <w:szCs w:val="24"/>
        </w:rPr>
        <w:t>n</w:t>
      </w:r>
      <w:r>
        <w:rPr>
          <w:rFonts w:ascii="Book Antiqua" w:eastAsiaTheme="minorEastAsia" w:hAnsi="Book Antiqua"/>
          <w:b/>
          <w:color w:val="000000" w:themeColor="text1"/>
          <w:sz w:val="24"/>
          <w:szCs w:val="24"/>
        </w:rPr>
        <w:t xml:space="preserve"> (%)</w:t>
      </w:r>
    </w:p>
    <w:tbl>
      <w:tblPr>
        <w:tblStyle w:val="a8"/>
        <w:tblW w:w="1051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136"/>
        <w:gridCol w:w="1565"/>
        <w:gridCol w:w="1562"/>
        <w:gridCol w:w="1562"/>
        <w:gridCol w:w="1568"/>
        <w:gridCol w:w="1566"/>
      </w:tblGrid>
      <w:tr w:rsidR="005D4C7C">
        <w:trPr>
          <w:trHeight w:val="662"/>
          <w:jc w:val="center"/>
        </w:trPr>
        <w:tc>
          <w:tcPr>
            <w:tcW w:w="155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11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569"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Excellent</w:t>
            </w:r>
          </w:p>
        </w:tc>
        <w:tc>
          <w:tcPr>
            <w:tcW w:w="1569"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Good</w:t>
            </w:r>
          </w:p>
        </w:tc>
        <w:tc>
          <w:tcPr>
            <w:tcW w:w="157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Fair</w:t>
            </w:r>
          </w:p>
        </w:tc>
        <w:tc>
          <w:tcPr>
            <w:tcW w:w="157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Difference</w:t>
            </w:r>
          </w:p>
        </w:tc>
        <w:tc>
          <w:tcPr>
            <w:tcW w:w="157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Excellent rate</w:t>
            </w:r>
          </w:p>
        </w:tc>
      </w:tr>
      <w:tr w:rsidR="005D4C7C">
        <w:trPr>
          <w:trHeight w:val="662"/>
          <w:jc w:val="center"/>
        </w:trPr>
        <w:tc>
          <w:tcPr>
            <w:tcW w:w="155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11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69"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40 (83.33)</w:t>
            </w:r>
          </w:p>
        </w:tc>
        <w:tc>
          <w:tcPr>
            <w:tcW w:w="1569"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 (10.42)</w:t>
            </w:r>
          </w:p>
        </w:tc>
        <w:tc>
          <w:tcPr>
            <w:tcW w:w="157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 (6.25)</w:t>
            </w:r>
          </w:p>
        </w:tc>
        <w:tc>
          <w:tcPr>
            <w:tcW w:w="157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57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45 (93.75)</w:t>
            </w:r>
          </w:p>
        </w:tc>
      </w:tr>
      <w:tr w:rsidR="005D4C7C">
        <w:trPr>
          <w:trHeight w:val="662"/>
          <w:jc w:val="center"/>
        </w:trPr>
        <w:tc>
          <w:tcPr>
            <w:tcW w:w="155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11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69"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37 (77.08)</w:t>
            </w:r>
          </w:p>
        </w:tc>
        <w:tc>
          <w:tcPr>
            <w:tcW w:w="1569"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 (14.58)</w:t>
            </w: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 (8.33)</w:t>
            </w: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44 (91.67)</w:t>
            </w:r>
          </w:p>
        </w:tc>
      </w:tr>
      <w:tr w:rsidR="005D4C7C">
        <w:trPr>
          <w:trHeight w:val="662"/>
          <w:jc w:val="center"/>
        </w:trPr>
        <w:tc>
          <w:tcPr>
            <w:tcW w:w="155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宋体" w:hAnsi="Book Antiqua" w:cs="Arial"/>
                <w:i/>
                <w:color w:val="000000" w:themeColor="text1"/>
                <w:sz w:val="24"/>
                <w:szCs w:val="24"/>
                <w:shd w:val="clear" w:color="auto" w:fill="FFFFFF"/>
              </w:rPr>
              <w:t>χ</w:t>
            </w:r>
            <w:r>
              <w:rPr>
                <w:rFonts w:ascii="Book Antiqua" w:eastAsia="宋体" w:hAnsi="Book Antiqua" w:cs="Arial"/>
                <w:color w:val="000000" w:themeColor="text1"/>
                <w:sz w:val="24"/>
                <w:szCs w:val="24"/>
                <w:shd w:val="clear" w:color="auto" w:fill="FFFFFF"/>
              </w:rPr>
              <w:t>²</w:t>
            </w:r>
          </w:p>
        </w:tc>
        <w:tc>
          <w:tcPr>
            <w:tcW w:w="1112"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0.154</w:t>
            </w:r>
          </w:p>
        </w:tc>
      </w:tr>
      <w:tr w:rsidR="005D4C7C">
        <w:trPr>
          <w:trHeight w:val="662"/>
          <w:jc w:val="center"/>
        </w:trPr>
        <w:tc>
          <w:tcPr>
            <w:tcW w:w="155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value</w:t>
            </w:r>
          </w:p>
        </w:tc>
        <w:tc>
          <w:tcPr>
            <w:tcW w:w="1112"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0.695</w:t>
            </w:r>
          </w:p>
        </w:tc>
      </w:tr>
    </w:tbl>
    <w:p w:rsidR="005D4C7C" w:rsidRDefault="005D4C7C">
      <w:pPr>
        <w:spacing w:after="0" w:line="360" w:lineRule="auto"/>
        <w:jc w:val="both"/>
        <w:rPr>
          <w:rFonts w:ascii="Book Antiqua" w:hAnsi="Book Antiqua"/>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 xml:space="preserve">Table 3 Comparison of the </w:t>
      </w:r>
      <w:r>
        <w:rPr>
          <w:rStyle w:val="apple-converted-space"/>
          <w:rFonts w:ascii="Book Antiqua" w:eastAsiaTheme="minorEastAsia" w:hAnsi="Book Antiqua" w:cs="Arial"/>
          <w:b/>
          <w:color w:val="000000" w:themeColor="text1"/>
          <w:sz w:val="24"/>
          <w:szCs w:val="24"/>
          <w:shd w:val="clear" w:color="auto" w:fill="FFFFFF"/>
        </w:rPr>
        <w:t>visual analogue scale</w:t>
      </w:r>
      <w:r>
        <w:rPr>
          <w:rFonts w:ascii="Book Antiqua" w:eastAsiaTheme="minorEastAsia" w:hAnsi="Book Antiqua"/>
          <w:b/>
          <w:color w:val="000000" w:themeColor="text1"/>
          <w:sz w:val="24"/>
          <w:szCs w:val="24"/>
        </w:rPr>
        <w:t xml:space="preserve"> pain score in the two groups of patients before and after surgery (mean ± SD, min)</w:t>
      </w:r>
    </w:p>
    <w:tbl>
      <w:tblPr>
        <w:tblStyle w:val="a8"/>
        <w:tblW w:w="101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36"/>
        <w:gridCol w:w="1477"/>
        <w:gridCol w:w="1494"/>
        <w:gridCol w:w="1494"/>
        <w:gridCol w:w="1495"/>
        <w:gridCol w:w="1495"/>
      </w:tblGrid>
      <w:tr w:rsidR="005D4C7C">
        <w:trPr>
          <w:trHeight w:val="659"/>
          <w:jc w:val="center"/>
        </w:trPr>
        <w:tc>
          <w:tcPr>
            <w:tcW w:w="149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071"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51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Before surgery</w:t>
            </w:r>
          </w:p>
        </w:tc>
        <w:tc>
          <w:tcPr>
            <w:tcW w:w="151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1 d after operation</w:t>
            </w:r>
          </w:p>
        </w:tc>
        <w:tc>
          <w:tcPr>
            <w:tcW w:w="151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3 d after operation</w:t>
            </w:r>
          </w:p>
        </w:tc>
        <w:tc>
          <w:tcPr>
            <w:tcW w:w="1511"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1 mo after operation</w:t>
            </w:r>
          </w:p>
        </w:tc>
        <w:tc>
          <w:tcPr>
            <w:tcW w:w="1511"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6 mo after operation</w:t>
            </w:r>
          </w:p>
        </w:tc>
      </w:tr>
      <w:tr w:rsidR="005D4C7C">
        <w:trPr>
          <w:trHeight w:val="659"/>
          <w:jc w:val="center"/>
        </w:trPr>
        <w:tc>
          <w:tcPr>
            <w:tcW w:w="149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071"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1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6.87 ± 1.56</w:t>
            </w:r>
          </w:p>
        </w:tc>
        <w:tc>
          <w:tcPr>
            <w:tcW w:w="151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2.75 ± 1.36</w:t>
            </w:r>
          </w:p>
        </w:tc>
        <w:tc>
          <w:tcPr>
            <w:tcW w:w="151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2.52 ± 1.42</w:t>
            </w:r>
          </w:p>
        </w:tc>
        <w:tc>
          <w:tcPr>
            <w:tcW w:w="1511"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2.01 ± 1.68</w:t>
            </w:r>
          </w:p>
        </w:tc>
        <w:tc>
          <w:tcPr>
            <w:tcW w:w="1511"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1.52 ± 1.24</w:t>
            </w:r>
          </w:p>
        </w:tc>
      </w:tr>
      <w:tr w:rsidR="005D4C7C">
        <w:trPr>
          <w:trHeight w:val="659"/>
          <w:jc w:val="center"/>
        </w:trPr>
        <w:tc>
          <w:tcPr>
            <w:tcW w:w="149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07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7.04 ± 2.13</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3.41 ± 1.76</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3.13 ± 1.35</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2.69 ± 1.49</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2.13 ± 1.58</w:t>
            </w:r>
          </w:p>
        </w:tc>
      </w:tr>
      <w:tr w:rsidR="005D4C7C">
        <w:trPr>
          <w:trHeight w:val="659"/>
          <w:jc w:val="center"/>
        </w:trPr>
        <w:tc>
          <w:tcPr>
            <w:tcW w:w="1492" w:type="dxa"/>
            <w:vAlign w:val="center"/>
          </w:tcPr>
          <w:p w:rsidR="005D4C7C" w:rsidRDefault="00D55AAA">
            <w:pPr>
              <w:spacing w:after="0" w:line="360" w:lineRule="auto"/>
              <w:jc w:val="both"/>
              <w:rPr>
                <w:rFonts w:ascii="Book Antiqua" w:eastAsiaTheme="minorEastAsia" w:hAnsi="Book Antiqua"/>
                <w:i/>
                <w:color w:val="000000" w:themeColor="text1"/>
                <w:sz w:val="24"/>
                <w:szCs w:val="24"/>
              </w:rPr>
            </w:pPr>
            <w:r>
              <w:rPr>
                <w:rStyle w:val="apple-converted-space"/>
                <w:rFonts w:ascii="Book Antiqua" w:eastAsiaTheme="minorEastAsia" w:hAnsi="Book Antiqua" w:cs="Arial"/>
                <w:i/>
                <w:color w:val="000000" w:themeColor="text1"/>
                <w:sz w:val="24"/>
                <w:szCs w:val="24"/>
                <w:shd w:val="clear" w:color="auto" w:fill="FFFFFF"/>
              </w:rPr>
              <w:t>t</w:t>
            </w:r>
          </w:p>
        </w:tc>
        <w:tc>
          <w:tcPr>
            <w:tcW w:w="1071"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0.446</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2.056</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2.157</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2.098</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2.104</w:t>
            </w:r>
          </w:p>
        </w:tc>
      </w:tr>
      <w:tr w:rsidR="005D4C7C">
        <w:trPr>
          <w:trHeight w:val="659"/>
          <w:jc w:val="center"/>
        </w:trPr>
        <w:tc>
          <w:tcPr>
            <w:tcW w:w="149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i/>
                <w:color w:val="000000" w:themeColor="text1"/>
                <w:sz w:val="24"/>
                <w:szCs w:val="24"/>
              </w:rPr>
              <w:t xml:space="preserve">P </w:t>
            </w:r>
            <w:r>
              <w:rPr>
                <w:rFonts w:ascii="Book Antiqua" w:eastAsiaTheme="minorEastAsia" w:hAnsi="Book Antiqua"/>
                <w:color w:val="000000" w:themeColor="text1"/>
                <w:sz w:val="24"/>
                <w:szCs w:val="24"/>
              </w:rPr>
              <w:t>value</w:t>
            </w:r>
          </w:p>
        </w:tc>
        <w:tc>
          <w:tcPr>
            <w:tcW w:w="1071"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0.657</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0.043</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0.034</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0.039</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0.038</w:t>
            </w:r>
          </w:p>
        </w:tc>
      </w:tr>
    </w:tbl>
    <w:p w:rsidR="005D4C7C" w:rsidRDefault="005D4C7C">
      <w:pPr>
        <w:spacing w:after="0" w:line="360" w:lineRule="auto"/>
        <w:jc w:val="both"/>
        <w:rPr>
          <w:rFonts w:ascii="Book Antiqua" w:hAnsi="Book Antiqua"/>
          <w:color w:val="000000" w:themeColor="text1"/>
          <w:sz w:val="24"/>
          <w:szCs w:val="24"/>
        </w:rPr>
      </w:pPr>
    </w:p>
    <w:p w:rsidR="005D4C7C" w:rsidRDefault="00D55AAA">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 xml:space="preserve">Table 4 Comparison of intraoperative and postoperative complications between the two groups of patients, </w:t>
      </w:r>
      <w:r>
        <w:rPr>
          <w:rFonts w:ascii="Book Antiqua" w:eastAsiaTheme="minorEastAsia" w:hAnsi="Book Antiqua"/>
          <w:b/>
          <w:i/>
          <w:color w:val="000000" w:themeColor="text1"/>
          <w:sz w:val="24"/>
          <w:szCs w:val="24"/>
        </w:rPr>
        <w:t>n</w:t>
      </w:r>
      <w:r>
        <w:rPr>
          <w:rFonts w:ascii="Book Antiqua" w:eastAsiaTheme="minorEastAsia" w:hAnsi="Book Antiqua"/>
          <w:b/>
          <w:color w:val="000000" w:themeColor="text1"/>
          <w:sz w:val="24"/>
          <w:szCs w:val="24"/>
        </w:rPr>
        <w:t xml:space="preserve"> (%)</w:t>
      </w:r>
    </w:p>
    <w:tbl>
      <w:tblPr>
        <w:tblStyle w:val="a8"/>
        <w:tblW w:w="1114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36"/>
        <w:gridCol w:w="1304"/>
        <w:gridCol w:w="1257"/>
        <w:gridCol w:w="1359"/>
        <w:gridCol w:w="1407"/>
        <w:gridCol w:w="1710"/>
        <w:gridCol w:w="1452"/>
      </w:tblGrid>
      <w:tr w:rsidR="005D4C7C">
        <w:trPr>
          <w:trHeight w:val="659"/>
          <w:jc w:val="center"/>
        </w:trPr>
        <w:tc>
          <w:tcPr>
            <w:tcW w:w="1417"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017"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434"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Dural rupture</w:t>
            </w:r>
          </w:p>
        </w:tc>
        <w:tc>
          <w:tcPr>
            <w:tcW w:w="1434"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Nerve root injury</w:t>
            </w:r>
          </w:p>
        </w:tc>
        <w:tc>
          <w:tcPr>
            <w:tcW w:w="143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Wound infection</w:t>
            </w:r>
          </w:p>
        </w:tc>
        <w:tc>
          <w:tcPr>
            <w:tcW w:w="143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Lumbar instability</w:t>
            </w:r>
          </w:p>
        </w:tc>
        <w:tc>
          <w:tcPr>
            <w:tcW w:w="143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Postoperative recurrence</w:t>
            </w:r>
          </w:p>
        </w:tc>
        <w:tc>
          <w:tcPr>
            <w:tcW w:w="154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Total incidence</w:t>
            </w:r>
          </w:p>
        </w:tc>
      </w:tr>
      <w:tr w:rsidR="005D4C7C">
        <w:trPr>
          <w:trHeight w:val="659"/>
          <w:jc w:val="center"/>
        </w:trPr>
        <w:tc>
          <w:tcPr>
            <w:tcW w:w="1417"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017"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34"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434"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43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43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 (4.17)</w:t>
            </w:r>
          </w:p>
        </w:tc>
        <w:tc>
          <w:tcPr>
            <w:tcW w:w="143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 (2.08)</w:t>
            </w:r>
          </w:p>
        </w:tc>
        <w:tc>
          <w:tcPr>
            <w:tcW w:w="154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 (6.25)</w:t>
            </w:r>
          </w:p>
        </w:tc>
      </w:tr>
      <w:tr w:rsidR="005D4C7C">
        <w:trPr>
          <w:trHeight w:val="659"/>
          <w:jc w:val="center"/>
        </w:trPr>
        <w:tc>
          <w:tcPr>
            <w:tcW w:w="141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01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3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 (6.25)</w:t>
            </w:r>
          </w:p>
        </w:tc>
        <w:tc>
          <w:tcPr>
            <w:tcW w:w="143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 (2.08)</w:t>
            </w:r>
          </w:p>
        </w:tc>
        <w:tc>
          <w:tcPr>
            <w:tcW w:w="143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 (2.08)</w:t>
            </w:r>
          </w:p>
        </w:tc>
        <w:tc>
          <w:tcPr>
            <w:tcW w:w="143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 (8.33)</w:t>
            </w:r>
          </w:p>
        </w:tc>
        <w:tc>
          <w:tcPr>
            <w:tcW w:w="143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 (4.17)</w:t>
            </w:r>
          </w:p>
        </w:tc>
        <w:tc>
          <w:tcPr>
            <w:tcW w:w="154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11 (22.92)</w:t>
            </w:r>
          </w:p>
        </w:tc>
      </w:tr>
      <w:tr w:rsidR="005D4C7C">
        <w:trPr>
          <w:trHeight w:val="659"/>
          <w:jc w:val="center"/>
        </w:trPr>
        <w:tc>
          <w:tcPr>
            <w:tcW w:w="141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宋体" w:hAnsi="Book Antiqua" w:cs="Arial"/>
                <w:i/>
                <w:color w:val="000000" w:themeColor="text1"/>
                <w:sz w:val="24"/>
                <w:szCs w:val="24"/>
                <w:shd w:val="clear" w:color="auto" w:fill="FFFFFF"/>
              </w:rPr>
              <w:t>χ</w:t>
            </w:r>
            <w:r>
              <w:rPr>
                <w:rFonts w:ascii="Book Antiqua" w:eastAsia="宋体" w:hAnsi="Book Antiqua" w:cs="Arial"/>
                <w:color w:val="000000" w:themeColor="text1"/>
                <w:sz w:val="24"/>
                <w:szCs w:val="24"/>
                <w:shd w:val="clear" w:color="auto" w:fill="FFFFFF"/>
              </w:rPr>
              <w:t>²</w:t>
            </w:r>
          </w:p>
        </w:tc>
        <w:tc>
          <w:tcPr>
            <w:tcW w:w="1017"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4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5.352</w:t>
            </w:r>
          </w:p>
        </w:tc>
      </w:tr>
      <w:tr w:rsidR="005D4C7C">
        <w:trPr>
          <w:trHeight w:val="659"/>
          <w:jc w:val="center"/>
        </w:trPr>
        <w:tc>
          <w:tcPr>
            <w:tcW w:w="1417" w:type="dxa"/>
            <w:vAlign w:val="center"/>
          </w:tcPr>
          <w:p w:rsidR="005D4C7C" w:rsidRDefault="00D55AAA">
            <w:pPr>
              <w:spacing w:after="0" w:line="360" w:lineRule="auto"/>
              <w:jc w:val="both"/>
              <w:rPr>
                <w:rFonts w:ascii="Book Antiqua" w:eastAsiaTheme="minorEastAsia" w:hAnsi="Book Antiqua"/>
                <w:i/>
                <w:color w:val="000000" w:themeColor="text1"/>
                <w:sz w:val="24"/>
                <w:szCs w:val="24"/>
              </w:rPr>
            </w:pPr>
            <w:r>
              <w:rPr>
                <w:rFonts w:ascii="Book Antiqua" w:eastAsiaTheme="minorEastAsia" w:hAnsi="Book Antiqua"/>
                <w:i/>
                <w:color w:val="000000" w:themeColor="text1"/>
                <w:sz w:val="24"/>
                <w:szCs w:val="24"/>
              </w:rPr>
              <w:t xml:space="preserve">P </w:t>
            </w:r>
            <w:r>
              <w:rPr>
                <w:rFonts w:ascii="Book Antiqua" w:eastAsiaTheme="minorEastAsia" w:hAnsi="Book Antiqua"/>
                <w:color w:val="000000" w:themeColor="text1"/>
                <w:sz w:val="24"/>
                <w:szCs w:val="24"/>
              </w:rPr>
              <w:t>value</w:t>
            </w:r>
          </w:p>
        </w:tc>
        <w:tc>
          <w:tcPr>
            <w:tcW w:w="1017"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4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0.021</w:t>
            </w:r>
          </w:p>
        </w:tc>
      </w:tr>
    </w:tbl>
    <w:p w:rsidR="005D4C7C" w:rsidRDefault="005D4C7C">
      <w:pPr>
        <w:spacing w:after="0" w:line="360" w:lineRule="auto"/>
        <w:jc w:val="both"/>
        <w:rPr>
          <w:rFonts w:ascii="Book Antiqua" w:hAnsi="Book Antiqua"/>
          <w:color w:val="000000" w:themeColor="text1"/>
          <w:sz w:val="24"/>
          <w:szCs w:val="24"/>
        </w:rPr>
      </w:pPr>
    </w:p>
    <w:sectPr w:rsidR="005D4C7C">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FC63CB" w15:done="0"/>
  <w15:commentEx w15:paraId="7FF57F96" w15:done="1"/>
  <w15:commentEx w15:paraId="323B4E45" w15:done="0"/>
  <w15:commentEx w15:paraId="260D2213" w15:done="1"/>
  <w15:commentEx w15:paraId="030A6B89"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E6" w:rsidRDefault="006D39E6">
      <w:pPr>
        <w:spacing w:after="0"/>
      </w:pPr>
      <w:r>
        <w:separator/>
      </w:r>
    </w:p>
  </w:endnote>
  <w:endnote w:type="continuationSeparator" w:id="0">
    <w:p w:rsidR="006D39E6" w:rsidRDefault="006D3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BoldItalicMT">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77446"/>
    </w:sdtPr>
    <w:sdtEndPr/>
    <w:sdtContent>
      <w:sdt>
        <w:sdtPr>
          <w:id w:val="860082579"/>
        </w:sdtPr>
        <w:sdtEndPr/>
        <w:sdtContent>
          <w:p w:rsidR="005D4C7C" w:rsidRDefault="00D55AAA">
            <w:pPr>
              <w:pStyle w:val="a5"/>
              <w:jc w:val="right"/>
            </w:pPr>
            <w:r>
              <w:rPr>
                <w:lang w:val="zh-CN"/>
              </w:rPr>
              <w:t xml:space="preserve"> </w:t>
            </w:r>
            <w:r>
              <w:rPr>
                <w:bCs/>
                <w:sz w:val="24"/>
                <w:szCs w:val="24"/>
              </w:rPr>
              <w:fldChar w:fldCharType="begin"/>
            </w:r>
            <w:r>
              <w:rPr>
                <w:bCs/>
              </w:rPr>
              <w:instrText>PAGE</w:instrText>
            </w:r>
            <w:r>
              <w:rPr>
                <w:bCs/>
                <w:sz w:val="24"/>
                <w:szCs w:val="24"/>
              </w:rPr>
              <w:fldChar w:fldCharType="separate"/>
            </w:r>
            <w:r w:rsidR="006D39E6">
              <w:rPr>
                <w:bCs/>
                <w:noProof/>
              </w:rPr>
              <w:t>1</w:t>
            </w:r>
            <w:r>
              <w:rPr>
                <w:bCs/>
                <w:sz w:val="24"/>
                <w:szCs w:val="24"/>
              </w:rPr>
              <w:fldChar w:fldCharType="end"/>
            </w:r>
            <w:r>
              <w:rPr>
                <w:lang w:val="zh-CN"/>
              </w:rPr>
              <w:t xml:space="preserve"> / </w:t>
            </w:r>
            <w:r>
              <w:rPr>
                <w:bCs/>
                <w:sz w:val="24"/>
                <w:szCs w:val="24"/>
              </w:rPr>
              <w:fldChar w:fldCharType="begin"/>
            </w:r>
            <w:r>
              <w:rPr>
                <w:bCs/>
              </w:rPr>
              <w:instrText>NUMPAGES</w:instrText>
            </w:r>
            <w:r>
              <w:rPr>
                <w:bCs/>
                <w:sz w:val="24"/>
                <w:szCs w:val="24"/>
              </w:rPr>
              <w:fldChar w:fldCharType="separate"/>
            </w:r>
            <w:r w:rsidR="006D39E6">
              <w:rPr>
                <w:bCs/>
                <w:noProof/>
              </w:rPr>
              <w:t>1</w:t>
            </w:r>
            <w:r>
              <w:rPr>
                <w:bCs/>
                <w:sz w:val="24"/>
                <w:szCs w:val="24"/>
              </w:rPr>
              <w:fldChar w:fldCharType="end"/>
            </w:r>
          </w:p>
        </w:sdtContent>
      </w:sdt>
    </w:sdtContent>
  </w:sdt>
  <w:p w:rsidR="005D4C7C" w:rsidRDefault="005D4C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E6" w:rsidRDefault="006D39E6">
      <w:pPr>
        <w:spacing w:after="0"/>
      </w:pPr>
      <w:r>
        <w:separator/>
      </w:r>
    </w:p>
  </w:footnote>
  <w:footnote w:type="continuationSeparator" w:id="0">
    <w:p w:rsidR="006D39E6" w:rsidRDefault="006D39E6">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WPS Office" w15:userId="2348816573"/>
  </w15:person>
  <w15:person w15:author="jrw">
    <w15:presenceInfo w15:providerId="None" w15:userId="jr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noPunctuationKerning/>
  <w:characterSpacingControl w:val="doNotCompress"/>
  <w:savePreviewPicture/>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jGxsDQ1Mjc1tjRS0lEKTi0uzszPAykwqwUAipSe1ywAAAA="/>
    <w:docVar w:name="KY.MR.DATA{2827EE3C-66B4-4477-88B0-BE4066AB322F}170" w:val="&lt;KyMRNote dbid=&quot;{2827EE3C-66B4-4477-88B0-BE4066AB322F}&quot; recid=&quot;170&quot;&gt;&lt;Data&gt;&lt;Field id=&quot;AccessNum&quot;&gt;31793490&lt;/Field&gt;&lt;Field id=&quot;Author&quot;&gt;Oktay K;Ozsoy KM;Dere UA;Cetinalp NE;Arslan M;Erman T;Guzel A&lt;/Field&gt;&lt;Field id=&quot;AuthorTrans&quot;&gt;&lt;/Field&gt;&lt;Field id=&quot;DOI&quot;&gt;10.4103/njcp.njcp_437_18&lt;/Field&gt;&lt;Field id=&quot;Editor&quot;&gt;&lt;/Field&gt;&lt;Field id=&quot;FmtTitle&quot;&gt;&lt;/Field&gt;&lt;Field id=&quot;Issue&quot;&gt;12&lt;/Field&gt;&lt;Field id=&quot;LIID&quot;&gt;170&lt;/Field&gt;&lt;Field id=&quot;Magazine&quot;&gt;Nigerian journal of clinical practice&lt;/Field&gt;&lt;Field id=&quot;MagazineAB&quot;&gt;Niger J Clin Pract&lt;/Field&gt;&lt;Field id=&quot;MagazineTrans&quot;&gt;&lt;/Field&gt;&lt;Field id=&quot;PageNum&quot;&gt;1785-1789&lt;/Field&gt;&lt;Field id=&quot;PubDate&quot;&gt;Dec&lt;/Field&gt;&lt;Field id=&quot;PubPlace&quot;&gt;India&lt;/Field&gt;&lt;Field id=&quot;PubPlaceTrans&quot;&gt;&lt;/Field&gt;&lt;Field id=&quot;PubYear&quot;&gt;2019&lt;/Field&gt;&lt;Field id=&quot;Publisher&quot;&gt;&lt;/Field&gt;&lt;Field id=&quot;PublisherTrans&quot;&gt;&lt;/Field&gt;&lt;Field id=&quot;TITrans&quot;&gt;&lt;/Field&gt;&lt;Field id=&quot;Title&quot;&gt;Spontaneous regression of lumbar disc herniations: A retrospective analysis of 5 patients.&lt;/Field&gt;&lt;Field id=&quot;Translator&quot;&gt;&lt;/Field&gt;&lt;Field id=&quot;Type&quot;&gt;{041D4F77-279E-4405-0002-4388361B9CFF}&lt;/Field&gt;&lt;Field id=&quot;Version&quot;&gt;&lt;/Field&gt;&lt;Field id=&quot;Vol&quot;&gt;22&lt;/Field&gt;&lt;Field id=&quot;Author2&quot;&gt;Oktay,K;Ozsoy,KM;Dere,UA;Cetinalp,NE;Arslan,M;Erman,T;Guzel,A;&lt;/Field&gt;&lt;/Data&gt;&lt;Ref&gt;&lt;Display&gt;&lt;Text StringText=&quot;「RefIndex」&quot; StringTextOri=&quot;「RefIndex」&quot; SuperScript=&quot;true&quot;/&gt;&lt;/Display&gt;&lt;/Ref&gt;&lt;Doc&gt;&lt;Display&gt;&lt;Text StringText=&quot;Oktay K, Ozsoy KM, Dere UA, Cetinalp NE, Arslan M, Erman T, Guzel A&quot; StringGroup=&quot;Author&quot;/&gt;_x000d__x000a__x0009__x0009__x0009_&lt;Text StringText=&quot;. &quot; StringGroup=&quot;Author&quot;/&gt;_x000d__x000a__x0009__x0009__x0009_&lt;Text StringText=&quot;Spontaneous regression of lumbar disc herniations: A retrospective analysis of 5 patients&quot; StringGroup=&quot;Title&quot;/&gt;_x000d__x000a__x0009__x0009__x0009_&lt;Text StringText=&quot;. &quot; StringGroup=&quot;Title&quot;/&gt;_x000d__x000a__x0009__x0009__x0009_&lt;Text StringText=&quot;Niger J Clin Prac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1785-178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93490&quot; StringGroup=&quot;AccessNum&quot;/&gt;_x000d__x000a__x0009__x0009__x0009_&lt;Text StringText=&quot; &quot; StringGroup=&quot;AccessNum&quot;/&gt;_x000d__x000a__x0009__x0009__x0009_&lt;Text StringText=&quot;DOI: &quot; StringGroup=&quot;DOI&quot;/&gt;_x000d__x000a__x0009__x0009__x0009_&lt;Text StringText=&quot;10.4103/njcp.njcp_437_18&quot; StringGroup=&quot;DOI&quot;/&gt;_x000d__x000a__x0009__x0009__x0009_&lt;Text StringText=&quot;]&quot; StringGroup=&quot;none&quot;/&gt;_x000d__x000a__x0009__x0009_&lt;/Display&gt;&lt;/Doc&gt;&lt;/KyMRNote&gt;"/>
    <w:docVar w:name="KY.MR.DATA{2827EE3C-66B4-4477-88B0-BE4066AB322F}171" w:val="&lt;KyMRNote dbid=&quot;{2827EE3C-66B4-4477-88B0-BE4066AB322F}&quot; recid=&quot;171&quot;&gt;&lt;Data&gt;&lt;Field id=&quot;AccessNum&quot;&gt;31786381&lt;/Field&gt;&lt;Field id=&quot;Author&quot;&gt;Moon SJ;Han MS;Lee GJ;Lee SK;Moon BJ;Lee JK&lt;/Field&gt;&lt;Field id=&quot;AuthorTrans&quot;&gt;&lt;/Field&gt;&lt;Field id=&quot;DOI&quot;&gt;10.1016/j.wneu.2019.11.121&lt;/Field&gt;&lt;Field id=&quot;Editor&quot;&gt;&lt;/Field&gt;&lt;Field id=&quot;FmtTitle&quot;&gt;&lt;/Field&gt;&lt;Field id=&quot;Issue&quot;&gt;&lt;/Field&gt;&lt;Field id=&quot;LIID&quot;&gt;171&lt;/Field&gt;&lt;Field id=&quot;Magazine&quot;&gt;World neurosurgery&lt;/Field&gt;&lt;Field id=&quot;MagazineAB&quot;&gt;World Neurosurg&lt;/Field&gt;&lt;Field id=&quot;MagazineTrans&quot;&gt;&lt;/Field&gt;&lt;Field id=&quot;PageNum&quot;&gt;&lt;/Field&gt;&lt;Field id=&quot;PubDate&quot;&gt;Nov 2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n unexpected intradural lumbar disc herniation found during transforaminal endoscopic surgery.&lt;/Field&gt;&lt;Field id=&quot;Translator&quot;&gt;&lt;/Field&gt;&lt;Field id=&quot;Type&quot;&gt;{041D4F77-279E-4405-0002-4388361B9CFF}&lt;/Field&gt;&lt;Field id=&quot;Version&quot;&gt;&lt;/Field&gt;&lt;Field id=&quot;Vol&quot;&gt;&lt;/Field&gt;&lt;Field id=&quot;Author2&quot;&gt;Moon,SJ;Han,MS;Lee,GJ;Lee,SK;Moon,BJ;Lee,JK;&lt;/Field&gt;&lt;/Data&gt;&lt;Ref&gt;&lt;Display&gt;&lt;Text StringText=&quot;「RefIndex」&quot; StringTextOri=&quot;「RefIndex」&quot; SuperScript=&quot;true&quot;/&gt;&lt;/Display&gt;&lt;/Ref&gt;&lt;Doc&gt;&lt;Display&gt;&lt;Text StringText=&quot;Moon SJ, Han MS, Lee GJ, Lee SK, Moon BJ, Lee JK&quot; StringGroup=&quot;Author&quot;/&gt;_x000d__x000a__x0009__x0009__x0009_&lt;Text StringText=&quot;. &quot; StringGroup=&quot;Author&quot;/&gt;_x000d__x000a__x0009__x0009__x0009_&lt;Text StringText=&quot;An unexpected intradural lumbar disc herniation found during transforaminal endoscopic surgery&quot; StringGroup=&quot;Title&quot;/&gt;_x000d__x000a__x0009__x0009__x0009_&lt;Text StringText=&quot;. &quot; StringGroup=&quot;Title&quot;/&gt;_x000d__x000a__x0009__x0009__x0009_&lt;Text StringText=&quot;World Neurosurg&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786381&quot; StringGroup=&quot;AccessNum&quot;/&gt;_x000d__x000a__x0009__x0009__x0009_&lt;Text StringText=&quot; &quot; StringGroup=&quot;AccessNum&quot;/&gt;_x000d__x000a__x0009__x0009__x0009_&lt;Text StringText=&quot;DOI: &quot; StringGroup=&quot;DOI&quot;/&gt;_x000d__x000a__x0009__x0009__x0009_&lt;Text StringText=&quot;10.1016/j.wneu.2019.11.121&quot; StringGroup=&quot;DOI&quot;/&gt;_x000d__x000a__x0009__x0009__x0009_&lt;Text StringText=&quot;]&quot; StringGroup=&quot;none&quot;/&gt;_x000d__x000a__x0009__x0009_&lt;/Display&gt;&lt;/Doc&gt;&lt;/KyMRNote&gt;"/>
    <w:docVar w:name="KY.MR.DATA{2827EE3C-66B4-4477-88B0-BE4066AB322F}172" w:val="&lt;KyMRNote dbid=&quot;{2827EE3C-66B4-4477-88B0-BE4066AB322F}&quot; recid=&quot;172&quot;&gt;&lt;Data&gt;&lt;Field id=&quot;AccessNum&quot;&gt;31775413&lt;/Field&gt;&lt;Field id=&quot;Author&quot;&gt;Xu J;Li Y;Wang B;Lv GH;Wu P;Dai Y;Jiang B;Zheng Z;Xiao S&lt;/Field&gt;&lt;Field id=&quot;AuthorTrans&quot;&gt;&lt;/Field&gt;&lt;Field id=&quot;DOI&quot;&gt;&lt;/Field&gt;&lt;Field id=&quot;Editor&quot;&gt;&lt;/Field&gt;&lt;Field id=&quot;FmtTitle&quot;&gt;&lt;/Field&gt;&lt;Field id=&quot;Issue&quot;&gt;6&lt;/Field&gt;&lt;Field id=&quot;LIID&quot;&gt;172&lt;/Field&gt;&lt;Field id=&quot;Magazine&quot;&gt;Pain physician&lt;/Field&gt;&lt;Field id=&quot;MagazineAB&quot;&gt;Pain Physician&lt;/Field&gt;&lt;Field id=&quot;MagazineTrans&quot;&gt;&lt;/Field&gt;&lt;Field id=&quot;PageNum&quot;&gt;E601-E608&lt;/Field&gt;&lt;Field id=&quot;PubDate&quot;&gt;Nov&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cutaneous Endoscopic Lumbar Discectomy for Lumbar Disc Herniation with Modic Changes via a Transforaminal Approach: A Retrospective Study.&lt;/Field&gt;&lt;Field id=&quot;Translator&quot;&gt;&lt;/Field&gt;&lt;Field id=&quot;Type&quot;&gt;{041D4F77-279E-4405-0002-4388361B9CFF}&lt;/Field&gt;&lt;Field id=&quot;Version&quot;&gt;&lt;/Field&gt;&lt;Field id=&quot;Vol&quot;&gt;22&lt;/Field&gt;&lt;Field id=&quot;Author2&quot;&gt;Xu,J;Li,Y;Wang,B;Lv,GH;Wu,P;Dai,Y;Jiang,B;Zheng,Z;Xiao,S;&lt;/Field&gt;&lt;/Data&gt;&lt;Ref&gt;&lt;Display&gt;&lt;Text StringText=&quot;「RefIndex」&quot; StringTextOri=&quot;「RefIndex」&quot; SuperScript=&quot;true&quot;/&gt;&lt;/Display&gt;&lt;/Ref&gt;&lt;Doc&gt;&lt;Display&gt;&lt;Text StringText=&quot;Xu J, Li Y, Wang B, Lv GH, Wu P, Dai Y, Jiang B, Zheng Z, Xiao S&quot; StringGroup=&quot;Author&quot;/&gt;_x000d__x000a__x0009__x0009__x0009_&lt;Text StringText=&quot;. &quot; StringGroup=&quot;Author&quot;/&gt;_x000d__x000a__x0009__x0009__x0009_&lt;Text StringText=&quot;Percutaneous Endoscopic Lumbar Discectomy for Lumbar Disc Herniation with Modic Changes via a Transforaminal Approach: A Retrospective Study&quot; StringGroup=&quot;Title&quot;/&gt;_x000d__x000a__x0009__x0009__x0009_&lt;Text StringText=&quot;. &quot; StringGroup=&quot;Title&quot;/&gt;_x000d__x000a__x0009__x0009__x0009_&lt;Text StringText=&quot;Pain Physician&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E601-601E60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75413&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173" w:val="&lt;KyMRNote dbid=&quot;{2827EE3C-66B4-4477-88B0-BE4066AB322F}&quot; recid=&quot;173&quot;&gt;&lt;Data&gt;&lt;Field id=&quot;AccessNum&quot;&gt;31772818&lt;/Field&gt;&lt;Field id=&quot;Author&quot;&gt;Frucella G;Maldonado D&lt;/Field&gt;&lt;Field id=&quot;AuthorTrans&quot;&gt;&lt;/Field&gt;&lt;Field id=&quot;DOI&quot;&gt;10.25259/SNI_325_2019&lt;/Field&gt;&lt;Field id=&quot;Editor&quot;&gt;&lt;/Field&gt;&lt;Field id=&quot;FmtTitle&quot;&gt;&lt;/Field&gt;&lt;Field id=&quot;Issue&quot;&gt;Suppl 1&lt;/Field&gt;&lt;Field id=&quot;LIID&quot;&gt;173&lt;/Field&gt;&lt;Field id=&quot;Magazine&quot;&gt;Surgical neurology international&lt;/Field&gt;&lt;Field id=&quot;MagazineAB&quot;&gt;Surg Neurol Int&lt;/Field&gt;&lt;Field id=&quot;MagazineTrans&quot;&gt;&lt;/Field&gt;&lt;Field id=&quot;PageNum&quot;&gt;S37-S45&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cutaneous Lumbar Endoscopic Discectomy: Presentation of 60 Cases Intervened in Argentina with Awake Patients].&lt;/Field&gt;&lt;Field id=&quot;Translator&quot;&gt;&lt;/Field&gt;&lt;Field id=&quot;Type&quot;&gt;{041D4F77-279E-4405-0002-4388361B9CFF}&lt;/Field&gt;&lt;Field id=&quot;Version&quot;&gt;&lt;/Field&gt;&lt;Field id=&quot;Vol&quot;&gt;10&lt;/Field&gt;&lt;Field id=&quot;Author2&quot;&gt;Frucella,G;Maldonado,D;&lt;/Field&gt;&lt;/Data&gt;&lt;Ref&gt;&lt;Display&gt;&lt;Text StringText=&quot;「RefIndex」&quot; StringTextOri=&quot;「RefIndex」&quot; SuperScript=&quot;true&quot;/&gt;&lt;/Display&gt;&lt;/Ref&gt;&lt;Doc&gt;&lt;Display&gt;&lt;Text StringText=&quot;Frucella G, Maldonado D&quot; StringGroup=&quot;Author&quot;/&gt;_x000d__x000a__x0009__x0009__x0009_&lt;Text StringText=&quot;. &quot; StringGroup=&quot;Author&quot;/&gt;_x000d__x000a__x0009__x0009__x0009_&lt;Text StringText=&quot;[Percutaneous Lumbar Endoscopic Discectomy: Presentation of 60 Cases Intervened in Argentina with Awake Patients]&quot; StringGroup=&quot;Title&quot;/&gt;_x000d__x000a__x0009__x0009__x0009_&lt;Text StringText=&quot;. &quot; StringGroup=&quot;Title&quot;/&gt;_x000d__x000a__x0009__x0009__x0009_&lt;Text StringText=&quot;Surg Neurol In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S37-37S4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72818&quot; StringGroup=&quot;AccessNum&quot;/&gt;_x000d__x000a__x0009__x0009__x0009_&lt;Text StringText=&quot; &quot; StringGroup=&quot;AccessNum&quot;/&gt;_x000d__x000a__x0009__x0009__x0009_&lt;Text StringText=&quot;DOI: &quot; StringGroup=&quot;DOI&quot;/&gt;_x000d__x000a__x0009__x0009__x0009_&lt;Text StringText=&quot;10.25259/SNI_325_2019&quot; StringGroup=&quot;DOI&quot;/&gt;_x000d__x000a__x0009__x0009__x0009_&lt;Text StringText=&quot;]&quot; StringGroup=&quot;none&quot;/&gt;_x000d__x000a__x0009__x0009_&lt;/Display&gt;&lt;/Doc&gt;&lt;/KyMRNote&gt;"/>
    <w:docVar w:name="KY.MR.DATA{2827EE3C-66B4-4477-88B0-BE4066AB322F}174" w:val="&lt;KyMRNote dbid=&quot;{2827EE3C-66B4-4477-88B0-BE4066AB322F}&quot; recid=&quot;174&quot;&gt;&lt;Data&gt;&lt;Field id=&quot;AccessNum&quot;&gt;31768276&lt;/Field&gt;&lt;Field id=&quot;Author&quot;&gt;Aprígio RM;Caramanti RL;Santos FOR;Maia IPT;Filipe FMR;de Moraes DF;da Silva EC;Nogueira FM&lt;/Field&gt;&lt;Field id=&quot;AuthorTrans&quot;&gt;&lt;/Field&gt;&lt;Field id=&quot;DOI&quot;&gt;10.25259/SNI_452_2019&lt;/Field&gt;&lt;Field id=&quot;Editor&quot;&gt;&lt;/Field&gt;&lt;Field id=&quot;FmtTitle&quot;&gt;&lt;/Field&gt;&lt;Field id=&quot;Issue&quot;&gt;&lt;/Field&gt;&lt;Field id=&quot;LIID&quot;&gt;174&lt;/Field&gt;&lt;Field id=&quot;Magazine&quot;&gt;Surgical neurology international&lt;/Field&gt;&lt;Field id=&quot;MagazineAB&quot;&gt;Surg Neurol Int&lt;/Field&gt;&lt;Field id=&quot;MagazineTrans&quot;&gt;&lt;/Field&gt;&lt;Field id=&quot;PageNum&quot;&gt;196&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ntradural disc herniation at the L1-L2 level: A case report and literature review.&lt;/Field&gt;&lt;Field id=&quot;Translator&quot;&gt;&lt;/Field&gt;&lt;Field id=&quot;Type&quot;&gt;{041D4F77-279E-4405-0002-4388361B9CFF}&lt;/Field&gt;&lt;Field id=&quot;Version&quot;&gt;&lt;/Field&gt;&lt;Field id=&quot;Vol&quot;&gt;10&lt;/Field&gt;&lt;Field id=&quot;Author2&quot;&gt;Aprígio,RM;Caramanti,RL;Santos,F;Maia,I;Filipe,F;de Moraes,DF;da Silva,EC;Nogueira,FM;&lt;/Field&gt;&lt;/Data&gt;&lt;Ref&gt;&lt;Display&gt;&lt;Text StringText=&quot;「RefIndex」&quot; StringTextOri=&quot;「RefIndex」&quot; SuperScript=&quot;true&quot;/&gt;&lt;/Display&gt;&lt;/Ref&gt;&lt;Doc&gt;&lt;Display&gt;&lt;Text StringText=&quot;Aprígio RM, Caramanti RL, Santos F, Maia I, Filipe F, de Moraes DF, da Silva EC, Nogueira FM&quot; StringGroup=&quot;Author&quot;/&gt;_x000d__x000a__x0009__x0009__x0009_&lt;Text StringText=&quot;. &quot; StringGroup=&quot;Author&quot;/&gt;_x000d__x000a__x0009__x0009__x0009_&lt;Text StringText=&quot;Intradural disc herniation at the L1-L2 level: A case report and literature review&quot; StringGroup=&quot;Title&quot;/&gt;_x000d__x000a__x0009__x0009__x0009_&lt;Text StringText=&quot;. &quot; StringGroup=&quot;Title&quot;/&gt;_x000d__x000a__x0009__x0009__x0009_&lt;Text StringText=&quot;Surg Neurol In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1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68276&quot; StringGroup=&quot;AccessNum&quot;/&gt;_x000d__x000a__x0009__x0009__x0009_&lt;Text StringText=&quot; &quot; StringGroup=&quot;AccessNum&quot;/&gt;_x000d__x000a__x0009__x0009__x0009_&lt;Text StringText=&quot;DOI: &quot; StringGroup=&quot;DOI&quot;/&gt;_x000d__x000a__x0009__x0009__x0009_&lt;Text StringText=&quot;10.25259/SNI_452_2019&quot; StringGroup=&quot;DOI&quot;/&gt;_x000d__x000a__x0009__x0009__x0009_&lt;Text StringText=&quot;]&quot; StringGroup=&quot;none&quot;/&gt;_x000d__x000a__x0009__x0009_&lt;/Display&gt;&lt;/Doc&gt;&lt;/KyMRNote&gt;"/>
    <w:docVar w:name="KY.MR.DATA{2827EE3C-66B4-4477-88B0-BE4066AB322F}175" w:val="&lt;KyMRNote dbid=&quot;{2827EE3C-66B4-4477-88B0-BE4066AB322F}&quot; recid=&quot;175&quot;&gt;&lt;Data&gt;&lt;Field id=&quot;AccessNum&quot;&gt;31734805&lt;/Field&gt;&lt;Field id=&quot;Author&quot;&gt;Li K;Gao K;Zhang T;Lv CL&lt;/Field&gt;&lt;Field id=&quot;AuthorTrans&quot;&gt;&lt;/Field&gt;&lt;Field id=&quot;DOI&quot;&gt;10.1007/s00586-019-06210-y&lt;/Field&gt;&lt;Field id=&quot;Editor&quot;&gt;&lt;/Field&gt;&lt;Field id=&quot;FmtTitle&quot;&gt;&lt;/Field&gt;&lt;Field id=&quot;Issue&quot;&gt;&lt;/Field&gt;&lt;Field id=&quot;LIID&quot;&gt;175&lt;/Field&gt;&lt;Field id=&quot;Magazine&quot;&gt;European spine journal : official publication of the European Spine Society, the European Spinal Deformity Society, and the European Section of the Cervical Spine Research Society&lt;/Field&gt;&lt;Field id=&quot;MagazineAB&quot;&gt;Eur Spine J&lt;/Field&gt;&lt;Field id=&quot;MagazineTrans&quot;&gt;&lt;/Field&gt;&lt;Field id=&quot;PageNum&quot;&gt;&lt;/Field&gt;&lt;Field id=&quot;PubDate&quot;&gt;Nov 16&lt;/Field&gt;&lt;Field id=&quot;PubPlace&quot;&gt;Germany&lt;/Field&gt;&lt;Field id=&quot;PubPlaceTrans&quot;&gt;&lt;/Field&gt;&lt;Field id=&quot;PubYear&quot;&gt;2019&lt;/Field&gt;&lt;Field id=&quot;Publisher&quot;&gt;&lt;/Field&gt;&lt;Field id=&quot;PublisherTrans&quot;&gt;&lt;/Field&gt;&lt;Field id=&quot;TITrans&quot;&gt;&lt;/Field&gt;&lt;Field id=&quot;Title&quot;&gt;Comparison of percutaneous transforaminal endoscopic lumbar discectomy through unilateral versus bilateral approach for L3/4 or L4/5 lumbar disc herniation with bilateral symptoms: technical notes and a prospective randomized study.&lt;/Field&gt;&lt;Field id=&quot;Translator&quot;&gt;&lt;/Field&gt;&lt;Field id=&quot;Type&quot;&gt;{041D4F77-279E-4405-0002-4388361B9CFF}&lt;/Field&gt;&lt;Field id=&quot;Version&quot;&gt;&lt;/Field&gt;&lt;Field id=&quot;Vol&quot;&gt;&lt;/Field&gt;&lt;Field id=&quot;Author2&quot;&gt;Li,K;Gao,K;Zhang,T;Lv,CL;&lt;/Field&gt;&lt;/Data&gt;&lt;Ref&gt;&lt;Display&gt;&lt;Text StringText=&quot;「RefIndex」&quot; StringTextOri=&quot;「RefIndex」&quot; SuperScript=&quot;true&quot;/&gt;&lt;/Display&gt;&lt;/Ref&gt;&lt;Doc&gt;&lt;Display&gt;&lt;Text StringText=&quot;Li K, Gao K, Zhang T, Lv CL&quot; StringGroup=&quot;Author&quot;/&gt;_x000d__x000a__x0009__x0009__x0009_&lt;Text StringText=&quot;. &quot; StringGroup=&quot;Author&quot;/&gt;_x000d__x000a__x0009__x0009__x0009_&lt;Text StringText=&quot;Comparison of percutaneous transforaminal endoscopic lumbar discectomy through unilateral versus bilateral approach for L3/4 or L4/5 lumbar disc herniation with bilateral symptoms: technical notes and a prospective randomized study&quot; StringGroup=&quot;Title&quot;/&gt;_x000d__x000a__x0009__x0009__x0009_&lt;Text StringText=&quot;. &quot; StringGroup=&quot;Title&quot;/&gt;_x000d__x000a__x0009__x0009__x0009_&lt;Text StringText=&quot;Eur Spine J&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734805&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586-019-06210-y&quot; StringGroup=&quot;DOI&quot;/&gt;_x000d__x000a__x0009__x0009__x0009_&lt;Text StringText=&quot;]&quot; StringGroup=&quot;none&quot;/&gt;_x000d__x000a__x0009__x0009_&lt;/Display&gt;&lt;/Doc&gt;&lt;/KyMRNote&gt;"/>
    <w:docVar w:name="KY.MR.DATA{2827EE3C-66B4-4477-88B0-BE4066AB322F}177" w:val="&lt;KyMRNote dbid=&quot;{2827EE3C-66B4-4477-88B0-BE4066AB322F}&quot; recid=&quot;177&quot;&gt;&lt;Data&gt;&lt;Field id=&quot;AccessNum&quot;&gt;30951914&lt;/Field&gt;&lt;Field id=&quot;Author&quot;&gt;Shen J&lt;/Field&gt;&lt;Field id=&quot;AuthorTrans&quot;&gt;&lt;/Field&gt;&lt;Field id=&quot;DOI&quot;&gt;10.1016/j.wneu.2019.03.257&lt;/Field&gt;&lt;Field id=&quot;Editor&quot;&gt;&lt;/Field&gt;&lt;Field id=&quot;FmtTitle&quot;&gt;&lt;/Field&gt;&lt;Field id=&quot;Issue&quot;&gt;&lt;/Field&gt;&lt;Field id=&quot;LIID&quot;&gt;177&lt;/Field&gt;&lt;Field id=&quot;Magazine&quot;&gt;World neurosurgery&lt;/Field&gt;&lt;Field id=&quot;MagazineAB&quot;&gt;World Neurosurg&lt;/Field&gt;&lt;Field id=&quot;MagazineTrans&quot;&gt;&lt;/Field&gt;&lt;Field id=&quot;PageNum&quot;&gt;e745-e750&lt;/Field&gt;&lt;Field id=&quot;PubDate&quot;&gt;Jul&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Fully Endoscopic Lumbar Laminectomy and Transforaminal Lumbar Interbody Fusion Under Local Anesthesia with Conscious Sedation: A Case Series.&lt;/Field&gt;&lt;Field id=&quot;Translator&quot;&gt;&lt;/Field&gt;&lt;Field id=&quot;Type&quot;&gt;{041D4F77-279E-4405-0002-4388361B9CFF}&lt;/Field&gt;&lt;Field id=&quot;Version&quot;&gt;&lt;/Field&gt;&lt;Field id=&quot;Vol&quot;&gt;127&lt;/Field&gt;&lt;Field id=&quot;Author2&quot;&gt;Shen,J;&lt;/Field&gt;&lt;/Data&gt;&lt;Ref&gt;&lt;Display&gt;&lt;Text StringText=&quot;「RefIndex」&quot; StringTextOri=&quot;「RefIndex」&quot; SuperScript=&quot;true&quot;/&gt;&lt;/Display&gt;&lt;/Ref&gt;&lt;Doc&gt;&lt;Display&gt;&lt;Text StringText=&quot;Shen J&quot; StringGroup=&quot;Author&quot;/&gt;_x000d__x000a__x0009__x0009__x0009_&lt;Text StringText=&quot;. &quot; StringGroup=&quot;Author&quot;/&gt;_x000d__x000a__x0009__x0009__x0009_&lt;Text StringText=&quot;Fully Endoscopic Lumbar Laminectomy and Transforaminal Lumbar Interbody Fusion Under Local Anesthesia with Conscious Sedation: A Case Series&quot; StringGroup=&quot;Title&quot;/&gt;_x000d__x000a__x0009__x0009__x0009_&lt;Text StringText=&quot;. &quot; StringGroup=&quot;Title&quot;/&gt;_x000d__x000a__x0009__x0009__x0009_&lt;Text StringText=&quot;World Neurosurg&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27&quot; StringGroup=&quot;Vol&quot; Border=&quot;true&quot;/&gt;_x000d__x000a__x0009__x0009__x0009_&lt;Text StringText=&quot;: &quot; StringGroup=&quot;Vol&quot;/&gt;_x000d__x000a__x0009__x0009__x0009_&lt;Text StringText=&quot;e745-745e7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95191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wneu.2019.03.257&quot; StringGroup=&quot;DOI&quot;/&gt;_x000d__x000a__x0009__x0009__x0009_&lt;Text StringText=&quot;]&quot; StringGroup=&quot;none&quot;/&gt;_x000d__x000a__x0009__x0009_&lt;/Display&gt;&lt;/Doc&gt;&lt;/KyMRNote&gt;"/>
    <w:docVar w:name="KY.MR.DATA{2827EE3C-66B4-4477-88B0-BE4066AB322F}178" w:val="&lt;KyMRNote dbid=&quot;{2827EE3C-66B4-4477-88B0-BE4066AB322F}&quot; recid=&quot;178&quot;&gt;&lt;Data&gt;&lt;Field id=&quot;AccessNum&quot;&gt;28216749&lt;/Field&gt;&lt;Field id=&quot;Author&quot;&gt;Mahesha K&lt;/Field&gt;&lt;Field id=&quot;AuthorTrans&quot;&gt;&lt;/Field&gt;&lt;Field id=&quot;DOI&quot;&gt;10.4103/0019-5413.197520&lt;/Field&gt;&lt;Field id=&quot;Editor&quot;&gt;&lt;/Field&gt;&lt;Field id=&quot;FmtTitle&quot;&gt;&lt;/Field&gt;&lt;Field id=&quot;Issue&quot;&gt;1&lt;/Field&gt;&lt;Field id=&quot;LIID&quot;&gt;178&lt;/Field&gt;&lt;Field id=&quot;Magazine&quot;&gt;Indian journal of orthopaedics&lt;/Field&gt;&lt;Field id=&quot;MagazineAB&quot;&gt;Indian J Orthop&lt;/Field&gt;&lt;Field id=&quot;MagazineTrans&quot;&gt;&lt;/Field&gt;&lt;Field id=&quot;PageNum&quot;&gt;36-42&lt;/Field&gt;&lt;Field id=&quot;PubDate&quot;&gt;Jan-Feb&lt;/Field&gt;&lt;Field id=&quot;PubPlace&quot;&gt;India&lt;/Field&gt;&lt;Field id=&quot;PubPlaceTrans&quot;&gt;&lt;/Field&gt;&lt;Field id=&quot;PubYear&quot;&gt;2017&lt;/Field&gt;&lt;Field id=&quot;Publisher&quot;&gt;&lt;/Field&gt;&lt;Field id=&quot;PublisherTrans&quot;&gt;&lt;/Field&gt;&lt;Field id=&quot;TITrans&quot;&gt;&lt;/Field&gt;&lt;Field id=&quot;Title&quot;&gt;Percutaneous endoscopic lumbar discectomy: Results of first 100 cases.&lt;/Field&gt;&lt;Field id=&quot;Translator&quot;&gt;&lt;/Field&gt;&lt;Field id=&quot;Type&quot;&gt;{041D4F77-279E-4405-0002-4388361B9CFF}&lt;/Field&gt;&lt;Field id=&quot;Version&quot;&gt;&lt;/Field&gt;&lt;Field id=&quot;Vol&quot;&gt;51&lt;/Field&gt;&lt;Field id=&quot;Author2&quot;&gt;Mahesha,K;&lt;/Field&gt;&lt;/Data&gt;&lt;Ref&gt;&lt;Display&gt;&lt;Text StringText=&quot;「RefIndex」&quot; StringTextOri=&quot;「RefIndex」&quot; SuperScript=&quot;true&quot;/&gt;&lt;/Display&gt;&lt;/Ref&gt;&lt;Doc&gt;&lt;Display&gt;&lt;Text StringText=&quot;Mahesha K&quot; StringGroup=&quot;Author&quot;/&gt;_x000d__x000a__x0009__x0009__x0009_&lt;Text StringText=&quot;. &quot; StringGroup=&quot;Author&quot;/&gt;_x000d__x000a__x0009__x0009__x0009_&lt;Text StringText=&quot;Percutaneous endoscopic lumbar discectomy: Results of first 100 cases&quot; StringGroup=&quot;Title&quot;/&gt;_x000d__x000a__x0009__x0009__x0009_&lt;Text StringText=&quot;. &quot; StringGroup=&quot;Title&quot;/&gt;_x000d__x000a__x0009__x0009__x0009_&lt;Text StringText=&quot;Indian J Orthop&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51&quot; StringGroup=&quot;Vol&quot; Border=&quot;true&quot;/&gt;_x000d__x000a__x0009__x0009__x0009_&lt;Text StringText=&quot;: &quot; StringGroup=&quot;Vol&quot;/&gt;_x000d__x000a__x0009__x0009__x0009_&lt;Text StringText=&quot;36-4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216749&quot; StringGroup=&quot;AccessNum&quot;/&gt;_x000d__x000a__x0009__x0009__x0009_&lt;Text StringText=&quot; &quot; StringGroup=&quot;AccessNum&quot;/&gt;_x000d__x000a__x0009__x0009__x0009_&lt;Text StringText=&quot;DOI: &quot; StringGroup=&quot;DOI&quot;/&gt;_x000d__x000a__x0009__x0009__x0009_&lt;Text StringText=&quot;10.4103/0019-5413.197520&quot; StringGroup=&quot;DOI&quot;/&gt;_x000d__x000a__x0009__x0009__x0009_&lt;Text StringText=&quot;]&quot; StringGroup=&quot;none&quot;/&gt;_x000d__x000a__x0009__x0009_&lt;/Display&gt;&lt;/Doc&gt;&lt;/KyMRNote&gt;"/>
    <w:docVar w:name="KY.MR.DATA{2827EE3C-66B4-4477-88B0-BE4066AB322F}179" w:val="&lt;KyMRNote dbid=&quot;{2827EE3C-66B4-4477-88B0-BE4066AB322F}&quot; recid=&quot;179&quot;&gt;&lt;Data&gt;&lt;Field id=&quot;AccessNum&quot;&gt;24316264&lt;/Field&gt;&lt;Field id=&quot;Author&quot;&gt;Kim ES;Oladunjoye AO;Li JA;Kim KD&lt;/Field&gt;&lt;Field id=&quot;AuthorTrans&quot;&gt;&lt;/Field&gt;&lt;Field id=&quot;DOI&quot;&gt;10.1016/j.jocn.2013.10.008&lt;/Field&gt;&lt;Field id=&quot;Editor&quot;&gt;&lt;/Field&gt;&lt;Field id=&quot;FmtTitle&quot;&gt;&lt;/Field&gt;&lt;Field id=&quot;Issue&quot;&gt;6&lt;/Field&gt;&lt;Field id=&quot;LIID&quot;&gt;179&lt;/Field&gt;&lt;Field id=&quot;Magazine&quot;&gt;Journal of clinical neuroscience : official journal of the Neurosurgical Society of Australasia&lt;/Field&gt;&lt;Field id=&quot;MagazineAB&quot;&gt;J Clin Neurosci&lt;/Field&gt;&lt;Field id=&quot;MagazineTrans&quot;&gt;&lt;/Field&gt;&lt;Field id=&quot;PageNum&quot;&gt;909-13&lt;/Field&gt;&lt;Field id=&quot;PubDate&quot;&gt;Jun&lt;/Field&gt;&lt;Field id=&quot;PubPlace&quot;&gt;Scotland&lt;/Field&gt;&lt;Field id=&quot;PubPlaceTrans&quot;&gt;&lt;/Field&gt;&lt;Field id=&quot;PubYear&quot;&gt;2014&lt;/Field&gt;&lt;Field id=&quot;Publisher&quot;&gt;&lt;/Field&gt;&lt;Field id=&quot;PublisherTrans&quot;&gt;&lt;/Field&gt;&lt;Field id=&quot;TITrans&quot;&gt;&lt;/Field&gt;&lt;Field id=&quot;Title&quot;&gt;Spontaneous regression of herniated lumbar discs.&lt;/Field&gt;&lt;Field id=&quot;Translator&quot;&gt;&lt;/Field&gt;&lt;Field id=&quot;Type&quot;&gt;{041D4F77-279E-4405-0002-4388361B9CFF}&lt;/Field&gt;&lt;Field id=&quot;Version&quot;&gt;&lt;/Field&gt;&lt;Field id=&quot;Vol&quot;&gt;21&lt;/Field&gt;&lt;Field id=&quot;Author2&quot;&gt;Kim,ES;Oladunjoye,AO;Li,JA;Kim,KD;&lt;/Field&gt;&lt;/Data&gt;&lt;Ref&gt;&lt;Display&gt;&lt;Text StringText=&quot;「RefIndex」&quot; StringTextOri=&quot;「RefIndex」&quot; SuperScript=&quot;true&quot;/&gt;&lt;/Display&gt;&lt;/Ref&gt;&lt;Doc&gt;&lt;Display&gt;&lt;Text StringText=&quot;Kim ES, Oladunjoye AO, Li JA, Kim KD&quot; StringGroup=&quot;Author&quot;/&gt;_x000d__x000a__x0009__x0009__x0009_&lt;Text StringText=&quot;. &quot; StringGroup=&quot;Author&quot;/&gt;_x000d__x000a__x0009__x0009__x0009_&lt;Text StringText=&quot;Spontaneous regression of herniated lumbar discs&quot; StringGroup=&quot;Title&quot;/&gt;_x000d__x000a__x0009__x0009__x0009_&lt;Text StringText=&quot;. &quot; StringGroup=&quot;Title&quot;/&gt;_x000d__x000a__x0009__x0009__x0009_&lt;Text StringText=&quot;J Clin Neurosci&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1&quot; StringGroup=&quot;Vol&quot; Border=&quot;true&quot;/&gt;_x000d__x000a__x0009__x0009__x0009_&lt;Text StringText=&quot;: &quot; StringGroup=&quot;Vol&quot;/&gt;_x000d__x000a__x0009__x0009__x0009_&lt;Text StringText=&quot;909-91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31626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ocn.2013.10.008&quot; StringGroup=&quot;DOI&quot;/&gt;_x000d__x000a__x0009__x0009__x0009_&lt;Text StringText=&quot;]&quot; StringGroup=&quot;none&quot;/&gt;_x000d__x000a__x0009__x0009_&lt;/Display&gt;&lt;/Doc&gt;&lt;/KyMRNote&gt;"/>
    <w:docVar w:name="KY.MR.DATA{2827EE3C-66B4-4477-88B0-BE4066AB322F}180" w:val="&lt;KyMRNote dbid=&quot;{2827EE3C-66B4-4477-88B0-BE4066AB322F}&quot; recid=&quot;180&quot;&gt;&lt;Data&gt;&lt;Field id=&quot;AccessNum&quot;&gt;24630494&lt;/Field&gt;&lt;Field id=&quot;Author&quot;&gt;Macki M;Hernandez-Hermann M;Bydon M;Gokaslan A;McGovern K;Bydon A&lt;/Field&gt;&lt;Field id=&quot;AuthorTrans&quot;&gt;&lt;/Field&gt;&lt;Field id=&quot;DOI&quot;&gt;10.1016/j.clineuro.2014.02.013&lt;/Field&gt;&lt;Field id=&quot;Editor&quot;&gt;&lt;/Field&gt;&lt;Field id=&quot;FmtTitle&quot;&gt;&lt;/Field&gt;&lt;Field id=&quot;Issue&quot;&gt;&lt;/Field&gt;&lt;Field id=&quot;LIID&quot;&gt;180&lt;/Field&gt;&lt;Field id=&quot;Magazine&quot;&gt;Clinical neurology and neurosurgery&lt;/Field&gt;&lt;Field id=&quot;MagazineAB&quot;&gt;Clin Neurol Neurosurg&lt;/Field&gt;&lt;Field id=&quot;MagazineTrans&quot;&gt;&lt;/Field&gt;&lt;Field id=&quot;PageNum&quot;&gt;136-41&lt;/Field&gt;&lt;Field id=&quot;PubDate&quot;&gt;May&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Spontaneous regression of sequestrated lumbar disc herniations: Literature review.&lt;/Field&gt;&lt;Field id=&quot;Translator&quot;&gt;&lt;/Field&gt;&lt;Field id=&quot;Type&quot;&gt;{041D4F77-279E-4405-0002-4388361B9CFF}&lt;/Field&gt;&lt;Field id=&quot;Version&quot;&gt;&lt;/Field&gt;&lt;Field id=&quot;Vol&quot;&gt;120&lt;/Field&gt;&lt;Field id=&quot;Author2&quot;&gt;Macki,M;Hernandez-Hermann,M;Bydon,M;Gokaslan,A;McGovern,K;Bydon,A;&lt;/Field&gt;&lt;/Data&gt;&lt;Ref&gt;&lt;Display&gt;&lt;Text StringText=&quot;「RefIndex」&quot; StringTextOri=&quot;「RefIndex」&quot; SuperScript=&quot;true&quot;/&gt;&lt;/Display&gt;&lt;/Ref&gt;&lt;Doc&gt;&lt;Display&gt;&lt;Text StringText=&quot;Macki M, Hernandez-Hermann M, Bydon M, Gokaslan A, McGovern K, Bydon A&quot; StringGroup=&quot;Author&quot;/&gt;_x000d__x000a__x0009__x0009__x0009_&lt;Text StringText=&quot;. &quot; StringGroup=&quot;Author&quot;/&gt;_x000d__x000a__x0009__x0009__x0009_&lt;Text StringText=&quot;Spontaneous regression of sequestrated lumbar disc herniations: Literature review&quot; StringGroup=&quot;Title&quot;/&gt;_x000d__x000a__x0009__x0009__x0009_&lt;Text StringText=&quot;. &quot; StringGroup=&quot;Title&quot;/&gt;_x000d__x000a__x0009__x0009__x0009_&lt;Text StringText=&quot;Clin Neurol Neurosurg&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120&quot; StringGroup=&quot;Vol&quot; Border=&quot;true&quot;/&gt;_x000d__x000a__x0009__x0009__x0009_&lt;Text StringText=&quot;: &quot; StringGroup=&quot;Vol&quot;/&gt;_x000d__x000a__x0009__x0009__x0009_&lt;Text StringText=&quot;136-14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63049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lineuro.2014.02.013&quot; StringGroup=&quot;DOI&quot;/&gt;_x000d__x000a__x0009__x0009__x0009_&lt;Text StringText=&quot;]&quot; StringGroup=&quot;none&quot;/&gt;_x000d__x000a__x0009__x0009_&lt;/Display&gt;&lt;/Doc&gt;&lt;/KyMRNote&gt;"/>
    <w:docVar w:name="KY.MR.DATA{2827EE3C-66B4-4477-88B0-BE4066AB322F}181" w:val="&lt;KyMRNote dbid=&quot;{2827EE3C-66B4-4477-88B0-BE4066AB322F}&quot; recid=&quot;181&quot;&gt;&lt;Data&gt;&lt;Field id=&quot;AccessNum&quot;&gt;26907997&lt;/Field&gt;&lt;Field id=&quot;Author&quot;&gt;Yang X;Zhang Q;Hao X;Guo X;Wang L&lt;/Field&gt;&lt;Field id=&quot;AuthorTrans&quot;&gt;&lt;/Field&gt;&lt;Field id=&quot;DOI&quot;&gt;10.1016/j.clineuro.2016.02.020&lt;/Field&gt;&lt;Field id=&quot;Editor&quot;&gt;&lt;/Field&gt;&lt;Field id=&quot;FmtTitle&quot;&gt;&lt;/Field&gt;&lt;Field id=&quot;Issue&quot;&gt;&lt;/Field&gt;&lt;Field id=&quot;LIID&quot;&gt;181&lt;/Field&gt;&lt;Field id=&quot;Magazine&quot;&gt;Clinical neurology and neurosurgery&lt;/Field&gt;&lt;Field id=&quot;MagazineAB&quot;&gt;Clin Neurol Neurosurg&lt;/Field&gt;&lt;Field id=&quot;MagazineTrans&quot;&gt;&lt;/Field&gt;&lt;Field id=&quot;PageNum&quot;&gt;86-9&lt;/Field&gt;&lt;Field id=&quot;PubDate&quot;&gt;Apr&lt;/Field&gt;&lt;Field id=&quot;PubPlace&quot;&gt;Netherlands&lt;/Field&gt;&lt;Field id=&quot;PubPlaceTrans&quot;&gt;&lt;/Field&gt;&lt;Field id=&quot;PubYear&quot;&gt;2016&lt;/Field&gt;&lt;Field id=&quot;Publisher&quot;&gt;&lt;/Field&gt;&lt;Field id=&quot;PublisherTrans&quot;&gt;&lt;/Field&gt;&lt;Field id=&quot;TITrans&quot;&gt;&lt;/Field&gt;&lt;Field id=&quot;Title&quot;&gt;Spontaneous regression of herniated lumbar discs: Report of one illustrative case and review of the literature.&lt;/Field&gt;&lt;Field id=&quot;Translator&quot;&gt;&lt;/Field&gt;&lt;Field id=&quot;Type&quot;&gt;{041D4F77-279E-4405-0002-4388361B9CFF}&lt;/Field&gt;&lt;Field id=&quot;Version&quot;&gt;&lt;/Field&gt;&lt;Field id=&quot;Vol&quot;&gt;143&lt;/Field&gt;&lt;Field id=&quot;Author2&quot;&gt;Yang,X;Zhang,Q;Hao,X;Guo,X;Wang,L;&lt;/Field&gt;&lt;/Data&gt;&lt;Ref&gt;&lt;Display&gt;&lt;Text StringText=&quot;「RefIndex」&quot; StringTextOri=&quot;「RefIndex」&quot; SuperScript=&quot;true&quot;/&gt;&lt;/Display&gt;&lt;/Ref&gt;&lt;Doc&gt;&lt;Display&gt;&lt;Text StringText=&quot;Yang X, Zhang Q, Hao X, Guo X, Wang L&quot; StringGroup=&quot;Author&quot;/&gt;_x000d__x000a__x0009__x0009__x0009_&lt;Text StringText=&quot;. &quot; StringGroup=&quot;Author&quot;/&gt;_x000d__x000a__x0009__x0009__x0009_&lt;Text StringText=&quot;Spontaneous regression of herniated lumbar discs: Report of one illustrative case and review of the literature&quot; StringGroup=&quot;Title&quot;/&gt;_x000d__x000a__x0009__x0009__x0009_&lt;Text StringText=&quot;. &quot; StringGroup=&quot;Title&quot;/&gt;_x000d__x000a__x0009__x0009__x0009_&lt;Text StringText=&quot;Clin Neurol Neurosurg&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43&quot; StringGroup=&quot;Vol&quot; Border=&quot;true&quot;/&gt;_x000d__x000a__x0009__x0009__x0009_&lt;Text StringText=&quot;: &quot; StringGroup=&quot;Vol&quot;/&gt;_x000d__x000a__x0009__x0009__x0009_&lt;Text StringText=&quot;86-8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907997&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lineuro.2016.02.020&quot; StringGroup=&quot;DOI&quot;/&gt;_x000d__x000a__x0009__x0009__x0009_&lt;Text StringText=&quot;]&quot; StringGroup=&quot;none&quot;/&gt;_x000d__x000a__x0009__x0009_&lt;/Display&gt;&lt;/Doc&gt;&lt;/KyMRNote&gt;"/>
    <w:docVar w:name="KY.MR.DATA{2827EE3C-66B4-4477-88B0-BE4066AB322F}182" w:val="&lt;KyMRNote dbid=&quot;{2827EE3C-66B4-4477-88B0-BE4066AB322F}&quot; recid=&quot;182&quot;&gt;&lt;Data&gt;&lt;Field id=&quot;AccessNum&quot;&gt;25700242&lt;/Field&gt;&lt;Field id=&quot;Author&quot;&gt;Hayashi T;Daubs MD;Suzuki A;Scott TP;Phan KH;Ruangchainikom M;Takahashi S;Shiba K;Wang JC&lt;/Field&gt;&lt;Field id=&quot;AuthorTrans&quot;&gt;&lt;/Field&gt;&lt;Field id=&quot;DOI&quot;&gt;10.3171/2014.10.SPINE14496&lt;/Field&gt;&lt;Field id=&quot;Editor&quot;&gt;&lt;/Field&gt;&lt;Field id=&quot;FmtTitle&quot;&gt;&lt;/Field&gt;&lt;Field id=&quot;Issue&quot;&gt;5&lt;/Field&gt;&lt;Field id=&quot;LIID&quot;&gt;182&lt;/Field&gt;&lt;Field id=&quot;Magazine&quot;&gt;Journal of neurosurgery. Spine&lt;/Field&gt;&lt;Field id=&quot;MagazineAB&quot;&gt;J Neurosurg Spine&lt;/Field&gt;&lt;Field id=&quot;MagazineTrans&quot;&gt;&lt;/Field&gt;&lt;Field id=&quot;PageNum&quot;&gt;511-7&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otion characteristics and related factors of Modic changes in the lumbar spine.&lt;/Field&gt;&lt;Field id=&quot;Translator&quot;&gt;&lt;/Field&gt;&lt;Field id=&quot;Type&quot;&gt;{041D4F77-279E-4405-0002-4388361B9CFF}&lt;/Field&gt;&lt;Field id=&quot;Version&quot;&gt;&lt;/Field&gt;&lt;Field id=&quot;Vol&quot;&gt;22&lt;/Field&gt;&lt;Field id=&quot;Author2&quot;&gt;Hayashi,T;Daubs,MD;Suzuki,A;Scott,TP;Phan,KH;Ruangchainikom,M;Takahashi,S;Shiba,K;Wang,JC;&lt;/Field&gt;&lt;/Data&gt;&lt;Ref&gt;&lt;Display&gt;&lt;Text StringText=&quot;「RefIndex」&quot; StringTextOri=&quot;「RefIndex」&quot; SuperScript=&quot;true&quot;/&gt;&lt;/Display&gt;&lt;/Ref&gt;&lt;Doc&gt;&lt;Display&gt;&lt;Text StringText=&quot;Hayashi T, Daubs MD, Suzuki A, Scott TP, Phan KH, Ruangchainikom M, Takahashi S, Shiba K, Wang JC&quot; StringGroup=&quot;Author&quot;/&gt;_x000d__x000a__x0009__x0009__x0009_&lt;Text StringText=&quot;. &quot; StringGroup=&quot;Author&quot;/&gt;_x000d__x000a__x0009__x0009__x0009_&lt;Text StringText=&quot;Motion characteristics and related factors of Modic changes in the lumbar spine&quot; StringGroup=&quot;Title&quot;/&gt;_x000d__x000a__x0009__x0009__x0009_&lt;Text StringText=&quot;. &quot; StringGroup=&quot;Title&quot;/&gt;_x000d__x000a__x0009__x0009__x0009_&lt;Text StringText=&quot;J Neurosurg Spine&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511-51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5700242&quot; StringGroup=&quot;AccessNum&quot;/&gt;_x000d__x000a__x0009__x0009__x0009_&lt;Text StringText=&quot; &quot; StringGroup=&quot;AccessNum&quot;/&gt;_x000d__x000a__x0009__x0009__x0009_&lt;Text StringText=&quot;DOI: &quot; StringGroup=&quot;DOI&quot;/&gt;_x000d__x000a__x0009__x0009__x0009_&lt;Text StringText=&quot;10.3171/2014.10.SPINE14496&quot; StringGroup=&quot;DOI&quot;/&gt;_x000d__x000a__x0009__x0009__x0009_&lt;Text StringText=&quot;]&quot; StringGroup=&quot;none&quot;/&gt;_x000d__x000a__x0009__x0009_&lt;/Display&gt;&lt;/Doc&gt;&lt;/KyMRNote&gt;"/>
    <w:docVar w:name="KY.MR.DATA{2827EE3C-66B4-4477-88B0-BE4066AB322F}183" w:val="&lt;KyMRNote dbid=&quot;{2827EE3C-66B4-4477-88B0-BE4066AB322F}&quot; recid=&quot;183&quot;&gt;&lt;Data&gt;&lt;Field id=&quot;AccessNum&quot;&gt;20461034&lt;/Field&gt;&lt;Field id=&quot;Author&quot;&gt;Ohtori S;Yamashita M;Yamauchi K;Inoue G;Koshi T;Suzuki M;Orita S;Eguchi Y;Ochiai N;Kishida S;Takaso M;Aoki Y;Ishikawa T;Arai G;Miyagi M;Kamoda H;Nakamura J;Takahashi K&lt;/Field&gt;&lt;Field id=&quot;AuthorTrans&quot;&gt;&lt;/Field&gt;&lt;Field id=&quot;DOI&quot;&gt;10.1097/BRS.0b013e3181cd2cb8&lt;/Field&gt;&lt;Field id=&quot;Editor&quot;&gt;&lt;/Field&gt;&lt;Field id=&quot;FmtTitle&quot;&gt;&lt;/Field&gt;&lt;Field id=&quot;Issue&quot;&gt;13&lt;/Field&gt;&lt;Field id=&quot;LIID&quot;&gt;183&lt;/Field&gt;&lt;Field id=&quot;Magazine&quot;&gt;Spine&lt;/Field&gt;&lt;Field id=&quot;MagazineAB&quot;&gt;Spine (Phila Pa 1976)&lt;/Field&gt;&lt;Field id=&quot;MagazineTrans&quot;&gt;&lt;/Field&gt;&lt;Field id=&quot;PageNum&quot;&gt;E596-600&lt;/Field&gt;&lt;Field id=&quot;PubDate&quot;&gt;Jun 01&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Low back pain after lumbar discectomy in patients showing endplate modic type 1 change.&lt;/Field&gt;&lt;Field id=&quot;Translator&quot;&gt;&lt;/Field&gt;&lt;Field id=&quot;Type&quot;&gt;{041D4F77-279E-4405-0002-4388361B9CFF}&lt;/Field&gt;&lt;Field id=&quot;Version&quot;&gt;&lt;/Field&gt;&lt;Field id=&quot;Vol&quot;&gt;35&lt;/Field&gt;&lt;Field id=&quot;Author2&quot;&gt;Ohtori,S;Yamashita,M;Yamauchi,K;Inoue,G;Koshi,T;Suzuki,M;Orita,S;Eguchi,Y;Ochiai,N;Kishida,S;Takaso,M;Aoki,Y;Ishikawa,T;Arai,G;Miyagi,M;Kamoda,H;Nakamura,J;Takahashi,K;&lt;/Field&gt;&lt;/Data&gt;&lt;Ref&gt;&lt;Display&gt;&lt;Text StringText=&quot;「RefIndex」&quot; StringTextOri=&quot;「RefIndex」&quot; SuperScript=&quot;true&quot;/&gt;&lt;/Display&gt;&lt;/Ref&gt;&lt;Doc&gt;&lt;Display&gt;&lt;Text StringText=&quot;Ohtori S, Yamashita M, Yamauchi K, Inoue G, Koshi T, Suzuki M, Orita S, Eguchi Y, Ochiai N, Kishida S, Takaso M, Aoki Y, Ishikawa T, Arai G, Miyagi M, Kamoda H, Nakamura J, Takahashi K&quot; StringGroup=&quot;Author&quot;/&gt;_x000d__x000a__x0009__x0009__x0009_&lt;Text StringText=&quot;. &quot; StringGroup=&quot;Author&quot;/&gt;_x000d__x000a__x0009__x0009__x0009_&lt;Text StringText=&quot;Low back pain after lumbar discectomy in patients showing endplate modic type 1 change&quot; StringGroup=&quot;Title&quot;/&gt;_x000d__x000a__x0009__x0009__x0009_&lt;Text StringText=&quot;. &quot; StringGroup=&quot;Title&quot;/&gt;_x000d__x000a__x0009__x0009__x0009_&lt;Text StringText=&quot;Spine (Phila Pa 1976)&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35&quot; StringGroup=&quot;Vol&quot; Border=&quot;true&quot;/&gt;_x000d__x000a__x0009__x0009__x0009_&lt;Text StringText=&quot;: &quot; StringGroup=&quot;Vol&quot;/&gt;_x000d__x000a__x0009__x0009__x0009_&lt;Text StringText=&quot;E596-60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0461034&quot; StringGroup=&quot;AccessNum&quot;/&gt;_x000d__x000a__x0009__x0009__x0009_&lt;Text StringText=&quot; &quot; StringGroup=&quot;AccessNum&quot;/&gt;_x000d__x000a__x0009__x0009__x0009_&lt;Text StringText=&quot;DOI: &quot; StringGroup=&quot;DOI&quot;/&gt;_x000d__x000a__x0009__x0009__x0009_&lt;Text StringText=&quot;10.1097/BRS.0b013e3181cd2cb8&quot; StringGroup=&quot;DOI&quot;/&gt;_x000d__x000a__x0009__x0009__x0009_&lt;Text StringText=&quot;]&quot; StringGroup=&quot;none&quot;/&gt;_x000d__x000a__x0009__x0009_&lt;/Display&gt;&lt;/Doc&gt;&lt;/KyMRNote&gt;"/>
    <w:docVar w:name="KY.MR.DATA{2827EE3C-66B4-4477-88B0-BE4066AB322F}184" w:val="&lt;KyMRNote dbid=&quot;{2827EE3C-66B4-4477-88B0-BE4066AB322F}&quot; recid=&quot;184&quot;&gt;&lt;Data&gt;&lt;Field id=&quot;AccessNum&quot;&gt;23076645&lt;/Field&gt;&lt;Field id=&quot;Author&quot;&gt;Hsu HT;Chang SJ;Yang SS;Chai CL&lt;/Field&gt;&lt;Field id=&quot;AuthorTrans&quot;&gt;&lt;/Field&gt;&lt;Field id=&quot;DOI&quot;&gt;10.1007/s00586-012-2540-4&lt;/Field&gt;&lt;Field id=&quot;Editor&quot;&gt;&lt;/Field&gt;&lt;Field id=&quot;FmtTitle&quot;&gt;&lt;/Field&gt;&lt;Field id=&quot;Issue&quot;&gt;4&lt;/Field&gt;&lt;Field id=&quot;LIID&quot;&gt;184&lt;/Field&gt;&lt;Field id=&quot;Magazine&quot;&gt;European spine journal : official publication of the European Spine Society, the European Spinal Deformity Society, and the European Section of the Cervical Spine Research Society&lt;/Field&gt;&lt;Field id=&quot;MagazineAB&quot;&gt;Eur Spine J&lt;/Field&gt;&lt;Field id=&quot;MagazineTrans&quot;&gt;&lt;/Field&gt;&lt;Field id=&quot;PageNum&quot;&gt;727-33&lt;/Field&gt;&lt;Field id=&quot;PubDate&quot;&gt;Apr&lt;/Field&gt;&lt;Field id=&quot;PubPlace&quot;&gt;Germany&lt;/Field&gt;&lt;Field id=&quot;PubPlaceTrans&quot;&gt;&lt;/Field&gt;&lt;Field id=&quot;PubYear&quot;&gt;2013&lt;/Field&gt;&lt;Field id=&quot;Publisher&quot;&gt;&lt;/Field&gt;&lt;Field id=&quot;PublisherTrans&quot;&gt;&lt;/Field&gt;&lt;Field id=&quot;TITrans&quot;&gt;&lt;/Field&gt;&lt;Field id=&quot;Title&quot;&gt;Learning curve of full-endoscopic lumbar discectomy.&lt;/Field&gt;&lt;Field id=&quot;Translator&quot;&gt;&lt;/Field&gt;&lt;Field id=&quot;Type&quot;&gt;{041D4F77-279E-4405-0002-4388361B9CFF}&lt;/Field&gt;&lt;Field id=&quot;Version&quot;&gt;&lt;/Field&gt;&lt;Field id=&quot;Vol&quot;&gt;22&lt;/Field&gt;&lt;Field id=&quot;Author2&quot;&gt;Hsu,HT;Chang,SJ;Yang,SS;Chai,CL;&lt;/Field&gt;&lt;/Data&gt;&lt;Ref&gt;&lt;Display&gt;&lt;Text StringText=&quot;「RefIndex」&quot; StringTextOri=&quot;「RefIndex」&quot; SuperScript=&quot;true&quot;/&gt;&lt;/Display&gt;&lt;/Ref&gt;&lt;Doc&gt;&lt;Display&gt;&lt;Text StringText=&quot;Hsu HT, Chang SJ, Yang SS, Chai CL&quot; StringGroup=&quot;Author&quot;/&gt;_x000d__x000a__x0009__x0009__x0009_&lt;Text StringText=&quot;. &quot; StringGroup=&quot;Author&quot;/&gt;_x000d__x000a__x0009__x0009__x0009_&lt;Text StringText=&quot;Learning curve of full-endoscopic lumbar discectomy&quot; StringGroup=&quot;Title&quot;/&gt;_x000d__x000a__x0009__x0009__x0009_&lt;Text StringText=&quot;. &quot; StringGroup=&quot;Title&quot;/&gt;_x000d__x000a__x0009__x0009__x0009_&lt;Text StringText=&quot;Eur Spine J&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727-73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3076645&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586-012-2540-4&quot; StringGroup=&quot;DOI&quot;/&gt;_x000d__x000a__x0009__x0009__x0009_&lt;Text StringText=&quot;]&quot; StringGroup=&quot;none&quot;/&gt;_x000d__x000a__x0009__x0009_&lt;/Display&gt;&lt;/Doc&gt;&lt;/KyMRNote&gt;"/>
    <w:docVar w:name="KY.MR.DATA{2827EE3C-66B4-4477-88B0-BE4066AB322F}185" w:val="&lt;KyMRNote dbid=&quot;{2827EE3C-66B4-4477-88B0-BE4066AB322F}&quot; recid=&quot;185&quot;&gt;&lt;Data&gt;&lt;Field id=&quot;AccessNum&quot;&gt;18427312&lt;/Field&gt;&lt;Field id=&quot;Author&quot;&gt;Ruetten S;Komp M;Merk H;Godolias G&lt;/Field&gt;&lt;Field id=&quot;AuthorTrans&quot;&gt;&lt;/Field&gt;&lt;Field id=&quot;DOI&quot;&gt;10.1097/BRS.0b013e31816c8af7&lt;/Field&gt;&lt;Field id=&quot;Editor&quot;&gt;&lt;/Field&gt;&lt;Field id=&quot;FmtTitle&quot;&gt;&lt;/Field&gt;&lt;Field id=&quot;Issue&quot;&gt;9&lt;/Field&gt;&lt;Field id=&quot;LIID&quot;&gt;185&lt;/Field&gt;&lt;Field id=&quot;Magazine&quot;&gt;Spine&lt;/Field&gt;&lt;Field id=&quot;MagazineAB&quot;&gt;Spine (Phila Pa 1976)&lt;/Field&gt;&lt;Field id=&quot;MagazineTrans&quot;&gt;&lt;/Field&gt;&lt;Field id=&quot;PageNum&quot;&gt;931-9&lt;/Field&gt;&lt;Field id=&quot;PubDate&quot;&gt;Apr 20&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Full-endoscopic interlaminar and transforaminal lumbar discectomy versus conventional microsurgical technique: a prospective, randomized, controlled study.&lt;/Field&gt;&lt;Field id=&quot;Translator&quot;&gt;&lt;/Field&gt;&lt;Field id=&quot;Type&quot;&gt;{041D4F77-279E-4405-0002-4388361B9CFF}&lt;/Field&gt;&lt;Field id=&quot;Version&quot;&gt;&lt;/Field&gt;&lt;Field id=&quot;Vol&quot;&gt;33&lt;/Field&gt;&lt;Field id=&quot;Author2&quot;&gt;Ruetten,S;Komp,M;Merk,H;Godolias,G;&lt;/Field&gt;&lt;/Data&gt;&lt;Ref&gt;&lt;Display&gt;&lt;Text StringText=&quot;「RefIndex」&quot; StringTextOri=&quot;「RefIndex」&quot; SuperScript=&quot;true&quot;/&gt;&lt;/Display&gt;&lt;/Ref&gt;&lt;Doc&gt;&lt;Display&gt;&lt;Text StringText=&quot;Ruetten S, Komp M, Merk H, Godolias G&quot; StringGroup=&quot;Author&quot;/&gt;_x000d__x000a__x0009__x0009__x0009_&lt;Text StringText=&quot;. &quot; StringGroup=&quot;Author&quot;/&gt;_x000d__x000a__x0009__x0009__x0009_&lt;Text StringText=&quot;Full-endoscopic interlaminar and transforaminal lumbar discectomy versus conventional microsurgical technique: a prospective, randomized, controlled study&quot; StringGroup=&quot;Title&quot;/&gt;_x000d__x000a__x0009__x0009__x0009_&lt;Text StringText=&quot;. &quot; StringGroup=&quot;Title&quot;/&gt;_x000d__x000a__x0009__x0009__x0009_&lt;Text StringText=&quot;Spine (Phila Pa 1976)&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33&quot; StringGroup=&quot;Vol&quot; Border=&quot;true&quot;/&gt;_x000d__x000a__x0009__x0009__x0009_&lt;Text StringText=&quot;: &quot; StringGroup=&quot;Vol&quot;/&gt;_x000d__x000a__x0009__x0009__x0009_&lt;Text StringText=&quot;931-93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8427312&quot; StringGroup=&quot;AccessNum&quot;/&gt;_x000d__x000a__x0009__x0009__x0009_&lt;Text StringText=&quot; &quot; StringGroup=&quot;AccessNum&quot;/&gt;_x000d__x000a__x0009__x0009__x0009_&lt;Text StringText=&quot;DOI: &quot; StringGroup=&quot;DOI&quot;/&gt;_x000d__x000a__x0009__x0009__x0009_&lt;Text StringText=&quot;10.1097/BRS.0b013e31816c8af7&quot; StringGroup=&quot;DOI&quot;/&gt;_x000d__x000a__x0009__x0009__x0009_&lt;Text StringText=&quot;]&quot; StringGroup=&quot;none&quot;/&gt;_x000d__x000a__x0009__x0009_&lt;/Display&gt;&lt;/Doc&gt;&lt;/KyMRNote&gt;"/>
    <w:docVar w:name="KY.MR.DATA{2827EE3C-66B4-4477-88B0-BE4066AB322F}186" w:val="&lt;KyMRNote dbid=&quot;{2827EE3C-66B4-4477-88B0-BE4066AB322F}&quot; recid=&quot;186&quot;&gt;&lt;Data&gt;&lt;Field id=&quot;AccessNum&quot;&gt;29581978&lt;/Field&gt;&lt;Field id=&quot;Author&quot;&gt;Kim HS;Yudoyono F;Paudel B;Kim KJ;Jang JS;Choi JH;Chung SK;Kim JH;Jang IT;Oh SH;Park JE;Lee S&lt;/Field&gt;&lt;Field id=&quot;AuthorTrans&quot;&gt;&lt;/Field&gt;&lt;Field id=&quot;DOI&quot;&gt;10.1155/2018/5349680&lt;/Field&gt;&lt;Field id=&quot;Editor&quot;&gt;&lt;/Field&gt;&lt;Field id=&quot;FmtTitle&quot;&gt;&lt;/Field&gt;&lt;Field id=&quot;Issue&quot;&gt;&lt;/Field&gt;&lt;Field id=&quot;LIID&quot;&gt;186&lt;/Field&gt;&lt;Field id=&quot;Magazine&quot;&gt;BioMed research international&lt;/Field&gt;&lt;Field id=&quot;MagazineAB&quot;&gt;Biomed Res Int&lt;/Field&gt;&lt;Field id=&quot;MagazineTrans&quot;&gt;&lt;/Field&gt;&lt;Field id=&quot;PageNum&quot;&gt;5349680&lt;/Field&gt;&lt;Field id=&quot;PubDate&quot;&gt;&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uprapedicular Circumferential Opening Technique of Percutaneous Endoscopic Transforaminal Lumbar Discectomy for High Grade Inferiorly Migrated Lumbar Disc Herniation.&lt;/Field&gt;&lt;Field id=&quot;Translator&quot;&gt;&lt;/Field&gt;&lt;Field id=&quot;Type&quot;&gt;{041D4F77-279E-4405-0002-4388361B9CFF}&lt;/Field&gt;&lt;Field id=&quot;Version&quot;&gt;&lt;/Field&gt;&lt;Field id=&quot;Vol&quot;&gt;2018&lt;/Field&gt;&lt;Field id=&quot;Author2&quot;&gt;Kim,HS;Yudoyono,F;Paudel,B;Kim,KJ;Jang,JS;Choi,JH;Chung,SK;Kim,JH;Jang,IT;Oh,SH;Park,JE;Lee,S;&lt;/Field&gt;&lt;/Data&gt;&lt;Ref&gt;&lt;Display&gt;&lt;Text StringText=&quot;「RefIndex」&quot; StringTextOri=&quot;「RefIndex」&quot; SuperScript=&quot;true&quot;/&gt;&lt;/Display&gt;&lt;/Ref&gt;&lt;Doc&gt;&lt;Display&gt;&lt;Text StringText=&quot;Kim HS, Yudoyono F, Paudel B, Kim KJ, Jang JS, Choi JH, Chung SK, Kim JH, Jang IT, Oh SH, Park JE, Lee S&quot; StringGroup=&quot;Author&quot;/&gt;_x000d__x000a__x0009__x0009__x0009_&lt;Text StringText=&quot;. &quot; StringGroup=&quot;Author&quot;/&gt;_x000d__x000a__x0009__x0009__x0009_&lt;Text StringText=&quot;Suprapedicular Circumferential Opening Technique of Percutaneous Endoscopic Transforaminal Lumbar Discectomy for High Grade Inferiorly Migrated Lumbar Disc Herniation&quot; StringGroup=&quot;Title&quot;/&gt;_x000d__x000a__x0009__x0009__x0009_&lt;Text StringText=&quot;. &quot; StringGroup=&quot;Title&quot;/&gt;_x000d__x000a__x0009__x0009__x0009_&lt;Text StringText=&quot;Biomed Res In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018&quot; StringGroup=&quot;Vol&quot; Border=&quot;true&quot;/&gt;_x000d__x000a__x0009__x0009__x0009_&lt;Text StringText=&quot;: &quot; StringGroup=&quot;Vol&quot;/&gt;_x000d__x000a__x0009__x0009__x0009_&lt;Text StringText=&quot;534968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581978&quot; StringGroup=&quot;AccessNum&quot;/&gt;_x000d__x000a__x0009__x0009__x0009_&lt;Text StringText=&quot; &quot; StringGroup=&quot;AccessNum&quot;/&gt;_x000d__x000a__x0009__x0009__x0009_&lt;Text StringText=&quot;DOI: &quot; StringGroup=&quot;DOI&quot;/&gt;_x000d__x000a__x0009__x0009__x0009_&lt;Text StringText=&quot;10.1155/2018/5349680&quot; StringGroup=&quot;DOI&quot;/&gt;_x000d__x000a__x0009__x0009__x0009_&lt;Text StringText=&quot;]&quot; StringGroup=&quot;none&quot;/&gt;_x000d__x000a__x0009__x0009_&lt;/Display&gt;&lt;/Doc&gt;&lt;/KyMRNote&gt;"/>
    <w:docVar w:name="KY.MR.DATA{2827EE3C-66B4-4477-88B0-BE4066AB322F}187" w:val="&lt;KyMRNote dbid=&quot;{2827EE3C-66B4-4477-88B0-BE4066AB322F}&quot; recid=&quot;187&quot;&gt;&lt;Data&gt;&lt;Field id=&quot;AccessNum&quot;&gt;19826524&lt;/Field&gt;&lt;Field id=&quot;Author&quot;&gt;Acharya KN;Nathan TS;Kumar JR;Menon KV&lt;/Field&gt;&lt;Field id=&quot;AuthorTrans&quot;&gt;&lt;/Field&gt;&lt;Field id=&quot;DOI&quot;&gt;10.4103/0019-5413.40254&lt;/Field&gt;&lt;Field id=&quot;Editor&quot;&gt;&lt;/Field&gt;&lt;Field id=&quot;FmtTitle&quot;&gt;&lt;/Field&gt;&lt;Field id=&quot;Issue&quot;&gt;2&lt;/Field&gt;&lt;Field id=&quot;LIID&quot;&gt;187&lt;/Field&gt;&lt;Field id=&quot;Magazine&quot;&gt;Indian journal of orthopaedics&lt;/Field&gt;&lt;Field id=&quot;MagazineAB&quot;&gt;Indian J Orthop&lt;/Field&gt;&lt;Field id=&quot;MagazineTrans&quot;&gt;&lt;/Field&gt;&lt;Field id=&quot;PageNum&quot;&gt;178-81&lt;/Field&gt;&lt;Field id=&quot;PubDate&quot;&gt;Apr&lt;/Field&gt;&lt;Field id=&quot;PubPlace&quot;&gt;India&lt;/Field&gt;&lt;Field id=&quot;PubPlaceTrans&quot;&gt;&lt;/Field&gt;&lt;Field id=&quot;PubYear&quot;&gt;2008&lt;/Field&gt;&lt;Field id=&quot;Publisher&quot;&gt;&lt;/Field&gt;&lt;Field id=&quot;PublisherTrans&quot;&gt;&lt;/Field&gt;&lt;Field id=&quot;TITrans&quot;&gt;&lt;/Field&gt;&lt;Field id=&quot;Title&quot;&gt;Primary and revision lumbar discectomy: a three-year review from one center.&lt;/Field&gt;&lt;Field id=&quot;Translator&quot;&gt;&lt;/Field&gt;&lt;Field id=&quot;Type&quot;&gt;{041D4F77-279E-4405-0002-4388361B9CFF}&lt;/Field&gt;&lt;Field id=&quot;Version&quot;&gt;&lt;/Field&gt;&lt;Field id=&quot;Vol&quot;&gt;42&lt;/Field&gt;&lt;Field id=&quot;Author2&quot;&gt;Acharya,KN;Nathan,TS;Kumar,JR;Menon,KV;&lt;/Field&gt;&lt;/Data&gt;&lt;Ref&gt;&lt;Display&gt;&lt;Text StringText=&quot;「RefIndex」&quot; StringTextOri=&quot;「RefIndex」&quot; SuperScript=&quot;true&quot;/&gt;&lt;/Display&gt;&lt;/Ref&gt;&lt;Doc&gt;&lt;Display&gt;&lt;Text StringText=&quot;Acharya KN, Nathan TS, Kumar JR, Menon KV&quot; StringGroup=&quot;Author&quot;/&gt;_x000d__x000a__x0009__x0009__x0009_&lt;Text StringText=&quot;. &quot; StringGroup=&quot;Author&quot;/&gt;_x000d__x000a__x0009__x0009__x0009_&lt;Text StringText=&quot;Primary and revision lumbar discectomy: a three-year review from one center&quot; StringGroup=&quot;Title&quot;/&gt;_x000d__x000a__x0009__x0009__x0009_&lt;Text StringText=&quot;. &quot; StringGroup=&quot;Title&quot;/&gt;_x000d__x000a__x0009__x0009__x0009_&lt;Text StringText=&quot;Indian J Orthop&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42&quot; StringGroup=&quot;Vol&quot; Border=&quot;true&quot;/&gt;_x000d__x000a__x0009__x0009__x0009_&lt;Text StringText=&quot;: &quot; StringGroup=&quot;Vol&quot;/&gt;_x000d__x000a__x0009__x0009__x0009_&lt;Text StringText=&quot;178-18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826524&quot; StringGroup=&quot;AccessNum&quot;/&gt;_x000d__x000a__x0009__x0009__x0009_&lt;Text StringText=&quot; &quot; StringGroup=&quot;AccessNum&quot;/&gt;_x000d__x000a__x0009__x0009__x0009_&lt;Text StringText=&quot;DOI: &quot; StringGroup=&quot;DOI&quot;/&gt;_x000d__x000a__x0009__x0009__x0009_&lt;Text StringText=&quot;10.4103/0019-5413.40254&quot; StringGroup=&quot;DOI&quot;/&gt;_x000d__x000a__x0009__x0009__x0009_&lt;Text StringText=&quot;]&quot; StringGroup=&quot;none&quot;/&gt;_x000d__x000a__x0009__x0009_&lt;/Display&gt;&lt;/Doc&gt;&lt;/KyMRNote&gt;"/>
    <w:docVar w:name="KY.MR.DATA{2827EE3C-66B4-4477-88B0-BE4066AB322F}188" w:val="&lt;KyMRNote dbid=&quot;{2827EE3C-66B4-4477-88B0-BE4066AB322F}&quot; recid=&quot;188&quot;&gt;&lt;Data&gt;&lt;Field id=&quot;AccessNum&quot;&gt;10428127&lt;/Field&gt;&lt;Field id=&quot;Author&quot;&gt;Hermantin FU;Peters T;Quartararo L;Kambin P&lt;/Field&gt;&lt;Field id=&quot;AuthorTrans&quot;&gt;&lt;/Field&gt;&lt;Field id=&quot;DOI&quot;&gt;10.2106/00004623-199907000-00008&lt;/Field&gt;&lt;Field id=&quot;Editor&quot;&gt;&lt;/Field&gt;&lt;Field id=&quot;FmtTitle&quot;&gt;&lt;/Field&gt;&lt;Field id=&quot;Issue&quot;&gt;7&lt;/Field&gt;&lt;Field id=&quot;LIID&quot;&gt;188&lt;/Field&gt;&lt;Field id=&quot;Magazine&quot;&gt;The Journal of bone and joint surgery. American volume&lt;/Field&gt;&lt;Field id=&quot;MagazineAB&quot;&gt;J Bone Joint Surg Am&lt;/Field&gt;&lt;Field id=&quot;MagazineTrans&quot;&gt;&lt;/Field&gt;&lt;Field id=&quot;PageNum&quot;&gt;958-65&lt;/Field&gt;&lt;Field id=&quot;PubDate&quot;&gt;Jul&lt;/Field&gt;&lt;Field id=&quot;PubPlace&quot;&gt;United States&lt;/Field&gt;&lt;Field id=&quot;PubPlaceTrans&quot;&gt;&lt;/Field&gt;&lt;Field id=&quot;PubYear&quot;&gt;1999&lt;/Field&gt;&lt;Field id=&quot;Publisher&quot;&gt;&lt;/Field&gt;&lt;Field id=&quot;PublisherTrans&quot;&gt;&lt;/Field&gt;&lt;Field id=&quot;TITrans&quot;&gt;&lt;/Field&gt;&lt;Field id=&quot;Title&quot;&gt;A prospective, randomized study comparing the results of open discectomy with those of video-assisted arthroscopic microdiscectomy.&lt;/Field&gt;&lt;Field id=&quot;Translator&quot;&gt;&lt;/Field&gt;&lt;Field id=&quot;Type&quot;&gt;{041D4F77-279E-4405-0002-4388361B9CFF}&lt;/Field&gt;&lt;Field id=&quot;Version&quot;&gt;&lt;/Field&gt;&lt;Field id=&quot;Vol&quot;&gt;81&lt;/Field&gt;&lt;Field id=&quot;Author2&quot;&gt;Hermantin,FU;Peters,T;Quartararo,L;Kambin,P;&lt;/Field&gt;&lt;/Data&gt;&lt;Ref&gt;&lt;Display&gt;&lt;Text StringText=&quot;「RefIndex」&quot; StringTextOri=&quot;「RefIndex」&quot; SuperScript=&quot;true&quot;/&gt;&lt;/Display&gt;&lt;/Ref&gt;&lt;Doc&gt;&lt;Display&gt;&lt;Text StringText=&quot;Hermantin FU, Peters T, Quartararo L, Kambin P&quot; StringGroup=&quot;Author&quot;/&gt;_x000d__x000a__x0009__x0009__x0009_&lt;Text StringText=&quot;. &quot; StringGroup=&quot;Author&quot;/&gt;_x000d__x000a__x0009__x0009__x0009_&lt;Text StringText=&quot;A prospective, randomized study comparing the results of open discectomy with those of video-assisted arthroscopic microdiscectomy&quot; StringGroup=&quot;Title&quot;/&gt;_x000d__x000a__x0009__x0009__x0009_&lt;Text StringText=&quot;. &quot; StringGroup=&quot;Title&quot;/&gt;_x000d__x000a__x0009__x0009__x0009_&lt;Text StringText=&quot;J Bone Joint Surg Am&quot; StringGroup=&quot;Magazine&quot; Italic=&quot;true&quot;/&gt;_x000d__x000a__x0009__x0009__x0009_&lt;Text StringText=&quot;. &quot; StringGroup=&quot;Magazine&quot;/&gt;_x000d__x000a__x0009__x0009__x0009_&lt;Text StringText=&quot;1999&quot; StringGroup=&quot;PubYear&quot;/&gt;_x000d__x000a__x0009__x0009__x0009_&lt;Text StringText=&quot;; &quot; StringGroup=&quot;PubYear&quot;/&gt;_x000d__x000a__x0009__x0009__x0009_&lt;Text StringText=&quot;81&quot; StringGroup=&quot;Vol&quot; Border=&quot;true&quot;/&gt;_x000d__x000a__x0009__x0009__x0009_&lt;Text StringText=&quot;: &quot; StringGroup=&quot;Vol&quot;/&gt;_x000d__x000a__x0009__x0009__x0009_&lt;Text StringText=&quot;958-9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0428127&quot; StringGroup=&quot;AccessNum&quot;/&gt;_x000d__x000a__x0009__x0009__x0009_&lt;Text StringText=&quot; &quot; StringGroup=&quot;AccessNum&quot;/&gt;_x000d__x000a__x0009__x0009__x0009_&lt;Text StringText=&quot;DOI: &quot; StringGroup=&quot;DOI&quot;/&gt;_x000d__x000a__x0009__x0009__x0009_&lt;Text StringText=&quot;10.2106/00004623-199907000-00008&quot; StringGroup=&quot;DOI&quot;/&gt;_x000d__x000a__x0009__x0009__x0009_&lt;Text StringText=&quot;]&quot; StringGroup=&quot;none&quot;/&gt;_x000d__x000a__x0009__x0009_&lt;/Display&gt;&lt;/Doc&gt;&lt;/KyMRNote&gt;"/>
    <w:docVar w:name="KY.MR.DATA{2827EE3C-66B4-4477-88B0-BE4066AB322F}189" w:val="&lt;KyMRNote dbid=&quot;{2827EE3C-66B4-4477-88B0-BE4066AB322F}&quot; recid=&quot;189&quot;&gt;&lt;Data&gt;&lt;Field id=&quot;AccessNum&quot;&gt;22705355&lt;/Field&gt;&lt;Field id=&quot;Author&quot;&gt;Gibson JN;Cowie JG;Iprenburg M&lt;/Field&gt;&lt;Field id=&quot;AuthorTrans&quot;&gt;&lt;/Field&gt;&lt;Field id=&quot;DOI&quot;&gt;10.1016/j.surge.2012.05.001&lt;/Field&gt;&lt;Field id=&quot;Editor&quot;&gt;&lt;/Field&gt;&lt;Field id=&quot;FmtTitle&quot;&gt;&lt;/Field&gt;&lt;Field id=&quot;Issue&quot;&gt;5&lt;/Field&gt;&lt;Field id=&quot;LIID&quot;&gt;189&lt;/Field&gt;&lt;Field id=&quot;Magazine&quot;&gt;The surgeon : journal of the Royal Colleges of Surgeons of Edinburgh and Ireland&lt;/Field&gt;&lt;Field id=&quot;MagazineAB&quot;&gt;Surgeon&lt;/Field&gt;&lt;Field id=&quot;MagazineTrans&quot;&gt;&lt;/Field&gt;&lt;Field id=&quot;PageNum&quot;&gt;290-6&lt;/Field&gt;&lt;Field id=&quot;PubDate&quot;&gt;Oct&lt;/Field&gt;&lt;Field id=&quot;PubPlace&quot;&gt;Scotland&lt;/Field&gt;&lt;Field id=&quot;PubPlaceTrans&quot;&gt;&lt;/Field&gt;&lt;Field id=&quot;PubYear&quot;&gt;2012&lt;/Field&gt;&lt;Field id=&quot;Publisher&quot;&gt;&lt;/Field&gt;&lt;Field id=&quot;PublisherTrans&quot;&gt;&lt;/Field&gt;&lt;Field id=&quot;TITrans&quot;&gt;&lt;/Field&gt;&lt;Field id=&quot;Title&quot;&gt;Transforaminal endoscopic spinal surgery: the future 'gold standard' for discectomy? - A review.&lt;/Field&gt;&lt;Field id=&quot;Translator&quot;&gt;&lt;/Field&gt;&lt;Field id=&quot;Type&quot;&gt;{041D4F77-279E-4405-0002-4388361B9CFF}&lt;/Field&gt;&lt;Field id=&quot;Version&quot;&gt;&lt;/Field&gt;&lt;Field id=&quot;Vol&quot;&gt;10&lt;/Field&gt;&lt;Field id=&quot;Author2&quot;&gt;Gibson,JN;Cowie,JG;Iprenburg,M;&lt;/Field&gt;&lt;/Data&gt;&lt;Ref&gt;&lt;Display&gt;&lt;Text StringText=&quot;「RefIndex」&quot; StringTextOri=&quot;「RefIndex」&quot; SuperScript=&quot;true&quot;/&gt;&lt;/Display&gt;&lt;/Ref&gt;&lt;Doc&gt;&lt;Display&gt;&lt;Text StringText=&quot;Gibson JN, Cowie JG, Iprenburg M&quot; StringGroup=&quot;Author&quot;/&gt;_x000d__x000a__x0009__x0009__x0009_&lt;Text StringText=&quot;. &quot; StringGroup=&quot;Author&quot;/&gt;_x000d__x000a__x0009__x0009__x0009_&lt;Text StringText=&quot;Transforaminal endoscopic spinal surgery: the future 'gold standard' for discectomy? - A review&quot; StringGroup=&quot;Title&quot;/&gt;_x000d__x000a__x0009__x0009__x0009_&lt;Text StringText=&quot;. &quot; StringGroup=&quot;Title&quot;/&gt;_x000d__x000a__x0009__x0009__x0009_&lt;Text StringText=&quot;Surgeon&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290-2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270535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surge.2012.05.001&quot; StringGroup=&quot;DOI&quot;/&gt;_x000d__x000a__x0009__x0009__x0009_&lt;Text StringText=&quot;]&quot; StringGroup=&quot;none&quot;/&gt;_x000d__x000a__x0009__x0009_&lt;/Display&gt;&lt;/Doc&gt;&lt;/KyMRNote&gt;"/>
    <w:docVar w:name="KY.MR.DATA{2827EE3C-66B4-4477-88B0-BE4066AB322F}190" w:val="&lt;KyMRNote dbid=&quot;{2827EE3C-66B4-4477-88B0-BE4066AB322F}&quot; recid=&quot;190&quot;&gt;&lt;Data&gt;&lt;Field id=&quot;AccessNum&quot;&gt;26218939&lt;/Field&gt;&lt;Field id=&quot;Author&quot;&gt;Li M;Yang H;Yang Q&lt;/Field&gt;&lt;Field id=&quot;AuthorTrans&quot;&gt;&lt;/Field&gt;&lt;Field id=&quot;DOI&quot;&gt;&lt;/Field&gt;&lt;Field id=&quot;Editor&quot;&gt;&lt;/Field&gt;&lt;Field id=&quot;FmtTitle&quot;&gt;&lt;/Field&gt;&lt;Field id=&quot;Issue&quot;&gt;4&lt;/Field&gt;&lt;Field id=&quot;LIID&quot;&gt;190&lt;/Field&gt;&lt;Field id=&quot;Magazine&quot;&gt;Pain physician&lt;/Field&gt;&lt;Field id=&quot;MagazineAB&quot;&gt;Pain Physician&lt;/Field&gt;&lt;Field id=&quot;MagazineTrans&quot;&gt;&lt;/Field&gt;&lt;Field id=&quot;PageNum&quot;&gt;359-63&lt;/Field&gt;&lt;Field id=&quot;PubDate&quot;&gt;Jul-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Full-Endoscopic Technique Discectomy Versus Microendoscopic Discectomy for the Surgical Treatment of Lumbar Disc Herniation.&lt;/Field&gt;&lt;Field id=&quot;Translator&quot;&gt;&lt;/Field&gt;&lt;Field id=&quot;Type&quot;&gt;{041D4F77-279E-4405-0002-4388361B9CFF}&lt;/Field&gt;&lt;Field id=&quot;Version&quot;&gt;&lt;/Field&gt;&lt;Field id=&quot;Vol&quot;&gt;18&lt;/Field&gt;&lt;Field id=&quot;Author2&quot;&gt;Li,M;Yang,H;Yang,Q;&lt;/Field&gt;&lt;/Data&gt;&lt;Ref&gt;&lt;Display&gt;&lt;Text StringText=&quot;「RefIndex」&quot; StringTextOri=&quot;「RefIndex」&quot; SuperScript=&quot;true&quot;/&gt;&lt;/Display&gt;&lt;/Ref&gt;&lt;Doc&gt;&lt;Display&gt;&lt;Text StringText=&quot;Li M, Yang H, Yang Q&quot; StringGroup=&quot;Author&quot;/&gt;_x000d__x000a__x0009__x0009__x0009_&lt;Text StringText=&quot;. &quot; StringGroup=&quot;Author&quot;/&gt;_x000d__x000a__x0009__x0009__x0009_&lt;Text StringText=&quot;Full-Endoscopic Technique Discectomy Versus Microendoscopic Discectomy for the Surgical Treatment of Lumbar Disc Herniation&quot; StringGroup=&quot;Title&quot;/&gt;_x000d__x000a__x0009__x0009__x0009_&lt;Text StringText=&quot;. &quot; StringGroup=&quot;Title&quot;/&gt;_x000d__x000a__x0009__x0009__x0009_&lt;Text StringText=&quot;Pain Physician&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18&quot; StringGroup=&quot;Vol&quot; Border=&quot;true&quot;/&gt;_x000d__x000a__x0009__x0009__x0009_&lt;Text StringText=&quot;: &quot; StringGroup=&quot;Vol&quot;/&gt;_x000d__x000a__x0009__x0009__x0009_&lt;Text StringText=&quot;359-36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218939&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191" w:val="&lt;KyMRNote dbid=&quot;{2827EE3C-66B4-4477-88B0-BE4066AB322F}&quot; recid=&quot;191&quot;&gt;&lt;Data&gt;&lt;Field id=&quot;AccessNum&quot;&gt;24600068&lt;/Field&gt;&lt;Field id=&quot;Author&quot;&gt;Kulkarni AG;Bassi A;Dhruv A&lt;/Field&gt;&lt;Field id=&quot;AuthorTrans&quot;&gt;&lt;/Field&gt;&lt;Field id=&quot;DOI&quot;&gt;10.4103/0019-5413.125511&lt;/Field&gt;&lt;Field id=&quot;Editor&quot;&gt;&lt;/Field&gt;&lt;Field id=&quot;FmtTitle&quot;&gt;&lt;/Field&gt;&lt;Field id=&quot;Issue&quot;&gt;1&lt;/Field&gt;&lt;Field id=&quot;LIID&quot;&gt;191&lt;/Field&gt;&lt;Field id=&quot;Magazine&quot;&gt;Indian journal of orthopaedics&lt;/Field&gt;&lt;Field id=&quot;MagazineAB&quot;&gt;Indian J Orthop&lt;/Field&gt;&lt;Field id=&quot;MagazineTrans&quot;&gt;&lt;/Field&gt;&lt;Field id=&quot;PageNum&quot;&gt;81-7&lt;/Field&gt;&lt;Field id=&quot;PubDate&quot;&gt;Jan&lt;/Field&gt;&lt;Field id=&quot;PubPlace&quot;&gt;India&lt;/Field&gt;&lt;Field id=&quot;PubPlaceTrans&quot;&gt;&lt;/Field&gt;&lt;Field id=&quot;PubYear&quot;&gt;2014&lt;/Field&gt;&lt;Field id=&quot;Publisher&quot;&gt;&lt;/Field&gt;&lt;Field id=&quot;PublisherTrans&quot;&gt;&lt;/Field&gt;&lt;Field id=&quot;TITrans&quot;&gt;&lt;/Field&gt;&lt;Field id=&quot;Title&quot;&gt;Microendoscopic lumbar discectomy: Technique and results of 188 cases.&lt;/Field&gt;&lt;Field id=&quot;Translator&quot;&gt;&lt;/Field&gt;&lt;Field id=&quot;Type&quot;&gt;{041D4F77-279E-4405-0002-4388361B9CFF}&lt;/Field&gt;&lt;Field id=&quot;Version&quot;&gt;&lt;/Field&gt;&lt;Field id=&quot;Vol&quot;&gt;48&lt;/Field&gt;&lt;Field id=&quot;Author2&quot;&gt;Kulkarni,AG;Bassi,A;Dhruv,A;&lt;/Field&gt;&lt;/Data&gt;&lt;Ref&gt;&lt;Display&gt;&lt;Text StringText=&quot;「RefIndex」&quot; StringTextOri=&quot;「RefIndex」&quot; SuperScript=&quot;true&quot;/&gt;&lt;/Display&gt;&lt;/Ref&gt;&lt;Doc&gt;&lt;Display&gt;&lt;Text StringText=&quot;Kulkarni AG, Bassi A, Dhruv A&quot; StringGroup=&quot;Author&quot;/&gt;_x000d__x000a__x0009__x0009__x0009_&lt;Text StringText=&quot;. &quot; StringGroup=&quot;Author&quot;/&gt;_x000d__x000a__x0009__x0009__x0009_&lt;Text StringText=&quot;Microendoscopic lumbar discectomy: Technique and results of 188 cases&quot; StringGroup=&quot;Title&quot;/&gt;_x000d__x000a__x0009__x0009__x0009_&lt;Text StringText=&quot;. &quot; StringGroup=&quot;Title&quot;/&gt;_x000d__x000a__x0009__x0009__x0009_&lt;Text StringText=&quot;Indian J Orthop&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48&quot; StringGroup=&quot;Vol&quot; Border=&quot;true&quot;/&gt;_x000d__x000a__x0009__x0009__x0009_&lt;Text StringText=&quot;: &quot; StringGroup=&quot;Vol&quot;/&gt;_x000d__x000a__x0009__x0009__x0009_&lt;Text StringText=&quot;81-8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600068&quot; StringGroup=&quot;AccessNum&quot;/&gt;_x000d__x000a__x0009__x0009__x0009_&lt;Text StringText=&quot; &quot; StringGroup=&quot;AccessNum&quot;/&gt;_x000d__x000a__x0009__x0009__x0009_&lt;Text StringText=&quot;DOI: &quot; StringGroup=&quot;DOI&quot;/&gt;_x000d__x000a__x0009__x0009__x0009_&lt;Text StringText=&quot;10.4103/0019-5413.125511&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2F6968F8-F02C-422F-9D99-13A13701E0A3}"/>
    <w:docVar w:name="KY_MEDREF_VERSION" w:val="3"/>
  </w:docVars>
  <w:rsids>
    <w:rsidRoot w:val="00D31D50"/>
    <w:rsid w:val="00004E54"/>
    <w:rsid w:val="000079D0"/>
    <w:rsid w:val="00012585"/>
    <w:rsid w:val="000146DD"/>
    <w:rsid w:val="000159B9"/>
    <w:rsid w:val="00023AFE"/>
    <w:rsid w:val="00024867"/>
    <w:rsid w:val="00024CEC"/>
    <w:rsid w:val="00025605"/>
    <w:rsid w:val="000414C8"/>
    <w:rsid w:val="000420D6"/>
    <w:rsid w:val="00042AE7"/>
    <w:rsid w:val="000437B0"/>
    <w:rsid w:val="000439C3"/>
    <w:rsid w:val="000443A6"/>
    <w:rsid w:val="00044F70"/>
    <w:rsid w:val="000461E1"/>
    <w:rsid w:val="00047B7A"/>
    <w:rsid w:val="000523F2"/>
    <w:rsid w:val="00054C51"/>
    <w:rsid w:val="00056870"/>
    <w:rsid w:val="00061E92"/>
    <w:rsid w:val="00062E8F"/>
    <w:rsid w:val="00063CCD"/>
    <w:rsid w:val="00065FF8"/>
    <w:rsid w:val="000669CC"/>
    <w:rsid w:val="00066FEE"/>
    <w:rsid w:val="000713C3"/>
    <w:rsid w:val="00073A13"/>
    <w:rsid w:val="00074672"/>
    <w:rsid w:val="00077B48"/>
    <w:rsid w:val="00077BAB"/>
    <w:rsid w:val="00085A94"/>
    <w:rsid w:val="00091D1E"/>
    <w:rsid w:val="00092566"/>
    <w:rsid w:val="0009516B"/>
    <w:rsid w:val="000955EC"/>
    <w:rsid w:val="00095CC0"/>
    <w:rsid w:val="000972F9"/>
    <w:rsid w:val="000A1294"/>
    <w:rsid w:val="000A18E7"/>
    <w:rsid w:val="000B04E6"/>
    <w:rsid w:val="000B2FCE"/>
    <w:rsid w:val="000B3D30"/>
    <w:rsid w:val="000B3DCC"/>
    <w:rsid w:val="000C22F2"/>
    <w:rsid w:val="000C4AB7"/>
    <w:rsid w:val="000D5657"/>
    <w:rsid w:val="000E00F7"/>
    <w:rsid w:val="000E37C4"/>
    <w:rsid w:val="000E3E4C"/>
    <w:rsid w:val="000F01E7"/>
    <w:rsid w:val="000F0C16"/>
    <w:rsid w:val="000F1178"/>
    <w:rsid w:val="000F7367"/>
    <w:rsid w:val="00101072"/>
    <w:rsid w:val="00101A32"/>
    <w:rsid w:val="0010478C"/>
    <w:rsid w:val="001052F3"/>
    <w:rsid w:val="001056E7"/>
    <w:rsid w:val="00105AC0"/>
    <w:rsid w:val="001073F6"/>
    <w:rsid w:val="001114B7"/>
    <w:rsid w:val="00112A01"/>
    <w:rsid w:val="00113029"/>
    <w:rsid w:val="00116538"/>
    <w:rsid w:val="00116A6F"/>
    <w:rsid w:val="001217A4"/>
    <w:rsid w:val="001218CB"/>
    <w:rsid w:val="00123A47"/>
    <w:rsid w:val="00127051"/>
    <w:rsid w:val="001365B5"/>
    <w:rsid w:val="0013726B"/>
    <w:rsid w:val="00137851"/>
    <w:rsid w:val="00143219"/>
    <w:rsid w:val="00145353"/>
    <w:rsid w:val="00145DFD"/>
    <w:rsid w:val="001468EE"/>
    <w:rsid w:val="001469E4"/>
    <w:rsid w:val="00146F19"/>
    <w:rsid w:val="001526E2"/>
    <w:rsid w:val="0015757E"/>
    <w:rsid w:val="00157822"/>
    <w:rsid w:val="00157B97"/>
    <w:rsid w:val="00161D6D"/>
    <w:rsid w:val="00161E94"/>
    <w:rsid w:val="0016216C"/>
    <w:rsid w:val="001636A6"/>
    <w:rsid w:val="00164ADB"/>
    <w:rsid w:val="00172294"/>
    <w:rsid w:val="00172905"/>
    <w:rsid w:val="00174F0D"/>
    <w:rsid w:val="0018104B"/>
    <w:rsid w:val="001816D4"/>
    <w:rsid w:val="00183D97"/>
    <w:rsid w:val="001859AB"/>
    <w:rsid w:val="00186B49"/>
    <w:rsid w:val="00191FE6"/>
    <w:rsid w:val="001935AC"/>
    <w:rsid w:val="00193B53"/>
    <w:rsid w:val="001A4F59"/>
    <w:rsid w:val="001A56A4"/>
    <w:rsid w:val="001B0DB1"/>
    <w:rsid w:val="001B472C"/>
    <w:rsid w:val="001B628F"/>
    <w:rsid w:val="001B7660"/>
    <w:rsid w:val="001C1491"/>
    <w:rsid w:val="001C2AA2"/>
    <w:rsid w:val="001C3823"/>
    <w:rsid w:val="001C3CBC"/>
    <w:rsid w:val="001D23CD"/>
    <w:rsid w:val="001D6D31"/>
    <w:rsid w:val="001D753E"/>
    <w:rsid w:val="001D7989"/>
    <w:rsid w:val="001D7A26"/>
    <w:rsid w:val="001E0FA2"/>
    <w:rsid w:val="001E1F3D"/>
    <w:rsid w:val="001E5798"/>
    <w:rsid w:val="001E6CE2"/>
    <w:rsid w:val="001E7DEB"/>
    <w:rsid w:val="001F27BE"/>
    <w:rsid w:val="001F5E56"/>
    <w:rsid w:val="00203912"/>
    <w:rsid w:val="00204E35"/>
    <w:rsid w:val="002057FB"/>
    <w:rsid w:val="00205EBB"/>
    <w:rsid w:val="00207EA5"/>
    <w:rsid w:val="00211B6D"/>
    <w:rsid w:val="00214059"/>
    <w:rsid w:val="0021548B"/>
    <w:rsid w:val="00222440"/>
    <w:rsid w:val="0022324F"/>
    <w:rsid w:val="00225272"/>
    <w:rsid w:val="002253FE"/>
    <w:rsid w:val="002258A6"/>
    <w:rsid w:val="00231836"/>
    <w:rsid w:val="00233A65"/>
    <w:rsid w:val="00234AAA"/>
    <w:rsid w:val="0024233B"/>
    <w:rsid w:val="0024363E"/>
    <w:rsid w:val="00250A33"/>
    <w:rsid w:val="00250B4B"/>
    <w:rsid w:val="00257D08"/>
    <w:rsid w:val="0026577D"/>
    <w:rsid w:val="00265FAF"/>
    <w:rsid w:val="002839FE"/>
    <w:rsid w:val="00287A86"/>
    <w:rsid w:val="00291400"/>
    <w:rsid w:val="002914A0"/>
    <w:rsid w:val="00291DE0"/>
    <w:rsid w:val="002926A4"/>
    <w:rsid w:val="002929EC"/>
    <w:rsid w:val="0029323A"/>
    <w:rsid w:val="00293DBA"/>
    <w:rsid w:val="0029413D"/>
    <w:rsid w:val="00295AA8"/>
    <w:rsid w:val="0029799F"/>
    <w:rsid w:val="002A0190"/>
    <w:rsid w:val="002A126B"/>
    <w:rsid w:val="002A33A5"/>
    <w:rsid w:val="002A7BDD"/>
    <w:rsid w:val="002B0C45"/>
    <w:rsid w:val="002B1FC0"/>
    <w:rsid w:val="002C21CB"/>
    <w:rsid w:val="002C2725"/>
    <w:rsid w:val="002C40EC"/>
    <w:rsid w:val="002C6A38"/>
    <w:rsid w:val="002D11AE"/>
    <w:rsid w:val="002E5F10"/>
    <w:rsid w:val="002F33AF"/>
    <w:rsid w:val="002F4105"/>
    <w:rsid w:val="002F412E"/>
    <w:rsid w:val="002F4874"/>
    <w:rsid w:val="00301258"/>
    <w:rsid w:val="00301A8D"/>
    <w:rsid w:val="00302414"/>
    <w:rsid w:val="00302D13"/>
    <w:rsid w:val="003042AB"/>
    <w:rsid w:val="003050DA"/>
    <w:rsid w:val="003107B3"/>
    <w:rsid w:val="00312E4A"/>
    <w:rsid w:val="003136CA"/>
    <w:rsid w:val="0032243E"/>
    <w:rsid w:val="00323B43"/>
    <w:rsid w:val="003246BB"/>
    <w:rsid w:val="003306B5"/>
    <w:rsid w:val="0033234A"/>
    <w:rsid w:val="00333CA3"/>
    <w:rsid w:val="00333D7A"/>
    <w:rsid w:val="00337793"/>
    <w:rsid w:val="003461E3"/>
    <w:rsid w:val="00350E5C"/>
    <w:rsid w:val="003518D8"/>
    <w:rsid w:val="00352655"/>
    <w:rsid w:val="0035702B"/>
    <w:rsid w:val="00360012"/>
    <w:rsid w:val="003604C8"/>
    <w:rsid w:val="00360655"/>
    <w:rsid w:val="00363B13"/>
    <w:rsid w:val="00363C5C"/>
    <w:rsid w:val="00370204"/>
    <w:rsid w:val="00370B5C"/>
    <w:rsid w:val="00372C41"/>
    <w:rsid w:val="003736A5"/>
    <w:rsid w:val="00374A40"/>
    <w:rsid w:val="00375905"/>
    <w:rsid w:val="00375CCC"/>
    <w:rsid w:val="00377FDC"/>
    <w:rsid w:val="003823D9"/>
    <w:rsid w:val="00384D1D"/>
    <w:rsid w:val="00391079"/>
    <w:rsid w:val="0039278F"/>
    <w:rsid w:val="00392953"/>
    <w:rsid w:val="00392999"/>
    <w:rsid w:val="003939D9"/>
    <w:rsid w:val="00396E8B"/>
    <w:rsid w:val="003A417F"/>
    <w:rsid w:val="003A546C"/>
    <w:rsid w:val="003A692D"/>
    <w:rsid w:val="003A723E"/>
    <w:rsid w:val="003B0363"/>
    <w:rsid w:val="003B108C"/>
    <w:rsid w:val="003B18CC"/>
    <w:rsid w:val="003B1D28"/>
    <w:rsid w:val="003B59FE"/>
    <w:rsid w:val="003B6885"/>
    <w:rsid w:val="003C4883"/>
    <w:rsid w:val="003D2DAA"/>
    <w:rsid w:val="003D37D8"/>
    <w:rsid w:val="003D3939"/>
    <w:rsid w:val="003D7554"/>
    <w:rsid w:val="003E04D1"/>
    <w:rsid w:val="003E0FB5"/>
    <w:rsid w:val="003E30D6"/>
    <w:rsid w:val="003F7AB6"/>
    <w:rsid w:val="0040207D"/>
    <w:rsid w:val="00402A81"/>
    <w:rsid w:val="00415894"/>
    <w:rsid w:val="00417D3B"/>
    <w:rsid w:val="0042148D"/>
    <w:rsid w:val="00421C6D"/>
    <w:rsid w:val="00423E35"/>
    <w:rsid w:val="00426133"/>
    <w:rsid w:val="0043471A"/>
    <w:rsid w:val="00434A7E"/>
    <w:rsid w:val="004358AB"/>
    <w:rsid w:val="00435C6C"/>
    <w:rsid w:val="004371D6"/>
    <w:rsid w:val="00437A90"/>
    <w:rsid w:val="004422C0"/>
    <w:rsid w:val="00443D17"/>
    <w:rsid w:val="00444A9D"/>
    <w:rsid w:val="00445803"/>
    <w:rsid w:val="004466CB"/>
    <w:rsid w:val="00450391"/>
    <w:rsid w:val="004554D2"/>
    <w:rsid w:val="00456D7F"/>
    <w:rsid w:val="00461DD9"/>
    <w:rsid w:val="00467685"/>
    <w:rsid w:val="00470227"/>
    <w:rsid w:val="00476C8B"/>
    <w:rsid w:val="00476D95"/>
    <w:rsid w:val="00477C7C"/>
    <w:rsid w:val="00481C79"/>
    <w:rsid w:val="00483A6B"/>
    <w:rsid w:val="0049013E"/>
    <w:rsid w:val="00495CA3"/>
    <w:rsid w:val="00495DC8"/>
    <w:rsid w:val="004962F4"/>
    <w:rsid w:val="004A1093"/>
    <w:rsid w:val="004A62CE"/>
    <w:rsid w:val="004A6D78"/>
    <w:rsid w:val="004B01B1"/>
    <w:rsid w:val="004B682D"/>
    <w:rsid w:val="004B7A3E"/>
    <w:rsid w:val="004C3BAC"/>
    <w:rsid w:val="004C3E5A"/>
    <w:rsid w:val="004C407C"/>
    <w:rsid w:val="004D27BD"/>
    <w:rsid w:val="004D7CF0"/>
    <w:rsid w:val="004E09AC"/>
    <w:rsid w:val="004E1002"/>
    <w:rsid w:val="004E161B"/>
    <w:rsid w:val="004E4F05"/>
    <w:rsid w:val="004E5248"/>
    <w:rsid w:val="004F55AF"/>
    <w:rsid w:val="004F56C4"/>
    <w:rsid w:val="004F57A5"/>
    <w:rsid w:val="004F6775"/>
    <w:rsid w:val="005002CE"/>
    <w:rsid w:val="00501CF7"/>
    <w:rsid w:val="00502102"/>
    <w:rsid w:val="00513B91"/>
    <w:rsid w:val="0051495B"/>
    <w:rsid w:val="00515364"/>
    <w:rsid w:val="00516CEE"/>
    <w:rsid w:val="00520921"/>
    <w:rsid w:val="005234A6"/>
    <w:rsid w:val="00524958"/>
    <w:rsid w:val="00527667"/>
    <w:rsid w:val="00530CC1"/>
    <w:rsid w:val="00530FC7"/>
    <w:rsid w:val="0053777D"/>
    <w:rsid w:val="00540630"/>
    <w:rsid w:val="005410F8"/>
    <w:rsid w:val="005427E1"/>
    <w:rsid w:val="005511FA"/>
    <w:rsid w:val="0055429A"/>
    <w:rsid w:val="005575B5"/>
    <w:rsid w:val="00557E3C"/>
    <w:rsid w:val="005620BA"/>
    <w:rsid w:val="00564578"/>
    <w:rsid w:val="005647B5"/>
    <w:rsid w:val="00566AB5"/>
    <w:rsid w:val="00566CF7"/>
    <w:rsid w:val="00572104"/>
    <w:rsid w:val="0057277A"/>
    <w:rsid w:val="005732CB"/>
    <w:rsid w:val="005749AA"/>
    <w:rsid w:val="00583843"/>
    <w:rsid w:val="00590CBE"/>
    <w:rsid w:val="005964E6"/>
    <w:rsid w:val="00597442"/>
    <w:rsid w:val="005A2225"/>
    <w:rsid w:val="005A325A"/>
    <w:rsid w:val="005A3F55"/>
    <w:rsid w:val="005A6DA6"/>
    <w:rsid w:val="005A6E13"/>
    <w:rsid w:val="005B300E"/>
    <w:rsid w:val="005B4288"/>
    <w:rsid w:val="005B4CFA"/>
    <w:rsid w:val="005B653A"/>
    <w:rsid w:val="005C01E2"/>
    <w:rsid w:val="005C0C11"/>
    <w:rsid w:val="005C5FC0"/>
    <w:rsid w:val="005C66D5"/>
    <w:rsid w:val="005C6C30"/>
    <w:rsid w:val="005D2A90"/>
    <w:rsid w:val="005D4C7C"/>
    <w:rsid w:val="005D543E"/>
    <w:rsid w:val="005D77C4"/>
    <w:rsid w:val="005E20D2"/>
    <w:rsid w:val="005E37C5"/>
    <w:rsid w:val="005E3803"/>
    <w:rsid w:val="005F0618"/>
    <w:rsid w:val="005F07A1"/>
    <w:rsid w:val="005F32EF"/>
    <w:rsid w:val="005F3E66"/>
    <w:rsid w:val="005F473D"/>
    <w:rsid w:val="005F752E"/>
    <w:rsid w:val="00600FB0"/>
    <w:rsid w:val="00602A13"/>
    <w:rsid w:val="00604FA8"/>
    <w:rsid w:val="00606AB9"/>
    <w:rsid w:val="00610D68"/>
    <w:rsid w:val="006141B3"/>
    <w:rsid w:val="00617E3C"/>
    <w:rsid w:val="006240EE"/>
    <w:rsid w:val="00624200"/>
    <w:rsid w:val="00625275"/>
    <w:rsid w:val="00630D6F"/>
    <w:rsid w:val="00632AED"/>
    <w:rsid w:val="00633430"/>
    <w:rsid w:val="0064323E"/>
    <w:rsid w:val="00656545"/>
    <w:rsid w:val="006609BE"/>
    <w:rsid w:val="00661D83"/>
    <w:rsid w:val="00663FD3"/>
    <w:rsid w:val="00666DA1"/>
    <w:rsid w:val="00666FA9"/>
    <w:rsid w:val="00667D01"/>
    <w:rsid w:val="0067497B"/>
    <w:rsid w:val="0067643A"/>
    <w:rsid w:val="006778DB"/>
    <w:rsid w:val="006825CE"/>
    <w:rsid w:val="00682EEB"/>
    <w:rsid w:val="00685901"/>
    <w:rsid w:val="00686B6E"/>
    <w:rsid w:val="00691056"/>
    <w:rsid w:val="00692C58"/>
    <w:rsid w:val="006A0016"/>
    <w:rsid w:val="006A06E4"/>
    <w:rsid w:val="006A1302"/>
    <w:rsid w:val="006A38DB"/>
    <w:rsid w:val="006B0BE3"/>
    <w:rsid w:val="006B3362"/>
    <w:rsid w:val="006B33A3"/>
    <w:rsid w:val="006B39FA"/>
    <w:rsid w:val="006B601C"/>
    <w:rsid w:val="006B72B6"/>
    <w:rsid w:val="006C083D"/>
    <w:rsid w:val="006C5741"/>
    <w:rsid w:val="006D074E"/>
    <w:rsid w:val="006D39E6"/>
    <w:rsid w:val="006D42FB"/>
    <w:rsid w:val="006D5523"/>
    <w:rsid w:val="006D7730"/>
    <w:rsid w:val="006E22C3"/>
    <w:rsid w:val="006E5152"/>
    <w:rsid w:val="006E6BED"/>
    <w:rsid w:val="006F106F"/>
    <w:rsid w:val="006F2CD9"/>
    <w:rsid w:val="006F3C4C"/>
    <w:rsid w:val="006F41E5"/>
    <w:rsid w:val="006F762D"/>
    <w:rsid w:val="007000D2"/>
    <w:rsid w:val="00700364"/>
    <w:rsid w:val="0070068D"/>
    <w:rsid w:val="00701912"/>
    <w:rsid w:val="00702E5A"/>
    <w:rsid w:val="00704C56"/>
    <w:rsid w:val="00712E9D"/>
    <w:rsid w:val="007131D9"/>
    <w:rsid w:val="00713D81"/>
    <w:rsid w:val="00716315"/>
    <w:rsid w:val="00716A25"/>
    <w:rsid w:val="00716CF8"/>
    <w:rsid w:val="00717A3F"/>
    <w:rsid w:val="0072024C"/>
    <w:rsid w:val="007202FD"/>
    <w:rsid w:val="00722891"/>
    <w:rsid w:val="007237D2"/>
    <w:rsid w:val="00730A4C"/>
    <w:rsid w:val="00736234"/>
    <w:rsid w:val="00736EC7"/>
    <w:rsid w:val="0074070A"/>
    <w:rsid w:val="00743A21"/>
    <w:rsid w:val="0074449B"/>
    <w:rsid w:val="0074717D"/>
    <w:rsid w:val="00753F90"/>
    <w:rsid w:val="00757257"/>
    <w:rsid w:val="00762411"/>
    <w:rsid w:val="00763114"/>
    <w:rsid w:val="00766B93"/>
    <w:rsid w:val="00773C62"/>
    <w:rsid w:val="00774C53"/>
    <w:rsid w:val="00776F63"/>
    <w:rsid w:val="00777265"/>
    <w:rsid w:val="00795AED"/>
    <w:rsid w:val="007A215B"/>
    <w:rsid w:val="007B239D"/>
    <w:rsid w:val="007B3A5B"/>
    <w:rsid w:val="007B547A"/>
    <w:rsid w:val="007C0B26"/>
    <w:rsid w:val="007C17FB"/>
    <w:rsid w:val="007C1E9A"/>
    <w:rsid w:val="007C2CEE"/>
    <w:rsid w:val="007C3EF9"/>
    <w:rsid w:val="007C45EA"/>
    <w:rsid w:val="007D3EB2"/>
    <w:rsid w:val="007E0F5E"/>
    <w:rsid w:val="007E46DD"/>
    <w:rsid w:val="007E511B"/>
    <w:rsid w:val="007E5671"/>
    <w:rsid w:val="007E5841"/>
    <w:rsid w:val="007E6D9E"/>
    <w:rsid w:val="007E7E30"/>
    <w:rsid w:val="007F0AAD"/>
    <w:rsid w:val="007F1E1C"/>
    <w:rsid w:val="007F288D"/>
    <w:rsid w:val="007F5724"/>
    <w:rsid w:val="007F68D5"/>
    <w:rsid w:val="007F7986"/>
    <w:rsid w:val="007F7B07"/>
    <w:rsid w:val="008019C8"/>
    <w:rsid w:val="00801A8C"/>
    <w:rsid w:val="008023B8"/>
    <w:rsid w:val="008034E7"/>
    <w:rsid w:val="008045D7"/>
    <w:rsid w:val="0080577F"/>
    <w:rsid w:val="0081334E"/>
    <w:rsid w:val="00815A76"/>
    <w:rsid w:val="00824878"/>
    <w:rsid w:val="008249E6"/>
    <w:rsid w:val="00825433"/>
    <w:rsid w:val="008270A6"/>
    <w:rsid w:val="00827E86"/>
    <w:rsid w:val="00831144"/>
    <w:rsid w:val="008343D1"/>
    <w:rsid w:val="00834A22"/>
    <w:rsid w:val="008378C4"/>
    <w:rsid w:val="008378F9"/>
    <w:rsid w:val="00841831"/>
    <w:rsid w:val="00846C58"/>
    <w:rsid w:val="0085528F"/>
    <w:rsid w:val="00856B98"/>
    <w:rsid w:val="008576FC"/>
    <w:rsid w:val="00861A9C"/>
    <w:rsid w:val="00862699"/>
    <w:rsid w:val="00862EDA"/>
    <w:rsid w:val="00865CB2"/>
    <w:rsid w:val="00865D72"/>
    <w:rsid w:val="008666E6"/>
    <w:rsid w:val="00876750"/>
    <w:rsid w:val="008768C8"/>
    <w:rsid w:val="00880F54"/>
    <w:rsid w:val="00885AD5"/>
    <w:rsid w:val="00886DEE"/>
    <w:rsid w:val="008901D9"/>
    <w:rsid w:val="008939C0"/>
    <w:rsid w:val="0089545F"/>
    <w:rsid w:val="00897D89"/>
    <w:rsid w:val="008A047D"/>
    <w:rsid w:val="008A1168"/>
    <w:rsid w:val="008A1B2E"/>
    <w:rsid w:val="008A3919"/>
    <w:rsid w:val="008A5114"/>
    <w:rsid w:val="008B1254"/>
    <w:rsid w:val="008B2666"/>
    <w:rsid w:val="008B3385"/>
    <w:rsid w:val="008B709D"/>
    <w:rsid w:val="008B7726"/>
    <w:rsid w:val="008B7830"/>
    <w:rsid w:val="008B7884"/>
    <w:rsid w:val="008C22DC"/>
    <w:rsid w:val="008C5F3B"/>
    <w:rsid w:val="008C6735"/>
    <w:rsid w:val="008D0735"/>
    <w:rsid w:val="008D08DF"/>
    <w:rsid w:val="008D6515"/>
    <w:rsid w:val="008D6804"/>
    <w:rsid w:val="008E1632"/>
    <w:rsid w:val="008E201B"/>
    <w:rsid w:val="008E62B1"/>
    <w:rsid w:val="008E630D"/>
    <w:rsid w:val="008F051B"/>
    <w:rsid w:val="009000D7"/>
    <w:rsid w:val="009015FA"/>
    <w:rsid w:val="00904232"/>
    <w:rsid w:val="00905E4F"/>
    <w:rsid w:val="0090701D"/>
    <w:rsid w:val="009070BB"/>
    <w:rsid w:val="0090733F"/>
    <w:rsid w:val="009132DC"/>
    <w:rsid w:val="00913786"/>
    <w:rsid w:val="00916ACC"/>
    <w:rsid w:val="00925978"/>
    <w:rsid w:val="00925A66"/>
    <w:rsid w:val="0092725F"/>
    <w:rsid w:val="009356F2"/>
    <w:rsid w:val="009363B4"/>
    <w:rsid w:val="00936C65"/>
    <w:rsid w:val="0094109A"/>
    <w:rsid w:val="00943F24"/>
    <w:rsid w:val="00944AF7"/>
    <w:rsid w:val="009523CE"/>
    <w:rsid w:val="00957A4A"/>
    <w:rsid w:val="009618B5"/>
    <w:rsid w:val="00965208"/>
    <w:rsid w:val="00971D1C"/>
    <w:rsid w:val="00974F93"/>
    <w:rsid w:val="0097536C"/>
    <w:rsid w:val="00980E52"/>
    <w:rsid w:val="009818D5"/>
    <w:rsid w:val="009851C7"/>
    <w:rsid w:val="00985543"/>
    <w:rsid w:val="00985AF1"/>
    <w:rsid w:val="009861CB"/>
    <w:rsid w:val="0099271F"/>
    <w:rsid w:val="009A0EF0"/>
    <w:rsid w:val="009A244C"/>
    <w:rsid w:val="009A33BF"/>
    <w:rsid w:val="009A42A7"/>
    <w:rsid w:val="009A5715"/>
    <w:rsid w:val="009A6270"/>
    <w:rsid w:val="009B01A2"/>
    <w:rsid w:val="009B25EA"/>
    <w:rsid w:val="009B790A"/>
    <w:rsid w:val="009C1552"/>
    <w:rsid w:val="009C2C4C"/>
    <w:rsid w:val="009C36CB"/>
    <w:rsid w:val="009C5A1F"/>
    <w:rsid w:val="009C5F47"/>
    <w:rsid w:val="009C6EEA"/>
    <w:rsid w:val="009D1295"/>
    <w:rsid w:val="009D1605"/>
    <w:rsid w:val="009D1F6F"/>
    <w:rsid w:val="009D22CE"/>
    <w:rsid w:val="009D37F4"/>
    <w:rsid w:val="009D6A09"/>
    <w:rsid w:val="009E469C"/>
    <w:rsid w:val="009F0344"/>
    <w:rsid w:val="009F384B"/>
    <w:rsid w:val="009F38C7"/>
    <w:rsid w:val="009F4D2D"/>
    <w:rsid w:val="009F62E9"/>
    <w:rsid w:val="009F6987"/>
    <w:rsid w:val="00A030F8"/>
    <w:rsid w:val="00A03178"/>
    <w:rsid w:val="00A04C74"/>
    <w:rsid w:val="00A126EF"/>
    <w:rsid w:val="00A12BC5"/>
    <w:rsid w:val="00A2589E"/>
    <w:rsid w:val="00A25E6D"/>
    <w:rsid w:val="00A27AA3"/>
    <w:rsid w:val="00A300EA"/>
    <w:rsid w:val="00A310E7"/>
    <w:rsid w:val="00A31201"/>
    <w:rsid w:val="00A3203E"/>
    <w:rsid w:val="00A365D4"/>
    <w:rsid w:val="00A5145B"/>
    <w:rsid w:val="00A61B53"/>
    <w:rsid w:val="00A6298E"/>
    <w:rsid w:val="00A6782A"/>
    <w:rsid w:val="00A67A9C"/>
    <w:rsid w:val="00A70809"/>
    <w:rsid w:val="00A72DEE"/>
    <w:rsid w:val="00A73235"/>
    <w:rsid w:val="00A75FC4"/>
    <w:rsid w:val="00A82E5A"/>
    <w:rsid w:val="00A935C1"/>
    <w:rsid w:val="00A95601"/>
    <w:rsid w:val="00AA11B2"/>
    <w:rsid w:val="00AA2AC6"/>
    <w:rsid w:val="00AA33B8"/>
    <w:rsid w:val="00AA3AB1"/>
    <w:rsid w:val="00AA3BED"/>
    <w:rsid w:val="00AA6D29"/>
    <w:rsid w:val="00AB2D97"/>
    <w:rsid w:val="00AB3611"/>
    <w:rsid w:val="00AB36EB"/>
    <w:rsid w:val="00AC04DF"/>
    <w:rsid w:val="00AC2F04"/>
    <w:rsid w:val="00AC546C"/>
    <w:rsid w:val="00AC5A14"/>
    <w:rsid w:val="00AC5AC9"/>
    <w:rsid w:val="00AC6773"/>
    <w:rsid w:val="00AD001B"/>
    <w:rsid w:val="00AD1A7E"/>
    <w:rsid w:val="00AD2EA2"/>
    <w:rsid w:val="00AD4983"/>
    <w:rsid w:val="00AD4B90"/>
    <w:rsid w:val="00AE0F9C"/>
    <w:rsid w:val="00AE2660"/>
    <w:rsid w:val="00AE4541"/>
    <w:rsid w:val="00AF11FE"/>
    <w:rsid w:val="00AF2B90"/>
    <w:rsid w:val="00AF4BC6"/>
    <w:rsid w:val="00AF5092"/>
    <w:rsid w:val="00AF651D"/>
    <w:rsid w:val="00B03287"/>
    <w:rsid w:val="00B04FB7"/>
    <w:rsid w:val="00B07F4E"/>
    <w:rsid w:val="00B07F7E"/>
    <w:rsid w:val="00B12B28"/>
    <w:rsid w:val="00B1777F"/>
    <w:rsid w:val="00B20D1F"/>
    <w:rsid w:val="00B25BC5"/>
    <w:rsid w:val="00B27A95"/>
    <w:rsid w:val="00B320CD"/>
    <w:rsid w:val="00B34AD7"/>
    <w:rsid w:val="00B368CB"/>
    <w:rsid w:val="00B43921"/>
    <w:rsid w:val="00B47FAD"/>
    <w:rsid w:val="00B5038F"/>
    <w:rsid w:val="00B50565"/>
    <w:rsid w:val="00B51D4F"/>
    <w:rsid w:val="00B53759"/>
    <w:rsid w:val="00B57126"/>
    <w:rsid w:val="00B603AB"/>
    <w:rsid w:val="00B7074E"/>
    <w:rsid w:val="00B711E3"/>
    <w:rsid w:val="00B71213"/>
    <w:rsid w:val="00B71348"/>
    <w:rsid w:val="00B71372"/>
    <w:rsid w:val="00B74612"/>
    <w:rsid w:val="00B74DE8"/>
    <w:rsid w:val="00B757EF"/>
    <w:rsid w:val="00B762F8"/>
    <w:rsid w:val="00B80A53"/>
    <w:rsid w:val="00B82E2C"/>
    <w:rsid w:val="00B83CE0"/>
    <w:rsid w:val="00B84893"/>
    <w:rsid w:val="00B9111C"/>
    <w:rsid w:val="00B9247A"/>
    <w:rsid w:val="00B95488"/>
    <w:rsid w:val="00BA0E42"/>
    <w:rsid w:val="00BA3866"/>
    <w:rsid w:val="00BA3E21"/>
    <w:rsid w:val="00BA4829"/>
    <w:rsid w:val="00BB595F"/>
    <w:rsid w:val="00BB7A37"/>
    <w:rsid w:val="00BC07DE"/>
    <w:rsid w:val="00BC16EF"/>
    <w:rsid w:val="00BC1FC2"/>
    <w:rsid w:val="00BC62CD"/>
    <w:rsid w:val="00BC7440"/>
    <w:rsid w:val="00BD0538"/>
    <w:rsid w:val="00BD107A"/>
    <w:rsid w:val="00BD14FF"/>
    <w:rsid w:val="00BD5382"/>
    <w:rsid w:val="00BD61D6"/>
    <w:rsid w:val="00BE085C"/>
    <w:rsid w:val="00BE565B"/>
    <w:rsid w:val="00BE6A31"/>
    <w:rsid w:val="00BF559B"/>
    <w:rsid w:val="00BF6F20"/>
    <w:rsid w:val="00C02689"/>
    <w:rsid w:val="00C03018"/>
    <w:rsid w:val="00C107EF"/>
    <w:rsid w:val="00C125B4"/>
    <w:rsid w:val="00C14E55"/>
    <w:rsid w:val="00C17079"/>
    <w:rsid w:val="00C2171B"/>
    <w:rsid w:val="00C26B0D"/>
    <w:rsid w:val="00C27505"/>
    <w:rsid w:val="00C31E74"/>
    <w:rsid w:val="00C32BCE"/>
    <w:rsid w:val="00C33D0C"/>
    <w:rsid w:val="00C3653D"/>
    <w:rsid w:val="00C41926"/>
    <w:rsid w:val="00C42CE1"/>
    <w:rsid w:val="00C42FBD"/>
    <w:rsid w:val="00C430C9"/>
    <w:rsid w:val="00C4512B"/>
    <w:rsid w:val="00C519CE"/>
    <w:rsid w:val="00C51B1B"/>
    <w:rsid w:val="00C51B64"/>
    <w:rsid w:val="00C55461"/>
    <w:rsid w:val="00C55EF0"/>
    <w:rsid w:val="00C60180"/>
    <w:rsid w:val="00C62F42"/>
    <w:rsid w:val="00C65F55"/>
    <w:rsid w:val="00C6636A"/>
    <w:rsid w:val="00C67E99"/>
    <w:rsid w:val="00C701DB"/>
    <w:rsid w:val="00C7066B"/>
    <w:rsid w:val="00C710FE"/>
    <w:rsid w:val="00C71FEB"/>
    <w:rsid w:val="00C73670"/>
    <w:rsid w:val="00C7538C"/>
    <w:rsid w:val="00C82762"/>
    <w:rsid w:val="00C833D3"/>
    <w:rsid w:val="00C8552F"/>
    <w:rsid w:val="00C85631"/>
    <w:rsid w:val="00C90DDC"/>
    <w:rsid w:val="00C92979"/>
    <w:rsid w:val="00C951FB"/>
    <w:rsid w:val="00C95EF1"/>
    <w:rsid w:val="00C9771B"/>
    <w:rsid w:val="00CA0CBD"/>
    <w:rsid w:val="00CA34FF"/>
    <w:rsid w:val="00CA59F6"/>
    <w:rsid w:val="00CB10FB"/>
    <w:rsid w:val="00CB6428"/>
    <w:rsid w:val="00CC3888"/>
    <w:rsid w:val="00CD2784"/>
    <w:rsid w:val="00CD3FBE"/>
    <w:rsid w:val="00CD5682"/>
    <w:rsid w:val="00CD59DE"/>
    <w:rsid w:val="00CD679B"/>
    <w:rsid w:val="00CE108E"/>
    <w:rsid w:val="00CF288C"/>
    <w:rsid w:val="00CF5787"/>
    <w:rsid w:val="00CF5A4B"/>
    <w:rsid w:val="00CF6C8A"/>
    <w:rsid w:val="00CF71DC"/>
    <w:rsid w:val="00D025BF"/>
    <w:rsid w:val="00D034B3"/>
    <w:rsid w:val="00D03681"/>
    <w:rsid w:val="00D05B94"/>
    <w:rsid w:val="00D115D4"/>
    <w:rsid w:val="00D1288E"/>
    <w:rsid w:val="00D15470"/>
    <w:rsid w:val="00D20660"/>
    <w:rsid w:val="00D20A04"/>
    <w:rsid w:val="00D31D50"/>
    <w:rsid w:val="00D3451A"/>
    <w:rsid w:val="00D41738"/>
    <w:rsid w:val="00D426B3"/>
    <w:rsid w:val="00D43E6A"/>
    <w:rsid w:val="00D463F7"/>
    <w:rsid w:val="00D46EFB"/>
    <w:rsid w:val="00D47692"/>
    <w:rsid w:val="00D527C3"/>
    <w:rsid w:val="00D54151"/>
    <w:rsid w:val="00D55AAA"/>
    <w:rsid w:val="00D565B0"/>
    <w:rsid w:val="00D61EAF"/>
    <w:rsid w:val="00D63E66"/>
    <w:rsid w:val="00D64B7D"/>
    <w:rsid w:val="00D652A5"/>
    <w:rsid w:val="00D67453"/>
    <w:rsid w:val="00D71EFB"/>
    <w:rsid w:val="00D73EB3"/>
    <w:rsid w:val="00D77A28"/>
    <w:rsid w:val="00D80999"/>
    <w:rsid w:val="00D8168E"/>
    <w:rsid w:val="00D8291F"/>
    <w:rsid w:val="00D91B46"/>
    <w:rsid w:val="00D96388"/>
    <w:rsid w:val="00DA0263"/>
    <w:rsid w:val="00DA0F29"/>
    <w:rsid w:val="00DA14A0"/>
    <w:rsid w:val="00DA1985"/>
    <w:rsid w:val="00DB1F87"/>
    <w:rsid w:val="00DB30DB"/>
    <w:rsid w:val="00DB470D"/>
    <w:rsid w:val="00DB5A79"/>
    <w:rsid w:val="00DC16AD"/>
    <w:rsid w:val="00DC397D"/>
    <w:rsid w:val="00DD0D5C"/>
    <w:rsid w:val="00DD2035"/>
    <w:rsid w:val="00DD3230"/>
    <w:rsid w:val="00DD363B"/>
    <w:rsid w:val="00DD3AF0"/>
    <w:rsid w:val="00DD4382"/>
    <w:rsid w:val="00DD49C3"/>
    <w:rsid w:val="00DD4DB0"/>
    <w:rsid w:val="00DD79CF"/>
    <w:rsid w:val="00DE38D4"/>
    <w:rsid w:val="00E01682"/>
    <w:rsid w:val="00E05778"/>
    <w:rsid w:val="00E07733"/>
    <w:rsid w:val="00E10F08"/>
    <w:rsid w:val="00E110BD"/>
    <w:rsid w:val="00E130A9"/>
    <w:rsid w:val="00E13308"/>
    <w:rsid w:val="00E13B25"/>
    <w:rsid w:val="00E13B33"/>
    <w:rsid w:val="00E143A0"/>
    <w:rsid w:val="00E1747D"/>
    <w:rsid w:val="00E176E1"/>
    <w:rsid w:val="00E23E15"/>
    <w:rsid w:val="00E24B8F"/>
    <w:rsid w:val="00E268F5"/>
    <w:rsid w:val="00E32810"/>
    <w:rsid w:val="00E33159"/>
    <w:rsid w:val="00E431FE"/>
    <w:rsid w:val="00E44FFD"/>
    <w:rsid w:val="00E45291"/>
    <w:rsid w:val="00E50600"/>
    <w:rsid w:val="00E5139D"/>
    <w:rsid w:val="00E5360E"/>
    <w:rsid w:val="00E572B6"/>
    <w:rsid w:val="00E5740C"/>
    <w:rsid w:val="00E57BAB"/>
    <w:rsid w:val="00E57BC7"/>
    <w:rsid w:val="00E60DB2"/>
    <w:rsid w:val="00E648BE"/>
    <w:rsid w:val="00E670B5"/>
    <w:rsid w:val="00E73DDF"/>
    <w:rsid w:val="00E76986"/>
    <w:rsid w:val="00E827A4"/>
    <w:rsid w:val="00E82BFD"/>
    <w:rsid w:val="00E97F64"/>
    <w:rsid w:val="00EA0FFF"/>
    <w:rsid w:val="00EA2895"/>
    <w:rsid w:val="00EA789F"/>
    <w:rsid w:val="00EB02C9"/>
    <w:rsid w:val="00EB080C"/>
    <w:rsid w:val="00EB1910"/>
    <w:rsid w:val="00EB1BA3"/>
    <w:rsid w:val="00EB1BDB"/>
    <w:rsid w:val="00EB27D0"/>
    <w:rsid w:val="00EB363C"/>
    <w:rsid w:val="00EB49FF"/>
    <w:rsid w:val="00EC1893"/>
    <w:rsid w:val="00EC22FC"/>
    <w:rsid w:val="00EC2B19"/>
    <w:rsid w:val="00EC62F5"/>
    <w:rsid w:val="00ED0844"/>
    <w:rsid w:val="00ED110E"/>
    <w:rsid w:val="00ED4BE9"/>
    <w:rsid w:val="00ED5F8D"/>
    <w:rsid w:val="00ED798F"/>
    <w:rsid w:val="00EE3161"/>
    <w:rsid w:val="00EE3458"/>
    <w:rsid w:val="00EE456B"/>
    <w:rsid w:val="00EE4DCE"/>
    <w:rsid w:val="00EE693A"/>
    <w:rsid w:val="00EE74DD"/>
    <w:rsid w:val="00EF0D6D"/>
    <w:rsid w:val="00EF56D5"/>
    <w:rsid w:val="00EF641F"/>
    <w:rsid w:val="00EF6B40"/>
    <w:rsid w:val="00EF6E16"/>
    <w:rsid w:val="00F0294A"/>
    <w:rsid w:val="00F03E3D"/>
    <w:rsid w:val="00F0404E"/>
    <w:rsid w:val="00F04872"/>
    <w:rsid w:val="00F05437"/>
    <w:rsid w:val="00F06FD3"/>
    <w:rsid w:val="00F07F8D"/>
    <w:rsid w:val="00F111CB"/>
    <w:rsid w:val="00F13222"/>
    <w:rsid w:val="00F13D14"/>
    <w:rsid w:val="00F13E10"/>
    <w:rsid w:val="00F14BBA"/>
    <w:rsid w:val="00F21DAD"/>
    <w:rsid w:val="00F22421"/>
    <w:rsid w:val="00F23EEA"/>
    <w:rsid w:val="00F36209"/>
    <w:rsid w:val="00F36491"/>
    <w:rsid w:val="00F367C4"/>
    <w:rsid w:val="00F37937"/>
    <w:rsid w:val="00F448FA"/>
    <w:rsid w:val="00F51402"/>
    <w:rsid w:val="00F531E2"/>
    <w:rsid w:val="00F53B7F"/>
    <w:rsid w:val="00F6110B"/>
    <w:rsid w:val="00F64430"/>
    <w:rsid w:val="00F705C5"/>
    <w:rsid w:val="00F70646"/>
    <w:rsid w:val="00F76728"/>
    <w:rsid w:val="00F8106B"/>
    <w:rsid w:val="00F83370"/>
    <w:rsid w:val="00F83506"/>
    <w:rsid w:val="00F837E2"/>
    <w:rsid w:val="00F86733"/>
    <w:rsid w:val="00F90035"/>
    <w:rsid w:val="00F901E0"/>
    <w:rsid w:val="00F95661"/>
    <w:rsid w:val="00FA649C"/>
    <w:rsid w:val="00FA6F6F"/>
    <w:rsid w:val="00FA70B4"/>
    <w:rsid w:val="00FA7441"/>
    <w:rsid w:val="00FA7DED"/>
    <w:rsid w:val="00FB161E"/>
    <w:rsid w:val="00FB3A70"/>
    <w:rsid w:val="00FB6D45"/>
    <w:rsid w:val="00FB74F0"/>
    <w:rsid w:val="00FB7570"/>
    <w:rsid w:val="00FB7827"/>
    <w:rsid w:val="00FC0E1F"/>
    <w:rsid w:val="00FC24C3"/>
    <w:rsid w:val="00FC7689"/>
    <w:rsid w:val="00FD2D1D"/>
    <w:rsid w:val="00FD7A6F"/>
    <w:rsid w:val="00FE07A3"/>
    <w:rsid w:val="00FE1875"/>
    <w:rsid w:val="00FE3DAE"/>
    <w:rsid w:val="00FE6309"/>
    <w:rsid w:val="00FF1FAE"/>
    <w:rsid w:val="00FF4E19"/>
    <w:rsid w:val="00FF6B9B"/>
    <w:rsid w:val="00FF6F6B"/>
    <w:rsid w:val="0DA41FB1"/>
    <w:rsid w:val="13687D28"/>
    <w:rsid w:val="21A65A12"/>
    <w:rsid w:val="3F1226C5"/>
    <w:rsid w:val="569577F3"/>
    <w:rsid w:val="6AC3579C"/>
    <w:rsid w:val="6AC95D06"/>
    <w:rsid w:val="718815D8"/>
    <w:rsid w:val="71EB072A"/>
    <w:rsid w:val="74FE3598"/>
    <w:rsid w:val="7A6B4080"/>
    <w:rsid w:val="7F5B01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rPr>
      <w:sz w:val="16"/>
      <w:szCs w:val="16"/>
    </w:rPr>
  </w:style>
  <w:style w:type="character" w:customStyle="1" w:styleId="apple-converted-space">
    <w:name w:val="apple-converted-space"/>
    <w:basedOn w:val="a0"/>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styleId="ac">
    <w:name w:val="List Paragraph"/>
    <w:basedOn w:val="a"/>
    <w:uiPriority w:val="99"/>
    <w:pPr>
      <w:ind w:firstLineChars="200" w:firstLine="420"/>
    </w:pPr>
  </w:style>
  <w:style w:type="character" w:styleId="ad">
    <w:name w:val="Placeholder Text"/>
    <w:basedOn w:val="a0"/>
    <w:uiPriority w:val="99"/>
    <w:semiHidden/>
    <w:rPr>
      <w:color w:val="808080"/>
    </w:rPr>
  </w:style>
  <w:style w:type="character" w:customStyle="1" w:styleId="Char">
    <w:name w:val="批注文字 Char"/>
    <w:basedOn w:val="a0"/>
    <w:link w:val="a3"/>
    <w:uiPriority w:val="99"/>
    <w:semiHidden/>
    <w:rPr>
      <w:rFonts w:ascii="Tahoma" w:hAnsi="Tahoma"/>
    </w:rPr>
  </w:style>
  <w:style w:type="character" w:customStyle="1" w:styleId="Char3">
    <w:name w:val="批注主题 Char"/>
    <w:basedOn w:val="Char"/>
    <w:link w:val="a7"/>
    <w:uiPriority w:val="99"/>
    <w:semiHidden/>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rPr>
      <w:sz w:val="16"/>
      <w:szCs w:val="16"/>
    </w:rPr>
  </w:style>
  <w:style w:type="character" w:customStyle="1" w:styleId="apple-converted-space">
    <w:name w:val="apple-converted-space"/>
    <w:basedOn w:val="a0"/>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styleId="ac">
    <w:name w:val="List Paragraph"/>
    <w:basedOn w:val="a"/>
    <w:uiPriority w:val="99"/>
    <w:pPr>
      <w:ind w:firstLineChars="200" w:firstLine="420"/>
    </w:pPr>
  </w:style>
  <w:style w:type="character" w:styleId="ad">
    <w:name w:val="Placeholder Text"/>
    <w:basedOn w:val="a0"/>
    <w:uiPriority w:val="99"/>
    <w:semiHidden/>
    <w:rPr>
      <w:color w:val="808080"/>
    </w:rPr>
  </w:style>
  <w:style w:type="character" w:customStyle="1" w:styleId="Char">
    <w:name w:val="批注文字 Char"/>
    <w:basedOn w:val="a0"/>
    <w:link w:val="a3"/>
    <w:uiPriority w:val="99"/>
    <w:semiHidden/>
    <w:rPr>
      <w:rFonts w:ascii="Tahoma" w:hAnsi="Tahoma"/>
    </w:rPr>
  </w:style>
  <w:style w:type="character" w:customStyle="1" w:styleId="Char3">
    <w:name w:val="批注主题 Char"/>
    <w:basedOn w:val="Char"/>
    <w:link w:val="a7"/>
    <w:uiPriority w:val="99"/>
    <w:semiHidden/>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y80222@163.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4982</Words>
  <Characters>28403</Characters>
  <Application>Microsoft Office Word</Application>
  <DocSecurity>0</DocSecurity>
  <Lines>236</Lines>
  <Paragraphs>66</Paragraphs>
  <ScaleCrop>false</ScaleCrop>
  <Company>Aliyun</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14</cp:revision>
  <cp:lastPrinted>2019-12-03T12:19:00Z</cp:lastPrinted>
  <dcterms:created xsi:type="dcterms:W3CDTF">2020-06-26T10:21:00Z</dcterms:created>
  <dcterms:modified xsi:type="dcterms:W3CDTF">2020-07-22T14:17:00Z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