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29B73" w14:textId="77777777" w:rsidR="004E3039" w:rsidRPr="005F46EE" w:rsidRDefault="004E3039" w:rsidP="005F46EE">
      <w:pPr>
        <w:adjustRightInd w:val="0"/>
        <w:snapToGrid w:val="0"/>
        <w:spacing w:line="360" w:lineRule="auto"/>
        <w:rPr>
          <w:rFonts w:ascii="Book Antiqua" w:eastAsia="Times New Roman" w:hAnsi="Book Antiqua" w:cs="宋体"/>
          <w:b/>
          <w:i/>
          <w:sz w:val="24"/>
        </w:rPr>
      </w:pPr>
      <w:bookmarkStart w:id="0" w:name="_Hlk27731859"/>
      <w:r w:rsidRPr="005F46EE">
        <w:rPr>
          <w:rFonts w:ascii="Book Antiqua" w:eastAsia="Times New Roman" w:hAnsi="Book Antiqua" w:cs="宋体"/>
          <w:b/>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5F46EE">
        <w:rPr>
          <w:rFonts w:ascii="Book Antiqua" w:eastAsia="Times New Roman" w:hAnsi="Book Antiqua" w:cs="宋体"/>
          <w:i/>
          <w:sz w:val="24"/>
        </w:rPr>
        <w:t xml:space="preserve">World Journal of </w:t>
      </w:r>
      <w:bookmarkEnd w:id="1"/>
      <w:bookmarkEnd w:id="2"/>
      <w:bookmarkEnd w:id="3"/>
      <w:bookmarkEnd w:id="4"/>
      <w:bookmarkEnd w:id="5"/>
      <w:bookmarkEnd w:id="6"/>
      <w:bookmarkEnd w:id="7"/>
      <w:r w:rsidRPr="005F46EE">
        <w:rPr>
          <w:rFonts w:ascii="Book Antiqua" w:eastAsia="Times New Roman" w:hAnsi="Book Antiqua" w:cs="宋体"/>
          <w:i/>
          <w:sz w:val="24"/>
        </w:rPr>
        <w:t>Clinical Cases</w:t>
      </w:r>
    </w:p>
    <w:p w14:paraId="5F5282D0" w14:textId="77777777" w:rsidR="004E3039" w:rsidRPr="005F46EE" w:rsidRDefault="004E3039" w:rsidP="005F46EE">
      <w:pPr>
        <w:adjustRightInd w:val="0"/>
        <w:snapToGrid w:val="0"/>
        <w:spacing w:line="360" w:lineRule="auto"/>
        <w:rPr>
          <w:rFonts w:ascii="Book Antiqua" w:hAnsi="Book Antiqua" w:cs="Arial"/>
          <w:b/>
          <w:sz w:val="24"/>
        </w:rPr>
      </w:pPr>
      <w:r w:rsidRPr="005F46EE">
        <w:rPr>
          <w:rFonts w:ascii="Book Antiqua" w:eastAsia="Times New Roman" w:hAnsi="Book Antiqua"/>
          <w:b/>
          <w:bCs/>
          <w:sz w:val="24"/>
        </w:rPr>
        <w:t>Manuscript NO</w:t>
      </w:r>
      <w:r w:rsidRPr="005F46EE">
        <w:rPr>
          <w:rFonts w:ascii="Book Antiqua" w:hAnsi="Book Antiqua" w:cs="Arial"/>
          <w:b/>
          <w:sz w:val="24"/>
        </w:rPr>
        <w:t xml:space="preserve">: </w:t>
      </w:r>
      <w:r w:rsidRPr="005F46EE">
        <w:rPr>
          <w:rFonts w:ascii="Book Antiqua" w:hAnsi="Book Antiqua" w:cs="Arial"/>
          <w:bCs/>
          <w:sz w:val="24"/>
        </w:rPr>
        <w:t>54184</w:t>
      </w:r>
    </w:p>
    <w:p w14:paraId="7B713EF3" w14:textId="77777777" w:rsidR="004E3039" w:rsidRPr="005F46EE" w:rsidRDefault="004E3039" w:rsidP="005F46EE">
      <w:pPr>
        <w:adjustRightInd w:val="0"/>
        <w:snapToGrid w:val="0"/>
        <w:spacing w:line="360" w:lineRule="auto"/>
        <w:rPr>
          <w:rFonts w:ascii="Book Antiqua" w:hAnsi="Book Antiqua"/>
          <w:b/>
          <w:sz w:val="24"/>
        </w:rPr>
      </w:pPr>
      <w:r w:rsidRPr="005F46EE">
        <w:rPr>
          <w:rFonts w:ascii="Book Antiqua" w:hAnsi="Book Antiqua"/>
          <w:b/>
          <w:sz w:val="24"/>
        </w:rPr>
        <w:t xml:space="preserve">Manuscript Type: </w:t>
      </w:r>
      <w:r w:rsidRPr="005F46EE">
        <w:rPr>
          <w:rFonts w:ascii="Book Antiqua" w:hAnsi="Book Antiqua"/>
          <w:sz w:val="24"/>
        </w:rPr>
        <w:t>CASE REPORT</w:t>
      </w:r>
    </w:p>
    <w:p w14:paraId="4288E4DE" w14:textId="77777777" w:rsidR="0040007F" w:rsidRPr="005F46EE" w:rsidRDefault="0040007F" w:rsidP="005F46EE">
      <w:pPr>
        <w:snapToGrid w:val="0"/>
        <w:spacing w:line="360" w:lineRule="auto"/>
        <w:rPr>
          <w:rFonts w:ascii="Book Antiqua" w:hAnsi="Book Antiqua"/>
          <w:b/>
          <w:bCs/>
          <w:color w:val="000000" w:themeColor="text1"/>
          <w:sz w:val="24"/>
        </w:rPr>
      </w:pPr>
    </w:p>
    <w:p w14:paraId="18C0E467" w14:textId="77777777" w:rsidR="00066A0A" w:rsidRPr="005F46EE" w:rsidRDefault="00541197" w:rsidP="005F46EE">
      <w:pPr>
        <w:snapToGrid w:val="0"/>
        <w:spacing w:line="360" w:lineRule="auto"/>
        <w:rPr>
          <w:rFonts w:ascii="Book Antiqua" w:hAnsi="Book Antiqua"/>
          <w:b/>
          <w:bCs/>
          <w:color w:val="000000" w:themeColor="text1"/>
          <w:sz w:val="24"/>
        </w:rPr>
      </w:pPr>
      <w:r w:rsidRPr="005F46EE">
        <w:rPr>
          <w:rFonts w:ascii="Book Antiqua" w:hAnsi="Book Antiqua"/>
          <w:b/>
          <w:bCs/>
          <w:color w:val="000000" w:themeColor="text1"/>
          <w:sz w:val="24"/>
        </w:rPr>
        <w:t xml:space="preserve">Comprehensive treatment of rare </w:t>
      </w:r>
      <w:bookmarkStart w:id="8" w:name="OLE_LINK12"/>
      <w:r w:rsidRPr="005F46EE">
        <w:rPr>
          <w:rFonts w:ascii="Book Antiqua" w:hAnsi="Book Antiqua"/>
          <w:b/>
          <w:bCs/>
          <w:color w:val="000000" w:themeColor="text1"/>
          <w:sz w:val="24"/>
        </w:rPr>
        <w:t xml:space="preserve">multiple endocrine </w:t>
      </w:r>
      <w:bookmarkEnd w:id="8"/>
      <w:r w:rsidRPr="005F46EE">
        <w:rPr>
          <w:rFonts w:ascii="Book Antiqua" w:hAnsi="Book Antiqua"/>
          <w:b/>
          <w:bCs/>
          <w:color w:val="000000" w:themeColor="text1"/>
          <w:sz w:val="24"/>
        </w:rPr>
        <w:t>neoplasia type 1: A case report</w:t>
      </w:r>
    </w:p>
    <w:p w14:paraId="3B070F65" w14:textId="77777777" w:rsidR="0040007F" w:rsidRPr="005F46EE" w:rsidRDefault="0040007F" w:rsidP="005F46EE">
      <w:pPr>
        <w:snapToGrid w:val="0"/>
        <w:spacing w:line="360" w:lineRule="auto"/>
        <w:rPr>
          <w:rFonts w:ascii="Book Antiqua" w:hAnsi="Book Antiqua"/>
          <w:b/>
          <w:bCs/>
          <w:color w:val="000000" w:themeColor="text1"/>
          <w:sz w:val="24"/>
        </w:rPr>
      </w:pPr>
    </w:p>
    <w:p w14:paraId="18E6769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Ma</w:t>
      </w:r>
      <w:r w:rsidR="004E3039" w:rsidRPr="005F46EE">
        <w:rPr>
          <w:rFonts w:ascii="Book Antiqua" w:hAnsi="Book Antiqua"/>
          <w:color w:val="000000" w:themeColor="text1"/>
          <w:sz w:val="24"/>
        </w:rPr>
        <w:t xml:space="preserve"> CH</w:t>
      </w:r>
      <w:r w:rsidRPr="005F46EE">
        <w:rPr>
          <w:rFonts w:ascii="Book Antiqua" w:hAnsi="Book Antiqua"/>
          <w:i/>
          <w:iCs/>
          <w:color w:val="000000" w:themeColor="text1"/>
          <w:sz w:val="24"/>
        </w:rPr>
        <w:t xml:space="preserve"> et al</w:t>
      </w:r>
      <w:r w:rsidRPr="005F46EE">
        <w:rPr>
          <w:rFonts w:ascii="Book Antiqua" w:hAnsi="Book Antiqua"/>
          <w:color w:val="000000" w:themeColor="text1"/>
          <w:sz w:val="24"/>
        </w:rPr>
        <w:t>. A rare case of MEN1</w:t>
      </w:r>
    </w:p>
    <w:p w14:paraId="5C5FB9EC" w14:textId="77777777" w:rsidR="0040007F" w:rsidRPr="005F46EE" w:rsidRDefault="0040007F" w:rsidP="005F46EE">
      <w:pPr>
        <w:snapToGrid w:val="0"/>
        <w:spacing w:line="360" w:lineRule="auto"/>
        <w:rPr>
          <w:rFonts w:ascii="Book Antiqua" w:hAnsi="Book Antiqua"/>
          <w:color w:val="000000" w:themeColor="text1"/>
          <w:sz w:val="24"/>
        </w:rPr>
      </w:pPr>
    </w:p>
    <w:bookmarkEnd w:id="0"/>
    <w:p w14:paraId="5F6C686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Chen</w:t>
      </w:r>
      <w:r w:rsidR="0040007F" w:rsidRPr="005F46EE">
        <w:rPr>
          <w:rFonts w:ascii="Book Antiqua" w:hAnsi="Book Antiqua"/>
          <w:color w:val="000000" w:themeColor="text1"/>
          <w:sz w:val="24"/>
        </w:rPr>
        <w:t xml:space="preserve">-Hui </w:t>
      </w:r>
      <w:r w:rsidRPr="005F46EE">
        <w:rPr>
          <w:rFonts w:ascii="Book Antiqua" w:hAnsi="Book Antiqua"/>
          <w:color w:val="000000" w:themeColor="text1"/>
          <w:sz w:val="24"/>
        </w:rPr>
        <w:t>Ma, Huai</w:t>
      </w:r>
      <w:r w:rsidR="0040007F" w:rsidRPr="005F46EE">
        <w:rPr>
          <w:rFonts w:ascii="Book Antiqua" w:hAnsi="Book Antiqua"/>
          <w:color w:val="000000" w:themeColor="text1"/>
          <w:sz w:val="24"/>
        </w:rPr>
        <w:t xml:space="preserve">-Bin </w:t>
      </w:r>
      <w:r w:rsidRPr="005F46EE">
        <w:rPr>
          <w:rFonts w:ascii="Book Antiqua" w:hAnsi="Book Antiqua"/>
          <w:color w:val="000000" w:themeColor="text1"/>
          <w:sz w:val="24"/>
        </w:rPr>
        <w:t>Guo, Xin</w:t>
      </w:r>
      <w:r w:rsidR="0040007F" w:rsidRPr="005F46EE">
        <w:rPr>
          <w:rFonts w:ascii="Book Antiqua" w:hAnsi="Book Antiqua"/>
          <w:color w:val="000000" w:themeColor="text1"/>
          <w:sz w:val="24"/>
        </w:rPr>
        <w:t xml:space="preserve">-Yan </w:t>
      </w:r>
      <w:r w:rsidRPr="005F46EE">
        <w:rPr>
          <w:rFonts w:ascii="Book Antiqua" w:hAnsi="Book Antiqua"/>
          <w:color w:val="000000" w:themeColor="text1"/>
          <w:sz w:val="24"/>
        </w:rPr>
        <w:t>Pan, Wan</w:t>
      </w:r>
      <w:r w:rsidR="0040007F" w:rsidRPr="005F46EE">
        <w:rPr>
          <w:rFonts w:ascii="Book Antiqua" w:hAnsi="Book Antiqua"/>
          <w:color w:val="000000" w:themeColor="text1"/>
          <w:sz w:val="24"/>
        </w:rPr>
        <w:t xml:space="preserve">-Xing </w:t>
      </w:r>
      <w:r w:rsidRPr="005F46EE">
        <w:rPr>
          <w:rFonts w:ascii="Book Antiqua" w:hAnsi="Book Antiqua"/>
          <w:color w:val="000000" w:themeColor="text1"/>
          <w:sz w:val="24"/>
        </w:rPr>
        <w:t>Zhang</w:t>
      </w:r>
    </w:p>
    <w:p w14:paraId="5CED1C51" w14:textId="77777777" w:rsidR="00066A0A" w:rsidRPr="005F46EE" w:rsidRDefault="00066A0A" w:rsidP="005F46EE">
      <w:pPr>
        <w:snapToGrid w:val="0"/>
        <w:spacing w:line="360" w:lineRule="auto"/>
        <w:rPr>
          <w:rFonts w:ascii="Book Antiqua" w:hAnsi="Book Antiqua"/>
          <w:color w:val="000000" w:themeColor="text1"/>
          <w:sz w:val="24"/>
        </w:rPr>
      </w:pPr>
    </w:p>
    <w:p w14:paraId="0F64296B" w14:textId="77777777" w:rsidR="00066A0A" w:rsidRPr="005F46EE" w:rsidRDefault="0040007F" w:rsidP="005F46EE">
      <w:pPr>
        <w:snapToGrid w:val="0"/>
        <w:spacing w:line="360" w:lineRule="auto"/>
        <w:rPr>
          <w:rFonts w:ascii="Book Antiqua" w:hAnsi="Book Antiqua"/>
          <w:color w:val="000000" w:themeColor="text1"/>
          <w:sz w:val="24"/>
        </w:rPr>
      </w:pPr>
      <w:r w:rsidRPr="005F46EE">
        <w:rPr>
          <w:rFonts w:ascii="Book Antiqua" w:hAnsi="Book Antiqua"/>
          <w:b/>
          <w:bCs/>
          <w:color w:val="000000" w:themeColor="text1"/>
          <w:sz w:val="24"/>
        </w:rPr>
        <w:t>Chen-Hui Ma, Huai-Bin Guo, Xin-Yan Pan, Wan-Xing Zhang</w:t>
      </w:r>
      <w:r w:rsidR="00541197" w:rsidRPr="005F46EE">
        <w:rPr>
          <w:rFonts w:ascii="Book Antiqua" w:hAnsi="Book Antiqua"/>
          <w:b/>
          <w:bCs/>
          <w:color w:val="000000" w:themeColor="text1"/>
          <w:sz w:val="24"/>
        </w:rPr>
        <w:t xml:space="preserve">, </w:t>
      </w:r>
      <w:r w:rsidR="00541197" w:rsidRPr="005F46EE">
        <w:rPr>
          <w:rFonts w:ascii="Book Antiqua" w:hAnsi="Book Antiqua"/>
          <w:color w:val="000000" w:themeColor="text1"/>
          <w:sz w:val="24"/>
        </w:rPr>
        <w:t xml:space="preserve">Department of </w:t>
      </w:r>
      <w:r w:rsidR="004E3039" w:rsidRPr="005F46EE">
        <w:rPr>
          <w:rFonts w:ascii="Book Antiqua" w:hAnsi="Book Antiqua"/>
          <w:color w:val="000000" w:themeColor="text1"/>
          <w:sz w:val="24"/>
        </w:rPr>
        <w:t>Hepatobiliary</w:t>
      </w:r>
      <w:r w:rsidR="00541197" w:rsidRPr="005F46EE">
        <w:rPr>
          <w:rFonts w:ascii="Book Antiqua" w:hAnsi="Book Antiqua"/>
          <w:color w:val="000000" w:themeColor="text1"/>
          <w:sz w:val="24"/>
        </w:rPr>
        <w:t>, Hebei General Hospital, Shijiazhuang</w:t>
      </w:r>
      <w:r w:rsidR="004E3039" w:rsidRPr="005F46EE">
        <w:rPr>
          <w:rFonts w:ascii="Book Antiqua" w:hAnsi="Book Antiqua"/>
          <w:color w:val="000000" w:themeColor="text1"/>
          <w:sz w:val="24"/>
        </w:rPr>
        <w:t xml:space="preserve"> 050017</w:t>
      </w:r>
      <w:r w:rsidR="00541197" w:rsidRPr="005F46EE">
        <w:rPr>
          <w:rFonts w:ascii="Book Antiqua" w:hAnsi="Book Antiqua"/>
          <w:color w:val="000000" w:themeColor="text1"/>
          <w:sz w:val="24"/>
        </w:rPr>
        <w:t>, Hebei</w:t>
      </w:r>
      <w:r w:rsidR="004E3039" w:rsidRPr="005F46EE">
        <w:rPr>
          <w:rFonts w:ascii="Book Antiqua" w:hAnsi="Book Antiqua"/>
          <w:color w:val="000000" w:themeColor="text1"/>
          <w:sz w:val="24"/>
        </w:rPr>
        <w:t xml:space="preserve"> Province</w:t>
      </w:r>
      <w:r w:rsidR="00541197" w:rsidRPr="005F46EE">
        <w:rPr>
          <w:rFonts w:ascii="Book Antiqua" w:hAnsi="Book Antiqua"/>
          <w:color w:val="000000" w:themeColor="text1"/>
          <w:sz w:val="24"/>
        </w:rPr>
        <w:t>, China</w:t>
      </w:r>
    </w:p>
    <w:p w14:paraId="1095A71F" w14:textId="77777777" w:rsidR="00066A0A" w:rsidRPr="005F46EE" w:rsidRDefault="00066A0A" w:rsidP="005F46EE">
      <w:pPr>
        <w:tabs>
          <w:tab w:val="left" w:pos="312"/>
        </w:tabs>
        <w:snapToGrid w:val="0"/>
        <w:spacing w:line="360" w:lineRule="auto"/>
        <w:rPr>
          <w:rFonts w:ascii="Book Antiqua" w:hAnsi="Book Antiqua"/>
          <w:color w:val="000000" w:themeColor="text1"/>
          <w:sz w:val="24"/>
        </w:rPr>
      </w:pPr>
    </w:p>
    <w:p w14:paraId="5838FB0B" w14:textId="77777777" w:rsidR="00066A0A" w:rsidRPr="005F46EE" w:rsidRDefault="00541197" w:rsidP="005F46EE">
      <w:pPr>
        <w:tabs>
          <w:tab w:val="left" w:pos="312"/>
        </w:tabs>
        <w:snapToGrid w:val="0"/>
        <w:spacing w:line="360" w:lineRule="auto"/>
        <w:rPr>
          <w:rFonts w:ascii="Book Antiqua" w:hAnsi="Book Antiqua"/>
          <w:color w:val="000000" w:themeColor="text1"/>
          <w:sz w:val="24"/>
        </w:rPr>
      </w:pPr>
      <w:r w:rsidRPr="005F46EE">
        <w:rPr>
          <w:rFonts w:ascii="Book Antiqua" w:hAnsi="Book Antiqua"/>
          <w:b/>
          <w:bCs/>
          <w:color w:val="000000" w:themeColor="text1"/>
          <w:sz w:val="24"/>
        </w:rPr>
        <w:t>Chen</w:t>
      </w:r>
      <w:r w:rsidR="0040007F" w:rsidRPr="005F46EE">
        <w:rPr>
          <w:rFonts w:ascii="Book Antiqua" w:hAnsi="Book Antiqua"/>
          <w:b/>
          <w:bCs/>
          <w:color w:val="000000" w:themeColor="text1"/>
          <w:sz w:val="24"/>
        </w:rPr>
        <w:t xml:space="preserve">-Hui </w:t>
      </w:r>
      <w:r w:rsidRPr="005F46EE">
        <w:rPr>
          <w:rFonts w:ascii="Book Antiqua" w:hAnsi="Book Antiqua"/>
          <w:b/>
          <w:bCs/>
          <w:color w:val="000000" w:themeColor="text1"/>
          <w:sz w:val="24"/>
        </w:rPr>
        <w:t xml:space="preserve">Ma, </w:t>
      </w:r>
      <w:r w:rsidRPr="005F46EE">
        <w:rPr>
          <w:rFonts w:ascii="Book Antiqua" w:hAnsi="Book Antiqua"/>
          <w:color w:val="000000" w:themeColor="text1"/>
          <w:sz w:val="24"/>
        </w:rPr>
        <w:t xml:space="preserve">Graduate </w:t>
      </w:r>
      <w:r w:rsidR="004E3039" w:rsidRPr="005F46EE">
        <w:rPr>
          <w:rFonts w:ascii="Book Antiqua" w:hAnsi="Book Antiqua"/>
          <w:color w:val="000000" w:themeColor="text1"/>
          <w:sz w:val="24"/>
        </w:rPr>
        <w:t xml:space="preserve">School </w:t>
      </w:r>
      <w:r w:rsidRPr="005F46EE">
        <w:rPr>
          <w:rFonts w:ascii="Book Antiqua" w:hAnsi="Book Antiqua"/>
          <w:color w:val="000000" w:themeColor="text1"/>
          <w:sz w:val="24"/>
        </w:rPr>
        <w:t xml:space="preserve">of </w:t>
      </w:r>
      <w:r w:rsidR="004E3039" w:rsidRPr="005F46EE">
        <w:rPr>
          <w:rFonts w:ascii="Book Antiqua" w:hAnsi="Book Antiqua"/>
          <w:color w:val="000000" w:themeColor="text1"/>
          <w:sz w:val="24"/>
        </w:rPr>
        <w:t xml:space="preserve">North </w:t>
      </w:r>
      <w:r w:rsidRPr="005F46EE">
        <w:rPr>
          <w:rFonts w:ascii="Book Antiqua" w:hAnsi="Book Antiqua"/>
          <w:color w:val="000000" w:themeColor="text1"/>
          <w:sz w:val="24"/>
        </w:rPr>
        <w:t xml:space="preserve">China </w:t>
      </w:r>
      <w:r w:rsidR="004E3039" w:rsidRPr="005F46EE">
        <w:rPr>
          <w:rFonts w:ascii="Book Antiqua" w:hAnsi="Book Antiqua"/>
          <w:color w:val="000000" w:themeColor="text1"/>
          <w:sz w:val="24"/>
        </w:rPr>
        <w:t xml:space="preserve">University </w:t>
      </w:r>
      <w:r w:rsidRPr="005F46EE">
        <w:rPr>
          <w:rFonts w:ascii="Book Antiqua" w:hAnsi="Book Antiqua"/>
          <w:color w:val="000000" w:themeColor="text1"/>
          <w:sz w:val="24"/>
        </w:rPr>
        <w:t xml:space="preserve">of </w:t>
      </w:r>
      <w:r w:rsidR="004E3039" w:rsidRPr="005F46EE">
        <w:rPr>
          <w:rFonts w:ascii="Book Antiqua" w:hAnsi="Book Antiqua"/>
          <w:color w:val="000000" w:themeColor="text1"/>
          <w:sz w:val="24"/>
        </w:rPr>
        <w:t xml:space="preserve">Science </w:t>
      </w:r>
      <w:r w:rsidRPr="005F46EE">
        <w:rPr>
          <w:rFonts w:ascii="Book Antiqua" w:hAnsi="Book Antiqua"/>
          <w:color w:val="000000" w:themeColor="text1"/>
          <w:sz w:val="24"/>
        </w:rPr>
        <w:t xml:space="preserve">and </w:t>
      </w:r>
      <w:r w:rsidR="004E3039" w:rsidRPr="005F46EE">
        <w:rPr>
          <w:rFonts w:ascii="Book Antiqua" w:hAnsi="Book Antiqua"/>
          <w:color w:val="000000" w:themeColor="text1"/>
          <w:sz w:val="24"/>
        </w:rPr>
        <w:t>Technology</w:t>
      </w:r>
      <w:r w:rsidRPr="005F46EE">
        <w:rPr>
          <w:rFonts w:ascii="Book Antiqua" w:hAnsi="Book Antiqua"/>
          <w:color w:val="000000" w:themeColor="text1"/>
          <w:sz w:val="24"/>
        </w:rPr>
        <w:t>, Tangshan</w:t>
      </w:r>
      <w:r w:rsidR="004E3039" w:rsidRPr="005F46EE">
        <w:rPr>
          <w:rFonts w:ascii="Book Antiqua" w:hAnsi="Book Antiqua"/>
          <w:color w:val="000000" w:themeColor="text1"/>
          <w:sz w:val="24"/>
        </w:rPr>
        <w:t xml:space="preserve"> 050051</w:t>
      </w:r>
      <w:r w:rsidRPr="005F46EE">
        <w:rPr>
          <w:rFonts w:ascii="Book Antiqua" w:hAnsi="Book Antiqua"/>
          <w:color w:val="000000" w:themeColor="text1"/>
          <w:sz w:val="24"/>
        </w:rPr>
        <w:t>, Hebei</w:t>
      </w:r>
      <w:r w:rsidR="004E3039" w:rsidRPr="005F46EE">
        <w:rPr>
          <w:rFonts w:ascii="Book Antiqua" w:hAnsi="Book Antiqua"/>
          <w:color w:val="000000" w:themeColor="text1"/>
          <w:sz w:val="24"/>
        </w:rPr>
        <w:t xml:space="preserve"> Province</w:t>
      </w:r>
      <w:r w:rsidRPr="005F46EE">
        <w:rPr>
          <w:rFonts w:ascii="Book Antiqua" w:hAnsi="Book Antiqua"/>
          <w:color w:val="000000" w:themeColor="text1"/>
          <w:sz w:val="24"/>
        </w:rPr>
        <w:t>, China</w:t>
      </w:r>
    </w:p>
    <w:p w14:paraId="1D03CA56" w14:textId="77777777" w:rsidR="00066A0A" w:rsidRPr="005F46EE" w:rsidRDefault="00066A0A" w:rsidP="005F46EE">
      <w:pPr>
        <w:tabs>
          <w:tab w:val="left" w:pos="312"/>
        </w:tabs>
        <w:snapToGrid w:val="0"/>
        <w:spacing w:line="360" w:lineRule="auto"/>
        <w:rPr>
          <w:rFonts w:ascii="Book Antiqua" w:hAnsi="Book Antiqua"/>
          <w:color w:val="000000" w:themeColor="text1"/>
          <w:sz w:val="24"/>
        </w:rPr>
      </w:pPr>
    </w:p>
    <w:p w14:paraId="357609F4" w14:textId="0DB183D7" w:rsidR="00066A0A" w:rsidRPr="005F46EE" w:rsidRDefault="004E3039" w:rsidP="005F46EE">
      <w:pPr>
        <w:pStyle w:val="a3"/>
        <w:snapToGrid w:val="0"/>
        <w:spacing w:line="360" w:lineRule="auto"/>
        <w:jc w:val="both"/>
        <w:rPr>
          <w:rFonts w:ascii="Book Antiqua" w:hAnsi="Book Antiqua"/>
          <w:color w:val="000000" w:themeColor="text1"/>
          <w:sz w:val="24"/>
        </w:rPr>
      </w:pPr>
      <w:r w:rsidRPr="005F46EE">
        <w:rPr>
          <w:rFonts w:ascii="Book Antiqua" w:hAnsi="Book Antiqua"/>
          <w:b/>
          <w:sz w:val="24"/>
        </w:rPr>
        <w:t xml:space="preserve">Author contributions: </w:t>
      </w:r>
      <w:r w:rsidR="00541197" w:rsidRPr="005F46EE">
        <w:rPr>
          <w:rFonts w:ascii="Book Antiqua" w:hAnsi="Book Antiqua"/>
          <w:color w:val="000000" w:themeColor="text1"/>
          <w:sz w:val="24"/>
        </w:rPr>
        <w:t>Ma CH and Zhang WX were the patient’s attending physician</w:t>
      </w:r>
      <w:r w:rsidR="00B837AA" w:rsidRPr="005F46EE">
        <w:rPr>
          <w:rFonts w:ascii="Book Antiqua" w:hAnsi="Book Antiqua"/>
          <w:color w:val="000000" w:themeColor="text1"/>
          <w:sz w:val="24"/>
        </w:rPr>
        <w:t>s</w:t>
      </w:r>
      <w:r w:rsidR="00541197" w:rsidRPr="005F46EE">
        <w:rPr>
          <w:rFonts w:ascii="Book Antiqua" w:hAnsi="Book Antiqua"/>
          <w:color w:val="000000" w:themeColor="text1"/>
          <w:sz w:val="24"/>
        </w:rPr>
        <w:t>, reviewed the literature</w:t>
      </w:r>
      <w:r w:rsidR="00B837AA" w:rsidRPr="005F46EE">
        <w:rPr>
          <w:rFonts w:ascii="Book Antiqua" w:hAnsi="Book Antiqua"/>
          <w:color w:val="000000" w:themeColor="text1"/>
          <w:sz w:val="24"/>
        </w:rPr>
        <w:t>,</w:t>
      </w:r>
      <w:r w:rsidR="00541197" w:rsidRPr="005F46EE">
        <w:rPr>
          <w:rFonts w:ascii="Book Antiqua" w:hAnsi="Book Antiqua"/>
          <w:color w:val="000000" w:themeColor="text1"/>
          <w:sz w:val="24"/>
        </w:rPr>
        <w:t xml:space="preserve"> and contributed to manuscript drafting and editing; Guo HB and Pan XY collected the record and contributed to manuscript drafting; </w:t>
      </w:r>
      <w:r w:rsidR="00FF40DD">
        <w:rPr>
          <w:rFonts w:ascii="Book Antiqua" w:hAnsi="Book Antiqua"/>
          <w:color w:val="000000" w:themeColor="text1"/>
          <w:sz w:val="24"/>
        </w:rPr>
        <w:t>a</w:t>
      </w:r>
      <w:r w:rsidR="00FF40DD" w:rsidRPr="005F46EE">
        <w:rPr>
          <w:rFonts w:ascii="Book Antiqua" w:hAnsi="Book Antiqua"/>
          <w:color w:val="000000" w:themeColor="text1"/>
          <w:sz w:val="24"/>
        </w:rPr>
        <w:t xml:space="preserve">ll </w:t>
      </w:r>
      <w:r w:rsidR="00541197" w:rsidRPr="005F46EE">
        <w:rPr>
          <w:rFonts w:ascii="Book Antiqua" w:hAnsi="Book Antiqua"/>
          <w:color w:val="000000" w:themeColor="text1"/>
          <w:sz w:val="24"/>
        </w:rPr>
        <w:t>authors issued final approval for the version to be submitted.</w:t>
      </w:r>
    </w:p>
    <w:p w14:paraId="0C689EC6" w14:textId="77777777" w:rsidR="00066A0A" w:rsidRPr="005F46EE" w:rsidRDefault="00066A0A" w:rsidP="005F46EE">
      <w:pPr>
        <w:snapToGrid w:val="0"/>
        <w:spacing w:line="360" w:lineRule="auto"/>
        <w:rPr>
          <w:rFonts w:ascii="Book Antiqua" w:hAnsi="Book Antiqua"/>
          <w:b/>
          <w:bCs/>
          <w:color w:val="000000" w:themeColor="text1"/>
          <w:sz w:val="24"/>
        </w:rPr>
      </w:pPr>
    </w:p>
    <w:p w14:paraId="249FD032" w14:textId="77777777" w:rsidR="00066A0A" w:rsidRPr="005F46EE" w:rsidRDefault="004E3039" w:rsidP="005F46EE">
      <w:pPr>
        <w:snapToGrid w:val="0"/>
        <w:spacing w:line="360" w:lineRule="auto"/>
        <w:rPr>
          <w:rFonts w:ascii="Book Antiqua" w:hAnsi="Book Antiqua"/>
          <w:color w:val="000000" w:themeColor="text1"/>
          <w:sz w:val="24"/>
        </w:rPr>
      </w:pPr>
      <w:r w:rsidRPr="005F46EE">
        <w:rPr>
          <w:rFonts w:ascii="Book Antiqua" w:hAnsi="Book Antiqua" w:cstheme="minorHAnsi"/>
          <w:b/>
          <w:sz w:val="24"/>
        </w:rPr>
        <w:t xml:space="preserve">Corresponding author: </w:t>
      </w:r>
      <w:r w:rsidR="00541197" w:rsidRPr="005F46EE">
        <w:rPr>
          <w:rFonts w:ascii="Book Antiqua" w:hAnsi="Book Antiqua"/>
          <w:b/>
          <w:bCs/>
          <w:color w:val="000000" w:themeColor="text1"/>
          <w:sz w:val="24"/>
        </w:rPr>
        <w:t>Wan</w:t>
      </w:r>
      <w:r w:rsidRPr="005F46EE">
        <w:rPr>
          <w:rFonts w:ascii="Book Antiqua" w:hAnsi="Book Antiqua"/>
          <w:b/>
          <w:bCs/>
          <w:color w:val="000000" w:themeColor="text1"/>
          <w:sz w:val="24"/>
        </w:rPr>
        <w:t xml:space="preserve">-Xing </w:t>
      </w:r>
      <w:r w:rsidR="00541197" w:rsidRPr="005F46EE">
        <w:rPr>
          <w:rFonts w:ascii="Book Antiqua" w:hAnsi="Book Antiqua"/>
          <w:b/>
          <w:bCs/>
          <w:color w:val="000000" w:themeColor="text1"/>
          <w:sz w:val="24"/>
        </w:rPr>
        <w:t>Zhang,</w:t>
      </w:r>
      <w:r w:rsidRPr="005F46EE">
        <w:rPr>
          <w:rFonts w:ascii="Book Antiqua" w:hAnsi="Book Antiqua"/>
          <w:b/>
          <w:bCs/>
          <w:sz w:val="24"/>
        </w:rPr>
        <w:t xml:space="preserve"> </w:t>
      </w:r>
      <w:r w:rsidRPr="005F46EE">
        <w:rPr>
          <w:rFonts w:ascii="Book Antiqua" w:hAnsi="Book Antiqua"/>
          <w:b/>
          <w:bCs/>
          <w:color w:val="000000" w:themeColor="text1"/>
          <w:sz w:val="24"/>
        </w:rPr>
        <w:t>MD, Chief Doctor, Professor,</w:t>
      </w:r>
      <w:r w:rsidR="00541197" w:rsidRPr="005F46EE">
        <w:rPr>
          <w:rFonts w:ascii="Book Antiqua" w:hAnsi="Book Antiqua"/>
          <w:b/>
          <w:bCs/>
          <w:color w:val="000000" w:themeColor="text1"/>
          <w:sz w:val="24"/>
        </w:rPr>
        <w:t xml:space="preserve"> </w:t>
      </w:r>
      <w:r w:rsidRPr="005F46EE">
        <w:rPr>
          <w:rFonts w:ascii="Book Antiqua" w:hAnsi="Book Antiqua"/>
          <w:color w:val="000000" w:themeColor="text1"/>
          <w:sz w:val="24"/>
        </w:rPr>
        <w:t>Department of Hepatobiliary, Hebei General Hospital</w:t>
      </w:r>
      <w:r w:rsidR="00541197" w:rsidRPr="005F46EE">
        <w:rPr>
          <w:rFonts w:ascii="Book Antiqua" w:hAnsi="Book Antiqua"/>
          <w:color w:val="000000" w:themeColor="text1"/>
          <w:sz w:val="24"/>
        </w:rPr>
        <w:t xml:space="preserve">, No. 348, Heping West Road, Xinhua District, </w:t>
      </w:r>
      <w:r w:rsidRPr="005F46EE">
        <w:rPr>
          <w:rFonts w:ascii="Book Antiqua" w:hAnsi="Book Antiqua"/>
          <w:color w:val="000000" w:themeColor="text1"/>
          <w:sz w:val="24"/>
        </w:rPr>
        <w:t xml:space="preserve">Shijiazhuang 050017, Hebei Province, China. </w:t>
      </w:r>
      <w:r w:rsidR="00541197" w:rsidRPr="005F46EE">
        <w:rPr>
          <w:rFonts w:ascii="Book Antiqua" w:hAnsi="Book Antiqua"/>
          <w:color w:val="000000" w:themeColor="text1"/>
          <w:sz w:val="24"/>
          <w:u w:val="single"/>
        </w:rPr>
        <w:t>zhangwx12@hotmail.com</w:t>
      </w:r>
    </w:p>
    <w:p w14:paraId="2202E5D5" w14:textId="77777777" w:rsidR="004E3039" w:rsidRPr="005F46EE" w:rsidRDefault="004E3039" w:rsidP="005F46EE">
      <w:pPr>
        <w:widowControl/>
        <w:snapToGrid w:val="0"/>
        <w:spacing w:line="360" w:lineRule="auto"/>
        <w:rPr>
          <w:rFonts w:ascii="Book Antiqua" w:hAnsi="Book Antiqua"/>
          <w:color w:val="000000" w:themeColor="text1"/>
          <w:sz w:val="24"/>
        </w:rPr>
      </w:pPr>
    </w:p>
    <w:p w14:paraId="6437E3C9" w14:textId="77777777" w:rsidR="004E3039" w:rsidRPr="005F46EE" w:rsidRDefault="004E3039" w:rsidP="005F46EE">
      <w:pPr>
        <w:snapToGrid w:val="0"/>
        <w:spacing w:line="360" w:lineRule="auto"/>
        <w:rPr>
          <w:rFonts w:ascii="Book Antiqua" w:hAnsi="Book Antiqua"/>
          <w:b/>
          <w:sz w:val="24"/>
        </w:rPr>
      </w:pPr>
      <w:r w:rsidRPr="005F46EE">
        <w:rPr>
          <w:rFonts w:ascii="Book Antiqua" w:hAnsi="Book Antiqua"/>
          <w:b/>
          <w:sz w:val="24"/>
        </w:rPr>
        <w:t xml:space="preserve">Received: </w:t>
      </w:r>
      <w:r w:rsidRPr="005F46EE">
        <w:rPr>
          <w:rFonts w:ascii="Book Antiqua" w:hAnsi="Book Antiqua"/>
          <w:bCs/>
          <w:sz w:val="24"/>
        </w:rPr>
        <w:t>January 14</w:t>
      </w:r>
      <w:r w:rsidRPr="005F46EE">
        <w:rPr>
          <w:rFonts w:ascii="Book Antiqua" w:hAnsi="Book Antiqua"/>
          <w:sz w:val="24"/>
        </w:rPr>
        <w:t>, 2020</w:t>
      </w:r>
    </w:p>
    <w:p w14:paraId="4F2A73D4" w14:textId="77777777" w:rsidR="004E3039" w:rsidRPr="005F46EE" w:rsidRDefault="004E3039" w:rsidP="005F46EE">
      <w:pPr>
        <w:snapToGrid w:val="0"/>
        <w:spacing w:line="360" w:lineRule="auto"/>
        <w:rPr>
          <w:rFonts w:ascii="Book Antiqua" w:hAnsi="Book Antiqua"/>
          <w:b/>
          <w:sz w:val="24"/>
        </w:rPr>
      </w:pPr>
      <w:r w:rsidRPr="005F46EE">
        <w:rPr>
          <w:rFonts w:ascii="Book Antiqua" w:hAnsi="Book Antiqua"/>
          <w:b/>
          <w:sz w:val="24"/>
        </w:rPr>
        <w:t xml:space="preserve">Revised: </w:t>
      </w:r>
      <w:r w:rsidRPr="005F46EE">
        <w:rPr>
          <w:rFonts w:ascii="Book Antiqua" w:hAnsi="Book Antiqua"/>
          <w:bCs/>
          <w:sz w:val="24"/>
        </w:rPr>
        <w:t xml:space="preserve">April </w:t>
      </w:r>
      <w:r w:rsidRPr="005F46EE">
        <w:rPr>
          <w:rFonts w:ascii="Book Antiqua" w:hAnsi="Book Antiqua"/>
          <w:sz w:val="24"/>
        </w:rPr>
        <w:t>25, 2020</w:t>
      </w:r>
    </w:p>
    <w:p w14:paraId="2AAA75BE" w14:textId="70822912" w:rsidR="004E3039" w:rsidRPr="005F46EE" w:rsidRDefault="004E3039" w:rsidP="005F46EE">
      <w:pPr>
        <w:snapToGrid w:val="0"/>
        <w:spacing w:line="360" w:lineRule="auto"/>
        <w:rPr>
          <w:rFonts w:ascii="Book Antiqua" w:hAnsi="Book Antiqua"/>
          <w:b/>
          <w:sz w:val="24"/>
        </w:rPr>
      </w:pPr>
      <w:r w:rsidRPr="005F46EE">
        <w:rPr>
          <w:rFonts w:ascii="Book Antiqua" w:hAnsi="Book Antiqua"/>
          <w:b/>
          <w:sz w:val="24"/>
        </w:rPr>
        <w:t>Accepted:</w:t>
      </w:r>
      <w:r w:rsidR="00B24357" w:rsidRPr="005F46EE">
        <w:rPr>
          <w:sz w:val="24"/>
        </w:rPr>
        <w:t xml:space="preserve"> </w:t>
      </w:r>
      <w:r w:rsidR="00B24357" w:rsidRPr="005F46EE">
        <w:rPr>
          <w:rFonts w:ascii="Book Antiqua" w:hAnsi="Book Antiqua"/>
          <w:bCs/>
          <w:sz w:val="24"/>
        </w:rPr>
        <w:t>May 29, 2020</w:t>
      </w:r>
      <w:r w:rsidRPr="005F46EE">
        <w:rPr>
          <w:rFonts w:ascii="Book Antiqua" w:hAnsi="Book Antiqua"/>
          <w:sz w:val="24"/>
        </w:rPr>
        <w:t xml:space="preserve"> </w:t>
      </w:r>
    </w:p>
    <w:p w14:paraId="3A85E5A5" w14:textId="01DF6962" w:rsidR="00066A0A" w:rsidRPr="005F46EE" w:rsidRDefault="004E3039" w:rsidP="00FF40DD">
      <w:pPr>
        <w:snapToGrid w:val="0"/>
        <w:spacing w:line="360" w:lineRule="auto"/>
        <w:rPr>
          <w:rFonts w:ascii="Book Antiqua" w:hAnsi="Book Antiqua"/>
          <w:color w:val="000000" w:themeColor="text1"/>
          <w:sz w:val="24"/>
        </w:rPr>
      </w:pPr>
      <w:r w:rsidRPr="005F46EE">
        <w:rPr>
          <w:rFonts w:ascii="Book Antiqua" w:hAnsi="Book Antiqua"/>
          <w:b/>
          <w:sz w:val="24"/>
        </w:rPr>
        <w:t xml:space="preserve">Published online: </w:t>
      </w:r>
      <w:r w:rsidR="00C015BE" w:rsidRPr="00C015BE">
        <w:rPr>
          <w:rFonts w:ascii="Book Antiqua" w:hAnsi="Book Antiqua"/>
          <w:sz w:val="24"/>
        </w:rPr>
        <w:t>June 26, 2020</w:t>
      </w:r>
      <w:r w:rsidR="00541197" w:rsidRPr="005F46EE">
        <w:rPr>
          <w:rFonts w:ascii="Book Antiqua" w:hAnsi="Book Antiqua"/>
          <w:color w:val="000000" w:themeColor="text1"/>
          <w:sz w:val="24"/>
        </w:rPr>
        <w:br w:type="page"/>
      </w:r>
    </w:p>
    <w:p w14:paraId="3DC7BBDD" w14:textId="77777777" w:rsidR="004E3039" w:rsidRPr="005F46EE" w:rsidRDefault="004E3039" w:rsidP="005F46EE">
      <w:pPr>
        <w:autoSpaceDE w:val="0"/>
        <w:autoSpaceDN w:val="0"/>
        <w:adjustRightInd w:val="0"/>
        <w:snapToGrid w:val="0"/>
        <w:spacing w:line="360" w:lineRule="auto"/>
        <w:rPr>
          <w:rFonts w:ascii="Book Antiqua" w:hAnsi="Book Antiqua" w:cstheme="minorHAnsi"/>
          <w:b/>
          <w:sz w:val="24"/>
        </w:rPr>
      </w:pPr>
      <w:bookmarkStart w:id="9" w:name="OLE_LINK2"/>
      <w:r w:rsidRPr="005F46EE">
        <w:rPr>
          <w:rFonts w:ascii="Book Antiqua" w:hAnsi="Book Antiqua" w:cstheme="minorHAnsi"/>
          <w:b/>
          <w:sz w:val="24"/>
        </w:rPr>
        <w:lastRenderedPageBreak/>
        <w:t>Abstract</w:t>
      </w:r>
    </w:p>
    <w:p w14:paraId="327EEDB8" w14:textId="77777777" w:rsidR="004E3039" w:rsidRPr="005F46EE" w:rsidRDefault="004E3039" w:rsidP="005F46EE">
      <w:pPr>
        <w:autoSpaceDE w:val="0"/>
        <w:autoSpaceDN w:val="0"/>
        <w:adjustRightInd w:val="0"/>
        <w:snapToGrid w:val="0"/>
        <w:spacing w:line="360" w:lineRule="auto"/>
        <w:rPr>
          <w:rFonts w:ascii="Book Antiqua" w:hAnsi="Book Antiqua" w:cstheme="minorHAnsi"/>
          <w:sz w:val="24"/>
        </w:rPr>
      </w:pPr>
      <w:r w:rsidRPr="005F46EE">
        <w:rPr>
          <w:rFonts w:ascii="Book Antiqua" w:hAnsi="Book Antiqua" w:cstheme="minorHAnsi"/>
          <w:sz w:val="24"/>
        </w:rPr>
        <w:t>BACKGROUND</w:t>
      </w:r>
    </w:p>
    <w:p w14:paraId="4A727CEA" w14:textId="4A9DA59A"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Multiple endocrine neoplasia type 1 (MEN1) is a rare hereditary disorder caused by mutations of the </w:t>
      </w:r>
      <w:r w:rsidRPr="005F46EE">
        <w:rPr>
          <w:rFonts w:ascii="Book Antiqua" w:hAnsi="Book Antiqua"/>
          <w:i/>
          <w:color w:val="000000" w:themeColor="text1"/>
          <w:sz w:val="24"/>
        </w:rPr>
        <w:t>MEN1</w:t>
      </w:r>
      <w:r w:rsidRPr="005F46EE">
        <w:rPr>
          <w:rFonts w:ascii="Book Antiqua" w:hAnsi="Book Antiqua"/>
          <w:color w:val="000000" w:themeColor="text1"/>
          <w:sz w:val="24"/>
        </w:rPr>
        <w:t xml:space="preserve"> gene</w:t>
      </w:r>
      <w:r w:rsidR="00B837AA" w:rsidRPr="005F46EE">
        <w:rPr>
          <w:rFonts w:ascii="Book Antiqua" w:hAnsi="Book Antiqua"/>
          <w:color w:val="000000" w:themeColor="text1"/>
          <w:sz w:val="24"/>
        </w:rPr>
        <w:t xml:space="preserve">. It </w:t>
      </w:r>
      <w:r w:rsidRPr="005F46EE">
        <w:rPr>
          <w:rFonts w:ascii="Book Antiqua" w:hAnsi="Book Antiqua"/>
          <w:color w:val="000000" w:themeColor="text1"/>
          <w:sz w:val="24"/>
        </w:rPr>
        <w:t>is characterized by hyperparathyroidism and involves the pancreas, anterior pituitary, duodenum, and adrenal gland. Here</w:t>
      </w:r>
      <w:r w:rsidR="00B837AA" w:rsidRPr="005F46EE">
        <w:rPr>
          <w:rFonts w:ascii="Book Antiqua" w:hAnsi="Book Antiqua"/>
          <w:color w:val="000000" w:themeColor="text1"/>
          <w:sz w:val="24"/>
        </w:rPr>
        <w:t>,</w:t>
      </w:r>
      <w:r w:rsidRPr="005F46EE">
        <w:rPr>
          <w:rFonts w:ascii="Book Antiqua" w:hAnsi="Book Antiqua"/>
          <w:color w:val="000000" w:themeColor="text1"/>
          <w:sz w:val="24"/>
        </w:rPr>
        <w:t xml:space="preserve"> we report a 40-year-old male patient with</w:t>
      </w:r>
      <w:r w:rsidRPr="005F46EE">
        <w:rPr>
          <w:rFonts w:ascii="Book Antiqua" w:hAnsi="Book Antiqua"/>
          <w:b/>
          <w:color w:val="000000" w:themeColor="text1"/>
          <w:sz w:val="24"/>
        </w:rPr>
        <w:t xml:space="preserve"> </w:t>
      </w:r>
      <w:r w:rsidRPr="005F46EE">
        <w:rPr>
          <w:rFonts w:ascii="Book Antiqua" w:hAnsi="Book Antiqua"/>
          <w:color w:val="000000" w:themeColor="text1"/>
          <w:sz w:val="24"/>
        </w:rPr>
        <w:t xml:space="preserve">MEN1 </w:t>
      </w:r>
      <w:r w:rsidR="00B837AA" w:rsidRPr="005F46EE">
        <w:rPr>
          <w:rFonts w:ascii="Book Antiqua" w:hAnsi="Book Antiqua"/>
          <w:color w:val="000000" w:themeColor="text1"/>
          <w:sz w:val="24"/>
        </w:rPr>
        <w:t xml:space="preserve">who </w:t>
      </w:r>
      <w:r w:rsidRPr="005F46EE">
        <w:rPr>
          <w:rFonts w:ascii="Book Antiqua" w:hAnsi="Book Antiqua"/>
          <w:color w:val="000000" w:themeColor="text1"/>
          <w:sz w:val="24"/>
        </w:rPr>
        <w:t>first manifest</w:t>
      </w:r>
      <w:r w:rsidR="00B837AA" w:rsidRPr="005F46EE">
        <w:rPr>
          <w:rFonts w:ascii="Book Antiqua" w:hAnsi="Book Antiqua"/>
          <w:color w:val="000000" w:themeColor="text1"/>
          <w:sz w:val="24"/>
        </w:rPr>
        <w:t>ed</w:t>
      </w:r>
      <w:r w:rsidRPr="005F46EE">
        <w:rPr>
          <w:rFonts w:ascii="Book Antiqua" w:hAnsi="Book Antiqua"/>
          <w:color w:val="000000" w:themeColor="text1"/>
          <w:sz w:val="24"/>
        </w:rPr>
        <w:t xml:space="preserve"> as </w:t>
      </w:r>
      <w:proofErr w:type="spellStart"/>
      <w:r w:rsidRPr="005F46EE">
        <w:rPr>
          <w:rFonts w:ascii="Book Antiqua" w:hAnsi="Book Antiqua"/>
          <w:color w:val="000000" w:themeColor="text1"/>
          <w:sz w:val="24"/>
        </w:rPr>
        <w:t>thymic</w:t>
      </w:r>
      <w:proofErr w:type="spellEnd"/>
      <w:r w:rsidRPr="005F46EE">
        <w:rPr>
          <w:rFonts w:ascii="Book Antiqua" w:hAnsi="Book Antiqua"/>
          <w:color w:val="000000" w:themeColor="text1"/>
          <w:sz w:val="24"/>
        </w:rPr>
        <w:t xml:space="preserve"> carcinoid, then primary hyperparathyroidism and prolactinoma, </w:t>
      </w:r>
      <w:r w:rsidR="00B837AA" w:rsidRPr="005F46EE">
        <w:rPr>
          <w:rFonts w:ascii="Book Antiqua" w:hAnsi="Book Antiqua"/>
          <w:color w:val="000000" w:themeColor="text1"/>
          <w:sz w:val="24"/>
        </w:rPr>
        <w:t>and a decade later</w:t>
      </w:r>
      <w:r w:rsidRPr="005F46EE">
        <w:rPr>
          <w:rFonts w:ascii="Book Antiqua" w:hAnsi="Book Antiqua"/>
          <w:color w:val="000000" w:themeColor="text1"/>
          <w:sz w:val="24"/>
        </w:rPr>
        <w:t xml:space="preserve"> pancreatic neuroendocrine tumor.</w:t>
      </w:r>
    </w:p>
    <w:p w14:paraId="252F0B61" w14:textId="77777777" w:rsidR="0040007F" w:rsidRPr="005F46EE" w:rsidRDefault="0040007F" w:rsidP="005F46EE">
      <w:pPr>
        <w:snapToGrid w:val="0"/>
        <w:spacing w:line="360" w:lineRule="auto"/>
        <w:rPr>
          <w:rFonts w:ascii="Book Antiqua" w:hAnsi="Book Antiqua"/>
          <w:color w:val="000000" w:themeColor="text1"/>
          <w:sz w:val="24"/>
        </w:rPr>
      </w:pPr>
    </w:p>
    <w:p w14:paraId="18D45112" w14:textId="77777777" w:rsidR="004E3039" w:rsidRPr="005F46EE" w:rsidRDefault="004E3039" w:rsidP="005F46EE">
      <w:pPr>
        <w:autoSpaceDE w:val="0"/>
        <w:autoSpaceDN w:val="0"/>
        <w:adjustRightInd w:val="0"/>
        <w:snapToGrid w:val="0"/>
        <w:spacing w:line="360" w:lineRule="auto"/>
        <w:rPr>
          <w:rFonts w:ascii="Book Antiqua" w:hAnsi="Book Antiqua" w:cstheme="minorHAnsi"/>
          <w:sz w:val="24"/>
        </w:rPr>
      </w:pPr>
      <w:r w:rsidRPr="005F46EE">
        <w:rPr>
          <w:rFonts w:ascii="Book Antiqua" w:hAnsi="Book Antiqua" w:cstheme="minorHAnsi"/>
          <w:sz w:val="24"/>
        </w:rPr>
        <w:t>CASE SUMMARY</w:t>
      </w:r>
    </w:p>
    <w:p w14:paraId="2436E84C" w14:textId="47454B83"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The patient underwent a thymectomy because of the </w:t>
      </w:r>
      <w:proofErr w:type="spellStart"/>
      <w:r w:rsidRPr="005F46EE">
        <w:rPr>
          <w:rFonts w:ascii="Book Antiqua" w:hAnsi="Book Antiqua"/>
          <w:color w:val="000000" w:themeColor="text1"/>
          <w:sz w:val="24"/>
        </w:rPr>
        <w:t>thymic</w:t>
      </w:r>
      <w:proofErr w:type="spellEnd"/>
      <w:r w:rsidRPr="005F46EE">
        <w:rPr>
          <w:rFonts w:ascii="Book Antiqua" w:hAnsi="Book Antiqua"/>
          <w:color w:val="000000" w:themeColor="text1"/>
          <w:sz w:val="24"/>
        </w:rPr>
        <w:t xml:space="preserve"> carcinoid </w:t>
      </w:r>
      <w:r w:rsidR="00B837AA" w:rsidRPr="005F46EE">
        <w:rPr>
          <w:rFonts w:ascii="Book Antiqua" w:hAnsi="Book Antiqua"/>
          <w:color w:val="000000" w:themeColor="text1"/>
          <w:sz w:val="24"/>
        </w:rPr>
        <w:t xml:space="preserve">10 </w:t>
      </w:r>
      <w:r w:rsidRPr="005F46EE">
        <w:rPr>
          <w:rFonts w:ascii="Book Antiqua" w:hAnsi="Book Antiqua"/>
          <w:color w:val="000000" w:themeColor="text1"/>
          <w:sz w:val="24"/>
        </w:rPr>
        <w:t xml:space="preserve">years prior and a </w:t>
      </w:r>
      <w:proofErr w:type="spellStart"/>
      <w:r w:rsidRPr="005F46EE">
        <w:rPr>
          <w:rFonts w:ascii="Book Antiqua" w:hAnsi="Book Antiqua"/>
          <w:color w:val="000000" w:themeColor="text1"/>
          <w:sz w:val="24"/>
        </w:rPr>
        <w:t>prolactinoma</w:t>
      </w:r>
      <w:proofErr w:type="spellEnd"/>
      <w:r w:rsidRPr="005F46EE">
        <w:rPr>
          <w:rFonts w:ascii="Book Antiqua" w:hAnsi="Book Antiqua"/>
          <w:color w:val="000000" w:themeColor="text1"/>
          <w:sz w:val="24"/>
        </w:rPr>
        <w:t xml:space="preserve"> resection </w:t>
      </w:r>
      <w:r w:rsidR="00B837AA" w:rsidRPr="005F46EE">
        <w:rPr>
          <w:rFonts w:ascii="Book Antiqua" w:hAnsi="Book Antiqua"/>
          <w:bCs/>
          <w:color w:val="000000" w:themeColor="text1"/>
          <w:sz w:val="24"/>
        </w:rPr>
        <w:t xml:space="preserve">2 </w:t>
      </w:r>
      <w:r w:rsidRPr="005F46EE">
        <w:rPr>
          <w:rFonts w:ascii="Book Antiqua" w:hAnsi="Book Antiqua"/>
          <w:bCs/>
          <w:color w:val="000000" w:themeColor="text1"/>
          <w:sz w:val="24"/>
        </w:rPr>
        <w:t>years</w:t>
      </w:r>
      <w:r w:rsidRPr="005F46EE">
        <w:rPr>
          <w:rFonts w:ascii="Book Antiqua" w:hAnsi="Book Antiqua"/>
          <w:color w:val="000000" w:themeColor="text1"/>
          <w:sz w:val="24"/>
        </w:rPr>
        <w:t xml:space="preserve"> prior. </w:t>
      </w:r>
      <w:r w:rsidRPr="005F46EE">
        <w:rPr>
          <w:rFonts w:ascii="Book Antiqua" w:hAnsi="Book Antiqua"/>
          <w:bCs/>
          <w:color w:val="000000" w:themeColor="text1"/>
          <w:sz w:val="24"/>
        </w:rPr>
        <w:t xml:space="preserve">His </w:t>
      </w:r>
      <w:r w:rsidRPr="005F46EE">
        <w:rPr>
          <w:rFonts w:ascii="Book Antiqua" w:hAnsi="Book Antiqua"/>
          <w:color w:val="000000" w:themeColor="text1"/>
          <w:sz w:val="24"/>
        </w:rPr>
        <w:t>sister suffered from prolactinoma. His parents displayed a typical triad of amenorrhea, galactorrhea, and infertility. Computed tomography revealed a strong signal in the upper portion of the left lobes and posterior portion of the right lobes of the thyroid and irregular soft tissue densities of the pancreatic body. Positron emission tomography/</w:t>
      </w:r>
      <w:r w:rsidR="00100FA4" w:rsidRPr="005F46EE">
        <w:rPr>
          <w:rFonts w:ascii="Book Antiqua" w:hAnsi="Book Antiqua"/>
          <w:color w:val="000000" w:themeColor="text1"/>
          <w:sz w:val="24"/>
        </w:rPr>
        <w:t>computed tomography</w:t>
      </w:r>
      <w:r w:rsidRPr="005F46EE">
        <w:rPr>
          <w:rFonts w:ascii="Book Antiqua" w:hAnsi="Book Antiqua"/>
          <w:color w:val="000000" w:themeColor="text1"/>
          <w:sz w:val="24"/>
        </w:rPr>
        <w:t xml:space="preserve"> imaging further showed strong </w:t>
      </w:r>
      <w:r w:rsidRPr="005F46EE">
        <w:rPr>
          <w:rFonts w:ascii="Book Antiqua" w:hAnsi="Book Antiqua"/>
          <w:color w:val="000000" w:themeColor="text1"/>
          <w:sz w:val="24"/>
          <w:vertAlign w:val="superscript"/>
        </w:rPr>
        <w:t>18</w:t>
      </w:r>
      <w:r w:rsidRPr="005F46EE">
        <w:rPr>
          <w:rFonts w:ascii="Book Antiqua" w:hAnsi="Book Antiqua"/>
          <w:color w:val="000000" w:themeColor="text1"/>
          <w:sz w:val="24"/>
        </w:rPr>
        <w:t>F-</w:t>
      </w:r>
      <w:r w:rsidR="00100FA4" w:rsidRPr="005F46EE">
        <w:rPr>
          <w:rFonts w:ascii="Book Antiqua" w:hAnsi="Book Antiqua"/>
          <w:color w:val="000000" w:themeColor="text1"/>
          <w:sz w:val="24"/>
        </w:rPr>
        <w:t>flurodeoxyglucose</w:t>
      </w:r>
      <w:r w:rsidRPr="005F46EE">
        <w:rPr>
          <w:rFonts w:ascii="Book Antiqua" w:hAnsi="Book Antiqua"/>
          <w:color w:val="000000" w:themeColor="text1"/>
          <w:sz w:val="24"/>
        </w:rPr>
        <w:t xml:space="preserve"> uptake in the tail of the pancreatic body and segment IV of the liver. The patient underwent pancreatic body tail resection, pancreatic head mass enucleation, and ultrasound-guided radio-frequency ablation for liver cancer. Pathology results reported </w:t>
      </w:r>
      <w:r w:rsidR="00100FA4" w:rsidRPr="005F46EE">
        <w:rPr>
          <w:rFonts w:ascii="Book Antiqua" w:hAnsi="Book Antiqua"/>
          <w:color w:val="000000" w:themeColor="text1"/>
          <w:sz w:val="24"/>
        </w:rPr>
        <w:t>neuroendocrine tumor</w:t>
      </w:r>
      <w:r w:rsidRPr="005F46EE">
        <w:rPr>
          <w:rFonts w:ascii="Book Antiqua" w:hAnsi="Book Antiqua"/>
          <w:color w:val="000000" w:themeColor="text1"/>
          <w:sz w:val="24"/>
        </w:rPr>
        <w:t xml:space="preserve"> grade 2. Whole exome sequencing revealed a verified pathogenic mutation c.378G&gt;A (p.Trp126*) in the </w:t>
      </w:r>
      <w:r w:rsidRPr="005F46EE">
        <w:rPr>
          <w:rFonts w:ascii="Book Antiqua" w:hAnsi="Book Antiqua"/>
          <w:i/>
          <w:color w:val="000000" w:themeColor="text1"/>
          <w:sz w:val="24"/>
        </w:rPr>
        <w:t>MEN1</w:t>
      </w:r>
      <w:r w:rsidRPr="005F46EE">
        <w:rPr>
          <w:rFonts w:ascii="Book Antiqua" w:hAnsi="Book Antiqua"/>
          <w:color w:val="000000" w:themeColor="text1"/>
          <w:sz w:val="24"/>
        </w:rPr>
        <w:t xml:space="preserve"> gene. The diagnosis of MEN1 was confirmed. At the 1.5-year follow-up, the patient appeared healthy without any sign of reoccurrence.</w:t>
      </w:r>
    </w:p>
    <w:p w14:paraId="697A6D65" w14:textId="77777777" w:rsidR="0040007F" w:rsidRPr="005F46EE" w:rsidRDefault="0040007F" w:rsidP="005F46EE">
      <w:pPr>
        <w:snapToGrid w:val="0"/>
        <w:spacing w:line="360" w:lineRule="auto"/>
        <w:rPr>
          <w:rFonts w:ascii="Book Antiqua" w:hAnsi="Book Antiqua"/>
          <w:color w:val="000000" w:themeColor="text1"/>
          <w:sz w:val="24"/>
        </w:rPr>
      </w:pPr>
    </w:p>
    <w:p w14:paraId="18C3A7F7" w14:textId="77777777" w:rsidR="004E3039" w:rsidRPr="005F46EE" w:rsidRDefault="004E3039" w:rsidP="005F46EE">
      <w:pPr>
        <w:snapToGrid w:val="0"/>
        <w:spacing w:line="360" w:lineRule="auto"/>
        <w:rPr>
          <w:rFonts w:ascii="Book Antiqua" w:hAnsi="Book Antiqua" w:cstheme="minorHAnsi"/>
          <w:sz w:val="24"/>
        </w:rPr>
      </w:pPr>
      <w:r w:rsidRPr="005F46EE">
        <w:rPr>
          <w:rFonts w:ascii="Book Antiqua" w:hAnsi="Book Antiqua" w:cstheme="minorHAnsi"/>
          <w:sz w:val="24"/>
        </w:rPr>
        <w:t>CONCLUSION</w:t>
      </w:r>
    </w:p>
    <w:p w14:paraId="250F744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The present case may add some insight into the diagnosis and treatment of patients with MEN1.</w:t>
      </w:r>
      <w:bookmarkEnd w:id="9"/>
    </w:p>
    <w:p w14:paraId="5CEC1DC2" w14:textId="77777777" w:rsidR="0040007F" w:rsidRPr="005F46EE" w:rsidRDefault="0040007F" w:rsidP="005F46EE">
      <w:pPr>
        <w:snapToGrid w:val="0"/>
        <w:spacing w:line="360" w:lineRule="auto"/>
        <w:rPr>
          <w:rFonts w:ascii="Book Antiqua" w:hAnsi="Book Antiqua"/>
          <w:color w:val="000000" w:themeColor="text1"/>
          <w:sz w:val="24"/>
        </w:rPr>
      </w:pPr>
    </w:p>
    <w:p w14:paraId="693E7922" w14:textId="77777777" w:rsidR="00066A0A" w:rsidRPr="005F46EE" w:rsidRDefault="004E3039" w:rsidP="005F46EE">
      <w:pPr>
        <w:snapToGrid w:val="0"/>
        <w:spacing w:line="360" w:lineRule="auto"/>
        <w:rPr>
          <w:rFonts w:ascii="Book Antiqua" w:hAnsi="Book Antiqua"/>
          <w:color w:val="000000" w:themeColor="text1"/>
          <w:sz w:val="24"/>
        </w:rPr>
      </w:pPr>
      <w:bookmarkStart w:id="10" w:name="OLE_LINK1"/>
      <w:r w:rsidRPr="005F46EE">
        <w:rPr>
          <w:rFonts w:ascii="Book Antiqua" w:hAnsi="Book Antiqua" w:cstheme="minorHAnsi"/>
          <w:b/>
          <w:sz w:val="24"/>
        </w:rPr>
        <w:t xml:space="preserve">Key words: </w:t>
      </w:r>
      <w:r w:rsidR="00541197" w:rsidRPr="005F46EE">
        <w:rPr>
          <w:rFonts w:ascii="Book Antiqua" w:hAnsi="Book Antiqua"/>
          <w:color w:val="000000" w:themeColor="text1"/>
          <w:sz w:val="24"/>
        </w:rPr>
        <w:t xml:space="preserve">Multiple endocrine neoplasia type 1; </w:t>
      </w:r>
      <w:r w:rsidR="0040007F" w:rsidRPr="005F46EE">
        <w:rPr>
          <w:rFonts w:ascii="Book Antiqua" w:hAnsi="Book Antiqua"/>
          <w:color w:val="000000" w:themeColor="text1"/>
          <w:sz w:val="24"/>
        </w:rPr>
        <w:t xml:space="preserve">Thymic </w:t>
      </w:r>
      <w:r w:rsidR="00541197" w:rsidRPr="005F46EE">
        <w:rPr>
          <w:rFonts w:ascii="Book Antiqua" w:hAnsi="Book Antiqua"/>
          <w:color w:val="000000" w:themeColor="text1"/>
          <w:sz w:val="24"/>
        </w:rPr>
        <w:t xml:space="preserve">carcinoid; </w:t>
      </w:r>
      <w:bookmarkEnd w:id="10"/>
      <w:r w:rsidR="0040007F" w:rsidRPr="005F46EE">
        <w:rPr>
          <w:rFonts w:ascii="Book Antiqua" w:hAnsi="Book Antiqua"/>
          <w:color w:val="000000" w:themeColor="text1"/>
          <w:sz w:val="24"/>
        </w:rPr>
        <w:t xml:space="preserve">Neuroendocrine </w:t>
      </w:r>
      <w:r w:rsidR="00541197" w:rsidRPr="005F46EE">
        <w:rPr>
          <w:rFonts w:ascii="Book Antiqua" w:hAnsi="Book Antiqua"/>
          <w:color w:val="000000" w:themeColor="text1"/>
          <w:sz w:val="24"/>
        </w:rPr>
        <w:t xml:space="preserve">tumor; </w:t>
      </w:r>
      <w:r w:rsidR="0040007F" w:rsidRPr="005F46EE">
        <w:rPr>
          <w:rFonts w:ascii="Book Antiqua" w:hAnsi="Book Antiqua"/>
          <w:color w:val="000000" w:themeColor="text1"/>
          <w:sz w:val="24"/>
        </w:rPr>
        <w:t xml:space="preserve">Case </w:t>
      </w:r>
      <w:r w:rsidR="00541197" w:rsidRPr="005F46EE">
        <w:rPr>
          <w:rFonts w:ascii="Book Antiqua" w:hAnsi="Book Antiqua"/>
          <w:color w:val="000000" w:themeColor="text1"/>
          <w:sz w:val="24"/>
        </w:rPr>
        <w:t>report</w:t>
      </w:r>
      <w:r w:rsidR="0040007F" w:rsidRPr="005F46EE">
        <w:rPr>
          <w:rFonts w:ascii="Book Antiqua" w:hAnsi="Book Antiqua"/>
          <w:color w:val="000000" w:themeColor="text1"/>
          <w:sz w:val="24"/>
        </w:rPr>
        <w:t xml:space="preserve">; Pancreas; </w:t>
      </w:r>
      <w:r w:rsidR="000954B1" w:rsidRPr="005F46EE">
        <w:rPr>
          <w:rFonts w:ascii="Book Antiqua" w:hAnsi="Book Antiqua"/>
          <w:color w:val="000000" w:themeColor="text1"/>
          <w:sz w:val="24"/>
        </w:rPr>
        <w:t>Tumor</w:t>
      </w:r>
    </w:p>
    <w:p w14:paraId="1CBA0F81" w14:textId="77777777" w:rsidR="004E3039" w:rsidRPr="005F46EE" w:rsidRDefault="004E3039" w:rsidP="005F46EE">
      <w:pPr>
        <w:snapToGrid w:val="0"/>
        <w:spacing w:line="360" w:lineRule="auto"/>
        <w:rPr>
          <w:rFonts w:ascii="Book Antiqua" w:hAnsi="Book Antiqua"/>
          <w:b/>
          <w:bCs/>
          <w:color w:val="000000" w:themeColor="text1"/>
          <w:sz w:val="24"/>
        </w:rPr>
      </w:pPr>
    </w:p>
    <w:p w14:paraId="547958B4" w14:textId="4CAF15DA" w:rsidR="00AB07D9" w:rsidRDefault="00D0152B" w:rsidP="005F46EE">
      <w:pPr>
        <w:adjustRightInd w:val="0"/>
        <w:snapToGrid w:val="0"/>
        <w:spacing w:line="360" w:lineRule="auto"/>
        <w:rPr>
          <w:rFonts w:ascii="Book Antiqua" w:hAnsi="Book Antiqua" w:hint="eastAsia"/>
          <w:bCs/>
          <w:sz w:val="24"/>
        </w:rPr>
      </w:pPr>
      <w:r w:rsidRPr="00D0152B">
        <w:rPr>
          <w:rFonts w:ascii="Book Antiqua" w:hAnsi="Book Antiqua" w:hint="eastAsia"/>
          <w:b/>
          <w:color w:val="000000" w:themeColor="text1"/>
          <w:sz w:val="24"/>
        </w:rPr>
        <w:t xml:space="preserve">Citation: </w:t>
      </w:r>
      <w:r w:rsidR="004E3039" w:rsidRPr="005F46EE">
        <w:rPr>
          <w:rFonts w:ascii="Book Antiqua" w:hAnsi="Book Antiqua"/>
          <w:color w:val="000000" w:themeColor="text1"/>
          <w:sz w:val="24"/>
        </w:rPr>
        <w:t xml:space="preserve">Ma CH, </w:t>
      </w:r>
      <w:proofErr w:type="spellStart"/>
      <w:r w:rsidR="004E3039" w:rsidRPr="005F46EE">
        <w:rPr>
          <w:rFonts w:ascii="Book Antiqua" w:hAnsi="Book Antiqua"/>
          <w:color w:val="000000" w:themeColor="text1"/>
          <w:sz w:val="24"/>
        </w:rPr>
        <w:t>Guo</w:t>
      </w:r>
      <w:proofErr w:type="spellEnd"/>
      <w:r w:rsidR="004E3039" w:rsidRPr="005F46EE">
        <w:rPr>
          <w:rFonts w:ascii="Book Antiqua" w:hAnsi="Book Antiqua"/>
          <w:color w:val="000000" w:themeColor="text1"/>
          <w:sz w:val="24"/>
        </w:rPr>
        <w:t xml:space="preserve"> HB, Pan XY, Zhang WX. Comprehensive treatment of rare multiple endocrine neoplasia type 1: A case report. </w:t>
      </w:r>
      <w:r w:rsidR="004E3039" w:rsidRPr="005F46EE">
        <w:rPr>
          <w:rFonts w:ascii="Book Antiqua" w:hAnsi="Book Antiqua"/>
          <w:i/>
          <w:iCs/>
          <w:sz w:val="24"/>
        </w:rPr>
        <w:t xml:space="preserve">World J </w:t>
      </w:r>
      <w:proofErr w:type="spellStart"/>
      <w:r w:rsidR="004E3039" w:rsidRPr="005F46EE">
        <w:rPr>
          <w:rFonts w:ascii="Book Antiqua" w:hAnsi="Book Antiqua"/>
          <w:i/>
          <w:iCs/>
          <w:sz w:val="24"/>
        </w:rPr>
        <w:t>Clin</w:t>
      </w:r>
      <w:proofErr w:type="spellEnd"/>
      <w:r w:rsidR="004E3039" w:rsidRPr="005F46EE">
        <w:rPr>
          <w:rFonts w:ascii="Book Antiqua" w:hAnsi="Book Antiqua"/>
          <w:i/>
          <w:iCs/>
          <w:sz w:val="24"/>
        </w:rPr>
        <w:t xml:space="preserve"> Cases </w:t>
      </w:r>
      <w:r w:rsidR="004E3039" w:rsidRPr="005F46EE">
        <w:rPr>
          <w:rFonts w:ascii="Book Antiqua" w:hAnsi="Book Antiqua"/>
          <w:iCs/>
          <w:sz w:val="24"/>
        </w:rPr>
        <w:t>2020</w:t>
      </w:r>
      <w:r w:rsidR="004E3039" w:rsidRPr="005F46EE">
        <w:rPr>
          <w:rFonts w:ascii="Book Antiqua" w:hAnsi="Book Antiqua"/>
          <w:bCs/>
          <w:sz w:val="24"/>
        </w:rPr>
        <w:t xml:space="preserve">; </w:t>
      </w:r>
      <w:r w:rsidR="00C015BE" w:rsidRPr="00C015BE">
        <w:rPr>
          <w:rFonts w:ascii="Book Antiqua" w:hAnsi="Book Antiqua"/>
          <w:bCs/>
          <w:sz w:val="24"/>
        </w:rPr>
        <w:t xml:space="preserve">8(12): </w:t>
      </w:r>
      <w:r w:rsidR="00AB07D9" w:rsidRPr="00AB07D9">
        <w:rPr>
          <w:rFonts w:ascii="Book Antiqua" w:hAnsi="Book Antiqua"/>
          <w:bCs/>
          <w:sz w:val="24"/>
        </w:rPr>
        <w:t>2647-2654</w:t>
      </w:r>
      <w:r w:rsidR="00C015BE" w:rsidRPr="00C015BE">
        <w:rPr>
          <w:rFonts w:ascii="Book Antiqua" w:hAnsi="Book Antiqua"/>
          <w:bCs/>
          <w:sz w:val="24"/>
        </w:rPr>
        <w:t xml:space="preserve"> </w:t>
      </w:r>
    </w:p>
    <w:p w14:paraId="7453DA23" w14:textId="0314563E" w:rsidR="00AB07D9" w:rsidRDefault="00C015BE" w:rsidP="005F46EE">
      <w:pPr>
        <w:adjustRightInd w:val="0"/>
        <w:snapToGrid w:val="0"/>
        <w:spacing w:line="360" w:lineRule="auto"/>
        <w:rPr>
          <w:rFonts w:ascii="Book Antiqua" w:hAnsi="Book Antiqua" w:hint="eastAsia"/>
          <w:bCs/>
          <w:sz w:val="24"/>
        </w:rPr>
      </w:pPr>
      <w:r w:rsidRPr="00D0152B">
        <w:rPr>
          <w:rFonts w:ascii="Book Antiqua" w:hAnsi="Book Antiqua"/>
          <w:b/>
          <w:bCs/>
          <w:sz w:val="24"/>
        </w:rPr>
        <w:t xml:space="preserve">URL: </w:t>
      </w:r>
      <w:r w:rsidRPr="00C015BE">
        <w:rPr>
          <w:rFonts w:ascii="Book Antiqua" w:hAnsi="Book Antiqua"/>
          <w:bCs/>
          <w:sz w:val="24"/>
        </w:rPr>
        <w:t>https://www.wjgnet.com/2307-8960/full/v8/i12/</w:t>
      </w:r>
      <w:r w:rsidR="00AB07D9">
        <w:rPr>
          <w:rFonts w:ascii="Book Antiqua" w:hAnsi="Book Antiqua" w:hint="eastAsia"/>
          <w:bCs/>
          <w:sz w:val="24"/>
        </w:rPr>
        <w:t>2647</w:t>
      </w:r>
      <w:r w:rsidRPr="00C015BE">
        <w:rPr>
          <w:rFonts w:ascii="Book Antiqua" w:hAnsi="Book Antiqua"/>
          <w:bCs/>
          <w:sz w:val="24"/>
        </w:rPr>
        <w:t xml:space="preserve">.htm </w:t>
      </w:r>
    </w:p>
    <w:p w14:paraId="28F18EE6" w14:textId="2F23D9B3" w:rsidR="004E3039" w:rsidRPr="005F46EE" w:rsidRDefault="00C015BE" w:rsidP="005F46EE">
      <w:pPr>
        <w:adjustRightInd w:val="0"/>
        <w:snapToGrid w:val="0"/>
        <w:spacing w:line="360" w:lineRule="auto"/>
        <w:rPr>
          <w:rFonts w:ascii="Book Antiqua" w:hAnsi="Book Antiqua"/>
          <w:bCs/>
          <w:sz w:val="24"/>
        </w:rPr>
      </w:pPr>
      <w:bookmarkStart w:id="11" w:name="_GoBack"/>
      <w:r w:rsidRPr="00D0152B">
        <w:rPr>
          <w:rFonts w:ascii="Book Antiqua" w:hAnsi="Book Antiqua"/>
          <w:b/>
          <w:bCs/>
          <w:sz w:val="24"/>
        </w:rPr>
        <w:t xml:space="preserve">DOI: </w:t>
      </w:r>
      <w:bookmarkEnd w:id="11"/>
      <w:r w:rsidRPr="00C015BE">
        <w:rPr>
          <w:rFonts w:ascii="Book Antiqua" w:hAnsi="Book Antiqua"/>
          <w:bCs/>
          <w:sz w:val="24"/>
        </w:rPr>
        <w:t>https://dx.doi.org/10.12998/wjcc.v8.i12.</w:t>
      </w:r>
      <w:r w:rsidR="00AB07D9">
        <w:rPr>
          <w:rFonts w:ascii="Book Antiqua" w:hAnsi="Book Antiqua" w:hint="eastAsia"/>
          <w:bCs/>
          <w:sz w:val="24"/>
        </w:rPr>
        <w:t>2647</w:t>
      </w:r>
    </w:p>
    <w:p w14:paraId="5603C886" w14:textId="77777777" w:rsidR="004E3039" w:rsidRPr="005F46EE" w:rsidRDefault="004E3039" w:rsidP="005F46EE">
      <w:pPr>
        <w:snapToGrid w:val="0"/>
        <w:spacing w:line="360" w:lineRule="auto"/>
        <w:rPr>
          <w:rFonts w:ascii="Book Antiqua" w:hAnsi="Book Antiqua"/>
          <w:color w:val="000000" w:themeColor="text1"/>
          <w:sz w:val="24"/>
        </w:rPr>
      </w:pPr>
    </w:p>
    <w:p w14:paraId="6A3094A5" w14:textId="77777777" w:rsidR="00066A0A" w:rsidRPr="005F46EE" w:rsidRDefault="004E3039" w:rsidP="005F46EE">
      <w:pPr>
        <w:widowControl/>
        <w:snapToGrid w:val="0"/>
        <w:spacing w:line="360" w:lineRule="auto"/>
        <w:rPr>
          <w:rFonts w:ascii="Book Antiqua" w:hAnsi="Book Antiqua"/>
          <w:color w:val="000000" w:themeColor="text1"/>
          <w:sz w:val="24"/>
        </w:rPr>
      </w:pPr>
      <w:r w:rsidRPr="005F46EE">
        <w:rPr>
          <w:rFonts w:ascii="Book Antiqua" w:hAnsi="Book Antiqua"/>
          <w:b/>
          <w:sz w:val="24"/>
        </w:rPr>
        <w:t xml:space="preserve">Core tip: </w:t>
      </w:r>
      <w:r w:rsidR="00541197" w:rsidRPr="005F46EE">
        <w:rPr>
          <w:rFonts w:ascii="Book Antiqua" w:hAnsi="Book Antiqua"/>
          <w:color w:val="000000" w:themeColor="text1"/>
          <w:sz w:val="24"/>
        </w:rPr>
        <w:t>Genetic screening is recommended in patients with a family history of multiple endocrine neoplasia type 1 who present with primary hyperparathyroidism and pituitary tumors or gastrointestinal neuroendocrine tumors.</w:t>
      </w:r>
    </w:p>
    <w:p w14:paraId="64C36138" w14:textId="77777777" w:rsidR="0040007F" w:rsidRPr="005F46EE" w:rsidRDefault="0040007F" w:rsidP="005F46EE">
      <w:pPr>
        <w:widowControl/>
        <w:snapToGrid w:val="0"/>
        <w:spacing w:line="360" w:lineRule="auto"/>
        <w:rPr>
          <w:rFonts w:ascii="Book Antiqua" w:hAnsi="Book Antiqua"/>
          <w:color w:val="000000" w:themeColor="text1"/>
          <w:sz w:val="24"/>
        </w:rPr>
      </w:pPr>
    </w:p>
    <w:p w14:paraId="36759509" w14:textId="77777777" w:rsidR="004E3039" w:rsidRPr="005F46EE" w:rsidRDefault="004E3039" w:rsidP="005F46EE">
      <w:pPr>
        <w:widowControl/>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br w:type="page"/>
      </w:r>
    </w:p>
    <w:p w14:paraId="57E33F21" w14:textId="77777777" w:rsidR="004E3039" w:rsidRPr="005F46EE" w:rsidRDefault="004E3039" w:rsidP="005F46EE">
      <w:pPr>
        <w:autoSpaceDE w:val="0"/>
        <w:autoSpaceDN w:val="0"/>
        <w:adjustRightInd w:val="0"/>
        <w:snapToGrid w:val="0"/>
        <w:spacing w:line="360" w:lineRule="auto"/>
        <w:rPr>
          <w:rFonts w:ascii="Book Antiqua" w:hAnsi="Book Antiqua" w:cstheme="minorHAnsi"/>
          <w:b/>
          <w:sz w:val="24"/>
          <w:u w:val="single"/>
        </w:rPr>
      </w:pPr>
      <w:r w:rsidRPr="005F46EE">
        <w:rPr>
          <w:rFonts w:ascii="Book Antiqua" w:hAnsi="Book Antiqua" w:cstheme="minorHAnsi"/>
          <w:b/>
          <w:sz w:val="24"/>
          <w:u w:val="single"/>
        </w:rPr>
        <w:t>INTRODUCTION</w:t>
      </w:r>
    </w:p>
    <w:p w14:paraId="43F9AC0E" w14:textId="526A6930" w:rsidR="00066A0A" w:rsidRPr="005F46EE" w:rsidRDefault="00541197" w:rsidP="005F46EE">
      <w:pPr>
        <w:autoSpaceDE w:val="0"/>
        <w:autoSpaceDN w:val="0"/>
        <w:adjustRightInd w:val="0"/>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Multiple endocrine neoplasia type 1 (MEN1), a rare hereditary disorder caused by mutations in the tumor suppressor gene </w:t>
      </w:r>
      <w:r w:rsidRPr="005F46EE">
        <w:rPr>
          <w:rFonts w:ascii="Book Antiqua" w:hAnsi="Book Antiqua"/>
          <w:i/>
          <w:iCs/>
          <w:color w:val="000000" w:themeColor="text1"/>
          <w:sz w:val="24"/>
        </w:rPr>
        <w:t>MEN1</w:t>
      </w:r>
      <w:r w:rsidRPr="005F46EE">
        <w:rPr>
          <w:rFonts w:ascii="Book Antiqua" w:hAnsi="Book Antiqua"/>
          <w:color w:val="000000" w:themeColor="text1"/>
          <w:sz w:val="24"/>
        </w:rPr>
        <w:t>, refers to two or more simultaneous or sequential occurrences of parathyroid adenomas, anterior pituitary adenomas, or entero-pancreatic neuroendocrine tumors</w:t>
      </w:r>
      <w:r w:rsidR="0040007F" w:rsidRPr="005F46EE">
        <w:rPr>
          <w:rFonts w:ascii="Book Antiqua" w:hAnsi="Book Antiqua"/>
          <w:color w:val="000000" w:themeColor="text1"/>
          <w:sz w:val="24"/>
        </w:rPr>
        <w:t xml:space="preserve"> (NETs)</w:t>
      </w:r>
      <w:r w:rsidRPr="005F46EE">
        <w:rPr>
          <w:rFonts w:ascii="Book Antiqua" w:hAnsi="Book Antiqua"/>
          <w:color w:val="000000" w:themeColor="text1"/>
          <w:sz w:val="24"/>
        </w:rPr>
        <w:t xml:space="preserve"> in an </w:t>
      </w:r>
      <w:proofErr w:type="gramStart"/>
      <w:r w:rsidRPr="005F46EE">
        <w:rPr>
          <w:rFonts w:ascii="Book Antiqua" w:hAnsi="Book Antiqua"/>
          <w:color w:val="000000" w:themeColor="text1"/>
          <w:sz w:val="24"/>
        </w:rPr>
        <w:t>individual</w:t>
      </w:r>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1]</w:t>
      </w:r>
      <w:r w:rsidRPr="005F46EE">
        <w:rPr>
          <w:rFonts w:ascii="Book Antiqua" w:hAnsi="Book Antiqua"/>
          <w:color w:val="000000" w:themeColor="text1"/>
          <w:sz w:val="24"/>
        </w:rPr>
        <w:t xml:space="preserve">. Hormone-secreting and hormone-nonsecreting tumors may occur among some 30 tissues in </w:t>
      </w:r>
      <w:proofErr w:type="gramStart"/>
      <w:r w:rsidRPr="005F46EE">
        <w:rPr>
          <w:rFonts w:ascii="Book Antiqua" w:hAnsi="Book Antiqua"/>
          <w:color w:val="000000" w:themeColor="text1"/>
          <w:sz w:val="24"/>
        </w:rPr>
        <w:t>MEN1</w:t>
      </w:r>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2]</w:t>
      </w:r>
      <w:r w:rsidRPr="005F46EE">
        <w:rPr>
          <w:rFonts w:ascii="Book Antiqua" w:hAnsi="Book Antiqua"/>
          <w:color w:val="000000" w:themeColor="text1"/>
          <w:sz w:val="24"/>
        </w:rPr>
        <w:t>. The most common clinical manifestations of MEN1 include parathyroid (&gt;</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90%) tumors, followed by pancreatic endocrine tumors (30</w:t>
      </w:r>
      <w:r w:rsidR="0040007F" w:rsidRPr="005F46EE">
        <w:rPr>
          <w:rFonts w:ascii="Book Antiqua" w:hAnsi="Book Antiqua"/>
          <w:color w:val="000000" w:themeColor="text1"/>
          <w:sz w:val="24"/>
        </w:rPr>
        <w:t>%</w:t>
      </w:r>
      <w:r w:rsidRPr="005F46EE">
        <w:rPr>
          <w:rFonts w:ascii="Book Antiqua" w:hAnsi="Book Antiqua"/>
          <w:color w:val="000000" w:themeColor="text1"/>
          <w:sz w:val="24"/>
        </w:rPr>
        <w:t>-70%) and pituitary tumors (30</w:t>
      </w:r>
      <w:r w:rsidR="0040007F" w:rsidRPr="005F46EE">
        <w:rPr>
          <w:rFonts w:ascii="Book Antiqua" w:hAnsi="Book Antiqua"/>
          <w:color w:val="000000" w:themeColor="text1"/>
          <w:sz w:val="24"/>
        </w:rPr>
        <w:t>%</w:t>
      </w:r>
      <w:r w:rsidRPr="005F46EE">
        <w:rPr>
          <w:rFonts w:ascii="Book Antiqua" w:hAnsi="Book Antiqua"/>
          <w:color w:val="000000" w:themeColor="text1"/>
          <w:sz w:val="24"/>
        </w:rPr>
        <w:t>-40%</w:t>
      </w:r>
      <w:proofErr w:type="gramStart"/>
      <w:r w:rsidRPr="005F46EE">
        <w:rPr>
          <w:rFonts w:ascii="Book Antiqua" w:hAnsi="Book Antiqua"/>
          <w:color w:val="000000" w:themeColor="text1"/>
          <w:sz w:val="24"/>
        </w:rPr>
        <w:t>)</w:t>
      </w:r>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3]</w:t>
      </w:r>
      <w:r w:rsidRPr="005F46EE">
        <w:rPr>
          <w:rFonts w:ascii="Book Antiqua" w:hAnsi="Book Antiqua"/>
          <w:color w:val="000000" w:themeColor="text1"/>
          <w:sz w:val="24"/>
        </w:rPr>
        <w:t xml:space="preserve">. MEN1 patients also present with other tumors, including adrenocortical tumor, carcinoids, pheochromocytoma, bronchopulmonary NET, thymic NET, gastric NET, lipomas, </w:t>
      </w:r>
      <w:proofErr w:type="spellStart"/>
      <w:r w:rsidRPr="005F46EE">
        <w:rPr>
          <w:rFonts w:ascii="Book Antiqua" w:hAnsi="Book Antiqua"/>
          <w:color w:val="000000" w:themeColor="text1"/>
          <w:sz w:val="24"/>
        </w:rPr>
        <w:t>angiofibromas</w:t>
      </w:r>
      <w:proofErr w:type="spellEnd"/>
      <w:r w:rsidRPr="005F46EE">
        <w:rPr>
          <w:rFonts w:ascii="Book Antiqua" w:hAnsi="Book Antiqua"/>
          <w:color w:val="000000" w:themeColor="text1"/>
          <w:sz w:val="24"/>
        </w:rPr>
        <w:t xml:space="preserve">, </w:t>
      </w:r>
      <w:proofErr w:type="spellStart"/>
      <w:r w:rsidRPr="005F46EE">
        <w:rPr>
          <w:rFonts w:ascii="Book Antiqua" w:hAnsi="Book Antiqua"/>
          <w:color w:val="000000" w:themeColor="text1"/>
          <w:sz w:val="24"/>
        </w:rPr>
        <w:t>collagenomas</w:t>
      </w:r>
      <w:proofErr w:type="spellEnd"/>
      <w:r w:rsidRPr="005F46EE">
        <w:rPr>
          <w:rFonts w:ascii="Book Antiqua" w:hAnsi="Book Antiqua"/>
          <w:color w:val="000000" w:themeColor="text1"/>
          <w:sz w:val="24"/>
        </w:rPr>
        <w:t xml:space="preserve">, and </w:t>
      </w:r>
      <w:proofErr w:type="spellStart"/>
      <w:proofErr w:type="gramStart"/>
      <w:r w:rsidRPr="005F46EE">
        <w:rPr>
          <w:rFonts w:ascii="Book Antiqua" w:hAnsi="Book Antiqua"/>
          <w:color w:val="000000" w:themeColor="text1"/>
          <w:sz w:val="24"/>
        </w:rPr>
        <w:t>meningiomas</w:t>
      </w:r>
      <w:proofErr w:type="spellEnd"/>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1, 3]</w:t>
      </w:r>
      <w:r w:rsidRPr="005F46EE">
        <w:rPr>
          <w:rFonts w:ascii="Book Antiqua" w:hAnsi="Book Antiqua"/>
          <w:color w:val="000000" w:themeColor="text1"/>
          <w:sz w:val="24"/>
        </w:rPr>
        <w:t>. Herein, we report a 40-year-old male patient with</w:t>
      </w:r>
      <w:r w:rsidRPr="005F46EE">
        <w:rPr>
          <w:rFonts w:ascii="Book Antiqua" w:hAnsi="Book Antiqua"/>
          <w:b/>
          <w:color w:val="000000" w:themeColor="text1"/>
          <w:sz w:val="24"/>
        </w:rPr>
        <w:t xml:space="preserve"> </w:t>
      </w:r>
      <w:r w:rsidRPr="005F46EE">
        <w:rPr>
          <w:rFonts w:ascii="Book Antiqua" w:hAnsi="Book Antiqua"/>
          <w:color w:val="000000" w:themeColor="text1"/>
          <w:sz w:val="24"/>
        </w:rPr>
        <w:t xml:space="preserve">MEN1 </w:t>
      </w:r>
      <w:r w:rsidR="00100FA4" w:rsidRPr="005F46EE">
        <w:rPr>
          <w:rFonts w:ascii="Book Antiqua" w:hAnsi="Book Antiqua"/>
          <w:color w:val="000000" w:themeColor="text1"/>
          <w:sz w:val="24"/>
        </w:rPr>
        <w:t xml:space="preserve">who </w:t>
      </w:r>
      <w:r w:rsidRPr="005F46EE">
        <w:rPr>
          <w:rFonts w:ascii="Book Antiqua" w:hAnsi="Book Antiqua"/>
          <w:color w:val="000000" w:themeColor="text1"/>
          <w:sz w:val="24"/>
        </w:rPr>
        <w:t>first manifest</w:t>
      </w:r>
      <w:r w:rsidR="00100FA4" w:rsidRPr="005F46EE">
        <w:rPr>
          <w:rFonts w:ascii="Book Antiqua" w:hAnsi="Book Antiqua"/>
          <w:color w:val="000000" w:themeColor="text1"/>
          <w:sz w:val="24"/>
        </w:rPr>
        <w:t>ed</w:t>
      </w:r>
      <w:r w:rsidRPr="005F46EE">
        <w:rPr>
          <w:rFonts w:ascii="Book Antiqua" w:hAnsi="Book Antiqua"/>
          <w:color w:val="000000" w:themeColor="text1"/>
          <w:sz w:val="24"/>
        </w:rPr>
        <w:t xml:space="preserve"> as thymic carcinoid, then primary hyperparathyroidism and </w:t>
      </w:r>
      <w:proofErr w:type="spellStart"/>
      <w:r w:rsidRPr="005F46EE">
        <w:rPr>
          <w:rFonts w:ascii="Book Antiqua" w:hAnsi="Book Antiqua"/>
          <w:color w:val="000000" w:themeColor="text1"/>
          <w:sz w:val="24"/>
        </w:rPr>
        <w:t>prolactinoma</w:t>
      </w:r>
      <w:proofErr w:type="spellEnd"/>
      <w:r w:rsidRPr="005F46EE">
        <w:rPr>
          <w:rFonts w:ascii="Book Antiqua" w:hAnsi="Book Antiqua"/>
          <w:color w:val="000000" w:themeColor="text1"/>
          <w:sz w:val="24"/>
        </w:rPr>
        <w:t xml:space="preserve"> </w:t>
      </w:r>
      <w:r w:rsidR="00100FA4" w:rsidRPr="005F46EE">
        <w:rPr>
          <w:rFonts w:ascii="Book Antiqua" w:hAnsi="Book Antiqua"/>
          <w:color w:val="000000" w:themeColor="text1"/>
          <w:sz w:val="24"/>
        </w:rPr>
        <w:t xml:space="preserve">8 </w:t>
      </w:r>
      <w:r w:rsidRPr="005F46EE">
        <w:rPr>
          <w:rFonts w:ascii="Book Antiqua" w:hAnsi="Book Antiqua"/>
          <w:color w:val="000000" w:themeColor="text1"/>
          <w:sz w:val="24"/>
        </w:rPr>
        <w:t xml:space="preserve">years later, followed by a pancreatic NET grade 2 and </w:t>
      </w:r>
      <w:proofErr w:type="spellStart"/>
      <w:r w:rsidRPr="005F46EE">
        <w:rPr>
          <w:rFonts w:ascii="Book Antiqua" w:hAnsi="Book Antiqua"/>
          <w:color w:val="000000" w:themeColor="text1"/>
          <w:sz w:val="24"/>
        </w:rPr>
        <w:t>insulinomas</w:t>
      </w:r>
      <w:proofErr w:type="spellEnd"/>
      <w:r w:rsidRPr="005F46EE">
        <w:rPr>
          <w:rFonts w:ascii="Book Antiqua" w:hAnsi="Book Antiqua"/>
          <w:color w:val="000000" w:themeColor="text1"/>
          <w:sz w:val="24"/>
        </w:rPr>
        <w:t xml:space="preserve"> with intrahepatic metastases a decade later.</w:t>
      </w:r>
    </w:p>
    <w:p w14:paraId="5C4A7179" w14:textId="77777777" w:rsidR="00066A0A" w:rsidRPr="005F46EE" w:rsidRDefault="00066A0A" w:rsidP="005F46EE">
      <w:pPr>
        <w:snapToGrid w:val="0"/>
        <w:spacing w:line="360" w:lineRule="auto"/>
        <w:rPr>
          <w:rFonts w:ascii="Book Antiqua" w:hAnsi="Book Antiqua"/>
          <w:color w:val="000000" w:themeColor="text1"/>
          <w:sz w:val="24"/>
        </w:rPr>
      </w:pPr>
    </w:p>
    <w:p w14:paraId="2EF00760" w14:textId="77777777" w:rsidR="004E3039" w:rsidRPr="005F46EE" w:rsidRDefault="004E3039" w:rsidP="005F46EE">
      <w:pPr>
        <w:snapToGrid w:val="0"/>
        <w:spacing w:line="360" w:lineRule="auto"/>
        <w:rPr>
          <w:rFonts w:ascii="Book Antiqua" w:hAnsi="Book Antiqua" w:cstheme="minorHAnsi"/>
          <w:b/>
          <w:sz w:val="24"/>
          <w:u w:val="single"/>
        </w:rPr>
      </w:pPr>
      <w:bookmarkStart w:id="12" w:name="OLE_LINK5"/>
      <w:r w:rsidRPr="005F46EE">
        <w:rPr>
          <w:rFonts w:ascii="Book Antiqua" w:hAnsi="Book Antiqua" w:cstheme="minorHAnsi"/>
          <w:b/>
          <w:sz w:val="24"/>
          <w:u w:val="single"/>
        </w:rPr>
        <w:t>CASE PRESENTATION</w:t>
      </w:r>
    </w:p>
    <w:p w14:paraId="4957AE3D"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bCs/>
          <w:i/>
          <w:iCs/>
          <w:color w:val="000000" w:themeColor="text1"/>
          <w:sz w:val="24"/>
        </w:rPr>
        <w:t>Chief complaints</w:t>
      </w:r>
      <w:r w:rsidRPr="005F46EE">
        <w:rPr>
          <w:rFonts w:ascii="Book Antiqua" w:hAnsi="Book Antiqua"/>
          <w:color w:val="000000" w:themeColor="text1"/>
          <w:sz w:val="24"/>
        </w:rPr>
        <w:t xml:space="preserve"> </w:t>
      </w:r>
    </w:p>
    <w:p w14:paraId="43C43520" w14:textId="44DEB28C"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A 40-year-old male patient experiencing symptoms of hunger, such as fatigue and excessive sweating, for </w:t>
      </w:r>
      <w:r w:rsidR="00100FA4" w:rsidRPr="005F46EE">
        <w:rPr>
          <w:rFonts w:ascii="Book Antiqua" w:hAnsi="Book Antiqua"/>
          <w:color w:val="000000" w:themeColor="text1"/>
          <w:sz w:val="24"/>
        </w:rPr>
        <w:t>2</w:t>
      </w:r>
      <w:r w:rsidRPr="005F46EE">
        <w:rPr>
          <w:rFonts w:ascii="Book Antiqua" w:hAnsi="Book Antiqua"/>
          <w:color w:val="000000" w:themeColor="text1"/>
          <w:sz w:val="24"/>
        </w:rPr>
        <w:t xml:space="preserve"> years was admitted to the neurosurgery department at our hospital in August of 2018. The symptoms were relieved with food.</w:t>
      </w:r>
    </w:p>
    <w:p w14:paraId="5936D3BB" w14:textId="77777777" w:rsidR="0040007F" w:rsidRPr="005F46EE" w:rsidRDefault="0040007F" w:rsidP="005F46EE">
      <w:pPr>
        <w:snapToGrid w:val="0"/>
        <w:spacing w:line="360" w:lineRule="auto"/>
        <w:rPr>
          <w:rFonts w:ascii="Book Antiqua" w:hAnsi="Book Antiqua"/>
          <w:color w:val="000000" w:themeColor="text1"/>
          <w:sz w:val="24"/>
        </w:rPr>
      </w:pPr>
    </w:p>
    <w:p w14:paraId="2765953C" w14:textId="2E747928"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bCs/>
          <w:i/>
          <w:iCs/>
          <w:color w:val="000000" w:themeColor="text1"/>
          <w:sz w:val="24"/>
        </w:rPr>
        <w:t>History of present illness</w:t>
      </w:r>
    </w:p>
    <w:p w14:paraId="7F1AF2A3" w14:textId="1EE95E18"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The patient underwent a </w:t>
      </w:r>
      <w:proofErr w:type="spellStart"/>
      <w:r w:rsidRPr="005F46EE">
        <w:rPr>
          <w:rFonts w:ascii="Book Antiqua" w:hAnsi="Book Antiqua"/>
          <w:color w:val="000000" w:themeColor="text1"/>
          <w:sz w:val="24"/>
        </w:rPr>
        <w:t>thymectomy</w:t>
      </w:r>
      <w:proofErr w:type="spellEnd"/>
      <w:r w:rsidRPr="005F46EE">
        <w:rPr>
          <w:rFonts w:ascii="Book Antiqua" w:hAnsi="Book Antiqua"/>
          <w:color w:val="000000" w:themeColor="text1"/>
          <w:sz w:val="24"/>
        </w:rPr>
        <w:t xml:space="preserve"> because of </w:t>
      </w:r>
      <w:proofErr w:type="spellStart"/>
      <w:r w:rsidRPr="005F46EE">
        <w:rPr>
          <w:rFonts w:ascii="Book Antiqua" w:hAnsi="Book Antiqua"/>
          <w:color w:val="000000" w:themeColor="text1"/>
          <w:sz w:val="24"/>
        </w:rPr>
        <w:t>thymic</w:t>
      </w:r>
      <w:proofErr w:type="spellEnd"/>
      <w:r w:rsidRPr="005F46EE">
        <w:rPr>
          <w:rFonts w:ascii="Book Antiqua" w:hAnsi="Book Antiqua"/>
          <w:color w:val="000000" w:themeColor="text1"/>
          <w:sz w:val="24"/>
        </w:rPr>
        <w:t xml:space="preserve"> carcinoid </w:t>
      </w:r>
      <w:r w:rsidR="00100FA4" w:rsidRPr="005F46EE">
        <w:rPr>
          <w:rFonts w:ascii="Book Antiqua" w:hAnsi="Book Antiqua"/>
          <w:color w:val="000000" w:themeColor="text1"/>
          <w:sz w:val="24"/>
        </w:rPr>
        <w:t>10</w:t>
      </w:r>
      <w:r w:rsidRPr="005F46EE">
        <w:rPr>
          <w:rFonts w:ascii="Book Antiqua" w:hAnsi="Book Antiqua"/>
          <w:color w:val="000000" w:themeColor="text1"/>
          <w:sz w:val="24"/>
        </w:rPr>
        <w:t xml:space="preserve"> years ago (July 2008). However, there were intermittent episodes of hypoglycemia symptoms in the following years. The minimum blood glucose level was 2.0 mmol/L. Hypoglycemia-like symptoms can be relieved with glucose infusions. Computed tomography (CT) and magnetic resonance imaging (MRI) findings of the head and neck showed signs of hyperparathyroidism and </w:t>
      </w:r>
      <w:proofErr w:type="spellStart"/>
      <w:r w:rsidRPr="005F46EE">
        <w:rPr>
          <w:rFonts w:ascii="Book Antiqua" w:hAnsi="Book Antiqua"/>
          <w:color w:val="000000" w:themeColor="text1"/>
          <w:sz w:val="24"/>
        </w:rPr>
        <w:t>prolactinoma</w:t>
      </w:r>
      <w:proofErr w:type="spellEnd"/>
      <w:r w:rsidRPr="005F46EE">
        <w:rPr>
          <w:rFonts w:ascii="Book Antiqua" w:hAnsi="Book Antiqua"/>
          <w:color w:val="000000" w:themeColor="text1"/>
          <w:sz w:val="24"/>
        </w:rPr>
        <w:t xml:space="preserve"> </w:t>
      </w:r>
      <w:r w:rsidR="00100FA4" w:rsidRPr="005F46EE">
        <w:rPr>
          <w:rFonts w:ascii="Book Antiqua" w:hAnsi="Book Antiqua"/>
          <w:color w:val="000000" w:themeColor="text1"/>
          <w:sz w:val="24"/>
        </w:rPr>
        <w:t xml:space="preserve">2 </w:t>
      </w:r>
      <w:r w:rsidRPr="005F46EE">
        <w:rPr>
          <w:rFonts w:ascii="Book Antiqua" w:hAnsi="Book Antiqua"/>
          <w:color w:val="000000" w:themeColor="text1"/>
          <w:sz w:val="24"/>
        </w:rPr>
        <w:t>years prior; thus, the patient underwent a prolactinoma resection (April 2016). Although the surgery was successful, the symptoms of dizziness and hypoglycemia remained unresolved. Therefore, he was readmitted to our department for further treatment and suspected MEN1.</w:t>
      </w:r>
      <w:bookmarkEnd w:id="12"/>
    </w:p>
    <w:p w14:paraId="47DB613C" w14:textId="77777777" w:rsidR="0040007F" w:rsidRPr="005F46EE" w:rsidRDefault="0040007F" w:rsidP="005F46EE">
      <w:pPr>
        <w:snapToGrid w:val="0"/>
        <w:spacing w:line="360" w:lineRule="auto"/>
        <w:rPr>
          <w:rFonts w:ascii="Book Antiqua" w:hAnsi="Book Antiqua"/>
          <w:color w:val="000000" w:themeColor="text1"/>
          <w:sz w:val="24"/>
        </w:rPr>
      </w:pPr>
    </w:p>
    <w:p w14:paraId="462E04C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bCs/>
          <w:i/>
          <w:iCs/>
          <w:color w:val="000000" w:themeColor="text1"/>
          <w:sz w:val="24"/>
        </w:rPr>
        <w:t>Personal and family history</w:t>
      </w:r>
    </w:p>
    <w:p w14:paraId="6E791E4D"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Family history showed that his sister suffered from prolactinoma and underwent gamma knife radiosurgery. His parents, five siblings (sisters), and two offspring displayed the typical </w:t>
      </w:r>
      <w:bookmarkStart w:id="13" w:name="OLE_LINK10"/>
      <w:bookmarkStart w:id="14" w:name="OLE_LINK11"/>
      <w:r w:rsidRPr="005F46EE">
        <w:rPr>
          <w:rFonts w:ascii="Book Antiqua" w:hAnsi="Book Antiqua"/>
          <w:color w:val="000000" w:themeColor="text1"/>
          <w:sz w:val="24"/>
        </w:rPr>
        <w:t>triad of amenorrhea, galactorrhea, and infertility</w:t>
      </w:r>
      <w:bookmarkEnd w:id="13"/>
      <w:bookmarkEnd w:id="14"/>
      <w:r w:rsidRPr="005F46EE">
        <w:rPr>
          <w:rFonts w:ascii="Book Antiqua" w:hAnsi="Book Antiqua"/>
          <w:color w:val="000000" w:themeColor="text1"/>
          <w:sz w:val="24"/>
        </w:rPr>
        <w:t>.</w:t>
      </w:r>
    </w:p>
    <w:p w14:paraId="378C6709" w14:textId="77777777" w:rsidR="0040007F" w:rsidRPr="005F46EE" w:rsidRDefault="0040007F" w:rsidP="005F46EE">
      <w:pPr>
        <w:snapToGrid w:val="0"/>
        <w:spacing w:line="360" w:lineRule="auto"/>
        <w:rPr>
          <w:rFonts w:ascii="Book Antiqua" w:hAnsi="Book Antiqua"/>
          <w:color w:val="000000" w:themeColor="text1"/>
          <w:sz w:val="24"/>
        </w:rPr>
      </w:pPr>
    </w:p>
    <w:p w14:paraId="20598FE0" w14:textId="77777777" w:rsidR="00066A0A" w:rsidRPr="005F46EE" w:rsidRDefault="00541197" w:rsidP="005F46EE">
      <w:pPr>
        <w:snapToGrid w:val="0"/>
        <w:spacing w:line="360" w:lineRule="auto"/>
        <w:rPr>
          <w:rFonts w:ascii="Book Antiqua" w:hAnsi="Book Antiqua"/>
          <w:b/>
          <w:bCs/>
          <w:i/>
          <w:iCs/>
          <w:color w:val="000000" w:themeColor="text1"/>
          <w:sz w:val="24"/>
        </w:rPr>
      </w:pPr>
      <w:r w:rsidRPr="005F46EE">
        <w:rPr>
          <w:rFonts w:ascii="Book Antiqua" w:hAnsi="Book Antiqua"/>
          <w:b/>
          <w:bCs/>
          <w:i/>
          <w:iCs/>
          <w:color w:val="000000" w:themeColor="text1"/>
          <w:sz w:val="24"/>
        </w:rPr>
        <w:t>Physical examination upon admission</w:t>
      </w:r>
    </w:p>
    <w:p w14:paraId="26F1426B" w14:textId="77777777" w:rsidR="00066A0A" w:rsidRPr="005F46EE" w:rsidRDefault="00541197" w:rsidP="005F46EE">
      <w:pPr>
        <w:snapToGrid w:val="0"/>
        <w:spacing w:line="360" w:lineRule="auto"/>
        <w:rPr>
          <w:rFonts w:ascii="Book Antiqua" w:hAnsi="Book Antiqua"/>
          <w:bCs/>
          <w:iCs/>
          <w:color w:val="000000" w:themeColor="text1"/>
          <w:sz w:val="24"/>
        </w:rPr>
      </w:pPr>
      <w:r w:rsidRPr="005F46EE">
        <w:rPr>
          <w:rFonts w:ascii="Book Antiqua" w:hAnsi="Book Antiqua"/>
          <w:bCs/>
          <w:iCs/>
          <w:color w:val="000000" w:themeColor="text1"/>
          <w:sz w:val="24"/>
        </w:rPr>
        <w:t>None.</w:t>
      </w:r>
    </w:p>
    <w:p w14:paraId="108DC5A3" w14:textId="77777777" w:rsidR="0040007F" w:rsidRPr="005F46EE" w:rsidRDefault="0040007F" w:rsidP="005F46EE">
      <w:pPr>
        <w:snapToGrid w:val="0"/>
        <w:spacing w:line="360" w:lineRule="auto"/>
        <w:rPr>
          <w:rFonts w:ascii="Book Antiqua" w:hAnsi="Book Antiqua"/>
          <w:color w:val="000000" w:themeColor="text1"/>
          <w:sz w:val="24"/>
        </w:rPr>
      </w:pPr>
    </w:p>
    <w:p w14:paraId="29E3ABA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bCs/>
          <w:i/>
          <w:iCs/>
          <w:color w:val="000000" w:themeColor="text1"/>
          <w:sz w:val="24"/>
        </w:rPr>
        <w:t>Laboratory examinations</w:t>
      </w:r>
    </w:p>
    <w:p w14:paraId="1E3BCF73" w14:textId="79CB828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Laboratory examination findings are summarized in Table 1. The indexes for thyroid-stimulating hormone, β-collagen-specific sequence, total type I collagen amino-terminal extension peptide, fasting insulin, and insulin release were abnormally elevated.</w:t>
      </w:r>
    </w:p>
    <w:p w14:paraId="77923CB3" w14:textId="77777777" w:rsidR="0040007F" w:rsidRPr="005F46EE" w:rsidRDefault="0040007F" w:rsidP="005F46EE">
      <w:pPr>
        <w:snapToGrid w:val="0"/>
        <w:spacing w:line="360" w:lineRule="auto"/>
        <w:rPr>
          <w:rFonts w:ascii="Book Antiqua" w:hAnsi="Book Antiqua"/>
          <w:color w:val="000000" w:themeColor="text1"/>
          <w:sz w:val="24"/>
        </w:rPr>
      </w:pPr>
    </w:p>
    <w:p w14:paraId="402F9BA2" w14:textId="77777777" w:rsidR="00066A0A" w:rsidRPr="005F46EE" w:rsidRDefault="00541197" w:rsidP="005F46EE">
      <w:pPr>
        <w:snapToGrid w:val="0"/>
        <w:spacing w:line="360" w:lineRule="auto"/>
        <w:rPr>
          <w:rFonts w:ascii="Book Antiqua" w:hAnsi="Book Antiqua"/>
          <w:color w:val="000000" w:themeColor="text1"/>
          <w:sz w:val="24"/>
        </w:rPr>
      </w:pPr>
      <w:bookmarkStart w:id="15" w:name="OLE_LINK8"/>
      <w:bookmarkStart w:id="16" w:name="OLE_LINK9"/>
      <w:r w:rsidRPr="005F46EE">
        <w:rPr>
          <w:rFonts w:ascii="Book Antiqua" w:hAnsi="Book Antiqua"/>
          <w:b/>
          <w:bCs/>
          <w:i/>
          <w:iCs/>
          <w:color w:val="000000" w:themeColor="text1"/>
          <w:sz w:val="24"/>
        </w:rPr>
        <w:t>Imaging examinations</w:t>
      </w:r>
    </w:p>
    <w:p w14:paraId="7D727262" w14:textId="704E6070"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Parathyroid two-phase CT revealed a strong signal in the upper portion of the left lobes and posterior portion of the right lobes of the thyroid, in addition to the parathyroid glands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1</w:t>
      </w:r>
      <w:r w:rsidR="0040007F" w:rsidRPr="005F46EE">
        <w:rPr>
          <w:rFonts w:ascii="Book Antiqua" w:hAnsi="Book Antiqua"/>
          <w:color w:val="000000" w:themeColor="text1"/>
          <w:sz w:val="24"/>
        </w:rPr>
        <w:t>A</w:t>
      </w:r>
      <w:r w:rsidRPr="005F46EE">
        <w:rPr>
          <w:rFonts w:ascii="Book Antiqua" w:hAnsi="Book Antiqua"/>
          <w:color w:val="000000" w:themeColor="text1"/>
          <w:sz w:val="24"/>
        </w:rPr>
        <w:t>). Pancreatic perfusion CT imaging showed irregular soft tissue densities of the pancreatic body, which was closely associated with the adjacent stomach wall, with a small reduction in blood volume (BV) and a slight increase in flow extraction product</w:t>
      </w:r>
      <w:r w:rsidR="00B72EA9" w:rsidRPr="005F46EE">
        <w:rPr>
          <w:rFonts w:ascii="Book Antiqua" w:hAnsi="Book Antiqua"/>
          <w:color w:val="000000" w:themeColor="text1"/>
          <w:sz w:val="24"/>
        </w:rPr>
        <w:t>. There was</w:t>
      </w:r>
      <w:r w:rsidRPr="005F46EE">
        <w:rPr>
          <w:rFonts w:ascii="Book Antiqua" w:hAnsi="Book Antiqua"/>
          <w:color w:val="000000" w:themeColor="text1"/>
          <w:sz w:val="24"/>
        </w:rPr>
        <w:t xml:space="preserve"> increased blood flow, BV, mean transit time</w:t>
      </w:r>
      <w:r w:rsidR="00B72EA9" w:rsidRPr="005F46EE">
        <w:rPr>
          <w:rFonts w:ascii="Book Antiqua" w:hAnsi="Book Antiqua"/>
          <w:color w:val="000000" w:themeColor="text1"/>
          <w:sz w:val="24"/>
        </w:rPr>
        <w:t>,</w:t>
      </w:r>
      <w:r w:rsidRPr="005F46EE">
        <w:rPr>
          <w:rFonts w:ascii="Book Antiqua" w:hAnsi="Book Antiqua"/>
          <w:color w:val="000000" w:themeColor="text1"/>
          <w:sz w:val="24"/>
        </w:rPr>
        <w:t xml:space="preserve"> and </w:t>
      </w:r>
      <w:r w:rsidR="00B72EA9" w:rsidRPr="005F46EE">
        <w:rPr>
          <w:rFonts w:ascii="Book Antiqua" w:hAnsi="Book Antiqua"/>
          <w:color w:val="000000" w:themeColor="text1"/>
          <w:sz w:val="24"/>
        </w:rPr>
        <w:t>flow extraction product</w:t>
      </w:r>
      <w:r w:rsidRPr="005F46EE">
        <w:rPr>
          <w:rFonts w:ascii="Book Antiqua" w:hAnsi="Book Antiqua"/>
          <w:color w:val="000000" w:themeColor="text1"/>
          <w:sz w:val="24"/>
        </w:rPr>
        <w:t xml:space="preserve"> in nodules posterior to the pancreatic body</w:t>
      </w:r>
      <w:r w:rsidR="00B72EA9" w:rsidRPr="005F46EE">
        <w:rPr>
          <w:rFonts w:ascii="Book Antiqua" w:hAnsi="Book Antiqua"/>
          <w:color w:val="000000" w:themeColor="text1"/>
          <w:sz w:val="24"/>
        </w:rPr>
        <w:t>;</w:t>
      </w:r>
      <w:r w:rsidRPr="005F46EE">
        <w:rPr>
          <w:rFonts w:ascii="Book Antiqua" w:hAnsi="Book Antiqua"/>
          <w:color w:val="000000" w:themeColor="text1"/>
          <w:sz w:val="24"/>
        </w:rPr>
        <w:t xml:space="preserve"> increased </w:t>
      </w:r>
      <w:r w:rsidR="00B72EA9" w:rsidRPr="005F46EE">
        <w:rPr>
          <w:rFonts w:ascii="Book Antiqua" w:hAnsi="Book Antiqua"/>
          <w:color w:val="000000" w:themeColor="text1"/>
          <w:sz w:val="24"/>
        </w:rPr>
        <w:t>blood flow</w:t>
      </w:r>
      <w:r w:rsidRPr="005F46EE">
        <w:rPr>
          <w:rFonts w:ascii="Book Antiqua" w:hAnsi="Book Antiqua"/>
          <w:color w:val="000000" w:themeColor="text1"/>
          <w:sz w:val="24"/>
        </w:rPr>
        <w:t xml:space="preserve"> and decreased BV in nodules of the pancreatic head; </w:t>
      </w:r>
      <w:r w:rsidR="00B72EA9" w:rsidRPr="005F46EE">
        <w:rPr>
          <w:rFonts w:ascii="Book Antiqua" w:hAnsi="Book Antiqua"/>
          <w:color w:val="000000" w:themeColor="text1"/>
          <w:sz w:val="24"/>
        </w:rPr>
        <w:t xml:space="preserve">and </w:t>
      </w:r>
      <w:r w:rsidRPr="005F46EE">
        <w:rPr>
          <w:rFonts w:ascii="Book Antiqua" w:hAnsi="Book Antiqua"/>
          <w:color w:val="000000" w:themeColor="text1"/>
          <w:sz w:val="24"/>
        </w:rPr>
        <w:t>multiple circular low or slightly low-density shadows in liver parenchyma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1</w:t>
      </w:r>
      <w:r w:rsidR="0040007F" w:rsidRPr="005F46EE">
        <w:rPr>
          <w:rFonts w:ascii="Book Antiqua" w:hAnsi="Book Antiqua"/>
          <w:color w:val="000000" w:themeColor="text1"/>
          <w:sz w:val="24"/>
        </w:rPr>
        <w:t>B</w:t>
      </w:r>
      <w:r w:rsidRPr="005F46EE">
        <w:rPr>
          <w:rFonts w:ascii="Book Antiqua" w:hAnsi="Book Antiqua"/>
          <w:color w:val="000000" w:themeColor="text1"/>
          <w:sz w:val="24"/>
        </w:rPr>
        <w:t>). MRI of the liver and pancreas revealed multiple abnormal signals in liver segment II, segment VIII, and the junction area of liver segments II and IV as well as occupied lesions in the tail of the pancreatic body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2</w:t>
      </w:r>
      <w:r w:rsidR="0040007F" w:rsidRPr="005F46EE">
        <w:rPr>
          <w:rFonts w:ascii="Book Antiqua" w:hAnsi="Book Antiqua"/>
          <w:color w:val="000000" w:themeColor="text1"/>
          <w:sz w:val="24"/>
        </w:rPr>
        <w:t>A</w:t>
      </w:r>
      <w:r w:rsidRPr="005F46EE">
        <w:rPr>
          <w:rFonts w:ascii="Book Antiqua" w:hAnsi="Book Antiqua"/>
          <w:color w:val="000000" w:themeColor="text1"/>
          <w:sz w:val="24"/>
        </w:rPr>
        <w:t>). Enhanced MRI revealed occupied lesions in the body and tail of the pancreas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2</w:t>
      </w:r>
      <w:r w:rsidR="0040007F" w:rsidRPr="005F46EE">
        <w:rPr>
          <w:rFonts w:ascii="Book Antiqua" w:hAnsi="Book Antiqua"/>
          <w:color w:val="000000" w:themeColor="text1"/>
          <w:sz w:val="24"/>
        </w:rPr>
        <w:t>B</w:t>
      </w:r>
      <w:r w:rsidRPr="005F46EE">
        <w:rPr>
          <w:rFonts w:ascii="Book Antiqua" w:hAnsi="Book Antiqua"/>
          <w:color w:val="000000" w:themeColor="text1"/>
          <w:sz w:val="24"/>
        </w:rPr>
        <w:t xml:space="preserve">). Enhanced MRI revealed that liver segment IV was occupied, </w:t>
      </w:r>
      <w:r w:rsidR="00B72EA9" w:rsidRPr="005F46EE">
        <w:rPr>
          <w:rFonts w:ascii="Book Antiqua" w:hAnsi="Book Antiqua"/>
          <w:color w:val="000000" w:themeColor="text1"/>
          <w:sz w:val="24"/>
        </w:rPr>
        <w:t xml:space="preserve">suggesting </w:t>
      </w:r>
      <w:r w:rsidRPr="005F46EE">
        <w:rPr>
          <w:rFonts w:ascii="Book Antiqua" w:hAnsi="Book Antiqua"/>
          <w:color w:val="000000" w:themeColor="text1"/>
          <w:sz w:val="24"/>
        </w:rPr>
        <w:t>the possibility of angiomyolipoma. In addition, there were small cysts in segments II and VIII of the liver and occupied lesions in the tail of the pancreatic body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2C).</w:t>
      </w:r>
    </w:p>
    <w:p w14:paraId="2A9B2652" w14:textId="5F1E8808" w:rsidR="00066A0A" w:rsidRPr="005F46EE" w:rsidRDefault="00541197" w:rsidP="005F46EE">
      <w:pPr>
        <w:snapToGrid w:val="0"/>
        <w:spacing w:line="360" w:lineRule="auto"/>
        <w:ind w:firstLineChars="200" w:firstLine="480"/>
        <w:rPr>
          <w:rFonts w:ascii="Book Antiqua" w:hAnsi="Book Antiqua"/>
          <w:color w:val="000000" w:themeColor="text1"/>
          <w:sz w:val="24"/>
        </w:rPr>
      </w:pPr>
      <w:r w:rsidRPr="005F46EE">
        <w:rPr>
          <w:rFonts w:ascii="Book Antiqua" w:hAnsi="Book Antiqua"/>
          <w:color w:val="000000" w:themeColor="text1"/>
          <w:sz w:val="24"/>
        </w:rPr>
        <w:t>Positron emission tomography (PET)/CT imaging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3) further showed strong </w:t>
      </w:r>
      <w:r w:rsidRPr="005F46EE">
        <w:rPr>
          <w:rFonts w:ascii="Book Antiqua" w:hAnsi="Book Antiqua"/>
          <w:color w:val="000000" w:themeColor="text1"/>
          <w:sz w:val="24"/>
          <w:vertAlign w:val="superscript"/>
        </w:rPr>
        <w:t>18</w:t>
      </w:r>
      <w:r w:rsidRPr="005F46EE">
        <w:rPr>
          <w:rFonts w:ascii="Book Antiqua" w:hAnsi="Book Antiqua"/>
          <w:color w:val="000000" w:themeColor="text1"/>
          <w:sz w:val="24"/>
        </w:rPr>
        <w:t>F-</w:t>
      </w:r>
      <w:r w:rsidR="00100FA4" w:rsidRPr="005F46EE">
        <w:rPr>
          <w:rFonts w:ascii="Book Antiqua" w:hAnsi="Book Antiqua"/>
          <w:color w:val="000000" w:themeColor="text1"/>
          <w:sz w:val="24"/>
        </w:rPr>
        <w:t>flurodeoxyglucose</w:t>
      </w:r>
      <w:r w:rsidRPr="005F46EE">
        <w:rPr>
          <w:rFonts w:ascii="Book Antiqua" w:hAnsi="Book Antiqua"/>
          <w:color w:val="000000" w:themeColor="text1"/>
          <w:sz w:val="24"/>
        </w:rPr>
        <w:t xml:space="preserve"> uptake in the tail of the pancreatic body and segment IV of the liver, indicating the presence of insulinomas with intrahepatic metastases. There were several circular nodules visible in the right and left lungs, showing partial</w:t>
      </w:r>
      <w:r w:rsidR="00B72EA9" w:rsidRPr="005F46EE">
        <w:rPr>
          <w:rFonts w:ascii="Book Antiqua" w:hAnsi="Book Antiqua"/>
          <w:color w:val="000000" w:themeColor="text1"/>
          <w:sz w:val="24"/>
        </w:rPr>
        <w:t>ly</w:t>
      </w:r>
      <w:r w:rsidRPr="005F46EE">
        <w:rPr>
          <w:rFonts w:ascii="Book Antiqua" w:hAnsi="Book Antiqua"/>
          <w:color w:val="000000" w:themeColor="text1"/>
          <w:sz w:val="24"/>
        </w:rPr>
        <w:t xml:space="preserve"> increase</w:t>
      </w:r>
      <w:r w:rsidR="00B72EA9" w:rsidRPr="005F46EE">
        <w:rPr>
          <w:rFonts w:ascii="Book Antiqua" w:hAnsi="Book Antiqua"/>
          <w:color w:val="000000" w:themeColor="text1"/>
          <w:sz w:val="24"/>
        </w:rPr>
        <w:t>d</w:t>
      </w:r>
      <w:r w:rsidRPr="005F46EE">
        <w:rPr>
          <w:rFonts w:ascii="Book Antiqua" w:hAnsi="Book Antiqua"/>
          <w:color w:val="000000" w:themeColor="text1"/>
          <w:sz w:val="24"/>
        </w:rPr>
        <w:t xml:space="preserve"> signals in them. After undergoing complete surgical resection of the thymoma, ring-shaped hypermetabolism became visible around the aortic root, </w:t>
      </w:r>
      <w:bookmarkStart w:id="17" w:name="OLE_LINK3"/>
      <w:r w:rsidR="00B72EA9" w:rsidRPr="005F46EE">
        <w:rPr>
          <w:rFonts w:ascii="Book Antiqua" w:hAnsi="Book Antiqua"/>
          <w:color w:val="000000" w:themeColor="text1"/>
          <w:sz w:val="24"/>
        </w:rPr>
        <w:t xml:space="preserve">which </w:t>
      </w:r>
      <w:r w:rsidRPr="005F46EE">
        <w:rPr>
          <w:rFonts w:ascii="Book Antiqua" w:hAnsi="Book Antiqua"/>
          <w:color w:val="000000" w:themeColor="text1"/>
          <w:sz w:val="24"/>
        </w:rPr>
        <w:t xml:space="preserve">may </w:t>
      </w:r>
      <w:r w:rsidR="00B72EA9" w:rsidRPr="005F46EE">
        <w:rPr>
          <w:rFonts w:ascii="Book Antiqua" w:hAnsi="Book Antiqua"/>
          <w:color w:val="000000" w:themeColor="text1"/>
          <w:sz w:val="24"/>
        </w:rPr>
        <w:t xml:space="preserve">be a </w:t>
      </w:r>
      <w:r w:rsidRPr="005F46EE">
        <w:rPr>
          <w:rFonts w:ascii="Book Antiqua" w:hAnsi="Book Antiqua"/>
          <w:color w:val="000000" w:themeColor="text1"/>
          <w:sz w:val="24"/>
        </w:rPr>
        <w:t xml:space="preserve">result </w:t>
      </w:r>
      <w:r w:rsidR="00B72EA9" w:rsidRPr="005F46EE">
        <w:rPr>
          <w:rFonts w:ascii="Book Antiqua" w:hAnsi="Book Antiqua"/>
          <w:color w:val="000000" w:themeColor="text1"/>
          <w:sz w:val="24"/>
        </w:rPr>
        <w:t>of</w:t>
      </w:r>
      <w:r w:rsidRPr="005F46EE">
        <w:rPr>
          <w:rFonts w:ascii="Book Antiqua" w:hAnsi="Book Antiqua"/>
          <w:color w:val="000000" w:themeColor="text1"/>
          <w:sz w:val="24"/>
        </w:rPr>
        <w:t xml:space="preserve"> fat intake</w:t>
      </w:r>
      <w:bookmarkEnd w:id="17"/>
      <w:r w:rsidRPr="005F46EE">
        <w:rPr>
          <w:rFonts w:ascii="Book Antiqua" w:hAnsi="Book Antiqua"/>
          <w:color w:val="000000" w:themeColor="text1"/>
          <w:sz w:val="24"/>
        </w:rPr>
        <w:t>.</w:t>
      </w:r>
    </w:p>
    <w:p w14:paraId="1D19D010" w14:textId="77777777" w:rsidR="00066A0A" w:rsidRPr="005F46EE" w:rsidRDefault="00066A0A" w:rsidP="005F46EE">
      <w:pPr>
        <w:snapToGrid w:val="0"/>
        <w:spacing w:line="360" w:lineRule="auto"/>
        <w:ind w:firstLineChars="200" w:firstLine="480"/>
        <w:rPr>
          <w:rFonts w:ascii="Book Antiqua" w:hAnsi="Book Antiqua"/>
          <w:color w:val="000000" w:themeColor="text1"/>
          <w:sz w:val="24"/>
        </w:rPr>
      </w:pPr>
    </w:p>
    <w:bookmarkEnd w:id="15"/>
    <w:bookmarkEnd w:id="16"/>
    <w:p w14:paraId="024FB91A" w14:textId="77777777" w:rsidR="004E3039" w:rsidRPr="005F46EE" w:rsidRDefault="004E3039" w:rsidP="005F46EE">
      <w:pPr>
        <w:snapToGrid w:val="0"/>
        <w:spacing w:line="360" w:lineRule="auto"/>
        <w:rPr>
          <w:rFonts w:ascii="Book Antiqua" w:hAnsi="Book Antiqua"/>
          <w:b/>
          <w:sz w:val="24"/>
          <w:u w:val="single"/>
        </w:rPr>
      </w:pPr>
      <w:r w:rsidRPr="005F46EE">
        <w:rPr>
          <w:rFonts w:ascii="Book Antiqua" w:hAnsi="Book Antiqua"/>
          <w:b/>
          <w:sz w:val="24"/>
          <w:u w:val="single"/>
        </w:rPr>
        <w:t>FINAL DIAGNOSIS</w:t>
      </w:r>
    </w:p>
    <w:p w14:paraId="477CD244" w14:textId="77777777" w:rsidR="00066A0A" w:rsidRPr="005F46EE" w:rsidRDefault="00541197" w:rsidP="005F46EE">
      <w:pPr>
        <w:widowControl/>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A multiple disciplinary team (MDT) consisting of an endocrinologist, oncologist, pathologist, radiologist, thoracic surgeon, and hepatobiliary surgeon was incorporated to manage this patient. MEN1 with thymic carcinoid, thymoma, parathyroid and insulinomas with intrahepatic metastases was initially diagnosed.</w:t>
      </w:r>
    </w:p>
    <w:p w14:paraId="1A9B60E9" w14:textId="77777777" w:rsidR="00066A0A" w:rsidRPr="005F46EE" w:rsidRDefault="00066A0A" w:rsidP="005F46EE">
      <w:pPr>
        <w:widowControl/>
        <w:snapToGrid w:val="0"/>
        <w:spacing w:line="360" w:lineRule="auto"/>
        <w:rPr>
          <w:rFonts w:ascii="Book Antiqua" w:hAnsi="Book Antiqua" w:cs="宋体"/>
          <w:b/>
          <w:bCs/>
          <w:color w:val="000000" w:themeColor="text1"/>
          <w:kern w:val="0"/>
          <w:sz w:val="24"/>
        </w:rPr>
      </w:pPr>
    </w:p>
    <w:p w14:paraId="55E18BD5" w14:textId="77777777" w:rsidR="004E3039" w:rsidRPr="005F46EE" w:rsidRDefault="004E3039" w:rsidP="005F46EE">
      <w:pPr>
        <w:snapToGrid w:val="0"/>
        <w:spacing w:line="360" w:lineRule="auto"/>
        <w:rPr>
          <w:rFonts w:ascii="Book Antiqua" w:hAnsi="Book Antiqua"/>
          <w:b/>
          <w:sz w:val="24"/>
          <w:u w:val="single"/>
        </w:rPr>
      </w:pPr>
      <w:r w:rsidRPr="005F46EE">
        <w:rPr>
          <w:rFonts w:ascii="Book Antiqua" w:hAnsi="Book Antiqua"/>
          <w:b/>
          <w:sz w:val="24"/>
          <w:u w:val="single"/>
        </w:rPr>
        <w:t>TREATMENT</w:t>
      </w:r>
    </w:p>
    <w:p w14:paraId="48BE4544" w14:textId="0A08923A"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Since there were no obvious surgical contraindications, </w:t>
      </w:r>
      <w:r w:rsidR="00B72EA9" w:rsidRPr="005F46EE">
        <w:rPr>
          <w:rFonts w:ascii="Book Antiqua" w:hAnsi="Book Antiqua"/>
          <w:color w:val="000000" w:themeColor="text1"/>
          <w:sz w:val="24"/>
        </w:rPr>
        <w:t xml:space="preserve">the </w:t>
      </w:r>
      <w:r w:rsidRPr="005F46EE">
        <w:rPr>
          <w:rFonts w:ascii="Book Antiqua" w:hAnsi="Book Antiqua"/>
          <w:color w:val="000000" w:themeColor="text1"/>
          <w:sz w:val="24"/>
        </w:rPr>
        <w:t>MDT recommended a radical excision of the lesions to alleviate hypoglycemia symptoms and improve the quality of life for the patient. The patient underwent a resection of the tail of the pancreatic body, enucleation of the pancreatic head mass, and ultrasound-guided radiofrequency ablation for liver cancer. During the operation, a nodule with a diameter of about 0.4</w:t>
      </w:r>
      <w:r w:rsidR="00B72EA9" w:rsidRPr="005F46EE">
        <w:rPr>
          <w:rFonts w:ascii="Book Antiqua" w:hAnsi="Book Antiqua"/>
          <w:color w:val="000000" w:themeColor="text1"/>
          <w:sz w:val="24"/>
        </w:rPr>
        <w:t xml:space="preserve"> </w:t>
      </w:r>
      <w:r w:rsidRPr="005F46EE">
        <w:rPr>
          <w:rFonts w:ascii="Book Antiqua" w:hAnsi="Book Antiqua"/>
          <w:color w:val="000000" w:themeColor="text1"/>
          <w:sz w:val="24"/>
        </w:rPr>
        <w:t>cm was observed in the diaphragmatic surface of the right liver lobe. A mass of about 0.5 cm × 0.5 cm was palpable in the right posterior liver lobe</w:t>
      </w:r>
      <w:r w:rsidR="00B72EA9" w:rsidRPr="005F46EE">
        <w:rPr>
          <w:rFonts w:ascii="Book Antiqua" w:hAnsi="Book Antiqua"/>
          <w:color w:val="000000" w:themeColor="text1"/>
          <w:sz w:val="24"/>
        </w:rPr>
        <w:t xml:space="preserve">. </w:t>
      </w:r>
      <w:r w:rsidR="00182DF4" w:rsidRPr="005F46EE">
        <w:rPr>
          <w:rFonts w:ascii="Book Antiqua" w:hAnsi="Book Antiqua"/>
          <w:color w:val="000000" w:themeColor="text1"/>
          <w:sz w:val="24"/>
        </w:rPr>
        <w:t>In addition, a</w:t>
      </w:r>
      <w:r w:rsidRPr="005F46EE">
        <w:rPr>
          <w:rFonts w:ascii="Book Antiqua" w:hAnsi="Book Antiqua"/>
          <w:color w:val="000000" w:themeColor="text1"/>
          <w:sz w:val="24"/>
        </w:rPr>
        <w:t xml:space="preserve"> tumor </w:t>
      </w:r>
      <w:r w:rsidR="00B72EA9" w:rsidRPr="005F46EE">
        <w:rPr>
          <w:rFonts w:ascii="Book Antiqua" w:hAnsi="Book Antiqua"/>
          <w:color w:val="000000" w:themeColor="text1"/>
          <w:sz w:val="24"/>
        </w:rPr>
        <w:t xml:space="preserve">of </w:t>
      </w:r>
      <w:r w:rsidRPr="005F46EE">
        <w:rPr>
          <w:rFonts w:ascii="Book Antiqua" w:hAnsi="Book Antiqua"/>
          <w:color w:val="000000" w:themeColor="text1"/>
          <w:sz w:val="24"/>
        </w:rPr>
        <w:t>about 2 cm × 2 cm in the falciform ligament about 4 cm from the hepatic margin, a mass of 1.5</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cm × 1.0 cm on the pancreatic head, a mass of 5 cm × 3 cm × 3 cm on the pancreatic body, and a mass of 1.5 cm × 1 cm on the pancreatic tail</w:t>
      </w:r>
      <w:r w:rsidR="00182DF4" w:rsidRPr="005F46EE">
        <w:rPr>
          <w:rFonts w:ascii="Book Antiqua" w:hAnsi="Book Antiqua"/>
          <w:color w:val="000000" w:themeColor="text1"/>
          <w:sz w:val="24"/>
        </w:rPr>
        <w:t xml:space="preserve"> were found</w:t>
      </w:r>
      <w:r w:rsidRPr="005F46EE">
        <w:rPr>
          <w:rFonts w:ascii="Book Antiqua" w:hAnsi="Book Antiqua"/>
          <w:color w:val="000000" w:themeColor="text1"/>
          <w:sz w:val="24"/>
        </w:rPr>
        <w:t>. The intraoperative ultrasonography findings from the liver scan showed the right lobe nodules as cysts, and ultrasound-guided segment IV liver biopsy and radiofrequency ablation were performed.</w:t>
      </w:r>
    </w:p>
    <w:p w14:paraId="46742834" w14:textId="2FD444E0" w:rsidR="00066A0A" w:rsidRPr="005F46EE" w:rsidRDefault="00541197" w:rsidP="005F46EE">
      <w:pPr>
        <w:snapToGrid w:val="0"/>
        <w:spacing w:line="360" w:lineRule="auto"/>
        <w:ind w:firstLineChars="200" w:firstLine="480"/>
        <w:rPr>
          <w:rFonts w:ascii="Book Antiqua" w:hAnsi="Book Antiqua"/>
          <w:color w:val="000000" w:themeColor="text1"/>
          <w:sz w:val="24"/>
        </w:rPr>
      </w:pPr>
      <w:r w:rsidRPr="005F46EE">
        <w:rPr>
          <w:rFonts w:ascii="Book Antiqua" w:hAnsi="Book Antiqua"/>
          <w:color w:val="000000" w:themeColor="text1"/>
          <w:sz w:val="24"/>
        </w:rPr>
        <w:t>After surgery, all diabetes factors with abnormal serum levels were returned to normal levels (Table 1). The pathological findings are shown in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4. The pancreatic tissues showed CKpan</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synaptophysin</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chromogranin A</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partial CD56</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p53</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partial PGP9.5</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partial SSTR2</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CD10</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partial vimentin (+), a mitotic count of 6/10 high power fields</w:t>
      </w:r>
      <w:r w:rsidR="00182DF4" w:rsidRPr="005F46EE">
        <w:rPr>
          <w:rFonts w:ascii="Book Antiqua" w:hAnsi="Book Antiqua"/>
          <w:color w:val="000000" w:themeColor="text1"/>
          <w:sz w:val="24"/>
        </w:rPr>
        <w:t>,</w:t>
      </w:r>
      <w:r w:rsidRPr="005F46EE">
        <w:rPr>
          <w:rFonts w:ascii="Book Antiqua" w:hAnsi="Book Antiqua"/>
          <w:color w:val="000000" w:themeColor="text1"/>
          <w:sz w:val="24"/>
        </w:rPr>
        <w:t xml:space="preserve"> and Ki-67 index of about 8%-20%, which confirmed the diagnosis of the pancreas NET grade 2. The liver tissues showed </w:t>
      </w:r>
      <w:proofErr w:type="spellStart"/>
      <w:r w:rsidRPr="005F46EE">
        <w:rPr>
          <w:rFonts w:ascii="Book Antiqua" w:hAnsi="Book Antiqua"/>
          <w:color w:val="000000" w:themeColor="text1"/>
          <w:sz w:val="24"/>
        </w:rPr>
        <w:t>CKpan</w:t>
      </w:r>
      <w:proofErr w:type="spellEnd"/>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xml:space="preserve">(+), </w:t>
      </w:r>
      <w:proofErr w:type="spellStart"/>
      <w:r w:rsidRPr="005F46EE">
        <w:rPr>
          <w:rFonts w:ascii="Book Antiqua" w:hAnsi="Book Antiqua"/>
          <w:color w:val="000000" w:themeColor="text1"/>
          <w:sz w:val="24"/>
        </w:rPr>
        <w:t>synaptophysin</w:t>
      </w:r>
      <w:proofErr w:type="spellEnd"/>
      <w:r w:rsidRPr="005F46EE">
        <w:rPr>
          <w:rFonts w:ascii="Book Antiqua" w:hAnsi="Book Antiqua"/>
          <w:color w:val="000000" w:themeColor="text1"/>
          <w:sz w:val="24"/>
        </w:rPr>
        <w:t xml:space="preserve"> (+), </w:t>
      </w:r>
      <w:r w:rsidR="00182DF4" w:rsidRPr="005F46EE">
        <w:rPr>
          <w:rFonts w:ascii="Book Antiqua" w:hAnsi="Book Antiqua"/>
          <w:color w:val="000000" w:themeColor="text1"/>
          <w:sz w:val="24"/>
        </w:rPr>
        <w:t>c</w:t>
      </w:r>
      <w:r w:rsidRPr="005F46EE">
        <w:rPr>
          <w:rFonts w:ascii="Book Antiqua" w:hAnsi="Book Antiqua"/>
          <w:color w:val="000000" w:themeColor="text1"/>
          <w:sz w:val="24"/>
        </w:rPr>
        <w:t>hromogranin A</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partial CD56</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p53</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PGP9.5</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xml:space="preserve">(+), a mitotic count of 4/10 </w:t>
      </w:r>
      <w:r w:rsidR="00182DF4" w:rsidRPr="005F46EE">
        <w:rPr>
          <w:rFonts w:ascii="Book Antiqua" w:hAnsi="Book Antiqua"/>
          <w:color w:val="000000" w:themeColor="text1"/>
          <w:sz w:val="24"/>
        </w:rPr>
        <w:t>high power fields,</w:t>
      </w:r>
      <w:r w:rsidRPr="005F46EE">
        <w:rPr>
          <w:rFonts w:ascii="Book Antiqua" w:hAnsi="Book Antiqua"/>
          <w:color w:val="000000" w:themeColor="text1"/>
          <w:sz w:val="24"/>
        </w:rPr>
        <w:t xml:space="preserve"> and Ki-67 index of about 10%-20%, which confirmed the diagnosis of liver NET grade 2. Moreover, there were multiple tiny nodules around the pancreatic tissues, indicating that surgical resection could not completely remove the lesions. NET grade 2 was diagnosed according to the World Health Organization 2010 classifications for gastrointestinal and pancreatic </w:t>
      </w:r>
      <w:proofErr w:type="gramStart"/>
      <w:r w:rsidR="0040007F" w:rsidRPr="005F46EE">
        <w:rPr>
          <w:rFonts w:ascii="Book Antiqua" w:hAnsi="Book Antiqua"/>
          <w:color w:val="000000" w:themeColor="text1"/>
          <w:sz w:val="24"/>
        </w:rPr>
        <w:t>NET</w:t>
      </w:r>
      <w:r w:rsidRPr="005F46EE">
        <w:rPr>
          <w:rFonts w:ascii="Book Antiqua" w:hAnsi="Book Antiqua"/>
          <w:color w:val="000000" w:themeColor="text1"/>
          <w:sz w:val="24"/>
        </w:rPr>
        <w:t>s</w:t>
      </w:r>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4]</w:t>
      </w:r>
      <w:r w:rsidRPr="005F46EE">
        <w:rPr>
          <w:rFonts w:ascii="Book Antiqua" w:hAnsi="Book Antiqua"/>
          <w:color w:val="000000" w:themeColor="text1"/>
          <w:sz w:val="24"/>
        </w:rPr>
        <w:t xml:space="preserve">. Furthermore, whole-exome sequencing revealed a verified pathogenic mutation c.378G&gt;A (p.Trp126*) in the </w:t>
      </w:r>
      <w:r w:rsidRPr="005F46EE">
        <w:rPr>
          <w:rFonts w:ascii="Book Antiqua" w:hAnsi="Book Antiqua"/>
          <w:i/>
          <w:color w:val="000000" w:themeColor="text1"/>
          <w:sz w:val="24"/>
        </w:rPr>
        <w:t>MEN1</w:t>
      </w:r>
      <w:r w:rsidRPr="005F46EE">
        <w:rPr>
          <w:rFonts w:ascii="Book Antiqua" w:hAnsi="Book Antiqua"/>
          <w:color w:val="000000" w:themeColor="text1"/>
          <w:sz w:val="24"/>
        </w:rPr>
        <w:t xml:space="preserve"> gene (reference sequence NM_130799.2). Therefore, the final diagnosis of MEN1 was confirmed.</w:t>
      </w:r>
    </w:p>
    <w:p w14:paraId="71373F4F" w14:textId="77777777" w:rsidR="00066A0A" w:rsidRPr="005F46EE" w:rsidRDefault="00066A0A" w:rsidP="005F46EE">
      <w:pPr>
        <w:widowControl/>
        <w:snapToGrid w:val="0"/>
        <w:spacing w:line="360" w:lineRule="auto"/>
        <w:rPr>
          <w:rFonts w:ascii="Book Antiqua" w:hAnsi="Book Antiqua" w:cs="宋体"/>
          <w:color w:val="000000" w:themeColor="text1"/>
          <w:kern w:val="0"/>
          <w:sz w:val="24"/>
        </w:rPr>
      </w:pPr>
    </w:p>
    <w:p w14:paraId="6F84B388" w14:textId="77777777" w:rsidR="004E3039" w:rsidRPr="005F46EE" w:rsidRDefault="004E3039" w:rsidP="005F46EE">
      <w:pPr>
        <w:pStyle w:val="Normal1"/>
        <w:snapToGrid w:val="0"/>
        <w:spacing w:after="0" w:line="360" w:lineRule="auto"/>
        <w:jc w:val="both"/>
        <w:rPr>
          <w:rFonts w:ascii="Book Antiqua" w:hAnsi="Book Antiqua" w:cstheme="minorHAnsi"/>
          <w:b/>
          <w:sz w:val="24"/>
          <w:szCs w:val="24"/>
          <w:u w:val="single"/>
        </w:rPr>
      </w:pPr>
      <w:r w:rsidRPr="005F46EE">
        <w:rPr>
          <w:rFonts w:ascii="Book Antiqua" w:hAnsi="Book Antiqua"/>
          <w:b/>
          <w:sz w:val="24"/>
          <w:szCs w:val="24"/>
          <w:u w:val="single"/>
        </w:rPr>
        <w:t xml:space="preserve">OUTCOME AND FOLLOW-UP </w:t>
      </w:r>
    </w:p>
    <w:p w14:paraId="50E84FBB" w14:textId="42F38C7C"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The patient was free of hunger symptoms. During the follow-up visit at </w:t>
      </w:r>
      <w:r w:rsidR="006A27A0" w:rsidRPr="005F46EE">
        <w:rPr>
          <w:rFonts w:ascii="Book Antiqua" w:hAnsi="Book Antiqua"/>
          <w:color w:val="000000" w:themeColor="text1"/>
          <w:sz w:val="24"/>
        </w:rPr>
        <w:t>6</w:t>
      </w:r>
      <w:r w:rsidRPr="005F46EE">
        <w:rPr>
          <w:rFonts w:ascii="Book Antiqua" w:hAnsi="Book Antiqua"/>
          <w:color w:val="000000" w:themeColor="text1"/>
          <w:sz w:val="24"/>
        </w:rPr>
        <w:t xml:space="preserve"> </w:t>
      </w:r>
      <w:proofErr w:type="spellStart"/>
      <w:proofErr w:type="gramStart"/>
      <w:r w:rsidRPr="005F46EE">
        <w:rPr>
          <w:rFonts w:ascii="Book Antiqua" w:hAnsi="Book Antiqua"/>
          <w:color w:val="000000" w:themeColor="text1"/>
          <w:sz w:val="24"/>
        </w:rPr>
        <w:t>mo</w:t>
      </w:r>
      <w:proofErr w:type="spellEnd"/>
      <w:proofErr w:type="gramEnd"/>
      <w:r w:rsidRPr="005F46EE">
        <w:rPr>
          <w:rFonts w:ascii="Book Antiqua" w:hAnsi="Book Antiqua"/>
          <w:color w:val="000000" w:themeColor="text1"/>
          <w:sz w:val="24"/>
        </w:rPr>
        <w:t xml:space="preserve">, single-photon emission </w:t>
      </w:r>
      <w:r w:rsidR="0040007F" w:rsidRPr="005F46EE">
        <w:rPr>
          <w:rFonts w:ascii="Book Antiqua" w:hAnsi="Book Antiqua"/>
          <w:color w:val="000000" w:themeColor="text1"/>
          <w:sz w:val="24"/>
        </w:rPr>
        <w:t>CT</w:t>
      </w:r>
      <w:r w:rsidRPr="005F46EE">
        <w:rPr>
          <w:rFonts w:ascii="Book Antiqua" w:hAnsi="Book Antiqua"/>
          <w:color w:val="000000" w:themeColor="text1"/>
          <w:sz w:val="24"/>
        </w:rPr>
        <w:t xml:space="preserve">/CT revealed multiple small nodules in the lungs. After comparing the </w:t>
      </w:r>
      <w:r w:rsidR="006A27A0" w:rsidRPr="005F46EE">
        <w:rPr>
          <w:rFonts w:ascii="Book Antiqua" w:hAnsi="Book Antiqua"/>
          <w:color w:val="000000" w:themeColor="text1"/>
          <w:sz w:val="24"/>
        </w:rPr>
        <w:t xml:space="preserve">single-photon emission </w:t>
      </w:r>
      <w:r w:rsidRPr="005F46EE">
        <w:rPr>
          <w:rFonts w:ascii="Book Antiqua" w:hAnsi="Book Antiqua"/>
          <w:color w:val="000000" w:themeColor="text1"/>
          <w:sz w:val="24"/>
        </w:rPr>
        <w:t xml:space="preserve">CT/CT scans with the PET/CT from </w:t>
      </w:r>
      <w:r w:rsidR="006A27A0" w:rsidRPr="005F46EE">
        <w:rPr>
          <w:rFonts w:ascii="Book Antiqua" w:hAnsi="Book Antiqua"/>
          <w:color w:val="000000" w:themeColor="text1"/>
          <w:sz w:val="24"/>
        </w:rPr>
        <w:t>4</w:t>
      </w:r>
      <w:r w:rsidRPr="005F46EE">
        <w:rPr>
          <w:rFonts w:ascii="Book Antiqua" w:hAnsi="Book Antiqua"/>
          <w:color w:val="000000" w:themeColor="text1"/>
          <w:sz w:val="24"/>
        </w:rPr>
        <w:t xml:space="preserve"> </w:t>
      </w:r>
      <w:proofErr w:type="spellStart"/>
      <w:proofErr w:type="gramStart"/>
      <w:r w:rsidRPr="005F46EE">
        <w:rPr>
          <w:rFonts w:ascii="Book Antiqua" w:hAnsi="Book Antiqua"/>
          <w:color w:val="000000" w:themeColor="text1"/>
          <w:sz w:val="24"/>
        </w:rPr>
        <w:t>mo</w:t>
      </w:r>
      <w:proofErr w:type="spellEnd"/>
      <w:proofErr w:type="gramEnd"/>
      <w:r w:rsidRPr="005F46EE">
        <w:rPr>
          <w:rFonts w:ascii="Book Antiqua" w:hAnsi="Book Antiqua"/>
          <w:color w:val="000000" w:themeColor="text1"/>
          <w:sz w:val="24"/>
        </w:rPr>
        <w:t xml:space="preserve"> prior, these nodules were suspected of being metastatic lesions. However, the nodules were too small to undergo needle biopsy, so the patient was placed under observation without additional treatment. At the last follow-up in January of 2020, the patient appeared healthy without any signs of disease reoccurrence.</w:t>
      </w:r>
    </w:p>
    <w:p w14:paraId="7B47A55A" w14:textId="77777777" w:rsidR="00066A0A" w:rsidRPr="005F46EE" w:rsidRDefault="00066A0A" w:rsidP="005F46EE">
      <w:pPr>
        <w:snapToGrid w:val="0"/>
        <w:spacing w:line="360" w:lineRule="auto"/>
        <w:rPr>
          <w:rFonts w:ascii="Book Antiqua" w:hAnsi="Book Antiqua"/>
          <w:color w:val="000000" w:themeColor="text1"/>
          <w:sz w:val="24"/>
        </w:rPr>
      </w:pPr>
    </w:p>
    <w:p w14:paraId="069F6788" w14:textId="77777777" w:rsidR="004E3039" w:rsidRPr="005F46EE" w:rsidRDefault="004E3039" w:rsidP="005F46EE">
      <w:pPr>
        <w:pStyle w:val="Normal1"/>
        <w:snapToGrid w:val="0"/>
        <w:spacing w:after="0" w:line="360" w:lineRule="auto"/>
        <w:jc w:val="both"/>
        <w:rPr>
          <w:rFonts w:ascii="Book Antiqua" w:hAnsi="Book Antiqua" w:cstheme="minorHAnsi"/>
          <w:sz w:val="24"/>
          <w:szCs w:val="24"/>
          <w:u w:val="single"/>
        </w:rPr>
      </w:pPr>
      <w:bookmarkStart w:id="18" w:name="OLE_LINK13"/>
      <w:r w:rsidRPr="005F46EE">
        <w:rPr>
          <w:rFonts w:ascii="Book Antiqua" w:hAnsi="Book Antiqua" w:cstheme="minorHAnsi"/>
          <w:b/>
          <w:sz w:val="24"/>
          <w:szCs w:val="24"/>
          <w:u w:val="single"/>
        </w:rPr>
        <w:t>DISCUSSION</w:t>
      </w:r>
    </w:p>
    <w:p w14:paraId="2C538D5F" w14:textId="2EFDBA69" w:rsidR="0040007F"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MEN1 is characterized by primary hyperparathyroidism caused by a parathyroid tumor and involves the pancreas, anterior pituitary, duodenum, and adrenal gland. The annual incidence rate of MEN1 is about 1 in 30000</w:t>
      </w:r>
      <w:r w:rsidRPr="005F46EE">
        <w:rPr>
          <w:rFonts w:ascii="Book Antiqua" w:hAnsi="Book Antiqua"/>
          <w:color w:val="000000" w:themeColor="text1"/>
          <w:sz w:val="24"/>
          <w:vertAlign w:val="superscript"/>
        </w:rPr>
        <w:t>[2]</w:t>
      </w:r>
      <w:r w:rsidRPr="005F46EE">
        <w:rPr>
          <w:rFonts w:ascii="Book Antiqua" w:hAnsi="Book Antiqua"/>
          <w:color w:val="000000" w:themeColor="text1"/>
          <w:sz w:val="24"/>
        </w:rPr>
        <w:t xml:space="preserve">. Approximately 25% </w:t>
      </w:r>
      <w:r w:rsidR="006A27A0" w:rsidRPr="005F46EE">
        <w:rPr>
          <w:rFonts w:ascii="Book Antiqua" w:hAnsi="Book Antiqua"/>
          <w:color w:val="000000" w:themeColor="text1"/>
          <w:sz w:val="24"/>
        </w:rPr>
        <w:t xml:space="preserve">of </w:t>
      </w:r>
      <w:r w:rsidRPr="005F46EE">
        <w:rPr>
          <w:rFonts w:ascii="Book Antiqua" w:hAnsi="Book Antiqua"/>
          <w:color w:val="000000" w:themeColor="text1"/>
          <w:sz w:val="24"/>
        </w:rPr>
        <w:t>patients with thymic carcinoids are also diagnosed with MEN1</w:t>
      </w:r>
      <w:r w:rsidRPr="005F46EE">
        <w:rPr>
          <w:rFonts w:ascii="Book Antiqua" w:hAnsi="Book Antiqua"/>
          <w:color w:val="000000" w:themeColor="text1"/>
          <w:sz w:val="24"/>
          <w:vertAlign w:val="superscript"/>
        </w:rPr>
        <w:t>[5, 6]</w:t>
      </w:r>
      <w:r w:rsidRPr="005F46EE">
        <w:rPr>
          <w:rFonts w:ascii="Book Antiqua" w:hAnsi="Book Antiqua"/>
          <w:color w:val="000000" w:themeColor="text1"/>
          <w:sz w:val="24"/>
        </w:rPr>
        <w:t>, and in patients with MEN1, the incidence of thymic carcinoids is between 2</w:t>
      </w:r>
      <w:r w:rsidR="0040007F" w:rsidRPr="005F46EE">
        <w:rPr>
          <w:rFonts w:ascii="Book Antiqua" w:hAnsi="Book Antiqua"/>
          <w:color w:val="000000" w:themeColor="text1"/>
          <w:sz w:val="24"/>
        </w:rPr>
        <w:t>%</w:t>
      </w:r>
      <w:r w:rsidRPr="005F46EE">
        <w:rPr>
          <w:rFonts w:ascii="Book Antiqua" w:hAnsi="Book Antiqua"/>
          <w:color w:val="000000" w:themeColor="text1"/>
          <w:sz w:val="24"/>
        </w:rPr>
        <w:t xml:space="preserve"> and 8%, with the disease most commonly occurring in patients 38 to 49 years of age</w:t>
      </w:r>
      <w:r w:rsidRPr="005F46EE">
        <w:rPr>
          <w:rFonts w:ascii="Book Antiqua" w:hAnsi="Book Antiqua"/>
          <w:color w:val="000000" w:themeColor="text1"/>
          <w:sz w:val="24"/>
          <w:vertAlign w:val="superscript"/>
        </w:rPr>
        <w:t>[7,8]</w:t>
      </w:r>
      <w:r w:rsidRPr="005F46EE">
        <w:rPr>
          <w:rFonts w:ascii="Book Antiqua" w:hAnsi="Book Antiqua"/>
          <w:color w:val="000000" w:themeColor="text1"/>
          <w:sz w:val="24"/>
        </w:rPr>
        <w:t>.</w:t>
      </w:r>
      <w:r w:rsidRPr="005F46EE">
        <w:rPr>
          <w:rFonts w:ascii="Book Antiqua" w:hAnsi="Book Antiqua"/>
          <w:color w:val="000000" w:themeColor="text1"/>
          <w:sz w:val="24"/>
          <w:vertAlign w:val="superscript"/>
        </w:rPr>
        <w:t xml:space="preserve"> </w:t>
      </w:r>
      <w:r w:rsidRPr="005F46EE">
        <w:rPr>
          <w:rFonts w:ascii="Book Antiqua" w:hAnsi="Book Antiqua"/>
          <w:color w:val="000000" w:themeColor="text1"/>
          <w:sz w:val="24"/>
        </w:rPr>
        <w:t xml:space="preserve">The patient in this study suffered from tumors of multiple organs, including the thymus, parathyroid, pituitary, pancreas, and liver. He first presented with thymic carcinoid, then primary hyperparathyroidism and prolactinoma, and later pancreatic NET with intrahepatic metastases. Moreover, the interval between thymic carcinoid and </w:t>
      </w:r>
      <w:bookmarkStart w:id="19" w:name="OLE_LINK6"/>
      <w:r w:rsidRPr="005F46EE">
        <w:rPr>
          <w:rFonts w:ascii="Book Antiqua" w:hAnsi="Book Antiqua"/>
          <w:color w:val="000000" w:themeColor="text1"/>
          <w:sz w:val="24"/>
        </w:rPr>
        <w:t>pancreatic NET</w:t>
      </w:r>
      <w:bookmarkEnd w:id="19"/>
      <w:r w:rsidRPr="005F46EE">
        <w:rPr>
          <w:rFonts w:ascii="Book Antiqua" w:hAnsi="Book Antiqua"/>
          <w:color w:val="000000" w:themeColor="text1"/>
          <w:sz w:val="24"/>
        </w:rPr>
        <w:t xml:space="preserve"> was </w:t>
      </w:r>
      <w:r w:rsidR="006A27A0" w:rsidRPr="005F46EE">
        <w:rPr>
          <w:rFonts w:ascii="Book Antiqua" w:hAnsi="Book Antiqua"/>
          <w:color w:val="000000" w:themeColor="text1"/>
          <w:sz w:val="24"/>
        </w:rPr>
        <w:t>10</w:t>
      </w:r>
      <w:r w:rsidRPr="005F46EE">
        <w:rPr>
          <w:rFonts w:ascii="Book Antiqua" w:hAnsi="Book Antiqua"/>
          <w:color w:val="000000" w:themeColor="text1"/>
          <w:sz w:val="24"/>
        </w:rPr>
        <w:t xml:space="preserve"> years. Since the diagnosis of the thymic carcinoid, the patient had been alive for more than 11 years. MEN1-insulinoma accounts for about 10% of pancreatic NET cases. The average age of onset is less than 40 years old, oftentimes less than 20 years old, while non-MEN1 insulinoma patients are more than 40 years old</w:t>
      </w:r>
      <w:r w:rsidRPr="005F46EE">
        <w:rPr>
          <w:rFonts w:ascii="Book Antiqua" w:hAnsi="Book Antiqua"/>
          <w:color w:val="000000" w:themeColor="text1"/>
          <w:sz w:val="24"/>
          <w:vertAlign w:val="superscript"/>
        </w:rPr>
        <w:t>[9]</w:t>
      </w:r>
      <w:r w:rsidRPr="005F46EE">
        <w:rPr>
          <w:rFonts w:ascii="Book Antiqua" w:hAnsi="Book Antiqua"/>
          <w:color w:val="000000" w:themeColor="text1"/>
          <w:sz w:val="24"/>
        </w:rPr>
        <w:t xml:space="preserve">. The symptoms of hypoglycemia often appear on an empty stomach or after physical activity, which can be relieved with food. The 72 h starvation test is the most reliable diagnostic method to demonstrate that the hypoglycemia is caused by high </w:t>
      </w:r>
      <w:proofErr w:type="gramStart"/>
      <w:r w:rsidRPr="005F46EE">
        <w:rPr>
          <w:rFonts w:ascii="Book Antiqua" w:hAnsi="Book Antiqua"/>
          <w:color w:val="000000" w:themeColor="text1"/>
          <w:sz w:val="24"/>
        </w:rPr>
        <w:t>insulin</w:t>
      </w:r>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3]</w:t>
      </w:r>
      <w:r w:rsidRPr="005F46EE">
        <w:rPr>
          <w:rFonts w:ascii="Book Antiqua" w:hAnsi="Book Antiqua"/>
          <w:color w:val="000000" w:themeColor="text1"/>
          <w:sz w:val="24"/>
        </w:rPr>
        <w:t xml:space="preserve">. Ultrasound, CT, MRI, and PET/CT are often used for preoperative localization of lesions, and intraoperative ultrasound can improve the success rate of </w:t>
      </w:r>
      <w:proofErr w:type="gramStart"/>
      <w:r w:rsidRPr="005F46EE">
        <w:rPr>
          <w:rFonts w:ascii="Book Antiqua" w:hAnsi="Book Antiqua"/>
          <w:color w:val="000000" w:themeColor="text1"/>
          <w:sz w:val="24"/>
        </w:rPr>
        <w:t>surgery</w:t>
      </w:r>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3]</w:t>
      </w:r>
      <w:r w:rsidRPr="005F46EE">
        <w:rPr>
          <w:rFonts w:ascii="Book Antiqua" w:hAnsi="Book Antiqua"/>
          <w:color w:val="000000" w:themeColor="text1"/>
          <w:sz w:val="24"/>
        </w:rPr>
        <w:t xml:space="preserve">. Endoscopic ultrasound (EUS) can be used to differentiate MEN1-related pancreas NET from sporadic pancreas </w:t>
      </w:r>
      <w:proofErr w:type="gramStart"/>
      <w:r w:rsidRPr="005F46EE">
        <w:rPr>
          <w:rFonts w:ascii="Book Antiqua" w:hAnsi="Book Antiqua"/>
          <w:color w:val="000000" w:themeColor="text1"/>
          <w:sz w:val="24"/>
        </w:rPr>
        <w:t>NET</w:t>
      </w:r>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10,11]</w:t>
      </w:r>
      <w:r w:rsidRPr="005F46EE">
        <w:rPr>
          <w:rFonts w:ascii="Book Antiqua" w:hAnsi="Book Antiqua"/>
          <w:color w:val="000000" w:themeColor="text1"/>
          <w:sz w:val="24"/>
        </w:rPr>
        <w:t xml:space="preserve">. Moreover, preoperative biopsy through EUS/fine needle aspiration is useful for determining the differentiation status of pancreas </w:t>
      </w:r>
      <w:proofErr w:type="gramStart"/>
      <w:r w:rsidRPr="005F46EE">
        <w:rPr>
          <w:rFonts w:ascii="Book Antiqua" w:hAnsi="Book Antiqua"/>
          <w:color w:val="000000" w:themeColor="text1"/>
          <w:sz w:val="24"/>
        </w:rPr>
        <w:t>NET</w:t>
      </w:r>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12-14]</w:t>
      </w:r>
      <w:r w:rsidRPr="005F46EE">
        <w:rPr>
          <w:rFonts w:ascii="Book Antiqua" w:hAnsi="Book Antiqua"/>
          <w:color w:val="000000" w:themeColor="text1"/>
          <w:sz w:val="24"/>
        </w:rPr>
        <w:t xml:space="preserve">. A well-differentiated grade 1/2 tumor is one of the primary surgical indications for pancreas NET </w:t>
      </w:r>
      <w:proofErr w:type="gramStart"/>
      <w:r w:rsidRPr="005F46EE">
        <w:rPr>
          <w:rFonts w:ascii="Book Antiqua" w:hAnsi="Book Antiqua"/>
          <w:color w:val="000000" w:themeColor="text1"/>
          <w:sz w:val="24"/>
        </w:rPr>
        <w:t>management</w:t>
      </w:r>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15]</w:t>
      </w:r>
      <w:r w:rsidRPr="005F46EE">
        <w:rPr>
          <w:rFonts w:ascii="Book Antiqua" w:hAnsi="Book Antiqua"/>
          <w:color w:val="000000" w:themeColor="text1"/>
          <w:sz w:val="24"/>
        </w:rPr>
        <w:t>. However, the preoperative diagnosis of pancreas NET is relatively clear based on the patient's medical history, insulin level, Whipple’s triad, CT, MRI, and PET/CT findings. Hence, EUS was not performed, which is a limitation of the present case.</w:t>
      </w:r>
    </w:p>
    <w:p w14:paraId="1C633B7F" w14:textId="59F83CE9" w:rsidR="00066A0A" w:rsidRPr="005F46EE" w:rsidRDefault="00541197" w:rsidP="005F46EE">
      <w:pPr>
        <w:snapToGrid w:val="0"/>
        <w:spacing w:line="360" w:lineRule="auto"/>
        <w:ind w:firstLineChars="100" w:firstLine="240"/>
        <w:rPr>
          <w:rFonts w:ascii="Book Antiqua" w:hAnsi="Book Antiqua"/>
          <w:color w:val="000000" w:themeColor="text1"/>
          <w:sz w:val="24"/>
        </w:rPr>
      </w:pPr>
      <w:r w:rsidRPr="005F46EE">
        <w:rPr>
          <w:rFonts w:ascii="Book Antiqua" w:hAnsi="Book Antiqua"/>
          <w:color w:val="000000" w:themeColor="text1"/>
          <w:sz w:val="24"/>
        </w:rPr>
        <w:t xml:space="preserve">Generally, patients with MEN1 should be managed by a MDT consisting of relevant specialists from endocrinology, radiology, oncology, pathology, and </w:t>
      </w:r>
      <w:proofErr w:type="gramStart"/>
      <w:r w:rsidRPr="005F46EE">
        <w:rPr>
          <w:rFonts w:ascii="Book Antiqua" w:hAnsi="Book Antiqua"/>
          <w:color w:val="000000" w:themeColor="text1"/>
          <w:sz w:val="24"/>
        </w:rPr>
        <w:t>surgery</w:t>
      </w:r>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3]</w:t>
      </w:r>
      <w:r w:rsidRPr="005F46EE">
        <w:rPr>
          <w:rFonts w:ascii="Book Antiqua" w:hAnsi="Book Antiqua"/>
          <w:color w:val="000000" w:themeColor="text1"/>
          <w:sz w:val="24"/>
        </w:rPr>
        <w:t xml:space="preserve">. For this disease, intraoperative monitoring of the insulin release index is useful for determining whether the tumor is successfully removed. Chemotherapy is recommended for patients with metastatic insulinomas and may include streptomycin, 5-fluorouracil, doxorubicin, or hepatic artery </w:t>
      </w:r>
      <w:proofErr w:type="gramStart"/>
      <w:r w:rsidRPr="005F46EE">
        <w:rPr>
          <w:rFonts w:ascii="Book Antiqua" w:hAnsi="Book Antiqua"/>
          <w:color w:val="000000" w:themeColor="text1"/>
          <w:sz w:val="24"/>
        </w:rPr>
        <w:t>embolization</w:t>
      </w:r>
      <w:r w:rsidRPr="005F46EE">
        <w:rPr>
          <w:rFonts w:ascii="Book Antiqua" w:hAnsi="Book Antiqua"/>
          <w:color w:val="000000" w:themeColor="text1"/>
          <w:sz w:val="24"/>
          <w:vertAlign w:val="superscript"/>
        </w:rPr>
        <w:t>[</w:t>
      </w:r>
      <w:proofErr w:type="gramEnd"/>
      <w:r w:rsidRPr="005F46EE">
        <w:rPr>
          <w:rFonts w:ascii="Book Antiqua" w:hAnsi="Book Antiqua"/>
          <w:color w:val="000000" w:themeColor="text1"/>
          <w:sz w:val="24"/>
          <w:vertAlign w:val="superscript"/>
        </w:rPr>
        <w:t>16-18]</w:t>
      </w:r>
      <w:r w:rsidRPr="005F46EE">
        <w:rPr>
          <w:rFonts w:ascii="Book Antiqua" w:hAnsi="Book Antiqua"/>
          <w:color w:val="000000" w:themeColor="text1"/>
          <w:sz w:val="24"/>
        </w:rPr>
        <w:t>.</w:t>
      </w:r>
      <w:r w:rsidRPr="005F46EE">
        <w:rPr>
          <w:rFonts w:ascii="Book Antiqua" w:hAnsi="Book Antiqua"/>
          <w:color w:val="000000" w:themeColor="text1"/>
          <w:sz w:val="24"/>
          <w:vertAlign w:val="superscript"/>
        </w:rPr>
        <w:t xml:space="preserve"> </w:t>
      </w:r>
      <w:r w:rsidRPr="005F46EE">
        <w:rPr>
          <w:rFonts w:ascii="Book Antiqua" w:hAnsi="Book Antiqua"/>
          <w:color w:val="000000" w:themeColor="text1"/>
          <w:sz w:val="24"/>
        </w:rPr>
        <w:t>The patient in this study suffered from tumors of multiple organs, including the pancreas, parathyroid, and pituitary. The progression of MEN1 was successfully controlled by MDT in the current study.</w:t>
      </w:r>
    </w:p>
    <w:p w14:paraId="681C8537" w14:textId="77777777" w:rsidR="006A27A0" w:rsidRPr="005F46EE" w:rsidRDefault="006A27A0" w:rsidP="005F46EE">
      <w:pPr>
        <w:snapToGrid w:val="0"/>
        <w:spacing w:line="360" w:lineRule="auto"/>
        <w:ind w:firstLineChars="100" w:firstLine="240"/>
        <w:rPr>
          <w:rFonts w:ascii="Book Antiqua" w:hAnsi="Book Antiqua"/>
          <w:color w:val="000000" w:themeColor="text1"/>
          <w:sz w:val="24"/>
        </w:rPr>
      </w:pPr>
    </w:p>
    <w:p w14:paraId="40A5AF83" w14:textId="77777777" w:rsidR="004E3039" w:rsidRPr="005F46EE" w:rsidRDefault="004E3039" w:rsidP="005F46EE">
      <w:pPr>
        <w:pStyle w:val="af2"/>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5F46EE">
        <w:rPr>
          <w:rFonts w:ascii="Book Antiqua" w:eastAsia="Calibri" w:hAnsi="Book Antiqua" w:cstheme="minorHAnsi"/>
          <w:b/>
          <w:sz w:val="24"/>
          <w:szCs w:val="24"/>
          <w:u w:val="single"/>
          <w:lang w:val="en-US"/>
        </w:rPr>
        <w:t>CONCLUSION</w:t>
      </w:r>
    </w:p>
    <w:p w14:paraId="2F4B12A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In conclusion, we presented a case of MEN1 that appeared sequentially as thymic carcinoid, primary hyperparathyroidism and prolactinoma, and pancreatic NET with intrahepatic metastases. Through the consultation of MDT for complete preoperative diagnosis and postoperative treatment and management, the patient was successfully treated in our clinic. If a patient is diagnosed with primary hyperparathyroidism with pituitary tumors or gastrointestinal NET, and the family history shows similar symptoms, MEN1 should be considered, and genetic testing is recommended. We hope that this study will add new insight into the diagnosis and treatment of patients with MEN1.</w:t>
      </w:r>
    </w:p>
    <w:bookmarkEnd w:id="18"/>
    <w:p w14:paraId="6E165C63" w14:textId="77777777" w:rsidR="004E3039" w:rsidRPr="005F46EE" w:rsidRDefault="004E3039" w:rsidP="005F46EE">
      <w:pPr>
        <w:pStyle w:val="EndNoteBibliography"/>
        <w:snapToGrid w:val="0"/>
        <w:spacing w:line="360" w:lineRule="auto"/>
        <w:rPr>
          <w:rFonts w:ascii="Book Antiqua" w:hAnsi="Book Antiqua" w:cs="Times New Roman"/>
          <w:b/>
          <w:bCs/>
          <w:color w:val="000000" w:themeColor="text1"/>
          <w:sz w:val="24"/>
        </w:rPr>
      </w:pPr>
    </w:p>
    <w:p w14:paraId="6AE3411E" w14:textId="77777777" w:rsidR="002040DB" w:rsidRPr="005F46EE" w:rsidRDefault="00541197" w:rsidP="005F46EE">
      <w:pPr>
        <w:pStyle w:val="EndNoteBibliography"/>
        <w:snapToGrid w:val="0"/>
        <w:spacing w:line="360" w:lineRule="auto"/>
        <w:rPr>
          <w:rFonts w:ascii="Book Antiqua" w:hAnsi="Book Antiqua"/>
          <w:color w:val="000000" w:themeColor="text1"/>
          <w:sz w:val="24"/>
        </w:rPr>
      </w:pPr>
      <w:r w:rsidRPr="005F46EE">
        <w:rPr>
          <w:rFonts w:ascii="Book Antiqua" w:hAnsi="Book Antiqua" w:cs="Times New Roman"/>
          <w:b/>
          <w:bCs/>
          <w:color w:val="000000" w:themeColor="text1"/>
          <w:sz w:val="24"/>
        </w:rPr>
        <w:t>REFERENCES</w:t>
      </w:r>
    </w:p>
    <w:p w14:paraId="2B45FF2E"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 </w:t>
      </w:r>
      <w:r w:rsidRPr="005F46EE">
        <w:rPr>
          <w:rFonts w:ascii="Book Antiqua" w:hAnsi="Book Antiqua"/>
          <w:b/>
          <w:sz w:val="24"/>
        </w:rPr>
        <w:t>Agarwal SK</w:t>
      </w:r>
      <w:r w:rsidRPr="005F46EE">
        <w:rPr>
          <w:rFonts w:ascii="Book Antiqua" w:hAnsi="Book Antiqua"/>
          <w:sz w:val="24"/>
        </w:rPr>
        <w:t xml:space="preserve">. The future: genetics advances in MEN1 therapeutic approaches and management strategies. </w:t>
      </w:r>
      <w:proofErr w:type="spellStart"/>
      <w:r w:rsidRPr="005F46EE">
        <w:rPr>
          <w:rFonts w:ascii="Book Antiqua" w:hAnsi="Book Antiqua"/>
          <w:i/>
          <w:sz w:val="24"/>
        </w:rPr>
        <w:t>Endocr</w:t>
      </w:r>
      <w:proofErr w:type="spellEnd"/>
      <w:r w:rsidRPr="005F46EE">
        <w:rPr>
          <w:rFonts w:ascii="Book Antiqua" w:hAnsi="Book Antiqua"/>
          <w:i/>
          <w:sz w:val="24"/>
        </w:rPr>
        <w:t xml:space="preserve"> </w:t>
      </w:r>
      <w:proofErr w:type="spellStart"/>
      <w:r w:rsidRPr="005F46EE">
        <w:rPr>
          <w:rFonts w:ascii="Book Antiqua" w:hAnsi="Book Antiqua"/>
          <w:i/>
          <w:sz w:val="24"/>
        </w:rPr>
        <w:t>Relat</w:t>
      </w:r>
      <w:proofErr w:type="spellEnd"/>
      <w:r w:rsidRPr="005F46EE">
        <w:rPr>
          <w:rFonts w:ascii="Book Antiqua" w:hAnsi="Book Antiqua"/>
          <w:i/>
          <w:sz w:val="24"/>
        </w:rPr>
        <w:t xml:space="preserve"> Cancer</w:t>
      </w:r>
      <w:r w:rsidRPr="005F46EE">
        <w:rPr>
          <w:rFonts w:ascii="Book Antiqua" w:hAnsi="Book Antiqua"/>
          <w:sz w:val="24"/>
        </w:rPr>
        <w:t xml:space="preserve"> 2017; </w:t>
      </w:r>
      <w:r w:rsidRPr="005F46EE">
        <w:rPr>
          <w:rFonts w:ascii="Book Antiqua" w:hAnsi="Book Antiqua"/>
          <w:b/>
          <w:sz w:val="24"/>
        </w:rPr>
        <w:t>24</w:t>
      </w:r>
      <w:r w:rsidRPr="005F46EE">
        <w:rPr>
          <w:rFonts w:ascii="Book Antiqua" w:hAnsi="Book Antiqua"/>
          <w:sz w:val="24"/>
        </w:rPr>
        <w:t>: T119-T134 [PMID: 28899949 DOI: 10.1530/ERC-17-0199]</w:t>
      </w:r>
    </w:p>
    <w:p w14:paraId="375B551D"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2 </w:t>
      </w:r>
      <w:r w:rsidRPr="005F46EE">
        <w:rPr>
          <w:rFonts w:ascii="Book Antiqua" w:hAnsi="Book Antiqua"/>
          <w:b/>
          <w:sz w:val="24"/>
        </w:rPr>
        <w:t>Marx SJ</w:t>
      </w:r>
      <w:r w:rsidRPr="005F46EE">
        <w:rPr>
          <w:rFonts w:ascii="Book Antiqua" w:hAnsi="Book Antiqua"/>
          <w:sz w:val="24"/>
        </w:rPr>
        <w:t xml:space="preserve">. Recent Topics Around Multiple Endocrine Neoplasia Type 1. </w:t>
      </w:r>
      <w:r w:rsidRPr="005F46EE">
        <w:rPr>
          <w:rFonts w:ascii="Book Antiqua" w:hAnsi="Book Antiqua"/>
          <w:i/>
          <w:sz w:val="24"/>
        </w:rPr>
        <w:t xml:space="preserve">J </w:t>
      </w:r>
      <w:proofErr w:type="spellStart"/>
      <w:r w:rsidRPr="005F46EE">
        <w:rPr>
          <w:rFonts w:ascii="Book Antiqua" w:hAnsi="Book Antiqua"/>
          <w:i/>
          <w:sz w:val="24"/>
        </w:rPr>
        <w:t>Clin</w:t>
      </w:r>
      <w:proofErr w:type="spellEnd"/>
      <w:r w:rsidRPr="005F46EE">
        <w:rPr>
          <w:rFonts w:ascii="Book Antiqua" w:hAnsi="Book Antiqua"/>
          <w:i/>
          <w:sz w:val="24"/>
        </w:rPr>
        <w:t xml:space="preserve"> </w:t>
      </w:r>
      <w:proofErr w:type="spellStart"/>
      <w:r w:rsidRPr="005F46EE">
        <w:rPr>
          <w:rFonts w:ascii="Book Antiqua" w:hAnsi="Book Antiqua"/>
          <w:i/>
          <w:sz w:val="24"/>
        </w:rPr>
        <w:t>Endocrinol</w:t>
      </w:r>
      <w:proofErr w:type="spellEnd"/>
      <w:r w:rsidRPr="005F46EE">
        <w:rPr>
          <w:rFonts w:ascii="Book Antiqua" w:hAnsi="Book Antiqua"/>
          <w:i/>
          <w:sz w:val="24"/>
        </w:rPr>
        <w:t xml:space="preserve"> </w:t>
      </w:r>
      <w:proofErr w:type="spellStart"/>
      <w:r w:rsidRPr="005F46EE">
        <w:rPr>
          <w:rFonts w:ascii="Book Antiqua" w:hAnsi="Book Antiqua"/>
          <w:i/>
          <w:sz w:val="24"/>
        </w:rPr>
        <w:t>Metab</w:t>
      </w:r>
      <w:proofErr w:type="spellEnd"/>
      <w:r w:rsidRPr="005F46EE">
        <w:rPr>
          <w:rFonts w:ascii="Book Antiqua" w:hAnsi="Book Antiqua"/>
          <w:sz w:val="24"/>
        </w:rPr>
        <w:t xml:space="preserve"> 2018; </w:t>
      </w:r>
      <w:r w:rsidRPr="005F46EE">
        <w:rPr>
          <w:rFonts w:ascii="Book Antiqua" w:hAnsi="Book Antiqua"/>
          <w:b/>
          <w:sz w:val="24"/>
        </w:rPr>
        <w:t>103</w:t>
      </w:r>
      <w:r w:rsidRPr="005F46EE">
        <w:rPr>
          <w:rFonts w:ascii="Book Antiqua" w:hAnsi="Book Antiqua"/>
          <w:sz w:val="24"/>
        </w:rPr>
        <w:t>: 1296-1301 [PMID: 29897580 DOI: 10.1210/jc.2017-02340]</w:t>
      </w:r>
    </w:p>
    <w:p w14:paraId="45DD055D"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3 </w:t>
      </w:r>
      <w:proofErr w:type="spellStart"/>
      <w:r w:rsidRPr="005F46EE">
        <w:rPr>
          <w:rFonts w:ascii="Book Antiqua" w:hAnsi="Book Antiqua"/>
          <w:b/>
          <w:sz w:val="24"/>
        </w:rPr>
        <w:t>Thakker</w:t>
      </w:r>
      <w:proofErr w:type="spellEnd"/>
      <w:r w:rsidRPr="005F46EE">
        <w:rPr>
          <w:rFonts w:ascii="Book Antiqua" w:hAnsi="Book Antiqua"/>
          <w:b/>
          <w:sz w:val="24"/>
        </w:rPr>
        <w:t xml:space="preserve"> RV</w:t>
      </w:r>
      <w:r w:rsidRPr="005F46EE">
        <w:rPr>
          <w:rFonts w:ascii="Book Antiqua" w:hAnsi="Book Antiqua"/>
          <w:sz w:val="24"/>
        </w:rPr>
        <w:t xml:space="preserve">, Newey PJ, Walls GV, </w:t>
      </w:r>
      <w:proofErr w:type="spellStart"/>
      <w:r w:rsidRPr="005F46EE">
        <w:rPr>
          <w:rFonts w:ascii="Book Antiqua" w:hAnsi="Book Antiqua"/>
          <w:sz w:val="24"/>
        </w:rPr>
        <w:t>Bilezikian</w:t>
      </w:r>
      <w:proofErr w:type="spellEnd"/>
      <w:r w:rsidRPr="005F46EE">
        <w:rPr>
          <w:rFonts w:ascii="Book Antiqua" w:hAnsi="Book Antiqua"/>
          <w:sz w:val="24"/>
        </w:rPr>
        <w:t xml:space="preserve"> J, </w:t>
      </w:r>
      <w:proofErr w:type="spellStart"/>
      <w:r w:rsidRPr="005F46EE">
        <w:rPr>
          <w:rFonts w:ascii="Book Antiqua" w:hAnsi="Book Antiqua"/>
          <w:sz w:val="24"/>
        </w:rPr>
        <w:t>Dralle</w:t>
      </w:r>
      <w:proofErr w:type="spellEnd"/>
      <w:r w:rsidRPr="005F46EE">
        <w:rPr>
          <w:rFonts w:ascii="Book Antiqua" w:hAnsi="Book Antiqua"/>
          <w:sz w:val="24"/>
        </w:rPr>
        <w:t xml:space="preserve"> H, </w:t>
      </w:r>
      <w:proofErr w:type="spellStart"/>
      <w:r w:rsidRPr="005F46EE">
        <w:rPr>
          <w:rFonts w:ascii="Book Antiqua" w:hAnsi="Book Antiqua"/>
          <w:sz w:val="24"/>
        </w:rPr>
        <w:t>Ebeling</w:t>
      </w:r>
      <w:proofErr w:type="spellEnd"/>
      <w:r w:rsidRPr="005F46EE">
        <w:rPr>
          <w:rFonts w:ascii="Book Antiqua" w:hAnsi="Book Antiqua"/>
          <w:sz w:val="24"/>
        </w:rPr>
        <w:t xml:space="preserve"> PR, </w:t>
      </w:r>
      <w:proofErr w:type="spellStart"/>
      <w:r w:rsidRPr="005F46EE">
        <w:rPr>
          <w:rFonts w:ascii="Book Antiqua" w:hAnsi="Book Antiqua"/>
          <w:sz w:val="24"/>
        </w:rPr>
        <w:t>Melmed</w:t>
      </w:r>
      <w:proofErr w:type="spellEnd"/>
      <w:r w:rsidRPr="005F46EE">
        <w:rPr>
          <w:rFonts w:ascii="Book Antiqua" w:hAnsi="Book Antiqua"/>
          <w:sz w:val="24"/>
        </w:rPr>
        <w:t xml:space="preserve"> S, Sakurai A, Tonelli F, Brandi ML; Endocrine Society. Clinical practice guidelines for multiple endocrine neoplasia type 1 (MEN1). </w:t>
      </w:r>
      <w:r w:rsidRPr="005F46EE">
        <w:rPr>
          <w:rFonts w:ascii="Book Antiqua" w:hAnsi="Book Antiqua"/>
          <w:i/>
          <w:sz w:val="24"/>
        </w:rPr>
        <w:t xml:space="preserve">J </w:t>
      </w:r>
      <w:proofErr w:type="spellStart"/>
      <w:r w:rsidRPr="005F46EE">
        <w:rPr>
          <w:rFonts w:ascii="Book Antiqua" w:hAnsi="Book Antiqua"/>
          <w:i/>
          <w:sz w:val="24"/>
        </w:rPr>
        <w:t>Clin</w:t>
      </w:r>
      <w:proofErr w:type="spellEnd"/>
      <w:r w:rsidRPr="005F46EE">
        <w:rPr>
          <w:rFonts w:ascii="Book Antiqua" w:hAnsi="Book Antiqua"/>
          <w:i/>
          <w:sz w:val="24"/>
        </w:rPr>
        <w:t xml:space="preserve"> </w:t>
      </w:r>
      <w:proofErr w:type="spellStart"/>
      <w:r w:rsidRPr="005F46EE">
        <w:rPr>
          <w:rFonts w:ascii="Book Antiqua" w:hAnsi="Book Antiqua"/>
          <w:i/>
          <w:sz w:val="24"/>
        </w:rPr>
        <w:t>Endocrinol</w:t>
      </w:r>
      <w:proofErr w:type="spellEnd"/>
      <w:r w:rsidRPr="005F46EE">
        <w:rPr>
          <w:rFonts w:ascii="Book Antiqua" w:hAnsi="Book Antiqua"/>
          <w:i/>
          <w:sz w:val="24"/>
        </w:rPr>
        <w:t xml:space="preserve"> </w:t>
      </w:r>
      <w:proofErr w:type="spellStart"/>
      <w:r w:rsidRPr="005F46EE">
        <w:rPr>
          <w:rFonts w:ascii="Book Antiqua" w:hAnsi="Book Antiqua"/>
          <w:i/>
          <w:sz w:val="24"/>
        </w:rPr>
        <w:t>Metab</w:t>
      </w:r>
      <w:proofErr w:type="spellEnd"/>
      <w:r w:rsidRPr="005F46EE">
        <w:rPr>
          <w:rFonts w:ascii="Book Antiqua" w:hAnsi="Book Antiqua"/>
          <w:sz w:val="24"/>
        </w:rPr>
        <w:t xml:space="preserve"> 2012; </w:t>
      </w:r>
      <w:r w:rsidRPr="005F46EE">
        <w:rPr>
          <w:rFonts w:ascii="Book Antiqua" w:hAnsi="Book Antiqua"/>
          <w:b/>
          <w:sz w:val="24"/>
        </w:rPr>
        <w:t>97</w:t>
      </w:r>
      <w:r w:rsidRPr="005F46EE">
        <w:rPr>
          <w:rFonts w:ascii="Book Antiqua" w:hAnsi="Book Antiqua"/>
          <w:sz w:val="24"/>
        </w:rPr>
        <w:t>: 2990-3011 [PMID: 22723327 DOI: 10.1210/jc.2012-1230]</w:t>
      </w:r>
    </w:p>
    <w:p w14:paraId="4B2393BB"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4 </w:t>
      </w:r>
      <w:r w:rsidRPr="005F46EE">
        <w:rPr>
          <w:rFonts w:ascii="Book Antiqua" w:hAnsi="Book Antiqua"/>
          <w:b/>
          <w:sz w:val="24"/>
        </w:rPr>
        <w:t>Kim JY</w:t>
      </w:r>
      <w:r w:rsidRPr="005F46EE">
        <w:rPr>
          <w:rFonts w:ascii="Book Antiqua" w:hAnsi="Book Antiqua"/>
          <w:sz w:val="24"/>
        </w:rPr>
        <w:t xml:space="preserve">, Hong SM, Ro JY. Recent updates on grading and classification of neuroendocrine tumors. </w:t>
      </w:r>
      <w:r w:rsidRPr="005F46EE">
        <w:rPr>
          <w:rFonts w:ascii="Book Antiqua" w:hAnsi="Book Antiqua"/>
          <w:i/>
          <w:sz w:val="24"/>
        </w:rPr>
        <w:t xml:space="preserve">Ann </w:t>
      </w:r>
      <w:proofErr w:type="spellStart"/>
      <w:r w:rsidRPr="005F46EE">
        <w:rPr>
          <w:rFonts w:ascii="Book Antiqua" w:hAnsi="Book Antiqua"/>
          <w:i/>
          <w:sz w:val="24"/>
        </w:rPr>
        <w:t>Diagn</w:t>
      </w:r>
      <w:proofErr w:type="spellEnd"/>
      <w:r w:rsidRPr="005F46EE">
        <w:rPr>
          <w:rFonts w:ascii="Book Antiqua" w:hAnsi="Book Antiqua"/>
          <w:i/>
          <w:sz w:val="24"/>
        </w:rPr>
        <w:t xml:space="preserve"> </w:t>
      </w:r>
      <w:proofErr w:type="spellStart"/>
      <w:r w:rsidRPr="005F46EE">
        <w:rPr>
          <w:rFonts w:ascii="Book Antiqua" w:hAnsi="Book Antiqua"/>
          <w:i/>
          <w:sz w:val="24"/>
        </w:rPr>
        <w:t>Pathol</w:t>
      </w:r>
      <w:proofErr w:type="spellEnd"/>
      <w:r w:rsidRPr="005F46EE">
        <w:rPr>
          <w:rFonts w:ascii="Book Antiqua" w:hAnsi="Book Antiqua"/>
          <w:sz w:val="24"/>
        </w:rPr>
        <w:t xml:space="preserve"> 2017; </w:t>
      </w:r>
      <w:r w:rsidRPr="005F46EE">
        <w:rPr>
          <w:rFonts w:ascii="Book Antiqua" w:hAnsi="Book Antiqua"/>
          <w:b/>
          <w:sz w:val="24"/>
        </w:rPr>
        <w:t>29</w:t>
      </w:r>
      <w:r w:rsidRPr="005F46EE">
        <w:rPr>
          <w:rFonts w:ascii="Book Antiqua" w:hAnsi="Book Antiqua"/>
          <w:sz w:val="24"/>
        </w:rPr>
        <w:t>: 11-16 [PMID: 28807335 DOI: 10.1016/j.anndiagpath.2017.04.005]</w:t>
      </w:r>
    </w:p>
    <w:p w14:paraId="2EE749B2"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5 </w:t>
      </w:r>
      <w:proofErr w:type="spellStart"/>
      <w:r w:rsidRPr="005F46EE">
        <w:rPr>
          <w:rFonts w:ascii="Book Antiqua" w:hAnsi="Book Antiqua"/>
          <w:b/>
          <w:sz w:val="24"/>
        </w:rPr>
        <w:t>Thakker</w:t>
      </w:r>
      <w:proofErr w:type="spellEnd"/>
      <w:r w:rsidRPr="005F46EE">
        <w:rPr>
          <w:rFonts w:ascii="Book Antiqua" w:hAnsi="Book Antiqua"/>
          <w:b/>
          <w:sz w:val="24"/>
        </w:rPr>
        <w:t xml:space="preserve"> RV</w:t>
      </w:r>
      <w:r w:rsidRPr="005F46EE">
        <w:rPr>
          <w:rFonts w:ascii="Book Antiqua" w:hAnsi="Book Antiqua"/>
          <w:sz w:val="24"/>
        </w:rPr>
        <w:t xml:space="preserve">. Multiple endocrine neoplasia type 1 (MEN1). </w:t>
      </w:r>
      <w:r w:rsidRPr="005F46EE">
        <w:rPr>
          <w:rFonts w:ascii="Book Antiqua" w:hAnsi="Book Antiqua"/>
          <w:i/>
          <w:sz w:val="24"/>
        </w:rPr>
        <w:t xml:space="preserve">Best </w:t>
      </w:r>
      <w:proofErr w:type="spellStart"/>
      <w:r w:rsidRPr="005F46EE">
        <w:rPr>
          <w:rFonts w:ascii="Book Antiqua" w:hAnsi="Book Antiqua"/>
          <w:i/>
          <w:sz w:val="24"/>
        </w:rPr>
        <w:t>Pract</w:t>
      </w:r>
      <w:proofErr w:type="spellEnd"/>
      <w:r w:rsidRPr="005F46EE">
        <w:rPr>
          <w:rFonts w:ascii="Book Antiqua" w:hAnsi="Book Antiqua"/>
          <w:i/>
          <w:sz w:val="24"/>
        </w:rPr>
        <w:t xml:space="preserve"> Res </w:t>
      </w:r>
      <w:proofErr w:type="spellStart"/>
      <w:r w:rsidRPr="005F46EE">
        <w:rPr>
          <w:rFonts w:ascii="Book Antiqua" w:hAnsi="Book Antiqua"/>
          <w:i/>
          <w:sz w:val="24"/>
        </w:rPr>
        <w:t>Clin</w:t>
      </w:r>
      <w:proofErr w:type="spellEnd"/>
      <w:r w:rsidRPr="005F46EE">
        <w:rPr>
          <w:rFonts w:ascii="Book Antiqua" w:hAnsi="Book Antiqua"/>
          <w:i/>
          <w:sz w:val="24"/>
        </w:rPr>
        <w:t xml:space="preserve"> </w:t>
      </w:r>
      <w:proofErr w:type="spellStart"/>
      <w:r w:rsidRPr="005F46EE">
        <w:rPr>
          <w:rFonts w:ascii="Book Antiqua" w:hAnsi="Book Antiqua"/>
          <w:i/>
          <w:sz w:val="24"/>
        </w:rPr>
        <w:t>Endocrinol</w:t>
      </w:r>
      <w:proofErr w:type="spellEnd"/>
      <w:r w:rsidRPr="005F46EE">
        <w:rPr>
          <w:rFonts w:ascii="Book Antiqua" w:hAnsi="Book Antiqua"/>
          <w:i/>
          <w:sz w:val="24"/>
        </w:rPr>
        <w:t xml:space="preserve"> </w:t>
      </w:r>
      <w:proofErr w:type="spellStart"/>
      <w:r w:rsidRPr="005F46EE">
        <w:rPr>
          <w:rFonts w:ascii="Book Antiqua" w:hAnsi="Book Antiqua"/>
          <w:i/>
          <w:sz w:val="24"/>
        </w:rPr>
        <w:t>Metab</w:t>
      </w:r>
      <w:proofErr w:type="spellEnd"/>
      <w:r w:rsidRPr="005F46EE">
        <w:rPr>
          <w:rFonts w:ascii="Book Antiqua" w:hAnsi="Book Antiqua"/>
          <w:sz w:val="24"/>
        </w:rPr>
        <w:t xml:space="preserve"> 2010; </w:t>
      </w:r>
      <w:r w:rsidRPr="005F46EE">
        <w:rPr>
          <w:rFonts w:ascii="Book Antiqua" w:hAnsi="Book Antiqua"/>
          <w:b/>
          <w:sz w:val="24"/>
        </w:rPr>
        <w:t>24</w:t>
      </w:r>
      <w:r w:rsidRPr="005F46EE">
        <w:rPr>
          <w:rFonts w:ascii="Book Antiqua" w:hAnsi="Book Antiqua"/>
          <w:sz w:val="24"/>
        </w:rPr>
        <w:t>: 355-370 [PMID: 20833329 DOI: 10.1016/j.beem.2010.07.003]</w:t>
      </w:r>
    </w:p>
    <w:p w14:paraId="7A03068E"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6 </w:t>
      </w:r>
      <w:r w:rsidRPr="005F46EE">
        <w:rPr>
          <w:rFonts w:ascii="Book Antiqua" w:hAnsi="Book Antiqua"/>
          <w:b/>
          <w:sz w:val="24"/>
        </w:rPr>
        <w:t>Litvak A</w:t>
      </w:r>
      <w:r w:rsidRPr="005F46EE">
        <w:rPr>
          <w:rFonts w:ascii="Book Antiqua" w:hAnsi="Book Antiqua"/>
          <w:sz w:val="24"/>
        </w:rPr>
        <w:t xml:space="preserve">, </w:t>
      </w:r>
      <w:proofErr w:type="spellStart"/>
      <w:r w:rsidRPr="005F46EE">
        <w:rPr>
          <w:rFonts w:ascii="Book Antiqua" w:hAnsi="Book Antiqua"/>
          <w:sz w:val="24"/>
        </w:rPr>
        <w:t>Pietanza</w:t>
      </w:r>
      <w:proofErr w:type="spellEnd"/>
      <w:r w:rsidRPr="005F46EE">
        <w:rPr>
          <w:rFonts w:ascii="Book Antiqua" w:hAnsi="Book Antiqua"/>
          <w:sz w:val="24"/>
        </w:rPr>
        <w:t xml:space="preserve"> MC. Bronchial and Thymic Carcinoid Tumors. </w:t>
      </w:r>
      <w:proofErr w:type="spellStart"/>
      <w:r w:rsidRPr="005F46EE">
        <w:rPr>
          <w:rFonts w:ascii="Book Antiqua" w:hAnsi="Book Antiqua"/>
          <w:i/>
          <w:sz w:val="24"/>
        </w:rPr>
        <w:t>Hematol</w:t>
      </w:r>
      <w:proofErr w:type="spellEnd"/>
      <w:r w:rsidRPr="005F46EE">
        <w:rPr>
          <w:rFonts w:ascii="Book Antiqua" w:hAnsi="Book Antiqua"/>
          <w:i/>
          <w:sz w:val="24"/>
        </w:rPr>
        <w:t xml:space="preserve"> </w:t>
      </w:r>
      <w:proofErr w:type="spellStart"/>
      <w:r w:rsidRPr="005F46EE">
        <w:rPr>
          <w:rFonts w:ascii="Book Antiqua" w:hAnsi="Book Antiqua"/>
          <w:i/>
          <w:sz w:val="24"/>
        </w:rPr>
        <w:t>Oncol</w:t>
      </w:r>
      <w:proofErr w:type="spellEnd"/>
      <w:r w:rsidRPr="005F46EE">
        <w:rPr>
          <w:rFonts w:ascii="Book Antiqua" w:hAnsi="Book Antiqua"/>
          <w:i/>
          <w:sz w:val="24"/>
        </w:rPr>
        <w:t xml:space="preserve"> </w:t>
      </w:r>
      <w:proofErr w:type="spellStart"/>
      <w:r w:rsidRPr="005F46EE">
        <w:rPr>
          <w:rFonts w:ascii="Book Antiqua" w:hAnsi="Book Antiqua"/>
          <w:i/>
          <w:sz w:val="24"/>
        </w:rPr>
        <w:t>Clin</w:t>
      </w:r>
      <w:proofErr w:type="spellEnd"/>
      <w:r w:rsidRPr="005F46EE">
        <w:rPr>
          <w:rFonts w:ascii="Book Antiqua" w:hAnsi="Book Antiqua"/>
          <w:i/>
          <w:sz w:val="24"/>
        </w:rPr>
        <w:t xml:space="preserve"> North Am</w:t>
      </w:r>
      <w:r w:rsidRPr="005F46EE">
        <w:rPr>
          <w:rFonts w:ascii="Book Antiqua" w:hAnsi="Book Antiqua"/>
          <w:sz w:val="24"/>
        </w:rPr>
        <w:t xml:space="preserve"> 2016; </w:t>
      </w:r>
      <w:r w:rsidRPr="005F46EE">
        <w:rPr>
          <w:rFonts w:ascii="Book Antiqua" w:hAnsi="Book Antiqua"/>
          <w:b/>
          <w:sz w:val="24"/>
        </w:rPr>
        <w:t>30</w:t>
      </w:r>
      <w:r w:rsidRPr="005F46EE">
        <w:rPr>
          <w:rFonts w:ascii="Book Antiqua" w:hAnsi="Book Antiqua"/>
          <w:sz w:val="24"/>
        </w:rPr>
        <w:t>: 83-102 [PMID: 26614370 DOI: 10.1016/j.hoc.2015.09.003]</w:t>
      </w:r>
    </w:p>
    <w:p w14:paraId="611F6E12"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7 </w:t>
      </w:r>
      <w:r w:rsidRPr="005F46EE">
        <w:rPr>
          <w:rFonts w:ascii="Book Antiqua" w:hAnsi="Book Antiqua"/>
          <w:b/>
          <w:sz w:val="24"/>
        </w:rPr>
        <w:t>Singh Ospina N</w:t>
      </w:r>
      <w:r w:rsidRPr="005F46EE">
        <w:rPr>
          <w:rFonts w:ascii="Book Antiqua" w:hAnsi="Book Antiqua"/>
          <w:sz w:val="24"/>
        </w:rPr>
        <w:t xml:space="preserve">, Thompson GB, C Nichols F 3rd, </w:t>
      </w:r>
      <w:proofErr w:type="spellStart"/>
      <w:r w:rsidRPr="005F46EE">
        <w:rPr>
          <w:rFonts w:ascii="Book Antiqua" w:hAnsi="Book Antiqua"/>
          <w:sz w:val="24"/>
        </w:rPr>
        <w:t>Cassivi</w:t>
      </w:r>
      <w:proofErr w:type="spellEnd"/>
      <w:r w:rsidRPr="005F46EE">
        <w:rPr>
          <w:rFonts w:ascii="Book Antiqua" w:hAnsi="Book Antiqua"/>
          <w:sz w:val="24"/>
        </w:rPr>
        <w:t xml:space="preserve"> SD, Young WF Jr. Thymic and Bronchial Carcinoid Tumors in Multiple Endocrine Neoplasia Type 1: The Mayo Clinic Experience from 1977 to 2013. </w:t>
      </w:r>
      <w:proofErr w:type="spellStart"/>
      <w:r w:rsidRPr="005F46EE">
        <w:rPr>
          <w:rFonts w:ascii="Book Antiqua" w:hAnsi="Book Antiqua"/>
          <w:i/>
          <w:sz w:val="24"/>
        </w:rPr>
        <w:t>Horm</w:t>
      </w:r>
      <w:proofErr w:type="spellEnd"/>
      <w:r w:rsidRPr="005F46EE">
        <w:rPr>
          <w:rFonts w:ascii="Book Antiqua" w:hAnsi="Book Antiqua"/>
          <w:i/>
          <w:sz w:val="24"/>
        </w:rPr>
        <w:t xml:space="preserve"> Cancer</w:t>
      </w:r>
      <w:r w:rsidRPr="005F46EE">
        <w:rPr>
          <w:rFonts w:ascii="Book Antiqua" w:hAnsi="Book Antiqua"/>
          <w:sz w:val="24"/>
        </w:rPr>
        <w:t xml:space="preserve"> 2015; </w:t>
      </w:r>
      <w:r w:rsidRPr="005F46EE">
        <w:rPr>
          <w:rFonts w:ascii="Book Antiqua" w:hAnsi="Book Antiqua"/>
          <w:b/>
          <w:sz w:val="24"/>
        </w:rPr>
        <w:t>6</w:t>
      </w:r>
      <w:r w:rsidRPr="005F46EE">
        <w:rPr>
          <w:rFonts w:ascii="Book Antiqua" w:hAnsi="Book Antiqua"/>
          <w:sz w:val="24"/>
        </w:rPr>
        <w:t>: 247-253 [PMID: 26070346 DOI: 10.1007/s12672-015-0228-z]</w:t>
      </w:r>
    </w:p>
    <w:p w14:paraId="0DCE8561"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8 </w:t>
      </w:r>
      <w:r w:rsidRPr="005F46EE">
        <w:rPr>
          <w:rFonts w:ascii="Book Antiqua" w:hAnsi="Book Antiqua"/>
          <w:b/>
          <w:sz w:val="24"/>
        </w:rPr>
        <w:t xml:space="preserve">de </w:t>
      </w:r>
      <w:proofErr w:type="spellStart"/>
      <w:r w:rsidRPr="005F46EE">
        <w:rPr>
          <w:rFonts w:ascii="Book Antiqua" w:hAnsi="Book Antiqua"/>
          <w:b/>
          <w:sz w:val="24"/>
        </w:rPr>
        <w:t>Laat</w:t>
      </w:r>
      <w:proofErr w:type="spellEnd"/>
      <w:r w:rsidRPr="005F46EE">
        <w:rPr>
          <w:rFonts w:ascii="Book Antiqua" w:hAnsi="Book Antiqua"/>
          <w:b/>
          <w:sz w:val="24"/>
        </w:rPr>
        <w:t xml:space="preserve"> JM</w:t>
      </w:r>
      <w:r w:rsidRPr="005F46EE">
        <w:rPr>
          <w:rFonts w:ascii="Book Antiqua" w:hAnsi="Book Antiqua"/>
          <w:sz w:val="24"/>
        </w:rPr>
        <w:t xml:space="preserve">, </w:t>
      </w:r>
      <w:proofErr w:type="spellStart"/>
      <w:r w:rsidRPr="005F46EE">
        <w:rPr>
          <w:rFonts w:ascii="Book Antiqua" w:hAnsi="Book Antiqua"/>
          <w:sz w:val="24"/>
        </w:rPr>
        <w:t>Pieterman</w:t>
      </w:r>
      <w:proofErr w:type="spellEnd"/>
      <w:r w:rsidRPr="005F46EE">
        <w:rPr>
          <w:rFonts w:ascii="Book Antiqua" w:hAnsi="Book Antiqua"/>
          <w:sz w:val="24"/>
        </w:rPr>
        <w:t xml:space="preserve"> CR, van den </w:t>
      </w:r>
      <w:proofErr w:type="spellStart"/>
      <w:r w:rsidRPr="005F46EE">
        <w:rPr>
          <w:rFonts w:ascii="Book Antiqua" w:hAnsi="Book Antiqua"/>
          <w:sz w:val="24"/>
        </w:rPr>
        <w:t>Broek</w:t>
      </w:r>
      <w:proofErr w:type="spellEnd"/>
      <w:r w:rsidRPr="005F46EE">
        <w:rPr>
          <w:rFonts w:ascii="Book Antiqua" w:hAnsi="Book Antiqua"/>
          <w:sz w:val="24"/>
        </w:rPr>
        <w:t xml:space="preserve"> MF, </w:t>
      </w:r>
      <w:proofErr w:type="spellStart"/>
      <w:r w:rsidRPr="005F46EE">
        <w:rPr>
          <w:rFonts w:ascii="Book Antiqua" w:hAnsi="Book Antiqua"/>
          <w:sz w:val="24"/>
        </w:rPr>
        <w:t>Twisk</w:t>
      </w:r>
      <w:proofErr w:type="spellEnd"/>
      <w:r w:rsidRPr="005F46EE">
        <w:rPr>
          <w:rFonts w:ascii="Book Antiqua" w:hAnsi="Book Antiqua"/>
          <w:sz w:val="24"/>
        </w:rPr>
        <w:t xml:space="preserve"> JW, </w:t>
      </w:r>
      <w:proofErr w:type="spellStart"/>
      <w:r w:rsidRPr="005F46EE">
        <w:rPr>
          <w:rFonts w:ascii="Book Antiqua" w:hAnsi="Book Antiqua"/>
          <w:sz w:val="24"/>
        </w:rPr>
        <w:t>Hermus</w:t>
      </w:r>
      <w:proofErr w:type="spellEnd"/>
      <w:r w:rsidRPr="005F46EE">
        <w:rPr>
          <w:rFonts w:ascii="Book Antiqua" w:hAnsi="Book Antiqua"/>
          <w:sz w:val="24"/>
        </w:rPr>
        <w:t xml:space="preserve"> AR, </w:t>
      </w:r>
      <w:proofErr w:type="spellStart"/>
      <w:r w:rsidRPr="005F46EE">
        <w:rPr>
          <w:rFonts w:ascii="Book Antiqua" w:hAnsi="Book Antiqua"/>
          <w:sz w:val="24"/>
        </w:rPr>
        <w:t>Dekkers</w:t>
      </w:r>
      <w:proofErr w:type="spellEnd"/>
      <w:r w:rsidRPr="005F46EE">
        <w:rPr>
          <w:rFonts w:ascii="Book Antiqua" w:hAnsi="Book Antiqua"/>
          <w:sz w:val="24"/>
        </w:rPr>
        <w:t xml:space="preserve"> OM, de Herder WW, van der Horst-</w:t>
      </w:r>
      <w:proofErr w:type="spellStart"/>
      <w:r w:rsidRPr="005F46EE">
        <w:rPr>
          <w:rFonts w:ascii="Book Antiqua" w:hAnsi="Book Antiqua"/>
          <w:sz w:val="24"/>
        </w:rPr>
        <w:t>Schrivers</w:t>
      </w:r>
      <w:proofErr w:type="spellEnd"/>
      <w:r w:rsidRPr="005F46EE">
        <w:rPr>
          <w:rFonts w:ascii="Book Antiqua" w:hAnsi="Book Antiqua"/>
          <w:sz w:val="24"/>
        </w:rPr>
        <w:t xml:space="preserve"> AN, </w:t>
      </w:r>
      <w:proofErr w:type="spellStart"/>
      <w:r w:rsidRPr="005F46EE">
        <w:rPr>
          <w:rFonts w:ascii="Book Antiqua" w:hAnsi="Book Antiqua"/>
          <w:sz w:val="24"/>
        </w:rPr>
        <w:t>Drent</w:t>
      </w:r>
      <w:proofErr w:type="spellEnd"/>
      <w:r w:rsidRPr="005F46EE">
        <w:rPr>
          <w:rFonts w:ascii="Book Antiqua" w:hAnsi="Book Antiqua"/>
          <w:sz w:val="24"/>
        </w:rPr>
        <w:t xml:space="preserve"> ML, </w:t>
      </w:r>
      <w:proofErr w:type="spellStart"/>
      <w:r w:rsidRPr="005F46EE">
        <w:rPr>
          <w:rFonts w:ascii="Book Antiqua" w:hAnsi="Book Antiqua"/>
          <w:sz w:val="24"/>
        </w:rPr>
        <w:t>Bisschop</w:t>
      </w:r>
      <w:proofErr w:type="spellEnd"/>
      <w:r w:rsidRPr="005F46EE">
        <w:rPr>
          <w:rFonts w:ascii="Book Antiqua" w:hAnsi="Book Antiqua"/>
          <w:sz w:val="24"/>
        </w:rPr>
        <w:t xml:space="preserve"> PH, </w:t>
      </w:r>
      <w:proofErr w:type="spellStart"/>
      <w:r w:rsidRPr="005F46EE">
        <w:rPr>
          <w:rFonts w:ascii="Book Antiqua" w:hAnsi="Book Antiqua"/>
          <w:sz w:val="24"/>
        </w:rPr>
        <w:t>Havekes</w:t>
      </w:r>
      <w:proofErr w:type="spellEnd"/>
      <w:r w:rsidRPr="005F46EE">
        <w:rPr>
          <w:rFonts w:ascii="Book Antiqua" w:hAnsi="Book Antiqua"/>
          <w:sz w:val="24"/>
        </w:rPr>
        <w:t xml:space="preserve"> B, </w:t>
      </w:r>
      <w:proofErr w:type="spellStart"/>
      <w:r w:rsidRPr="005F46EE">
        <w:rPr>
          <w:rFonts w:ascii="Book Antiqua" w:hAnsi="Book Antiqua"/>
          <w:sz w:val="24"/>
        </w:rPr>
        <w:t>Vriens</w:t>
      </w:r>
      <w:proofErr w:type="spellEnd"/>
      <w:r w:rsidRPr="005F46EE">
        <w:rPr>
          <w:rFonts w:ascii="Book Antiqua" w:hAnsi="Book Antiqua"/>
          <w:sz w:val="24"/>
        </w:rPr>
        <w:t xml:space="preserve"> MR, </w:t>
      </w:r>
      <w:proofErr w:type="spellStart"/>
      <w:r w:rsidRPr="005F46EE">
        <w:rPr>
          <w:rFonts w:ascii="Book Antiqua" w:hAnsi="Book Antiqua"/>
          <w:sz w:val="24"/>
        </w:rPr>
        <w:t>Valk</w:t>
      </w:r>
      <w:proofErr w:type="spellEnd"/>
      <w:r w:rsidRPr="005F46EE">
        <w:rPr>
          <w:rFonts w:ascii="Book Antiqua" w:hAnsi="Book Antiqua"/>
          <w:sz w:val="24"/>
        </w:rPr>
        <w:t xml:space="preserve"> GD. Natural course and survival of neuroendocrine tumors of thymus and lung in MEN1 patients. </w:t>
      </w:r>
      <w:r w:rsidRPr="005F46EE">
        <w:rPr>
          <w:rFonts w:ascii="Book Antiqua" w:hAnsi="Book Antiqua"/>
          <w:i/>
          <w:sz w:val="24"/>
        </w:rPr>
        <w:t xml:space="preserve">J </w:t>
      </w:r>
      <w:proofErr w:type="spellStart"/>
      <w:r w:rsidRPr="005F46EE">
        <w:rPr>
          <w:rFonts w:ascii="Book Antiqua" w:hAnsi="Book Antiqua"/>
          <w:i/>
          <w:sz w:val="24"/>
        </w:rPr>
        <w:t>Clin</w:t>
      </w:r>
      <w:proofErr w:type="spellEnd"/>
      <w:r w:rsidRPr="005F46EE">
        <w:rPr>
          <w:rFonts w:ascii="Book Antiqua" w:hAnsi="Book Antiqua"/>
          <w:i/>
          <w:sz w:val="24"/>
        </w:rPr>
        <w:t xml:space="preserve"> </w:t>
      </w:r>
      <w:proofErr w:type="spellStart"/>
      <w:r w:rsidRPr="005F46EE">
        <w:rPr>
          <w:rFonts w:ascii="Book Antiqua" w:hAnsi="Book Antiqua"/>
          <w:i/>
          <w:sz w:val="24"/>
        </w:rPr>
        <w:t>Endocrinol</w:t>
      </w:r>
      <w:proofErr w:type="spellEnd"/>
      <w:r w:rsidRPr="005F46EE">
        <w:rPr>
          <w:rFonts w:ascii="Book Antiqua" w:hAnsi="Book Antiqua"/>
          <w:i/>
          <w:sz w:val="24"/>
        </w:rPr>
        <w:t xml:space="preserve"> </w:t>
      </w:r>
      <w:proofErr w:type="spellStart"/>
      <w:r w:rsidRPr="005F46EE">
        <w:rPr>
          <w:rFonts w:ascii="Book Antiqua" w:hAnsi="Book Antiqua"/>
          <w:i/>
          <w:sz w:val="24"/>
        </w:rPr>
        <w:t>Metab</w:t>
      </w:r>
      <w:proofErr w:type="spellEnd"/>
      <w:r w:rsidRPr="005F46EE">
        <w:rPr>
          <w:rFonts w:ascii="Book Antiqua" w:hAnsi="Book Antiqua"/>
          <w:sz w:val="24"/>
        </w:rPr>
        <w:t xml:space="preserve"> 2014; </w:t>
      </w:r>
      <w:r w:rsidRPr="005F46EE">
        <w:rPr>
          <w:rFonts w:ascii="Book Antiqua" w:hAnsi="Book Antiqua"/>
          <w:b/>
          <w:sz w:val="24"/>
        </w:rPr>
        <w:t>99</w:t>
      </w:r>
      <w:r w:rsidRPr="005F46EE">
        <w:rPr>
          <w:rFonts w:ascii="Book Antiqua" w:hAnsi="Book Antiqua"/>
          <w:sz w:val="24"/>
        </w:rPr>
        <w:t>: 3325-3333 [PMID: 24915123 DOI: 10.1210/jc.2014-1560]</w:t>
      </w:r>
    </w:p>
    <w:p w14:paraId="46DF8FBD"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9 </w:t>
      </w:r>
      <w:r w:rsidRPr="005F46EE">
        <w:rPr>
          <w:rFonts w:ascii="Book Antiqua" w:hAnsi="Book Antiqua"/>
          <w:b/>
          <w:sz w:val="24"/>
        </w:rPr>
        <w:t>Brandi ML</w:t>
      </w:r>
      <w:r w:rsidRPr="005F46EE">
        <w:rPr>
          <w:rFonts w:ascii="Book Antiqua" w:hAnsi="Book Antiqua"/>
          <w:sz w:val="24"/>
        </w:rPr>
        <w:t xml:space="preserve">, </w:t>
      </w:r>
      <w:proofErr w:type="spellStart"/>
      <w:r w:rsidRPr="005F46EE">
        <w:rPr>
          <w:rFonts w:ascii="Book Antiqua" w:hAnsi="Book Antiqua"/>
          <w:sz w:val="24"/>
        </w:rPr>
        <w:t>Gagel</w:t>
      </w:r>
      <w:proofErr w:type="spellEnd"/>
      <w:r w:rsidRPr="005F46EE">
        <w:rPr>
          <w:rFonts w:ascii="Book Antiqua" w:hAnsi="Book Antiqua"/>
          <w:sz w:val="24"/>
        </w:rPr>
        <w:t xml:space="preserve"> RF, </w:t>
      </w:r>
      <w:proofErr w:type="spellStart"/>
      <w:r w:rsidRPr="005F46EE">
        <w:rPr>
          <w:rFonts w:ascii="Book Antiqua" w:hAnsi="Book Antiqua"/>
          <w:sz w:val="24"/>
        </w:rPr>
        <w:t>Angeli</w:t>
      </w:r>
      <w:proofErr w:type="spellEnd"/>
      <w:r w:rsidRPr="005F46EE">
        <w:rPr>
          <w:rFonts w:ascii="Book Antiqua" w:hAnsi="Book Antiqua"/>
          <w:sz w:val="24"/>
        </w:rPr>
        <w:t xml:space="preserve"> A, </w:t>
      </w:r>
      <w:proofErr w:type="spellStart"/>
      <w:r w:rsidRPr="005F46EE">
        <w:rPr>
          <w:rFonts w:ascii="Book Antiqua" w:hAnsi="Book Antiqua"/>
          <w:sz w:val="24"/>
        </w:rPr>
        <w:t>Bilezikian</w:t>
      </w:r>
      <w:proofErr w:type="spellEnd"/>
      <w:r w:rsidRPr="005F46EE">
        <w:rPr>
          <w:rFonts w:ascii="Book Antiqua" w:hAnsi="Book Antiqua"/>
          <w:sz w:val="24"/>
        </w:rPr>
        <w:t xml:space="preserve"> JP, Beck-</w:t>
      </w:r>
      <w:proofErr w:type="spellStart"/>
      <w:r w:rsidRPr="005F46EE">
        <w:rPr>
          <w:rFonts w:ascii="Book Antiqua" w:hAnsi="Book Antiqua"/>
          <w:sz w:val="24"/>
        </w:rPr>
        <w:t>Peccoz</w:t>
      </w:r>
      <w:proofErr w:type="spellEnd"/>
      <w:r w:rsidRPr="005F46EE">
        <w:rPr>
          <w:rFonts w:ascii="Book Antiqua" w:hAnsi="Book Antiqua"/>
          <w:sz w:val="24"/>
        </w:rPr>
        <w:t xml:space="preserve"> P, </w:t>
      </w:r>
      <w:proofErr w:type="spellStart"/>
      <w:r w:rsidRPr="005F46EE">
        <w:rPr>
          <w:rFonts w:ascii="Book Antiqua" w:hAnsi="Book Antiqua"/>
          <w:sz w:val="24"/>
        </w:rPr>
        <w:t>Bordi</w:t>
      </w:r>
      <w:proofErr w:type="spellEnd"/>
      <w:r w:rsidRPr="005F46EE">
        <w:rPr>
          <w:rFonts w:ascii="Book Antiqua" w:hAnsi="Book Antiqua"/>
          <w:sz w:val="24"/>
        </w:rPr>
        <w:t xml:space="preserve"> C, Conte-</w:t>
      </w:r>
      <w:proofErr w:type="spellStart"/>
      <w:r w:rsidRPr="005F46EE">
        <w:rPr>
          <w:rFonts w:ascii="Book Antiqua" w:hAnsi="Book Antiqua"/>
          <w:sz w:val="24"/>
        </w:rPr>
        <w:t>Devolx</w:t>
      </w:r>
      <w:proofErr w:type="spellEnd"/>
      <w:r w:rsidRPr="005F46EE">
        <w:rPr>
          <w:rFonts w:ascii="Book Antiqua" w:hAnsi="Book Antiqua"/>
          <w:sz w:val="24"/>
        </w:rPr>
        <w:t xml:space="preserve"> B, </w:t>
      </w:r>
      <w:proofErr w:type="spellStart"/>
      <w:r w:rsidRPr="005F46EE">
        <w:rPr>
          <w:rFonts w:ascii="Book Antiqua" w:hAnsi="Book Antiqua"/>
          <w:sz w:val="24"/>
        </w:rPr>
        <w:t>Falchetti</w:t>
      </w:r>
      <w:proofErr w:type="spellEnd"/>
      <w:r w:rsidRPr="005F46EE">
        <w:rPr>
          <w:rFonts w:ascii="Book Antiqua" w:hAnsi="Book Antiqua"/>
          <w:sz w:val="24"/>
        </w:rPr>
        <w:t xml:space="preserve"> A, </w:t>
      </w:r>
      <w:proofErr w:type="spellStart"/>
      <w:r w:rsidRPr="005F46EE">
        <w:rPr>
          <w:rFonts w:ascii="Book Antiqua" w:hAnsi="Book Antiqua"/>
          <w:sz w:val="24"/>
        </w:rPr>
        <w:t>Gheri</w:t>
      </w:r>
      <w:proofErr w:type="spellEnd"/>
      <w:r w:rsidRPr="005F46EE">
        <w:rPr>
          <w:rFonts w:ascii="Book Antiqua" w:hAnsi="Book Antiqua"/>
          <w:sz w:val="24"/>
        </w:rPr>
        <w:t xml:space="preserve"> RG, </w:t>
      </w:r>
      <w:proofErr w:type="spellStart"/>
      <w:r w:rsidRPr="005F46EE">
        <w:rPr>
          <w:rFonts w:ascii="Book Antiqua" w:hAnsi="Book Antiqua"/>
          <w:sz w:val="24"/>
        </w:rPr>
        <w:t>Libroia</w:t>
      </w:r>
      <w:proofErr w:type="spellEnd"/>
      <w:r w:rsidRPr="005F46EE">
        <w:rPr>
          <w:rFonts w:ascii="Book Antiqua" w:hAnsi="Book Antiqua"/>
          <w:sz w:val="24"/>
        </w:rPr>
        <w:t xml:space="preserve"> A, Lips CJ, Lombardi G, </w:t>
      </w:r>
      <w:proofErr w:type="spellStart"/>
      <w:r w:rsidRPr="005F46EE">
        <w:rPr>
          <w:rFonts w:ascii="Book Antiqua" w:hAnsi="Book Antiqua"/>
          <w:sz w:val="24"/>
        </w:rPr>
        <w:t>Mannelli</w:t>
      </w:r>
      <w:proofErr w:type="spellEnd"/>
      <w:r w:rsidRPr="005F46EE">
        <w:rPr>
          <w:rFonts w:ascii="Book Antiqua" w:hAnsi="Book Antiqua"/>
          <w:sz w:val="24"/>
        </w:rPr>
        <w:t xml:space="preserve"> M, </w:t>
      </w:r>
      <w:proofErr w:type="spellStart"/>
      <w:r w:rsidRPr="005F46EE">
        <w:rPr>
          <w:rFonts w:ascii="Book Antiqua" w:hAnsi="Book Antiqua"/>
          <w:sz w:val="24"/>
        </w:rPr>
        <w:t>Pacini</w:t>
      </w:r>
      <w:proofErr w:type="spellEnd"/>
      <w:r w:rsidRPr="005F46EE">
        <w:rPr>
          <w:rFonts w:ascii="Book Antiqua" w:hAnsi="Book Antiqua"/>
          <w:sz w:val="24"/>
        </w:rPr>
        <w:t xml:space="preserve"> F, Ponder BA, </w:t>
      </w:r>
      <w:proofErr w:type="spellStart"/>
      <w:r w:rsidRPr="005F46EE">
        <w:rPr>
          <w:rFonts w:ascii="Book Antiqua" w:hAnsi="Book Antiqua"/>
          <w:sz w:val="24"/>
        </w:rPr>
        <w:t>Raue</w:t>
      </w:r>
      <w:proofErr w:type="spellEnd"/>
      <w:r w:rsidRPr="005F46EE">
        <w:rPr>
          <w:rFonts w:ascii="Book Antiqua" w:hAnsi="Book Antiqua"/>
          <w:sz w:val="24"/>
        </w:rPr>
        <w:t xml:space="preserve"> F, </w:t>
      </w:r>
      <w:proofErr w:type="spellStart"/>
      <w:r w:rsidRPr="005F46EE">
        <w:rPr>
          <w:rFonts w:ascii="Book Antiqua" w:hAnsi="Book Antiqua"/>
          <w:sz w:val="24"/>
        </w:rPr>
        <w:t>Skogseid</w:t>
      </w:r>
      <w:proofErr w:type="spellEnd"/>
      <w:r w:rsidRPr="005F46EE">
        <w:rPr>
          <w:rFonts w:ascii="Book Antiqua" w:hAnsi="Book Antiqua"/>
          <w:sz w:val="24"/>
        </w:rPr>
        <w:t xml:space="preserve"> B, </w:t>
      </w:r>
      <w:proofErr w:type="spellStart"/>
      <w:r w:rsidRPr="005F46EE">
        <w:rPr>
          <w:rFonts w:ascii="Book Antiqua" w:hAnsi="Book Antiqua"/>
          <w:sz w:val="24"/>
        </w:rPr>
        <w:t>Tamburrano</w:t>
      </w:r>
      <w:proofErr w:type="spellEnd"/>
      <w:r w:rsidRPr="005F46EE">
        <w:rPr>
          <w:rFonts w:ascii="Book Antiqua" w:hAnsi="Book Antiqua"/>
          <w:sz w:val="24"/>
        </w:rPr>
        <w:t xml:space="preserve"> G, </w:t>
      </w:r>
      <w:proofErr w:type="spellStart"/>
      <w:r w:rsidRPr="005F46EE">
        <w:rPr>
          <w:rFonts w:ascii="Book Antiqua" w:hAnsi="Book Antiqua"/>
          <w:sz w:val="24"/>
        </w:rPr>
        <w:t>Thakker</w:t>
      </w:r>
      <w:proofErr w:type="spellEnd"/>
      <w:r w:rsidRPr="005F46EE">
        <w:rPr>
          <w:rFonts w:ascii="Book Antiqua" w:hAnsi="Book Antiqua"/>
          <w:sz w:val="24"/>
        </w:rPr>
        <w:t xml:space="preserve"> RV, Thompson NW, </w:t>
      </w:r>
      <w:proofErr w:type="spellStart"/>
      <w:r w:rsidRPr="005F46EE">
        <w:rPr>
          <w:rFonts w:ascii="Book Antiqua" w:hAnsi="Book Antiqua"/>
          <w:sz w:val="24"/>
        </w:rPr>
        <w:t>Tomassetti</w:t>
      </w:r>
      <w:proofErr w:type="spellEnd"/>
      <w:r w:rsidRPr="005F46EE">
        <w:rPr>
          <w:rFonts w:ascii="Book Antiqua" w:hAnsi="Book Antiqua"/>
          <w:sz w:val="24"/>
        </w:rPr>
        <w:t xml:space="preserve"> P, Tonelli F, Wells SA Jr, Marx SJ. Guidelines for diagnosis and therapy of MEN type 1 and type 2. </w:t>
      </w:r>
      <w:r w:rsidRPr="005F46EE">
        <w:rPr>
          <w:rFonts w:ascii="Book Antiqua" w:hAnsi="Book Antiqua"/>
          <w:i/>
          <w:sz w:val="24"/>
        </w:rPr>
        <w:t xml:space="preserve">J </w:t>
      </w:r>
      <w:proofErr w:type="spellStart"/>
      <w:r w:rsidRPr="005F46EE">
        <w:rPr>
          <w:rFonts w:ascii="Book Antiqua" w:hAnsi="Book Antiqua"/>
          <w:i/>
          <w:sz w:val="24"/>
        </w:rPr>
        <w:t>Clin</w:t>
      </w:r>
      <w:proofErr w:type="spellEnd"/>
      <w:r w:rsidRPr="005F46EE">
        <w:rPr>
          <w:rFonts w:ascii="Book Antiqua" w:hAnsi="Book Antiqua"/>
          <w:i/>
          <w:sz w:val="24"/>
        </w:rPr>
        <w:t xml:space="preserve"> </w:t>
      </w:r>
      <w:proofErr w:type="spellStart"/>
      <w:r w:rsidRPr="005F46EE">
        <w:rPr>
          <w:rFonts w:ascii="Book Antiqua" w:hAnsi="Book Antiqua"/>
          <w:i/>
          <w:sz w:val="24"/>
        </w:rPr>
        <w:t>Endocrinol</w:t>
      </w:r>
      <w:proofErr w:type="spellEnd"/>
      <w:r w:rsidRPr="005F46EE">
        <w:rPr>
          <w:rFonts w:ascii="Book Antiqua" w:hAnsi="Book Antiqua"/>
          <w:i/>
          <w:sz w:val="24"/>
        </w:rPr>
        <w:t xml:space="preserve"> </w:t>
      </w:r>
      <w:proofErr w:type="spellStart"/>
      <w:r w:rsidRPr="005F46EE">
        <w:rPr>
          <w:rFonts w:ascii="Book Antiqua" w:hAnsi="Book Antiqua"/>
          <w:i/>
          <w:sz w:val="24"/>
        </w:rPr>
        <w:t>Metab</w:t>
      </w:r>
      <w:proofErr w:type="spellEnd"/>
      <w:r w:rsidRPr="005F46EE">
        <w:rPr>
          <w:rFonts w:ascii="Book Antiqua" w:hAnsi="Book Antiqua"/>
          <w:sz w:val="24"/>
        </w:rPr>
        <w:t xml:space="preserve"> 2001; </w:t>
      </w:r>
      <w:r w:rsidRPr="005F46EE">
        <w:rPr>
          <w:rFonts w:ascii="Book Antiqua" w:hAnsi="Book Antiqua"/>
          <w:b/>
          <w:sz w:val="24"/>
        </w:rPr>
        <w:t>86</w:t>
      </w:r>
      <w:r w:rsidRPr="005F46EE">
        <w:rPr>
          <w:rFonts w:ascii="Book Antiqua" w:hAnsi="Book Antiqua"/>
          <w:sz w:val="24"/>
        </w:rPr>
        <w:t>: 5658-5671 [PMID: 11739416 DOI: 10.1210/jcem.86.12.8070]</w:t>
      </w:r>
    </w:p>
    <w:p w14:paraId="099A13AA"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10 </w:t>
      </w:r>
      <w:proofErr w:type="spellStart"/>
      <w:r w:rsidRPr="005F46EE">
        <w:rPr>
          <w:rFonts w:ascii="Book Antiqua" w:hAnsi="Book Antiqua"/>
          <w:b/>
          <w:sz w:val="24"/>
        </w:rPr>
        <w:t>Tamagno</w:t>
      </w:r>
      <w:proofErr w:type="spellEnd"/>
      <w:r w:rsidRPr="005F46EE">
        <w:rPr>
          <w:rFonts w:ascii="Book Antiqua" w:hAnsi="Book Antiqua"/>
          <w:b/>
          <w:sz w:val="24"/>
        </w:rPr>
        <w:t xml:space="preserve"> G</w:t>
      </w:r>
      <w:r w:rsidRPr="005F46EE">
        <w:rPr>
          <w:rFonts w:ascii="Book Antiqua" w:hAnsi="Book Antiqua"/>
          <w:sz w:val="24"/>
        </w:rPr>
        <w:t xml:space="preserve">, Scherer V, </w:t>
      </w:r>
      <w:proofErr w:type="spellStart"/>
      <w:r w:rsidRPr="005F46EE">
        <w:rPr>
          <w:rFonts w:ascii="Book Antiqua" w:hAnsi="Book Antiqua"/>
          <w:sz w:val="24"/>
        </w:rPr>
        <w:t>Caimo</w:t>
      </w:r>
      <w:proofErr w:type="spellEnd"/>
      <w:r w:rsidRPr="005F46EE">
        <w:rPr>
          <w:rFonts w:ascii="Book Antiqua" w:hAnsi="Book Antiqua"/>
          <w:sz w:val="24"/>
        </w:rPr>
        <w:t xml:space="preserve"> A, Bergmann SR, </w:t>
      </w:r>
      <w:proofErr w:type="spellStart"/>
      <w:r w:rsidRPr="005F46EE">
        <w:rPr>
          <w:rFonts w:ascii="Book Antiqua" w:hAnsi="Book Antiqua"/>
          <w:sz w:val="24"/>
        </w:rPr>
        <w:t>Kann</w:t>
      </w:r>
      <w:proofErr w:type="spellEnd"/>
      <w:r w:rsidRPr="005F46EE">
        <w:rPr>
          <w:rFonts w:ascii="Book Antiqua" w:hAnsi="Book Antiqua"/>
          <w:sz w:val="24"/>
        </w:rPr>
        <w:t xml:space="preserve"> PH. Endoscopic Ultrasound Features of Multiple Endocrine Neoplasia Type 1-Related versus Sporadic Pancreatic Neuroendocrine Tumors: A Single-Center Retrospective Study. </w:t>
      </w:r>
      <w:r w:rsidRPr="005F46EE">
        <w:rPr>
          <w:rFonts w:ascii="Book Antiqua" w:hAnsi="Book Antiqua"/>
          <w:i/>
          <w:sz w:val="24"/>
        </w:rPr>
        <w:t>Digestion</w:t>
      </w:r>
      <w:r w:rsidRPr="005F46EE">
        <w:rPr>
          <w:rFonts w:ascii="Book Antiqua" w:hAnsi="Book Antiqua"/>
          <w:sz w:val="24"/>
        </w:rPr>
        <w:t xml:space="preserve"> 2018; </w:t>
      </w:r>
      <w:r w:rsidRPr="005F46EE">
        <w:rPr>
          <w:rFonts w:ascii="Book Antiqua" w:hAnsi="Book Antiqua"/>
          <w:b/>
          <w:sz w:val="24"/>
        </w:rPr>
        <w:t>98</w:t>
      </w:r>
      <w:r w:rsidRPr="005F46EE">
        <w:rPr>
          <w:rFonts w:ascii="Book Antiqua" w:hAnsi="Book Antiqua"/>
          <w:sz w:val="24"/>
        </w:rPr>
        <w:t>: 112-118 [PMID: 29698969 DOI: 10.1159/000487939]</w:t>
      </w:r>
    </w:p>
    <w:p w14:paraId="76F1179A"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11 </w:t>
      </w:r>
      <w:proofErr w:type="spellStart"/>
      <w:r w:rsidRPr="005F46EE">
        <w:rPr>
          <w:rFonts w:ascii="Book Antiqua" w:hAnsi="Book Antiqua"/>
          <w:b/>
          <w:sz w:val="24"/>
        </w:rPr>
        <w:t>Kappelle</w:t>
      </w:r>
      <w:proofErr w:type="spellEnd"/>
      <w:r w:rsidRPr="005F46EE">
        <w:rPr>
          <w:rFonts w:ascii="Book Antiqua" w:hAnsi="Book Antiqua"/>
          <w:b/>
          <w:sz w:val="24"/>
        </w:rPr>
        <w:t xml:space="preserve"> WF</w:t>
      </w:r>
      <w:r w:rsidRPr="005F46EE">
        <w:rPr>
          <w:rFonts w:ascii="Book Antiqua" w:hAnsi="Book Antiqua"/>
          <w:sz w:val="24"/>
        </w:rPr>
        <w:t xml:space="preserve">, </w:t>
      </w:r>
      <w:proofErr w:type="spellStart"/>
      <w:r w:rsidRPr="005F46EE">
        <w:rPr>
          <w:rFonts w:ascii="Book Antiqua" w:hAnsi="Book Antiqua"/>
          <w:sz w:val="24"/>
        </w:rPr>
        <w:t>Valk</w:t>
      </w:r>
      <w:proofErr w:type="spellEnd"/>
      <w:r w:rsidRPr="005F46EE">
        <w:rPr>
          <w:rFonts w:ascii="Book Antiqua" w:hAnsi="Book Antiqua"/>
          <w:sz w:val="24"/>
        </w:rPr>
        <w:t xml:space="preserve"> GD, </w:t>
      </w:r>
      <w:proofErr w:type="spellStart"/>
      <w:r w:rsidRPr="005F46EE">
        <w:rPr>
          <w:rFonts w:ascii="Book Antiqua" w:hAnsi="Book Antiqua"/>
          <w:sz w:val="24"/>
        </w:rPr>
        <w:t>Leenders</w:t>
      </w:r>
      <w:proofErr w:type="spellEnd"/>
      <w:r w:rsidRPr="005F46EE">
        <w:rPr>
          <w:rFonts w:ascii="Book Antiqua" w:hAnsi="Book Antiqua"/>
          <w:sz w:val="24"/>
        </w:rPr>
        <w:t xml:space="preserve"> M, Moons LM, </w:t>
      </w:r>
      <w:proofErr w:type="spellStart"/>
      <w:r w:rsidRPr="005F46EE">
        <w:rPr>
          <w:rFonts w:ascii="Book Antiqua" w:hAnsi="Book Antiqua"/>
          <w:sz w:val="24"/>
        </w:rPr>
        <w:t>Bogte</w:t>
      </w:r>
      <w:proofErr w:type="spellEnd"/>
      <w:r w:rsidRPr="005F46EE">
        <w:rPr>
          <w:rFonts w:ascii="Book Antiqua" w:hAnsi="Book Antiqua"/>
          <w:sz w:val="24"/>
        </w:rPr>
        <w:t xml:space="preserve"> A, </w:t>
      </w:r>
      <w:proofErr w:type="spellStart"/>
      <w:r w:rsidRPr="005F46EE">
        <w:rPr>
          <w:rFonts w:ascii="Book Antiqua" w:hAnsi="Book Antiqua"/>
          <w:sz w:val="24"/>
        </w:rPr>
        <w:t>Siersema</w:t>
      </w:r>
      <w:proofErr w:type="spellEnd"/>
      <w:r w:rsidRPr="005F46EE">
        <w:rPr>
          <w:rFonts w:ascii="Book Antiqua" w:hAnsi="Book Antiqua"/>
          <w:sz w:val="24"/>
        </w:rPr>
        <w:t xml:space="preserve"> PD, </w:t>
      </w:r>
      <w:proofErr w:type="spellStart"/>
      <w:r w:rsidRPr="005F46EE">
        <w:rPr>
          <w:rFonts w:ascii="Book Antiqua" w:hAnsi="Book Antiqua"/>
          <w:sz w:val="24"/>
        </w:rPr>
        <w:t>Vleggaar</w:t>
      </w:r>
      <w:proofErr w:type="spellEnd"/>
      <w:r w:rsidRPr="005F46EE">
        <w:rPr>
          <w:rFonts w:ascii="Book Antiqua" w:hAnsi="Book Antiqua"/>
          <w:sz w:val="24"/>
        </w:rPr>
        <w:t xml:space="preserve"> FP. Growth rate of small pancreatic neuroendocrine tumors in multiple endocrine neoplasia type 1: results from an endoscopic ultrasound based cohort study. </w:t>
      </w:r>
      <w:r w:rsidRPr="005F46EE">
        <w:rPr>
          <w:rFonts w:ascii="Book Antiqua" w:hAnsi="Book Antiqua"/>
          <w:i/>
          <w:sz w:val="24"/>
        </w:rPr>
        <w:t>Endoscopy</w:t>
      </w:r>
      <w:r w:rsidRPr="005F46EE">
        <w:rPr>
          <w:rFonts w:ascii="Book Antiqua" w:hAnsi="Book Antiqua"/>
          <w:sz w:val="24"/>
        </w:rPr>
        <w:t xml:space="preserve"> 2017; </w:t>
      </w:r>
      <w:r w:rsidRPr="005F46EE">
        <w:rPr>
          <w:rFonts w:ascii="Book Antiqua" w:hAnsi="Book Antiqua"/>
          <w:b/>
          <w:sz w:val="24"/>
        </w:rPr>
        <w:t>49</w:t>
      </w:r>
      <w:r w:rsidRPr="005F46EE">
        <w:rPr>
          <w:rFonts w:ascii="Book Antiqua" w:hAnsi="Book Antiqua"/>
          <w:sz w:val="24"/>
        </w:rPr>
        <w:t>: 27-34 [PMID: 27975336 DOI: 10.1055/s-0042-119402]</w:t>
      </w:r>
    </w:p>
    <w:p w14:paraId="1A236DA7"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12 </w:t>
      </w:r>
      <w:proofErr w:type="spellStart"/>
      <w:r w:rsidRPr="005F46EE">
        <w:rPr>
          <w:rFonts w:ascii="Book Antiqua" w:hAnsi="Book Antiqua"/>
          <w:b/>
          <w:sz w:val="24"/>
        </w:rPr>
        <w:t>Fusaroli</w:t>
      </w:r>
      <w:proofErr w:type="spellEnd"/>
      <w:r w:rsidRPr="005F46EE">
        <w:rPr>
          <w:rFonts w:ascii="Book Antiqua" w:hAnsi="Book Antiqua"/>
          <w:b/>
          <w:sz w:val="24"/>
        </w:rPr>
        <w:t xml:space="preserve"> P</w:t>
      </w:r>
      <w:r w:rsidRPr="005F46EE">
        <w:rPr>
          <w:rFonts w:ascii="Book Antiqua" w:hAnsi="Book Antiqua"/>
          <w:sz w:val="24"/>
        </w:rPr>
        <w:t xml:space="preserve">, </w:t>
      </w:r>
      <w:proofErr w:type="spellStart"/>
      <w:r w:rsidRPr="005F46EE">
        <w:rPr>
          <w:rFonts w:ascii="Book Antiqua" w:hAnsi="Book Antiqua"/>
          <w:sz w:val="24"/>
        </w:rPr>
        <w:t>Kypreos</w:t>
      </w:r>
      <w:proofErr w:type="spellEnd"/>
      <w:r w:rsidRPr="005F46EE">
        <w:rPr>
          <w:rFonts w:ascii="Book Antiqua" w:hAnsi="Book Antiqua"/>
          <w:sz w:val="24"/>
        </w:rPr>
        <w:t xml:space="preserve"> D, Alma </w:t>
      </w:r>
      <w:proofErr w:type="spellStart"/>
      <w:r w:rsidRPr="005F46EE">
        <w:rPr>
          <w:rFonts w:ascii="Book Antiqua" w:hAnsi="Book Antiqua"/>
          <w:sz w:val="24"/>
        </w:rPr>
        <w:t>Petrini</w:t>
      </w:r>
      <w:proofErr w:type="spellEnd"/>
      <w:r w:rsidRPr="005F46EE">
        <w:rPr>
          <w:rFonts w:ascii="Book Antiqua" w:hAnsi="Book Antiqua"/>
          <w:sz w:val="24"/>
        </w:rPr>
        <w:t xml:space="preserve"> CA, </w:t>
      </w:r>
      <w:proofErr w:type="spellStart"/>
      <w:r w:rsidRPr="005F46EE">
        <w:rPr>
          <w:rFonts w:ascii="Book Antiqua" w:hAnsi="Book Antiqua"/>
          <w:sz w:val="24"/>
        </w:rPr>
        <w:t>Caletti</w:t>
      </w:r>
      <w:proofErr w:type="spellEnd"/>
      <w:r w:rsidRPr="005F46EE">
        <w:rPr>
          <w:rFonts w:ascii="Book Antiqua" w:hAnsi="Book Antiqua"/>
          <w:sz w:val="24"/>
        </w:rPr>
        <w:t xml:space="preserve"> G. Scientific publications in endoscopic ultrasonography: changing trends in the third millennium. </w:t>
      </w:r>
      <w:r w:rsidRPr="005F46EE">
        <w:rPr>
          <w:rFonts w:ascii="Book Antiqua" w:hAnsi="Book Antiqua"/>
          <w:i/>
          <w:sz w:val="24"/>
        </w:rPr>
        <w:t>J Clin Gastroenterol</w:t>
      </w:r>
      <w:r w:rsidRPr="005F46EE">
        <w:rPr>
          <w:rFonts w:ascii="Book Antiqua" w:hAnsi="Book Antiqua"/>
          <w:sz w:val="24"/>
        </w:rPr>
        <w:t xml:space="preserve"> 2011; </w:t>
      </w:r>
      <w:r w:rsidRPr="005F46EE">
        <w:rPr>
          <w:rFonts w:ascii="Book Antiqua" w:hAnsi="Book Antiqua"/>
          <w:b/>
          <w:sz w:val="24"/>
        </w:rPr>
        <w:t>45</w:t>
      </w:r>
      <w:r w:rsidRPr="005F46EE">
        <w:rPr>
          <w:rFonts w:ascii="Book Antiqua" w:hAnsi="Book Antiqua"/>
          <w:sz w:val="24"/>
        </w:rPr>
        <w:t>: 400-404 [PMID: 21063209 DOI: 10.1097/MCG.0b013e3181fbde42]</w:t>
      </w:r>
    </w:p>
    <w:p w14:paraId="5C325923"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13 </w:t>
      </w:r>
      <w:proofErr w:type="spellStart"/>
      <w:r w:rsidRPr="005F46EE">
        <w:rPr>
          <w:rFonts w:ascii="Book Antiqua" w:hAnsi="Book Antiqua"/>
          <w:b/>
          <w:sz w:val="24"/>
        </w:rPr>
        <w:t>Jenssen</w:t>
      </w:r>
      <w:proofErr w:type="spellEnd"/>
      <w:r w:rsidRPr="005F46EE">
        <w:rPr>
          <w:rFonts w:ascii="Book Antiqua" w:hAnsi="Book Antiqua"/>
          <w:b/>
          <w:sz w:val="24"/>
        </w:rPr>
        <w:t xml:space="preserve"> C</w:t>
      </w:r>
      <w:r w:rsidRPr="005F46EE">
        <w:rPr>
          <w:rFonts w:ascii="Book Antiqua" w:hAnsi="Book Antiqua"/>
          <w:sz w:val="24"/>
        </w:rPr>
        <w:t xml:space="preserve">, </w:t>
      </w:r>
      <w:proofErr w:type="spellStart"/>
      <w:r w:rsidRPr="005F46EE">
        <w:rPr>
          <w:rFonts w:ascii="Book Antiqua" w:hAnsi="Book Antiqua"/>
          <w:sz w:val="24"/>
        </w:rPr>
        <w:t>Hocke</w:t>
      </w:r>
      <w:proofErr w:type="spellEnd"/>
      <w:r w:rsidRPr="005F46EE">
        <w:rPr>
          <w:rFonts w:ascii="Book Antiqua" w:hAnsi="Book Antiqua"/>
          <w:sz w:val="24"/>
        </w:rPr>
        <w:t xml:space="preserve"> M, </w:t>
      </w:r>
      <w:proofErr w:type="spellStart"/>
      <w:r w:rsidRPr="005F46EE">
        <w:rPr>
          <w:rFonts w:ascii="Book Antiqua" w:hAnsi="Book Antiqua"/>
          <w:sz w:val="24"/>
        </w:rPr>
        <w:t>Fusaroli</w:t>
      </w:r>
      <w:proofErr w:type="spellEnd"/>
      <w:r w:rsidRPr="005F46EE">
        <w:rPr>
          <w:rFonts w:ascii="Book Antiqua" w:hAnsi="Book Antiqua"/>
          <w:sz w:val="24"/>
        </w:rPr>
        <w:t xml:space="preserve"> P, </w:t>
      </w:r>
      <w:proofErr w:type="spellStart"/>
      <w:r w:rsidRPr="005F46EE">
        <w:rPr>
          <w:rFonts w:ascii="Book Antiqua" w:hAnsi="Book Antiqua"/>
          <w:sz w:val="24"/>
        </w:rPr>
        <w:t>Gilja</w:t>
      </w:r>
      <w:proofErr w:type="spellEnd"/>
      <w:r w:rsidRPr="005F46EE">
        <w:rPr>
          <w:rFonts w:ascii="Book Antiqua" w:hAnsi="Book Antiqua"/>
          <w:sz w:val="24"/>
        </w:rPr>
        <w:t xml:space="preserve"> OH, </w:t>
      </w:r>
      <w:proofErr w:type="spellStart"/>
      <w:r w:rsidRPr="005F46EE">
        <w:rPr>
          <w:rFonts w:ascii="Book Antiqua" w:hAnsi="Book Antiqua"/>
          <w:sz w:val="24"/>
        </w:rPr>
        <w:t>Buscarini</w:t>
      </w:r>
      <w:proofErr w:type="spellEnd"/>
      <w:r w:rsidRPr="005F46EE">
        <w:rPr>
          <w:rFonts w:ascii="Book Antiqua" w:hAnsi="Book Antiqua"/>
          <w:sz w:val="24"/>
        </w:rPr>
        <w:t xml:space="preserve"> E, Havre RF, </w:t>
      </w:r>
      <w:proofErr w:type="spellStart"/>
      <w:r w:rsidRPr="005F46EE">
        <w:rPr>
          <w:rFonts w:ascii="Book Antiqua" w:hAnsi="Book Antiqua"/>
          <w:sz w:val="24"/>
        </w:rPr>
        <w:t>Ignee</w:t>
      </w:r>
      <w:proofErr w:type="spellEnd"/>
      <w:r w:rsidRPr="005F46EE">
        <w:rPr>
          <w:rFonts w:ascii="Book Antiqua" w:hAnsi="Book Antiqua"/>
          <w:sz w:val="24"/>
        </w:rPr>
        <w:t xml:space="preserve"> A, </w:t>
      </w:r>
      <w:proofErr w:type="spellStart"/>
      <w:r w:rsidRPr="005F46EE">
        <w:rPr>
          <w:rFonts w:ascii="Book Antiqua" w:hAnsi="Book Antiqua"/>
          <w:sz w:val="24"/>
        </w:rPr>
        <w:t>Saftoiu</w:t>
      </w:r>
      <w:proofErr w:type="spellEnd"/>
      <w:r w:rsidRPr="005F46EE">
        <w:rPr>
          <w:rFonts w:ascii="Book Antiqua" w:hAnsi="Book Antiqua"/>
          <w:sz w:val="24"/>
        </w:rPr>
        <w:t xml:space="preserve"> A, </w:t>
      </w:r>
      <w:proofErr w:type="spellStart"/>
      <w:r w:rsidRPr="005F46EE">
        <w:rPr>
          <w:rFonts w:ascii="Book Antiqua" w:hAnsi="Book Antiqua"/>
          <w:sz w:val="24"/>
        </w:rPr>
        <w:t>Vilmann</w:t>
      </w:r>
      <w:proofErr w:type="spellEnd"/>
      <w:r w:rsidRPr="005F46EE">
        <w:rPr>
          <w:rFonts w:ascii="Book Antiqua" w:hAnsi="Book Antiqua"/>
          <w:sz w:val="24"/>
        </w:rPr>
        <w:t xml:space="preserve"> P, </w:t>
      </w:r>
      <w:proofErr w:type="spellStart"/>
      <w:r w:rsidRPr="005F46EE">
        <w:rPr>
          <w:rFonts w:ascii="Book Antiqua" w:hAnsi="Book Antiqua"/>
          <w:sz w:val="24"/>
        </w:rPr>
        <w:t>Burmester</w:t>
      </w:r>
      <w:proofErr w:type="spellEnd"/>
      <w:r w:rsidRPr="005F46EE">
        <w:rPr>
          <w:rFonts w:ascii="Book Antiqua" w:hAnsi="Book Antiqua"/>
          <w:sz w:val="24"/>
        </w:rPr>
        <w:t xml:space="preserve"> E, </w:t>
      </w:r>
      <w:proofErr w:type="spellStart"/>
      <w:r w:rsidRPr="005F46EE">
        <w:rPr>
          <w:rFonts w:ascii="Book Antiqua" w:hAnsi="Book Antiqua"/>
          <w:sz w:val="24"/>
        </w:rPr>
        <w:t>Nolsøe</w:t>
      </w:r>
      <w:proofErr w:type="spellEnd"/>
      <w:r w:rsidRPr="005F46EE">
        <w:rPr>
          <w:rFonts w:ascii="Book Antiqua" w:hAnsi="Book Antiqua"/>
          <w:sz w:val="24"/>
        </w:rPr>
        <w:t xml:space="preserve"> CP, </w:t>
      </w:r>
      <w:proofErr w:type="spellStart"/>
      <w:r w:rsidRPr="005F46EE">
        <w:rPr>
          <w:rFonts w:ascii="Book Antiqua" w:hAnsi="Book Antiqua"/>
          <w:sz w:val="24"/>
        </w:rPr>
        <w:t>Nürnberg</w:t>
      </w:r>
      <w:proofErr w:type="spellEnd"/>
      <w:r w:rsidRPr="005F46EE">
        <w:rPr>
          <w:rFonts w:ascii="Book Antiqua" w:hAnsi="Book Antiqua"/>
          <w:sz w:val="24"/>
        </w:rPr>
        <w:t xml:space="preserve"> D, </w:t>
      </w:r>
      <w:proofErr w:type="spellStart"/>
      <w:r w:rsidRPr="005F46EE">
        <w:rPr>
          <w:rFonts w:ascii="Book Antiqua" w:hAnsi="Book Antiqua"/>
          <w:sz w:val="24"/>
        </w:rPr>
        <w:t>D'Onofrio</w:t>
      </w:r>
      <w:proofErr w:type="spellEnd"/>
      <w:r w:rsidRPr="005F46EE">
        <w:rPr>
          <w:rFonts w:ascii="Book Antiqua" w:hAnsi="Book Antiqua"/>
          <w:sz w:val="24"/>
        </w:rPr>
        <w:t xml:space="preserve"> M, </w:t>
      </w:r>
      <w:proofErr w:type="spellStart"/>
      <w:r w:rsidRPr="005F46EE">
        <w:rPr>
          <w:rFonts w:ascii="Book Antiqua" w:hAnsi="Book Antiqua"/>
          <w:sz w:val="24"/>
        </w:rPr>
        <w:t>Lorentzen</w:t>
      </w:r>
      <w:proofErr w:type="spellEnd"/>
      <w:r w:rsidRPr="005F46EE">
        <w:rPr>
          <w:rFonts w:ascii="Book Antiqua" w:hAnsi="Book Antiqua"/>
          <w:sz w:val="24"/>
        </w:rPr>
        <w:t xml:space="preserve"> T, </w:t>
      </w:r>
      <w:proofErr w:type="spellStart"/>
      <w:r w:rsidRPr="005F46EE">
        <w:rPr>
          <w:rFonts w:ascii="Book Antiqua" w:hAnsi="Book Antiqua"/>
          <w:sz w:val="24"/>
        </w:rPr>
        <w:t>Piscaglia</w:t>
      </w:r>
      <w:proofErr w:type="spellEnd"/>
      <w:r w:rsidRPr="005F46EE">
        <w:rPr>
          <w:rFonts w:ascii="Book Antiqua" w:hAnsi="Book Antiqua"/>
          <w:sz w:val="24"/>
        </w:rPr>
        <w:t xml:space="preserve"> F, Sidhu PS, Dietrich CF. EFSUMB Guidelines on Interventional Ultrasound (INVUS), Part IV - EUS-guided interventions: General Aspects and EUS-guided Sampling (Short Version). </w:t>
      </w:r>
      <w:proofErr w:type="spellStart"/>
      <w:r w:rsidRPr="005F46EE">
        <w:rPr>
          <w:rFonts w:ascii="Book Antiqua" w:hAnsi="Book Antiqua"/>
          <w:i/>
          <w:sz w:val="24"/>
        </w:rPr>
        <w:t>Ultraschall</w:t>
      </w:r>
      <w:proofErr w:type="spellEnd"/>
      <w:r w:rsidRPr="005F46EE">
        <w:rPr>
          <w:rFonts w:ascii="Book Antiqua" w:hAnsi="Book Antiqua"/>
          <w:i/>
          <w:sz w:val="24"/>
        </w:rPr>
        <w:t xml:space="preserve"> Med</w:t>
      </w:r>
      <w:r w:rsidRPr="005F46EE">
        <w:rPr>
          <w:rFonts w:ascii="Book Antiqua" w:hAnsi="Book Antiqua"/>
          <w:sz w:val="24"/>
        </w:rPr>
        <w:t xml:space="preserve"> 2016; </w:t>
      </w:r>
      <w:r w:rsidRPr="005F46EE">
        <w:rPr>
          <w:rFonts w:ascii="Book Antiqua" w:hAnsi="Book Antiqua"/>
          <w:b/>
          <w:sz w:val="24"/>
        </w:rPr>
        <w:t>37</w:t>
      </w:r>
      <w:r w:rsidRPr="005F46EE">
        <w:rPr>
          <w:rFonts w:ascii="Book Antiqua" w:hAnsi="Book Antiqua"/>
          <w:sz w:val="24"/>
        </w:rPr>
        <w:t>: 157-169 [PMID: 27058434 DOI: 10.1055/s-0035-1553788]</w:t>
      </w:r>
    </w:p>
    <w:p w14:paraId="129279C5"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14 </w:t>
      </w:r>
      <w:r w:rsidRPr="005F46EE">
        <w:rPr>
          <w:rFonts w:ascii="Book Antiqua" w:hAnsi="Book Antiqua"/>
          <w:b/>
          <w:sz w:val="24"/>
        </w:rPr>
        <w:t>Fusaroli P</w:t>
      </w:r>
      <w:r w:rsidRPr="005F46EE">
        <w:rPr>
          <w:rFonts w:ascii="Book Antiqua" w:hAnsi="Book Antiqua"/>
          <w:sz w:val="24"/>
        </w:rPr>
        <w:t xml:space="preserve">, Napoleon B, </w:t>
      </w:r>
      <w:proofErr w:type="spellStart"/>
      <w:r w:rsidRPr="005F46EE">
        <w:rPr>
          <w:rFonts w:ascii="Book Antiqua" w:hAnsi="Book Antiqua"/>
          <w:sz w:val="24"/>
        </w:rPr>
        <w:t>Gincul</w:t>
      </w:r>
      <w:proofErr w:type="spellEnd"/>
      <w:r w:rsidRPr="005F46EE">
        <w:rPr>
          <w:rFonts w:ascii="Book Antiqua" w:hAnsi="Book Antiqua"/>
          <w:sz w:val="24"/>
        </w:rPr>
        <w:t xml:space="preserve"> R, </w:t>
      </w:r>
      <w:proofErr w:type="spellStart"/>
      <w:r w:rsidRPr="005F46EE">
        <w:rPr>
          <w:rFonts w:ascii="Book Antiqua" w:hAnsi="Book Antiqua"/>
          <w:sz w:val="24"/>
        </w:rPr>
        <w:t>Lefort</w:t>
      </w:r>
      <w:proofErr w:type="spellEnd"/>
      <w:r w:rsidRPr="005F46EE">
        <w:rPr>
          <w:rFonts w:ascii="Book Antiqua" w:hAnsi="Book Antiqua"/>
          <w:sz w:val="24"/>
        </w:rPr>
        <w:t xml:space="preserve"> C, Palazzo L, Palazzo M, Kitano M, </w:t>
      </w:r>
      <w:proofErr w:type="spellStart"/>
      <w:r w:rsidRPr="005F46EE">
        <w:rPr>
          <w:rFonts w:ascii="Book Antiqua" w:hAnsi="Book Antiqua"/>
          <w:sz w:val="24"/>
        </w:rPr>
        <w:t>Minaga</w:t>
      </w:r>
      <w:proofErr w:type="spellEnd"/>
      <w:r w:rsidRPr="005F46EE">
        <w:rPr>
          <w:rFonts w:ascii="Book Antiqua" w:hAnsi="Book Antiqua"/>
          <w:sz w:val="24"/>
        </w:rPr>
        <w:t xml:space="preserve"> K, </w:t>
      </w:r>
      <w:proofErr w:type="spellStart"/>
      <w:r w:rsidRPr="005F46EE">
        <w:rPr>
          <w:rFonts w:ascii="Book Antiqua" w:hAnsi="Book Antiqua"/>
          <w:sz w:val="24"/>
        </w:rPr>
        <w:t>Caletti</w:t>
      </w:r>
      <w:proofErr w:type="spellEnd"/>
      <w:r w:rsidRPr="005F46EE">
        <w:rPr>
          <w:rFonts w:ascii="Book Antiqua" w:hAnsi="Book Antiqua"/>
          <w:sz w:val="24"/>
        </w:rPr>
        <w:t xml:space="preserve"> G, </w:t>
      </w:r>
      <w:proofErr w:type="spellStart"/>
      <w:r w:rsidRPr="005F46EE">
        <w:rPr>
          <w:rFonts w:ascii="Book Antiqua" w:hAnsi="Book Antiqua"/>
          <w:sz w:val="24"/>
        </w:rPr>
        <w:t>Lisotti</w:t>
      </w:r>
      <w:proofErr w:type="spellEnd"/>
      <w:r w:rsidRPr="005F46EE">
        <w:rPr>
          <w:rFonts w:ascii="Book Antiqua" w:hAnsi="Book Antiqua"/>
          <w:sz w:val="24"/>
        </w:rPr>
        <w:t xml:space="preserve"> A. The clinical impact of ultrasound contrast agents in EUS: a systematic review according to the levels of evidence. </w:t>
      </w:r>
      <w:proofErr w:type="spellStart"/>
      <w:r w:rsidRPr="005F46EE">
        <w:rPr>
          <w:rFonts w:ascii="Book Antiqua" w:hAnsi="Book Antiqua"/>
          <w:i/>
          <w:sz w:val="24"/>
        </w:rPr>
        <w:t>Gastrointest</w:t>
      </w:r>
      <w:proofErr w:type="spellEnd"/>
      <w:r w:rsidRPr="005F46EE">
        <w:rPr>
          <w:rFonts w:ascii="Book Antiqua" w:hAnsi="Book Antiqua"/>
          <w:i/>
          <w:sz w:val="24"/>
        </w:rPr>
        <w:t xml:space="preserve"> </w:t>
      </w:r>
      <w:proofErr w:type="spellStart"/>
      <w:r w:rsidRPr="005F46EE">
        <w:rPr>
          <w:rFonts w:ascii="Book Antiqua" w:hAnsi="Book Antiqua"/>
          <w:i/>
          <w:sz w:val="24"/>
        </w:rPr>
        <w:t>Endosc</w:t>
      </w:r>
      <w:proofErr w:type="spellEnd"/>
      <w:r w:rsidRPr="005F46EE">
        <w:rPr>
          <w:rFonts w:ascii="Book Antiqua" w:hAnsi="Book Antiqua"/>
          <w:sz w:val="24"/>
        </w:rPr>
        <w:t xml:space="preserve"> 2016; </w:t>
      </w:r>
      <w:r w:rsidRPr="005F46EE">
        <w:rPr>
          <w:rFonts w:ascii="Book Antiqua" w:hAnsi="Book Antiqua"/>
          <w:b/>
          <w:sz w:val="24"/>
        </w:rPr>
        <w:t>84</w:t>
      </w:r>
      <w:r w:rsidRPr="005F46EE">
        <w:rPr>
          <w:rFonts w:ascii="Book Antiqua" w:hAnsi="Book Antiqua"/>
          <w:sz w:val="24"/>
        </w:rPr>
        <w:t>: 587-596.e10 [PMID: 27311654 DOI: 10.1016/j.gie.2016.06.006]</w:t>
      </w:r>
    </w:p>
    <w:p w14:paraId="18563D2E"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15 </w:t>
      </w:r>
      <w:r w:rsidRPr="005F46EE">
        <w:rPr>
          <w:rFonts w:ascii="Book Antiqua" w:hAnsi="Book Antiqua"/>
          <w:b/>
          <w:sz w:val="24"/>
        </w:rPr>
        <w:t>Howe JR</w:t>
      </w:r>
      <w:r w:rsidRPr="005F46EE">
        <w:rPr>
          <w:rFonts w:ascii="Book Antiqua" w:hAnsi="Book Antiqua"/>
          <w:sz w:val="24"/>
        </w:rPr>
        <w:t xml:space="preserve">, Merchant NB, Conrad C, </w:t>
      </w:r>
      <w:proofErr w:type="spellStart"/>
      <w:r w:rsidRPr="005F46EE">
        <w:rPr>
          <w:rFonts w:ascii="Book Antiqua" w:hAnsi="Book Antiqua"/>
          <w:sz w:val="24"/>
        </w:rPr>
        <w:t>Keutgen</w:t>
      </w:r>
      <w:proofErr w:type="spellEnd"/>
      <w:r w:rsidRPr="005F46EE">
        <w:rPr>
          <w:rFonts w:ascii="Book Antiqua" w:hAnsi="Book Antiqua"/>
          <w:sz w:val="24"/>
        </w:rPr>
        <w:t xml:space="preserve"> XM, </w:t>
      </w:r>
      <w:proofErr w:type="spellStart"/>
      <w:r w:rsidRPr="005F46EE">
        <w:rPr>
          <w:rFonts w:ascii="Book Antiqua" w:hAnsi="Book Antiqua"/>
          <w:sz w:val="24"/>
        </w:rPr>
        <w:t>Hallet</w:t>
      </w:r>
      <w:proofErr w:type="spellEnd"/>
      <w:r w:rsidRPr="005F46EE">
        <w:rPr>
          <w:rFonts w:ascii="Book Antiqua" w:hAnsi="Book Antiqua"/>
          <w:sz w:val="24"/>
        </w:rPr>
        <w:t xml:space="preserve"> J, </w:t>
      </w:r>
      <w:proofErr w:type="spellStart"/>
      <w:r w:rsidRPr="005F46EE">
        <w:rPr>
          <w:rFonts w:ascii="Book Antiqua" w:hAnsi="Book Antiqua"/>
          <w:sz w:val="24"/>
        </w:rPr>
        <w:t>Drebin</w:t>
      </w:r>
      <w:proofErr w:type="spellEnd"/>
      <w:r w:rsidRPr="005F46EE">
        <w:rPr>
          <w:rFonts w:ascii="Book Antiqua" w:hAnsi="Book Antiqua"/>
          <w:sz w:val="24"/>
        </w:rPr>
        <w:t xml:space="preserve"> JA, Minter RM, </w:t>
      </w:r>
      <w:proofErr w:type="spellStart"/>
      <w:r w:rsidRPr="005F46EE">
        <w:rPr>
          <w:rFonts w:ascii="Book Antiqua" w:hAnsi="Book Antiqua"/>
          <w:sz w:val="24"/>
        </w:rPr>
        <w:t>Lairmore</w:t>
      </w:r>
      <w:proofErr w:type="spellEnd"/>
      <w:r w:rsidRPr="005F46EE">
        <w:rPr>
          <w:rFonts w:ascii="Book Antiqua" w:hAnsi="Book Antiqua"/>
          <w:sz w:val="24"/>
        </w:rPr>
        <w:t xml:space="preserve"> TC, Tseng JF, </w:t>
      </w:r>
      <w:proofErr w:type="spellStart"/>
      <w:r w:rsidRPr="005F46EE">
        <w:rPr>
          <w:rFonts w:ascii="Book Antiqua" w:hAnsi="Book Antiqua"/>
          <w:sz w:val="24"/>
        </w:rPr>
        <w:t>Zeh</w:t>
      </w:r>
      <w:proofErr w:type="spellEnd"/>
      <w:r w:rsidRPr="005F46EE">
        <w:rPr>
          <w:rFonts w:ascii="Book Antiqua" w:hAnsi="Book Antiqua"/>
          <w:sz w:val="24"/>
        </w:rPr>
        <w:t xml:space="preserve"> HJ, </w:t>
      </w:r>
      <w:proofErr w:type="spellStart"/>
      <w:r w:rsidRPr="005F46EE">
        <w:rPr>
          <w:rFonts w:ascii="Book Antiqua" w:hAnsi="Book Antiqua"/>
          <w:sz w:val="24"/>
        </w:rPr>
        <w:t>Libutti</w:t>
      </w:r>
      <w:proofErr w:type="spellEnd"/>
      <w:r w:rsidRPr="005F46EE">
        <w:rPr>
          <w:rFonts w:ascii="Book Antiqua" w:hAnsi="Book Antiqua"/>
          <w:sz w:val="24"/>
        </w:rPr>
        <w:t xml:space="preserve"> SK, Singh G, Lee JE, Hope TA, Kim MK, </w:t>
      </w:r>
      <w:proofErr w:type="spellStart"/>
      <w:r w:rsidRPr="005F46EE">
        <w:rPr>
          <w:rFonts w:ascii="Book Antiqua" w:hAnsi="Book Antiqua"/>
          <w:sz w:val="24"/>
        </w:rPr>
        <w:t>Menda</w:t>
      </w:r>
      <w:proofErr w:type="spellEnd"/>
      <w:r w:rsidRPr="005F46EE">
        <w:rPr>
          <w:rFonts w:ascii="Book Antiqua" w:hAnsi="Book Antiqua"/>
          <w:sz w:val="24"/>
        </w:rPr>
        <w:t xml:space="preserve"> Y, </w:t>
      </w:r>
      <w:proofErr w:type="spellStart"/>
      <w:r w:rsidRPr="005F46EE">
        <w:rPr>
          <w:rFonts w:ascii="Book Antiqua" w:hAnsi="Book Antiqua"/>
          <w:sz w:val="24"/>
        </w:rPr>
        <w:t>Halfdanarson</w:t>
      </w:r>
      <w:proofErr w:type="spellEnd"/>
      <w:r w:rsidRPr="005F46EE">
        <w:rPr>
          <w:rFonts w:ascii="Book Antiqua" w:hAnsi="Book Antiqua"/>
          <w:sz w:val="24"/>
        </w:rPr>
        <w:t xml:space="preserve"> TR, Chan JA, </w:t>
      </w:r>
      <w:proofErr w:type="spellStart"/>
      <w:r w:rsidRPr="005F46EE">
        <w:rPr>
          <w:rFonts w:ascii="Book Antiqua" w:hAnsi="Book Antiqua"/>
          <w:sz w:val="24"/>
        </w:rPr>
        <w:t>Pommier</w:t>
      </w:r>
      <w:proofErr w:type="spellEnd"/>
      <w:r w:rsidRPr="005F46EE">
        <w:rPr>
          <w:rFonts w:ascii="Book Antiqua" w:hAnsi="Book Antiqua"/>
          <w:sz w:val="24"/>
        </w:rPr>
        <w:t xml:space="preserve"> RF. The North American Neuroendocrine Tumor Society Consensus Paper on the Surgical Management of Pancreatic Neuroendocrine Tumors. </w:t>
      </w:r>
      <w:r w:rsidRPr="005F46EE">
        <w:rPr>
          <w:rFonts w:ascii="Book Antiqua" w:hAnsi="Book Antiqua"/>
          <w:i/>
          <w:sz w:val="24"/>
        </w:rPr>
        <w:t>Pancreas</w:t>
      </w:r>
      <w:r w:rsidRPr="005F46EE">
        <w:rPr>
          <w:rFonts w:ascii="Book Antiqua" w:hAnsi="Book Antiqua"/>
          <w:sz w:val="24"/>
        </w:rPr>
        <w:t xml:space="preserve"> 2020; </w:t>
      </w:r>
      <w:r w:rsidRPr="005F46EE">
        <w:rPr>
          <w:rFonts w:ascii="Book Antiqua" w:hAnsi="Book Antiqua"/>
          <w:b/>
          <w:sz w:val="24"/>
        </w:rPr>
        <w:t>49</w:t>
      </w:r>
      <w:r w:rsidRPr="005F46EE">
        <w:rPr>
          <w:rFonts w:ascii="Book Antiqua" w:hAnsi="Book Antiqua"/>
          <w:sz w:val="24"/>
        </w:rPr>
        <w:t>: 1-33 [PMID: 31856076 DOI: 10.1097/MPA.0000000000001454]</w:t>
      </w:r>
    </w:p>
    <w:p w14:paraId="3F75D38B"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16 </w:t>
      </w:r>
      <w:proofErr w:type="spellStart"/>
      <w:r w:rsidRPr="005F46EE">
        <w:rPr>
          <w:rFonts w:ascii="Book Antiqua" w:hAnsi="Book Antiqua"/>
          <w:b/>
          <w:sz w:val="24"/>
        </w:rPr>
        <w:t>Câmara</w:t>
      </w:r>
      <w:proofErr w:type="spellEnd"/>
      <w:r w:rsidRPr="005F46EE">
        <w:rPr>
          <w:rFonts w:ascii="Book Antiqua" w:hAnsi="Book Antiqua"/>
          <w:b/>
          <w:sz w:val="24"/>
        </w:rPr>
        <w:t>-de-Souza AB</w:t>
      </w:r>
      <w:r w:rsidRPr="005F46EE">
        <w:rPr>
          <w:rFonts w:ascii="Book Antiqua" w:hAnsi="Book Antiqua"/>
          <w:sz w:val="24"/>
        </w:rPr>
        <w:t xml:space="preserve">, Toyoshima MTK, </w:t>
      </w:r>
      <w:proofErr w:type="spellStart"/>
      <w:r w:rsidRPr="005F46EE">
        <w:rPr>
          <w:rFonts w:ascii="Book Antiqua" w:hAnsi="Book Antiqua"/>
          <w:sz w:val="24"/>
        </w:rPr>
        <w:t>Giannella</w:t>
      </w:r>
      <w:proofErr w:type="spellEnd"/>
      <w:r w:rsidRPr="005F46EE">
        <w:rPr>
          <w:rFonts w:ascii="Book Antiqua" w:hAnsi="Book Antiqua"/>
          <w:sz w:val="24"/>
        </w:rPr>
        <w:t xml:space="preserve"> ML, Freire DS, Camacho CP, </w:t>
      </w:r>
      <w:proofErr w:type="spellStart"/>
      <w:r w:rsidRPr="005F46EE">
        <w:rPr>
          <w:rFonts w:ascii="Book Antiqua" w:hAnsi="Book Antiqua"/>
          <w:sz w:val="24"/>
        </w:rPr>
        <w:t>Lourenço</w:t>
      </w:r>
      <w:proofErr w:type="spellEnd"/>
      <w:r w:rsidRPr="005F46EE">
        <w:rPr>
          <w:rFonts w:ascii="Book Antiqua" w:hAnsi="Book Antiqua"/>
          <w:sz w:val="24"/>
        </w:rPr>
        <w:t xml:space="preserve"> DM Jr, Rocha MS, </w:t>
      </w:r>
      <w:proofErr w:type="spellStart"/>
      <w:r w:rsidRPr="005F46EE">
        <w:rPr>
          <w:rFonts w:ascii="Book Antiqua" w:hAnsi="Book Antiqua"/>
          <w:sz w:val="24"/>
        </w:rPr>
        <w:t>Bacchella</w:t>
      </w:r>
      <w:proofErr w:type="spellEnd"/>
      <w:r w:rsidRPr="005F46EE">
        <w:rPr>
          <w:rFonts w:ascii="Book Antiqua" w:hAnsi="Book Antiqua"/>
          <w:sz w:val="24"/>
        </w:rPr>
        <w:t xml:space="preserve"> T, </w:t>
      </w:r>
      <w:proofErr w:type="spellStart"/>
      <w:r w:rsidRPr="005F46EE">
        <w:rPr>
          <w:rFonts w:ascii="Book Antiqua" w:hAnsi="Book Antiqua"/>
          <w:sz w:val="24"/>
        </w:rPr>
        <w:t>Jureidini</w:t>
      </w:r>
      <w:proofErr w:type="spellEnd"/>
      <w:r w:rsidRPr="005F46EE">
        <w:rPr>
          <w:rFonts w:ascii="Book Antiqua" w:hAnsi="Book Antiqua"/>
          <w:sz w:val="24"/>
        </w:rPr>
        <w:t xml:space="preserve"> R, Machado MCC, Almeida MQ, Pereira MAA. Insulinoma: A retrospective study analyzing the differences between benign and malignant tumors. </w:t>
      </w:r>
      <w:proofErr w:type="spellStart"/>
      <w:r w:rsidRPr="005F46EE">
        <w:rPr>
          <w:rFonts w:ascii="Book Antiqua" w:hAnsi="Book Antiqua"/>
          <w:i/>
          <w:sz w:val="24"/>
        </w:rPr>
        <w:t>Pancreatology</w:t>
      </w:r>
      <w:proofErr w:type="spellEnd"/>
      <w:r w:rsidRPr="005F46EE">
        <w:rPr>
          <w:rFonts w:ascii="Book Antiqua" w:hAnsi="Book Antiqua"/>
          <w:sz w:val="24"/>
        </w:rPr>
        <w:t xml:space="preserve"> 2018; </w:t>
      </w:r>
      <w:r w:rsidRPr="005F46EE">
        <w:rPr>
          <w:rFonts w:ascii="Book Antiqua" w:hAnsi="Book Antiqua"/>
          <w:b/>
          <w:sz w:val="24"/>
        </w:rPr>
        <w:t>18</w:t>
      </w:r>
      <w:r w:rsidRPr="005F46EE">
        <w:rPr>
          <w:rFonts w:ascii="Book Antiqua" w:hAnsi="Book Antiqua"/>
          <w:sz w:val="24"/>
        </w:rPr>
        <w:t>: 298-303 [PMID: 29452754 DOI: 10.1016/j.pan.2018.01.009]</w:t>
      </w:r>
    </w:p>
    <w:p w14:paraId="2641606D"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17 </w:t>
      </w:r>
      <w:proofErr w:type="spellStart"/>
      <w:r w:rsidRPr="005F46EE">
        <w:rPr>
          <w:rFonts w:ascii="Book Antiqua" w:hAnsi="Book Antiqua"/>
          <w:b/>
          <w:sz w:val="24"/>
        </w:rPr>
        <w:t>Pavlidis</w:t>
      </w:r>
      <w:proofErr w:type="spellEnd"/>
      <w:r w:rsidRPr="005F46EE">
        <w:rPr>
          <w:rFonts w:ascii="Book Antiqua" w:hAnsi="Book Antiqua"/>
          <w:b/>
          <w:sz w:val="24"/>
        </w:rPr>
        <w:t xml:space="preserve"> TE</w:t>
      </w:r>
      <w:r w:rsidRPr="005F46EE">
        <w:rPr>
          <w:rFonts w:ascii="Book Antiqua" w:hAnsi="Book Antiqua"/>
          <w:sz w:val="24"/>
        </w:rPr>
        <w:t xml:space="preserve">, </w:t>
      </w:r>
      <w:proofErr w:type="spellStart"/>
      <w:r w:rsidRPr="005F46EE">
        <w:rPr>
          <w:rFonts w:ascii="Book Antiqua" w:hAnsi="Book Antiqua"/>
          <w:sz w:val="24"/>
        </w:rPr>
        <w:t>Psarras</w:t>
      </w:r>
      <w:proofErr w:type="spellEnd"/>
      <w:r w:rsidRPr="005F46EE">
        <w:rPr>
          <w:rFonts w:ascii="Book Antiqua" w:hAnsi="Book Antiqua"/>
          <w:sz w:val="24"/>
        </w:rPr>
        <w:t xml:space="preserve"> K, </w:t>
      </w:r>
      <w:proofErr w:type="spellStart"/>
      <w:r w:rsidRPr="005F46EE">
        <w:rPr>
          <w:rFonts w:ascii="Book Antiqua" w:hAnsi="Book Antiqua"/>
          <w:sz w:val="24"/>
        </w:rPr>
        <w:t>Symeonidis</w:t>
      </w:r>
      <w:proofErr w:type="spellEnd"/>
      <w:r w:rsidRPr="005F46EE">
        <w:rPr>
          <w:rFonts w:ascii="Book Antiqua" w:hAnsi="Book Antiqua"/>
          <w:sz w:val="24"/>
        </w:rPr>
        <w:t xml:space="preserve"> NG, </w:t>
      </w:r>
      <w:proofErr w:type="spellStart"/>
      <w:r w:rsidRPr="005F46EE">
        <w:rPr>
          <w:rFonts w:ascii="Book Antiqua" w:hAnsi="Book Antiqua"/>
          <w:sz w:val="24"/>
        </w:rPr>
        <w:t>Pavlidis</w:t>
      </w:r>
      <w:proofErr w:type="spellEnd"/>
      <w:r w:rsidRPr="005F46EE">
        <w:rPr>
          <w:rFonts w:ascii="Book Antiqua" w:hAnsi="Book Antiqua"/>
          <w:sz w:val="24"/>
        </w:rPr>
        <w:t xml:space="preserve"> ET, </w:t>
      </w:r>
      <w:proofErr w:type="spellStart"/>
      <w:r w:rsidRPr="005F46EE">
        <w:rPr>
          <w:rFonts w:ascii="Book Antiqua" w:hAnsi="Book Antiqua"/>
          <w:sz w:val="24"/>
        </w:rPr>
        <w:t>Sakantamis</w:t>
      </w:r>
      <w:proofErr w:type="spellEnd"/>
      <w:r w:rsidRPr="005F46EE">
        <w:rPr>
          <w:rFonts w:ascii="Book Antiqua" w:hAnsi="Book Antiqua"/>
          <w:sz w:val="24"/>
        </w:rPr>
        <w:t xml:space="preserve"> AK. Current surgical management of pancreatic endocrine tumor liver metastases. </w:t>
      </w:r>
      <w:r w:rsidRPr="005F46EE">
        <w:rPr>
          <w:rFonts w:ascii="Book Antiqua" w:hAnsi="Book Antiqua"/>
          <w:i/>
          <w:sz w:val="24"/>
        </w:rPr>
        <w:t xml:space="preserve">Hepatobiliary </w:t>
      </w:r>
      <w:proofErr w:type="spellStart"/>
      <w:r w:rsidRPr="005F46EE">
        <w:rPr>
          <w:rFonts w:ascii="Book Antiqua" w:hAnsi="Book Antiqua"/>
          <w:i/>
          <w:sz w:val="24"/>
        </w:rPr>
        <w:t>Pancreat</w:t>
      </w:r>
      <w:proofErr w:type="spellEnd"/>
      <w:r w:rsidRPr="005F46EE">
        <w:rPr>
          <w:rFonts w:ascii="Book Antiqua" w:hAnsi="Book Antiqua"/>
          <w:i/>
          <w:sz w:val="24"/>
        </w:rPr>
        <w:t xml:space="preserve"> Dis </w:t>
      </w:r>
      <w:proofErr w:type="spellStart"/>
      <w:r w:rsidRPr="005F46EE">
        <w:rPr>
          <w:rFonts w:ascii="Book Antiqua" w:hAnsi="Book Antiqua"/>
          <w:i/>
          <w:sz w:val="24"/>
        </w:rPr>
        <w:t>Int</w:t>
      </w:r>
      <w:proofErr w:type="spellEnd"/>
      <w:r w:rsidRPr="005F46EE">
        <w:rPr>
          <w:rFonts w:ascii="Book Antiqua" w:hAnsi="Book Antiqua"/>
          <w:sz w:val="24"/>
        </w:rPr>
        <w:t xml:space="preserve"> 2011; </w:t>
      </w:r>
      <w:r w:rsidRPr="005F46EE">
        <w:rPr>
          <w:rFonts w:ascii="Book Antiqua" w:hAnsi="Book Antiqua"/>
          <w:b/>
          <w:sz w:val="24"/>
        </w:rPr>
        <w:t>10</w:t>
      </w:r>
      <w:r w:rsidRPr="005F46EE">
        <w:rPr>
          <w:rFonts w:ascii="Book Antiqua" w:hAnsi="Book Antiqua"/>
          <w:sz w:val="24"/>
        </w:rPr>
        <w:t>: 243-247 [PMID: 21669565]</w:t>
      </w:r>
    </w:p>
    <w:p w14:paraId="351D02C6"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18 </w:t>
      </w:r>
      <w:proofErr w:type="spellStart"/>
      <w:r w:rsidRPr="005F46EE">
        <w:rPr>
          <w:rFonts w:ascii="Book Antiqua" w:hAnsi="Book Antiqua"/>
          <w:b/>
          <w:sz w:val="24"/>
        </w:rPr>
        <w:t>Pasaoglu</w:t>
      </w:r>
      <w:proofErr w:type="spellEnd"/>
      <w:r w:rsidRPr="005F46EE">
        <w:rPr>
          <w:rFonts w:ascii="Book Antiqua" w:hAnsi="Book Antiqua"/>
          <w:b/>
          <w:sz w:val="24"/>
        </w:rPr>
        <w:t xml:space="preserve"> E</w:t>
      </w:r>
      <w:r w:rsidRPr="005F46EE">
        <w:rPr>
          <w:rFonts w:ascii="Book Antiqua" w:hAnsi="Book Antiqua"/>
          <w:sz w:val="24"/>
        </w:rPr>
        <w:t xml:space="preserve">, </w:t>
      </w:r>
      <w:proofErr w:type="spellStart"/>
      <w:r w:rsidRPr="005F46EE">
        <w:rPr>
          <w:rFonts w:ascii="Book Antiqua" w:hAnsi="Book Antiqua"/>
          <w:sz w:val="24"/>
        </w:rPr>
        <w:t>Dursun</w:t>
      </w:r>
      <w:proofErr w:type="spellEnd"/>
      <w:r w:rsidRPr="005F46EE">
        <w:rPr>
          <w:rFonts w:ascii="Book Antiqua" w:hAnsi="Book Antiqua"/>
          <w:sz w:val="24"/>
        </w:rPr>
        <w:t xml:space="preserve"> N, </w:t>
      </w:r>
      <w:proofErr w:type="spellStart"/>
      <w:r w:rsidRPr="005F46EE">
        <w:rPr>
          <w:rFonts w:ascii="Book Antiqua" w:hAnsi="Book Antiqua"/>
          <w:sz w:val="24"/>
        </w:rPr>
        <w:t>Ozyalvacli</w:t>
      </w:r>
      <w:proofErr w:type="spellEnd"/>
      <w:r w:rsidRPr="005F46EE">
        <w:rPr>
          <w:rFonts w:ascii="Book Antiqua" w:hAnsi="Book Antiqua"/>
          <w:sz w:val="24"/>
        </w:rPr>
        <w:t xml:space="preserve"> G, </w:t>
      </w:r>
      <w:proofErr w:type="spellStart"/>
      <w:r w:rsidRPr="005F46EE">
        <w:rPr>
          <w:rFonts w:ascii="Book Antiqua" w:hAnsi="Book Antiqua"/>
          <w:sz w:val="24"/>
        </w:rPr>
        <w:t>Hacihasanoglu</w:t>
      </w:r>
      <w:proofErr w:type="spellEnd"/>
      <w:r w:rsidRPr="005F46EE">
        <w:rPr>
          <w:rFonts w:ascii="Book Antiqua" w:hAnsi="Book Antiqua"/>
          <w:sz w:val="24"/>
        </w:rPr>
        <w:t xml:space="preserve"> E, </w:t>
      </w:r>
      <w:proofErr w:type="spellStart"/>
      <w:r w:rsidRPr="005F46EE">
        <w:rPr>
          <w:rFonts w:ascii="Book Antiqua" w:hAnsi="Book Antiqua"/>
          <w:sz w:val="24"/>
        </w:rPr>
        <w:t>Behzatoglu</w:t>
      </w:r>
      <w:proofErr w:type="spellEnd"/>
      <w:r w:rsidRPr="005F46EE">
        <w:rPr>
          <w:rFonts w:ascii="Book Antiqua" w:hAnsi="Book Antiqua"/>
          <w:sz w:val="24"/>
        </w:rPr>
        <w:t xml:space="preserve"> K, </w:t>
      </w:r>
      <w:proofErr w:type="spellStart"/>
      <w:r w:rsidRPr="005F46EE">
        <w:rPr>
          <w:rFonts w:ascii="Book Antiqua" w:hAnsi="Book Antiqua"/>
          <w:sz w:val="24"/>
        </w:rPr>
        <w:t>Calay</w:t>
      </w:r>
      <w:proofErr w:type="spellEnd"/>
      <w:r w:rsidRPr="005F46EE">
        <w:rPr>
          <w:rFonts w:ascii="Book Antiqua" w:hAnsi="Book Antiqua"/>
          <w:sz w:val="24"/>
        </w:rPr>
        <w:t xml:space="preserve"> O. Comparison of World Health Organization 2000/2004 and World Health Organization 2010 classifications for gastrointestinal and pancreatic neuroendocrine tumors. </w:t>
      </w:r>
      <w:r w:rsidRPr="005F46EE">
        <w:rPr>
          <w:rFonts w:ascii="Book Antiqua" w:hAnsi="Book Antiqua"/>
          <w:i/>
          <w:sz w:val="24"/>
        </w:rPr>
        <w:t xml:space="preserve">Ann </w:t>
      </w:r>
      <w:proofErr w:type="spellStart"/>
      <w:r w:rsidRPr="005F46EE">
        <w:rPr>
          <w:rFonts w:ascii="Book Antiqua" w:hAnsi="Book Antiqua"/>
          <w:i/>
          <w:sz w:val="24"/>
        </w:rPr>
        <w:t>Diagn</w:t>
      </w:r>
      <w:proofErr w:type="spellEnd"/>
      <w:r w:rsidRPr="005F46EE">
        <w:rPr>
          <w:rFonts w:ascii="Book Antiqua" w:hAnsi="Book Antiqua"/>
          <w:i/>
          <w:sz w:val="24"/>
        </w:rPr>
        <w:t xml:space="preserve"> </w:t>
      </w:r>
      <w:proofErr w:type="spellStart"/>
      <w:r w:rsidRPr="005F46EE">
        <w:rPr>
          <w:rFonts w:ascii="Book Antiqua" w:hAnsi="Book Antiqua"/>
          <w:i/>
          <w:sz w:val="24"/>
        </w:rPr>
        <w:t>Pathol</w:t>
      </w:r>
      <w:proofErr w:type="spellEnd"/>
      <w:r w:rsidRPr="005F46EE">
        <w:rPr>
          <w:rFonts w:ascii="Book Antiqua" w:hAnsi="Book Antiqua"/>
          <w:sz w:val="24"/>
        </w:rPr>
        <w:t xml:space="preserve"> 2015; </w:t>
      </w:r>
      <w:r w:rsidRPr="005F46EE">
        <w:rPr>
          <w:rFonts w:ascii="Book Antiqua" w:hAnsi="Book Antiqua"/>
          <w:b/>
          <w:sz w:val="24"/>
        </w:rPr>
        <w:t>19</w:t>
      </w:r>
      <w:r w:rsidRPr="005F46EE">
        <w:rPr>
          <w:rFonts w:ascii="Book Antiqua" w:hAnsi="Book Antiqua"/>
          <w:sz w:val="24"/>
        </w:rPr>
        <w:t>: 81-87 [PMID: 25702616 DOI: 10.1016/j.anndiagpath.2015.01.001]</w:t>
      </w:r>
    </w:p>
    <w:p w14:paraId="35004337" w14:textId="77777777" w:rsidR="00066A0A" w:rsidRPr="005F46EE" w:rsidRDefault="00541197" w:rsidP="005F46EE">
      <w:pPr>
        <w:pStyle w:val="EndNoteBibliography"/>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br w:type="page"/>
      </w:r>
    </w:p>
    <w:p w14:paraId="661F744A" w14:textId="77777777" w:rsidR="004E3039" w:rsidRPr="005F46EE" w:rsidRDefault="004E3039" w:rsidP="005F46EE">
      <w:pPr>
        <w:adjustRightInd w:val="0"/>
        <w:snapToGrid w:val="0"/>
        <w:spacing w:line="360" w:lineRule="auto"/>
        <w:rPr>
          <w:rFonts w:ascii="Book Antiqua" w:hAnsi="Book Antiqua"/>
          <w:b/>
          <w:sz w:val="24"/>
        </w:rPr>
      </w:pPr>
      <w:r w:rsidRPr="005F46EE">
        <w:rPr>
          <w:rFonts w:ascii="Book Antiqua" w:hAnsi="Book Antiqua"/>
          <w:b/>
          <w:sz w:val="24"/>
        </w:rPr>
        <w:t>Footnotes</w:t>
      </w:r>
    </w:p>
    <w:p w14:paraId="5FBD1685" w14:textId="77777777" w:rsidR="004E3039" w:rsidRPr="005F46EE" w:rsidRDefault="004E3039" w:rsidP="005F46EE">
      <w:pPr>
        <w:widowControl/>
        <w:snapToGrid w:val="0"/>
        <w:spacing w:line="360" w:lineRule="auto"/>
        <w:rPr>
          <w:rFonts w:ascii="Book Antiqua" w:hAnsi="Book Antiqua"/>
          <w:color w:val="000000" w:themeColor="text1"/>
          <w:sz w:val="24"/>
        </w:rPr>
      </w:pPr>
      <w:r w:rsidRPr="005F46EE">
        <w:rPr>
          <w:rFonts w:ascii="Book Antiqua" w:hAnsi="Book Antiqua" w:cs="Tahoma"/>
          <w:b/>
          <w:sz w:val="24"/>
        </w:rPr>
        <w:t>Informed consent statement:</w:t>
      </w:r>
      <w:r w:rsidRPr="005F46EE">
        <w:rPr>
          <w:rFonts w:ascii="Book Antiqua" w:hAnsi="Book Antiqua" w:cs="Tahoma"/>
          <w:sz w:val="24"/>
        </w:rPr>
        <w:t xml:space="preserve"> </w:t>
      </w:r>
      <w:r w:rsidRPr="005F46EE">
        <w:rPr>
          <w:rFonts w:ascii="Book Antiqua" w:hAnsi="Book Antiqua"/>
          <w:color w:val="000000" w:themeColor="text1"/>
          <w:sz w:val="24"/>
        </w:rPr>
        <w:t>Written informed consent was obtained from the patient.</w:t>
      </w:r>
    </w:p>
    <w:p w14:paraId="7415CBC6" w14:textId="77777777" w:rsidR="004E3039" w:rsidRPr="005F46EE" w:rsidRDefault="004E3039" w:rsidP="005F46EE">
      <w:pPr>
        <w:widowControl/>
        <w:snapToGrid w:val="0"/>
        <w:spacing w:line="360" w:lineRule="auto"/>
        <w:rPr>
          <w:rFonts w:ascii="Book Antiqua" w:hAnsi="Book Antiqua" w:cs="宋体"/>
          <w:color w:val="000000" w:themeColor="text1"/>
          <w:kern w:val="0"/>
          <w:sz w:val="24"/>
        </w:rPr>
      </w:pPr>
    </w:p>
    <w:p w14:paraId="03375482" w14:textId="77777777" w:rsidR="004E3039" w:rsidRPr="005F46EE" w:rsidRDefault="004E3039" w:rsidP="005F46EE">
      <w:pPr>
        <w:widowControl/>
        <w:snapToGrid w:val="0"/>
        <w:spacing w:line="360" w:lineRule="auto"/>
        <w:rPr>
          <w:rFonts w:ascii="Book Antiqua" w:hAnsi="Book Antiqua"/>
          <w:color w:val="000000" w:themeColor="text1"/>
          <w:sz w:val="24"/>
        </w:rPr>
      </w:pPr>
      <w:r w:rsidRPr="005F46EE">
        <w:rPr>
          <w:rFonts w:ascii="Book Antiqua" w:hAnsi="Book Antiqua" w:cs="Tahoma"/>
          <w:b/>
          <w:sz w:val="24"/>
        </w:rPr>
        <w:t>Conflict-of-interest statement:</w:t>
      </w:r>
      <w:r w:rsidRPr="005F46EE">
        <w:rPr>
          <w:rFonts w:ascii="Book Antiqua" w:hAnsi="Book Antiqua" w:cs="Tahoma"/>
          <w:sz w:val="24"/>
        </w:rPr>
        <w:t xml:space="preserve"> </w:t>
      </w:r>
      <w:r w:rsidRPr="005F46EE">
        <w:rPr>
          <w:rFonts w:ascii="Book Antiqua" w:hAnsi="Book Antiqua"/>
          <w:color w:val="000000" w:themeColor="text1"/>
          <w:sz w:val="24"/>
        </w:rPr>
        <w:t>We declare that we have no conflict of interest.</w:t>
      </w:r>
    </w:p>
    <w:p w14:paraId="7CB1B027" w14:textId="77777777" w:rsidR="004E3039" w:rsidRPr="005F46EE" w:rsidRDefault="004E3039" w:rsidP="005F46EE">
      <w:pPr>
        <w:widowControl/>
        <w:snapToGrid w:val="0"/>
        <w:spacing w:line="360" w:lineRule="auto"/>
        <w:rPr>
          <w:rFonts w:ascii="Book Antiqua" w:hAnsi="Book Antiqua"/>
          <w:color w:val="000000" w:themeColor="text1"/>
          <w:sz w:val="24"/>
        </w:rPr>
      </w:pPr>
    </w:p>
    <w:p w14:paraId="47BFB976" w14:textId="77777777" w:rsidR="004E3039" w:rsidRPr="005F46EE" w:rsidRDefault="004E3039" w:rsidP="005F46EE">
      <w:pPr>
        <w:autoSpaceDE w:val="0"/>
        <w:autoSpaceDN w:val="0"/>
        <w:adjustRightInd w:val="0"/>
        <w:snapToGrid w:val="0"/>
        <w:spacing w:line="360" w:lineRule="auto"/>
        <w:rPr>
          <w:rFonts w:ascii="Book Antiqua" w:hAnsi="Book Antiqua"/>
          <w:sz w:val="24"/>
        </w:rPr>
      </w:pPr>
      <w:r w:rsidRPr="005F46EE">
        <w:rPr>
          <w:rFonts w:ascii="Book Antiqua" w:hAnsi="Book Antiqua" w:cs="Tahoma"/>
          <w:b/>
          <w:sz w:val="24"/>
        </w:rPr>
        <w:t>CARE Checklist (2016) statement:</w:t>
      </w:r>
      <w:r w:rsidRPr="005F46EE">
        <w:rPr>
          <w:rFonts w:ascii="Book Antiqua" w:hAnsi="Book Antiqua" w:cs="Tahoma"/>
          <w:sz w:val="24"/>
        </w:rPr>
        <w:t xml:space="preserve"> </w:t>
      </w:r>
      <w:r w:rsidRPr="005F46EE">
        <w:rPr>
          <w:rFonts w:ascii="Book Antiqua" w:hAnsi="Book Antiqua" w:cs="TimesNewRomanPSMT"/>
          <w:sz w:val="24"/>
        </w:rPr>
        <w:t>The authors have read the CARE Checklist (2016), and the manuscript was prepared and revised according to the CARE Checklist (2016).</w:t>
      </w:r>
    </w:p>
    <w:p w14:paraId="213AC700" w14:textId="77777777" w:rsidR="004E3039" w:rsidRPr="005F46EE" w:rsidRDefault="004E3039" w:rsidP="005F46EE">
      <w:pPr>
        <w:adjustRightInd w:val="0"/>
        <w:snapToGrid w:val="0"/>
        <w:spacing w:line="360" w:lineRule="auto"/>
        <w:rPr>
          <w:rFonts w:ascii="Book Antiqua" w:hAnsi="Book Antiqua" w:cstheme="minorHAnsi"/>
          <w:b/>
          <w:bCs/>
          <w:sz w:val="24"/>
        </w:rPr>
      </w:pPr>
    </w:p>
    <w:p w14:paraId="66F10A63" w14:textId="77777777" w:rsidR="004E3039" w:rsidRPr="005F46EE" w:rsidRDefault="004E3039" w:rsidP="005F46EE">
      <w:pPr>
        <w:adjustRightInd w:val="0"/>
        <w:snapToGrid w:val="0"/>
        <w:spacing w:line="360" w:lineRule="auto"/>
        <w:rPr>
          <w:rFonts w:ascii="Book Antiqua" w:hAnsi="Book Antiqua"/>
          <w:sz w:val="24"/>
        </w:rPr>
      </w:pPr>
      <w:r w:rsidRPr="005F46EE">
        <w:rPr>
          <w:rFonts w:ascii="Book Antiqua" w:hAnsi="Book Antiqua"/>
          <w:b/>
          <w:color w:val="000000"/>
          <w:sz w:val="24"/>
        </w:rPr>
        <w:t>Open-Access:</w:t>
      </w:r>
      <w:r w:rsidRPr="005F46EE">
        <w:rPr>
          <w:rFonts w:ascii="Book Antiqua" w:hAnsi="Book Antiqua"/>
          <w:color w:val="000000"/>
          <w:sz w:val="24"/>
        </w:rPr>
        <w:t xml:space="preserve"> This article is an open-access </w:t>
      </w:r>
      <w:r w:rsidRPr="005F46EE">
        <w:rPr>
          <w:rFonts w:ascii="Book Antiqua" w:hAnsi="Book Antiqua"/>
          <w:sz w:val="24"/>
        </w:rPr>
        <w:t xml:space="preserve">article that was selected </w:t>
      </w:r>
      <w:r w:rsidRPr="005F46EE">
        <w:rPr>
          <w:rFonts w:ascii="Book Antiqua" w:hAnsi="Book Antiqua"/>
          <w:color w:val="000000"/>
          <w:sz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286B6E" w14:textId="77777777" w:rsidR="004E3039" w:rsidRPr="005F46EE" w:rsidRDefault="004E3039" w:rsidP="005F46EE">
      <w:pPr>
        <w:adjustRightInd w:val="0"/>
        <w:snapToGrid w:val="0"/>
        <w:spacing w:line="360" w:lineRule="auto"/>
        <w:rPr>
          <w:rFonts w:ascii="Book Antiqua" w:hAnsi="Book Antiqua" w:cstheme="minorHAnsi"/>
          <w:b/>
          <w:bCs/>
          <w:sz w:val="24"/>
        </w:rPr>
      </w:pPr>
    </w:p>
    <w:p w14:paraId="51AE3147" w14:textId="77777777" w:rsidR="004E3039" w:rsidRPr="005F46EE" w:rsidRDefault="004E3039" w:rsidP="005F46EE">
      <w:pPr>
        <w:adjustRightInd w:val="0"/>
        <w:snapToGrid w:val="0"/>
        <w:spacing w:line="360" w:lineRule="auto"/>
        <w:rPr>
          <w:rFonts w:ascii="Book Antiqua" w:hAnsi="Book Antiqua" w:cs="宋体"/>
          <w:sz w:val="24"/>
        </w:rPr>
      </w:pPr>
      <w:r w:rsidRPr="005F46EE">
        <w:rPr>
          <w:rFonts w:ascii="Book Antiqua" w:hAnsi="Book Antiqua" w:cs="宋体"/>
          <w:b/>
          <w:sz w:val="24"/>
        </w:rPr>
        <w:t>Manuscript source:</w:t>
      </w:r>
      <w:r w:rsidRPr="005F46EE">
        <w:rPr>
          <w:rFonts w:ascii="Book Antiqua" w:hAnsi="Book Antiqua" w:cs="宋体"/>
          <w:sz w:val="24"/>
        </w:rPr>
        <w:t> Unsolicited manuscript</w:t>
      </w:r>
    </w:p>
    <w:p w14:paraId="22A5543A" w14:textId="77777777" w:rsidR="004E3039" w:rsidRPr="005F46EE" w:rsidRDefault="004E3039" w:rsidP="005F46EE">
      <w:pPr>
        <w:adjustRightInd w:val="0"/>
        <w:snapToGrid w:val="0"/>
        <w:spacing w:line="360" w:lineRule="auto"/>
        <w:rPr>
          <w:rFonts w:ascii="Book Antiqua" w:hAnsi="Book Antiqua" w:cs="宋体"/>
          <w:sz w:val="24"/>
        </w:rPr>
      </w:pPr>
    </w:p>
    <w:p w14:paraId="3B9CE9F8" w14:textId="77777777" w:rsidR="004E3039" w:rsidRPr="005F46EE" w:rsidRDefault="004E3039" w:rsidP="005F46EE">
      <w:pPr>
        <w:snapToGrid w:val="0"/>
        <w:spacing w:line="360" w:lineRule="auto"/>
        <w:rPr>
          <w:rFonts w:ascii="Book Antiqua" w:hAnsi="Book Antiqua"/>
          <w:b/>
          <w:sz w:val="24"/>
        </w:rPr>
      </w:pPr>
      <w:r w:rsidRPr="005F46EE">
        <w:rPr>
          <w:rFonts w:ascii="Book Antiqua" w:hAnsi="Book Antiqua"/>
          <w:b/>
          <w:sz w:val="24"/>
        </w:rPr>
        <w:t>Peer-review started:</w:t>
      </w:r>
      <w:r w:rsidRPr="005F46EE">
        <w:rPr>
          <w:rFonts w:ascii="Book Antiqua" w:hAnsi="Book Antiqua"/>
          <w:sz w:val="24"/>
        </w:rPr>
        <w:t xml:space="preserve"> January 14, 2020</w:t>
      </w:r>
    </w:p>
    <w:p w14:paraId="0DC8B214" w14:textId="77777777" w:rsidR="004E3039" w:rsidRPr="005F46EE" w:rsidRDefault="004E3039" w:rsidP="005F46EE">
      <w:pPr>
        <w:snapToGrid w:val="0"/>
        <w:spacing w:line="360" w:lineRule="auto"/>
        <w:rPr>
          <w:rFonts w:ascii="Book Antiqua" w:hAnsi="Book Antiqua"/>
          <w:b/>
          <w:sz w:val="24"/>
        </w:rPr>
      </w:pPr>
      <w:r w:rsidRPr="005F46EE">
        <w:rPr>
          <w:rFonts w:ascii="Book Antiqua" w:hAnsi="Book Antiqua"/>
          <w:b/>
          <w:sz w:val="24"/>
        </w:rPr>
        <w:t>First decision:</w:t>
      </w:r>
      <w:r w:rsidRPr="005F46EE">
        <w:rPr>
          <w:rFonts w:ascii="Book Antiqua" w:hAnsi="Book Antiqua"/>
          <w:sz w:val="24"/>
        </w:rPr>
        <w:t xml:space="preserve"> April </w:t>
      </w:r>
      <w:r w:rsidR="006F2EC6" w:rsidRPr="005F46EE">
        <w:rPr>
          <w:rFonts w:ascii="Book Antiqua" w:hAnsi="Book Antiqua"/>
          <w:sz w:val="24"/>
        </w:rPr>
        <w:t>8</w:t>
      </w:r>
      <w:r w:rsidRPr="005F46EE">
        <w:rPr>
          <w:rFonts w:ascii="Book Antiqua" w:hAnsi="Book Antiqua"/>
          <w:sz w:val="24"/>
        </w:rPr>
        <w:t>, 2020</w:t>
      </w:r>
    </w:p>
    <w:p w14:paraId="67645AB7" w14:textId="46BC0E71" w:rsidR="004E3039" w:rsidRPr="005F46EE" w:rsidRDefault="004E3039" w:rsidP="005F46EE">
      <w:pPr>
        <w:snapToGrid w:val="0"/>
        <w:spacing w:line="360" w:lineRule="auto"/>
        <w:rPr>
          <w:rFonts w:ascii="Book Antiqua" w:hAnsi="Book Antiqua"/>
          <w:sz w:val="24"/>
        </w:rPr>
      </w:pPr>
      <w:r w:rsidRPr="005F46EE">
        <w:rPr>
          <w:rFonts w:ascii="Book Antiqua" w:hAnsi="Book Antiqua"/>
          <w:b/>
          <w:sz w:val="24"/>
        </w:rPr>
        <w:t>Article in press:</w:t>
      </w:r>
      <w:r w:rsidRPr="005F46EE">
        <w:rPr>
          <w:rFonts w:ascii="Book Antiqua" w:hAnsi="Book Antiqua"/>
          <w:sz w:val="24"/>
        </w:rPr>
        <w:t xml:space="preserve"> </w:t>
      </w:r>
      <w:r w:rsidR="00C015BE" w:rsidRPr="005F46EE">
        <w:rPr>
          <w:rFonts w:ascii="Book Antiqua" w:hAnsi="Book Antiqua"/>
          <w:bCs/>
          <w:sz w:val="24"/>
        </w:rPr>
        <w:t>May 29, 2020</w:t>
      </w:r>
    </w:p>
    <w:p w14:paraId="0FF91A31" w14:textId="77777777" w:rsidR="004E3039" w:rsidRPr="005F46EE" w:rsidRDefault="004E3039" w:rsidP="005F46EE">
      <w:pPr>
        <w:snapToGrid w:val="0"/>
        <w:spacing w:line="360" w:lineRule="auto"/>
        <w:rPr>
          <w:rFonts w:ascii="Book Antiqua" w:hAnsi="Book Antiqua"/>
          <w:sz w:val="24"/>
        </w:rPr>
      </w:pPr>
    </w:p>
    <w:p w14:paraId="626E7901" w14:textId="77777777" w:rsidR="004E3039" w:rsidRPr="005F46EE" w:rsidRDefault="004E3039" w:rsidP="005F46EE">
      <w:pPr>
        <w:snapToGrid w:val="0"/>
        <w:spacing w:line="360" w:lineRule="auto"/>
        <w:rPr>
          <w:rFonts w:ascii="Book Antiqua" w:hAnsi="Book Antiqua" w:cs="Helvetica"/>
          <w:b/>
          <w:sz w:val="24"/>
        </w:rPr>
      </w:pPr>
      <w:r w:rsidRPr="005F46EE">
        <w:rPr>
          <w:rFonts w:ascii="Book Antiqua" w:hAnsi="Book Antiqua" w:cs="Helvetica"/>
          <w:b/>
          <w:sz w:val="24"/>
        </w:rPr>
        <w:t xml:space="preserve">Specialty type: </w:t>
      </w:r>
      <w:r w:rsidRPr="005F46EE">
        <w:rPr>
          <w:rFonts w:ascii="Book Antiqua" w:eastAsia="微软雅黑" w:hAnsi="Book Antiqua" w:cs="宋体"/>
          <w:sz w:val="24"/>
        </w:rPr>
        <w:t xml:space="preserve">Medicine, </w:t>
      </w:r>
      <w:r w:rsidR="00B15A80" w:rsidRPr="005F46EE">
        <w:rPr>
          <w:rFonts w:ascii="Book Antiqua" w:eastAsia="微软雅黑" w:hAnsi="Book Antiqua" w:cs="宋体"/>
          <w:sz w:val="24"/>
        </w:rPr>
        <w:t>research and experimental</w:t>
      </w:r>
    </w:p>
    <w:p w14:paraId="432505D6" w14:textId="77777777" w:rsidR="004E3039" w:rsidRPr="005F46EE" w:rsidRDefault="004E3039" w:rsidP="005F46EE">
      <w:pPr>
        <w:snapToGrid w:val="0"/>
        <w:spacing w:line="360" w:lineRule="auto"/>
        <w:rPr>
          <w:rFonts w:ascii="Book Antiqua" w:hAnsi="Book Antiqua" w:cs="Helvetica"/>
          <w:b/>
          <w:sz w:val="24"/>
        </w:rPr>
      </w:pPr>
      <w:r w:rsidRPr="005F46EE">
        <w:rPr>
          <w:rFonts w:ascii="Book Antiqua" w:hAnsi="Book Antiqua" w:cs="宋体"/>
          <w:b/>
          <w:sz w:val="24"/>
        </w:rPr>
        <w:t>Country/Territory</w:t>
      </w:r>
      <w:r w:rsidRPr="005F46EE">
        <w:rPr>
          <w:rFonts w:ascii="Book Antiqua" w:hAnsi="Book Antiqua" w:cs="Helvetica"/>
          <w:b/>
          <w:sz w:val="24"/>
        </w:rPr>
        <w:t xml:space="preserve"> of origin: </w:t>
      </w:r>
      <w:r w:rsidR="006F2EC6" w:rsidRPr="005F46EE">
        <w:rPr>
          <w:rFonts w:ascii="Book Antiqua" w:hAnsi="Book Antiqua"/>
          <w:sz w:val="24"/>
        </w:rPr>
        <w:t>China</w:t>
      </w:r>
    </w:p>
    <w:p w14:paraId="7E5DC0D9" w14:textId="77777777" w:rsidR="004E3039" w:rsidRPr="005F46EE" w:rsidRDefault="004E3039" w:rsidP="005F46EE">
      <w:pPr>
        <w:adjustRightInd w:val="0"/>
        <w:snapToGrid w:val="0"/>
        <w:spacing w:line="360" w:lineRule="auto"/>
        <w:rPr>
          <w:rFonts w:ascii="Book Antiqua" w:hAnsi="Book Antiqua" w:cs="宋体"/>
          <w:b/>
          <w:sz w:val="24"/>
        </w:rPr>
      </w:pPr>
      <w:r w:rsidRPr="005F46EE">
        <w:rPr>
          <w:rFonts w:ascii="Book Antiqua" w:hAnsi="Book Antiqua" w:cs="宋体"/>
          <w:b/>
          <w:sz w:val="24"/>
        </w:rPr>
        <w:t>Peer-review report’s scientific quality classification</w:t>
      </w:r>
    </w:p>
    <w:p w14:paraId="6DBC4A6D" w14:textId="77777777" w:rsidR="004E3039" w:rsidRPr="005F46EE" w:rsidRDefault="004E3039" w:rsidP="005F46EE">
      <w:pPr>
        <w:snapToGrid w:val="0"/>
        <w:spacing w:line="360" w:lineRule="auto"/>
        <w:rPr>
          <w:rFonts w:ascii="Book Antiqua" w:hAnsi="Book Antiqua" w:cs="Helvetica"/>
          <w:sz w:val="24"/>
        </w:rPr>
      </w:pPr>
      <w:r w:rsidRPr="005F46EE">
        <w:rPr>
          <w:rFonts w:ascii="Book Antiqua" w:hAnsi="Book Antiqua" w:cs="Helvetica"/>
          <w:sz w:val="24"/>
        </w:rPr>
        <w:t xml:space="preserve">Grade A (Excellent): </w:t>
      </w:r>
      <w:r w:rsidR="006F2EC6" w:rsidRPr="005F46EE">
        <w:rPr>
          <w:rFonts w:ascii="Book Antiqua" w:hAnsi="Book Antiqua" w:cs="Helvetica"/>
          <w:sz w:val="24"/>
        </w:rPr>
        <w:t>A</w:t>
      </w:r>
    </w:p>
    <w:p w14:paraId="6B8032B4" w14:textId="77777777" w:rsidR="004E3039" w:rsidRPr="005F46EE" w:rsidRDefault="004E3039" w:rsidP="005F46EE">
      <w:pPr>
        <w:snapToGrid w:val="0"/>
        <w:spacing w:line="360" w:lineRule="auto"/>
        <w:rPr>
          <w:rFonts w:ascii="Book Antiqua" w:hAnsi="Book Antiqua" w:cs="Helvetica"/>
          <w:sz w:val="24"/>
        </w:rPr>
      </w:pPr>
      <w:r w:rsidRPr="005F46EE">
        <w:rPr>
          <w:rFonts w:ascii="Book Antiqua" w:hAnsi="Book Antiqua" w:cs="Helvetica"/>
          <w:sz w:val="24"/>
        </w:rPr>
        <w:t xml:space="preserve">Grade B (Very good): </w:t>
      </w:r>
      <w:r w:rsidR="006F2EC6" w:rsidRPr="005F46EE">
        <w:rPr>
          <w:rFonts w:ascii="Book Antiqua" w:hAnsi="Book Antiqua" w:cs="Helvetica"/>
          <w:sz w:val="24"/>
        </w:rPr>
        <w:t>0</w:t>
      </w:r>
    </w:p>
    <w:p w14:paraId="30260E04" w14:textId="77777777" w:rsidR="004E3039" w:rsidRPr="005F46EE" w:rsidRDefault="004E3039" w:rsidP="005F46EE">
      <w:pPr>
        <w:snapToGrid w:val="0"/>
        <w:spacing w:line="360" w:lineRule="auto"/>
        <w:rPr>
          <w:rFonts w:ascii="Book Antiqua" w:hAnsi="Book Antiqua" w:cs="Helvetica"/>
          <w:sz w:val="24"/>
        </w:rPr>
      </w:pPr>
      <w:r w:rsidRPr="005F46EE">
        <w:rPr>
          <w:rFonts w:ascii="Book Antiqua" w:hAnsi="Book Antiqua" w:cs="Helvetica"/>
          <w:sz w:val="24"/>
        </w:rPr>
        <w:t>Grade C (Good): C</w:t>
      </w:r>
    </w:p>
    <w:p w14:paraId="3EF47536" w14:textId="77777777" w:rsidR="004E3039" w:rsidRPr="005F46EE" w:rsidRDefault="004E3039" w:rsidP="005F46EE">
      <w:pPr>
        <w:snapToGrid w:val="0"/>
        <w:spacing w:line="360" w:lineRule="auto"/>
        <w:rPr>
          <w:rFonts w:ascii="Book Antiqua" w:hAnsi="Book Antiqua" w:cs="Helvetica"/>
          <w:sz w:val="24"/>
        </w:rPr>
      </w:pPr>
      <w:r w:rsidRPr="005F46EE">
        <w:rPr>
          <w:rFonts w:ascii="Book Antiqua" w:hAnsi="Book Antiqua" w:cs="Helvetica"/>
          <w:sz w:val="24"/>
        </w:rPr>
        <w:t xml:space="preserve">Grade D (Fair): 0 </w:t>
      </w:r>
    </w:p>
    <w:p w14:paraId="43417694" w14:textId="77777777" w:rsidR="004E3039" w:rsidRPr="005F46EE" w:rsidRDefault="004E3039" w:rsidP="005F46EE">
      <w:pPr>
        <w:snapToGrid w:val="0"/>
        <w:spacing w:line="360" w:lineRule="auto"/>
        <w:rPr>
          <w:rFonts w:ascii="Book Antiqua" w:hAnsi="Book Antiqua" w:cs="Calibri"/>
          <w:sz w:val="24"/>
        </w:rPr>
      </w:pPr>
      <w:r w:rsidRPr="005F46EE">
        <w:rPr>
          <w:rFonts w:ascii="Book Antiqua" w:hAnsi="Book Antiqua" w:cs="Helvetica"/>
          <w:sz w:val="24"/>
        </w:rPr>
        <w:t>Grade E (Poor): 0</w:t>
      </w:r>
    </w:p>
    <w:p w14:paraId="416EDD10" w14:textId="77777777" w:rsidR="004E3039" w:rsidRPr="005F46EE" w:rsidRDefault="004E3039" w:rsidP="005F46EE">
      <w:pPr>
        <w:pStyle w:val="af2"/>
        <w:snapToGrid w:val="0"/>
        <w:spacing w:after="0" w:line="360" w:lineRule="auto"/>
        <w:ind w:left="0"/>
        <w:contextualSpacing w:val="0"/>
        <w:jc w:val="both"/>
        <w:rPr>
          <w:rFonts w:ascii="Book Antiqua" w:hAnsi="Book Antiqua" w:cs="Calibri"/>
          <w:sz w:val="24"/>
          <w:szCs w:val="24"/>
          <w:lang w:val="en-US" w:eastAsia="zh-CN"/>
        </w:rPr>
      </w:pPr>
    </w:p>
    <w:p w14:paraId="55238BB9" w14:textId="48781AEF" w:rsidR="006510F2" w:rsidRPr="005F46EE" w:rsidRDefault="004E3039" w:rsidP="005F46EE">
      <w:pPr>
        <w:widowControl/>
        <w:snapToGrid w:val="0"/>
        <w:spacing w:line="360" w:lineRule="auto"/>
        <w:rPr>
          <w:rFonts w:ascii="Book Antiqua" w:hAnsi="Book Antiqua"/>
          <w:b/>
          <w:sz w:val="24"/>
        </w:rPr>
      </w:pPr>
      <w:r w:rsidRPr="005F46EE">
        <w:rPr>
          <w:rFonts w:ascii="Book Antiqua" w:hAnsi="Book Antiqua"/>
          <w:b/>
          <w:sz w:val="24"/>
        </w:rPr>
        <w:t xml:space="preserve">P-Reviewer: </w:t>
      </w:r>
      <w:r w:rsidR="006F2EC6" w:rsidRPr="005F46EE">
        <w:rPr>
          <w:rFonts w:ascii="Book Antiqua" w:hAnsi="Book Antiqua" w:cs="宋体"/>
          <w:color w:val="000000"/>
          <w:kern w:val="0"/>
          <w:sz w:val="24"/>
          <w:shd w:val="clear" w:color="auto" w:fill="FFFFFF"/>
        </w:rPr>
        <w:t>Fusaroli P, Iso</w:t>
      </w:r>
      <w:r w:rsidR="006F2EC6" w:rsidRPr="005F46EE">
        <w:rPr>
          <w:rFonts w:ascii="Book Antiqua" w:hAnsi="Book Antiqua" w:cs="宋体"/>
          <w:kern w:val="0"/>
          <w:sz w:val="24"/>
        </w:rPr>
        <w:t xml:space="preserve"> Y</w:t>
      </w:r>
      <w:r w:rsidRPr="005F46EE">
        <w:rPr>
          <w:rFonts w:ascii="Book Antiqua" w:hAnsi="Book Antiqua"/>
          <w:color w:val="000000"/>
          <w:sz w:val="24"/>
        </w:rPr>
        <w:t xml:space="preserve"> </w:t>
      </w:r>
      <w:r w:rsidRPr="005F46EE">
        <w:rPr>
          <w:rFonts w:ascii="Book Antiqua" w:hAnsi="Book Antiqua"/>
          <w:b/>
          <w:sz w:val="24"/>
        </w:rPr>
        <w:t xml:space="preserve">S-Editor: </w:t>
      </w:r>
      <w:r w:rsidRPr="005F46EE">
        <w:rPr>
          <w:rFonts w:ascii="Book Antiqua" w:hAnsi="Book Antiqua"/>
          <w:bCs/>
          <w:sz w:val="24"/>
        </w:rPr>
        <w:t>Dou Y</w:t>
      </w:r>
      <w:r w:rsidRPr="005F46EE">
        <w:rPr>
          <w:rFonts w:ascii="Book Antiqua" w:hAnsi="Book Antiqua"/>
          <w:b/>
          <w:sz w:val="24"/>
        </w:rPr>
        <w:t xml:space="preserve"> L-Editor: </w:t>
      </w:r>
      <w:proofErr w:type="spellStart"/>
      <w:r w:rsidR="00DA3F09" w:rsidRPr="005F46EE">
        <w:rPr>
          <w:rFonts w:ascii="Book Antiqua" w:hAnsi="Book Antiqua"/>
          <w:sz w:val="24"/>
        </w:rPr>
        <w:t>Filipodia</w:t>
      </w:r>
      <w:proofErr w:type="spellEnd"/>
      <w:r w:rsidR="00DA3F09" w:rsidRPr="005F46EE">
        <w:rPr>
          <w:rFonts w:ascii="Book Antiqua" w:hAnsi="Book Antiqua"/>
          <w:sz w:val="24"/>
        </w:rPr>
        <w:t xml:space="preserve"> </w:t>
      </w:r>
      <w:r w:rsidRPr="005F46EE">
        <w:rPr>
          <w:rFonts w:ascii="Book Antiqua" w:hAnsi="Book Antiqua"/>
          <w:b/>
          <w:sz w:val="24"/>
        </w:rPr>
        <w:t xml:space="preserve">E-Editor: </w:t>
      </w:r>
      <w:r w:rsidR="00C015BE" w:rsidRPr="00C015BE">
        <w:rPr>
          <w:rFonts w:ascii="Book Antiqua" w:hAnsi="Book Antiqua"/>
          <w:sz w:val="24"/>
        </w:rPr>
        <w:t>Xing YX</w:t>
      </w:r>
    </w:p>
    <w:p w14:paraId="292F866B" w14:textId="77777777" w:rsidR="006A27A0" w:rsidRPr="005F46EE" w:rsidRDefault="006A27A0" w:rsidP="005F46EE">
      <w:pPr>
        <w:widowControl/>
        <w:snapToGrid w:val="0"/>
        <w:spacing w:line="360" w:lineRule="auto"/>
        <w:rPr>
          <w:rFonts w:ascii="Book Antiqua" w:hAnsi="Book Antiqua"/>
          <w:b/>
          <w:sz w:val="24"/>
        </w:rPr>
      </w:pPr>
    </w:p>
    <w:p w14:paraId="1F447EE1" w14:textId="77777777" w:rsidR="006A27A0" w:rsidRPr="005F46EE" w:rsidRDefault="006A27A0" w:rsidP="005F46EE">
      <w:pPr>
        <w:widowControl/>
        <w:snapToGrid w:val="0"/>
        <w:spacing w:line="360" w:lineRule="auto"/>
        <w:rPr>
          <w:rFonts w:ascii="Book Antiqua" w:hAnsi="Book Antiqua"/>
          <w:b/>
          <w:sz w:val="24"/>
        </w:rPr>
      </w:pPr>
    </w:p>
    <w:p w14:paraId="21C44692" w14:textId="77777777" w:rsidR="006A27A0" w:rsidRPr="005F46EE" w:rsidRDefault="006A27A0" w:rsidP="005F46EE">
      <w:pPr>
        <w:widowControl/>
        <w:snapToGrid w:val="0"/>
        <w:spacing w:line="360" w:lineRule="auto"/>
        <w:rPr>
          <w:rFonts w:ascii="Book Antiqua" w:hAnsi="Book Antiqua"/>
          <w:b/>
          <w:sz w:val="24"/>
        </w:rPr>
      </w:pPr>
    </w:p>
    <w:p w14:paraId="01D417CC" w14:textId="77777777" w:rsidR="006A27A0" w:rsidRPr="005F46EE" w:rsidRDefault="006A27A0" w:rsidP="005F46EE">
      <w:pPr>
        <w:widowControl/>
        <w:snapToGrid w:val="0"/>
        <w:spacing w:line="360" w:lineRule="auto"/>
        <w:rPr>
          <w:rFonts w:ascii="Book Antiqua" w:hAnsi="Book Antiqua"/>
          <w:b/>
          <w:sz w:val="24"/>
        </w:rPr>
      </w:pPr>
    </w:p>
    <w:p w14:paraId="40A1AEE6" w14:textId="199A4B5B" w:rsidR="005F46EE" w:rsidRDefault="005F46EE">
      <w:pPr>
        <w:widowControl/>
        <w:jc w:val="left"/>
        <w:rPr>
          <w:rFonts w:ascii="Book Antiqua" w:hAnsi="Book Antiqua"/>
          <w:b/>
          <w:sz w:val="24"/>
        </w:rPr>
      </w:pPr>
      <w:r>
        <w:rPr>
          <w:rFonts w:ascii="Book Antiqua" w:hAnsi="Book Antiqua"/>
          <w:b/>
          <w:sz w:val="24"/>
        </w:rPr>
        <w:br w:type="page"/>
      </w:r>
    </w:p>
    <w:p w14:paraId="4B7E1883" w14:textId="77777777" w:rsidR="004E3039" w:rsidRPr="005F46EE" w:rsidRDefault="004E3039" w:rsidP="005F46EE">
      <w:pPr>
        <w:widowControl/>
        <w:snapToGrid w:val="0"/>
        <w:spacing w:line="360" w:lineRule="auto"/>
        <w:rPr>
          <w:rFonts w:ascii="Book Antiqua" w:hAnsi="Book Antiqua" w:cs="宋体"/>
          <w:kern w:val="0"/>
          <w:sz w:val="24"/>
        </w:rPr>
      </w:pPr>
      <w:r w:rsidRPr="005F46EE">
        <w:rPr>
          <w:rFonts w:ascii="Book Antiqua" w:hAnsi="Book Antiqua"/>
          <w:b/>
          <w:sz w:val="24"/>
        </w:rPr>
        <w:t>Figure Legends</w:t>
      </w:r>
    </w:p>
    <w:p w14:paraId="3F7F372D" w14:textId="77777777" w:rsidR="00066A0A" w:rsidRPr="005F46EE" w:rsidRDefault="00541197" w:rsidP="005F46EE">
      <w:pPr>
        <w:widowControl/>
        <w:snapToGrid w:val="0"/>
        <w:spacing w:line="360" w:lineRule="auto"/>
        <w:rPr>
          <w:rFonts w:ascii="Book Antiqua" w:hAnsi="Book Antiqua"/>
          <w:b/>
          <w:color w:val="000000" w:themeColor="text1"/>
          <w:sz w:val="24"/>
        </w:rPr>
      </w:pPr>
      <w:r w:rsidRPr="005F46EE">
        <w:rPr>
          <w:rFonts w:ascii="Book Antiqua" w:hAnsi="Book Antiqua"/>
          <w:noProof/>
          <w:color w:val="000000" w:themeColor="text1"/>
          <w:sz w:val="24"/>
        </w:rPr>
        <w:drawing>
          <wp:inline distT="0" distB="0" distL="114300" distR="114300" wp14:anchorId="6DF620DF" wp14:editId="16580EBE">
            <wp:extent cx="4486855" cy="1844702"/>
            <wp:effectExtent l="0" t="0" r="9525" b="3175"/>
            <wp:docPr id="11" name="图片 11"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111"/>
                    <pic:cNvPicPr>
                      <a:picLocks noChangeAspect="1"/>
                    </pic:cNvPicPr>
                  </pic:nvPicPr>
                  <pic:blipFill>
                    <a:blip r:embed="rId9"/>
                    <a:stretch>
                      <a:fillRect/>
                    </a:stretch>
                  </pic:blipFill>
                  <pic:spPr>
                    <a:xfrm>
                      <a:off x="0" y="0"/>
                      <a:ext cx="4506309" cy="1852700"/>
                    </a:xfrm>
                    <a:prstGeom prst="rect">
                      <a:avLst/>
                    </a:prstGeom>
                  </pic:spPr>
                </pic:pic>
              </a:graphicData>
            </a:graphic>
          </wp:inline>
        </w:drawing>
      </w:r>
    </w:p>
    <w:p w14:paraId="0E748E2B" w14:textId="23E23BD6"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color w:val="000000" w:themeColor="text1"/>
          <w:sz w:val="24"/>
        </w:rPr>
        <w:t>Figure 1</w:t>
      </w:r>
      <w:r w:rsidRPr="005F46EE">
        <w:rPr>
          <w:rFonts w:ascii="Book Antiqua" w:hAnsi="Book Antiqua"/>
          <w:color w:val="000000" w:themeColor="text1"/>
          <w:sz w:val="24"/>
        </w:rPr>
        <w:t xml:space="preserve"> </w:t>
      </w:r>
      <w:r w:rsidR="002040DB" w:rsidRPr="005F46EE">
        <w:rPr>
          <w:rFonts w:ascii="Book Antiqua" w:hAnsi="Book Antiqua"/>
          <w:b/>
          <w:bCs/>
          <w:color w:val="000000" w:themeColor="text1"/>
          <w:sz w:val="24"/>
        </w:rPr>
        <w:t>Computed tomography</w:t>
      </w:r>
      <w:r w:rsidRPr="005F46EE">
        <w:rPr>
          <w:rFonts w:ascii="Book Antiqua" w:hAnsi="Book Antiqua"/>
          <w:b/>
          <w:bCs/>
          <w:color w:val="000000" w:themeColor="text1"/>
          <w:sz w:val="24"/>
        </w:rPr>
        <w:t xml:space="preserve"> examination. </w:t>
      </w:r>
      <w:r w:rsidRPr="005F46EE">
        <w:rPr>
          <w:rFonts w:ascii="Book Antiqua" w:hAnsi="Book Antiqua"/>
          <w:color w:val="000000" w:themeColor="text1"/>
          <w:sz w:val="24"/>
        </w:rPr>
        <w:t>A</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Parathyroid two-phase </w:t>
      </w:r>
      <w:r w:rsidR="002040DB" w:rsidRPr="005F46EE">
        <w:rPr>
          <w:rFonts w:ascii="Book Antiqua" w:hAnsi="Book Antiqua"/>
          <w:color w:val="000000" w:themeColor="text1"/>
          <w:sz w:val="24"/>
        </w:rPr>
        <w:t xml:space="preserve">computed tomography </w:t>
      </w:r>
      <w:r w:rsidRPr="005F46EE">
        <w:rPr>
          <w:rFonts w:ascii="Book Antiqua" w:hAnsi="Book Antiqua"/>
          <w:color w:val="000000" w:themeColor="text1"/>
          <w:sz w:val="24"/>
        </w:rPr>
        <w:t>revealed a strong signal in the upper part of the left lobes and posterior part of the right lobes of the thyroid</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B</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Pancreatic perfusion </w:t>
      </w:r>
      <w:r w:rsidR="00B72EA9" w:rsidRPr="005F46EE">
        <w:rPr>
          <w:rFonts w:ascii="Book Antiqua" w:hAnsi="Book Antiqua"/>
          <w:color w:val="000000" w:themeColor="text1"/>
          <w:sz w:val="24"/>
        </w:rPr>
        <w:t>computed tomography</w:t>
      </w:r>
      <w:r w:rsidRPr="005F46EE">
        <w:rPr>
          <w:rFonts w:ascii="Book Antiqua" w:hAnsi="Book Antiqua"/>
          <w:color w:val="000000" w:themeColor="text1"/>
          <w:sz w:val="24"/>
        </w:rPr>
        <w:t xml:space="preserve"> imaging revealed irregular soft tissue densities of the pancreas body, which were localized around the stomach wall.</w:t>
      </w:r>
    </w:p>
    <w:p w14:paraId="287ED2C7" w14:textId="77777777" w:rsidR="006510F2" w:rsidRPr="005F46EE" w:rsidRDefault="006510F2" w:rsidP="005F46EE">
      <w:pPr>
        <w:widowControl/>
        <w:snapToGrid w:val="0"/>
        <w:spacing w:line="360" w:lineRule="auto"/>
        <w:jc w:val="left"/>
        <w:rPr>
          <w:rFonts w:ascii="Book Antiqua" w:hAnsi="Book Antiqua"/>
          <w:b/>
          <w:color w:val="000000" w:themeColor="text1"/>
          <w:sz w:val="24"/>
        </w:rPr>
      </w:pPr>
      <w:r w:rsidRPr="005F46EE">
        <w:rPr>
          <w:rFonts w:ascii="Book Antiqua" w:hAnsi="Book Antiqua"/>
          <w:b/>
          <w:color w:val="000000" w:themeColor="text1"/>
          <w:sz w:val="24"/>
        </w:rPr>
        <w:br w:type="page"/>
      </w:r>
    </w:p>
    <w:p w14:paraId="2468D6E4"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noProof/>
          <w:color w:val="000000" w:themeColor="text1"/>
          <w:sz w:val="24"/>
        </w:rPr>
        <w:drawing>
          <wp:inline distT="0" distB="0" distL="114300" distR="114300" wp14:anchorId="4B3A3FA7" wp14:editId="14A8BF17">
            <wp:extent cx="5693712" cy="1637968"/>
            <wp:effectExtent l="0" t="0" r="2540"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5711085" cy="1642966"/>
                    </a:xfrm>
                    <a:prstGeom prst="rect">
                      <a:avLst/>
                    </a:prstGeom>
                    <a:noFill/>
                    <a:ln>
                      <a:noFill/>
                    </a:ln>
                  </pic:spPr>
                </pic:pic>
              </a:graphicData>
            </a:graphic>
          </wp:inline>
        </w:drawing>
      </w:r>
    </w:p>
    <w:p w14:paraId="65089DF3" w14:textId="3DEE8A10"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color w:val="000000" w:themeColor="text1"/>
          <w:sz w:val="24"/>
        </w:rPr>
        <w:t>Figure 2</w:t>
      </w:r>
      <w:r w:rsidRPr="005F46EE">
        <w:rPr>
          <w:rFonts w:ascii="Book Antiqua" w:hAnsi="Book Antiqua"/>
          <w:color w:val="000000" w:themeColor="text1"/>
          <w:sz w:val="24"/>
        </w:rPr>
        <w:t xml:space="preserve"> </w:t>
      </w:r>
      <w:r w:rsidR="002040DB" w:rsidRPr="005F46EE">
        <w:rPr>
          <w:rFonts w:ascii="Book Antiqua" w:hAnsi="Book Antiqua"/>
          <w:b/>
          <w:bCs/>
          <w:color w:val="000000" w:themeColor="text1"/>
          <w:sz w:val="24"/>
        </w:rPr>
        <w:t xml:space="preserve">Magnetic resonance imaging </w:t>
      </w:r>
      <w:r w:rsidRPr="005F46EE">
        <w:rPr>
          <w:rFonts w:ascii="Book Antiqua" w:hAnsi="Book Antiqua"/>
          <w:b/>
          <w:bCs/>
          <w:color w:val="000000" w:themeColor="text1"/>
          <w:sz w:val="24"/>
        </w:rPr>
        <w:t xml:space="preserve">examination. </w:t>
      </w:r>
      <w:r w:rsidRPr="005F46EE">
        <w:rPr>
          <w:rFonts w:ascii="Book Antiqua" w:hAnsi="Book Antiqua"/>
          <w:color w:val="000000" w:themeColor="text1"/>
          <w:sz w:val="24"/>
        </w:rPr>
        <w:t>A</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Liver and pancreas </w:t>
      </w:r>
      <w:r w:rsidR="002040DB" w:rsidRPr="005F46EE">
        <w:rPr>
          <w:rFonts w:ascii="Book Antiqua" w:hAnsi="Book Antiqua"/>
          <w:color w:val="000000" w:themeColor="text1"/>
          <w:sz w:val="24"/>
        </w:rPr>
        <w:t>magnetic resonance imaging (</w:t>
      </w:r>
      <w:r w:rsidRPr="005F46EE">
        <w:rPr>
          <w:rFonts w:ascii="Book Antiqua" w:hAnsi="Book Antiqua"/>
          <w:color w:val="000000" w:themeColor="text1"/>
          <w:sz w:val="24"/>
        </w:rPr>
        <w:t>MRI</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examination revealed multiple abnormal signals in the liver segment </w:t>
      </w:r>
      <w:r w:rsidR="002040DB" w:rsidRPr="005F46EE">
        <w:rPr>
          <w:rFonts w:ascii="Book Antiqua" w:hAnsi="Book Antiqua" w:cs="宋体"/>
          <w:color w:val="000000" w:themeColor="text1"/>
          <w:sz w:val="24"/>
        </w:rPr>
        <w:t>II</w:t>
      </w:r>
      <w:r w:rsidRPr="005F46EE">
        <w:rPr>
          <w:rFonts w:ascii="Book Antiqua" w:hAnsi="Book Antiqua"/>
          <w:color w:val="000000" w:themeColor="text1"/>
          <w:sz w:val="24"/>
        </w:rPr>
        <w:t xml:space="preserve">, segment </w:t>
      </w:r>
      <w:r w:rsidR="002040DB" w:rsidRPr="005F46EE">
        <w:rPr>
          <w:rFonts w:ascii="Book Antiqua" w:hAnsi="Book Antiqua" w:cs="宋体"/>
          <w:color w:val="000000" w:themeColor="text1"/>
          <w:sz w:val="24"/>
        </w:rPr>
        <w:t>VIII</w:t>
      </w:r>
      <w:r w:rsidR="006A27A0" w:rsidRPr="005F46EE">
        <w:rPr>
          <w:rFonts w:ascii="Book Antiqua" w:hAnsi="Book Antiqua" w:cs="宋体"/>
          <w:color w:val="000000" w:themeColor="text1"/>
          <w:sz w:val="24"/>
        </w:rPr>
        <w:t>,</w:t>
      </w:r>
      <w:r w:rsidRPr="005F46EE">
        <w:rPr>
          <w:rFonts w:ascii="Book Antiqua" w:hAnsi="Book Antiqua"/>
          <w:color w:val="000000" w:themeColor="text1"/>
          <w:sz w:val="24"/>
        </w:rPr>
        <w:t xml:space="preserve"> and the junction area of liver segment </w:t>
      </w:r>
      <w:r w:rsidR="002040DB" w:rsidRPr="005F46EE">
        <w:rPr>
          <w:rFonts w:ascii="Book Antiqua" w:hAnsi="Book Antiqua" w:cs="宋体"/>
          <w:color w:val="000000" w:themeColor="text1"/>
          <w:sz w:val="24"/>
        </w:rPr>
        <w:t>II</w:t>
      </w:r>
      <w:r w:rsidRPr="005F46EE">
        <w:rPr>
          <w:rFonts w:ascii="Book Antiqua" w:hAnsi="Book Antiqua"/>
          <w:color w:val="000000" w:themeColor="text1"/>
          <w:sz w:val="24"/>
        </w:rPr>
        <w:t xml:space="preserve"> and </w:t>
      </w:r>
      <w:r w:rsidR="002040DB" w:rsidRPr="005F46EE">
        <w:rPr>
          <w:rFonts w:ascii="Book Antiqua" w:hAnsi="Book Antiqua" w:cs="宋体"/>
          <w:color w:val="000000" w:themeColor="text1"/>
          <w:sz w:val="24"/>
        </w:rPr>
        <w:t>IV</w:t>
      </w:r>
      <w:r w:rsidRPr="005F46EE">
        <w:rPr>
          <w:rFonts w:ascii="Book Antiqua" w:hAnsi="Book Antiqua"/>
          <w:color w:val="000000" w:themeColor="text1"/>
          <w:sz w:val="24"/>
        </w:rPr>
        <w:t xml:space="preserve"> as well as occupied lesions in the tail of the pancreatic body</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B</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Enhanced MRI revealed occupied lesions in the body and tail of the pancreas</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C</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Enhanced MRI revealed that the liver segment IV was occupied, </w:t>
      </w:r>
      <w:r w:rsidR="006A27A0" w:rsidRPr="005F46EE">
        <w:rPr>
          <w:rFonts w:ascii="Book Antiqua" w:hAnsi="Book Antiqua"/>
          <w:color w:val="000000" w:themeColor="text1"/>
          <w:sz w:val="24"/>
        </w:rPr>
        <w:t xml:space="preserve">suggesting </w:t>
      </w:r>
      <w:r w:rsidRPr="005F46EE">
        <w:rPr>
          <w:rFonts w:ascii="Book Antiqua" w:hAnsi="Book Antiqua"/>
          <w:color w:val="000000" w:themeColor="text1"/>
          <w:sz w:val="24"/>
        </w:rPr>
        <w:t>the possibility of angiomyolipoma. There were also small cysts in segments II and VIII of the liver and occupied lesions in the tail of the pancreatic body.</w:t>
      </w:r>
    </w:p>
    <w:p w14:paraId="16A06B2A" w14:textId="77777777" w:rsidR="002040DB" w:rsidRPr="005F46EE" w:rsidRDefault="002040DB" w:rsidP="005F46EE">
      <w:pPr>
        <w:widowControl/>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br w:type="page"/>
      </w:r>
    </w:p>
    <w:p w14:paraId="233BF5B6"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noProof/>
          <w:color w:val="000000" w:themeColor="text1"/>
          <w:sz w:val="24"/>
        </w:rPr>
        <w:drawing>
          <wp:inline distT="0" distB="0" distL="0" distR="0" wp14:anchorId="28B78B88" wp14:editId="2470A066">
            <wp:extent cx="5671634" cy="4190337"/>
            <wp:effectExtent l="0" t="0" r="5715" b="1270"/>
            <wp:docPr id="3" name="图片 3" descr="E:\共享\下载\supplementary.fig\Figure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共享\下载\supplementary.fig\Figures\Fig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82197" cy="4198141"/>
                    </a:xfrm>
                    <a:prstGeom prst="rect">
                      <a:avLst/>
                    </a:prstGeom>
                    <a:noFill/>
                    <a:ln>
                      <a:noFill/>
                    </a:ln>
                  </pic:spPr>
                </pic:pic>
              </a:graphicData>
            </a:graphic>
          </wp:inline>
        </w:drawing>
      </w:r>
    </w:p>
    <w:p w14:paraId="4E4E1D9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color w:val="000000" w:themeColor="text1"/>
          <w:sz w:val="24"/>
        </w:rPr>
        <w:t>Figure 3</w:t>
      </w:r>
      <w:r w:rsidRPr="005F46EE">
        <w:rPr>
          <w:rFonts w:ascii="Book Antiqua" w:hAnsi="Book Antiqua"/>
          <w:color w:val="000000" w:themeColor="text1"/>
          <w:sz w:val="24"/>
        </w:rPr>
        <w:t xml:space="preserve"> </w:t>
      </w:r>
      <w:r w:rsidR="0040007F" w:rsidRPr="005F46EE">
        <w:rPr>
          <w:rFonts w:ascii="Book Antiqua" w:hAnsi="Book Antiqua"/>
          <w:b/>
          <w:bCs/>
          <w:color w:val="000000" w:themeColor="text1"/>
          <w:sz w:val="24"/>
        </w:rPr>
        <w:t>Positron emission tomography</w:t>
      </w:r>
      <w:r w:rsidRPr="005F46EE">
        <w:rPr>
          <w:rFonts w:ascii="Book Antiqua" w:hAnsi="Book Antiqua"/>
          <w:b/>
          <w:bCs/>
          <w:color w:val="000000" w:themeColor="text1"/>
          <w:sz w:val="24"/>
        </w:rPr>
        <w:t>/</w:t>
      </w:r>
      <w:r w:rsidR="002040DB" w:rsidRPr="005F46EE">
        <w:rPr>
          <w:rFonts w:ascii="Book Antiqua" w:hAnsi="Book Antiqua"/>
          <w:b/>
          <w:bCs/>
          <w:color w:val="000000" w:themeColor="text1"/>
          <w:sz w:val="24"/>
        </w:rPr>
        <w:t xml:space="preserve">computed tomography </w:t>
      </w:r>
      <w:r w:rsidRPr="005F46EE">
        <w:rPr>
          <w:rFonts w:ascii="Book Antiqua" w:hAnsi="Book Antiqua"/>
          <w:b/>
          <w:bCs/>
          <w:color w:val="000000" w:themeColor="text1"/>
          <w:sz w:val="24"/>
        </w:rPr>
        <w:t xml:space="preserve">examination. </w:t>
      </w:r>
      <w:r w:rsidR="002040DB" w:rsidRPr="005F46EE">
        <w:rPr>
          <w:rFonts w:ascii="Book Antiqua" w:hAnsi="Book Antiqua"/>
          <w:color w:val="000000" w:themeColor="text1"/>
          <w:sz w:val="24"/>
        </w:rPr>
        <w:t xml:space="preserve">A, B, D and E: </w:t>
      </w:r>
      <w:r w:rsidRPr="005F46EE">
        <w:rPr>
          <w:rFonts w:ascii="Book Antiqua" w:hAnsi="Book Antiqua"/>
          <w:color w:val="000000" w:themeColor="text1"/>
          <w:sz w:val="24"/>
        </w:rPr>
        <w:t>Hypermetabolic lesions in the lungs (A), intrahepatic segment IV (B), and the body (D) and tail (E) of the pancreas</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C</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No metabolic round nodules in the anterior pancreas</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F</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Diffusely increased metabolism in the stomach wall.</w:t>
      </w:r>
    </w:p>
    <w:p w14:paraId="25D1CE7F" w14:textId="77777777" w:rsidR="002040DB" w:rsidRPr="005F46EE" w:rsidRDefault="002040DB" w:rsidP="005F46EE">
      <w:pPr>
        <w:widowControl/>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br w:type="page"/>
      </w:r>
    </w:p>
    <w:p w14:paraId="7CEBB127"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noProof/>
          <w:color w:val="000000" w:themeColor="text1"/>
          <w:sz w:val="24"/>
        </w:rPr>
        <w:drawing>
          <wp:inline distT="0" distB="0" distL="114300" distR="114300" wp14:anchorId="0FC6212E" wp14:editId="3EF3970F">
            <wp:extent cx="5681973" cy="4142630"/>
            <wp:effectExtent l="0" t="0" r="0" b="0"/>
            <wp:docPr id="12" name="图片 12" descr="Figure 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4_1"/>
                    <pic:cNvPicPr>
                      <a:picLocks noChangeAspect="1"/>
                    </pic:cNvPicPr>
                  </pic:nvPicPr>
                  <pic:blipFill>
                    <a:blip r:embed="rId12"/>
                    <a:stretch>
                      <a:fillRect/>
                    </a:stretch>
                  </pic:blipFill>
                  <pic:spPr>
                    <a:xfrm>
                      <a:off x="0" y="0"/>
                      <a:ext cx="5701479" cy="4156852"/>
                    </a:xfrm>
                    <a:prstGeom prst="rect">
                      <a:avLst/>
                    </a:prstGeom>
                  </pic:spPr>
                </pic:pic>
              </a:graphicData>
            </a:graphic>
          </wp:inline>
        </w:drawing>
      </w:r>
    </w:p>
    <w:p w14:paraId="78F82F42" w14:textId="20C61788"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color w:val="000000" w:themeColor="text1"/>
          <w:sz w:val="24"/>
        </w:rPr>
        <w:t>Figure 4</w:t>
      </w:r>
      <w:r w:rsidRPr="005F46EE">
        <w:rPr>
          <w:rFonts w:ascii="Book Antiqua" w:hAnsi="Book Antiqua"/>
          <w:color w:val="000000" w:themeColor="text1"/>
          <w:sz w:val="24"/>
        </w:rPr>
        <w:t xml:space="preserve"> </w:t>
      </w:r>
      <w:r w:rsidRPr="005F46EE">
        <w:rPr>
          <w:rFonts w:ascii="Book Antiqua" w:hAnsi="Book Antiqua"/>
          <w:b/>
          <w:bCs/>
          <w:color w:val="000000" w:themeColor="text1"/>
          <w:sz w:val="24"/>
        </w:rPr>
        <w:t>Pathological examination.</w:t>
      </w:r>
      <w:r w:rsidRPr="005F46EE">
        <w:rPr>
          <w:rFonts w:ascii="Book Antiqua" w:hAnsi="Book Antiqua"/>
          <w:color w:val="000000" w:themeColor="text1"/>
          <w:sz w:val="24"/>
        </w:rPr>
        <w:t xml:space="preserve"> </w:t>
      </w:r>
      <w:proofErr w:type="gramStart"/>
      <w:r w:rsidR="006A27A0" w:rsidRPr="005F46EE">
        <w:rPr>
          <w:rFonts w:ascii="Book Antiqua" w:hAnsi="Book Antiqua"/>
          <w:color w:val="000000" w:themeColor="text1"/>
          <w:sz w:val="24"/>
        </w:rPr>
        <w:t>Hematoxylin &amp; eo</w:t>
      </w:r>
      <w:r w:rsidR="006000FE" w:rsidRPr="005F46EE">
        <w:rPr>
          <w:rFonts w:ascii="Book Antiqua" w:hAnsi="Book Antiqua"/>
          <w:color w:val="000000" w:themeColor="text1"/>
          <w:sz w:val="24"/>
        </w:rPr>
        <w:t>s</w:t>
      </w:r>
      <w:r w:rsidR="006A27A0" w:rsidRPr="005F46EE">
        <w:rPr>
          <w:rFonts w:ascii="Book Antiqua" w:hAnsi="Book Antiqua"/>
          <w:color w:val="000000" w:themeColor="text1"/>
          <w:sz w:val="24"/>
        </w:rPr>
        <w:t>in</w:t>
      </w:r>
      <w:r w:rsidRPr="005F46EE">
        <w:rPr>
          <w:rFonts w:ascii="Book Antiqua" w:hAnsi="Book Antiqua"/>
          <w:color w:val="000000" w:themeColor="text1"/>
          <w:sz w:val="24"/>
        </w:rPr>
        <w:t xml:space="preserve"> staining showed (magnification, 40 ×;</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100 ×) multiple nodules next to the pancreatic tumor, in the pancreatic tissue around the pancreatic body, and next to the pancreatic tail.</w:t>
      </w:r>
      <w:proofErr w:type="gramEnd"/>
      <w:r w:rsidRPr="005F46EE">
        <w:rPr>
          <w:rFonts w:ascii="Book Antiqua" w:hAnsi="Book Antiqua"/>
          <w:color w:val="000000" w:themeColor="text1"/>
          <w:sz w:val="24"/>
        </w:rPr>
        <w:t xml:space="preserve"> Immunohistochemistry showed (magnification, 40 ×;</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xml:space="preserve">100 ×) </w:t>
      </w:r>
      <w:proofErr w:type="spellStart"/>
      <w:r w:rsidRPr="005F46EE">
        <w:rPr>
          <w:rFonts w:ascii="Book Antiqua" w:hAnsi="Book Antiqua"/>
          <w:color w:val="000000" w:themeColor="text1"/>
          <w:sz w:val="24"/>
        </w:rPr>
        <w:t>CKpan</w:t>
      </w:r>
      <w:proofErr w:type="spellEnd"/>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xml:space="preserve">(+), </w:t>
      </w:r>
      <w:proofErr w:type="spellStart"/>
      <w:r w:rsidRPr="005F46EE">
        <w:rPr>
          <w:rFonts w:ascii="Book Antiqua" w:hAnsi="Book Antiqua"/>
          <w:color w:val="000000" w:themeColor="text1"/>
          <w:sz w:val="24"/>
        </w:rPr>
        <w:t>synaptophysin</w:t>
      </w:r>
      <w:proofErr w:type="spellEnd"/>
      <w:r w:rsidRPr="005F46EE">
        <w:rPr>
          <w:rFonts w:ascii="Book Antiqua" w:hAnsi="Book Antiqua"/>
          <w:color w:val="000000" w:themeColor="text1"/>
          <w:sz w:val="24"/>
        </w:rPr>
        <w:t xml:space="preserve"> (+), </w:t>
      </w:r>
      <w:r w:rsidR="006A27A0" w:rsidRPr="005F46EE">
        <w:rPr>
          <w:rFonts w:ascii="Book Antiqua" w:hAnsi="Book Antiqua"/>
          <w:color w:val="000000" w:themeColor="text1"/>
          <w:sz w:val="24"/>
        </w:rPr>
        <w:t>c</w:t>
      </w:r>
      <w:r w:rsidRPr="005F46EE">
        <w:rPr>
          <w:rFonts w:ascii="Book Antiqua" w:hAnsi="Book Antiqua"/>
          <w:color w:val="000000" w:themeColor="text1"/>
          <w:sz w:val="24"/>
        </w:rPr>
        <w:t>hromogranin A (+), partial CD56</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p53</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partial PGP9.5</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partial SSTR2</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CD10</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partial vimentin (+) in pancreas tissues, and CKpan</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Syn</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CgA</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partial CD56</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p53</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and PGP9.5</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in liver tissues. Bar,</w:t>
      </w:r>
      <w:bookmarkStart w:id="20" w:name="OLE_LINK4"/>
      <w:r w:rsidRPr="005F46EE">
        <w:rPr>
          <w:rFonts w:ascii="Book Antiqua" w:hAnsi="Book Antiqua"/>
          <w:color w:val="000000" w:themeColor="text1"/>
          <w:sz w:val="24"/>
        </w:rPr>
        <w:t xml:space="preserve"> </w:t>
      </w:r>
      <w:bookmarkEnd w:id="20"/>
      <w:r w:rsidRPr="005F46EE">
        <w:rPr>
          <w:rFonts w:ascii="Book Antiqua" w:hAnsi="Book Antiqua"/>
          <w:color w:val="000000" w:themeColor="text1"/>
          <w:sz w:val="24"/>
        </w:rPr>
        <w:t>100 μm.</w:t>
      </w:r>
      <w:r w:rsidR="002040DB" w:rsidRPr="005F46EE">
        <w:rPr>
          <w:rFonts w:ascii="Book Antiqua" w:hAnsi="Book Antiqua"/>
          <w:color w:val="000000" w:themeColor="text1"/>
          <w:sz w:val="24"/>
        </w:rPr>
        <w:t xml:space="preserve"> Syn: Synaptophysin; CgA: Chromogranin A.</w:t>
      </w:r>
    </w:p>
    <w:p w14:paraId="6439EE30" w14:textId="77777777" w:rsidR="00066A0A" w:rsidRPr="005F46EE" w:rsidRDefault="00541197" w:rsidP="005F46EE">
      <w:pPr>
        <w:widowControl/>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br w:type="page"/>
      </w:r>
    </w:p>
    <w:p w14:paraId="1D7380FB"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color w:val="000000" w:themeColor="text1"/>
          <w:sz w:val="24"/>
        </w:rPr>
        <w:t xml:space="preserve">Table 1 Laboratory examination findings from the patient with </w:t>
      </w:r>
      <w:r w:rsidR="006F2EC6" w:rsidRPr="005F46EE">
        <w:rPr>
          <w:rFonts w:ascii="Book Antiqua" w:hAnsi="Book Antiqua"/>
          <w:b/>
          <w:bCs/>
          <w:color w:val="000000" w:themeColor="text1"/>
          <w:sz w:val="24"/>
        </w:rPr>
        <w:t xml:space="preserve">multiple endocrine neoplasia type 1 </w:t>
      </w:r>
      <w:r w:rsidRPr="005F46EE">
        <w:rPr>
          <w:rFonts w:ascii="Book Antiqua" w:hAnsi="Book Antiqua"/>
          <w:b/>
          <w:color w:val="000000" w:themeColor="text1"/>
          <w:sz w:val="24"/>
        </w:rPr>
        <w:t>before and after treatment</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453"/>
        <w:gridCol w:w="1607"/>
        <w:gridCol w:w="1760"/>
        <w:gridCol w:w="1406"/>
      </w:tblGrid>
      <w:tr w:rsidR="00066A0A" w:rsidRPr="005F46EE" w14:paraId="3A00A7D7" w14:textId="77777777" w:rsidTr="002040DB">
        <w:tc>
          <w:tcPr>
            <w:tcW w:w="1800" w:type="dxa"/>
            <w:tcBorders>
              <w:top w:val="single" w:sz="4" w:space="0" w:color="auto"/>
              <w:bottom w:val="single" w:sz="4" w:space="0" w:color="auto"/>
            </w:tcBorders>
          </w:tcPr>
          <w:p w14:paraId="7327D2FB"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t>Items</w:t>
            </w:r>
          </w:p>
        </w:tc>
        <w:tc>
          <w:tcPr>
            <w:tcW w:w="2453" w:type="dxa"/>
            <w:tcBorders>
              <w:top w:val="single" w:sz="4" w:space="0" w:color="auto"/>
              <w:bottom w:val="single" w:sz="4" w:space="0" w:color="auto"/>
            </w:tcBorders>
          </w:tcPr>
          <w:p w14:paraId="59D5D10E"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t>Factors</w:t>
            </w:r>
          </w:p>
        </w:tc>
        <w:tc>
          <w:tcPr>
            <w:tcW w:w="1607" w:type="dxa"/>
            <w:tcBorders>
              <w:top w:val="single" w:sz="4" w:space="0" w:color="auto"/>
              <w:bottom w:val="single" w:sz="4" w:space="0" w:color="auto"/>
            </w:tcBorders>
          </w:tcPr>
          <w:p w14:paraId="7AC1F93F"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t>Values at admission</w:t>
            </w:r>
          </w:p>
        </w:tc>
        <w:tc>
          <w:tcPr>
            <w:tcW w:w="1760" w:type="dxa"/>
            <w:tcBorders>
              <w:top w:val="single" w:sz="4" w:space="0" w:color="auto"/>
              <w:bottom w:val="single" w:sz="4" w:space="0" w:color="auto"/>
            </w:tcBorders>
          </w:tcPr>
          <w:p w14:paraId="7E83ED0E"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t xml:space="preserve">Postoperative </w:t>
            </w:r>
            <w:r w:rsidR="002040DB" w:rsidRPr="005F46EE">
              <w:rPr>
                <w:rFonts w:ascii="Book Antiqua" w:hAnsi="Book Antiqua"/>
                <w:b/>
                <w:color w:val="000000" w:themeColor="text1"/>
                <w:sz w:val="24"/>
              </w:rPr>
              <w:t>values</w:t>
            </w:r>
          </w:p>
        </w:tc>
        <w:tc>
          <w:tcPr>
            <w:tcW w:w="1406" w:type="dxa"/>
            <w:tcBorders>
              <w:top w:val="single" w:sz="4" w:space="0" w:color="auto"/>
              <w:bottom w:val="single" w:sz="4" w:space="0" w:color="auto"/>
            </w:tcBorders>
          </w:tcPr>
          <w:p w14:paraId="262A2600"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t>Reference range</w:t>
            </w:r>
          </w:p>
        </w:tc>
      </w:tr>
      <w:tr w:rsidR="00066A0A" w:rsidRPr="005F46EE" w14:paraId="64F51C3D" w14:textId="77777777" w:rsidTr="002040DB">
        <w:tc>
          <w:tcPr>
            <w:tcW w:w="1800" w:type="dxa"/>
            <w:vMerge w:val="restart"/>
            <w:tcBorders>
              <w:top w:val="single" w:sz="4" w:space="0" w:color="auto"/>
            </w:tcBorders>
          </w:tcPr>
          <w:p w14:paraId="4633B4C7"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Thyroid function</w:t>
            </w:r>
          </w:p>
        </w:tc>
        <w:tc>
          <w:tcPr>
            <w:tcW w:w="2453" w:type="dxa"/>
            <w:tcBorders>
              <w:top w:val="single" w:sz="4" w:space="0" w:color="auto"/>
            </w:tcBorders>
          </w:tcPr>
          <w:p w14:paraId="48AB0FAF"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Parathyroid hormone</w:t>
            </w:r>
          </w:p>
        </w:tc>
        <w:tc>
          <w:tcPr>
            <w:tcW w:w="1607" w:type="dxa"/>
            <w:tcBorders>
              <w:top w:val="single" w:sz="4" w:space="0" w:color="auto"/>
            </w:tcBorders>
          </w:tcPr>
          <w:p w14:paraId="65857ACC" w14:textId="77777777" w:rsidR="00066A0A" w:rsidRPr="005F46EE" w:rsidRDefault="00541197" w:rsidP="005F46EE">
            <w:pPr>
              <w:snapToGrid w:val="0"/>
              <w:spacing w:line="360" w:lineRule="auto"/>
              <w:rPr>
                <w:rFonts w:ascii="Book Antiqua" w:hAnsi="Book Antiqua"/>
                <w:color w:val="000000" w:themeColor="text1"/>
                <w:sz w:val="24"/>
              </w:rPr>
            </w:pPr>
            <w:bookmarkStart w:id="21" w:name="OLE_LINK14"/>
            <w:r w:rsidRPr="005F46EE">
              <w:rPr>
                <w:rFonts w:ascii="Book Antiqua" w:hAnsi="Book Antiqua"/>
                <w:color w:val="000000" w:themeColor="text1"/>
                <w:sz w:val="24"/>
              </w:rPr>
              <w:t>7.96 pmol/L</w:t>
            </w:r>
            <w:bookmarkEnd w:id="21"/>
          </w:p>
        </w:tc>
        <w:tc>
          <w:tcPr>
            <w:tcW w:w="1760" w:type="dxa"/>
            <w:tcBorders>
              <w:top w:val="single" w:sz="4" w:space="0" w:color="auto"/>
            </w:tcBorders>
          </w:tcPr>
          <w:p w14:paraId="4CC4D63A"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7.11 pmol/L</w:t>
            </w:r>
          </w:p>
        </w:tc>
        <w:tc>
          <w:tcPr>
            <w:tcW w:w="1406" w:type="dxa"/>
            <w:tcBorders>
              <w:top w:val="single" w:sz="4" w:space="0" w:color="auto"/>
            </w:tcBorders>
          </w:tcPr>
          <w:p w14:paraId="365B3B0C"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1.6-6.9</w:t>
            </w:r>
          </w:p>
        </w:tc>
      </w:tr>
      <w:tr w:rsidR="00066A0A" w:rsidRPr="005F46EE" w14:paraId="021918C0" w14:textId="77777777" w:rsidTr="002040DB">
        <w:tc>
          <w:tcPr>
            <w:tcW w:w="1800" w:type="dxa"/>
            <w:vMerge/>
          </w:tcPr>
          <w:p w14:paraId="2A494B0B"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58D0BAA3"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Thyroid-stimulating hormone</w:t>
            </w:r>
          </w:p>
        </w:tc>
        <w:tc>
          <w:tcPr>
            <w:tcW w:w="1607" w:type="dxa"/>
          </w:tcPr>
          <w:p w14:paraId="5A94F0A8"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7.36 μIU/L</w:t>
            </w:r>
          </w:p>
        </w:tc>
        <w:tc>
          <w:tcPr>
            <w:tcW w:w="1760" w:type="dxa"/>
          </w:tcPr>
          <w:p w14:paraId="1EE13706"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2.24 μIU/L</w:t>
            </w:r>
          </w:p>
        </w:tc>
        <w:tc>
          <w:tcPr>
            <w:tcW w:w="1406" w:type="dxa"/>
          </w:tcPr>
          <w:p w14:paraId="41089A6D"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0.27-4.2</w:t>
            </w:r>
          </w:p>
        </w:tc>
      </w:tr>
      <w:tr w:rsidR="00066A0A" w:rsidRPr="005F46EE" w14:paraId="19BF6885" w14:textId="77777777" w:rsidTr="002040DB">
        <w:trPr>
          <w:trHeight w:val="336"/>
        </w:trPr>
        <w:tc>
          <w:tcPr>
            <w:tcW w:w="1800" w:type="dxa"/>
            <w:vMerge/>
          </w:tcPr>
          <w:p w14:paraId="17D7265D"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33E7827F"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Total T4</w:t>
            </w:r>
          </w:p>
        </w:tc>
        <w:tc>
          <w:tcPr>
            <w:tcW w:w="1607" w:type="dxa"/>
          </w:tcPr>
          <w:p w14:paraId="53862245" w14:textId="77777777" w:rsidR="00066A0A" w:rsidRPr="005F46EE" w:rsidRDefault="00541197" w:rsidP="005F46EE">
            <w:pPr>
              <w:snapToGrid w:val="0"/>
              <w:spacing w:line="360" w:lineRule="auto"/>
              <w:rPr>
                <w:rFonts w:ascii="Book Antiqua" w:hAnsi="Book Antiqua"/>
                <w:color w:val="000000" w:themeColor="text1"/>
                <w:sz w:val="24"/>
              </w:rPr>
            </w:pPr>
            <w:bookmarkStart w:id="22" w:name="OLE_LINK15"/>
            <w:r w:rsidRPr="005F46EE">
              <w:rPr>
                <w:rFonts w:ascii="Book Antiqua" w:hAnsi="Book Antiqua"/>
                <w:color w:val="000000" w:themeColor="text1"/>
                <w:sz w:val="24"/>
              </w:rPr>
              <w:t>64.68 nmol/L</w:t>
            </w:r>
            <w:bookmarkEnd w:id="22"/>
          </w:p>
        </w:tc>
        <w:tc>
          <w:tcPr>
            <w:tcW w:w="1760" w:type="dxa"/>
          </w:tcPr>
          <w:p w14:paraId="5BDD8CA1"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79.12 nmol/L</w:t>
            </w:r>
          </w:p>
        </w:tc>
        <w:tc>
          <w:tcPr>
            <w:tcW w:w="1406" w:type="dxa"/>
          </w:tcPr>
          <w:p w14:paraId="5D68D4FA"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78.38-157.4</w:t>
            </w:r>
          </w:p>
        </w:tc>
      </w:tr>
      <w:tr w:rsidR="00066A0A" w:rsidRPr="005F46EE" w14:paraId="22DCCF72" w14:textId="77777777" w:rsidTr="002040DB">
        <w:tc>
          <w:tcPr>
            <w:tcW w:w="1800" w:type="dxa"/>
          </w:tcPr>
          <w:p w14:paraId="5F1966CB"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Pituitary hormone</w:t>
            </w:r>
          </w:p>
        </w:tc>
        <w:tc>
          <w:tcPr>
            <w:tcW w:w="2453" w:type="dxa"/>
          </w:tcPr>
          <w:p w14:paraId="6C896797"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Prolactin</w:t>
            </w:r>
          </w:p>
        </w:tc>
        <w:tc>
          <w:tcPr>
            <w:tcW w:w="1607" w:type="dxa"/>
          </w:tcPr>
          <w:p w14:paraId="6E57F0A2"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17.13 ng/mL</w:t>
            </w:r>
          </w:p>
        </w:tc>
        <w:tc>
          <w:tcPr>
            <w:tcW w:w="1760" w:type="dxa"/>
          </w:tcPr>
          <w:p w14:paraId="3EB75C88"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25.67 ng/mL</w:t>
            </w:r>
          </w:p>
        </w:tc>
        <w:tc>
          <w:tcPr>
            <w:tcW w:w="1406" w:type="dxa"/>
          </w:tcPr>
          <w:p w14:paraId="1B65939E"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1.61-18.77</w:t>
            </w:r>
          </w:p>
        </w:tc>
      </w:tr>
      <w:tr w:rsidR="00066A0A" w:rsidRPr="005F46EE" w14:paraId="5C585CCB" w14:textId="77777777" w:rsidTr="002040DB">
        <w:tc>
          <w:tcPr>
            <w:tcW w:w="1800" w:type="dxa"/>
            <w:vMerge w:val="restart"/>
          </w:tcPr>
          <w:p w14:paraId="0C0F00FD"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Tumor biomarkers</w:t>
            </w:r>
          </w:p>
        </w:tc>
        <w:tc>
          <w:tcPr>
            <w:tcW w:w="2453" w:type="dxa"/>
          </w:tcPr>
          <w:p w14:paraId="36A5A2B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Alpha-fetoprotein</w:t>
            </w:r>
          </w:p>
        </w:tc>
        <w:tc>
          <w:tcPr>
            <w:tcW w:w="1607" w:type="dxa"/>
          </w:tcPr>
          <w:p w14:paraId="0B5FC77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3.83 </w:t>
            </w:r>
            <w:bookmarkStart w:id="23" w:name="OLE_LINK16"/>
            <w:r w:rsidRPr="005F46EE">
              <w:rPr>
                <w:rFonts w:ascii="Book Antiqua" w:hAnsi="Book Antiqua"/>
                <w:color w:val="000000" w:themeColor="text1"/>
                <w:sz w:val="24"/>
              </w:rPr>
              <w:t>ng/mL</w:t>
            </w:r>
            <w:bookmarkEnd w:id="23"/>
          </w:p>
        </w:tc>
        <w:tc>
          <w:tcPr>
            <w:tcW w:w="1760" w:type="dxa"/>
          </w:tcPr>
          <w:p w14:paraId="747394D7"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w:t>
            </w:r>
          </w:p>
        </w:tc>
        <w:tc>
          <w:tcPr>
            <w:tcW w:w="1406" w:type="dxa"/>
          </w:tcPr>
          <w:p w14:paraId="1121E4EF"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0-25</w:t>
            </w:r>
          </w:p>
        </w:tc>
      </w:tr>
      <w:tr w:rsidR="00066A0A" w:rsidRPr="005F46EE" w14:paraId="0D104109" w14:textId="77777777" w:rsidTr="002040DB">
        <w:tc>
          <w:tcPr>
            <w:tcW w:w="1800" w:type="dxa"/>
            <w:vMerge/>
          </w:tcPr>
          <w:p w14:paraId="44ECCBE3"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4B568BC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Carbohydrate antigen 19-9</w:t>
            </w:r>
          </w:p>
        </w:tc>
        <w:tc>
          <w:tcPr>
            <w:tcW w:w="1607" w:type="dxa"/>
          </w:tcPr>
          <w:p w14:paraId="523CE94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15.17</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U/mL</w:t>
            </w:r>
          </w:p>
        </w:tc>
        <w:tc>
          <w:tcPr>
            <w:tcW w:w="1760" w:type="dxa"/>
          </w:tcPr>
          <w:p w14:paraId="05CDDAB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w:t>
            </w:r>
          </w:p>
        </w:tc>
        <w:tc>
          <w:tcPr>
            <w:tcW w:w="1406" w:type="dxa"/>
          </w:tcPr>
          <w:p w14:paraId="454BEEAD" w14:textId="77777777" w:rsidR="00066A0A" w:rsidRPr="005F46EE" w:rsidRDefault="00541197" w:rsidP="005F46EE">
            <w:pPr>
              <w:snapToGrid w:val="0"/>
              <w:spacing w:line="360" w:lineRule="auto"/>
              <w:rPr>
                <w:rFonts w:ascii="Book Antiqua" w:hAnsi="Book Antiqua"/>
                <w:color w:val="000000" w:themeColor="text1"/>
                <w:sz w:val="24"/>
              </w:rPr>
            </w:pPr>
            <w:bookmarkStart w:id="24" w:name="OLE_LINK17"/>
            <w:r w:rsidRPr="005F46EE">
              <w:rPr>
                <w:rFonts w:ascii="Book Antiqua" w:hAnsi="Book Antiqua"/>
                <w:color w:val="000000" w:themeColor="text1"/>
                <w:sz w:val="24"/>
              </w:rPr>
              <w:t>&lt;</w:t>
            </w:r>
            <w:bookmarkEnd w:id="24"/>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xml:space="preserve">37 </w:t>
            </w:r>
          </w:p>
        </w:tc>
      </w:tr>
      <w:tr w:rsidR="00066A0A" w:rsidRPr="005F46EE" w14:paraId="4DDB7E64" w14:textId="77777777" w:rsidTr="002040DB">
        <w:tc>
          <w:tcPr>
            <w:tcW w:w="1800" w:type="dxa"/>
            <w:vMerge/>
          </w:tcPr>
          <w:p w14:paraId="439BB61C"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47A620B8"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Carcinoembryonic antigen</w:t>
            </w:r>
          </w:p>
        </w:tc>
        <w:tc>
          <w:tcPr>
            <w:tcW w:w="1607" w:type="dxa"/>
          </w:tcPr>
          <w:p w14:paraId="4B4216CC"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3.51 ng/mL</w:t>
            </w:r>
          </w:p>
        </w:tc>
        <w:tc>
          <w:tcPr>
            <w:tcW w:w="1760" w:type="dxa"/>
          </w:tcPr>
          <w:p w14:paraId="417175CA"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w:t>
            </w:r>
          </w:p>
        </w:tc>
        <w:tc>
          <w:tcPr>
            <w:tcW w:w="1406" w:type="dxa"/>
          </w:tcPr>
          <w:p w14:paraId="38C08C8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&lt;</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5</w:t>
            </w:r>
          </w:p>
        </w:tc>
      </w:tr>
      <w:tr w:rsidR="00066A0A" w:rsidRPr="005F46EE" w14:paraId="16E09283" w14:textId="77777777" w:rsidTr="002040DB">
        <w:tc>
          <w:tcPr>
            <w:tcW w:w="1800" w:type="dxa"/>
            <w:vMerge w:val="restart"/>
          </w:tcPr>
          <w:p w14:paraId="788CA561"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Bone metabolism</w:t>
            </w:r>
          </w:p>
        </w:tc>
        <w:tc>
          <w:tcPr>
            <w:tcW w:w="2453" w:type="dxa"/>
          </w:tcPr>
          <w:p w14:paraId="46B17F63"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Β-collagen-specific sequence</w:t>
            </w:r>
          </w:p>
        </w:tc>
        <w:tc>
          <w:tcPr>
            <w:tcW w:w="1607" w:type="dxa"/>
          </w:tcPr>
          <w:p w14:paraId="2270CA4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1.21 ng/mL</w:t>
            </w:r>
          </w:p>
        </w:tc>
        <w:tc>
          <w:tcPr>
            <w:tcW w:w="1760" w:type="dxa"/>
          </w:tcPr>
          <w:p w14:paraId="5C0C494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w:t>
            </w:r>
          </w:p>
        </w:tc>
        <w:tc>
          <w:tcPr>
            <w:tcW w:w="1406" w:type="dxa"/>
          </w:tcPr>
          <w:p w14:paraId="5E62FF1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0.3-0.6</w:t>
            </w:r>
          </w:p>
        </w:tc>
      </w:tr>
      <w:tr w:rsidR="00066A0A" w:rsidRPr="005F46EE" w14:paraId="0FC7B893" w14:textId="77777777" w:rsidTr="002040DB">
        <w:tc>
          <w:tcPr>
            <w:tcW w:w="1800" w:type="dxa"/>
            <w:vMerge/>
          </w:tcPr>
          <w:p w14:paraId="406162D0"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73189A61"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Total type I collagen amino-terminal extension peptide</w:t>
            </w:r>
          </w:p>
        </w:tc>
        <w:tc>
          <w:tcPr>
            <w:tcW w:w="1607" w:type="dxa"/>
          </w:tcPr>
          <w:p w14:paraId="11E76CC2"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204.4 ng/mL</w:t>
            </w:r>
          </w:p>
        </w:tc>
        <w:tc>
          <w:tcPr>
            <w:tcW w:w="1760" w:type="dxa"/>
          </w:tcPr>
          <w:p w14:paraId="7644092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w:t>
            </w:r>
          </w:p>
        </w:tc>
        <w:tc>
          <w:tcPr>
            <w:tcW w:w="1406" w:type="dxa"/>
          </w:tcPr>
          <w:p w14:paraId="2B1FB2E6" w14:textId="77777777" w:rsidR="00066A0A" w:rsidRPr="005F46EE" w:rsidRDefault="00541197" w:rsidP="005F46EE">
            <w:pPr>
              <w:widowControl/>
              <w:snapToGrid w:val="0"/>
              <w:spacing w:line="360" w:lineRule="auto"/>
              <w:rPr>
                <w:rFonts w:ascii="Book Antiqua" w:hAnsi="Book Antiqua"/>
                <w:color w:val="000000" w:themeColor="text1"/>
                <w:sz w:val="24"/>
              </w:rPr>
            </w:pPr>
            <w:r w:rsidRPr="005F46EE">
              <w:rPr>
                <w:rFonts w:ascii="Book Antiqua" w:hAnsi="Book Antiqua"/>
                <w:color w:val="000000" w:themeColor="text1"/>
                <w:sz w:val="24"/>
                <w:lang w:bidi="ar"/>
              </w:rPr>
              <w:t>20.25-76.31</w:t>
            </w:r>
          </w:p>
          <w:p w14:paraId="7A1EEF1A" w14:textId="77777777" w:rsidR="00066A0A" w:rsidRPr="005F46EE" w:rsidRDefault="00066A0A" w:rsidP="005F46EE">
            <w:pPr>
              <w:snapToGrid w:val="0"/>
              <w:spacing w:line="360" w:lineRule="auto"/>
              <w:rPr>
                <w:rFonts w:ascii="Book Antiqua" w:hAnsi="Book Antiqua"/>
                <w:color w:val="000000" w:themeColor="text1"/>
                <w:sz w:val="24"/>
              </w:rPr>
            </w:pPr>
          </w:p>
        </w:tc>
      </w:tr>
      <w:tr w:rsidR="00066A0A" w:rsidRPr="005F46EE" w14:paraId="4EEF1643" w14:textId="77777777" w:rsidTr="002040DB">
        <w:tc>
          <w:tcPr>
            <w:tcW w:w="1800" w:type="dxa"/>
            <w:vMerge w:val="restart"/>
          </w:tcPr>
          <w:p w14:paraId="7C00AA41"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Diabetes</w:t>
            </w:r>
          </w:p>
        </w:tc>
        <w:tc>
          <w:tcPr>
            <w:tcW w:w="2453" w:type="dxa"/>
          </w:tcPr>
          <w:p w14:paraId="40906B1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Fasting insulin</w:t>
            </w:r>
          </w:p>
        </w:tc>
        <w:tc>
          <w:tcPr>
            <w:tcW w:w="1607" w:type="dxa"/>
          </w:tcPr>
          <w:p w14:paraId="7F680A91"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55.29 μU/mL</w:t>
            </w:r>
          </w:p>
        </w:tc>
        <w:tc>
          <w:tcPr>
            <w:tcW w:w="1760" w:type="dxa"/>
          </w:tcPr>
          <w:p w14:paraId="556A610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9.95 μU/mL</w:t>
            </w:r>
          </w:p>
        </w:tc>
        <w:tc>
          <w:tcPr>
            <w:tcW w:w="1406" w:type="dxa"/>
          </w:tcPr>
          <w:p w14:paraId="6D180E72"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2.6-24.9</w:t>
            </w:r>
          </w:p>
        </w:tc>
      </w:tr>
      <w:tr w:rsidR="00066A0A" w:rsidRPr="005F46EE" w14:paraId="50674478" w14:textId="77777777" w:rsidTr="002040DB">
        <w:tc>
          <w:tcPr>
            <w:tcW w:w="1800" w:type="dxa"/>
            <w:vMerge/>
          </w:tcPr>
          <w:p w14:paraId="4535E314"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3F554ED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Fasting blood glucose</w:t>
            </w:r>
          </w:p>
        </w:tc>
        <w:tc>
          <w:tcPr>
            <w:tcW w:w="1607" w:type="dxa"/>
          </w:tcPr>
          <w:p w14:paraId="46BE0FAE"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1.79 mmol/L</w:t>
            </w:r>
          </w:p>
        </w:tc>
        <w:tc>
          <w:tcPr>
            <w:tcW w:w="1760" w:type="dxa"/>
          </w:tcPr>
          <w:p w14:paraId="046C58F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3.98 mmol/L</w:t>
            </w:r>
          </w:p>
        </w:tc>
        <w:tc>
          <w:tcPr>
            <w:tcW w:w="1406" w:type="dxa"/>
          </w:tcPr>
          <w:p w14:paraId="4B9C90AE"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3.9-6.1</w:t>
            </w:r>
          </w:p>
        </w:tc>
      </w:tr>
      <w:tr w:rsidR="00066A0A" w:rsidRPr="005F46EE" w14:paraId="1449DDCF" w14:textId="77777777" w:rsidTr="002040DB">
        <w:tc>
          <w:tcPr>
            <w:tcW w:w="1800" w:type="dxa"/>
            <w:vMerge/>
          </w:tcPr>
          <w:p w14:paraId="24BA8098"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21E40842"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Fasting C-peptide</w:t>
            </w:r>
          </w:p>
        </w:tc>
        <w:tc>
          <w:tcPr>
            <w:tcW w:w="1607" w:type="dxa"/>
          </w:tcPr>
          <w:p w14:paraId="441D98EE"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5.06 ng/mL</w:t>
            </w:r>
          </w:p>
        </w:tc>
        <w:tc>
          <w:tcPr>
            <w:tcW w:w="1760" w:type="dxa"/>
          </w:tcPr>
          <w:p w14:paraId="3E80AAD8"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1.81 ng/mL</w:t>
            </w:r>
          </w:p>
        </w:tc>
        <w:tc>
          <w:tcPr>
            <w:tcW w:w="1406" w:type="dxa"/>
          </w:tcPr>
          <w:p w14:paraId="6926E5C6"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1.6-6.9</w:t>
            </w:r>
          </w:p>
        </w:tc>
      </w:tr>
      <w:tr w:rsidR="00066A0A" w:rsidRPr="005F46EE" w14:paraId="7FB2A25C" w14:textId="77777777" w:rsidTr="002040DB">
        <w:tc>
          <w:tcPr>
            <w:tcW w:w="1800" w:type="dxa"/>
            <w:vMerge/>
          </w:tcPr>
          <w:p w14:paraId="70CF11DB"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52ECFF96"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Insulin release index</w:t>
            </w:r>
          </w:p>
        </w:tc>
        <w:tc>
          <w:tcPr>
            <w:tcW w:w="1607" w:type="dxa"/>
          </w:tcPr>
          <w:p w14:paraId="6915EF3D"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1.31</w:t>
            </w:r>
          </w:p>
        </w:tc>
        <w:tc>
          <w:tcPr>
            <w:tcW w:w="1760" w:type="dxa"/>
          </w:tcPr>
          <w:p w14:paraId="0987D786"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0.2</w:t>
            </w:r>
          </w:p>
        </w:tc>
        <w:tc>
          <w:tcPr>
            <w:tcW w:w="1406" w:type="dxa"/>
          </w:tcPr>
          <w:p w14:paraId="3B63D36C" w14:textId="2F7CD08D"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&lt;</w:t>
            </w:r>
            <w:r w:rsidR="006000FE" w:rsidRPr="005F46EE">
              <w:rPr>
                <w:rFonts w:ascii="Book Antiqua" w:hAnsi="Book Antiqua"/>
                <w:color w:val="000000" w:themeColor="text1"/>
                <w:sz w:val="24"/>
              </w:rPr>
              <w:t xml:space="preserve"> </w:t>
            </w:r>
            <w:r w:rsidRPr="005F46EE">
              <w:rPr>
                <w:rFonts w:ascii="Book Antiqua" w:hAnsi="Book Antiqua"/>
                <w:color w:val="000000" w:themeColor="text1"/>
                <w:sz w:val="24"/>
              </w:rPr>
              <w:t>0.3</w:t>
            </w:r>
          </w:p>
        </w:tc>
      </w:tr>
    </w:tbl>
    <w:p w14:paraId="030B923F" w14:textId="77777777" w:rsidR="00066A0A" w:rsidRPr="005F46EE" w:rsidRDefault="00066A0A" w:rsidP="005F46EE">
      <w:pPr>
        <w:tabs>
          <w:tab w:val="left" w:pos="2700"/>
        </w:tabs>
        <w:snapToGrid w:val="0"/>
        <w:spacing w:line="360" w:lineRule="auto"/>
        <w:rPr>
          <w:rFonts w:ascii="Book Antiqua" w:hAnsi="Book Antiqua"/>
          <w:color w:val="000000" w:themeColor="text1"/>
          <w:sz w:val="24"/>
        </w:rPr>
      </w:pPr>
    </w:p>
    <w:sectPr w:rsidR="00066A0A" w:rsidRPr="005F46EE">
      <w:headerReference w:type="default" r:id="rId13"/>
      <w:footerReference w:type="default" r:id="rId14"/>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26BD8" w14:textId="77777777" w:rsidR="004E2CF8" w:rsidRDefault="004E2CF8">
      <w:r>
        <w:separator/>
      </w:r>
    </w:p>
  </w:endnote>
  <w:endnote w:type="continuationSeparator" w:id="0">
    <w:p w14:paraId="398242A7" w14:textId="77777777" w:rsidR="004E2CF8" w:rsidRDefault="004E2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ouvenir Lt BT">
    <w:altName w:val="Georgia"/>
    <w:charset w:val="00"/>
    <w:family w:val="roman"/>
    <w:pitch w:val="variable"/>
    <w:sig w:usb0="00000001" w:usb1="00000000" w:usb2="00000000" w:usb3="00000000" w:csb0="0000001B" w:csb1="00000000"/>
  </w:font>
  <w:font w:name="等线">
    <w:altName w:val="DengXian"/>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1748C" w14:textId="1382E08B" w:rsidR="00B837AA" w:rsidRPr="00FF40DD" w:rsidRDefault="00B837AA">
    <w:pPr>
      <w:pStyle w:val="a5"/>
      <w:jc w:val="center"/>
      <w:rPr>
        <w:rFonts w:ascii="Book Antiqua" w:hAnsi="Book Antiqua"/>
        <w:sz w:val="24"/>
        <w:szCs w:val="24"/>
      </w:rPr>
    </w:pPr>
  </w:p>
  <w:p w14:paraId="0A688B9A" w14:textId="77777777" w:rsidR="00066A0A" w:rsidRDefault="00066A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026F4" w14:textId="77777777" w:rsidR="004E2CF8" w:rsidRDefault="004E2CF8">
      <w:r>
        <w:separator/>
      </w:r>
    </w:p>
  </w:footnote>
  <w:footnote w:type="continuationSeparator" w:id="0">
    <w:p w14:paraId="162CB9A3" w14:textId="77777777" w:rsidR="004E2CF8" w:rsidRDefault="004E2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9BC01" w14:textId="77777777" w:rsidR="00066A0A" w:rsidRDefault="00066A0A">
    <w:pPr>
      <w:pStyle w:val="a6"/>
      <w:pBdr>
        <w:bottom w:val="none" w:sz="0" w:space="0"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bordersDoNotSurroundHeader/>
  <w:bordersDoNotSurroundFooter/>
  <w:proofState w:spelling="clean" w:grammar="clean"/>
  <w:defaultTabStop w:val="420"/>
  <w:drawingGridHorizontalSpacing w:val="105"/>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ournal of Clinical Cases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00560D"/>
    <w:rsid w:val="00000052"/>
    <w:rsid w:val="00001111"/>
    <w:rsid w:val="0000560D"/>
    <w:rsid w:val="00011335"/>
    <w:rsid w:val="00013072"/>
    <w:rsid w:val="00016703"/>
    <w:rsid w:val="0002067D"/>
    <w:rsid w:val="000308A1"/>
    <w:rsid w:val="00031CA3"/>
    <w:rsid w:val="00034F37"/>
    <w:rsid w:val="000438B5"/>
    <w:rsid w:val="000502D1"/>
    <w:rsid w:val="00051DD4"/>
    <w:rsid w:val="00056C9D"/>
    <w:rsid w:val="000617F3"/>
    <w:rsid w:val="00066A0A"/>
    <w:rsid w:val="0006754E"/>
    <w:rsid w:val="000766D9"/>
    <w:rsid w:val="00081C51"/>
    <w:rsid w:val="0009176A"/>
    <w:rsid w:val="00092EEA"/>
    <w:rsid w:val="00093FA1"/>
    <w:rsid w:val="00094196"/>
    <w:rsid w:val="0009420A"/>
    <w:rsid w:val="000954B1"/>
    <w:rsid w:val="000B0974"/>
    <w:rsid w:val="000B155C"/>
    <w:rsid w:val="000B6EA0"/>
    <w:rsid w:val="000C31B7"/>
    <w:rsid w:val="000D156A"/>
    <w:rsid w:val="000D30FE"/>
    <w:rsid w:val="000D4F5E"/>
    <w:rsid w:val="000E0386"/>
    <w:rsid w:val="000E230C"/>
    <w:rsid w:val="00100FA4"/>
    <w:rsid w:val="00104042"/>
    <w:rsid w:val="00104290"/>
    <w:rsid w:val="00107563"/>
    <w:rsid w:val="00111AFA"/>
    <w:rsid w:val="00113B7E"/>
    <w:rsid w:val="00115A8A"/>
    <w:rsid w:val="00120DF1"/>
    <w:rsid w:val="0012599E"/>
    <w:rsid w:val="00131115"/>
    <w:rsid w:val="00131D20"/>
    <w:rsid w:val="00135BAD"/>
    <w:rsid w:val="00142342"/>
    <w:rsid w:val="00143CA9"/>
    <w:rsid w:val="00145DF9"/>
    <w:rsid w:val="001527FD"/>
    <w:rsid w:val="00152C9E"/>
    <w:rsid w:val="001604AF"/>
    <w:rsid w:val="0017162A"/>
    <w:rsid w:val="00172234"/>
    <w:rsid w:val="00173C5A"/>
    <w:rsid w:val="0017481B"/>
    <w:rsid w:val="00180ABD"/>
    <w:rsid w:val="001827AB"/>
    <w:rsid w:val="00182DF4"/>
    <w:rsid w:val="0019194F"/>
    <w:rsid w:val="001926C9"/>
    <w:rsid w:val="00193A3D"/>
    <w:rsid w:val="00196DBA"/>
    <w:rsid w:val="001A1B3F"/>
    <w:rsid w:val="001A24D6"/>
    <w:rsid w:val="001A5AFD"/>
    <w:rsid w:val="001B5DC4"/>
    <w:rsid w:val="001D3417"/>
    <w:rsid w:val="001E671B"/>
    <w:rsid w:val="001F5370"/>
    <w:rsid w:val="001F554E"/>
    <w:rsid w:val="001F6082"/>
    <w:rsid w:val="00203B12"/>
    <w:rsid w:val="002040DB"/>
    <w:rsid w:val="00227DCF"/>
    <w:rsid w:val="002312E2"/>
    <w:rsid w:val="00234F3E"/>
    <w:rsid w:val="00237793"/>
    <w:rsid w:val="00242187"/>
    <w:rsid w:val="002442EE"/>
    <w:rsid w:val="00245604"/>
    <w:rsid w:val="0025239F"/>
    <w:rsid w:val="002618BE"/>
    <w:rsid w:val="00263717"/>
    <w:rsid w:val="002642CE"/>
    <w:rsid w:val="00266332"/>
    <w:rsid w:val="002773E3"/>
    <w:rsid w:val="002814D9"/>
    <w:rsid w:val="00282BFA"/>
    <w:rsid w:val="002831EF"/>
    <w:rsid w:val="00296F43"/>
    <w:rsid w:val="0029700A"/>
    <w:rsid w:val="002A5218"/>
    <w:rsid w:val="002B531C"/>
    <w:rsid w:val="002C43B2"/>
    <w:rsid w:val="002C5A79"/>
    <w:rsid w:val="002D1411"/>
    <w:rsid w:val="002D3FC0"/>
    <w:rsid w:val="002D482C"/>
    <w:rsid w:val="002E4399"/>
    <w:rsid w:val="002E4CBB"/>
    <w:rsid w:val="002F1A7C"/>
    <w:rsid w:val="002F2707"/>
    <w:rsid w:val="002F7F48"/>
    <w:rsid w:val="00301667"/>
    <w:rsid w:val="00306DA9"/>
    <w:rsid w:val="003107F3"/>
    <w:rsid w:val="0031323B"/>
    <w:rsid w:val="00323775"/>
    <w:rsid w:val="00334234"/>
    <w:rsid w:val="0034180B"/>
    <w:rsid w:val="00346B03"/>
    <w:rsid w:val="00355A62"/>
    <w:rsid w:val="00360E64"/>
    <w:rsid w:val="00363FA0"/>
    <w:rsid w:val="00370460"/>
    <w:rsid w:val="003771BF"/>
    <w:rsid w:val="003856A1"/>
    <w:rsid w:val="0039347B"/>
    <w:rsid w:val="00394104"/>
    <w:rsid w:val="00396608"/>
    <w:rsid w:val="003A2F3A"/>
    <w:rsid w:val="003B0716"/>
    <w:rsid w:val="003C286F"/>
    <w:rsid w:val="003C2C9F"/>
    <w:rsid w:val="003C40AB"/>
    <w:rsid w:val="003C731B"/>
    <w:rsid w:val="003D135D"/>
    <w:rsid w:val="003D1706"/>
    <w:rsid w:val="003F1CD3"/>
    <w:rsid w:val="003F51E8"/>
    <w:rsid w:val="0040007F"/>
    <w:rsid w:val="00402C6F"/>
    <w:rsid w:val="0041254C"/>
    <w:rsid w:val="00413495"/>
    <w:rsid w:val="004137D7"/>
    <w:rsid w:val="004157B4"/>
    <w:rsid w:val="004160A2"/>
    <w:rsid w:val="00422D5D"/>
    <w:rsid w:val="004261CF"/>
    <w:rsid w:val="004301DA"/>
    <w:rsid w:val="00431768"/>
    <w:rsid w:val="004438E3"/>
    <w:rsid w:val="00450D14"/>
    <w:rsid w:val="0045653E"/>
    <w:rsid w:val="0046223F"/>
    <w:rsid w:val="00482384"/>
    <w:rsid w:val="004847C6"/>
    <w:rsid w:val="00486B8A"/>
    <w:rsid w:val="00492008"/>
    <w:rsid w:val="004A2810"/>
    <w:rsid w:val="004A33C3"/>
    <w:rsid w:val="004A6756"/>
    <w:rsid w:val="004D195C"/>
    <w:rsid w:val="004D2C8F"/>
    <w:rsid w:val="004E2CF8"/>
    <w:rsid w:val="004E3039"/>
    <w:rsid w:val="004F2103"/>
    <w:rsid w:val="004F3224"/>
    <w:rsid w:val="004F4E23"/>
    <w:rsid w:val="004F687A"/>
    <w:rsid w:val="00500678"/>
    <w:rsid w:val="0050611C"/>
    <w:rsid w:val="00506E68"/>
    <w:rsid w:val="005074F8"/>
    <w:rsid w:val="005141A5"/>
    <w:rsid w:val="005225E4"/>
    <w:rsid w:val="00523A25"/>
    <w:rsid w:val="0053047D"/>
    <w:rsid w:val="00530E90"/>
    <w:rsid w:val="00530FEC"/>
    <w:rsid w:val="0053118C"/>
    <w:rsid w:val="00534CEE"/>
    <w:rsid w:val="005352B2"/>
    <w:rsid w:val="005374C8"/>
    <w:rsid w:val="00541197"/>
    <w:rsid w:val="00542378"/>
    <w:rsid w:val="00542D39"/>
    <w:rsid w:val="00543C0E"/>
    <w:rsid w:val="00543C66"/>
    <w:rsid w:val="00563DF7"/>
    <w:rsid w:val="00564836"/>
    <w:rsid w:val="00571C48"/>
    <w:rsid w:val="00574F24"/>
    <w:rsid w:val="00576D6F"/>
    <w:rsid w:val="005845B8"/>
    <w:rsid w:val="00587AB7"/>
    <w:rsid w:val="005A2D51"/>
    <w:rsid w:val="005A4CE1"/>
    <w:rsid w:val="005A4E7A"/>
    <w:rsid w:val="005A5E0F"/>
    <w:rsid w:val="005A7559"/>
    <w:rsid w:val="005D0A78"/>
    <w:rsid w:val="005D21A6"/>
    <w:rsid w:val="005D6EC0"/>
    <w:rsid w:val="005E3BB2"/>
    <w:rsid w:val="005E79FE"/>
    <w:rsid w:val="005E7E58"/>
    <w:rsid w:val="005E7FBE"/>
    <w:rsid w:val="005F2B12"/>
    <w:rsid w:val="005F46EE"/>
    <w:rsid w:val="005F504B"/>
    <w:rsid w:val="005F710E"/>
    <w:rsid w:val="006000FE"/>
    <w:rsid w:val="006068B7"/>
    <w:rsid w:val="00612B87"/>
    <w:rsid w:val="00615E06"/>
    <w:rsid w:val="00617F3C"/>
    <w:rsid w:val="0062012D"/>
    <w:rsid w:val="00623CE0"/>
    <w:rsid w:val="00623CFC"/>
    <w:rsid w:val="00623E1B"/>
    <w:rsid w:val="00631D0A"/>
    <w:rsid w:val="00642622"/>
    <w:rsid w:val="00644A14"/>
    <w:rsid w:val="00645577"/>
    <w:rsid w:val="006510F2"/>
    <w:rsid w:val="006527AD"/>
    <w:rsid w:val="00657367"/>
    <w:rsid w:val="006611B8"/>
    <w:rsid w:val="00665456"/>
    <w:rsid w:val="00666A24"/>
    <w:rsid w:val="006673A7"/>
    <w:rsid w:val="006722DC"/>
    <w:rsid w:val="0067442B"/>
    <w:rsid w:val="00694D29"/>
    <w:rsid w:val="00696090"/>
    <w:rsid w:val="006A1266"/>
    <w:rsid w:val="006A27A0"/>
    <w:rsid w:val="006A28FD"/>
    <w:rsid w:val="006A48BA"/>
    <w:rsid w:val="006A4F07"/>
    <w:rsid w:val="006A599A"/>
    <w:rsid w:val="006B42E1"/>
    <w:rsid w:val="006B6F66"/>
    <w:rsid w:val="006C012B"/>
    <w:rsid w:val="006C173F"/>
    <w:rsid w:val="006C6A76"/>
    <w:rsid w:val="006D4622"/>
    <w:rsid w:val="006E3F8C"/>
    <w:rsid w:val="006F2EC6"/>
    <w:rsid w:val="006F5CB3"/>
    <w:rsid w:val="007002ED"/>
    <w:rsid w:val="00704692"/>
    <w:rsid w:val="00706FFD"/>
    <w:rsid w:val="00711C54"/>
    <w:rsid w:val="00712549"/>
    <w:rsid w:val="00713677"/>
    <w:rsid w:val="00715452"/>
    <w:rsid w:val="00720BC8"/>
    <w:rsid w:val="007273E6"/>
    <w:rsid w:val="007372C3"/>
    <w:rsid w:val="00741C04"/>
    <w:rsid w:val="007425E1"/>
    <w:rsid w:val="00747517"/>
    <w:rsid w:val="00751A8C"/>
    <w:rsid w:val="007545C6"/>
    <w:rsid w:val="00755A91"/>
    <w:rsid w:val="00757DB1"/>
    <w:rsid w:val="00762535"/>
    <w:rsid w:val="00763B76"/>
    <w:rsid w:val="007663A8"/>
    <w:rsid w:val="00771429"/>
    <w:rsid w:val="00775904"/>
    <w:rsid w:val="00787A99"/>
    <w:rsid w:val="0079299E"/>
    <w:rsid w:val="007978FD"/>
    <w:rsid w:val="007979F1"/>
    <w:rsid w:val="00797A4B"/>
    <w:rsid w:val="007A1043"/>
    <w:rsid w:val="007A5D4F"/>
    <w:rsid w:val="007B118E"/>
    <w:rsid w:val="007C63A4"/>
    <w:rsid w:val="007D68AA"/>
    <w:rsid w:val="007D6E43"/>
    <w:rsid w:val="007E25CE"/>
    <w:rsid w:val="007E2C2B"/>
    <w:rsid w:val="007E3BA8"/>
    <w:rsid w:val="007E7F4B"/>
    <w:rsid w:val="00802750"/>
    <w:rsid w:val="00803334"/>
    <w:rsid w:val="00814A02"/>
    <w:rsid w:val="0082710C"/>
    <w:rsid w:val="00832B3A"/>
    <w:rsid w:val="00834384"/>
    <w:rsid w:val="00845CFA"/>
    <w:rsid w:val="008463E5"/>
    <w:rsid w:val="00854D7D"/>
    <w:rsid w:val="008606CB"/>
    <w:rsid w:val="0086232E"/>
    <w:rsid w:val="00863CD8"/>
    <w:rsid w:val="00867E06"/>
    <w:rsid w:val="00867EB4"/>
    <w:rsid w:val="008700E7"/>
    <w:rsid w:val="00877350"/>
    <w:rsid w:val="008818E2"/>
    <w:rsid w:val="00885F96"/>
    <w:rsid w:val="008866F6"/>
    <w:rsid w:val="00891C1D"/>
    <w:rsid w:val="0089376F"/>
    <w:rsid w:val="008938C1"/>
    <w:rsid w:val="008968CB"/>
    <w:rsid w:val="008A219B"/>
    <w:rsid w:val="008A255A"/>
    <w:rsid w:val="008B5C18"/>
    <w:rsid w:val="008C0A7C"/>
    <w:rsid w:val="008C14E3"/>
    <w:rsid w:val="008C2B32"/>
    <w:rsid w:val="008C31B9"/>
    <w:rsid w:val="008C3F17"/>
    <w:rsid w:val="008C440F"/>
    <w:rsid w:val="008D59E9"/>
    <w:rsid w:val="008D5F76"/>
    <w:rsid w:val="008D6FE9"/>
    <w:rsid w:val="008E5A00"/>
    <w:rsid w:val="008F33EE"/>
    <w:rsid w:val="00900850"/>
    <w:rsid w:val="00906DD3"/>
    <w:rsid w:val="00911E60"/>
    <w:rsid w:val="0092580A"/>
    <w:rsid w:val="00933599"/>
    <w:rsid w:val="00940E75"/>
    <w:rsid w:val="009418B9"/>
    <w:rsid w:val="00944FCA"/>
    <w:rsid w:val="009453EB"/>
    <w:rsid w:val="0095391F"/>
    <w:rsid w:val="00953ED0"/>
    <w:rsid w:val="00961FBC"/>
    <w:rsid w:val="00963339"/>
    <w:rsid w:val="00964BB0"/>
    <w:rsid w:val="009723E3"/>
    <w:rsid w:val="00976D67"/>
    <w:rsid w:val="00980566"/>
    <w:rsid w:val="00986131"/>
    <w:rsid w:val="009911FB"/>
    <w:rsid w:val="00993927"/>
    <w:rsid w:val="00997DBE"/>
    <w:rsid w:val="009A2449"/>
    <w:rsid w:val="009A5EDB"/>
    <w:rsid w:val="009B39E2"/>
    <w:rsid w:val="009E3B9A"/>
    <w:rsid w:val="009F4EDD"/>
    <w:rsid w:val="009F7637"/>
    <w:rsid w:val="00A022EA"/>
    <w:rsid w:val="00A03464"/>
    <w:rsid w:val="00A06755"/>
    <w:rsid w:val="00A15AC9"/>
    <w:rsid w:val="00A202C4"/>
    <w:rsid w:val="00A2491F"/>
    <w:rsid w:val="00A320F9"/>
    <w:rsid w:val="00A3254C"/>
    <w:rsid w:val="00A32FA9"/>
    <w:rsid w:val="00A363AC"/>
    <w:rsid w:val="00A43F14"/>
    <w:rsid w:val="00A47EA1"/>
    <w:rsid w:val="00A54B0D"/>
    <w:rsid w:val="00A61A4E"/>
    <w:rsid w:val="00A63C8D"/>
    <w:rsid w:val="00A70379"/>
    <w:rsid w:val="00A82AB1"/>
    <w:rsid w:val="00A91001"/>
    <w:rsid w:val="00A96694"/>
    <w:rsid w:val="00AB06A2"/>
    <w:rsid w:val="00AB07D9"/>
    <w:rsid w:val="00AB1DF6"/>
    <w:rsid w:val="00AC11C0"/>
    <w:rsid w:val="00AC173D"/>
    <w:rsid w:val="00AC3D97"/>
    <w:rsid w:val="00AC796E"/>
    <w:rsid w:val="00AD3F33"/>
    <w:rsid w:val="00AD5967"/>
    <w:rsid w:val="00AD5CBB"/>
    <w:rsid w:val="00AD67B3"/>
    <w:rsid w:val="00AE0CCB"/>
    <w:rsid w:val="00AF6FE6"/>
    <w:rsid w:val="00AF7D5C"/>
    <w:rsid w:val="00B0213D"/>
    <w:rsid w:val="00B04791"/>
    <w:rsid w:val="00B15A80"/>
    <w:rsid w:val="00B227A3"/>
    <w:rsid w:val="00B24256"/>
    <w:rsid w:val="00B24357"/>
    <w:rsid w:val="00B309A3"/>
    <w:rsid w:val="00B33711"/>
    <w:rsid w:val="00B40405"/>
    <w:rsid w:val="00B45C50"/>
    <w:rsid w:val="00B541B8"/>
    <w:rsid w:val="00B569B9"/>
    <w:rsid w:val="00B6465A"/>
    <w:rsid w:val="00B6493A"/>
    <w:rsid w:val="00B705EF"/>
    <w:rsid w:val="00B72EA9"/>
    <w:rsid w:val="00B75EB5"/>
    <w:rsid w:val="00B837AA"/>
    <w:rsid w:val="00B84204"/>
    <w:rsid w:val="00B90766"/>
    <w:rsid w:val="00B91B71"/>
    <w:rsid w:val="00B932A7"/>
    <w:rsid w:val="00BA13EB"/>
    <w:rsid w:val="00BA585C"/>
    <w:rsid w:val="00BA58CC"/>
    <w:rsid w:val="00BA5917"/>
    <w:rsid w:val="00BB21D0"/>
    <w:rsid w:val="00BB4D59"/>
    <w:rsid w:val="00BE4E47"/>
    <w:rsid w:val="00BE6DFE"/>
    <w:rsid w:val="00BF6BD9"/>
    <w:rsid w:val="00C015BE"/>
    <w:rsid w:val="00C02395"/>
    <w:rsid w:val="00C02FB2"/>
    <w:rsid w:val="00C03C88"/>
    <w:rsid w:val="00C06E90"/>
    <w:rsid w:val="00C174E5"/>
    <w:rsid w:val="00C23E43"/>
    <w:rsid w:val="00C32BC2"/>
    <w:rsid w:val="00C349EF"/>
    <w:rsid w:val="00C3521D"/>
    <w:rsid w:val="00C35861"/>
    <w:rsid w:val="00C35BFC"/>
    <w:rsid w:val="00C37A7B"/>
    <w:rsid w:val="00C40B31"/>
    <w:rsid w:val="00C43F2A"/>
    <w:rsid w:val="00C449DE"/>
    <w:rsid w:val="00C46FEB"/>
    <w:rsid w:val="00C505DD"/>
    <w:rsid w:val="00C519C0"/>
    <w:rsid w:val="00C55DB2"/>
    <w:rsid w:val="00C65514"/>
    <w:rsid w:val="00C7161D"/>
    <w:rsid w:val="00C73949"/>
    <w:rsid w:val="00C74E3A"/>
    <w:rsid w:val="00C75D72"/>
    <w:rsid w:val="00C802E3"/>
    <w:rsid w:val="00C808DC"/>
    <w:rsid w:val="00C832DF"/>
    <w:rsid w:val="00C904D8"/>
    <w:rsid w:val="00C906D2"/>
    <w:rsid w:val="00C97BBE"/>
    <w:rsid w:val="00CA07A4"/>
    <w:rsid w:val="00CA1D30"/>
    <w:rsid w:val="00CB09B0"/>
    <w:rsid w:val="00CC0DB3"/>
    <w:rsid w:val="00CC6F50"/>
    <w:rsid w:val="00CD071A"/>
    <w:rsid w:val="00CE6453"/>
    <w:rsid w:val="00CE7628"/>
    <w:rsid w:val="00CF0797"/>
    <w:rsid w:val="00CF1A19"/>
    <w:rsid w:val="00CF4ACC"/>
    <w:rsid w:val="00CF5709"/>
    <w:rsid w:val="00D01218"/>
    <w:rsid w:val="00D0123F"/>
    <w:rsid w:val="00D0152B"/>
    <w:rsid w:val="00D0189F"/>
    <w:rsid w:val="00D032CF"/>
    <w:rsid w:val="00D077F8"/>
    <w:rsid w:val="00D130FC"/>
    <w:rsid w:val="00D17EDD"/>
    <w:rsid w:val="00D26AA5"/>
    <w:rsid w:val="00D320E3"/>
    <w:rsid w:val="00D368BD"/>
    <w:rsid w:val="00D36D9D"/>
    <w:rsid w:val="00D37EFE"/>
    <w:rsid w:val="00D4324F"/>
    <w:rsid w:val="00D44373"/>
    <w:rsid w:val="00D4463B"/>
    <w:rsid w:val="00D51DE0"/>
    <w:rsid w:val="00D56033"/>
    <w:rsid w:val="00D74E98"/>
    <w:rsid w:val="00D74F4A"/>
    <w:rsid w:val="00D77D42"/>
    <w:rsid w:val="00D82A74"/>
    <w:rsid w:val="00D85ADA"/>
    <w:rsid w:val="00D941BE"/>
    <w:rsid w:val="00D9501B"/>
    <w:rsid w:val="00DA3F09"/>
    <w:rsid w:val="00DA4D92"/>
    <w:rsid w:val="00DB3659"/>
    <w:rsid w:val="00DB3C6D"/>
    <w:rsid w:val="00DB706D"/>
    <w:rsid w:val="00DC0603"/>
    <w:rsid w:val="00DC5911"/>
    <w:rsid w:val="00DC666D"/>
    <w:rsid w:val="00DC718E"/>
    <w:rsid w:val="00DD1979"/>
    <w:rsid w:val="00DF0956"/>
    <w:rsid w:val="00DF0B8E"/>
    <w:rsid w:val="00DF111A"/>
    <w:rsid w:val="00DF3501"/>
    <w:rsid w:val="00DF5AB6"/>
    <w:rsid w:val="00DF6D5C"/>
    <w:rsid w:val="00DF7040"/>
    <w:rsid w:val="00E11D4A"/>
    <w:rsid w:val="00E13215"/>
    <w:rsid w:val="00E148B5"/>
    <w:rsid w:val="00E25B73"/>
    <w:rsid w:val="00E2737A"/>
    <w:rsid w:val="00E3302D"/>
    <w:rsid w:val="00E41856"/>
    <w:rsid w:val="00E464ED"/>
    <w:rsid w:val="00E55610"/>
    <w:rsid w:val="00E558DD"/>
    <w:rsid w:val="00E63BBF"/>
    <w:rsid w:val="00E66978"/>
    <w:rsid w:val="00E66C56"/>
    <w:rsid w:val="00E70ECC"/>
    <w:rsid w:val="00E75EFB"/>
    <w:rsid w:val="00E7698D"/>
    <w:rsid w:val="00E7783B"/>
    <w:rsid w:val="00E864A4"/>
    <w:rsid w:val="00EA28B0"/>
    <w:rsid w:val="00EB03D5"/>
    <w:rsid w:val="00EB2CA7"/>
    <w:rsid w:val="00EB691F"/>
    <w:rsid w:val="00EC323A"/>
    <w:rsid w:val="00EC4A94"/>
    <w:rsid w:val="00EC7212"/>
    <w:rsid w:val="00EE0505"/>
    <w:rsid w:val="00EE0E49"/>
    <w:rsid w:val="00EE30F1"/>
    <w:rsid w:val="00EE589E"/>
    <w:rsid w:val="00EE5C28"/>
    <w:rsid w:val="00EF521F"/>
    <w:rsid w:val="00EF6CC8"/>
    <w:rsid w:val="00F02201"/>
    <w:rsid w:val="00F06685"/>
    <w:rsid w:val="00F169C1"/>
    <w:rsid w:val="00F20911"/>
    <w:rsid w:val="00F26E5F"/>
    <w:rsid w:val="00F3375A"/>
    <w:rsid w:val="00F33FBB"/>
    <w:rsid w:val="00F468B1"/>
    <w:rsid w:val="00F50C29"/>
    <w:rsid w:val="00F6017B"/>
    <w:rsid w:val="00F6246B"/>
    <w:rsid w:val="00F651F8"/>
    <w:rsid w:val="00F664B7"/>
    <w:rsid w:val="00F66656"/>
    <w:rsid w:val="00F67000"/>
    <w:rsid w:val="00F845EE"/>
    <w:rsid w:val="00F872B9"/>
    <w:rsid w:val="00F929B3"/>
    <w:rsid w:val="00F931B1"/>
    <w:rsid w:val="00F96ACA"/>
    <w:rsid w:val="00FB3720"/>
    <w:rsid w:val="00FB4452"/>
    <w:rsid w:val="00FB56C4"/>
    <w:rsid w:val="00FC0309"/>
    <w:rsid w:val="00FC2A77"/>
    <w:rsid w:val="00FC4922"/>
    <w:rsid w:val="00FC5AE8"/>
    <w:rsid w:val="00FC5C35"/>
    <w:rsid w:val="00FC7EC3"/>
    <w:rsid w:val="00FE4E1A"/>
    <w:rsid w:val="00FE6BEB"/>
    <w:rsid w:val="00FF17B0"/>
    <w:rsid w:val="00FF40DD"/>
    <w:rsid w:val="00FF46E0"/>
    <w:rsid w:val="00FF5C79"/>
    <w:rsid w:val="00FF5DE2"/>
    <w:rsid w:val="02D40585"/>
    <w:rsid w:val="044D6166"/>
    <w:rsid w:val="04B513E4"/>
    <w:rsid w:val="04CD166B"/>
    <w:rsid w:val="050977D1"/>
    <w:rsid w:val="056B7166"/>
    <w:rsid w:val="05C05D90"/>
    <w:rsid w:val="07076366"/>
    <w:rsid w:val="089C0305"/>
    <w:rsid w:val="0DCE63BC"/>
    <w:rsid w:val="0EA018E2"/>
    <w:rsid w:val="0F17543C"/>
    <w:rsid w:val="0F796669"/>
    <w:rsid w:val="11B75BB2"/>
    <w:rsid w:val="11D744FE"/>
    <w:rsid w:val="127F7512"/>
    <w:rsid w:val="13112395"/>
    <w:rsid w:val="14506EDF"/>
    <w:rsid w:val="15057A6A"/>
    <w:rsid w:val="15ED3037"/>
    <w:rsid w:val="164E7329"/>
    <w:rsid w:val="174C651E"/>
    <w:rsid w:val="17EB126C"/>
    <w:rsid w:val="17ED2FA8"/>
    <w:rsid w:val="189559E1"/>
    <w:rsid w:val="18AE4BBB"/>
    <w:rsid w:val="19F35747"/>
    <w:rsid w:val="1DBC01D3"/>
    <w:rsid w:val="1E1067F2"/>
    <w:rsid w:val="1E28003D"/>
    <w:rsid w:val="1EB35BC3"/>
    <w:rsid w:val="20946A3F"/>
    <w:rsid w:val="219447BE"/>
    <w:rsid w:val="22575812"/>
    <w:rsid w:val="231D4987"/>
    <w:rsid w:val="24C46FD3"/>
    <w:rsid w:val="25850DF0"/>
    <w:rsid w:val="25A50A34"/>
    <w:rsid w:val="26861A14"/>
    <w:rsid w:val="289422AB"/>
    <w:rsid w:val="29F15EA7"/>
    <w:rsid w:val="2B22694E"/>
    <w:rsid w:val="2B912EAC"/>
    <w:rsid w:val="2D11659E"/>
    <w:rsid w:val="2DEE1A08"/>
    <w:rsid w:val="2E293ACB"/>
    <w:rsid w:val="2F332F30"/>
    <w:rsid w:val="2F464DF2"/>
    <w:rsid w:val="2FB93977"/>
    <w:rsid w:val="305260F0"/>
    <w:rsid w:val="31855674"/>
    <w:rsid w:val="32F55382"/>
    <w:rsid w:val="34A70E5E"/>
    <w:rsid w:val="357C74C2"/>
    <w:rsid w:val="370C51EF"/>
    <w:rsid w:val="37D00821"/>
    <w:rsid w:val="38F90F72"/>
    <w:rsid w:val="3B0A2212"/>
    <w:rsid w:val="3C3A5798"/>
    <w:rsid w:val="3C6D19A8"/>
    <w:rsid w:val="3DA72307"/>
    <w:rsid w:val="3EB7635B"/>
    <w:rsid w:val="3EDD54DC"/>
    <w:rsid w:val="3F571A7C"/>
    <w:rsid w:val="40B2015C"/>
    <w:rsid w:val="40D52C56"/>
    <w:rsid w:val="428476BC"/>
    <w:rsid w:val="42E51756"/>
    <w:rsid w:val="446610DD"/>
    <w:rsid w:val="46EF0FCE"/>
    <w:rsid w:val="4ACD07FD"/>
    <w:rsid w:val="4AF21B90"/>
    <w:rsid w:val="4C4F74FB"/>
    <w:rsid w:val="4C593C1D"/>
    <w:rsid w:val="4D827065"/>
    <w:rsid w:val="4E0B4539"/>
    <w:rsid w:val="4E6C7317"/>
    <w:rsid w:val="4F296657"/>
    <w:rsid w:val="4F9B052F"/>
    <w:rsid w:val="525B116A"/>
    <w:rsid w:val="52DC0A49"/>
    <w:rsid w:val="53464693"/>
    <w:rsid w:val="53542597"/>
    <w:rsid w:val="552D5229"/>
    <w:rsid w:val="5681439E"/>
    <w:rsid w:val="57A035D1"/>
    <w:rsid w:val="5A155355"/>
    <w:rsid w:val="5A7A159C"/>
    <w:rsid w:val="5AD430F7"/>
    <w:rsid w:val="5C285BA8"/>
    <w:rsid w:val="5D9E7FBF"/>
    <w:rsid w:val="5F627B7C"/>
    <w:rsid w:val="61E82595"/>
    <w:rsid w:val="620F4693"/>
    <w:rsid w:val="6217198C"/>
    <w:rsid w:val="64ED3AD5"/>
    <w:rsid w:val="65564E35"/>
    <w:rsid w:val="65BB04EC"/>
    <w:rsid w:val="67A657B2"/>
    <w:rsid w:val="6AAF6F17"/>
    <w:rsid w:val="6B0A792A"/>
    <w:rsid w:val="6BE258EC"/>
    <w:rsid w:val="6BE31F7A"/>
    <w:rsid w:val="6D020903"/>
    <w:rsid w:val="6DD9396F"/>
    <w:rsid w:val="6F595AD6"/>
    <w:rsid w:val="70DE1623"/>
    <w:rsid w:val="718F3154"/>
    <w:rsid w:val="719668B9"/>
    <w:rsid w:val="71EE3450"/>
    <w:rsid w:val="7311454A"/>
    <w:rsid w:val="737F2940"/>
    <w:rsid w:val="73E47ACD"/>
    <w:rsid w:val="74A86BE7"/>
    <w:rsid w:val="75236185"/>
    <w:rsid w:val="753332B8"/>
    <w:rsid w:val="761639E7"/>
    <w:rsid w:val="76560228"/>
    <w:rsid w:val="768C7205"/>
    <w:rsid w:val="787A662A"/>
    <w:rsid w:val="7A045597"/>
    <w:rsid w:val="7A085B6E"/>
    <w:rsid w:val="7A5F70A4"/>
    <w:rsid w:val="7C0A6673"/>
    <w:rsid w:val="7CE92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96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nhideWhenUsed="0"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qFormat/>
    <w:pPr>
      <w:jc w:val="left"/>
    </w:pPr>
  </w:style>
  <w:style w:type="paragraph" w:styleId="a4">
    <w:name w:val="Balloon Text"/>
    <w:basedOn w:val="a"/>
    <w:link w:val="Char10"/>
    <w:qFormat/>
    <w:rPr>
      <w:sz w:val="18"/>
      <w:szCs w:val="18"/>
    </w:rPr>
  </w:style>
  <w:style w:type="paragraph" w:styleId="a5">
    <w:name w:val="footer"/>
    <w:basedOn w:val="a"/>
    <w:link w:val="Char11"/>
    <w:uiPriority w:val="99"/>
    <w:qFormat/>
    <w:pPr>
      <w:tabs>
        <w:tab w:val="center" w:pos="4153"/>
        <w:tab w:val="right" w:pos="8306"/>
      </w:tabs>
      <w:snapToGrid w:val="0"/>
      <w:jc w:val="left"/>
    </w:pPr>
    <w:rPr>
      <w:sz w:val="18"/>
      <w:szCs w:val="18"/>
    </w:rPr>
  </w:style>
  <w:style w:type="paragraph" w:styleId="a6">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qFormat/>
    <w:pPr>
      <w:widowControl/>
      <w:spacing w:before="100" w:beforeAutospacing="1" w:after="100" w:afterAutospacing="1"/>
      <w:ind w:firstLine="216"/>
      <w:jc w:val="left"/>
    </w:pPr>
    <w:rPr>
      <w:rFonts w:ascii="Souvenir Lt BT" w:eastAsiaTheme="minorEastAsia" w:hAnsi="Souvenir Lt BT"/>
      <w:kern w:val="0"/>
      <w:sz w:val="24"/>
      <w:lang w:val="en-GB" w:eastAsia="en-US"/>
    </w:rPr>
  </w:style>
  <w:style w:type="paragraph" w:styleId="a8">
    <w:name w:val="annotation subject"/>
    <w:basedOn w:val="a3"/>
    <w:next w:val="a3"/>
    <w:link w:val="Char13"/>
    <w:qFormat/>
    <w:rPr>
      <w:b/>
      <w:bCs/>
    </w:rPr>
  </w:style>
  <w:style w:type="table" w:styleId="a9">
    <w:name w:val="Table Grid"/>
    <w:basedOn w:val="a1"/>
    <w:qFormat/>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character" w:styleId="ab">
    <w:name w:val="Hyperlink"/>
    <w:basedOn w:val="a0"/>
    <w:unhideWhenUsed/>
    <w:qFormat/>
    <w:rPr>
      <w:color w:val="0563C1" w:themeColor="hyperlink"/>
      <w:u w:val="single"/>
    </w:rPr>
  </w:style>
  <w:style w:type="character" w:styleId="ac">
    <w:name w:val="annotation reference"/>
    <w:qFormat/>
    <w:rPr>
      <w:sz w:val="21"/>
      <w:szCs w:val="21"/>
    </w:rPr>
  </w:style>
  <w:style w:type="character" w:customStyle="1" w:styleId="Char12">
    <w:name w:val="页眉 Char1"/>
    <w:link w:val="a6"/>
    <w:qFormat/>
    <w:rPr>
      <w:rFonts w:ascii="Calibri" w:eastAsia="宋体" w:hAnsi="Calibri" w:cs="Times New Roman"/>
      <w:kern w:val="2"/>
      <w:sz w:val="18"/>
      <w:szCs w:val="18"/>
    </w:rPr>
  </w:style>
  <w:style w:type="character" w:customStyle="1" w:styleId="ad">
    <w:name w:val="批注文字 字符"/>
    <w:qFormat/>
    <w:rPr>
      <w:rFonts w:ascii="Calibri" w:eastAsia="宋体" w:hAnsi="Calibri" w:cs="Times New Roman"/>
      <w:kern w:val="2"/>
      <w:sz w:val="21"/>
      <w:szCs w:val="24"/>
    </w:rPr>
  </w:style>
  <w:style w:type="character" w:customStyle="1" w:styleId="Char10">
    <w:name w:val="批注框文本 Char1"/>
    <w:link w:val="a4"/>
    <w:qFormat/>
    <w:rPr>
      <w:rFonts w:ascii="Calibri" w:eastAsia="宋体" w:hAnsi="Calibri" w:cs="Times New Roman"/>
      <w:kern w:val="2"/>
      <w:sz w:val="18"/>
      <w:szCs w:val="18"/>
    </w:rPr>
  </w:style>
  <w:style w:type="character" w:customStyle="1" w:styleId="ae">
    <w:name w:val="批注主题 字符"/>
    <w:qFormat/>
    <w:rPr>
      <w:rFonts w:ascii="Calibri" w:eastAsia="宋体" w:hAnsi="Calibri" w:cs="Times New Roman"/>
      <w:b/>
      <w:bCs/>
      <w:kern w:val="2"/>
      <w:sz w:val="21"/>
      <w:szCs w:val="24"/>
    </w:rPr>
  </w:style>
  <w:style w:type="character" w:customStyle="1" w:styleId="Char13">
    <w:name w:val="批注主题 Char1"/>
    <w:link w:val="a8"/>
    <w:qFormat/>
    <w:rPr>
      <w:rFonts w:ascii="Calibri" w:eastAsia="宋体" w:hAnsi="Calibri" w:cs="Times New Roman"/>
      <w:b/>
      <w:bCs/>
      <w:kern w:val="2"/>
      <w:sz w:val="21"/>
      <w:szCs w:val="24"/>
    </w:rPr>
  </w:style>
  <w:style w:type="character" w:customStyle="1" w:styleId="af">
    <w:name w:val="批注框文本 字符"/>
    <w:qFormat/>
    <w:rPr>
      <w:rFonts w:ascii="Calibri" w:eastAsia="宋体" w:hAnsi="Calibri" w:cs="Times New Roman"/>
      <w:kern w:val="2"/>
      <w:sz w:val="18"/>
      <w:szCs w:val="18"/>
    </w:rPr>
  </w:style>
  <w:style w:type="character" w:customStyle="1" w:styleId="Char1">
    <w:name w:val="批注文字 Char1"/>
    <w:link w:val="a3"/>
    <w:qFormat/>
    <w:rPr>
      <w:rFonts w:ascii="Calibri" w:eastAsia="宋体" w:hAnsi="Calibri" w:cs="Times New Roman"/>
      <w:kern w:val="2"/>
      <w:sz w:val="21"/>
      <w:szCs w:val="24"/>
    </w:rPr>
  </w:style>
  <w:style w:type="character" w:customStyle="1" w:styleId="Char11">
    <w:name w:val="页脚 Char1"/>
    <w:link w:val="a5"/>
    <w:uiPriority w:val="99"/>
    <w:qFormat/>
    <w:rPr>
      <w:rFonts w:ascii="Calibri" w:eastAsia="宋体" w:hAnsi="Calibri" w:cs="Times New Roman"/>
      <w:kern w:val="2"/>
      <w:sz w:val="18"/>
      <w:szCs w:val="18"/>
    </w:rPr>
  </w:style>
  <w:style w:type="character" w:customStyle="1" w:styleId="af0">
    <w:name w:val="页脚 字符"/>
    <w:uiPriority w:val="99"/>
    <w:qFormat/>
    <w:rPr>
      <w:rFonts w:ascii="Calibri" w:eastAsia="宋体" w:hAnsi="Calibri" w:cs="Times New Roman"/>
      <w:kern w:val="2"/>
      <w:sz w:val="18"/>
      <w:szCs w:val="18"/>
    </w:rPr>
  </w:style>
  <w:style w:type="character" w:customStyle="1" w:styleId="af1">
    <w:name w:val="页眉 字符"/>
    <w:qFormat/>
    <w:rPr>
      <w:rFonts w:ascii="Calibri" w:eastAsia="宋体" w:hAnsi="Calibri" w:cs="Times New Roman"/>
      <w:kern w:val="2"/>
      <w:sz w:val="18"/>
      <w:szCs w:val="18"/>
    </w:rPr>
  </w:style>
  <w:style w:type="character" w:customStyle="1" w:styleId="Char">
    <w:name w:val="批注主题 Char"/>
    <w:qFormat/>
    <w:rPr>
      <w:rFonts w:ascii="Calibri" w:eastAsia="宋体" w:hAnsi="Calibri" w:cs="Times New Roman"/>
      <w:b/>
      <w:bCs/>
      <w:kern w:val="2"/>
      <w:sz w:val="21"/>
      <w:szCs w:val="24"/>
    </w:rPr>
  </w:style>
  <w:style w:type="character" w:customStyle="1" w:styleId="Char0">
    <w:name w:val="批注框文本 Char"/>
    <w:qFormat/>
    <w:rPr>
      <w:rFonts w:ascii="Calibri" w:eastAsia="宋体" w:hAnsi="Calibri" w:cs="Times New Roman"/>
      <w:kern w:val="2"/>
      <w:sz w:val="18"/>
      <w:szCs w:val="18"/>
    </w:rPr>
  </w:style>
  <w:style w:type="character" w:customStyle="1" w:styleId="Char2">
    <w:name w:val="页眉 Char"/>
    <w:qFormat/>
    <w:rPr>
      <w:rFonts w:ascii="Calibri" w:eastAsia="宋体" w:hAnsi="Calibri" w:cs="Times New Roman"/>
      <w:kern w:val="2"/>
      <w:sz w:val="18"/>
      <w:szCs w:val="18"/>
    </w:rPr>
  </w:style>
  <w:style w:type="character" w:customStyle="1" w:styleId="Char3">
    <w:name w:val="批注文字 Char"/>
    <w:uiPriority w:val="99"/>
    <w:qFormat/>
    <w:rPr>
      <w:rFonts w:ascii="Calibri" w:eastAsia="宋体" w:hAnsi="Calibri" w:cs="Times New Roman"/>
      <w:kern w:val="2"/>
      <w:sz w:val="21"/>
      <w:szCs w:val="24"/>
    </w:rPr>
  </w:style>
  <w:style w:type="character" w:customStyle="1" w:styleId="Char4">
    <w:name w:val="页脚 Char"/>
    <w:uiPriority w:val="99"/>
    <w:qFormat/>
    <w:rPr>
      <w:rFonts w:ascii="Calibri" w:eastAsia="宋体" w:hAnsi="Calibri" w:cs="Times New Roman"/>
      <w:kern w:val="2"/>
      <w:sz w:val="18"/>
      <w:szCs w:val="18"/>
    </w:rPr>
  </w:style>
  <w:style w:type="paragraph" w:customStyle="1" w:styleId="1">
    <w:name w:val="修订1"/>
    <w:hidden/>
    <w:uiPriority w:val="99"/>
    <w:unhideWhenUsed/>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character" w:customStyle="1" w:styleId="fontstyle01">
    <w:name w:val="fontstyle01"/>
    <w:basedOn w:val="a0"/>
    <w:qFormat/>
    <w:rPr>
      <w:rFonts w:ascii="宋体" w:eastAsia="宋体" w:hAnsi="宋体" w:hint="eastAsia"/>
      <w:color w:val="000000"/>
      <w:sz w:val="22"/>
      <w:szCs w:val="22"/>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Char"/>
    <w:qFormat/>
    <w:rPr>
      <w:rFonts w:cs="Calibri"/>
      <w:sz w:val="20"/>
    </w:rPr>
  </w:style>
  <w:style w:type="character" w:customStyle="1" w:styleId="EndNoteBibliographyChar">
    <w:name w:val="EndNote Bibliography Char"/>
    <w:basedOn w:val="a0"/>
    <w:link w:val="EndNoteBibliography"/>
    <w:qFormat/>
    <w:rPr>
      <w:rFonts w:ascii="Calibri" w:hAnsi="Calibri" w:cs="Calibri"/>
      <w:kern w:val="2"/>
      <w:szCs w:val="24"/>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3">
    <w:name w:val="修订3"/>
    <w:hidden/>
    <w:uiPriority w:val="99"/>
    <w:semiHidden/>
    <w:qFormat/>
    <w:rPr>
      <w:rFonts w:ascii="Calibri" w:hAnsi="Calibri"/>
      <w:kern w:val="2"/>
      <w:sz w:val="21"/>
      <w:szCs w:val="24"/>
    </w:rPr>
  </w:style>
  <w:style w:type="character" w:customStyle="1" w:styleId="10">
    <w:name w:val="未处理的提及1"/>
    <w:basedOn w:val="a0"/>
    <w:uiPriority w:val="99"/>
    <w:semiHidden/>
    <w:unhideWhenUsed/>
    <w:rPr>
      <w:color w:val="605E5C"/>
      <w:shd w:val="clear" w:color="auto" w:fill="E1DFDD"/>
    </w:rPr>
  </w:style>
  <w:style w:type="character" w:customStyle="1" w:styleId="fontstyle21">
    <w:name w:val="fontstyle21"/>
    <w:basedOn w:val="a0"/>
    <w:rPr>
      <w:rFonts w:ascii="Book Antiqua" w:hAnsi="Book Antiqua" w:hint="default"/>
      <w:b/>
      <w:bCs/>
      <w:color w:val="000000"/>
      <w:sz w:val="24"/>
      <w:szCs w:val="24"/>
    </w:rPr>
  </w:style>
  <w:style w:type="character" w:customStyle="1" w:styleId="fontstyle31">
    <w:name w:val="fontstyle31"/>
    <w:basedOn w:val="a0"/>
    <w:qFormat/>
    <w:rPr>
      <w:rFonts w:ascii="Book Antiqua" w:hAnsi="Book Antiqua" w:hint="default"/>
      <w:color w:val="000000"/>
      <w:sz w:val="24"/>
      <w:szCs w:val="24"/>
    </w:rPr>
  </w:style>
  <w:style w:type="paragraph" w:customStyle="1" w:styleId="Normal1">
    <w:name w:val="Normal1"/>
    <w:rsid w:val="004E3039"/>
    <w:pPr>
      <w:spacing w:after="200" w:line="276" w:lineRule="auto"/>
    </w:pPr>
    <w:rPr>
      <w:rFonts w:ascii="Calibri" w:eastAsia="Calibri" w:hAnsi="Calibri" w:cs="Calibri"/>
      <w:sz w:val="22"/>
      <w:szCs w:val="22"/>
      <w:lang w:eastAsia="en-US"/>
    </w:rPr>
  </w:style>
  <w:style w:type="paragraph" w:styleId="af2">
    <w:name w:val="List Paragraph"/>
    <w:basedOn w:val="a"/>
    <w:uiPriority w:val="34"/>
    <w:qFormat/>
    <w:rsid w:val="004E3039"/>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f3">
    <w:name w:val="Plain Text"/>
    <w:basedOn w:val="a"/>
    <w:link w:val="Char5"/>
    <w:rsid w:val="004E3039"/>
    <w:rPr>
      <w:rFonts w:ascii="宋体" w:hAnsi="Courier New" w:cs="Courier New"/>
      <w:szCs w:val="21"/>
    </w:rPr>
  </w:style>
  <w:style w:type="character" w:customStyle="1" w:styleId="Char5">
    <w:name w:val="纯文本 Char"/>
    <w:basedOn w:val="a0"/>
    <w:link w:val="af3"/>
    <w:rsid w:val="004E3039"/>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nhideWhenUsed="0"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qFormat/>
    <w:pPr>
      <w:jc w:val="left"/>
    </w:pPr>
  </w:style>
  <w:style w:type="paragraph" w:styleId="a4">
    <w:name w:val="Balloon Text"/>
    <w:basedOn w:val="a"/>
    <w:link w:val="Char10"/>
    <w:qFormat/>
    <w:rPr>
      <w:sz w:val="18"/>
      <w:szCs w:val="18"/>
    </w:rPr>
  </w:style>
  <w:style w:type="paragraph" w:styleId="a5">
    <w:name w:val="footer"/>
    <w:basedOn w:val="a"/>
    <w:link w:val="Char11"/>
    <w:uiPriority w:val="99"/>
    <w:qFormat/>
    <w:pPr>
      <w:tabs>
        <w:tab w:val="center" w:pos="4153"/>
        <w:tab w:val="right" w:pos="8306"/>
      </w:tabs>
      <w:snapToGrid w:val="0"/>
      <w:jc w:val="left"/>
    </w:pPr>
    <w:rPr>
      <w:sz w:val="18"/>
      <w:szCs w:val="18"/>
    </w:rPr>
  </w:style>
  <w:style w:type="paragraph" w:styleId="a6">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qFormat/>
    <w:pPr>
      <w:widowControl/>
      <w:spacing w:before="100" w:beforeAutospacing="1" w:after="100" w:afterAutospacing="1"/>
      <w:ind w:firstLine="216"/>
      <w:jc w:val="left"/>
    </w:pPr>
    <w:rPr>
      <w:rFonts w:ascii="Souvenir Lt BT" w:eastAsiaTheme="minorEastAsia" w:hAnsi="Souvenir Lt BT"/>
      <w:kern w:val="0"/>
      <w:sz w:val="24"/>
      <w:lang w:val="en-GB" w:eastAsia="en-US"/>
    </w:rPr>
  </w:style>
  <w:style w:type="paragraph" w:styleId="a8">
    <w:name w:val="annotation subject"/>
    <w:basedOn w:val="a3"/>
    <w:next w:val="a3"/>
    <w:link w:val="Char13"/>
    <w:qFormat/>
    <w:rPr>
      <w:b/>
      <w:bCs/>
    </w:rPr>
  </w:style>
  <w:style w:type="table" w:styleId="a9">
    <w:name w:val="Table Grid"/>
    <w:basedOn w:val="a1"/>
    <w:qFormat/>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character" w:styleId="ab">
    <w:name w:val="Hyperlink"/>
    <w:basedOn w:val="a0"/>
    <w:unhideWhenUsed/>
    <w:qFormat/>
    <w:rPr>
      <w:color w:val="0563C1" w:themeColor="hyperlink"/>
      <w:u w:val="single"/>
    </w:rPr>
  </w:style>
  <w:style w:type="character" w:styleId="ac">
    <w:name w:val="annotation reference"/>
    <w:qFormat/>
    <w:rPr>
      <w:sz w:val="21"/>
      <w:szCs w:val="21"/>
    </w:rPr>
  </w:style>
  <w:style w:type="character" w:customStyle="1" w:styleId="Char12">
    <w:name w:val="页眉 Char1"/>
    <w:link w:val="a6"/>
    <w:qFormat/>
    <w:rPr>
      <w:rFonts w:ascii="Calibri" w:eastAsia="宋体" w:hAnsi="Calibri" w:cs="Times New Roman"/>
      <w:kern w:val="2"/>
      <w:sz w:val="18"/>
      <w:szCs w:val="18"/>
    </w:rPr>
  </w:style>
  <w:style w:type="character" w:customStyle="1" w:styleId="ad">
    <w:name w:val="批注文字 字符"/>
    <w:qFormat/>
    <w:rPr>
      <w:rFonts w:ascii="Calibri" w:eastAsia="宋体" w:hAnsi="Calibri" w:cs="Times New Roman"/>
      <w:kern w:val="2"/>
      <w:sz w:val="21"/>
      <w:szCs w:val="24"/>
    </w:rPr>
  </w:style>
  <w:style w:type="character" w:customStyle="1" w:styleId="Char10">
    <w:name w:val="批注框文本 Char1"/>
    <w:link w:val="a4"/>
    <w:qFormat/>
    <w:rPr>
      <w:rFonts w:ascii="Calibri" w:eastAsia="宋体" w:hAnsi="Calibri" w:cs="Times New Roman"/>
      <w:kern w:val="2"/>
      <w:sz w:val="18"/>
      <w:szCs w:val="18"/>
    </w:rPr>
  </w:style>
  <w:style w:type="character" w:customStyle="1" w:styleId="ae">
    <w:name w:val="批注主题 字符"/>
    <w:qFormat/>
    <w:rPr>
      <w:rFonts w:ascii="Calibri" w:eastAsia="宋体" w:hAnsi="Calibri" w:cs="Times New Roman"/>
      <w:b/>
      <w:bCs/>
      <w:kern w:val="2"/>
      <w:sz w:val="21"/>
      <w:szCs w:val="24"/>
    </w:rPr>
  </w:style>
  <w:style w:type="character" w:customStyle="1" w:styleId="Char13">
    <w:name w:val="批注主题 Char1"/>
    <w:link w:val="a8"/>
    <w:qFormat/>
    <w:rPr>
      <w:rFonts w:ascii="Calibri" w:eastAsia="宋体" w:hAnsi="Calibri" w:cs="Times New Roman"/>
      <w:b/>
      <w:bCs/>
      <w:kern w:val="2"/>
      <w:sz w:val="21"/>
      <w:szCs w:val="24"/>
    </w:rPr>
  </w:style>
  <w:style w:type="character" w:customStyle="1" w:styleId="af">
    <w:name w:val="批注框文本 字符"/>
    <w:qFormat/>
    <w:rPr>
      <w:rFonts w:ascii="Calibri" w:eastAsia="宋体" w:hAnsi="Calibri" w:cs="Times New Roman"/>
      <w:kern w:val="2"/>
      <w:sz w:val="18"/>
      <w:szCs w:val="18"/>
    </w:rPr>
  </w:style>
  <w:style w:type="character" w:customStyle="1" w:styleId="Char1">
    <w:name w:val="批注文字 Char1"/>
    <w:link w:val="a3"/>
    <w:qFormat/>
    <w:rPr>
      <w:rFonts w:ascii="Calibri" w:eastAsia="宋体" w:hAnsi="Calibri" w:cs="Times New Roman"/>
      <w:kern w:val="2"/>
      <w:sz w:val="21"/>
      <w:szCs w:val="24"/>
    </w:rPr>
  </w:style>
  <w:style w:type="character" w:customStyle="1" w:styleId="Char11">
    <w:name w:val="页脚 Char1"/>
    <w:link w:val="a5"/>
    <w:uiPriority w:val="99"/>
    <w:qFormat/>
    <w:rPr>
      <w:rFonts w:ascii="Calibri" w:eastAsia="宋体" w:hAnsi="Calibri" w:cs="Times New Roman"/>
      <w:kern w:val="2"/>
      <w:sz w:val="18"/>
      <w:szCs w:val="18"/>
    </w:rPr>
  </w:style>
  <w:style w:type="character" w:customStyle="1" w:styleId="af0">
    <w:name w:val="页脚 字符"/>
    <w:uiPriority w:val="99"/>
    <w:qFormat/>
    <w:rPr>
      <w:rFonts w:ascii="Calibri" w:eastAsia="宋体" w:hAnsi="Calibri" w:cs="Times New Roman"/>
      <w:kern w:val="2"/>
      <w:sz w:val="18"/>
      <w:szCs w:val="18"/>
    </w:rPr>
  </w:style>
  <w:style w:type="character" w:customStyle="1" w:styleId="af1">
    <w:name w:val="页眉 字符"/>
    <w:qFormat/>
    <w:rPr>
      <w:rFonts w:ascii="Calibri" w:eastAsia="宋体" w:hAnsi="Calibri" w:cs="Times New Roman"/>
      <w:kern w:val="2"/>
      <w:sz w:val="18"/>
      <w:szCs w:val="18"/>
    </w:rPr>
  </w:style>
  <w:style w:type="character" w:customStyle="1" w:styleId="Char">
    <w:name w:val="批注主题 Char"/>
    <w:qFormat/>
    <w:rPr>
      <w:rFonts w:ascii="Calibri" w:eastAsia="宋体" w:hAnsi="Calibri" w:cs="Times New Roman"/>
      <w:b/>
      <w:bCs/>
      <w:kern w:val="2"/>
      <w:sz w:val="21"/>
      <w:szCs w:val="24"/>
    </w:rPr>
  </w:style>
  <w:style w:type="character" w:customStyle="1" w:styleId="Char0">
    <w:name w:val="批注框文本 Char"/>
    <w:qFormat/>
    <w:rPr>
      <w:rFonts w:ascii="Calibri" w:eastAsia="宋体" w:hAnsi="Calibri" w:cs="Times New Roman"/>
      <w:kern w:val="2"/>
      <w:sz w:val="18"/>
      <w:szCs w:val="18"/>
    </w:rPr>
  </w:style>
  <w:style w:type="character" w:customStyle="1" w:styleId="Char2">
    <w:name w:val="页眉 Char"/>
    <w:qFormat/>
    <w:rPr>
      <w:rFonts w:ascii="Calibri" w:eastAsia="宋体" w:hAnsi="Calibri" w:cs="Times New Roman"/>
      <w:kern w:val="2"/>
      <w:sz w:val="18"/>
      <w:szCs w:val="18"/>
    </w:rPr>
  </w:style>
  <w:style w:type="character" w:customStyle="1" w:styleId="Char3">
    <w:name w:val="批注文字 Char"/>
    <w:uiPriority w:val="99"/>
    <w:qFormat/>
    <w:rPr>
      <w:rFonts w:ascii="Calibri" w:eastAsia="宋体" w:hAnsi="Calibri" w:cs="Times New Roman"/>
      <w:kern w:val="2"/>
      <w:sz w:val="21"/>
      <w:szCs w:val="24"/>
    </w:rPr>
  </w:style>
  <w:style w:type="character" w:customStyle="1" w:styleId="Char4">
    <w:name w:val="页脚 Char"/>
    <w:uiPriority w:val="99"/>
    <w:qFormat/>
    <w:rPr>
      <w:rFonts w:ascii="Calibri" w:eastAsia="宋体" w:hAnsi="Calibri" w:cs="Times New Roman"/>
      <w:kern w:val="2"/>
      <w:sz w:val="18"/>
      <w:szCs w:val="18"/>
    </w:rPr>
  </w:style>
  <w:style w:type="paragraph" w:customStyle="1" w:styleId="1">
    <w:name w:val="修订1"/>
    <w:hidden/>
    <w:uiPriority w:val="99"/>
    <w:unhideWhenUsed/>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character" w:customStyle="1" w:styleId="fontstyle01">
    <w:name w:val="fontstyle01"/>
    <w:basedOn w:val="a0"/>
    <w:qFormat/>
    <w:rPr>
      <w:rFonts w:ascii="宋体" w:eastAsia="宋体" w:hAnsi="宋体" w:hint="eastAsia"/>
      <w:color w:val="000000"/>
      <w:sz w:val="22"/>
      <w:szCs w:val="22"/>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Char"/>
    <w:qFormat/>
    <w:rPr>
      <w:rFonts w:cs="Calibri"/>
      <w:sz w:val="20"/>
    </w:rPr>
  </w:style>
  <w:style w:type="character" w:customStyle="1" w:styleId="EndNoteBibliographyChar">
    <w:name w:val="EndNote Bibliography Char"/>
    <w:basedOn w:val="a0"/>
    <w:link w:val="EndNoteBibliography"/>
    <w:qFormat/>
    <w:rPr>
      <w:rFonts w:ascii="Calibri" w:hAnsi="Calibri" w:cs="Calibri"/>
      <w:kern w:val="2"/>
      <w:szCs w:val="24"/>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3">
    <w:name w:val="修订3"/>
    <w:hidden/>
    <w:uiPriority w:val="99"/>
    <w:semiHidden/>
    <w:qFormat/>
    <w:rPr>
      <w:rFonts w:ascii="Calibri" w:hAnsi="Calibri"/>
      <w:kern w:val="2"/>
      <w:sz w:val="21"/>
      <w:szCs w:val="24"/>
    </w:rPr>
  </w:style>
  <w:style w:type="character" w:customStyle="1" w:styleId="10">
    <w:name w:val="未处理的提及1"/>
    <w:basedOn w:val="a0"/>
    <w:uiPriority w:val="99"/>
    <w:semiHidden/>
    <w:unhideWhenUsed/>
    <w:rPr>
      <w:color w:val="605E5C"/>
      <w:shd w:val="clear" w:color="auto" w:fill="E1DFDD"/>
    </w:rPr>
  </w:style>
  <w:style w:type="character" w:customStyle="1" w:styleId="fontstyle21">
    <w:name w:val="fontstyle21"/>
    <w:basedOn w:val="a0"/>
    <w:rPr>
      <w:rFonts w:ascii="Book Antiqua" w:hAnsi="Book Antiqua" w:hint="default"/>
      <w:b/>
      <w:bCs/>
      <w:color w:val="000000"/>
      <w:sz w:val="24"/>
      <w:szCs w:val="24"/>
    </w:rPr>
  </w:style>
  <w:style w:type="character" w:customStyle="1" w:styleId="fontstyle31">
    <w:name w:val="fontstyle31"/>
    <w:basedOn w:val="a0"/>
    <w:qFormat/>
    <w:rPr>
      <w:rFonts w:ascii="Book Antiqua" w:hAnsi="Book Antiqua" w:hint="default"/>
      <w:color w:val="000000"/>
      <w:sz w:val="24"/>
      <w:szCs w:val="24"/>
    </w:rPr>
  </w:style>
  <w:style w:type="paragraph" w:customStyle="1" w:styleId="Normal1">
    <w:name w:val="Normal1"/>
    <w:rsid w:val="004E3039"/>
    <w:pPr>
      <w:spacing w:after="200" w:line="276" w:lineRule="auto"/>
    </w:pPr>
    <w:rPr>
      <w:rFonts w:ascii="Calibri" w:eastAsia="Calibri" w:hAnsi="Calibri" w:cs="Calibri"/>
      <w:sz w:val="22"/>
      <w:szCs w:val="22"/>
      <w:lang w:eastAsia="en-US"/>
    </w:rPr>
  </w:style>
  <w:style w:type="paragraph" w:styleId="af2">
    <w:name w:val="List Paragraph"/>
    <w:basedOn w:val="a"/>
    <w:uiPriority w:val="34"/>
    <w:qFormat/>
    <w:rsid w:val="004E3039"/>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f3">
    <w:name w:val="Plain Text"/>
    <w:basedOn w:val="a"/>
    <w:link w:val="Char5"/>
    <w:rsid w:val="004E3039"/>
    <w:rPr>
      <w:rFonts w:ascii="宋体" w:hAnsi="Courier New" w:cs="Courier New"/>
      <w:szCs w:val="21"/>
    </w:rPr>
  </w:style>
  <w:style w:type="character" w:customStyle="1" w:styleId="Char5">
    <w:name w:val="纯文本 Char"/>
    <w:basedOn w:val="a0"/>
    <w:link w:val="af3"/>
    <w:rsid w:val="004E3039"/>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373696">
      <w:bodyDiv w:val="1"/>
      <w:marLeft w:val="0"/>
      <w:marRight w:val="0"/>
      <w:marTop w:val="0"/>
      <w:marBottom w:val="0"/>
      <w:divBdr>
        <w:top w:val="none" w:sz="0" w:space="0" w:color="auto"/>
        <w:left w:val="none" w:sz="0" w:space="0" w:color="auto"/>
        <w:bottom w:val="none" w:sz="0" w:space="0" w:color="auto"/>
        <w:right w:val="none" w:sz="0" w:space="0" w:color="auto"/>
      </w:divBdr>
    </w:div>
    <w:div w:id="2019457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25FAE0-C2FF-4E6D-AFCA-4D945303B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3572</Words>
  <Characters>20366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2020-05-29T13:20:00Z</dcterms:created>
  <dcterms:modified xsi:type="dcterms:W3CDTF">2020-06-22T03:39:00Z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