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3B4E3B" w14:textId="3D72DE69" w:rsidR="00C61D19" w:rsidRPr="001F1399" w:rsidRDefault="00C61D19" w:rsidP="002974FA">
      <w:pPr>
        <w:adjustRightInd w:val="0"/>
        <w:snapToGrid w:val="0"/>
        <w:spacing w:after="0" w:line="360" w:lineRule="auto"/>
        <w:jc w:val="both"/>
        <w:rPr>
          <w:rStyle w:val="normaltextrun"/>
          <w:rFonts w:ascii="Book Antiqua" w:hAnsi="Book Antiqua" w:cs="Calibri"/>
          <w:bCs/>
          <w:sz w:val="24"/>
          <w:szCs w:val="24"/>
          <w:lang w:val="en-US"/>
        </w:rPr>
      </w:pPr>
      <w:r w:rsidRPr="001F1399">
        <w:rPr>
          <w:rStyle w:val="normaltextrun"/>
          <w:rFonts w:ascii="Book Antiqua" w:hAnsi="Book Antiqua" w:cs="Calibri"/>
          <w:b/>
          <w:bCs/>
          <w:sz w:val="24"/>
          <w:szCs w:val="24"/>
          <w:lang w:val="en-US"/>
        </w:rPr>
        <w:t>Name of Journal</w:t>
      </w:r>
      <w:r w:rsidRPr="001F1399">
        <w:rPr>
          <w:rStyle w:val="normaltextrun"/>
          <w:rFonts w:ascii="Book Antiqua" w:hAnsi="Book Antiqua" w:cs="Calibri"/>
          <w:bCs/>
          <w:sz w:val="24"/>
          <w:szCs w:val="24"/>
          <w:lang w:val="en-US"/>
        </w:rPr>
        <w:t xml:space="preserve">: </w:t>
      </w:r>
      <w:r w:rsidRPr="001F1399">
        <w:rPr>
          <w:rStyle w:val="normaltextrun"/>
          <w:rFonts w:ascii="Book Antiqua" w:hAnsi="Book Antiqua" w:cs="Calibri"/>
          <w:bCs/>
          <w:i/>
          <w:sz w:val="24"/>
          <w:szCs w:val="24"/>
          <w:lang w:val="en-US"/>
        </w:rPr>
        <w:t>World Journal of Gastroenterology</w:t>
      </w:r>
    </w:p>
    <w:p w14:paraId="3A0C3993" w14:textId="25F77D3C" w:rsidR="00C61D19" w:rsidRPr="001F1399" w:rsidRDefault="00353E91" w:rsidP="002974FA">
      <w:pPr>
        <w:adjustRightInd w:val="0"/>
        <w:snapToGrid w:val="0"/>
        <w:spacing w:after="0" w:line="360" w:lineRule="auto"/>
        <w:jc w:val="both"/>
        <w:rPr>
          <w:rStyle w:val="normaltextrun"/>
          <w:rFonts w:ascii="Book Antiqua" w:hAnsi="Book Antiqua" w:cs="Calibri"/>
          <w:bCs/>
          <w:sz w:val="24"/>
          <w:szCs w:val="24"/>
          <w:lang w:val="en-US"/>
        </w:rPr>
      </w:pPr>
      <w:r w:rsidRPr="001F1399">
        <w:rPr>
          <w:rFonts w:ascii="Book Antiqua" w:hAnsi="Book Antiqua"/>
          <w:b/>
          <w:color w:val="000000"/>
          <w:sz w:val="24"/>
          <w:szCs w:val="24"/>
        </w:rPr>
        <w:t>Manuscript NO:</w:t>
      </w:r>
      <w:r w:rsidR="00C61D19" w:rsidRPr="001F1399">
        <w:rPr>
          <w:rStyle w:val="normaltextrun"/>
          <w:rFonts w:ascii="Book Antiqua" w:hAnsi="Book Antiqua" w:cs="Calibri"/>
          <w:bCs/>
          <w:sz w:val="24"/>
          <w:szCs w:val="24"/>
          <w:lang w:val="en-US"/>
        </w:rPr>
        <w:t xml:space="preserve"> </w:t>
      </w:r>
      <w:r w:rsidRPr="001F1399">
        <w:rPr>
          <w:rFonts w:ascii="Book Antiqua" w:eastAsia="Microsoft YaHei UI" w:hAnsi="Book Antiqua" w:cs="Tahoma"/>
          <w:color w:val="222222"/>
          <w:sz w:val="24"/>
          <w:szCs w:val="24"/>
          <w:lang w:val="en-US"/>
        </w:rPr>
        <w:t>54478</w:t>
      </w:r>
    </w:p>
    <w:p w14:paraId="17E6F491" w14:textId="77777777" w:rsidR="00353E91" w:rsidRPr="001F1399" w:rsidRDefault="00353E91" w:rsidP="002974FA">
      <w:pPr>
        <w:snapToGrid w:val="0"/>
        <w:spacing w:after="0" w:line="360" w:lineRule="auto"/>
        <w:jc w:val="both"/>
        <w:rPr>
          <w:rFonts w:ascii="Book Antiqua" w:hAnsi="Book Antiqua"/>
          <w:b/>
          <w:color w:val="000000"/>
          <w:sz w:val="24"/>
          <w:szCs w:val="24"/>
        </w:rPr>
      </w:pPr>
      <w:bookmarkStart w:id="0" w:name="OLE_LINK3"/>
      <w:bookmarkStart w:id="1" w:name="OLE_LINK4"/>
      <w:r w:rsidRPr="001F1399">
        <w:rPr>
          <w:rFonts w:ascii="Book Antiqua" w:hAnsi="Book Antiqua"/>
          <w:b/>
          <w:color w:val="000000"/>
          <w:sz w:val="24"/>
          <w:szCs w:val="24"/>
          <w:shd w:val="clear" w:color="auto" w:fill="FFFFFF"/>
        </w:rPr>
        <w:t>Manuscript Type</w:t>
      </w:r>
      <w:bookmarkEnd w:id="0"/>
      <w:bookmarkEnd w:id="1"/>
      <w:r w:rsidRPr="001F1399">
        <w:rPr>
          <w:rFonts w:ascii="Book Antiqua" w:hAnsi="Book Antiqua"/>
          <w:b/>
          <w:color w:val="000000"/>
          <w:sz w:val="24"/>
          <w:szCs w:val="24"/>
        </w:rPr>
        <w:t xml:space="preserve">: </w:t>
      </w:r>
      <w:r w:rsidRPr="001F1399">
        <w:rPr>
          <w:rFonts w:ascii="Book Antiqua" w:hAnsi="Book Antiqua"/>
          <w:color w:val="000000"/>
          <w:sz w:val="24"/>
          <w:szCs w:val="24"/>
        </w:rPr>
        <w:t>REVIEW</w:t>
      </w:r>
    </w:p>
    <w:p w14:paraId="70E4A11B" w14:textId="5ED5D501" w:rsidR="00C61D19" w:rsidRPr="001F1399" w:rsidRDefault="00C61D19" w:rsidP="002974FA">
      <w:pPr>
        <w:adjustRightInd w:val="0"/>
        <w:snapToGrid w:val="0"/>
        <w:spacing w:after="0" w:line="360" w:lineRule="auto"/>
        <w:jc w:val="both"/>
        <w:rPr>
          <w:rStyle w:val="normaltextrun"/>
          <w:rFonts w:ascii="Book Antiqua" w:hAnsi="Book Antiqua" w:cs="Calibri"/>
          <w:bCs/>
          <w:sz w:val="24"/>
          <w:szCs w:val="24"/>
          <w:lang w:val="en-US"/>
        </w:rPr>
      </w:pPr>
    </w:p>
    <w:p w14:paraId="4B67BB9C" w14:textId="12B77ED9" w:rsidR="00C61D19" w:rsidRPr="001F1399" w:rsidRDefault="00C61D19" w:rsidP="002974FA">
      <w:pPr>
        <w:adjustRightInd w:val="0"/>
        <w:snapToGrid w:val="0"/>
        <w:spacing w:after="0" w:line="360" w:lineRule="auto"/>
        <w:jc w:val="both"/>
        <w:rPr>
          <w:rFonts w:ascii="Book Antiqua" w:eastAsia="Calibri" w:hAnsi="Book Antiqua" w:cs="Calibri"/>
          <w:b/>
          <w:bCs/>
          <w:sz w:val="24"/>
          <w:szCs w:val="24"/>
          <w:lang w:val="en-US"/>
        </w:rPr>
      </w:pPr>
      <w:r w:rsidRPr="001F1399">
        <w:rPr>
          <w:rFonts w:ascii="Book Antiqua" w:hAnsi="Book Antiqua"/>
          <w:b/>
          <w:bCs/>
          <w:sz w:val="24"/>
          <w:szCs w:val="24"/>
          <w:lang w:val="en-US"/>
        </w:rPr>
        <w:t xml:space="preserve">Early exposure to food contaminants reshapes maturation of </w:t>
      </w:r>
      <w:r w:rsidRPr="001F1399">
        <w:rPr>
          <w:rFonts w:ascii="Book Antiqua" w:eastAsia="Calibri" w:hAnsi="Book Antiqua" w:cs="Calibri"/>
          <w:b/>
          <w:bCs/>
          <w:sz w:val="24"/>
          <w:szCs w:val="24"/>
          <w:lang w:val="en-US"/>
        </w:rPr>
        <w:t xml:space="preserve">the </w:t>
      </w:r>
      <w:r w:rsidR="008F6135" w:rsidRPr="001F1399">
        <w:rPr>
          <w:rFonts w:ascii="Book Antiqua" w:eastAsia="Calibri" w:hAnsi="Book Antiqua" w:cs="Calibri"/>
          <w:b/>
          <w:bCs/>
          <w:sz w:val="24"/>
          <w:szCs w:val="24"/>
          <w:lang w:val="en-US"/>
        </w:rPr>
        <w:t xml:space="preserve">human </w:t>
      </w:r>
      <w:r w:rsidRPr="001F1399">
        <w:rPr>
          <w:rFonts w:ascii="Book Antiqua" w:eastAsia="Calibri" w:hAnsi="Book Antiqua" w:cs="Calibri"/>
          <w:b/>
          <w:bCs/>
          <w:sz w:val="24"/>
          <w:szCs w:val="24"/>
          <w:lang w:val="en-US"/>
        </w:rPr>
        <w:t xml:space="preserve">brain-gut-microbiota axis </w:t>
      </w:r>
    </w:p>
    <w:p w14:paraId="4C5976EE" w14:textId="77777777" w:rsidR="00C61D19" w:rsidRPr="001F1399" w:rsidRDefault="00C61D19" w:rsidP="002974FA">
      <w:pPr>
        <w:adjustRightInd w:val="0"/>
        <w:snapToGrid w:val="0"/>
        <w:spacing w:after="0" w:line="360" w:lineRule="auto"/>
        <w:jc w:val="both"/>
        <w:rPr>
          <w:rStyle w:val="normaltextrun"/>
          <w:rFonts w:ascii="Book Antiqua" w:hAnsi="Book Antiqua" w:cs="Calibri"/>
          <w:bCs/>
          <w:sz w:val="24"/>
          <w:szCs w:val="24"/>
          <w:lang w:val="en-US"/>
        </w:rPr>
      </w:pPr>
    </w:p>
    <w:p w14:paraId="5064D274" w14:textId="5CC8900D" w:rsidR="00C61D19" w:rsidRPr="001F1399" w:rsidRDefault="1AB097C2" w:rsidP="002974FA">
      <w:pPr>
        <w:adjustRightInd w:val="0"/>
        <w:snapToGrid w:val="0"/>
        <w:spacing w:after="0" w:line="360" w:lineRule="auto"/>
        <w:jc w:val="both"/>
        <w:rPr>
          <w:rStyle w:val="normaltextrun"/>
          <w:rFonts w:ascii="Book Antiqua" w:hAnsi="Book Antiqua" w:cs="Calibri"/>
          <w:bCs/>
          <w:sz w:val="24"/>
          <w:szCs w:val="24"/>
          <w:lang w:val="en-US"/>
        </w:rPr>
      </w:pPr>
      <w:r w:rsidRPr="001F1399">
        <w:rPr>
          <w:rStyle w:val="normaltextrun"/>
          <w:rFonts w:ascii="Book Antiqua" w:hAnsi="Book Antiqua" w:cs="Calibri"/>
          <w:sz w:val="24"/>
          <w:szCs w:val="24"/>
          <w:lang w:val="en-US"/>
        </w:rPr>
        <w:t>Sarron E</w:t>
      </w:r>
      <w:r w:rsidR="00B15BA7" w:rsidRPr="001F1399">
        <w:rPr>
          <w:rStyle w:val="normaltextrun"/>
          <w:rFonts w:ascii="Book Antiqua" w:hAnsi="Book Antiqua" w:cs="Calibri"/>
          <w:bCs/>
          <w:sz w:val="24"/>
          <w:szCs w:val="24"/>
          <w:lang w:val="en-US"/>
        </w:rPr>
        <w:t xml:space="preserve"> </w:t>
      </w:r>
      <w:r w:rsidR="00B15BA7" w:rsidRPr="001F1399">
        <w:rPr>
          <w:rStyle w:val="normaltextrun"/>
          <w:rFonts w:ascii="Book Antiqua" w:hAnsi="Book Antiqua" w:cs="Calibri"/>
          <w:bCs/>
          <w:i/>
          <w:sz w:val="24"/>
          <w:szCs w:val="24"/>
          <w:lang w:val="en-US"/>
        </w:rPr>
        <w:t>et al.</w:t>
      </w:r>
      <w:r w:rsidR="00B15BA7" w:rsidRPr="001F1399">
        <w:rPr>
          <w:rStyle w:val="normaltextrun"/>
          <w:rFonts w:ascii="Book Antiqua" w:hAnsi="Book Antiqua" w:cs="Calibri"/>
          <w:bCs/>
          <w:sz w:val="24"/>
          <w:szCs w:val="24"/>
          <w:lang w:val="en-US"/>
        </w:rPr>
        <w:t xml:space="preserve"> </w:t>
      </w:r>
      <w:r w:rsidR="008F6135" w:rsidRPr="001F1399">
        <w:rPr>
          <w:rStyle w:val="normaltextrun"/>
          <w:rFonts w:ascii="Book Antiqua" w:hAnsi="Book Antiqua" w:cs="Calibri"/>
          <w:bCs/>
          <w:sz w:val="24"/>
          <w:szCs w:val="24"/>
          <w:lang w:val="en-US"/>
        </w:rPr>
        <w:t xml:space="preserve">Food </w:t>
      </w:r>
      <w:r w:rsidR="00B15BA7" w:rsidRPr="001F1399">
        <w:rPr>
          <w:rStyle w:val="normaltextrun"/>
          <w:rFonts w:ascii="Book Antiqua" w:hAnsi="Book Antiqua" w:cs="Calibri"/>
          <w:bCs/>
          <w:sz w:val="24"/>
          <w:szCs w:val="24"/>
          <w:lang w:val="en-US"/>
        </w:rPr>
        <w:t xml:space="preserve">contaminants and </w:t>
      </w:r>
      <w:r w:rsidR="00AC3BE4" w:rsidRPr="001F1399">
        <w:rPr>
          <w:rStyle w:val="normaltextrun"/>
          <w:rFonts w:ascii="Book Antiqua" w:hAnsi="Book Antiqua" w:cs="Calibri"/>
          <w:bCs/>
          <w:sz w:val="24"/>
          <w:szCs w:val="24"/>
          <w:lang w:val="en-US"/>
        </w:rPr>
        <w:t xml:space="preserve">perinatal </w:t>
      </w:r>
      <w:r w:rsidR="00B15BA7" w:rsidRPr="001F1399">
        <w:rPr>
          <w:rStyle w:val="normaltextrun"/>
          <w:rFonts w:ascii="Book Antiqua" w:hAnsi="Book Antiqua" w:cs="Calibri"/>
          <w:bCs/>
          <w:sz w:val="24"/>
          <w:szCs w:val="24"/>
          <w:lang w:val="en-US"/>
        </w:rPr>
        <w:t>programming</w:t>
      </w:r>
    </w:p>
    <w:p w14:paraId="24634FB3" w14:textId="49DE094E" w:rsidR="00B15BA7" w:rsidRPr="001F1399" w:rsidRDefault="00B15BA7" w:rsidP="002974FA">
      <w:pPr>
        <w:adjustRightInd w:val="0"/>
        <w:snapToGrid w:val="0"/>
        <w:spacing w:after="0" w:line="360" w:lineRule="auto"/>
        <w:jc w:val="both"/>
        <w:rPr>
          <w:rStyle w:val="normaltextrun"/>
          <w:rFonts w:ascii="Book Antiqua" w:hAnsi="Book Antiqua" w:cs="Calibri"/>
          <w:bCs/>
          <w:sz w:val="24"/>
          <w:szCs w:val="24"/>
          <w:lang w:val="en-US"/>
        </w:rPr>
      </w:pPr>
    </w:p>
    <w:p w14:paraId="6617D22C" w14:textId="20119273" w:rsidR="00B15BA7" w:rsidRPr="001F1399" w:rsidRDefault="00AC3BE4" w:rsidP="002974FA">
      <w:pPr>
        <w:adjustRightInd w:val="0"/>
        <w:snapToGrid w:val="0"/>
        <w:spacing w:after="0" w:line="360" w:lineRule="auto"/>
        <w:jc w:val="both"/>
        <w:rPr>
          <w:rStyle w:val="normaltextrun"/>
          <w:rFonts w:ascii="Book Antiqua" w:hAnsi="Book Antiqua" w:cs="Calibri"/>
          <w:sz w:val="24"/>
          <w:szCs w:val="24"/>
        </w:rPr>
      </w:pPr>
      <w:r w:rsidRPr="001F1399">
        <w:rPr>
          <w:rStyle w:val="normaltextrun"/>
          <w:rFonts w:ascii="Book Antiqua" w:hAnsi="Book Antiqua" w:cs="Calibri"/>
          <w:sz w:val="24"/>
          <w:szCs w:val="24"/>
        </w:rPr>
        <w:t xml:space="preserve">Elodie </w:t>
      </w:r>
      <w:r w:rsidR="0089416C" w:rsidRPr="001F1399">
        <w:rPr>
          <w:rStyle w:val="normaltextrun"/>
          <w:rFonts w:ascii="Book Antiqua" w:hAnsi="Book Antiqua" w:cs="Calibri"/>
          <w:sz w:val="24"/>
          <w:szCs w:val="24"/>
        </w:rPr>
        <w:t>Sarron</w:t>
      </w:r>
      <w:r w:rsidR="008F6135" w:rsidRPr="001F1399">
        <w:rPr>
          <w:rStyle w:val="normaltextrun"/>
          <w:rFonts w:ascii="Book Antiqua" w:hAnsi="Book Antiqua" w:cs="Calibri"/>
          <w:sz w:val="24"/>
          <w:szCs w:val="24"/>
        </w:rPr>
        <w:t>,</w:t>
      </w:r>
      <w:r w:rsidR="00B15BA7" w:rsidRPr="001F1399">
        <w:rPr>
          <w:rStyle w:val="normaltextrun"/>
          <w:rFonts w:ascii="Book Antiqua" w:hAnsi="Book Antiqua" w:cs="Calibri"/>
          <w:sz w:val="24"/>
          <w:szCs w:val="24"/>
        </w:rPr>
        <w:t xml:space="preserve"> </w:t>
      </w:r>
      <w:r w:rsidR="00976FFB" w:rsidRPr="001F1399">
        <w:rPr>
          <w:rStyle w:val="normaltextrun"/>
          <w:rFonts w:ascii="Book Antiqua" w:hAnsi="Book Antiqua" w:cs="Calibri"/>
          <w:sz w:val="24"/>
          <w:szCs w:val="24"/>
        </w:rPr>
        <w:t>Maxime P</w:t>
      </w:r>
      <w:r w:rsidR="00EC6800" w:rsidRPr="001F1399">
        <w:rPr>
          <w:rStyle w:val="normaltextrun"/>
          <w:rFonts w:ascii="Book Antiqua" w:hAnsi="Book Antiqua" w:cs="Calibri"/>
          <w:sz w:val="24"/>
          <w:szCs w:val="24"/>
        </w:rPr>
        <w:t>é</w:t>
      </w:r>
      <w:r w:rsidR="00976FFB" w:rsidRPr="001F1399">
        <w:rPr>
          <w:rStyle w:val="normaltextrun"/>
          <w:rFonts w:ascii="Book Antiqua" w:hAnsi="Book Antiqua" w:cs="Calibri"/>
          <w:sz w:val="24"/>
          <w:szCs w:val="24"/>
        </w:rPr>
        <w:t>rot</w:t>
      </w:r>
      <w:r w:rsidR="008F6135" w:rsidRPr="001F1399">
        <w:rPr>
          <w:rStyle w:val="normaltextrun"/>
          <w:rFonts w:ascii="Book Antiqua" w:hAnsi="Book Antiqua" w:cs="Calibri"/>
          <w:sz w:val="24"/>
          <w:szCs w:val="24"/>
        </w:rPr>
        <w:t>,</w:t>
      </w:r>
      <w:r w:rsidR="00976FFB" w:rsidRPr="001F1399">
        <w:rPr>
          <w:rStyle w:val="normaltextrun"/>
          <w:rFonts w:ascii="Book Antiqua" w:hAnsi="Book Antiqua" w:cs="Calibri"/>
          <w:sz w:val="24"/>
          <w:szCs w:val="24"/>
        </w:rPr>
        <w:t xml:space="preserve"> </w:t>
      </w:r>
      <w:r w:rsidRPr="001F1399">
        <w:rPr>
          <w:rStyle w:val="normaltextrun"/>
          <w:rFonts w:ascii="Book Antiqua" w:hAnsi="Book Antiqua" w:cs="Calibri"/>
          <w:sz w:val="24"/>
          <w:szCs w:val="24"/>
        </w:rPr>
        <w:t xml:space="preserve">Nicolas </w:t>
      </w:r>
      <w:r w:rsidR="00B15BA7" w:rsidRPr="001F1399">
        <w:rPr>
          <w:rStyle w:val="normaltextrun"/>
          <w:rFonts w:ascii="Book Antiqua" w:hAnsi="Book Antiqua" w:cs="Calibri"/>
          <w:sz w:val="24"/>
          <w:szCs w:val="24"/>
        </w:rPr>
        <w:t>Barbezier</w:t>
      </w:r>
      <w:r w:rsidR="008F6135" w:rsidRPr="001F1399">
        <w:rPr>
          <w:rStyle w:val="normaltextrun"/>
          <w:rFonts w:ascii="Book Antiqua" w:hAnsi="Book Antiqua" w:cs="Calibri"/>
          <w:sz w:val="24"/>
          <w:szCs w:val="24"/>
        </w:rPr>
        <w:t>,</w:t>
      </w:r>
      <w:r w:rsidR="00B15BA7" w:rsidRPr="001F1399">
        <w:rPr>
          <w:rStyle w:val="normaltextrun"/>
          <w:rFonts w:ascii="Book Antiqua" w:hAnsi="Book Antiqua" w:cs="Calibri"/>
          <w:sz w:val="24"/>
          <w:szCs w:val="24"/>
        </w:rPr>
        <w:t xml:space="preserve"> </w:t>
      </w:r>
      <w:r w:rsidRPr="001F1399">
        <w:rPr>
          <w:rStyle w:val="normaltextrun"/>
          <w:rFonts w:ascii="Book Antiqua" w:hAnsi="Book Antiqua" w:cs="Calibri"/>
          <w:sz w:val="24"/>
          <w:szCs w:val="24"/>
        </w:rPr>
        <w:t xml:space="preserve">Carine </w:t>
      </w:r>
      <w:r w:rsidR="00FC4AEC" w:rsidRPr="001F1399">
        <w:rPr>
          <w:rStyle w:val="normaltextrun"/>
          <w:rFonts w:ascii="Book Antiqua" w:hAnsi="Book Antiqua" w:cs="Calibri"/>
          <w:sz w:val="24"/>
          <w:szCs w:val="24"/>
        </w:rPr>
        <w:t>Delayre-Orthez</w:t>
      </w:r>
      <w:r w:rsidR="008F6135" w:rsidRPr="001F1399">
        <w:rPr>
          <w:rStyle w:val="normaltextrun"/>
          <w:rFonts w:ascii="Book Antiqua" w:hAnsi="Book Antiqua" w:cs="Calibri"/>
          <w:sz w:val="24"/>
          <w:szCs w:val="24"/>
        </w:rPr>
        <w:t>,</w:t>
      </w:r>
      <w:r w:rsidR="00FC4AEC" w:rsidRPr="001F1399">
        <w:rPr>
          <w:rStyle w:val="normaltextrun"/>
          <w:rFonts w:ascii="Book Antiqua" w:hAnsi="Book Antiqua" w:cs="Calibri"/>
          <w:sz w:val="24"/>
          <w:szCs w:val="24"/>
        </w:rPr>
        <w:t xml:space="preserve"> </w:t>
      </w:r>
      <w:r w:rsidRPr="001F1399">
        <w:rPr>
          <w:rStyle w:val="normaltextrun"/>
          <w:rFonts w:ascii="Book Antiqua" w:hAnsi="Book Antiqua" w:cs="Calibri"/>
          <w:sz w:val="24"/>
          <w:szCs w:val="24"/>
        </w:rPr>
        <w:t>J</w:t>
      </w:r>
      <w:r w:rsidR="00EC6800" w:rsidRPr="001F1399">
        <w:rPr>
          <w:rStyle w:val="normaltextrun"/>
          <w:rFonts w:ascii="Book Antiqua" w:hAnsi="Book Antiqua" w:cs="Calibri"/>
          <w:sz w:val="24"/>
          <w:szCs w:val="24"/>
        </w:rPr>
        <w:t>é</w:t>
      </w:r>
      <w:r w:rsidRPr="001F1399">
        <w:rPr>
          <w:rStyle w:val="normaltextrun"/>
          <w:rFonts w:ascii="Book Antiqua" w:hAnsi="Book Antiqua" w:cs="Calibri"/>
          <w:sz w:val="24"/>
          <w:szCs w:val="24"/>
        </w:rPr>
        <w:t>r</w:t>
      </w:r>
      <w:r w:rsidR="00EC6800" w:rsidRPr="001F1399">
        <w:rPr>
          <w:rStyle w:val="normaltextrun"/>
          <w:rFonts w:ascii="Book Antiqua" w:hAnsi="Book Antiqua" w:cs="Calibri"/>
          <w:sz w:val="24"/>
          <w:szCs w:val="24"/>
        </w:rPr>
        <w:t>ô</w:t>
      </w:r>
      <w:r w:rsidRPr="001F1399">
        <w:rPr>
          <w:rStyle w:val="normaltextrun"/>
          <w:rFonts w:ascii="Book Antiqua" w:hAnsi="Book Antiqua" w:cs="Calibri"/>
          <w:sz w:val="24"/>
          <w:szCs w:val="24"/>
        </w:rPr>
        <w:t xml:space="preserve">me </w:t>
      </w:r>
      <w:r w:rsidR="00FC4AEC" w:rsidRPr="001F1399">
        <w:rPr>
          <w:rStyle w:val="normaltextrun"/>
          <w:rFonts w:ascii="Book Antiqua" w:hAnsi="Book Antiqua" w:cs="Calibri"/>
          <w:sz w:val="24"/>
          <w:szCs w:val="24"/>
        </w:rPr>
        <w:t>Gay-Qu</w:t>
      </w:r>
      <w:r w:rsidR="00EC6800" w:rsidRPr="001F1399">
        <w:rPr>
          <w:rStyle w:val="normaltextrun"/>
          <w:rFonts w:ascii="Book Antiqua" w:hAnsi="Book Antiqua" w:cs="Calibri"/>
          <w:sz w:val="24"/>
          <w:szCs w:val="24"/>
        </w:rPr>
        <w:t>é</w:t>
      </w:r>
      <w:r w:rsidR="00FC4AEC" w:rsidRPr="001F1399">
        <w:rPr>
          <w:rStyle w:val="normaltextrun"/>
          <w:rFonts w:ascii="Book Antiqua" w:hAnsi="Book Antiqua" w:cs="Calibri"/>
          <w:sz w:val="24"/>
          <w:szCs w:val="24"/>
        </w:rPr>
        <w:t>heillard</w:t>
      </w:r>
      <w:r w:rsidR="008F6135" w:rsidRPr="001F1399">
        <w:rPr>
          <w:rStyle w:val="normaltextrun"/>
          <w:rFonts w:ascii="Book Antiqua" w:hAnsi="Book Antiqua" w:cs="Calibri"/>
          <w:sz w:val="24"/>
          <w:szCs w:val="24"/>
        </w:rPr>
        <w:t>,</w:t>
      </w:r>
      <w:r w:rsidR="00FC4AEC" w:rsidRPr="001F1399">
        <w:rPr>
          <w:rStyle w:val="normaltextrun"/>
          <w:rFonts w:ascii="Book Antiqua" w:hAnsi="Book Antiqua" w:cs="Calibri"/>
          <w:sz w:val="24"/>
          <w:szCs w:val="24"/>
        </w:rPr>
        <w:t xml:space="preserve"> </w:t>
      </w:r>
      <w:r w:rsidRPr="001F1399">
        <w:rPr>
          <w:rStyle w:val="normaltextrun"/>
          <w:rFonts w:ascii="Book Antiqua" w:hAnsi="Book Antiqua" w:cs="Calibri"/>
          <w:sz w:val="24"/>
          <w:szCs w:val="24"/>
        </w:rPr>
        <w:t xml:space="preserve">Pauline M </w:t>
      </w:r>
      <w:r w:rsidR="0089416C" w:rsidRPr="001F1399">
        <w:rPr>
          <w:rStyle w:val="normaltextrun"/>
          <w:rFonts w:ascii="Book Antiqua" w:hAnsi="Book Antiqua" w:cs="Calibri"/>
          <w:sz w:val="24"/>
          <w:szCs w:val="24"/>
        </w:rPr>
        <w:t>Anton</w:t>
      </w:r>
    </w:p>
    <w:p w14:paraId="0129D399" w14:textId="77777777" w:rsidR="00D4189C" w:rsidRPr="001F1399" w:rsidRDefault="00D4189C" w:rsidP="002974FA">
      <w:pPr>
        <w:pStyle w:val="paragraph"/>
        <w:adjustRightInd w:val="0"/>
        <w:snapToGrid w:val="0"/>
        <w:spacing w:before="0" w:beforeAutospacing="0" w:after="0" w:afterAutospacing="0" w:line="360" w:lineRule="auto"/>
        <w:jc w:val="both"/>
        <w:textAlignment w:val="baseline"/>
        <w:rPr>
          <w:rStyle w:val="normaltextrun"/>
          <w:rFonts w:ascii="Book Antiqua" w:hAnsi="Book Antiqua" w:cs="Calibri"/>
          <w:bCs/>
        </w:rPr>
      </w:pPr>
    </w:p>
    <w:p w14:paraId="4C7EAD43" w14:textId="2702E2F2" w:rsidR="00B15BA7" w:rsidRPr="001F1399" w:rsidRDefault="00D4189C" w:rsidP="002974FA">
      <w:pPr>
        <w:adjustRightInd w:val="0"/>
        <w:snapToGrid w:val="0"/>
        <w:spacing w:after="0" w:line="360" w:lineRule="auto"/>
        <w:jc w:val="both"/>
        <w:rPr>
          <w:rStyle w:val="normaltextrun"/>
          <w:rFonts w:ascii="Book Antiqua" w:hAnsi="Book Antiqua" w:cs="Calibri"/>
          <w:sz w:val="24"/>
          <w:szCs w:val="24"/>
        </w:rPr>
      </w:pPr>
      <w:r w:rsidRPr="001F1399">
        <w:rPr>
          <w:rStyle w:val="normaltextrun"/>
          <w:rFonts w:ascii="Book Antiqua" w:hAnsi="Book Antiqua" w:cs="Calibri"/>
          <w:b/>
          <w:bCs/>
          <w:sz w:val="24"/>
          <w:szCs w:val="24"/>
        </w:rPr>
        <w:t>Elodie Sarron</w:t>
      </w:r>
      <w:r w:rsidRPr="001F1399">
        <w:rPr>
          <w:rStyle w:val="normaltextrun"/>
          <w:rFonts w:ascii="Book Antiqua" w:hAnsi="Book Antiqua" w:cs="Calibri"/>
          <w:sz w:val="24"/>
          <w:szCs w:val="24"/>
        </w:rPr>
        <w:t xml:space="preserve">, </w:t>
      </w:r>
      <w:r w:rsidR="008F6135" w:rsidRPr="001F1399">
        <w:rPr>
          <w:rStyle w:val="normaltextrun"/>
          <w:rFonts w:ascii="Book Antiqua" w:hAnsi="Book Antiqua" w:cs="Calibri"/>
          <w:b/>
          <w:bCs/>
          <w:sz w:val="24"/>
          <w:szCs w:val="24"/>
        </w:rPr>
        <w:t>Maxime Pérot,</w:t>
      </w:r>
      <w:r w:rsidR="008F6135" w:rsidRPr="001F1399">
        <w:rPr>
          <w:rStyle w:val="normaltextrun"/>
          <w:rFonts w:ascii="Book Antiqua" w:hAnsi="Book Antiqua" w:cs="Calibri"/>
          <w:sz w:val="24"/>
          <w:szCs w:val="24"/>
        </w:rPr>
        <w:t xml:space="preserve"> </w:t>
      </w:r>
      <w:r w:rsidR="008F6135" w:rsidRPr="001F1399">
        <w:rPr>
          <w:rStyle w:val="normaltextrun"/>
          <w:rFonts w:ascii="Book Antiqua" w:hAnsi="Book Antiqua" w:cs="Calibri"/>
          <w:b/>
          <w:bCs/>
          <w:sz w:val="24"/>
          <w:szCs w:val="24"/>
        </w:rPr>
        <w:t>Nicolas Barbezier,</w:t>
      </w:r>
      <w:r w:rsidR="008F6135" w:rsidRPr="001F1399">
        <w:rPr>
          <w:rStyle w:val="normaltextrun"/>
          <w:rFonts w:ascii="Book Antiqua" w:hAnsi="Book Antiqua" w:cs="Calibri"/>
          <w:sz w:val="24"/>
          <w:szCs w:val="24"/>
        </w:rPr>
        <w:t xml:space="preserve"> </w:t>
      </w:r>
      <w:r w:rsidR="008F6135" w:rsidRPr="001F1399">
        <w:rPr>
          <w:rStyle w:val="normaltextrun"/>
          <w:rFonts w:ascii="Book Antiqua" w:hAnsi="Book Antiqua" w:cs="Calibri"/>
          <w:b/>
          <w:bCs/>
          <w:sz w:val="24"/>
          <w:szCs w:val="24"/>
        </w:rPr>
        <w:t>Carine Delayre-Orthez</w:t>
      </w:r>
      <w:r w:rsidR="008F6135" w:rsidRPr="001F1399">
        <w:rPr>
          <w:rStyle w:val="normaltextrun"/>
          <w:rFonts w:ascii="Book Antiqua" w:hAnsi="Book Antiqua" w:cs="Calibri"/>
          <w:sz w:val="24"/>
          <w:szCs w:val="24"/>
        </w:rPr>
        <w:t xml:space="preserve">, </w:t>
      </w:r>
      <w:r w:rsidR="008F6135" w:rsidRPr="001F1399">
        <w:rPr>
          <w:rStyle w:val="normaltextrun"/>
          <w:rFonts w:ascii="Book Antiqua" w:hAnsi="Book Antiqua" w:cs="Calibri"/>
          <w:b/>
          <w:bCs/>
          <w:sz w:val="24"/>
          <w:szCs w:val="24"/>
        </w:rPr>
        <w:t>Pauline M Anton,</w:t>
      </w:r>
      <w:r w:rsidR="008F6135" w:rsidRPr="001F1399">
        <w:rPr>
          <w:rStyle w:val="normaltextrun"/>
          <w:rFonts w:ascii="Book Antiqua" w:hAnsi="Book Antiqua" w:cs="Calibri"/>
          <w:sz w:val="24"/>
          <w:szCs w:val="24"/>
        </w:rPr>
        <w:t xml:space="preserve"> </w:t>
      </w:r>
      <w:r w:rsidR="5936E7DD" w:rsidRPr="001F1399">
        <w:rPr>
          <w:rStyle w:val="normaltextrun"/>
          <w:rFonts w:ascii="Book Antiqua" w:hAnsi="Book Antiqua" w:cs="Calibri"/>
          <w:sz w:val="24"/>
          <w:szCs w:val="24"/>
        </w:rPr>
        <w:t xml:space="preserve">Transformations </w:t>
      </w:r>
      <w:r w:rsidR="008F6135" w:rsidRPr="001F1399">
        <w:rPr>
          <w:rStyle w:val="normaltextrun"/>
          <w:rFonts w:ascii="Book Antiqua" w:hAnsi="Book Antiqua" w:cs="Calibri"/>
          <w:sz w:val="24"/>
          <w:szCs w:val="24"/>
        </w:rPr>
        <w:t>and</w:t>
      </w:r>
      <w:r w:rsidR="5936E7DD" w:rsidRPr="001F1399">
        <w:rPr>
          <w:rStyle w:val="normaltextrun"/>
          <w:rFonts w:ascii="Book Antiqua" w:hAnsi="Book Antiqua" w:cs="Calibri"/>
          <w:sz w:val="24"/>
          <w:szCs w:val="24"/>
        </w:rPr>
        <w:t xml:space="preserve"> Agroressources (EA 7519), Institut Polytechnique UniLaSalle, Université d'Artois, Beauvais</w:t>
      </w:r>
      <w:r w:rsidR="008F6135" w:rsidRPr="001F1399">
        <w:rPr>
          <w:rStyle w:val="normaltextrun"/>
          <w:rFonts w:ascii="Book Antiqua" w:hAnsi="Book Antiqua" w:cs="Calibri"/>
          <w:sz w:val="24"/>
          <w:szCs w:val="24"/>
        </w:rPr>
        <w:t xml:space="preserve"> 60026</w:t>
      </w:r>
      <w:r w:rsidR="5936E7DD" w:rsidRPr="001F1399">
        <w:rPr>
          <w:rStyle w:val="normaltextrun"/>
          <w:rFonts w:ascii="Book Antiqua" w:hAnsi="Book Antiqua" w:cs="Calibri"/>
          <w:sz w:val="24"/>
          <w:szCs w:val="24"/>
        </w:rPr>
        <w:t>, France</w:t>
      </w:r>
    </w:p>
    <w:p w14:paraId="18DDA64A" w14:textId="77777777" w:rsidR="00D4189C" w:rsidRPr="001F1399" w:rsidRDefault="00D4189C" w:rsidP="002974FA">
      <w:pPr>
        <w:pStyle w:val="paragraph"/>
        <w:adjustRightInd w:val="0"/>
        <w:snapToGrid w:val="0"/>
        <w:spacing w:before="0" w:beforeAutospacing="0" w:after="0" w:afterAutospacing="0" w:line="360" w:lineRule="auto"/>
        <w:jc w:val="both"/>
        <w:textAlignment w:val="baseline"/>
        <w:rPr>
          <w:rStyle w:val="normaltextrun"/>
          <w:rFonts w:ascii="Book Antiqua" w:hAnsi="Book Antiqua" w:cs="Calibri"/>
          <w:bCs/>
        </w:rPr>
      </w:pPr>
    </w:p>
    <w:p w14:paraId="06DB8449" w14:textId="55A1091B" w:rsidR="00D4189C" w:rsidRPr="001F1399" w:rsidRDefault="00D4189C" w:rsidP="002974FA">
      <w:pPr>
        <w:pStyle w:val="paragraph"/>
        <w:adjustRightInd w:val="0"/>
        <w:snapToGrid w:val="0"/>
        <w:spacing w:before="0" w:beforeAutospacing="0" w:after="0" w:afterAutospacing="0" w:line="360" w:lineRule="auto"/>
        <w:jc w:val="both"/>
        <w:textAlignment w:val="baseline"/>
        <w:rPr>
          <w:rStyle w:val="normaltextrun"/>
          <w:rFonts w:ascii="Book Antiqua" w:hAnsi="Book Antiqua" w:cs="Calibri"/>
          <w:bCs/>
        </w:rPr>
      </w:pPr>
      <w:r w:rsidRPr="001F1399">
        <w:rPr>
          <w:rStyle w:val="normaltextrun"/>
          <w:rFonts w:ascii="Book Antiqua" w:hAnsi="Book Antiqua" w:cs="Calibri"/>
          <w:b/>
          <w:bCs/>
        </w:rPr>
        <w:t>J</w:t>
      </w:r>
      <w:r w:rsidR="00EC6800" w:rsidRPr="001F1399">
        <w:rPr>
          <w:rStyle w:val="normaltextrun"/>
          <w:rFonts w:ascii="Book Antiqua" w:hAnsi="Book Antiqua" w:cs="Calibri"/>
          <w:b/>
          <w:bCs/>
        </w:rPr>
        <w:t>é</w:t>
      </w:r>
      <w:r w:rsidRPr="001F1399">
        <w:rPr>
          <w:rStyle w:val="normaltextrun"/>
          <w:rFonts w:ascii="Book Antiqua" w:hAnsi="Book Antiqua" w:cs="Calibri"/>
          <w:b/>
          <w:bCs/>
        </w:rPr>
        <w:t>r</w:t>
      </w:r>
      <w:r w:rsidR="00EC6800" w:rsidRPr="001F1399">
        <w:rPr>
          <w:rStyle w:val="normaltextrun"/>
          <w:rFonts w:ascii="Book Antiqua" w:hAnsi="Book Antiqua" w:cs="Calibri"/>
          <w:b/>
          <w:bCs/>
        </w:rPr>
        <w:t>ô</w:t>
      </w:r>
      <w:r w:rsidRPr="001F1399">
        <w:rPr>
          <w:rStyle w:val="normaltextrun"/>
          <w:rFonts w:ascii="Book Antiqua" w:hAnsi="Book Antiqua" w:cs="Calibri"/>
          <w:b/>
          <w:bCs/>
        </w:rPr>
        <w:t>me Gay-Qu</w:t>
      </w:r>
      <w:r w:rsidR="00EC6800" w:rsidRPr="001F1399">
        <w:rPr>
          <w:rStyle w:val="normaltextrun"/>
          <w:rFonts w:ascii="Book Antiqua" w:hAnsi="Book Antiqua" w:cs="Calibri"/>
          <w:b/>
          <w:bCs/>
        </w:rPr>
        <w:t>é</w:t>
      </w:r>
      <w:r w:rsidRPr="001F1399">
        <w:rPr>
          <w:rStyle w:val="normaltextrun"/>
          <w:rFonts w:ascii="Book Antiqua" w:hAnsi="Book Antiqua" w:cs="Calibri"/>
          <w:b/>
          <w:bCs/>
        </w:rPr>
        <w:t>heillard</w:t>
      </w:r>
      <w:r w:rsidRPr="001F1399">
        <w:rPr>
          <w:rStyle w:val="normaltextrun"/>
          <w:rFonts w:ascii="Book Antiqua" w:hAnsi="Book Antiqua" w:cs="Calibri"/>
          <w:bCs/>
        </w:rPr>
        <w:t>, P</w:t>
      </w:r>
      <w:r w:rsidR="00EC6800" w:rsidRPr="001F1399">
        <w:rPr>
          <w:rStyle w:val="normaltextrun"/>
          <w:rFonts w:ascii="Book Antiqua" w:hAnsi="Book Antiqua" w:cs="Calibri"/>
          <w:bCs/>
        </w:rPr>
        <w:t>é</w:t>
      </w:r>
      <w:r w:rsidRPr="001F1399">
        <w:rPr>
          <w:rStyle w:val="normaltextrun"/>
          <w:rFonts w:ascii="Book Antiqua" w:hAnsi="Book Antiqua" w:cs="Calibri"/>
          <w:bCs/>
        </w:rPr>
        <w:t>ri</w:t>
      </w:r>
      <w:r w:rsidR="00EC6800" w:rsidRPr="001F1399">
        <w:rPr>
          <w:rStyle w:val="normaltextrun"/>
          <w:rFonts w:ascii="Book Antiqua" w:hAnsi="Book Antiqua" w:cs="Calibri"/>
          <w:bCs/>
        </w:rPr>
        <w:t>natalité et risques T</w:t>
      </w:r>
      <w:r w:rsidRPr="001F1399">
        <w:rPr>
          <w:rStyle w:val="normaltextrun"/>
          <w:rFonts w:ascii="Book Antiqua" w:hAnsi="Book Antiqua" w:cs="Calibri"/>
          <w:bCs/>
        </w:rPr>
        <w:t>ox</w:t>
      </w:r>
      <w:r w:rsidR="00EC6800" w:rsidRPr="001F1399">
        <w:rPr>
          <w:rStyle w:val="normaltextrun"/>
          <w:rFonts w:ascii="Book Antiqua" w:hAnsi="Book Antiqua" w:cs="Calibri"/>
          <w:bCs/>
        </w:rPr>
        <w:t>iques</w:t>
      </w:r>
      <w:r w:rsidR="001E7A15" w:rsidRPr="001F1399">
        <w:rPr>
          <w:rStyle w:val="normaltextrun"/>
          <w:rFonts w:ascii="Book Antiqua" w:hAnsi="Book Antiqua" w:cs="Calibri"/>
          <w:bCs/>
        </w:rPr>
        <w:t>,</w:t>
      </w:r>
      <w:r w:rsidRPr="001F1399">
        <w:rPr>
          <w:rStyle w:val="normaltextrun"/>
          <w:rFonts w:ascii="Book Antiqua" w:hAnsi="Book Antiqua" w:cs="Calibri"/>
          <w:bCs/>
        </w:rPr>
        <w:t xml:space="preserve"> UMR-I</w:t>
      </w:r>
      <w:r w:rsidR="001E2F69" w:rsidRPr="001F1399">
        <w:rPr>
          <w:rStyle w:val="normaltextrun"/>
          <w:rFonts w:ascii="Book Antiqua" w:hAnsi="Book Antiqua" w:cs="Calibri"/>
          <w:bCs/>
        </w:rPr>
        <w:t>-0</w:t>
      </w:r>
      <w:r w:rsidRPr="001F1399">
        <w:rPr>
          <w:rStyle w:val="normaltextrun"/>
          <w:rFonts w:ascii="Book Antiqua" w:hAnsi="Book Antiqua" w:cs="Calibri"/>
          <w:bCs/>
        </w:rPr>
        <w:t>1</w:t>
      </w:r>
      <w:r w:rsidR="001E7A15" w:rsidRPr="001F1399">
        <w:rPr>
          <w:rStyle w:val="normaltextrun"/>
          <w:rFonts w:ascii="Book Antiqua" w:hAnsi="Book Antiqua" w:cs="Calibri"/>
          <w:bCs/>
        </w:rPr>
        <w:t xml:space="preserve">, </w:t>
      </w:r>
      <w:r w:rsidRPr="001F1399">
        <w:rPr>
          <w:rStyle w:val="normaltextrun"/>
          <w:rFonts w:ascii="Book Antiqua" w:hAnsi="Book Antiqua" w:cs="Calibri"/>
          <w:bCs/>
        </w:rPr>
        <w:t>Université de Picardie Jules Verne</w:t>
      </w:r>
      <w:r w:rsidR="001E7A15" w:rsidRPr="001F1399">
        <w:rPr>
          <w:rStyle w:val="normaltextrun"/>
          <w:rFonts w:ascii="Book Antiqua" w:hAnsi="Book Antiqua" w:cs="Calibri"/>
          <w:bCs/>
        </w:rPr>
        <w:t xml:space="preserve">, </w:t>
      </w:r>
      <w:r w:rsidRPr="001F1399">
        <w:rPr>
          <w:rStyle w:val="normaltextrun"/>
          <w:rFonts w:ascii="Book Antiqua" w:hAnsi="Book Antiqua" w:cs="Calibri"/>
          <w:bCs/>
        </w:rPr>
        <w:t>Amiens</w:t>
      </w:r>
      <w:r w:rsidR="008F6135" w:rsidRPr="001F1399">
        <w:rPr>
          <w:rStyle w:val="normaltextrun"/>
          <w:rFonts w:ascii="Book Antiqua" w:hAnsi="Book Antiqua" w:cs="Calibri"/>
          <w:bCs/>
        </w:rPr>
        <w:t xml:space="preserve"> 80000</w:t>
      </w:r>
      <w:r w:rsidR="001E7A15" w:rsidRPr="001F1399">
        <w:rPr>
          <w:rStyle w:val="normaltextrun"/>
          <w:rFonts w:ascii="Book Antiqua" w:hAnsi="Book Antiqua" w:cs="Calibri"/>
          <w:bCs/>
        </w:rPr>
        <w:t>,</w:t>
      </w:r>
      <w:r w:rsidRPr="001F1399">
        <w:rPr>
          <w:rStyle w:val="normaltextrun"/>
          <w:rFonts w:ascii="Book Antiqua" w:hAnsi="Book Antiqua" w:cs="Calibri"/>
          <w:bCs/>
        </w:rPr>
        <w:t xml:space="preserve"> France</w:t>
      </w:r>
    </w:p>
    <w:p w14:paraId="0F3F3EFE" w14:textId="77777777" w:rsidR="00B15BA7" w:rsidRPr="001F1399" w:rsidRDefault="00B15BA7" w:rsidP="002974FA">
      <w:pPr>
        <w:pStyle w:val="paragraph"/>
        <w:adjustRightInd w:val="0"/>
        <w:snapToGrid w:val="0"/>
        <w:spacing w:before="0" w:beforeAutospacing="0" w:after="0" w:afterAutospacing="0" w:line="360" w:lineRule="auto"/>
        <w:jc w:val="both"/>
        <w:textAlignment w:val="baseline"/>
        <w:rPr>
          <w:rStyle w:val="normaltextrun"/>
          <w:rFonts w:ascii="Book Antiqua" w:hAnsi="Book Antiqua" w:cs="Calibri"/>
          <w:bCs/>
        </w:rPr>
      </w:pPr>
    </w:p>
    <w:p w14:paraId="088BCD99" w14:textId="1727C88A" w:rsidR="00061FC2" w:rsidRPr="001F1399" w:rsidRDefault="00353E91" w:rsidP="002974FA">
      <w:pPr>
        <w:adjustRightInd w:val="0"/>
        <w:snapToGrid w:val="0"/>
        <w:spacing w:after="0" w:line="360" w:lineRule="auto"/>
        <w:jc w:val="both"/>
        <w:rPr>
          <w:rFonts w:ascii="Book Antiqua" w:eastAsia="Calibri" w:hAnsi="Book Antiqua" w:cs="Calibri"/>
          <w:sz w:val="24"/>
          <w:szCs w:val="24"/>
          <w:lang w:val="en-US"/>
        </w:rPr>
      </w:pPr>
      <w:r w:rsidRPr="001F1399">
        <w:rPr>
          <w:rFonts w:ascii="Book Antiqua" w:hAnsi="Book Antiqua"/>
          <w:b/>
          <w:sz w:val="24"/>
          <w:szCs w:val="24"/>
        </w:rPr>
        <w:t>Author contributions:</w:t>
      </w:r>
      <w:r w:rsidRPr="001F1399">
        <w:rPr>
          <w:rFonts w:ascii="Book Antiqua" w:eastAsia="宋体" w:hAnsi="Book Antiqua"/>
          <w:b/>
          <w:sz w:val="24"/>
          <w:szCs w:val="24"/>
          <w:lang w:eastAsia="zh-CN"/>
        </w:rPr>
        <w:t xml:space="preserve"> </w:t>
      </w:r>
      <w:r w:rsidR="00061FC2" w:rsidRPr="001F1399">
        <w:rPr>
          <w:rFonts w:ascii="Book Antiqua" w:eastAsia="Calibri" w:hAnsi="Book Antiqua" w:cs="Calibri"/>
          <w:sz w:val="24"/>
          <w:szCs w:val="24"/>
          <w:lang w:val="en-US"/>
        </w:rPr>
        <w:t>Sarron E contributed to the synthesis of information related to antibiotics and gut homeostasis; Pérot M and Delayre-Orthez C worked on the consequences of environmental factors on the establisment and orientation of immune response in relation to gut homeostasis; Barbezier N worked on the molecular and epigenetic consequences of such alterations; Gay-Quéheillard J worked mainly on brain gut microbiota axis exchanges and Anton PM supervised the overall work and contributed to the final form of the manuscript by completing, synthetizing and linking all the work together.</w:t>
      </w:r>
    </w:p>
    <w:p w14:paraId="1FCFC574" w14:textId="77777777" w:rsidR="00061FC2" w:rsidRPr="001F1399" w:rsidRDefault="00061FC2" w:rsidP="002974FA">
      <w:pPr>
        <w:pStyle w:val="paragraph"/>
        <w:adjustRightInd w:val="0"/>
        <w:snapToGrid w:val="0"/>
        <w:spacing w:before="0" w:beforeAutospacing="0" w:after="0" w:afterAutospacing="0" w:line="360" w:lineRule="auto"/>
        <w:jc w:val="both"/>
        <w:textAlignment w:val="baseline"/>
        <w:rPr>
          <w:rStyle w:val="normaltextrun"/>
          <w:rFonts w:ascii="Book Antiqua" w:hAnsi="Book Antiqua" w:cs="Calibri"/>
          <w:b/>
          <w:bCs/>
          <w:lang w:val="en-US"/>
        </w:rPr>
      </w:pPr>
    </w:p>
    <w:p w14:paraId="1E478A54" w14:textId="692DA5EC" w:rsidR="00B15BA7" w:rsidRPr="001F1399" w:rsidRDefault="00353E91" w:rsidP="002974FA">
      <w:pPr>
        <w:pStyle w:val="paragraph"/>
        <w:adjustRightInd w:val="0"/>
        <w:snapToGrid w:val="0"/>
        <w:spacing w:before="0" w:beforeAutospacing="0" w:after="0" w:afterAutospacing="0" w:line="360" w:lineRule="auto"/>
        <w:jc w:val="both"/>
        <w:textAlignment w:val="baseline"/>
        <w:rPr>
          <w:rStyle w:val="normaltextrun"/>
          <w:rFonts w:ascii="Book Antiqua" w:hAnsi="Book Antiqua" w:cs="Calibri"/>
          <w:lang w:val="en-US"/>
        </w:rPr>
      </w:pPr>
      <w:r w:rsidRPr="001F1399">
        <w:rPr>
          <w:rFonts w:ascii="Book Antiqua" w:hAnsi="Book Antiqua"/>
          <w:b/>
        </w:rPr>
        <w:t>Corresponding author:</w:t>
      </w:r>
      <w:r w:rsidRPr="001F1399">
        <w:rPr>
          <w:rFonts w:ascii="Book Antiqua" w:eastAsia="宋体" w:hAnsi="Book Antiqua" w:cs="Arial"/>
          <w:b/>
          <w:bCs/>
          <w:lang w:eastAsia="zh-CN"/>
        </w:rPr>
        <w:t xml:space="preserve"> </w:t>
      </w:r>
      <w:r w:rsidR="00FC4AEC" w:rsidRPr="001F1399">
        <w:rPr>
          <w:rStyle w:val="normaltextrun"/>
          <w:rFonts w:ascii="Book Antiqua" w:hAnsi="Book Antiqua" w:cs="Calibri"/>
          <w:b/>
          <w:bCs/>
          <w:lang w:val="en-US"/>
        </w:rPr>
        <w:t xml:space="preserve">Pauline M Anton, PhD, </w:t>
      </w:r>
      <w:r w:rsidR="0073146A" w:rsidRPr="001F1399">
        <w:rPr>
          <w:rStyle w:val="normaltextrun"/>
          <w:rFonts w:ascii="Book Antiqua" w:hAnsi="Book Antiqua" w:cs="Calibri"/>
          <w:b/>
          <w:bCs/>
          <w:lang w:val="en-US"/>
        </w:rPr>
        <w:t>Associate Professor</w:t>
      </w:r>
      <w:r w:rsidR="0073146A" w:rsidRPr="001F1399">
        <w:rPr>
          <w:rStyle w:val="normaltextrun"/>
          <w:rFonts w:ascii="Book Antiqua" w:hAnsi="Book Antiqua" w:cs="Calibri"/>
          <w:lang w:val="en-US"/>
        </w:rPr>
        <w:t xml:space="preserve">, </w:t>
      </w:r>
      <w:r w:rsidR="008F6135" w:rsidRPr="001F1399">
        <w:rPr>
          <w:rStyle w:val="normaltextrun"/>
          <w:rFonts w:ascii="Book Antiqua" w:hAnsi="Book Antiqua" w:cs="Calibri"/>
          <w:lang w:val="en-US"/>
        </w:rPr>
        <w:t>Transformations and Agroressources (EA 7519), Institut Polytechnique UniLaSalle, Université d'Artois</w:t>
      </w:r>
      <w:r w:rsidR="73900813" w:rsidRPr="001F1399">
        <w:rPr>
          <w:rStyle w:val="normaltextrun"/>
          <w:rFonts w:ascii="Book Antiqua" w:hAnsi="Book Antiqua" w:cs="Calibri"/>
          <w:lang w:val="en-US"/>
        </w:rPr>
        <w:t xml:space="preserve">, </w:t>
      </w:r>
      <w:r w:rsidR="0073146A" w:rsidRPr="001F1399">
        <w:rPr>
          <w:rStyle w:val="normaltextrun"/>
          <w:rFonts w:ascii="Book Antiqua" w:hAnsi="Book Antiqua" w:cs="Calibri"/>
          <w:lang w:val="en-US"/>
        </w:rPr>
        <w:t xml:space="preserve">19 Rue Pierre Waguet, BP 30313, </w:t>
      </w:r>
      <w:r w:rsidR="008F6135" w:rsidRPr="001F1399">
        <w:rPr>
          <w:rStyle w:val="normaltextrun"/>
          <w:rFonts w:ascii="Book Antiqua" w:hAnsi="Book Antiqua" w:cs="Calibri"/>
          <w:lang w:val="en-US"/>
        </w:rPr>
        <w:t>Beauvais 60026, France</w:t>
      </w:r>
      <w:r w:rsidR="005555FF" w:rsidRPr="001F1399">
        <w:rPr>
          <w:rStyle w:val="normaltextrun"/>
          <w:rFonts w:ascii="Book Antiqua" w:hAnsi="Book Antiqua" w:cs="Calibri"/>
          <w:lang w:val="en-US"/>
        </w:rPr>
        <w:t xml:space="preserve">. </w:t>
      </w:r>
      <w:r w:rsidR="005555FF" w:rsidRPr="001F1399">
        <w:rPr>
          <w:rFonts w:ascii="Book Antiqua" w:hAnsi="Book Antiqua" w:cs="Calibri"/>
          <w:u w:val="single"/>
          <w:lang w:val="en-US"/>
        </w:rPr>
        <w:t>pauline.anton@unilasalle.fr</w:t>
      </w:r>
      <w:r w:rsidR="005555FF" w:rsidRPr="001F1399">
        <w:rPr>
          <w:rStyle w:val="normaltextrun"/>
          <w:rFonts w:ascii="Book Antiqua" w:hAnsi="Book Antiqua" w:cs="Calibri"/>
          <w:lang w:val="en-US"/>
        </w:rPr>
        <w:t xml:space="preserve"> </w:t>
      </w:r>
    </w:p>
    <w:p w14:paraId="20DC2975" w14:textId="78ADED92" w:rsidR="00B15BA7" w:rsidRPr="001F1399" w:rsidRDefault="00B15BA7" w:rsidP="002974FA">
      <w:pPr>
        <w:adjustRightInd w:val="0"/>
        <w:snapToGrid w:val="0"/>
        <w:spacing w:after="0" w:line="360" w:lineRule="auto"/>
        <w:jc w:val="both"/>
        <w:rPr>
          <w:rStyle w:val="normaltextrun"/>
          <w:rFonts w:ascii="Book Antiqua" w:hAnsi="Book Antiqua" w:cs="Calibri"/>
          <w:bCs/>
          <w:sz w:val="24"/>
          <w:szCs w:val="24"/>
          <w:lang w:val="en-US"/>
        </w:rPr>
      </w:pPr>
    </w:p>
    <w:p w14:paraId="1C9043F2" w14:textId="0CF4E1F3" w:rsidR="00353E91" w:rsidRPr="001F1399" w:rsidRDefault="00353E91" w:rsidP="002974FA">
      <w:pPr>
        <w:snapToGrid w:val="0"/>
        <w:spacing w:after="0" w:line="360" w:lineRule="auto"/>
        <w:jc w:val="both"/>
        <w:rPr>
          <w:rFonts w:ascii="Book Antiqua" w:hAnsi="Book Antiqua"/>
          <w:b/>
          <w:sz w:val="24"/>
          <w:szCs w:val="24"/>
        </w:rPr>
      </w:pPr>
      <w:r w:rsidRPr="001F1399">
        <w:rPr>
          <w:rFonts w:ascii="Book Antiqua" w:hAnsi="Book Antiqua"/>
          <w:b/>
          <w:sz w:val="24"/>
          <w:szCs w:val="24"/>
        </w:rPr>
        <w:lastRenderedPageBreak/>
        <w:t>Received:</w:t>
      </w:r>
      <w:r w:rsidRPr="001F1399">
        <w:rPr>
          <w:rFonts w:ascii="Book Antiqua" w:eastAsia="宋体" w:hAnsi="Book Antiqua"/>
          <w:b/>
          <w:sz w:val="24"/>
          <w:szCs w:val="24"/>
          <w:lang w:eastAsia="zh-CN"/>
        </w:rPr>
        <w:t xml:space="preserve"> </w:t>
      </w:r>
      <w:r w:rsidRPr="001F1399">
        <w:rPr>
          <w:rFonts w:ascii="Book Antiqua" w:hAnsi="Book Antiqua"/>
          <w:bCs/>
          <w:sz w:val="24"/>
          <w:szCs w:val="24"/>
        </w:rPr>
        <w:t>January 31, 2020</w:t>
      </w:r>
    </w:p>
    <w:p w14:paraId="658B58A7" w14:textId="7D36659E" w:rsidR="00353E91" w:rsidRPr="001F1399" w:rsidRDefault="00353E91" w:rsidP="002974FA">
      <w:pPr>
        <w:snapToGrid w:val="0"/>
        <w:spacing w:after="0" w:line="360" w:lineRule="auto"/>
        <w:jc w:val="both"/>
        <w:rPr>
          <w:rFonts w:ascii="Book Antiqua" w:eastAsia="宋体" w:hAnsi="Book Antiqua"/>
          <w:b/>
          <w:sz w:val="24"/>
          <w:szCs w:val="24"/>
          <w:lang w:eastAsia="zh-CN"/>
        </w:rPr>
      </w:pPr>
      <w:r w:rsidRPr="001F1399">
        <w:rPr>
          <w:rFonts w:ascii="Book Antiqua" w:hAnsi="Book Antiqua"/>
          <w:b/>
          <w:sz w:val="24"/>
          <w:szCs w:val="24"/>
        </w:rPr>
        <w:t xml:space="preserve">Revised: </w:t>
      </w:r>
      <w:r w:rsidRPr="001F1399">
        <w:rPr>
          <w:rFonts w:ascii="Book Antiqua" w:hAnsi="Book Antiqua"/>
          <w:bCs/>
          <w:sz w:val="24"/>
          <w:szCs w:val="24"/>
        </w:rPr>
        <w:t>May 12, 2020</w:t>
      </w:r>
    </w:p>
    <w:p w14:paraId="2DD4F249" w14:textId="51A3A93F" w:rsidR="00353E91" w:rsidRPr="001F1399" w:rsidRDefault="00353E91" w:rsidP="002974FA">
      <w:pPr>
        <w:snapToGrid w:val="0"/>
        <w:spacing w:after="0" w:line="360" w:lineRule="auto"/>
        <w:jc w:val="both"/>
        <w:rPr>
          <w:rFonts w:ascii="Book Antiqua" w:hAnsi="Book Antiqua"/>
          <w:color w:val="000000"/>
          <w:sz w:val="24"/>
          <w:szCs w:val="24"/>
        </w:rPr>
      </w:pPr>
      <w:r w:rsidRPr="001F1399">
        <w:rPr>
          <w:rFonts w:ascii="Book Antiqua" w:hAnsi="Book Antiqua"/>
          <w:b/>
          <w:sz w:val="24"/>
          <w:szCs w:val="24"/>
        </w:rPr>
        <w:t>Accepted:</w:t>
      </w:r>
      <w:bookmarkStart w:id="2" w:name="OLE_LINK98"/>
      <w:bookmarkStart w:id="3" w:name="OLE_LINK99"/>
      <w:bookmarkStart w:id="4" w:name="OLE_LINK104"/>
      <w:bookmarkStart w:id="5" w:name="OLE_LINK110"/>
      <w:bookmarkStart w:id="6" w:name="OLE_LINK111"/>
      <w:bookmarkStart w:id="7" w:name="OLE_LINK115"/>
      <w:bookmarkStart w:id="8" w:name="OLE_LINK116"/>
      <w:r w:rsidRPr="001F1399">
        <w:rPr>
          <w:rFonts w:ascii="Book Antiqua" w:hAnsi="Book Antiqua"/>
          <w:color w:val="000000"/>
          <w:sz w:val="24"/>
          <w:szCs w:val="24"/>
        </w:rPr>
        <w:t xml:space="preserve"> </w:t>
      </w:r>
      <w:bookmarkEnd w:id="2"/>
      <w:bookmarkEnd w:id="3"/>
      <w:bookmarkEnd w:id="4"/>
      <w:bookmarkEnd w:id="5"/>
      <w:bookmarkEnd w:id="6"/>
      <w:bookmarkEnd w:id="7"/>
      <w:bookmarkEnd w:id="8"/>
      <w:r w:rsidR="00616987" w:rsidRPr="001F1399">
        <w:rPr>
          <w:rFonts w:ascii="Book Antiqua" w:hAnsi="Book Antiqua"/>
          <w:color w:val="000000"/>
          <w:sz w:val="24"/>
          <w:szCs w:val="24"/>
        </w:rPr>
        <w:t>May 30, 2020</w:t>
      </w:r>
    </w:p>
    <w:p w14:paraId="161ECF28" w14:textId="7F93FBA5" w:rsidR="005555FF" w:rsidRPr="001F1399" w:rsidRDefault="00353E91" w:rsidP="002974FA">
      <w:pPr>
        <w:snapToGrid w:val="0"/>
        <w:spacing w:after="0" w:line="360" w:lineRule="auto"/>
        <w:jc w:val="both"/>
        <w:rPr>
          <w:rStyle w:val="normaltextrun"/>
          <w:rFonts w:ascii="Book Antiqua" w:hAnsi="Book Antiqua"/>
          <w:b/>
          <w:sz w:val="24"/>
          <w:szCs w:val="24"/>
          <w:lang w:eastAsia="zh-CN"/>
        </w:rPr>
      </w:pPr>
      <w:r w:rsidRPr="001F1399">
        <w:rPr>
          <w:rFonts w:ascii="Book Antiqua" w:hAnsi="Book Antiqua"/>
          <w:b/>
          <w:sz w:val="24"/>
          <w:szCs w:val="24"/>
        </w:rPr>
        <w:t xml:space="preserve">Published online: </w:t>
      </w:r>
      <w:r w:rsidR="001F1399" w:rsidRPr="001F1399">
        <w:rPr>
          <w:rFonts w:ascii="Book Antiqua" w:hAnsi="Book Antiqua" w:hint="eastAsia"/>
          <w:sz w:val="24"/>
          <w:szCs w:val="24"/>
          <w:lang w:eastAsia="zh-CN"/>
        </w:rPr>
        <w:t xml:space="preserve"> June 21, 2020</w:t>
      </w:r>
    </w:p>
    <w:p w14:paraId="2AE965B7" w14:textId="77777777" w:rsidR="008F6135" w:rsidRPr="001F1399" w:rsidRDefault="008F6135" w:rsidP="002974FA">
      <w:pPr>
        <w:adjustRightInd w:val="0"/>
        <w:snapToGrid w:val="0"/>
        <w:spacing w:after="0" w:line="360" w:lineRule="auto"/>
        <w:jc w:val="both"/>
        <w:rPr>
          <w:rStyle w:val="normaltextrun"/>
          <w:rFonts w:ascii="Book Antiqua" w:eastAsia="Times New Roman" w:hAnsi="Book Antiqua" w:cs="Calibri"/>
          <w:bCs/>
          <w:i/>
          <w:sz w:val="24"/>
          <w:szCs w:val="24"/>
          <w:lang w:val="en-US" w:eastAsia="fr-FR"/>
        </w:rPr>
      </w:pPr>
      <w:r w:rsidRPr="001F1399">
        <w:rPr>
          <w:rStyle w:val="normaltextrun"/>
          <w:rFonts w:ascii="Book Antiqua" w:hAnsi="Book Antiqua" w:cs="Calibri"/>
          <w:bCs/>
          <w:i/>
          <w:sz w:val="24"/>
          <w:szCs w:val="24"/>
          <w:lang w:val="en-US"/>
        </w:rPr>
        <w:br w:type="page"/>
      </w:r>
    </w:p>
    <w:p w14:paraId="40D2A93D" w14:textId="6CB3694A" w:rsidR="00353E91" w:rsidRPr="001F1399" w:rsidRDefault="00353E91" w:rsidP="002974FA">
      <w:pPr>
        <w:pStyle w:val="paragraph"/>
        <w:adjustRightInd w:val="0"/>
        <w:snapToGrid w:val="0"/>
        <w:spacing w:before="0" w:beforeAutospacing="0" w:after="0" w:afterAutospacing="0" w:line="360" w:lineRule="auto"/>
        <w:jc w:val="both"/>
        <w:textAlignment w:val="baseline"/>
        <w:rPr>
          <w:rStyle w:val="normaltextrun"/>
          <w:rFonts w:ascii="Book Antiqua" w:hAnsi="Book Antiqua" w:cs="Calibri"/>
          <w:bCs/>
          <w:lang w:val="en-US"/>
        </w:rPr>
      </w:pPr>
      <w:r w:rsidRPr="001F1399">
        <w:rPr>
          <w:rFonts w:ascii="Book Antiqua" w:hAnsi="Book Antiqua"/>
          <w:b/>
          <w:bCs/>
          <w:lang w:val="es-ES" w:eastAsia="es-ES"/>
        </w:rPr>
        <w:lastRenderedPageBreak/>
        <w:t>Abstract</w:t>
      </w:r>
    </w:p>
    <w:p w14:paraId="6F19F842" w14:textId="7D3A4E16" w:rsidR="00811C8A" w:rsidRPr="001F1399" w:rsidRDefault="00811C8A" w:rsidP="002974FA">
      <w:pPr>
        <w:pStyle w:val="paragraph"/>
        <w:adjustRightInd w:val="0"/>
        <w:snapToGrid w:val="0"/>
        <w:spacing w:before="0" w:beforeAutospacing="0" w:after="0" w:afterAutospacing="0" w:line="360" w:lineRule="auto"/>
        <w:jc w:val="both"/>
        <w:textAlignment w:val="baseline"/>
        <w:rPr>
          <w:rStyle w:val="normaltextrun"/>
          <w:rFonts w:ascii="Book Antiqua" w:hAnsi="Book Antiqua" w:cs="Calibri"/>
          <w:bCs/>
          <w:lang w:val="en-US"/>
        </w:rPr>
      </w:pPr>
      <w:r w:rsidRPr="001F1399">
        <w:rPr>
          <w:rStyle w:val="normaltextrun"/>
          <w:rFonts w:ascii="Book Antiqua" w:hAnsi="Book Antiqua" w:cs="Calibri"/>
          <w:bCs/>
          <w:lang w:val="en-US"/>
        </w:rPr>
        <w:t>Early childhood growth and development is conditioned by the consecutive events belonging to perinatal programming. This critical window of life will be very sensitive to any event altering programming</w:t>
      </w:r>
      <w:r w:rsidR="55A53EA7" w:rsidRPr="001F1399">
        <w:rPr>
          <w:rStyle w:val="normaltextrun"/>
          <w:rFonts w:ascii="Book Antiqua" w:hAnsi="Book Antiqua" w:cs="Calibri"/>
          <w:lang w:val="en-US"/>
        </w:rPr>
        <w:t xml:space="preserve"> of </w:t>
      </w:r>
      <w:r w:rsidR="00BA690B" w:rsidRPr="001F1399">
        <w:rPr>
          <w:rStyle w:val="normaltextrun"/>
          <w:rFonts w:ascii="Book Antiqua" w:hAnsi="Book Antiqua" w:cs="Calibri"/>
          <w:lang w:val="en-US"/>
        </w:rPr>
        <w:t xml:space="preserve">the main </w:t>
      </w:r>
      <w:r w:rsidR="00AA6F9B" w:rsidRPr="001F1399">
        <w:rPr>
          <w:rStyle w:val="normaltextrun"/>
          <w:rFonts w:ascii="Book Antiqua" w:hAnsi="Book Antiqua" w:cs="Calibri"/>
          <w:lang w:val="en-US"/>
        </w:rPr>
        <w:t>body functions</w:t>
      </w:r>
      <w:r w:rsidRPr="001F1399">
        <w:rPr>
          <w:rStyle w:val="normaltextrun"/>
          <w:rFonts w:ascii="Book Antiqua" w:hAnsi="Book Antiqua" w:cs="Calibri"/>
          <w:lang w:val="en-US"/>
        </w:rPr>
        <w:t>.</w:t>
      </w:r>
      <w:r w:rsidRPr="001F1399">
        <w:rPr>
          <w:rStyle w:val="normaltextrun"/>
          <w:rFonts w:ascii="Book Antiqua" w:hAnsi="Book Antiqua" w:cs="Calibri"/>
          <w:bCs/>
          <w:lang w:val="en-US"/>
        </w:rPr>
        <w:t xml:space="preserve"> </w:t>
      </w:r>
      <w:r w:rsidR="00AA6F9B" w:rsidRPr="001F1399">
        <w:rPr>
          <w:rStyle w:val="normaltextrun"/>
          <w:rFonts w:ascii="Book Antiqua" w:hAnsi="Book Antiqua" w:cs="Calibri"/>
          <w:bCs/>
          <w:lang w:val="en-US"/>
        </w:rPr>
        <w:t xml:space="preserve">Programming of </w:t>
      </w:r>
      <w:r w:rsidR="00503062" w:rsidRPr="001F1399">
        <w:rPr>
          <w:rStyle w:val="normaltextrun"/>
          <w:rFonts w:ascii="Book Antiqua" w:hAnsi="Book Antiqua" w:cs="Calibri"/>
          <w:bCs/>
          <w:lang w:val="en-US"/>
        </w:rPr>
        <w:t xml:space="preserve">gut </w:t>
      </w:r>
      <w:r w:rsidR="008F6135" w:rsidRPr="001F1399">
        <w:rPr>
          <w:rStyle w:val="normaltextrun"/>
          <w:rFonts w:ascii="Book Antiqua" w:hAnsi="Book Antiqua" w:cs="Calibri"/>
          <w:bCs/>
          <w:lang w:val="en-US"/>
        </w:rPr>
        <w:t>function,</w:t>
      </w:r>
      <w:r w:rsidR="00F872F8" w:rsidRPr="001F1399">
        <w:rPr>
          <w:rStyle w:val="normaltextrun"/>
          <w:rFonts w:ascii="Book Antiqua" w:hAnsi="Book Antiqua" w:cs="Calibri"/>
          <w:bCs/>
          <w:lang w:val="en-US"/>
        </w:rPr>
        <w:t xml:space="preserve"> which is</w:t>
      </w:r>
      <w:r w:rsidR="00AA6F9B" w:rsidRPr="001F1399">
        <w:rPr>
          <w:rStyle w:val="normaltextrun"/>
          <w:rFonts w:ascii="Book Antiqua" w:hAnsi="Book Antiqua" w:cs="Calibri"/>
          <w:bCs/>
          <w:lang w:val="en-US"/>
        </w:rPr>
        <w:t xml:space="preserve"> </w:t>
      </w:r>
      <w:r w:rsidR="00F872F8" w:rsidRPr="001F1399">
        <w:rPr>
          <w:rStyle w:val="normaltextrun"/>
          <w:rFonts w:ascii="Book Antiqua" w:hAnsi="Book Antiqua" w:cs="Calibri"/>
          <w:bCs/>
          <w:lang w:val="en-US"/>
        </w:rPr>
        <w:t xml:space="preserve">starting right after conception, </w:t>
      </w:r>
      <w:r w:rsidR="00AA6F9B" w:rsidRPr="001F1399">
        <w:rPr>
          <w:rStyle w:val="normaltextrun"/>
          <w:rFonts w:ascii="Book Antiqua" w:hAnsi="Book Antiqua" w:cs="Calibri"/>
          <w:bCs/>
          <w:lang w:val="en-US"/>
        </w:rPr>
        <w:t xml:space="preserve">relates to a very well-established series of cellular and molecular events associating all types of cells present in this organ, including neurons, endocrine and immune cells. At birth, this machinery continues to settle with the establishment of extra connection between enteric and other systemic systems and </w:t>
      </w:r>
      <w:r w:rsidR="00F872F8" w:rsidRPr="001F1399">
        <w:rPr>
          <w:rStyle w:val="normaltextrun"/>
          <w:rFonts w:ascii="Book Antiqua" w:hAnsi="Book Antiqua" w:cs="Calibri"/>
          <w:bCs/>
          <w:lang w:val="en-US"/>
        </w:rPr>
        <w:t>is</w:t>
      </w:r>
      <w:r w:rsidR="00AA6F9B" w:rsidRPr="001F1399">
        <w:rPr>
          <w:rStyle w:val="normaltextrun"/>
          <w:rFonts w:ascii="Book Antiqua" w:hAnsi="Book Antiqua" w:cs="Calibri"/>
          <w:bCs/>
          <w:lang w:val="en-US"/>
        </w:rPr>
        <w:t xml:space="preserve"> par</w:t>
      </w:r>
      <w:r w:rsidR="00F872F8" w:rsidRPr="001F1399">
        <w:rPr>
          <w:rStyle w:val="normaltextrun"/>
          <w:rFonts w:ascii="Book Antiqua" w:hAnsi="Book Antiqua" w:cs="Calibri"/>
          <w:bCs/>
          <w:lang w:val="en-US"/>
        </w:rPr>
        <w:t>tially under the control of</w:t>
      </w:r>
      <w:r w:rsidR="00CB4B8D" w:rsidRPr="001F1399">
        <w:rPr>
          <w:rStyle w:val="normaltextrun"/>
          <w:rFonts w:ascii="Book Antiqua" w:hAnsi="Book Antiqua" w:cs="Calibri"/>
          <w:bCs/>
          <w:lang w:val="en-US"/>
        </w:rPr>
        <w:t xml:space="preserve"> gut microbiota</w:t>
      </w:r>
      <w:r w:rsidR="00AA6F9B" w:rsidRPr="001F1399">
        <w:rPr>
          <w:rStyle w:val="normaltextrun"/>
          <w:rFonts w:ascii="Book Antiqua" w:hAnsi="Book Antiqua" w:cs="Calibri"/>
          <w:bCs/>
          <w:lang w:val="en-US"/>
        </w:rPr>
        <w:t xml:space="preserve"> activity</w:t>
      </w:r>
      <w:r w:rsidR="00F872F8" w:rsidRPr="001F1399">
        <w:rPr>
          <w:rStyle w:val="normaltextrun"/>
          <w:rFonts w:ascii="Book Antiqua" w:hAnsi="Book Antiqua" w:cs="Calibri"/>
          <w:bCs/>
          <w:lang w:val="en-US"/>
        </w:rPr>
        <w:t>, itself being under the densification and the diversification of microorganisms’ population</w:t>
      </w:r>
      <w:r w:rsidR="00AA6F9B" w:rsidRPr="001F1399">
        <w:rPr>
          <w:rStyle w:val="normaltextrun"/>
          <w:rFonts w:ascii="Book Antiqua" w:hAnsi="Book Antiqua" w:cs="Calibri"/>
          <w:bCs/>
          <w:lang w:val="en-US"/>
        </w:rPr>
        <w:t>. A</w:t>
      </w:r>
      <w:r w:rsidR="00F872F8" w:rsidRPr="001F1399">
        <w:rPr>
          <w:rStyle w:val="normaltextrun"/>
          <w:rFonts w:ascii="Book Antiqua" w:hAnsi="Book Antiqua" w:cs="Calibri"/>
          <w:bCs/>
          <w:lang w:val="en-US"/>
        </w:rPr>
        <w:t>s thus, a</w:t>
      </w:r>
      <w:r w:rsidR="00AA6F9B" w:rsidRPr="001F1399">
        <w:rPr>
          <w:rStyle w:val="normaltextrun"/>
          <w:rFonts w:ascii="Book Antiqua" w:hAnsi="Book Antiqua" w:cs="Calibri"/>
          <w:bCs/>
          <w:lang w:val="en-US"/>
        </w:rPr>
        <w:t xml:space="preserve">ny environmental factor interfering on this pre-established program may have </w:t>
      </w:r>
      <w:r w:rsidR="00F872F8" w:rsidRPr="001F1399">
        <w:rPr>
          <w:rStyle w:val="normaltextrun"/>
          <w:rFonts w:ascii="Book Antiqua" w:hAnsi="Book Antiqua" w:cs="Calibri"/>
          <w:bCs/>
          <w:lang w:val="en-US"/>
        </w:rPr>
        <w:t xml:space="preserve">a </w:t>
      </w:r>
      <w:r w:rsidR="00AA6F9B" w:rsidRPr="001F1399">
        <w:rPr>
          <w:rStyle w:val="normaltextrun"/>
          <w:rFonts w:ascii="Book Antiqua" w:hAnsi="Book Antiqua" w:cs="Calibri"/>
          <w:bCs/>
          <w:lang w:val="en-US"/>
        </w:rPr>
        <w:t>strong incidence on body functions.</w:t>
      </w:r>
      <w:r w:rsidR="00061FC2" w:rsidRPr="001F1399">
        <w:rPr>
          <w:rStyle w:val="normaltextrun"/>
          <w:rFonts w:ascii="Book Antiqua" w:hAnsi="Book Antiqua" w:cs="Calibri"/>
          <w:bCs/>
          <w:lang w:val="en-US"/>
        </w:rPr>
        <w:t xml:space="preserve"> </w:t>
      </w:r>
      <w:r w:rsidRPr="001F1399">
        <w:rPr>
          <w:rStyle w:val="normaltextrun"/>
          <w:rFonts w:ascii="Book Antiqua" w:hAnsi="Book Antiqua" w:cs="Calibri"/>
          <w:bCs/>
          <w:lang w:val="en-US"/>
        </w:rPr>
        <w:t>For all these reasons</w:t>
      </w:r>
      <w:r w:rsidR="00503062" w:rsidRPr="001F1399">
        <w:rPr>
          <w:rStyle w:val="normaltextrun"/>
          <w:rFonts w:ascii="Book Antiqua" w:hAnsi="Book Antiqua" w:cs="Calibri"/>
          <w:bCs/>
          <w:lang w:val="en-US"/>
        </w:rPr>
        <w:t>,</w:t>
      </w:r>
      <w:r w:rsidRPr="001F1399">
        <w:rPr>
          <w:rStyle w:val="normaltextrun"/>
          <w:rFonts w:ascii="Book Antiqua" w:hAnsi="Book Antiqua" w:cs="Calibri"/>
          <w:bCs/>
          <w:lang w:val="en-US"/>
        </w:rPr>
        <w:t xml:space="preserve"> pregnant women, fetuses and infants will be particularly susceptible to environmental factors and especially food contaminants. In this review, we will summarize the actual understanding of the consequences of repeated low-level exposure to major food contaminants on gut homeostasis settlement and on brain/gut axis communication considering the pivotal role played by the gut microbiota during the fetal and postnatal stages and the presumed consequences of these food toxicants on the individuals especially in relation with the risks of developing later in life non-communicable chronic diseases.</w:t>
      </w:r>
      <w:r w:rsidR="00061FC2" w:rsidRPr="001F1399">
        <w:rPr>
          <w:rStyle w:val="normaltextrun"/>
          <w:rFonts w:ascii="Book Antiqua" w:hAnsi="Book Antiqua" w:cs="Calibri"/>
          <w:bCs/>
          <w:lang w:val="en-US"/>
        </w:rPr>
        <w:t xml:space="preserve"> </w:t>
      </w:r>
    </w:p>
    <w:p w14:paraId="53262C0D" w14:textId="77777777" w:rsidR="00811C8A" w:rsidRPr="001F1399" w:rsidRDefault="00811C8A" w:rsidP="002974FA">
      <w:pPr>
        <w:pStyle w:val="paragraph"/>
        <w:adjustRightInd w:val="0"/>
        <w:snapToGrid w:val="0"/>
        <w:spacing w:before="0" w:beforeAutospacing="0" w:after="0" w:afterAutospacing="0" w:line="360" w:lineRule="auto"/>
        <w:jc w:val="both"/>
        <w:textAlignment w:val="baseline"/>
        <w:rPr>
          <w:rStyle w:val="normaltextrun"/>
          <w:rFonts w:ascii="Book Antiqua" w:hAnsi="Book Antiqua" w:cs="Calibri"/>
          <w:bCs/>
          <w:lang w:val="en-US"/>
        </w:rPr>
      </w:pPr>
    </w:p>
    <w:p w14:paraId="70C0294F" w14:textId="68D86EF5" w:rsidR="003059BA" w:rsidRPr="001F1399" w:rsidRDefault="00353E91" w:rsidP="002974FA">
      <w:pPr>
        <w:pStyle w:val="paragraph"/>
        <w:adjustRightInd w:val="0"/>
        <w:snapToGrid w:val="0"/>
        <w:spacing w:before="0" w:beforeAutospacing="0" w:after="0" w:afterAutospacing="0" w:line="360" w:lineRule="auto"/>
        <w:jc w:val="both"/>
        <w:textAlignment w:val="baseline"/>
        <w:rPr>
          <w:rStyle w:val="normaltextrun"/>
          <w:rFonts w:ascii="Book Antiqua" w:hAnsi="Book Antiqua" w:cs="Calibri"/>
          <w:bCs/>
          <w:i/>
          <w:lang w:val="en-US"/>
        </w:rPr>
      </w:pPr>
      <w:r w:rsidRPr="001F1399">
        <w:rPr>
          <w:rFonts w:ascii="Book Antiqua" w:hAnsi="Book Antiqua"/>
          <w:b/>
          <w:iCs/>
          <w:lang w:eastAsia="es-ES_tradnl"/>
        </w:rPr>
        <w:t>Key words:</w:t>
      </w:r>
      <w:r w:rsidRPr="001F1399">
        <w:rPr>
          <w:rFonts w:ascii="Book Antiqua" w:eastAsia="宋体" w:hAnsi="Book Antiqua"/>
          <w:color w:val="0000FF"/>
          <w:lang w:val="en" w:eastAsia="zh-CN"/>
        </w:rPr>
        <w:t xml:space="preserve"> </w:t>
      </w:r>
      <w:r w:rsidR="006C7AF1" w:rsidRPr="001F1399">
        <w:rPr>
          <w:rStyle w:val="normaltextrun"/>
          <w:rFonts w:ascii="Book Antiqua" w:hAnsi="Book Antiqua" w:cs="Calibri"/>
          <w:bCs/>
          <w:lang w:val="en-US"/>
        </w:rPr>
        <w:t xml:space="preserve">Perinatal </w:t>
      </w:r>
      <w:r w:rsidR="0030717A" w:rsidRPr="001F1399">
        <w:rPr>
          <w:rStyle w:val="normaltextrun"/>
          <w:rFonts w:ascii="Book Antiqua" w:hAnsi="Book Antiqua" w:cs="Calibri"/>
          <w:bCs/>
          <w:lang w:val="en-US"/>
        </w:rPr>
        <w:t xml:space="preserve">repeated </w:t>
      </w:r>
      <w:r w:rsidR="00533B55" w:rsidRPr="001F1399">
        <w:rPr>
          <w:rStyle w:val="normaltextrun"/>
          <w:rFonts w:ascii="Book Antiqua" w:hAnsi="Book Antiqua" w:cs="Calibri"/>
          <w:bCs/>
          <w:lang w:val="en-US"/>
        </w:rPr>
        <w:t>low-level</w:t>
      </w:r>
      <w:r w:rsidR="0030717A" w:rsidRPr="001F1399">
        <w:rPr>
          <w:rStyle w:val="normaltextrun"/>
          <w:rFonts w:ascii="Book Antiqua" w:hAnsi="Book Antiqua" w:cs="Calibri"/>
          <w:bCs/>
          <w:lang w:val="en-US"/>
        </w:rPr>
        <w:t xml:space="preserve"> </w:t>
      </w:r>
      <w:r w:rsidR="006C7AF1" w:rsidRPr="001F1399">
        <w:rPr>
          <w:rStyle w:val="normaltextrun"/>
          <w:rFonts w:ascii="Book Antiqua" w:hAnsi="Book Antiqua" w:cs="Calibri"/>
          <w:bCs/>
          <w:lang w:val="en-US"/>
        </w:rPr>
        <w:t>exposure</w:t>
      </w:r>
      <w:r w:rsidR="00811C8A" w:rsidRPr="001F1399">
        <w:rPr>
          <w:rStyle w:val="normaltextrun"/>
          <w:rFonts w:ascii="Book Antiqua" w:hAnsi="Book Antiqua" w:cs="Calibri"/>
          <w:bCs/>
          <w:lang w:val="en-US"/>
        </w:rPr>
        <w:t>;</w:t>
      </w:r>
      <w:r w:rsidR="006C7AF1" w:rsidRPr="001F1399">
        <w:rPr>
          <w:rStyle w:val="normaltextrun"/>
          <w:rFonts w:ascii="Book Antiqua" w:hAnsi="Book Antiqua" w:cs="Calibri"/>
          <w:bCs/>
          <w:lang w:val="en-US"/>
        </w:rPr>
        <w:t xml:space="preserve"> </w:t>
      </w:r>
      <w:r w:rsidR="008F6135" w:rsidRPr="001F1399">
        <w:rPr>
          <w:rStyle w:val="normaltextrun"/>
          <w:rFonts w:ascii="Book Antiqua" w:hAnsi="Book Antiqua" w:cs="Calibri"/>
          <w:bCs/>
          <w:lang w:val="en-US"/>
        </w:rPr>
        <w:t xml:space="preserve">Gut </w:t>
      </w:r>
      <w:r w:rsidR="006C7AF1" w:rsidRPr="001F1399">
        <w:rPr>
          <w:rStyle w:val="normaltextrun"/>
          <w:rFonts w:ascii="Book Antiqua" w:hAnsi="Book Antiqua" w:cs="Calibri"/>
          <w:bCs/>
          <w:lang w:val="en-US"/>
        </w:rPr>
        <w:t>homeostasis</w:t>
      </w:r>
      <w:r w:rsidR="00811C8A" w:rsidRPr="001F1399">
        <w:rPr>
          <w:rStyle w:val="normaltextrun"/>
          <w:rFonts w:ascii="Book Antiqua" w:hAnsi="Book Antiqua" w:cs="Calibri"/>
          <w:bCs/>
          <w:lang w:val="en-US"/>
        </w:rPr>
        <w:t>;</w:t>
      </w:r>
      <w:r w:rsidR="006C7AF1" w:rsidRPr="001F1399">
        <w:rPr>
          <w:rStyle w:val="normaltextrun"/>
          <w:rFonts w:ascii="Book Antiqua" w:hAnsi="Book Antiqua" w:cs="Calibri"/>
          <w:bCs/>
          <w:lang w:val="en-US"/>
        </w:rPr>
        <w:t xml:space="preserve"> </w:t>
      </w:r>
      <w:r w:rsidR="008F6135" w:rsidRPr="001F1399">
        <w:rPr>
          <w:rStyle w:val="normaltextrun"/>
          <w:rFonts w:ascii="Book Antiqua" w:hAnsi="Book Antiqua" w:cs="Calibri"/>
          <w:bCs/>
          <w:lang w:val="en-US"/>
        </w:rPr>
        <w:t xml:space="preserve">Brain </w:t>
      </w:r>
      <w:r w:rsidR="006C7AF1" w:rsidRPr="001F1399">
        <w:rPr>
          <w:rStyle w:val="normaltextrun"/>
          <w:rFonts w:ascii="Book Antiqua" w:hAnsi="Book Antiqua" w:cs="Calibri"/>
          <w:bCs/>
          <w:lang w:val="en-US"/>
        </w:rPr>
        <w:t>gut microbiota axis</w:t>
      </w:r>
      <w:r w:rsidR="00811C8A" w:rsidRPr="001F1399">
        <w:rPr>
          <w:rStyle w:val="normaltextrun"/>
          <w:rFonts w:ascii="Book Antiqua" w:hAnsi="Book Antiqua" w:cs="Calibri"/>
          <w:bCs/>
          <w:lang w:val="en-US"/>
        </w:rPr>
        <w:t>;</w:t>
      </w:r>
      <w:r w:rsidR="006C7AF1" w:rsidRPr="001F1399">
        <w:rPr>
          <w:rStyle w:val="normaltextrun"/>
          <w:rFonts w:ascii="Book Antiqua" w:hAnsi="Book Antiqua" w:cs="Calibri"/>
          <w:bCs/>
          <w:lang w:val="en-US"/>
        </w:rPr>
        <w:t xml:space="preserve"> </w:t>
      </w:r>
      <w:r w:rsidR="008F6135" w:rsidRPr="001F1399">
        <w:rPr>
          <w:rStyle w:val="normaltextrun"/>
          <w:rFonts w:ascii="Book Antiqua" w:hAnsi="Book Antiqua" w:cs="Calibri"/>
          <w:bCs/>
          <w:lang w:val="en-US"/>
        </w:rPr>
        <w:t xml:space="preserve">Food </w:t>
      </w:r>
      <w:r w:rsidR="006C7AF1" w:rsidRPr="001F1399">
        <w:rPr>
          <w:rStyle w:val="normaltextrun"/>
          <w:rFonts w:ascii="Book Antiqua" w:hAnsi="Book Antiqua" w:cs="Calibri"/>
          <w:bCs/>
          <w:lang w:val="en-US"/>
        </w:rPr>
        <w:t>contaminants</w:t>
      </w:r>
      <w:r w:rsidR="00811C8A" w:rsidRPr="001F1399">
        <w:rPr>
          <w:rStyle w:val="normaltextrun"/>
          <w:rFonts w:ascii="Book Antiqua" w:hAnsi="Book Antiqua" w:cs="Calibri"/>
          <w:bCs/>
          <w:lang w:val="en-US"/>
        </w:rPr>
        <w:t>;</w:t>
      </w:r>
      <w:r w:rsidR="00AC3BE4" w:rsidRPr="001F1399">
        <w:rPr>
          <w:rStyle w:val="normaltextrun"/>
          <w:rFonts w:ascii="Book Antiqua" w:hAnsi="Book Antiqua" w:cs="Calibri"/>
          <w:bCs/>
          <w:lang w:val="en-US"/>
        </w:rPr>
        <w:t xml:space="preserve"> </w:t>
      </w:r>
      <w:r w:rsidR="008F6135" w:rsidRPr="001F1399">
        <w:rPr>
          <w:rStyle w:val="normaltextrun"/>
          <w:rFonts w:ascii="Book Antiqua" w:hAnsi="Book Antiqua" w:cs="Calibri"/>
          <w:bCs/>
          <w:lang w:val="en-US"/>
        </w:rPr>
        <w:t>Non</w:t>
      </w:r>
      <w:r w:rsidR="00811C8A" w:rsidRPr="001F1399">
        <w:rPr>
          <w:rStyle w:val="normaltextrun"/>
          <w:rFonts w:ascii="Book Antiqua" w:hAnsi="Book Antiqua" w:cs="Calibri"/>
          <w:bCs/>
          <w:lang w:val="en-US"/>
        </w:rPr>
        <w:t>-communicable</w:t>
      </w:r>
      <w:r w:rsidR="00AC3BE4" w:rsidRPr="001F1399">
        <w:rPr>
          <w:rStyle w:val="normaltextrun"/>
          <w:rFonts w:ascii="Book Antiqua" w:hAnsi="Book Antiqua" w:cs="Calibri"/>
          <w:bCs/>
          <w:lang w:val="en-US"/>
        </w:rPr>
        <w:t xml:space="preserve"> chronic diseases</w:t>
      </w:r>
      <w:r w:rsidR="0030717A" w:rsidRPr="001F1399">
        <w:rPr>
          <w:rStyle w:val="normaltextrun"/>
          <w:rFonts w:ascii="Book Antiqua" w:hAnsi="Book Antiqua" w:cs="Calibri"/>
          <w:bCs/>
          <w:lang w:val="en-US"/>
        </w:rPr>
        <w:t xml:space="preserve">; </w:t>
      </w:r>
      <w:r w:rsidR="008F6135" w:rsidRPr="001F1399">
        <w:rPr>
          <w:rStyle w:val="normaltextrun"/>
          <w:rFonts w:ascii="Book Antiqua" w:hAnsi="Book Antiqua" w:cs="Calibri"/>
          <w:bCs/>
          <w:lang w:val="en-US"/>
        </w:rPr>
        <w:t>Epigenetics</w:t>
      </w:r>
    </w:p>
    <w:p w14:paraId="5C1985D0" w14:textId="77777777" w:rsidR="008F6135" w:rsidRPr="001F1399" w:rsidRDefault="008F6135" w:rsidP="002974FA">
      <w:pPr>
        <w:adjustRightInd w:val="0"/>
        <w:snapToGrid w:val="0"/>
        <w:spacing w:after="0" w:line="360" w:lineRule="auto"/>
        <w:jc w:val="both"/>
        <w:rPr>
          <w:rStyle w:val="normaltextrun"/>
          <w:rFonts w:ascii="Book Antiqua" w:hAnsi="Book Antiqua" w:cs="Calibri"/>
          <w:bCs/>
          <w:sz w:val="24"/>
          <w:szCs w:val="24"/>
          <w:lang w:val="en-US"/>
        </w:rPr>
      </w:pPr>
    </w:p>
    <w:p w14:paraId="6CE9BFF0" w14:textId="77777777" w:rsidR="001F1399" w:rsidRPr="001F1399" w:rsidRDefault="001F1399" w:rsidP="001F1399">
      <w:pPr>
        <w:adjustRightInd w:val="0"/>
        <w:snapToGrid w:val="0"/>
        <w:spacing w:line="360" w:lineRule="auto"/>
        <w:rPr>
          <w:rFonts w:ascii="Book Antiqua" w:hAnsi="Book Antiqua"/>
          <w:bCs/>
          <w:sz w:val="24"/>
          <w:szCs w:val="24"/>
          <w:lang w:eastAsia="zh-CN"/>
        </w:rPr>
      </w:pPr>
      <w:r w:rsidRPr="001F1399">
        <w:rPr>
          <w:rStyle w:val="normaltextrun"/>
          <w:rFonts w:ascii="Book Antiqua" w:hAnsi="Book Antiqua" w:cs="Calibri" w:hint="eastAsia"/>
          <w:b/>
          <w:sz w:val="24"/>
          <w:szCs w:val="24"/>
          <w:lang w:eastAsia="zh-CN"/>
        </w:rPr>
        <w:t>Citation:</w:t>
      </w:r>
      <w:r w:rsidRPr="001F1399">
        <w:rPr>
          <w:rStyle w:val="normaltextrun"/>
          <w:rFonts w:ascii="Book Antiqua" w:hAnsi="Book Antiqua" w:cs="Calibri" w:hint="eastAsia"/>
          <w:sz w:val="24"/>
          <w:szCs w:val="24"/>
          <w:lang w:eastAsia="zh-CN"/>
        </w:rPr>
        <w:t xml:space="preserve"> </w:t>
      </w:r>
      <w:r w:rsidRPr="001F1399">
        <w:rPr>
          <w:rStyle w:val="normaltextrun"/>
          <w:rFonts w:ascii="Book Antiqua" w:hAnsi="Book Antiqua" w:cs="Calibri"/>
          <w:sz w:val="24"/>
          <w:szCs w:val="24"/>
        </w:rPr>
        <w:t xml:space="preserve">Sarron E, Pérot M, Barbezier N, Delayre-Orthez C, Gay-Quéheillard J, Anton PM. </w:t>
      </w:r>
      <w:r w:rsidRPr="001F1399">
        <w:rPr>
          <w:rFonts w:ascii="Book Antiqua" w:hAnsi="Book Antiqua"/>
          <w:sz w:val="24"/>
          <w:szCs w:val="24"/>
        </w:rPr>
        <w:t xml:space="preserve">Early exposure to food contaminants reshapes maturation of </w:t>
      </w:r>
      <w:r w:rsidRPr="001F1399">
        <w:rPr>
          <w:rFonts w:ascii="Book Antiqua" w:eastAsia="Calibri" w:hAnsi="Book Antiqua" w:cs="Calibri"/>
          <w:sz w:val="24"/>
          <w:szCs w:val="24"/>
        </w:rPr>
        <w:t xml:space="preserve">the human brain-gut-microbiota axis. </w:t>
      </w:r>
      <w:r w:rsidRPr="001F1399">
        <w:rPr>
          <w:rFonts w:ascii="Book Antiqua" w:hAnsi="Book Antiqua"/>
          <w:i/>
          <w:iCs/>
          <w:sz w:val="24"/>
          <w:szCs w:val="24"/>
        </w:rPr>
        <w:t xml:space="preserve">World J </w:t>
      </w:r>
      <w:r w:rsidRPr="001F1399">
        <w:rPr>
          <w:rStyle w:val="normaltextrun"/>
          <w:rFonts w:ascii="Book Antiqua" w:hAnsi="Book Antiqua" w:cs="Calibri"/>
          <w:bCs/>
          <w:i/>
          <w:sz w:val="24"/>
          <w:szCs w:val="24"/>
        </w:rPr>
        <w:t>Gastroenterol</w:t>
      </w:r>
      <w:r w:rsidRPr="001F1399">
        <w:rPr>
          <w:rFonts w:ascii="Book Antiqua" w:eastAsia="宋体" w:hAnsi="Book Antiqua"/>
          <w:iCs/>
          <w:sz w:val="24"/>
          <w:szCs w:val="24"/>
        </w:rPr>
        <w:t xml:space="preserve"> 2020;</w:t>
      </w:r>
      <w:r w:rsidRPr="001F1399">
        <w:rPr>
          <w:rFonts w:ascii="Book Antiqua" w:hAnsi="Book Antiqua"/>
          <w:bCs/>
          <w:sz w:val="24"/>
          <w:szCs w:val="24"/>
        </w:rPr>
        <w:t xml:space="preserve"> 26(2</w:t>
      </w:r>
      <w:r w:rsidRPr="001F1399">
        <w:rPr>
          <w:rFonts w:ascii="Book Antiqua" w:hAnsi="Book Antiqua" w:hint="eastAsia"/>
          <w:bCs/>
          <w:sz w:val="24"/>
          <w:szCs w:val="24"/>
        </w:rPr>
        <w:t>3</w:t>
      </w:r>
      <w:r w:rsidRPr="001F1399">
        <w:rPr>
          <w:rFonts w:ascii="Book Antiqua" w:hAnsi="Book Antiqua"/>
          <w:bCs/>
          <w:sz w:val="24"/>
          <w:szCs w:val="24"/>
        </w:rPr>
        <w:t xml:space="preserve">): </w:t>
      </w:r>
      <w:r w:rsidRPr="001F1399">
        <w:rPr>
          <w:rFonts w:ascii="Book Antiqua" w:hAnsi="Book Antiqua" w:hint="eastAsia"/>
          <w:bCs/>
          <w:sz w:val="24"/>
          <w:szCs w:val="24"/>
        </w:rPr>
        <w:t>3145</w:t>
      </w:r>
      <w:r w:rsidRPr="001F1399">
        <w:rPr>
          <w:rFonts w:ascii="Book Antiqua" w:hAnsi="Book Antiqua"/>
          <w:bCs/>
          <w:sz w:val="24"/>
          <w:szCs w:val="24"/>
        </w:rPr>
        <w:t>-</w:t>
      </w:r>
      <w:r w:rsidRPr="001F1399">
        <w:rPr>
          <w:rFonts w:ascii="Book Antiqua" w:hAnsi="Book Antiqua" w:hint="eastAsia"/>
          <w:bCs/>
          <w:sz w:val="24"/>
          <w:szCs w:val="24"/>
        </w:rPr>
        <w:t>3169</w:t>
      </w:r>
      <w:r w:rsidRPr="001F1399">
        <w:rPr>
          <w:rFonts w:ascii="Book Antiqua" w:hAnsi="Book Antiqua"/>
          <w:bCs/>
          <w:sz w:val="24"/>
          <w:szCs w:val="24"/>
        </w:rPr>
        <w:t xml:space="preserve">  </w:t>
      </w:r>
    </w:p>
    <w:p w14:paraId="540023C5" w14:textId="77777777" w:rsidR="001F1399" w:rsidRPr="001F1399" w:rsidRDefault="001F1399" w:rsidP="001F1399">
      <w:pPr>
        <w:adjustRightInd w:val="0"/>
        <w:snapToGrid w:val="0"/>
        <w:spacing w:line="360" w:lineRule="auto"/>
        <w:rPr>
          <w:rFonts w:ascii="Book Antiqua" w:hAnsi="Book Antiqua"/>
          <w:bCs/>
          <w:sz w:val="24"/>
          <w:szCs w:val="24"/>
          <w:lang w:eastAsia="zh-CN"/>
        </w:rPr>
      </w:pPr>
      <w:r w:rsidRPr="001F1399">
        <w:rPr>
          <w:rFonts w:ascii="Book Antiqua" w:hAnsi="Book Antiqua"/>
          <w:b/>
          <w:bCs/>
          <w:sz w:val="24"/>
          <w:szCs w:val="24"/>
        </w:rPr>
        <w:t>URL:</w:t>
      </w:r>
      <w:r w:rsidRPr="001F1399">
        <w:rPr>
          <w:rFonts w:ascii="Book Antiqua" w:hAnsi="Book Antiqua"/>
          <w:bCs/>
          <w:sz w:val="24"/>
          <w:szCs w:val="24"/>
        </w:rPr>
        <w:t xml:space="preserve"> https://www.wjgnet.com/1007-9327/full/v26/i2</w:t>
      </w:r>
      <w:r w:rsidRPr="001F1399">
        <w:rPr>
          <w:rFonts w:ascii="Book Antiqua" w:hAnsi="Book Antiqua" w:hint="eastAsia"/>
          <w:bCs/>
          <w:sz w:val="24"/>
          <w:szCs w:val="24"/>
        </w:rPr>
        <w:t>3</w:t>
      </w:r>
      <w:r w:rsidRPr="001F1399">
        <w:rPr>
          <w:rFonts w:ascii="Book Antiqua" w:hAnsi="Book Antiqua"/>
          <w:bCs/>
          <w:sz w:val="24"/>
          <w:szCs w:val="24"/>
        </w:rPr>
        <w:t>/</w:t>
      </w:r>
      <w:r w:rsidRPr="001F1399">
        <w:rPr>
          <w:rFonts w:ascii="Book Antiqua" w:hAnsi="Book Antiqua" w:hint="eastAsia"/>
          <w:bCs/>
          <w:sz w:val="24"/>
          <w:szCs w:val="24"/>
        </w:rPr>
        <w:t>3145</w:t>
      </w:r>
      <w:r w:rsidRPr="001F1399">
        <w:rPr>
          <w:rFonts w:ascii="Book Antiqua" w:hAnsi="Book Antiqua"/>
          <w:bCs/>
          <w:sz w:val="24"/>
          <w:szCs w:val="24"/>
        </w:rPr>
        <w:t xml:space="preserve">.htm  </w:t>
      </w:r>
    </w:p>
    <w:p w14:paraId="6B29E7DE" w14:textId="24690F70" w:rsidR="001F1399" w:rsidRPr="001F1399" w:rsidRDefault="001F1399" w:rsidP="001F1399">
      <w:pPr>
        <w:adjustRightInd w:val="0"/>
        <w:snapToGrid w:val="0"/>
        <w:spacing w:line="360" w:lineRule="auto"/>
        <w:rPr>
          <w:rFonts w:ascii="Book Antiqua" w:eastAsia="宋体" w:hAnsi="Book Antiqua"/>
          <w:bCs/>
          <w:sz w:val="24"/>
          <w:szCs w:val="24"/>
        </w:rPr>
      </w:pPr>
      <w:r w:rsidRPr="001F1399">
        <w:rPr>
          <w:rFonts w:ascii="Book Antiqua" w:hAnsi="Book Antiqua"/>
          <w:b/>
          <w:bCs/>
          <w:sz w:val="24"/>
          <w:szCs w:val="24"/>
        </w:rPr>
        <w:t xml:space="preserve">DOI: </w:t>
      </w:r>
      <w:r w:rsidRPr="001F1399">
        <w:rPr>
          <w:rFonts w:ascii="Book Antiqua" w:hAnsi="Book Antiqua"/>
          <w:bCs/>
          <w:sz w:val="24"/>
          <w:szCs w:val="24"/>
        </w:rPr>
        <w:t>https://dx.doi.org/10.3748/wjg.v26.i2</w:t>
      </w:r>
      <w:r w:rsidRPr="001F1399">
        <w:rPr>
          <w:rFonts w:ascii="Book Antiqua" w:hAnsi="Book Antiqua" w:hint="eastAsia"/>
          <w:bCs/>
          <w:sz w:val="24"/>
          <w:szCs w:val="24"/>
        </w:rPr>
        <w:t>3</w:t>
      </w:r>
      <w:r w:rsidRPr="001F1399">
        <w:rPr>
          <w:rFonts w:ascii="Book Antiqua" w:hAnsi="Book Antiqua"/>
          <w:bCs/>
          <w:sz w:val="24"/>
          <w:szCs w:val="24"/>
        </w:rPr>
        <w:t>.</w:t>
      </w:r>
      <w:r w:rsidRPr="001F1399">
        <w:rPr>
          <w:rFonts w:ascii="Book Antiqua" w:hAnsi="Book Antiqua" w:hint="eastAsia"/>
          <w:bCs/>
          <w:sz w:val="24"/>
          <w:szCs w:val="24"/>
        </w:rPr>
        <w:t>3145</w:t>
      </w:r>
    </w:p>
    <w:p w14:paraId="1512DF8E" w14:textId="42F578B8" w:rsidR="008F6135" w:rsidRPr="001F1399" w:rsidRDefault="008F6135" w:rsidP="002974FA">
      <w:pPr>
        <w:adjustRightInd w:val="0"/>
        <w:snapToGrid w:val="0"/>
        <w:spacing w:after="0" w:line="360" w:lineRule="auto"/>
        <w:jc w:val="both"/>
        <w:rPr>
          <w:rStyle w:val="normaltextrun"/>
          <w:rFonts w:ascii="Book Antiqua" w:hAnsi="Book Antiqua" w:cs="Calibri"/>
          <w:sz w:val="24"/>
          <w:szCs w:val="24"/>
        </w:rPr>
      </w:pPr>
    </w:p>
    <w:p w14:paraId="49483CAF" w14:textId="0C2799EC" w:rsidR="008F6135" w:rsidRPr="001F1399" w:rsidRDefault="00353E91" w:rsidP="002974FA">
      <w:pPr>
        <w:adjustRightInd w:val="0"/>
        <w:snapToGrid w:val="0"/>
        <w:spacing w:after="0" w:line="360" w:lineRule="auto"/>
        <w:jc w:val="both"/>
        <w:rPr>
          <w:rStyle w:val="normaltextrun"/>
          <w:rFonts w:ascii="Book Antiqua" w:hAnsi="Book Antiqua" w:cs="Calibri"/>
          <w:bCs/>
          <w:sz w:val="24"/>
          <w:szCs w:val="24"/>
          <w:lang w:val="en-US"/>
        </w:rPr>
      </w:pPr>
      <w:r w:rsidRPr="001F1399">
        <w:rPr>
          <w:rFonts w:ascii="Book Antiqua" w:hAnsi="Book Antiqua"/>
          <w:b/>
          <w:sz w:val="24"/>
          <w:szCs w:val="24"/>
          <w:lang w:val="en-GB"/>
        </w:rPr>
        <w:lastRenderedPageBreak/>
        <w:t>Core tip:</w:t>
      </w:r>
      <w:r w:rsidRPr="001F1399">
        <w:rPr>
          <w:rFonts w:ascii="Book Antiqua" w:eastAsia="宋体" w:hAnsi="Book Antiqua"/>
          <w:b/>
          <w:sz w:val="24"/>
          <w:szCs w:val="24"/>
          <w:lang w:val="en-GB" w:eastAsia="zh-CN"/>
        </w:rPr>
        <w:t xml:space="preserve"> </w:t>
      </w:r>
      <w:r w:rsidR="00CE295A" w:rsidRPr="001F1399">
        <w:rPr>
          <w:rStyle w:val="normaltextrun"/>
          <w:rFonts w:ascii="Book Antiqua" w:hAnsi="Book Antiqua" w:cs="Calibri"/>
          <w:bCs/>
          <w:sz w:val="24"/>
          <w:szCs w:val="24"/>
          <w:lang w:val="en-US"/>
        </w:rPr>
        <w:t>Increase of non-communicable chronic disease in the world is now clearly associated to environmental factors exposure during life and more especially during fetal and postnatal life. This review outlines the actual understanding of the consequences, on pregnant women, babies and infants, of repeated exposure to low level food contaminants on the settlement and maturation of the gut with specific focus on gut homeostasis, brain gut axis exchanges and the pivotal role played by the microbiota. However, their exact mechanisms of action on health, and particularly the molecular ones including epigen</w:t>
      </w:r>
      <w:r w:rsidR="008F6135" w:rsidRPr="001F1399">
        <w:rPr>
          <w:rStyle w:val="normaltextrun"/>
          <w:rFonts w:ascii="Book Antiqua" w:hAnsi="Book Antiqua" w:cs="Calibri"/>
          <w:bCs/>
          <w:sz w:val="24"/>
          <w:szCs w:val="24"/>
          <w:lang w:val="en-US"/>
        </w:rPr>
        <w:t>et</w:t>
      </w:r>
      <w:r w:rsidR="00CE295A" w:rsidRPr="001F1399">
        <w:rPr>
          <w:rStyle w:val="normaltextrun"/>
          <w:rFonts w:ascii="Book Antiqua" w:hAnsi="Book Antiqua" w:cs="Calibri"/>
          <w:bCs/>
          <w:sz w:val="24"/>
          <w:szCs w:val="24"/>
          <w:lang w:val="en-US"/>
        </w:rPr>
        <w:t>ic regulations still need to be clarified.</w:t>
      </w:r>
    </w:p>
    <w:p w14:paraId="04F164AB" w14:textId="3AEA4AE6" w:rsidR="00BA4B3B" w:rsidRPr="001F1399" w:rsidRDefault="00BA4B3B" w:rsidP="002974FA">
      <w:pPr>
        <w:adjustRightInd w:val="0"/>
        <w:snapToGrid w:val="0"/>
        <w:spacing w:after="0" w:line="360" w:lineRule="auto"/>
        <w:jc w:val="both"/>
        <w:rPr>
          <w:rStyle w:val="normaltextrun"/>
          <w:rFonts w:ascii="Book Antiqua" w:eastAsia="Times New Roman" w:hAnsi="Book Antiqua" w:cs="Calibri"/>
          <w:bCs/>
          <w:sz w:val="24"/>
          <w:szCs w:val="24"/>
          <w:lang w:val="en-US" w:eastAsia="fr-FR"/>
        </w:rPr>
      </w:pPr>
      <w:r w:rsidRPr="001F1399">
        <w:rPr>
          <w:rStyle w:val="normaltextrun"/>
          <w:rFonts w:ascii="Book Antiqua" w:hAnsi="Book Antiqua" w:cs="Calibri"/>
          <w:bCs/>
          <w:sz w:val="24"/>
          <w:szCs w:val="24"/>
          <w:lang w:val="en-US"/>
        </w:rPr>
        <w:br w:type="page"/>
      </w:r>
    </w:p>
    <w:p w14:paraId="32966F9B" w14:textId="58D4C4BD" w:rsidR="007621CE" w:rsidRPr="001F1399" w:rsidRDefault="00353E91" w:rsidP="002974FA">
      <w:pPr>
        <w:pStyle w:val="paragraph"/>
        <w:adjustRightInd w:val="0"/>
        <w:snapToGrid w:val="0"/>
        <w:spacing w:before="0" w:beforeAutospacing="0" w:after="0" w:afterAutospacing="0" w:line="360" w:lineRule="auto"/>
        <w:jc w:val="both"/>
        <w:textAlignment w:val="baseline"/>
        <w:rPr>
          <w:rStyle w:val="normaltextrun"/>
          <w:rFonts w:ascii="Book Antiqua" w:hAnsi="Book Antiqua" w:cs="Calibri"/>
          <w:bCs/>
          <w:i/>
          <w:lang w:val="en-US"/>
        </w:rPr>
      </w:pPr>
      <w:r w:rsidRPr="001F1399">
        <w:rPr>
          <w:rFonts w:ascii="Book Antiqua" w:hAnsi="Book Antiqua"/>
          <w:b/>
          <w:u w:val="single"/>
          <w:lang w:val="en-GB"/>
        </w:rPr>
        <w:lastRenderedPageBreak/>
        <w:t>INTRODUCTION</w:t>
      </w:r>
    </w:p>
    <w:p w14:paraId="4FF8E0F8" w14:textId="7137A7D1" w:rsidR="00E178DB" w:rsidRPr="001F1399" w:rsidRDefault="0002393D" w:rsidP="002974FA">
      <w:pPr>
        <w:pStyle w:val="paragraph"/>
        <w:adjustRightInd w:val="0"/>
        <w:snapToGrid w:val="0"/>
        <w:spacing w:before="0" w:beforeAutospacing="0" w:after="0" w:afterAutospacing="0" w:line="360" w:lineRule="auto"/>
        <w:jc w:val="both"/>
        <w:textAlignment w:val="baseline"/>
        <w:rPr>
          <w:rStyle w:val="normaltextrun"/>
          <w:rFonts w:ascii="Book Antiqua" w:hAnsi="Book Antiqua" w:cs="Calibri"/>
          <w:bCs/>
          <w:lang w:val="en-US"/>
        </w:rPr>
      </w:pPr>
      <w:r w:rsidRPr="001F1399">
        <w:rPr>
          <w:rStyle w:val="normaltextrun"/>
          <w:rFonts w:ascii="Book Antiqua" w:hAnsi="Book Antiqua" w:cs="Calibri"/>
          <w:bCs/>
          <w:lang w:val="en-US"/>
        </w:rPr>
        <w:t xml:space="preserve">Intrauterine and </w:t>
      </w:r>
      <w:r w:rsidR="005A7DD6" w:rsidRPr="001F1399">
        <w:rPr>
          <w:rStyle w:val="normaltextrun"/>
          <w:rFonts w:ascii="Book Antiqua" w:hAnsi="Book Antiqua" w:cs="Calibri"/>
          <w:bCs/>
          <w:lang w:val="en-US"/>
        </w:rPr>
        <w:t>post-partum</w:t>
      </w:r>
      <w:r w:rsidRPr="001F1399">
        <w:rPr>
          <w:rStyle w:val="normaltextrun"/>
          <w:rFonts w:ascii="Book Antiqua" w:hAnsi="Book Antiqua" w:cs="Calibri"/>
          <w:bCs/>
          <w:lang w:val="en-US"/>
        </w:rPr>
        <w:t xml:space="preserve"> periods belong to the very sensitive time periods at the origin of the adaptation of the body to environmental stimul</w:t>
      </w:r>
      <w:r w:rsidR="00516494" w:rsidRPr="001F1399">
        <w:rPr>
          <w:rStyle w:val="normaltextrun"/>
          <w:rFonts w:ascii="Book Antiqua" w:hAnsi="Book Antiqua" w:cs="Calibri"/>
          <w:bCs/>
          <w:lang w:val="en-US"/>
        </w:rPr>
        <w:t>i</w:t>
      </w:r>
      <w:r w:rsidR="00BA4B3B" w:rsidRPr="001F1399">
        <w:rPr>
          <w:rStyle w:val="normaltextrun"/>
          <w:rFonts w:ascii="Book Antiqua" w:hAnsi="Book Antiqua" w:cs="Calibri"/>
          <w:bCs/>
          <w:lang w:val="en-US"/>
        </w:rPr>
        <w:t xml:space="preserve"> also described as </w:t>
      </w:r>
      <w:r w:rsidR="00516494" w:rsidRPr="001F1399">
        <w:rPr>
          <w:rStyle w:val="normaltextrun"/>
          <w:rFonts w:ascii="Book Antiqua" w:hAnsi="Book Antiqua" w:cs="Calibri"/>
          <w:bCs/>
          <w:lang w:val="en-US"/>
        </w:rPr>
        <w:t>adaptative behavior</w:t>
      </w:r>
      <w:r w:rsidR="00E178DB" w:rsidRPr="001F1399">
        <w:rPr>
          <w:rStyle w:val="normaltextrun"/>
          <w:rFonts w:ascii="Book Antiqua" w:hAnsi="Book Antiqua" w:cs="Calibri"/>
          <w:bCs/>
          <w:lang w:val="en-US"/>
        </w:rPr>
        <w:t xml:space="preserve"> thanks to developmental plasticity. This is phenomenon by which a single phenotype can give rise to a range of different physiologic or morphologic states in response to different environmental conditions during development. </w:t>
      </w:r>
      <w:r w:rsidR="00BA4B3B" w:rsidRPr="001F1399">
        <w:rPr>
          <w:rStyle w:val="normaltextrun"/>
          <w:rFonts w:ascii="Book Antiqua" w:hAnsi="Book Antiqua" w:cs="Calibri"/>
          <w:bCs/>
          <w:lang w:val="en-US"/>
        </w:rPr>
        <w:t xml:space="preserve">However, this adaptation </w:t>
      </w:r>
      <w:r w:rsidR="00E178DB" w:rsidRPr="001F1399">
        <w:rPr>
          <w:rStyle w:val="normaltextrun"/>
          <w:rFonts w:ascii="Book Antiqua" w:hAnsi="Book Antiqua" w:cs="Calibri"/>
          <w:bCs/>
          <w:lang w:val="en-US"/>
        </w:rPr>
        <w:t>ability</w:t>
      </w:r>
      <w:r w:rsidR="00BA4B3B" w:rsidRPr="001F1399">
        <w:rPr>
          <w:rStyle w:val="normaltextrun"/>
          <w:rFonts w:ascii="Book Antiqua" w:hAnsi="Book Antiqua" w:cs="Calibri"/>
          <w:bCs/>
          <w:lang w:val="en-US"/>
        </w:rPr>
        <w:t xml:space="preserve"> is somehow restraint to a certain point</w:t>
      </w:r>
      <w:r w:rsidR="00E178DB" w:rsidRPr="001F1399">
        <w:rPr>
          <w:rStyle w:val="normaltextrun"/>
          <w:rFonts w:ascii="Book Antiqua" w:hAnsi="Book Antiqua" w:cs="Calibri"/>
          <w:bCs/>
          <w:lang w:val="en-US"/>
        </w:rPr>
        <w:t xml:space="preserve">. </w:t>
      </w:r>
      <w:r w:rsidR="00BA4B3B" w:rsidRPr="001F1399">
        <w:rPr>
          <w:rStyle w:val="normaltextrun"/>
          <w:rFonts w:ascii="Book Antiqua" w:hAnsi="Book Antiqua" w:cs="Calibri"/>
          <w:bCs/>
          <w:lang w:val="en-US"/>
        </w:rPr>
        <w:t xml:space="preserve">Indeed, since Barker </w:t>
      </w:r>
      <w:r w:rsidR="00BA4B3B" w:rsidRPr="001F1399">
        <w:rPr>
          <w:rStyle w:val="normaltextrun"/>
          <w:rFonts w:ascii="Book Antiqua" w:hAnsi="Book Antiqua" w:cs="Calibri"/>
          <w:bCs/>
          <w:i/>
          <w:iCs/>
          <w:lang w:val="en-US"/>
        </w:rPr>
        <w:t>et al</w:t>
      </w:r>
      <w:r w:rsidR="00105053" w:rsidRPr="001F1399">
        <w:rPr>
          <w:rStyle w:val="normaltextrun"/>
          <w:rFonts w:ascii="Book Antiqua" w:hAnsi="Book Antiqua" w:cs="Calibri"/>
          <w:bCs/>
          <w:lang w:val="en-US"/>
        </w:rPr>
        <w:fldChar w:fldCharType="begin" w:fldLock="1"/>
      </w:r>
      <w:r w:rsidR="00105053" w:rsidRPr="001F1399">
        <w:rPr>
          <w:rStyle w:val="normaltextrun"/>
          <w:rFonts w:ascii="Book Antiqua" w:hAnsi="Book Antiqua" w:cs="Calibri"/>
          <w:bCs/>
          <w:lang w:val="en-US"/>
        </w:rPr>
        <w:instrText>ADDIN CSL_CITATION {"citationItems":[{"id":"ITEM-1","itemData":{"DOI":"10.1136/bmj.297.6641.134-b","ISSN":"0959-8138","PMID":"3408942","author":[{"dropping-particle":"","family":"Barker","given":"D. J.","non-dropping-particle":"","parse-names":false,"suffix":""},{"dropping-particle":"","family":"Osmond","given":"C.","non-dropping-particle":"","parse-names":false,"suffix":""}],"container-title":"BMJ","id":"ITEM-1","issue":"6641","issued":{"date-parts":[["1988","7","9"]]},"page":"134-135","title":"Low birth weight and hypertension.","type":"article-journal","volume":"297"},"uris":["http://www.mendeley.com/documents/?uuid=344b1861-27d0-44b7-b342-1f7be9fefb2a"]}],"mendeley":{"formattedCitation":"&lt;sup&gt;[1]&lt;/sup&gt;","plainTextFormattedCitation":"[1]"},"properties":{"noteIndex":0},"schema":"https://github.com/citation-style-language/schema/raw/master/csl-citation.json"}</w:instrText>
      </w:r>
      <w:r w:rsidR="00105053" w:rsidRPr="001F1399">
        <w:rPr>
          <w:rStyle w:val="normaltextrun"/>
          <w:rFonts w:ascii="Book Antiqua" w:hAnsi="Book Antiqua" w:cs="Calibri"/>
          <w:bCs/>
          <w:lang w:val="en-US"/>
        </w:rPr>
        <w:fldChar w:fldCharType="separate"/>
      </w:r>
      <w:r w:rsidR="00105053" w:rsidRPr="001F1399">
        <w:rPr>
          <w:rStyle w:val="normaltextrun"/>
          <w:rFonts w:ascii="Book Antiqua" w:hAnsi="Book Antiqua" w:cs="Calibri"/>
          <w:bCs/>
          <w:noProof/>
          <w:vertAlign w:val="superscript"/>
          <w:lang w:val="en-US"/>
        </w:rPr>
        <w:t>[1]</w:t>
      </w:r>
      <w:r w:rsidR="00105053" w:rsidRPr="001F1399">
        <w:rPr>
          <w:rStyle w:val="normaltextrun"/>
          <w:rFonts w:ascii="Book Antiqua" w:hAnsi="Book Antiqua" w:cs="Calibri"/>
          <w:bCs/>
          <w:lang w:val="en-US"/>
        </w:rPr>
        <w:fldChar w:fldCharType="end"/>
      </w:r>
      <w:r w:rsidR="00BA4B3B" w:rsidRPr="001F1399">
        <w:rPr>
          <w:rStyle w:val="normaltextrun"/>
          <w:rFonts w:ascii="Book Antiqua" w:hAnsi="Book Antiqua" w:cs="Calibri"/>
          <w:bCs/>
          <w:lang w:val="en-US"/>
        </w:rPr>
        <w:t xml:space="preserve"> </w:t>
      </w:r>
      <w:r w:rsidR="003D007B" w:rsidRPr="001F1399">
        <w:rPr>
          <w:rStyle w:val="normaltextrun"/>
          <w:rFonts w:ascii="Book Antiqua" w:hAnsi="Book Antiqua" w:cs="Calibri"/>
          <w:bCs/>
          <w:lang w:val="en-US"/>
        </w:rPr>
        <w:t>described the</w:t>
      </w:r>
      <w:r w:rsidR="00BA4B3B" w:rsidRPr="001F1399">
        <w:rPr>
          <w:rStyle w:val="normaltextrun"/>
          <w:rFonts w:ascii="Book Antiqua" w:hAnsi="Book Antiqua" w:cs="Calibri"/>
          <w:bCs/>
          <w:lang w:val="en-US"/>
        </w:rPr>
        <w:t xml:space="preserve"> Developmental Origin of Health and Diseases (DOHaD), several original publications have pointed out that a poor fetal and postnatal settlement of gut microbiota will necessarily remodulate neuro-immuno-endocrine maturation of the gut. This will then be </w:t>
      </w:r>
      <w:r w:rsidR="00E178DB" w:rsidRPr="001F1399">
        <w:rPr>
          <w:rStyle w:val="normaltextrun"/>
          <w:rFonts w:ascii="Book Antiqua" w:hAnsi="Book Antiqua" w:cs="Calibri"/>
          <w:bCs/>
          <w:lang w:val="en-US"/>
        </w:rPr>
        <w:t>responsible</w:t>
      </w:r>
      <w:r w:rsidR="00BA4B3B" w:rsidRPr="001F1399">
        <w:rPr>
          <w:rStyle w:val="normaltextrun"/>
          <w:rFonts w:ascii="Book Antiqua" w:hAnsi="Book Antiqua" w:cs="Calibri"/>
          <w:bCs/>
          <w:lang w:val="en-US"/>
        </w:rPr>
        <w:t xml:space="preserve"> for the modification of the establishment of the brain neuronal connections at the origin of a higher risk of developing later in life non communicable chronic diseases affecting the gut and the brain functions (for review see</w:t>
      </w:r>
      <w:r w:rsidR="00BA4B3B" w:rsidRPr="001F1399">
        <w:rPr>
          <w:rStyle w:val="normaltextrun"/>
          <w:rFonts w:ascii="Book Antiqua" w:hAnsi="Book Antiqua" w:cs="Calibri"/>
          <w:bCs/>
          <w:lang w:val="en-US"/>
        </w:rPr>
        <w:fldChar w:fldCharType="begin" w:fldLock="1"/>
      </w:r>
      <w:r w:rsidR="00B1214D" w:rsidRPr="001F1399">
        <w:rPr>
          <w:rStyle w:val="normaltextrun"/>
          <w:rFonts w:ascii="Book Antiqua" w:hAnsi="Book Antiqua" w:cs="Calibri"/>
          <w:bCs/>
          <w:lang w:val="en-US"/>
        </w:rPr>
        <w:instrText>ADDIN CSL_CITATION {"citationItems":[{"id":"ITEM-1","itemData":{"DOI":"10.1042/CS20040367","ISSN":"01435221","PMID":"15966867","abstract":"There is increasing concern about the rapidly rising incidence of obesity worldwide and its impact both on mortality, morbidity and the cost of healthcare. In the last 15 years, a large volume of research has linked low birth weight to many adult diseases in humans, such as Type II diabetes, cardiovascular disease, hypertension and the metabolic syndrome. Obesity is a causal factor in all these conditions. There are epidemiological studies linking low birth weight to increased adiposity, but the timing of the insult during gestation seems crucial, as reducing maternal nutrition in late gestation and during lactation causes a reduction in later obesity. Recent studies in animal models have provided clues towards mechanisms of altered appetite regulation following alterations in fetal and neonatal growth. The outcome of these and future studies could prove clinically crucial, particularly in the debate over the benefits of breast feeding, which provides a lower plane of nutrition compared with formula feeding. © 2005 The Biochemical Society.","author":[{"dropping-particle":"","family":"Cripps","given":"Roselle L.","non-dropping-particle":"","parse-names":false,"suffix":""},{"dropping-particle":"","family":"Martin-Gronert","given":"Malgorzata S.","non-dropping-particle":"","parse-names":false,"suffix":""},{"dropping-particle":"","family":"Ozanne","given":"Susan E.","non-dropping-particle":"","parse-names":false,"suffix":""}],"container-title":"Clinical Science","id":"ITEM-1","issue":"1","issued":{"date-parts":[["2005"]]},"page":"1-11","title":"Fetal and perinatal programming of appetite","type":"article-journal","volume":"109"},"uris":["http://www.mendeley.com/documents/?uuid=dce37761-2c4d-4429-ac84-73615fb190b2"]}],"mendeley":{"formattedCitation":"&lt;sup&gt;[2]&lt;/sup&gt;","plainTextFormattedCitation":"[2]","previouslyFormattedCitation":"&lt;sup&gt;[1]&lt;/sup&gt;"},"properties":{"noteIndex":0},"schema":"https://github.com/citation-style-language/schema/raw/master/csl-citation.json"}</w:instrText>
      </w:r>
      <w:r w:rsidR="00BA4B3B" w:rsidRPr="001F1399">
        <w:rPr>
          <w:rStyle w:val="normaltextrun"/>
          <w:rFonts w:ascii="Book Antiqua" w:hAnsi="Book Antiqua" w:cs="Calibri"/>
          <w:bCs/>
          <w:lang w:val="en-US"/>
        </w:rPr>
        <w:fldChar w:fldCharType="separate"/>
      </w:r>
      <w:r w:rsidR="00B1214D" w:rsidRPr="001F1399">
        <w:rPr>
          <w:rStyle w:val="normaltextrun"/>
          <w:rFonts w:ascii="Book Antiqua" w:hAnsi="Book Antiqua" w:cs="Calibri"/>
          <w:bCs/>
          <w:noProof/>
          <w:vertAlign w:val="superscript"/>
          <w:lang w:val="en-US"/>
        </w:rPr>
        <w:t>[2]</w:t>
      </w:r>
      <w:r w:rsidR="00BA4B3B" w:rsidRPr="001F1399">
        <w:rPr>
          <w:rStyle w:val="normaltextrun"/>
          <w:rFonts w:ascii="Book Antiqua" w:hAnsi="Book Antiqua" w:cs="Calibri"/>
          <w:bCs/>
          <w:lang w:val="en-US"/>
        </w:rPr>
        <w:fldChar w:fldCharType="end"/>
      </w:r>
      <w:r w:rsidR="00BA4B3B" w:rsidRPr="001F1399">
        <w:rPr>
          <w:rStyle w:val="normaltextrun"/>
          <w:rFonts w:ascii="Book Antiqua" w:hAnsi="Book Antiqua" w:cs="Calibri"/>
          <w:bCs/>
          <w:lang w:val="en-US"/>
        </w:rPr>
        <w:t xml:space="preserve">). </w:t>
      </w:r>
    </w:p>
    <w:p w14:paraId="7DB6F5A8" w14:textId="5237EAC6" w:rsidR="00DC7B49" w:rsidRPr="001F1399" w:rsidRDefault="00BA4B3B" w:rsidP="002974FA">
      <w:pPr>
        <w:pStyle w:val="paragraph"/>
        <w:adjustRightInd w:val="0"/>
        <w:snapToGrid w:val="0"/>
        <w:spacing w:before="0" w:beforeAutospacing="0" w:after="0" w:afterAutospacing="0" w:line="360" w:lineRule="auto"/>
        <w:ind w:firstLineChars="100" w:firstLine="240"/>
        <w:jc w:val="both"/>
        <w:textAlignment w:val="baseline"/>
        <w:rPr>
          <w:rStyle w:val="normaltextrun"/>
          <w:rFonts w:ascii="Book Antiqua" w:hAnsi="Book Antiqua" w:cs="Calibri"/>
          <w:bCs/>
          <w:lang w:val="en-US"/>
        </w:rPr>
      </w:pPr>
      <w:r w:rsidRPr="001F1399">
        <w:rPr>
          <w:rStyle w:val="normaltextrun"/>
          <w:rFonts w:ascii="Book Antiqua" w:hAnsi="Book Antiqua" w:cs="Calibri"/>
          <w:bCs/>
          <w:lang w:val="en-US"/>
        </w:rPr>
        <w:t>Environmental factors are known to impa</w:t>
      </w:r>
      <w:r w:rsidR="00693AF8" w:rsidRPr="001F1399">
        <w:rPr>
          <w:rStyle w:val="normaltextrun"/>
          <w:rFonts w:ascii="Book Antiqua" w:hAnsi="Book Antiqua" w:cs="Calibri"/>
          <w:bCs/>
          <w:lang w:val="en-US"/>
        </w:rPr>
        <w:t>ct</w:t>
      </w:r>
      <w:r w:rsidRPr="001F1399">
        <w:rPr>
          <w:rStyle w:val="normaltextrun"/>
          <w:rFonts w:ascii="Book Antiqua" w:hAnsi="Book Antiqua" w:cs="Calibri"/>
          <w:bCs/>
          <w:lang w:val="en-US"/>
        </w:rPr>
        <w:t xml:space="preserve"> placental development at the origin of fetal growth retardation and postnatal major modification of the neuro-immuno-endocrine functions maturation and cross communication leading to chronic diseases. However, while the impact of food contaminants on the appearance of these diseases is not to be debated, </w:t>
      </w:r>
      <w:r w:rsidR="006F65E2" w:rsidRPr="001F1399">
        <w:rPr>
          <w:rStyle w:val="normaltextrun"/>
          <w:rFonts w:ascii="Book Antiqua" w:hAnsi="Book Antiqua" w:cs="Calibri"/>
          <w:bCs/>
          <w:lang w:val="en-US"/>
        </w:rPr>
        <w:t xml:space="preserve">investigation related to their impact on the brain gut microbiota </w:t>
      </w:r>
      <w:r w:rsidRPr="001F1399">
        <w:rPr>
          <w:rStyle w:val="normaltextrun"/>
          <w:rFonts w:ascii="Book Antiqua" w:hAnsi="Book Antiqua" w:cs="Calibri"/>
          <w:bCs/>
          <w:lang w:val="en-US"/>
        </w:rPr>
        <w:t xml:space="preserve">axis </w:t>
      </w:r>
      <w:r w:rsidR="006F65E2" w:rsidRPr="001F1399">
        <w:rPr>
          <w:rStyle w:val="normaltextrun"/>
          <w:rFonts w:ascii="Book Antiqua" w:hAnsi="Book Antiqua" w:cs="Calibri"/>
          <w:bCs/>
          <w:lang w:val="en-US"/>
        </w:rPr>
        <w:t xml:space="preserve">development and </w:t>
      </w:r>
      <w:r w:rsidRPr="001F1399">
        <w:rPr>
          <w:rStyle w:val="normaltextrun"/>
          <w:rFonts w:ascii="Book Antiqua" w:hAnsi="Book Antiqua" w:cs="Calibri"/>
          <w:bCs/>
          <w:lang w:val="en-US"/>
        </w:rPr>
        <w:t>maturation during perinatal li</w:t>
      </w:r>
      <w:r w:rsidR="006F65E2" w:rsidRPr="001F1399">
        <w:rPr>
          <w:rStyle w:val="normaltextrun"/>
          <w:rFonts w:ascii="Book Antiqua" w:hAnsi="Book Antiqua" w:cs="Calibri"/>
          <w:bCs/>
          <w:lang w:val="en-US"/>
        </w:rPr>
        <w:t>f</w:t>
      </w:r>
      <w:r w:rsidRPr="001F1399">
        <w:rPr>
          <w:rStyle w:val="normaltextrun"/>
          <w:rFonts w:ascii="Book Antiqua" w:hAnsi="Book Antiqua" w:cs="Calibri"/>
          <w:bCs/>
          <w:lang w:val="en-US"/>
        </w:rPr>
        <w:t xml:space="preserve">e </w:t>
      </w:r>
      <w:r w:rsidR="006F65E2" w:rsidRPr="001F1399">
        <w:rPr>
          <w:rStyle w:val="normaltextrun"/>
          <w:rFonts w:ascii="Book Antiqua" w:hAnsi="Book Antiqua" w:cs="Calibri"/>
          <w:bCs/>
          <w:lang w:val="en-US"/>
        </w:rPr>
        <w:t xml:space="preserve">are needed to correlate all the events for the nutrition of pregnant women and infants. </w:t>
      </w:r>
    </w:p>
    <w:p w14:paraId="5B75110A" w14:textId="21FEAA8F" w:rsidR="006F65E2" w:rsidRPr="001F1399" w:rsidRDefault="006F65E2" w:rsidP="002974FA">
      <w:pPr>
        <w:pStyle w:val="paragraph"/>
        <w:adjustRightInd w:val="0"/>
        <w:snapToGrid w:val="0"/>
        <w:spacing w:before="0" w:beforeAutospacing="0" w:after="0" w:afterAutospacing="0" w:line="360" w:lineRule="auto"/>
        <w:ind w:firstLineChars="100" w:firstLine="240"/>
        <w:jc w:val="both"/>
        <w:textAlignment w:val="baseline"/>
        <w:rPr>
          <w:rStyle w:val="normaltextrun"/>
          <w:rFonts w:ascii="Book Antiqua" w:hAnsi="Book Antiqua" w:cs="Calibri"/>
          <w:bCs/>
          <w:lang w:val="en-US"/>
        </w:rPr>
      </w:pPr>
      <w:r w:rsidRPr="001F1399">
        <w:rPr>
          <w:rStyle w:val="normaltextrun"/>
          <w:rFonts w:ascii="Book Antiqua" w:hAnsi="Book Antiqua" w:cs="Calibri"/>
          <w:bCs/>
          <w:lang w:val="en-US"/>
        </w:rPr>
        <w:t>This review is aimed at describing the actual understanding of the indirect and direct</w:t>
      </w:r>
      <w:r w:rsidR="003D3868" w:rsidRPr="001F1399">
        <w:rPr>
          <w:rStyle w:val="normaltextrun"/>
          <w:rFonts w:ascii="Book Antiqua" w:hAnsi="Book Antiqua" w:cs="Calibri"/>
          <w:bCs/>
          <w:lang w:val="en-US"/>
        </w:rPr>
        <w:t xml:space="preserve"> repeated </w:t>
      </w:r>
      <w:r w:rsidR="006251A2" w:rsidRPr="001F1399">
        <w:rPr>
          <w:rStyle w:val="normaltextrun"/>
          <w:rFonts w:ascii="Book Antiqua" w:hAnsi="Book Antiqua" w:cs="Calibri"/>
          <w:bCs/>
          <w:lang w:val="en-US"/>
        </w:rPr>
        <w:t>low-level</w:t>
      </w:r>
      <w:r w:rsidRPr="001F1399">
        <w:rPr>
          <w:rStyle w:val="normaltextrun"/>
          <w:rFonts w:ascii="Book Antiqua" w:hAnsi="Book Antiqua" w:cs="Calibri"/>
          <w:bCs/>
          <w:lang w:val="en-US"/>
        </w:rPr>
        <w:t xml:space="preserve"> exposure of respectively the fetus and the infant to major categories of food contaminants and the consequences on development and maturation mainly of the brain gut microbiota axis</w:t>
      </w:r>
      <w:r w:rsidR="00DD0E00" w:rsidRPr="001F1399">
        <w:rPr>
          <w:rStyle w:val="normaltextrun"/>
          <w:rFonts w:ascii="Book Antiqua" w:hAnsi="Book Antiqua" w:cs="Calibri"/>
          <w:bCs/>
          <w:lang w:val="en-US"/>
        </w:rPr>
        <w:t xml:space="preserve"> through their impact on neuro-immuno-endocrine modulation</w:t>
      </w:r>
      <w:r w:rsidRPr="001F1399">
        <w:rPr>
          <w:rStyle w:val="normaltextrun"/>
          <w:rFonts w:ascii="Book Antiqua" w:hAnsi="Book Antiqua" w:cs="Calibri"/>
          <w:bCs/>
          <w:lang w:val="en-US"/>
        </w:rPr>
        <w:t>.</w:t>
      </w:r>
    </w:p>
    <w:p w14:paraId="04767C16" w14:textId="0C4203A4" w:rsidR="005A7DD6" w:rsidRPr="001F1399" w:rsidRDefault="005A7DD6" w:rsidP="002974FA">
      <w:pPr>
        <w:pStyle w:val="paragraph"/>
        <w:adjustRightInd w:val="0"/>
        <w:snapToGrid w:val="0"/>
        <w:spacing w:before="0" w:beforeAutospacing="0" w:after="0" w:afterAutospacing="0" w:line="360" w:lineRule="auto"/>
        <w:jc w:val="both"/>
        <w:textAlignment w:val="baseline"/>
        <w:rPr>
          <w:rStyle w:val="normaltextrun"/>
          <w:rFonts w:ascii="Book Antiqua" w:hAnsi="Book Antiqua" w:cs="Calibri"/>
          <w:bCs/>
          <w:lang w:val="en-US"/>
        </w:rPr>
      </w:pPr>
    </w:p>
    <w:p w14:paraId="70AD8159" w14:textId="4808C6F7" w:rsidR="00CD4A5A" w:rsidRPr="001F1399" w:rsidRDefault="003F4907" w:rsidP="002974FA">
      <w:pPr>
        <w:pStyle w:val="paragraph"/>
        <w:adjustRightInd w:val="0"/>
        <w:snapToGrid w:val="0"/>
        <w:spacing w:before="0" w:beforeAutospacing="0" w:after="0" w:afterAutospacing="0" w:line="360" w:lineRule="auto"/>
        <w:jc w:val="both"/>
        <w:textAlignment w:val="baseline"/>
        <w:rPr>
          <w:rFonts w:ascii="Book Antiqua" w:hAnsi="Book Antiqua" w:cs="Segoe UI"/>
          <w:b/>
          <w:iCs/>
          <w:u w:val="single"/>
          <w:lang w:val="en-US"/>
        </w:rPr>
      </w:pPr>
      <w:r w:rsidRPr="001F1399">
        <w:rPr>
          <w:rStyle w:val="spellingerror"/>
          <w:rFonts w:ascii="Book Antiqua" w:hAnsi="Book Antiqua" w:cs="Calibri"/>
          <w:b/>
          <w:iCs/>
          <w:u w:val="single"/>
          <w:lang w:val="en-US"/>
        </w:rPr>
        <w:t>SETTLEMENT</w:t>
      </w:r>
      <w:r w:rsidR="005F1373" w:rsidRPr="001F1399">
        <w:rPr>
          <w:rStyle w:val="normaltextrun"/>
          <w:rFonts w:ascii="Book Antiqua" w:hAnsi="Book Antiqua" w:cs="Calibri"/>
          <w:b/>
          <w:iCs/>
          <w:u w:val="single"/>
          <w:lang w:val="en-US"/>
        </w:rPr>
        <w:t xml:space="preserve"> </w:t>
      </w:r>
      <w:r w:rsidRPr="001F1399">
        <w:rPr>
          <w:rStyle w:val="normaltextrun"/>
          <w:rFonts w:ascii="Book Antiqua" w:hAnsi="Book Antiqua" w:cs="Calibri"/>
          <w:b/>
          <w:iCs/>
          <w:u w:val="single"/>
          <w:lang w:val="en-US"/>
        </w:rPr>
        <w:t>AND MATURATION OF THE </w:t>
      </w:r>
      <w:r w:rsidRPr="001F1399">
        <w:rPr>
          <w:rStyle w:val="spellingerror"/>
          <w:rFonts w:ascii="Book Antiqua" w:hAnsi="Book Antiqua" w:cs="Calibri"/>
          <w:b/>
          <w:iCs/>
          <w:u w:val="single"/>
          <w:lang w:val="en-US"/>
        </w:rPr>
        <w:t>BRAIN-GUT-MICROBIOTA</w:t>
      </w:r>
      <w:r w:rsidR="005F1373" w:rsidRPr="001F1399">
        <w:rPr>
          <w:rStyle w:val="normaltextrun"/>
          <w:rFonts w:ascii="Book Antiqua" w:hAnsi="Book Antiqua" w:cs="Calibri"/>
          <w:b/>
          <w:iCs/>
          <w:u w:val="single"/>
          <w:lang w:val="en-US"/>
        </w:rPr>
        <w:t xml:space="preserve"> </w:t>
      </w:r>
      <w:r w:rsidRPr="001F1399">
        <w:rPr>
          <w:rStyle w:val="normaltextrun"/>
          <w:rFonts w:ascii="Book Antiqua" w:hAnsi="Book Antiqua" w:cs="Calibri"/>
          <w:b/>
          <w:iCs/>
          <w:u w:val="single"/>
          <w:lang w:val="en-US"/>
        </w:rPr>
        <w:t>AXIS</w:t>
      </w:r>
    </w:p>
    <w:p w14:paraId="41082FC2" w14:textId="425C8849" w:rsidR="1D7E9545" w:rsidRPr="001F1399" w:rsidRDefault="1D7E9545" w:rsidP="002974FA">
      <w:pPr>
        <w:adjustRightInd w:val="0"/>
        <w:snapToGrid w:val="0"/>
        <w:spacing w:after="0" w:line="360" w:lineRule="auto"/>
        <w:jc w:val="both"/>
        <w:rPr>
          <w:rFonts w:ascii="Book Antiqua" w:hAnsi="Book Antiqua"/>
          <w:color w:val="000000" w:themeColor="text1"/>
          <w:sz w:val="24"/>
          <w:szCs w:val="24"/>
          <w:lang w:val="en-US"/>
        </w:rPr>
      </w:pPr>
      <w:r w:rsidRPr="001F1399">
        <w:rPr>
          <w:rFonts w:ascii="Book Antiqua" w:hAnsi="Book Antiqua"/>
          <w:sz w:val="24"/>
          <w:szCs w:val="24"/>
          <w:lang w:val="en-US"/>
        </w:rPr>
        <w:t>Intestinal homeostasis settlement is defined as the establishment of an equilibrium between gut microbiota, immune system and epithelial cell integrity</w:t>
      </w:r>
      <w:r w:rsidRPr="001F1399">
        <w:rPr>
          <w:rFonts w:ascii="Book Antiqua" w:hAnsi="Book Antiqua"/>
          <w:sz w:val="24"/>
          <w:szCs w:val="24"/>
        </w:rPr>
        <w:fldChar w:fldCharType="begin" w:fldLock="1"/>
      </w:r>
      <w:r w:rsidR="00B1214D" w:rsidRPr="001F1399">
        <w:rPr>
          <w:rFonts w:ascii="Book Antiqua" w:hAnsi="Book Antiqua"/>
          <w:sz w:val="24"/>
          <w:szCs w:val="24"/>
          <w:lang w:val="en-US"/>
        </w:rPr>
        <w:instrText>ADDIN CSL_CITATION {"citationItems":[{"id":"ITEM-1","itemData":{"DOI":"10.1038/nrmicro2974","ISSN":"1740-1534","PMID":"23435359","abstract":"Establishing and maintaining beneficial interactions between the host and its associated microbiota are key requirements for host health. Although the gut microbiota has previously been studied in the context of inflammatory diseases, it has recently become clear that this microbial community has a beneficial role during normal homeostasis, modulating the host's immune system as well as influencing host development and physiology, including organ development and morphogenesis, and host metabolism. The underlying molecular mechanisms of host-microorganism interactions remain largely unknown, but recent studies have begun to identify the key signalling pathways of the cross-species homeostatic regulation between the gut microbiota and its host.","author":[{"dropping-particle":"","family":"Sommer","given":"Felix","non-dropping-particle":"","parse-names":false,"suffix":""},{"dropping-particle":"","family":"Bäckhed","given":"Fredrik","non-dropping-particle":"","parse-names":false,"suffix":""}],"container-title":"Nature reviews. Microbiology","id":"ITEM-1","issue":"4","issued":{"date-parts":[["2013","4"]]},"page":"227-238","publisher":"Nature Publishing Group","title":"The gut microbiota--masters of host development and physiology.","type":"article-journal","volume":"11"},"uris":["http://www.mendeley.com/documents/?uuid=aa9aa65c-dac5-498f-a4af-6185b6e1b425"]}],"mendeley":{"formattedCitation":"&lt;sup&gt;[3]&lt;/sup&gt;","plainTextFormattedCitation":"[3]","previouslyFormattedCitation":"&lt;sup&gt;[2]&lt;/sup&gt;"},"properties":{"noteIndex":0},"schema":"https://github.com/citation-style-language/schema/raw/master/csl-citation.json"}</w:instrText>
      </w:r>
      <w:r w:rsidRPr="001F1399">
        <w:rPr>
          <w:rFonts w:ascii="Book Antiqua" w:hAnsi="Book Antiqua"/>
          <w:sz w:val="24"/>
          <w:szCs w:val="24"/>
        </w:rPr>
        <w:fldChar w:fldCharType="separate"/>
      </w:r>
      <w:r w:rsidR="00B1214D" w:rsidRPr="001F1399">
        <w:rPr>
          <w:rFonts w:ascii="Book Antiqua" w:hAnsi="Book Antiqua"/>
          <w:noProof/>
          <w:sz w:val="24"/>
          <w:szCs w:val="24"/>
          <w:vertAlign w:val="superscript"/>
          <w:lang w:val="en-US"/>
        </w:rPr>
        <w:t>[3]</w:t>
      </w:r>
      <w:r w:rsidRPr="001F1399">
        <w:rPr>
          <w:rFonts w:ascii="Book Antiqua" w:hAnsi="Book Antiqua"/>
          <w:sz w:val="24"/>
          <w:szCs w:val="24"/>
        </w:rPr>
        <w:fldChar w:fldCharType="end"/>
      </w:r>
      <w:r w:rsidRPr="001F1399">
        <w:rPr>
          <w:rFonts w:ascii="Book Antiqua" w:hAnsi="Book Antiqua"/>
          <w:sz w:val="24"/>
          <w:szCs w:val="24"/>
          <w:lang w:val="en-US"/>
        </w:rPr>
        <w:t>. This event occurs during the 1000 first days of life, from fetal stage to 2 years old</w:t>
      </w:r>
      <w:r w:rsidRPr="001F1399">
        <w:rPr>
          <w:rFonts w:ascii="Book Antiqua" w:hAnsi="Book Antiqua"/>
          <w:sz w:val="24"/>
          <w:szCs w:val="24"/>
        </w:rPr>
        <w:fldChar w:fldCharType="begin" w:fldLock="1"/>
      </w:r>
      <w:r w:rsidR="00B1214D" w:rsidRPr="001F1399">
        <w:rPr>
          <w:rFonts w:ascii="Book Antiqua" w:hAnsi="Book Antiqua"/>
          <w:sz w:val="24"/>
          <w:szCs w:val="24"/>
          <w:lang w:val="en-US"/>
        </w:rPr>
        <w:instrText>ADDIN CSL_CITATION {"citationItems":[{"id":"ITEM-1","itemData":{"DOI":"10.1016/j.tim.2018.09.008","ISSN":"0966842X","PMID":"30529020","abstract":"The assembly of microbial communities within the gastrointestinal tract during early life plays a critical role in immune, endocrine, metabolic, and other host developmental pathways. Environmental insults during this period, such as food insecurity and infections, can disrupt this optimal microbial succession, which may contribute to lifelong and intergenerational deficits in growth and development. Here, we review the human microbiome in the first 1000 days – referring to the period from conception to 2 years of age – and using a developmental model, we examine the role of early microbial succession in growth and development. We propose that an ‘undernourished’ microbiome is intergenerational, thereby perpetuating growth impairments into successive generations. We also identify and discuss the intertwining host–microbe–environment interactions occurring prenatally and during early infancy, which may impair the trajectories of healthy growth and development, and explore their potential as novel microbial targets for intervention.","author":[{"dropping-particle":"","family":"Robertson","given":"Ruairi C.","non-dropping-particle":"","parse-names":false,"suffix":""},{"dropping-particle":"","family":"Manges","given":"Amee R.","non-dropping-particle":"","parse-names":false,"suffix":""},{"dropping-particle":"","family":"Finlay","given":"B. Brett","non-dropping-particle":"","parse-names":false,"suffix":""},{"dropping-particle":"","family":"Prendergast","given":"Andrew J.","non-dropping-particle":"","parse-names":false,"suffix":""}],"container-title":"Trends in Microbiology","id":"ITEM-1","issue":"2","issued":{"date-parts":[["2019","2"]]},"page":"131-147","title":"The Human Microbiome and Child Growth – First 1000 Days and Beyond","type":"article-journal","volume":"27"},"uris":["http://www.mendeley.com/documents/?uuid=3be5b301-60af-3be9-a0d3-c235db150613"]}],"mendeley":{"formattedCitation":"&lt;sup&gt;[4]&lt;/sup&gt;","plainTextFormattedCitation":"[4]","previouslyFormattedCitation":"&lt;sup&gt;[3]&lt;/sup&gt;"},"properties":{"noteIndex":0},"schema":"https://github.com/citation-style-language/schema/raw/master/csl-citation.json"}</w:instrText>
      </w:r>
      <w:r w:rsidRPr="001F1399">
        <w:rPr>
          <w:rFonts w:ascii="Book Antiqua" w:hAnsi="Book Antiqua"/>
          <w:sz w:val="24"/>
          <w:szCs w:val="24"/>
        </w:rPr>
        <w:fldChar w:fldCharType="separate"/>
      </w:r>
      <w:r w:rsidR="00B1214D" w:rsidRPr="001F1399">
        <w:rPr>
          <w:rFonts w:ascii="Book Antiqua" w:hAnsi="Book Antiqua"/>
          <w:noProof/>
          <w:sz w:val="24"/>
          <w:szCs w:val="24"/>
          <w:vertAlign w:val="superscript"/>
          <w:lang w:val="en-GB"/>
        </w:rPr>
        <w:t>[4]</w:t>
      </w:r>
      <w:r w:rsidRPr="001F1399">
        <w:rPr>
          <w:rFonts w:ascii="Book Antiqua" w:hAnsi="Book Antiqua"/>
          <w:sz w:val="24"/>
          <w:szCs w:val="24"/>
        </w:rPr>
        <w:fldChar w:fldCharType="end"/>
      </w:r>
      <w:r w:rsidRPr="001F1399">
        <w:rPr>
          <w:rFonts w:ascii="Book Antiqua" w:hAnsi="Book Antiqua"/>
          <w:sz w:val="24"/>
          <w:szCs w:val="24"/>
          <w:lang w:val="en-GB"/>
        </w:rPr>
        <w:t xml:space="preserve">. </w:t>
      </w:r>
      <w:r w:rsidRPr="001F1399">
        <w:rPr>
          <w:rFonts w:ascii="Book Antiqua" w:hAnsi="Book Antiqua"/>
          <w:sz w:val="24"/>
          <w:szCs w:val="24"/>
          <w:lang w:val="en-US"/>
        </w:rPr>
        <w:t xml:space="preserve">Because gut microbiota </w:t>
      </w:r>
      <w:r w:rsidR="26CE9E3D" w:rsidRPr="001F1399">
        <w:rPr>
          <w:rFonts w:ascii="Book Antiqua" w:hAnsi="Book Antiqua"/>
          <w:sz w:val="24"/>
          <w:szCs w:val="24"/>
          <w:lang w:val="en-US"/>
        </w:rPr>
        <w:t>plays</w:t>
      </w:r>
      <w:r w:rsidRPr="001F1399">
        <w:rPr>
          <w:rFonts w:ascii="Book Antiqua" w:hAnsi="Book Antiqua"/>
          <w:sz w:val="24"/>
          <w:szCs w:val="24"/>
          <w:lang w:val="en-US"/>
        </w:rPr>
        <w:t xml:space="preserve"> a central role in the maturation of gut mucosa and immune system, </w:t>
      </w:r>
      <w:r w:rsidRPr="001F1399">
        <w:rPr>
          <w:rFonts w:ascii="Book Antiqua" w:hAnsi="Book Antiqua"/>
          <w:sz w:val="24"/>
          <w:szCs w:val="24"/>
          <w:lang w:val="en-US"/>
        </w:rPr>
        <w:lastRenderedPageBreak/>
        <w:t xml:space="preserve">many studies </w:t>
      </w:r>
      <w:r w:rsidR="26CE9E3D" w:rsidRPr="001F1399">
        <w:rPr>
          <w:rFonts w:ascii="Book Antiqua" w:hAnsi="Book Antiqua"/>
          <w:sz w:val="24"/>
          <w:szCs w:val="24"/>
          <w:lang w:val="en-US"/>
        </w:rPr>
        <w:t>focused</w:t>
      </w:r>
      <w:r w:rsidRPr="001F1399">
        <w:rPr>
          <w:rFonts w:ascii="Book Antiqua" w:hAnsi="Book Antiqua"/>
          <w:sz w:val="24"/>
          <w:szCs w:val="24"/>
          <w:lang w:val="en-US"/>
        </w:rPr>
        <w:t xml:space="preserve"> their interest on where and when </w:t>
      </w:r>
      <w:r w:rsidR="26CE9E3D" w:rsidRPr="001F1399">
        <w:rPr>
          <w:rFonts w:ascii="Book Antiqua" w:hAnsi="Book Antiqua"/>
          <w:sz w:val="24"/>
          <w:szCs w:val="24"/>
          <w:lang w:val="en-US"/>
        </w:rPr>
        <w:t xml:space="preserve">will </w:t>
      </w:r>
      <w:r w:rsidRPr="001F1399">
        <w:rPr>
          <w:rFonts w:ascii="Book Antiqua" w:hAnsi="Book Antiqua"/>
          <w:sz w:val="24"/>
          <w:szCs w:val="24"/>
          <w:lang w:val="en-US"/>
        </w:rPr>
        <w:t xml:space="preserve">start maternal microbiota transmission. Early </w:t>
      </w:r>
      <w:r w:rsidR="26CE9E3D" w:rsidRPr="001F1399">
        <w:rPr>
          <w:rFonts w:ascii="Book Antiqua" w:hAnsi="Book Antiqua"/>
          <w:sz w:val="24"/>
          <w:szCs w:val="24"/>
          <w:lang w:val="en-US"/>
        </w:rPr>
        <w:t>20</w:t>
      </w:r>
      <w:r w:rsidRPr="001F1399">
        <w:rPr>
          <w:rFonts w:ascii="Book Antiqua" w:hAnsi="Book Antiqua"/>
          <w:sz w:val="24"/>
          <w:szCs w:val="24"/>
          <w:vertAlign w:val="superscript"/>
          <w:lang w:val="en-US"/>
        </w:rPr>
        <w:t>th</w:t>
      </w:r>
      <w:r w:rsidRPr="001F1399">
        <w:rPr>
          <w:rFonts w:ascii="Book Antiqua" w:hAnsi="Book Antiqua"/>
          <w:sz w:val="24"/>
          <w:szCs w:val="24"/>
          <w:lang w:val="en-US"/>
        </w:rPr>
        <w:t xml:space="preserve"> century, the idea </w:t>
      </w:r>
      <w:r w:rsidR="1E22EFBC" w:rsidRPr="001F1399">
        <w:rPr>
          <w:rFonts w:ascii="Book Antiqua" w:hAnsi="Book Antiqua"/>
          <w:sz w:val="24"/>
          <w:szCs w:val="24"/>
          <w:lang w:val="en-US"/>
        </w:rPr>
        <w:t>that</w:t>
      </w:r>
      <w:r w:rsidRPr="001F1399">
        <w:rPr>
          <w:rFonts w:ascii="Book Antiqua" w:hAnsi="Book Antiqua"/>
          <w:sz w:val="24"/>
          <w:szCs w:val="24"/>
          <w:lang w:val="en-US"/>
        </w:rPr>
        <w:t xml:space="preserve"> gut microbiota acquisition in infant starts </w:t>
      </w:r>
      <w:r w:rsidR="1E22EFBC" w:rsidRPr="001F1399">
        <w:rPr>
          <w:rFonts w:ascii="Book Antiqua" w:hAnsi="Book Antiqua"/>
          <w:sz w:val="24"/>
          <w:szCs w:val="24"/>
          <w:lang w:val="en-US"/>
        </w:rPr>
        <w:t>at</w:t>
      </w:r>
      <w:r w:rsidRPr="001F1399">
        <w:rPr>
          <w:rFonts w:ascii="Book Antiqua" w:hAnsi="Book Antiqua"/>
          <w:sz w:val="24"/>
          <w:szCs w:val="24"/>
          <w:lang w:val="en-US"/>
        </w:rPr>
        <w:t xml:space="preserve"> delivery, </w:t>
      </w:r>
      <w:r w:rsidR="1E22EFBC" w:rsidRPr="001F1399">
        <w:rPr>
          <w:rFonts w:ascii="Book Antiqua" w:hAnsi="Book Antiqua"/>
          <w:sz w:val="24"/>
          <w:szCs w:val="24"/>
          <w:lang w:val="en-US"/>
        </w:rPr>
        <w:t>following</w:t>
      </w:r>
      <w:r w:rsidRPr="001F1399">
        <w:rPr>
          <w:rFonts w:ascii="Book Antiqua" w:hAnsi="Book Antiqua"/>
          <w:sz w:val="24"/>
          <w:szCs w:val="24"/>
          <w:lang w:val="en-US"/>
        </w:rPr>
        <w:t xml:space="preserve"> contamination with vaginal and fecal bacteria from maternal flora, was accepted. However, new methods based on independent-cultured molecular technics suggest that bacterial transfer from the mother to their infant begin</w:t>
      </w:r>
      <w:r w:rsidR="12ACDBB1" w:rsidRPr="001F1399">
        <w:rPr>
          <w:rFonts w:ascii="Book Antiqua" w:hAnsi="Book Antiqua"/>
          <w:sz w:val="24"/>
          <w:szCs w:val="24"/>
          <w:lang w:val="en-US"/>
        </w:rPr>
        <w:t>s</w:t>
      </w:r>
      <w:r w:rsidRPr="001F1399">
        <w:rPr>
          <w:rFonts w:ascii="Book Antiqua" w:hAnsi="Book Antiqua"/>
          <w:sz w:val="24"/>
          <w:szCs w:val="24"/>
          <w:lang w:val="en-US"/>
        </w:rPr>
        <w:t xml:space="preserve"> </w:t>
      </w:r>
      <w:r w:rsidRPr="001F1399">
        <w:rPr>
          <w:rFonts w:ascii="Book Antiqua" w:hAnsi="Book Antiqua"/>
          <w:i/>
          <w:iCs/>
          <w:sz w:val="24"/>
          <w:szCs w:val="24"/>
          <w:lang w:val="en-US"/>
        </w:rPr>
        <w:t>in utero</w:t>
      </w:r>
      <w:r w:rsidRPr="001F1399">
        <w:rPr>
          <w:rFonts w:ascii="Book Antiqua" w:hAnsi="Book Antiqua"/>
          <w:sz w:val="24"/>
          <w:szCs w:val="24"/>
        </w:rPr>
        <w:fldChar w:fldCharType="begin" w:fldLock="1"/>
      </w:r>
      <w:r w:rsidR="00B1214D" w:rsidRPr="001F1399">
        <w:rPr>
          <w:rFonts w:ascii="Book Antiqua" w:hAnsi="Book Antiqua"/>
          <w:i/>
          <w:iCs/>
          <w:sz w:val="24"/>
          <w:szCs w:val="24"/>
          <w:lang w:val="en-US"/>
        </w:rPr>
        <w:instrText>ADDIN CSL_CITATION {"citationItems":[{"id":"ITEM-1","itemData":{"DOI":"10.1038/pr.2014.163","ISSN":"0031-3998","PMID":"25310759","abstract":"While critical for normal development, the exact timing of establishment of the intestinal microbiome is unknown. For example, although preterm labor and birth have been associated with bacterial colonization of the amniotic cavity and fetal membranes for many years, the prevailing dogma of a sterile intrauterine environment during normal term pregnancies has been challenged more recently. While found to be a key contributor of evolution in the animal kingdom, maternal transmission of commensal bacteria may also constitute a critical process during healthy pregnancies in humans with yet unclear developmental importance. Metagenomic sequencing has elucidated a rich placental microbiome in normal term pregnancies likely providing important metabolic and immune contributions to the growing fetus. Conversely, an altered microbial composition during pregnancy may produce aberrant metabolites impairing fetal brain development and life-long neurological outcomes. Here we review the current understanding of microbial colonization at the feto-maternal interface and explain how normal gut colonization drives a balanced neonatal mucosal immune system, while dysbiosis contributes to aberrant immune function early in life and beyond. We discuss how maternal genetics, diet, medications, and probiotics inform the fetal microbiome in preparation for perinatal and postnatal bacterial colonization.","author":[{"dropping-particle":"","family":"Romano-Keeler","given":"Joann","non-dropping-particle":"","parse-names":false,"suffix":""},{"dropping-particle":"","family":"Weitkamp","given":"Jörn-Hendrik","non-dropping-particle":"","parse-names":false,"suffix":""}],"container-title":"Pediatric Research","id":"ITEM-1","issue":"1-2","issued":{"date-parts":[["2015","1","13"]]},"page":"189-195","title":"Maternal influences on fetal microbial colonization and immune development","type":"article-journal","volume":"77"},"uris":["http://www.mendeley.com/documents/?uuid=bcf00b00-c2d0-4f78-824c-3f7521665f27"]}],"mendeley":{"formattedCitation":"&lt;sup&gt;[5]&lt;/sup&gt;","plainTextFormattedCitation":"[5]","previouslyFormattedCitation":"&lt;sup&gt;[4]&lt;/sup&gt;"},"properties":{"noteIndex":0},"schema":"https://github.com/citation-style-language/schema/raw/master/csl-citation.json"}</w:instrText>
      </w:r>
      <w:r w:rsidRPr="001F1399">
        <w:rPr>
          <w:rFonts w:ascii="Book Antiqua" w:hAnsi="Book Antiqua"/>
          <w:i/>
          <w:iCs/>
          <w:sz w:val="24"/>
          <w:szCs w:val="24"/>
          <w:lang w:val="en-US"/>
        </w:rPr>
        <w:fldChar w:fldCharType="separate"/>
      </w:r>
      <w:r w:rsidR="00B1214D" w:rsidRPr="001F1399">
        <w:rPr>
          <w:rFonts w:ascii="Book Antiqua" w:hAnsi="Book Antiqua"/>
          <w:noProof/>
          <w:sz w:val="24"/>
          <w:szCs w:val="24"/>
          <w:vertAlign w:val="superscript"/>
          <w:lang w:val="en-US"/>
        </w:rPr>
        <w:t>[5]</w:t>
      </w:r>
      <w:r w:rsidRPr="001F1399">
        <w:rPr>
          <w:rFonts w:ascii="Book Antiqua" w:hAnsi="Book Antiqua"/>
          <w:sz w:val="24"/>
          <w:szCs w:val="24"/>
        </w:rPr>
        <w:fldChar w:fldCharType="end"/>
      </w:r>
      <w:r w:rsidRPr="001F1399">
        <w:rPr>
          <w:rFonts w:ascii="Book Antiqua" w:hAnsi="Book Antiqua"/>
          <w:sz w:val="24"/>
          <w:szCs w:val="24"/>
          <w:lang w:val="en-US"/>
        </w:rPr>
        <w:t xml:space="preserve"> </w:t>
      </w:r>
      <w:r w:rsidR="1E22EFBC" w:rsidRPr="001F1399">
        <w:rPr>
          <w:rFonts w:ascii="Book Antiqua" w:hAnsi="Book Antiqua"/>
          <w:sz w:val="24"/>
          <w:szCs w:val="24"/>
          <w:lang w:val="en-US"/>
        </w:rPr>
        <w:t xml:space="preserve">although the exact </w:t>
      </w:r>
      <w:r w:rsidRPr="001F1399">
        <w:rPr>
          <w:rFonts w:ascii="Book Antiqua" w:hAnsi="Book Antiqua"/>
          <w:sz w:val="24"/>
          <w:szCs w:val="24"/>
          <w:lang w:val="en-US"/>
        </w:rPr>
        <w:t xml:space="preserve">mechanisms </w:t>
      </w:r>
      <w:r w:rsidR="12ACDBB1" w:rsidRPr="001F1399">
        <w:rPr>
          <w:rFonts w:ascii="Book Antiqua" w:hAnsi="Book Antiqua"/>
          <w:sz w:val="24"/>
          <w:szCs w:val="24"/>
          <w:lang w:val="en-US"/>
        </w:rPr>
        <w:t xml:space="preserve">of this event </w:t>
      </w:r>
      <w:r w:rsidRPr="001F1399">
        <w:rPr>
          <w:rFonts w:ascii="Book Antiqua" w:hAnsi="Book Antiqua"/>
          <w:sz w:val="24"/>
          <w:szCs w:val="24"/>
          <w:lang w:val="en-US"/>
        </w:rPr>
        <w:t xml:space="preserve">are not well </w:t>
      </w:r>
      <w:r w:rsidR="12ACDBB1" w:rsidRPr="001F1399">
        <w:rPr>
          <w:rFonts w:ascii="Book Antiqua" w:hAnsi="Book Antiqua"/>
          <w:sz w:val="24"/>
          <w:szCs w:val="24"/>
          <w:lang w:val="en-US"/>
        </w:rPr>
        <w:t>understood</w:t>
      </w:r>
      <w:r w:rsidRPr="001F1399">
        <w:rPr>
          <w:rFonts w:ascii="Book Antiqua" w:hAnsi="Book Antiqua"/>
          <w:sz w:val="24"/>
          <w:szCs w:val="24"/>
          <w:lang w:val="en-US"/>
        </w:rPr>
        <w:t xml:space="preserve">. In 2005 and 2008, Jiménez </w:t>
      </w:r>
      <w:r w:rsidRPr="001F1399">
        <w:rPr>
          <w:rFonts w:ascii="Book Antiqua" w:hAnsi="Book Antiqua"/>
          <w:i/>
          <w:iCs/>
          <w:sz w:val="24"/>
          <w:szCs w:val="24"/>
          <w:lang w:val="en-US"/>
        </w:rPr>
        <w:t>et</w:t>
      </w:r>
      <w:r w:rsidRPr="001F1399">
        <w:rPr>
          <w:rFonts w:ascii="Book Antiqua" w:hAnsi="Book Antiqua"/>
          <w:sz w:val="24"/>
          <w:szCs w:val="24"/>
          <w:lang w:val="en-US"/>
        </w:rPr>
        <w:t xml:space="preserve"> </w:t>
      </w:r>
      <w:r w:rsidRPr="001F1399">
        <w:rPr>
          <w:rFonts w:ascii="Book Antiqua" w:hAnsi="Book Antiqua"/>
          <w:i/>
          <w:iCs/>
          <w:sz w:val="24"/>
          <w:szCs w:val="24"/>
          <w:lang w:val="en-US"/>
        </w:rPr>
        <w:t>al</w:t>
      </w:r>
      <w:r w:rsidR="005F1373" w:rsidRPr="001F1399">
        <w:rPr>
          <w:rFonts w:ascii="Book Antiqua" w:hAnsi="Book Antiqua"/>
          <w:sz w:val="24"/>
          <w:szCs w:val="24"/>
        </w:rPr>
        <w:fldChar w:fldCharType="begin" w:fldLock="1"/>
      </w:r>
      <w:r w:rsidR="00B1214D" w:rsidRPr="001F1399">
        <w:rPr>
          <w:rFonts w:ascii="Book Antiqua" w:hAnsi="Book Antiqua"/>
          <w:sz w:val="24"/>
          <w:szCs w:val="24"/>
          <w:lang w:val="en-US"/>
        </w:rPr>
        <w:instrText>ADDIN CSL_CITATION {"citationItems":[{"id":"ITEM-1","itemData":{"DOI":"10.1007/s00284-005-0020-3","ISBN":"0028400500203","ISSN":"03438651","PMID":"16187156","abstract":"In a previous study, lactic acid bacteria were isolated from meconium obtained from healthy neonates born by cesarean section. Such a finding suggested that term fetuses are not completely sterile, and that a mother-to-child efflux of commensal bacteria may exist. Therefore, presence of such bacteria in umbilical cord blood of healthy neonates born by elective cesarean section was investigated. The blood samples were submitted to an enrichment step and then inoculated onto agar plates. All the identified isolates belonged to the genus Enterococcus, Streptococcus, Staphylococcus, or Propionibacterium. Later, a group of pregnant mice were orally inoculated with a genetically labeled E. faecium strain previously isolated from breast milk of a healthy woman. The labeled strain could be isolated and polymerase chain reaction detected from the amniotic fluid of the inoculated animals. In contrast, it could not be detected in the samples obtained from a noninoculated control group. © Springer Science+Business Media, Inc. 2005.","author":[{"dropping-particle":"","family":"Jiménez","given":"Esther","non-dropping-particle":"","parse-names":false,"suffix":""},{"dropping-particle":"","family":"Fernández","given":"Leonides","non-dropping-particle":"","parse-names":false,"suffix":""},{"dropping-particle":"","family":"Marín","given":"María L.","non-dropping-particle":"","parse-names":false,"suffix":""},{"dropping-particle":"","family":"Martín","given":"Rocío","non-dropping-particle":"","parse-names":false,"suffix":""},{"dropping-particle":"","family":"Odriozola","given":"Juan M.","non-dropping-particle":"","parse-names":false,"suffix":""},{"dropping-particle":"","family":"Nueno-Palop","given":"Carmen","non-dropping-particle":"","parse-names":false,"suffix":""},{"dropping-particle":"","family":"Narbad","given":"Arjan","non-dropping-particle":"","parse-names":false,"suffix":""},{"dropping-particle":"","family":"Olivares","given":"Mónica","non-dropping-particle":"","parse-names":false,"suffix":""},{"dropping-particle":"","family":"Xaus","given":"Jordi","non-dropping-particle":"","parse-names":false,"suffix":""},{"dropping-particle":"","family":"Rodríguez","given":"Juan M.","non-dropping-particle":"","parse-names":false,"suffix":""}],"container-title":"Current Microbiology","id":"ITEM-1","issue":"4","issued":{"date-parts":[["2005","10","20"]]},"page":"270-274","title":"Isolation of commensal bacteria from umbilical cord blood of healthy neonates born by cesarean section","type":"article-journal","volume":"51"},"uris":["http://www.mendeley.com/documents/?uuid=554e424c-f4b6-4db5-8f1e-16dcf90ebac2","http://www.mendeley.com/documents/?uuid=8ac4539c-c1ae-4342-9cfb-c2f0d757b817"]},{"id":"ITEM-2","itemData":{"DOI":"10.1016/j.resmic.2007.12.007","ISBN":"0923-2508 (Print)\\r0923-2508 (Linking)","ISSN":"09232508","PMID":"18281199","abstract":"In a previous study, bacteria were able to be isolated from umbilical cord blood of healthy neonates and from murine amniotic fluid obtained by caesarean section. This suggested that term fetuses are not completely sterile and that a prenatal mother-to-child efflux of commensal bacteria may exist. Therefore, the presence of such bacteria in meconium of 21 healthy neonates was investigated. The identified isolates belonged predominantly to the genuses Enterococcus and Staphylococcus. Later, a group of pregnant mice were orally inoculated with a genetically labelled E. fecium strain previously isolated from breast milk of a healthy woman. The labelled strain could be isolated and PCR-detected from meconium of the inoculated animals obtained by caesarean section one day before the predicted date of labor. In contrast, it could not be detected in samples obtained from a non-inoculated control group. ?? 2008 Elsevier Masson SAS. All rights reserved.","author":[{"dropping-particle":"","family":"Jiménez","given":"Esther","non-dropping-particle":"","parse-names":false,"suffix":""},{"dropping-particle":"","family":"Marín","given":"María L.","non-dropping-particle":"","parse-names":false,"suffix":""},{"dropping-particle":"","family":"Martín","given":"Rocío","non-dropping-particle":"","parse-names":false,"suffix":""},{"dropping-particle":"","family":"Odriozola","given":"Juan M.","non-dropping-particle":"","parse-names":false,"suffix":""},{"dropping-particle":"","family":"Olivares","given":"Mónica","non-dropping-particle":"","parse-names":false,"suffix":""},{"dropping-particle":"","family":"Xaus","given":"Jordi","non-dropping-particle":"","parse-names":false,"suffix":""},{"dropping-particle":"","family":"Fernández","given":"Leonides","non-dropping-particle":"","parse-names":false,"suffix":""},{"dropping-particle":"","family":"Rodríguez","given":"Juan M.","non-dropping-particle":"","parse-names":false,"suffix":""}],"container-title":"Research in Microbiology","id":"ITEM-2","issue":"3","issued":{"date-parts":[["2008","4"]]},"page":"187-193","title":"Is meconium from healthy newborns actually sterile?","type":"article-journal","volume":"159"},"uris":["http://www.mendeley.com/documents/?uuid=2d505d72-7427-40bc-822d-e67ebf5494d6","http://www.mendeley.com/documents/?uuid=1a9e4027-fc3f-4840-964d-4c1840494bb3"]}],"mendeley":{"formattedCitation":"&lt;sup&gt;[6,7]&lt;/sup&gt;","plainTextFormattedCitation":"[6,7]","previouslyFormattedCitation":"&lt;sup&gt;[5,6]&lt;/sup&gt;"},"properties":{"noteIndex":0},"schema":"https://github.com/citation-style-language/schema/raw/master/csl-citation.json"}</w:instrText>
      </w:r>
      <w:r w:rsidR="005F1373"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lang w:val="en-US"/>
        </w:rPr>
        <w:t>[6,7]</w:t>
      </w:r>
      <w:r w:rsidR="005F1373" w:rsidRPr="001F1399">
        <w:rPr>
          <w:rFonts w:ascii="Book Antiqua" w:hAnsi="Book Antiqua"/>
          <w:sz w:val="24"/>
          <w:szCs w:val="24"/>
        </w:rPr>
        <w:fldChar w:fldCharType="end"/>
      </w:r>
      <w:r w:rsidRPr="001F1399">
        <w:rPr>
          <w:rFonts w:ascii="Book Antiqua" w:hAnsi="Book Antiqua"/>
          <w:sz w:val="24"/>
          <w:szCs w:val="24"/>
          <w:lang w:val="en-US"/>
        </w:rPr>
        <w:t xml:space="preserve"> detected the presence of bacteria in amniotic fluid, umbilical cord and meconium</w:t>
      </w:r>
      <w:r w:rsidR="12ACDBB1" w:rsidRPr="001F1399">
        <w:rPr>
          <w:rFonts w:ascii="Book Antiqua" w:hAnsi="Book Antiqua"/>
          <w:sz w:val="24"/>
          <w:szCs w:val="24"/>
          <w:lang w:val="en-US"/>
        </w:rPr>
        <w:t xml:space="preserve"> or</w:t>
      </w:r>
      <w:r w:rsidRPr="001F1399">
        <w:rPr>
          <w:rFonts w:ascii="Book Antiqua" w:hAnsi="Book Antiqua"/>
          <w:sz w:val="24"/>
          <w:szCs w:val="24"/>
          <w:lang w:val="en-US"/>
        </w:rPr>
        <w:t xml:space="preserve"> first stool of a newborn, by polymerase chain reaction. More recently studies were performed on the identification of microbiome in human placenta </w:t>
      </w:r>
      <w:r w:rsidR="12ACDBB1" w:rsidRPr="001F1399">
        <w:rPr>
          <w:rFonts w:ascii="Book Antiqua" w:hAnsi="Book Antiqua"/>
          <w:sz w:val="24"/>
          <w:szCs w:val="24"/>
          <w:lang w:val="en-US"/>
        </w:rPr>
        <w:t>following</w:t>
      </w:r>
      <w:r w:rsidRPr="001F1399">
        <w:rPr>
          <w:rFonts w:ascii="Book Antiqua" w:hAnsi="Book Antiqua"/>
          <w:sz w:val="24"/>
          <w:szCs w:val="24"/>
          <w:lang w:val="en-US"/>
        </w:rPr>
        <w:t xml:space="preserve"> term</w:t>
      </w:r>
      <w:r w:rsidR="12ACDBB1" w:rsidRPr="001F1399">
        <w:rPr>
          <w:rFonts w:ascii="Book Antiqua" w:hAnsi="Book Antiqua"/>
          <w:sz w:val="24"/>
          <w:szCs w:val="24"/>
          <w:lang w:val="en-US"/>
        </w:rPr>
        <w:t>ed</w:t>
      </w:r>
      <w:r w:rsidRPr="001F1399">
        <w:rPr>
          <w:rFonts w:ascii="Book Antiqua" w:hAnsi="Book Antiqua"/>
          <w:sz w:val="24"/>
          <w:szCs w:val="24"/>
          <w:lang w:val="en-US"/>
        </w:rPr>
        <w:t xml:space="preserve"> and preterm</w:t>
      </w:r>
      <w:r w:rsidR="12ACDBB1" w:rsidRPr="001F1399">
        <w:rPr>
          <w:rFonts w:ascii="Book Antiqua" w:hAnsi="Book Antiqua"/>
          <w:sz w:val="24"/>
          <w:szCs w:val="24"/>
          <w:lang w:val="en-US"/>
        </w:rPr>
        <w:t>ed</w:t>
      </w:r>
      <w:r w:rsidRPr="001F1399">
        <w:rPr>
          <w:rFonts w:ascii="Book Antiqua" w:hAnsi="Book Antiqua"/>
          <w:sz w:val="24"/>
          <w:szCs w:val="24"/>
          <w:lang w:val="en-US"/>
        </w:rPr>
        <w:t xml:space="preserve"> gestations. </w:t>
      </w:r>
      <w:r w:rsidRPr="001F1399">
        <w:rPr>
          <w:rFonts w:ascii="Book Antiqua" w:hAnsi="Book Antiqua"/>
          <w:i/>
          <w:iCs/>
          <w:sz w:val="24"/>
          <w:szCs w:val="24"/>
          <w:lang w:val="en-US"/>
        </w:rPr>
        <w:t>Firmicutes, Tenericutes, Proteobacteria, Bacteroidetes, Fusobacteria</w:t>
      </w:r>
      <w:r w:rsidRPr="001F1399">
        <w:rPr>
          <w:rFonts w:ascii="Book Antiqua" w:hAnsi="Book Antiqua"/>
          <w:sz w:val="24"/>
          <w:szCs w:val="24"/>
          <w:lang w:val="en-US"/>
        </w:rPr>
        <w:t xml:space="preserve"> </w:t>
      </w:r>
      <w:r w:rsidRPr="001F1399">
        <w:rPr>
          <w:rFonts w:ascii="Book Antiqua" w:hAnsi="Book Antiqua"/>
          <w:i/>
          <w:iCs/>
          <w:sz w:val="24"/>
          <w:szCs w:val="24"/>
          <w:lang w:val="en-US"/>
        </w:rPr>
        <w:t>phyla</w:t>
      </w:r>
      <w:r w:rsidRPr="001F1399">
        <w:rPr>
          <w:rFonts w:ascii="Book Antiqua" w:hAnsi="Book Antiqua"/>
          <w:sz w:val="24"/>
          <w:szCs w:val="24"/>
          <w:lang w:val="en-US"/>
        </w:rPr>
        <w:t xml:space="preserve"> and nonpathogenic commensal microbiota were found and associated with antenatal infection</w:t>
      </w:r>
      <w:r w:rsidRPr="001F1399">
        <w:rPr>
          <w:rFonts w:ascii="Book Antiqua" w:hAnsi="Book Antiqua"/>
          <w:sz w:val="24"/>
          <w:szCs w:val="24"/>
        </w:rPr>
        <w:fldChar w:fldCharType="begin" w:fldLock="1"/>
      </w:r>
      <w:r w:rsidR="00B1214D" w:rsidRPr="001F1399">
        <w:rPr>
          <w:rFonts w:ascii="Book Antiqua" w:hAnsi="Book Antiqua"/>
          <w:sz w:val="24"/>
          <w:szCs w:val="24"/>
          <w:lang w:val="en-US"/>
        </w:rPr>
        <w:instrText>ADDIN CSL_CITATION {"citationItems":[{"id":"ITEM-1","itemData":{"DOI":"10.1126/scitranslmed.3008599","ISSN":"1946-6242","PMID":"24848255","abstract":"Humans and their microbiomes have coevolved as a physiologic community composed of distinct body site niches with metabolic and antigenic diversity. The placental microbiome has not been robustly interrogated, despite recent demonstrations of intracellular bacteria with diverse metabolic and immune regulatory functions. A population-based cohort of placental specimens collected under sterile conditions from 320 subjects with extensive clinical data was established for comparative 16S ribosomal DNA-based and whole-genome shotgun (WGS) metagenomic studies. Identified taxa and their gene carriage patterns were compared to other human body site niches, including the oral, skin, airway (nasal), vaginal, and gut microbiomes from nonpregnant controls. We characterized a unique placental microbiome niche, composed of nonpathogenic commensal microbiota from the Firmicutes, Tenericutes, Proteobacteria, Bacteroidetes, and Fusobacteria phyla. In aggregate, the placental microbiome profiles were most akin (Bray-Curtis dissimilarity &lt;0.3) to the human oral microbiome. 16S-based operational taxonomic unit analyses revealed associations of the placental microbiome with a remote history of antenatal infection (permutational multivariate analysis of variance, P = 0.006), such as urinary tract infection in the first trimester, as well as with preterm birth &lt;37 weeks (P = 0.001).","author":[{"dropping-particle":"","family":"Aagaard","given":"Kjersti","non-dropping-particle":"","parse-names":false,"suffix":""},{"dropping-particle":"","family":"Ma","given":"Jun","non-dropping-particle":"","parse-names":false,"suffix":""},{"dropping-particle":"","family":"Antony","given":"Kathleen M.","non-dropping-particle":"","parse-names":false,"suffix":""},{"dropping-particle":"","family":"Ganu","given":"Radhika","non-dropping-particle":"","parse-names":false,"suffix":""},{"dropping-particle":"","family":"Petrosino","given":"Joseph","non-dropping-particle":"","parse-names":false,"suffix":""},{"dropping-particle":"","family":"Versalovic","given":"James","non-dropping-particle":"","parse-names":false,"suffix":""}],"container-title":"Science translational medicine","id":"ITEM-1","issue":"237","issued":{"date-parts":[["2014","5","21"]]},"page":"237ra65","title":"The placenta harbors a unique microbiome.","type":"article-journal","volume":"6"},"uris":["http://www.mendeley.com/documents/?uuid=995f4853-abb0-4b7f-bb75-308526eb1d82","http://www.mendeley.com/documents/?uuid=7569ec9b-c572-4884-8f94-5d43029773d7"]},{"id":"ITEM-2","itemData":{"DOI":"10.1016/j.ajog.2013.01.018","ISSN":"00029378","PMID":"23333552","abstract":"Objective: Bacteria have been identified in different regions of the placenta. Here, we tested the hypothesis that the maternal basal plate of the placenta harbors microbes that may be associated with adverse pregnancy outcomes. Study Design: We performed a cross-sectional study of pregnancies from a single tertiary care hospital. Maternal medical and obstetric characteristics were obtained and pregnancies followed up prospectively for outcomes and placental collection. After delivery, systematic random sampling of the placental basal plate was performed. Paraffin sections of basal plates were stained with 4 histologic stains and scored for morphological evidence of bacteria. Results: Of 195 total patients in the study, Gram-positive and -negative intracellular bacteria of diverse morphologies were documented in the basal plates of 27% of all placentas. Of the patients, 35% delivered preterm. No difference was noted between placental basal plates from preterm or term gestations. Intracellular bacteria were found in the placental basal plates of 54% spontaneous preterm deliveries &lt;28 weeks, and in 26% of term spontaneous deliveries (P =.02). Intracellular bacteria were also documented in placentas without clinical or pathologic chorioamnionitis. Conclusion: A total of 27% of placentas demonstrated intracellular bacteria in the placental basal plate using morphological techniques. Thus, the maternal basal plate is a possible source of intrauterine colonization and placental pathological examination could include examination for bacteria in this important maternal-fetal interface. © 2013 Mosby, Inc.","author":[{"dropping-particle":"","family":"Stout","given":"Molly J.","non-dropping-particle":"","parse-names":false,"suffix":""},{"dropping-particle":"","family":"Conlon","given":"Bridget","non-dropping-particle":"","parse-names":false,"suffix":""},{"dropping-particle":"","family":"Landeau","given":"Michele","non-dropping-particle":"","parse-names":false,"suffix":""},{"dropping-particle":"","family":"Lee","given":"Iris","non-dropping-particle":"","parse-names":false,"suffix":""},{"dropping-particle":"","family":"Bower","given":"Carolyn","non-dropping-particle":"","parse-names":false,"suffix":""},{"dropping-particle":"","family":"Zhao","given":"Qiuhong","non-dropping-particle":"","parse-names":false,"suffix":""},{"dropping-particle":"","family":"Roehl","given":"Kimberly A.","non-dropping-particle":"","parse-names":false,"suffix":""},{"dropping-particle":"","family":"Nelson","given":"D. Michael","non-dropping-particle":"","parse-names":false,"suffix":""},{"dropping-particle":"","family":"Macones","given":"George A.","non-dropping-particle":"","parse-names":false,"suffix":""},{"dropping-particle":"","family":"Mysorekar","given":"Indira U.","non-dropping-particle":"","parse-names":false,"suffix":""}],"container-title":"American Journal of Obstetrics and Gynecology","id":"ITEM-2","issue":"3","issued":{"date-parts":[["2013","3"]]},"page":"226.e1-226.e7","title":"Identification of intracellular bacteria in the basal plate of the human placenta in term and preterm gestations","type":"article-journal","volume":"208"},"uris":["http://www.mendeley.com/documents/?uuid=38e4a127-9550-447b-ab16-62c7012f3db0","http://www.mendeley.com/documents/?uuid=a70fccb1-b71f-4789-b560-4039312ba983"]}],"mendeley":{"formattedCitation":"&lt;sup&gt;[8,9]&lt;/sup&gt;","plainTextFormattedCitation":"[8,9]","previouslyFormattedCitation":"&lt;sup&gt;[7,8]&lt;/sup&gt;"},"properties":{"noteIndex":0},"schema":"https://github.com/citation-style-language/schema/raw/master/csl-citation.json"}</w:instrText>
      </w:r>
      <w:r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lang w:val="en-US"/>
        </w:rPr>
        <w:t>[8,9]</w:t>
      </w:r>
      <w:r w:rsidRPr="001F1399">
        <w:rPr>
          <w:rFonts w:ascii="Book Antiqua" w:hAnsi="Book Antiqua"/>
          <w:sz w:val="24"/>
          <w:szCs w:val="24"/>
        </w:rPr>
        <w:fldChar w:fldCharType="end"/>
      </w:r>
      <w:r w:rsidRPr="001F1399">
        <w:rPr>
          <w:rFonts w:ascii="Book Antiqua" w:hAnsi="Book Antiqua"/>
          <w:sz w:val="24"/>
          <w:szCs w:val="24"/>
          <w:lang w:val="en-US"/>
        </w:rPr>
        <w:t>. Nevertheless, even if bacteria patterns could be transmitted from mother to children in the womb, differences of newborn microbiota composition were observed depending on the mode of delivery, preterm birth and the use of antibiotics</w:t>
      </w:r>
      <w:r w:rsidRPr="001F1399">
        <w:rPr>
          <w:rFonts w:ascii="Book Antiqua" w:hAnsi="Book Antiqua"/>
          <w:sz w:val="24"/>
          <w:szCs w:val="24"/>
        </w:rPr>
        <w:fldChar w:fldCharType="begin" w:fldLock="1"/>
      </w:r>
      <w:r w:rsidR="00B1214D" w:rsidRPr="001F1399">
        <w:rPr>
          <w:rFonts w:ascii="Book Antiqua" w:hAnsi="Book Antiqua"/>
          <w:sz w:val="24"/>
          <w:szCs w:val="24"/>
          <w:lang w:val="en-US"/>
        </w:rPr>
        <w:instrText>ADDIN CSL_CITATION {"citationItems":[{"id":"ITEM-1","itemData":{"DOI":"10.1097/00005176-199901000-00007","ISBN":"0277-2116 (Print)\\r0277-2116 (Linking)","ISSN":"0277-2116","PMID":"9890463","abstract":"BACKGROUND: Newborn infants in modern maternity hospitals are subject to numerous factors that affect normal intestinal colonization--for example, cesarean delivery and antimicrobial agents. To study the duration of the effect of external factors on intestinal colonization, two groups of infants with different delivery methods were investigated. METHODS: The fecal flora of 64 healthy infants was studied prospectively. Thirty-four infants were delivered vaginally, and 30 by cesarean birth with antibiotic prophylaxis administered to their mothers before the delivery. The fecal flora was cultured on nonselective and selective media in infants 3 to 5, 10, 30, 60, and 180 days of age. Gastrointestinal signs were recorded daily by the mothers for 2 months. RESULTS: The fecal colonization of infants born by cesarean delivery was delayed. Bifidobacterium-like bacteria and Lactobacillus-like bacteria colonization rates reached the rates of vaginally delivered infants at 1 month and 10 days, respectively. Infants born by cesarean delivery were significantly less often colonized with bacteria of the Bacteroides fragilis group than were vaginally delivered infants: At 6 months the rates were 36% and 76%, respectively (p=0.009). The occurrence of gastrointestinal signs did not differ between the study groups. CONCLUSIONS: This study shows for the first time that the primary gut flora in infants born by cesarean delivery may be disturbed for up to 6 months after the birth. The clinical relevance of these changes is unknown, and even longer follow-up is needed to establish how long-lasting these alterations of the primary gut flora can be.","author":[{"dropping-particle":"","family":"Grölund","given":"Minna-Maija","non-dropping-particle":"","parse-names":false,"suffix":""},{"dropping-particle":"","family":"Lehtonen","given":"Olli-Pekka","non-dropping-particle":"","parse-names":false,"suffix":""},{"dropping-particle":"","family":"Eerola","given":"Erkki","non-dropping-particle":"","parse-names":false,"suffix":""},{"dropping-particle":"","family":"Kero","given":"Pentti","non-dropping-particle":"","parse-names":false,"suffix":""}],"container-title":"Journal of Pediatric Gastroenterology &amp; Nutrition","id":"ITEM-1","issue":"1","issued":{"date-parts":[["1999","1"]]},"page":"19-25","title":"Fecal Microflora in Healthy Infants Born by Different Methods of Delivery: Permanent Changes in Intestinal Flora After Cesarean Delivery","type":"article-journal","volume":"28"},"uris":["http://www.mendeley.com/documents/?uuid=a6d1592f-6476-4d97-84fb-379d3e30b5e1","http://www.mendeley.com/documents/?uuid=b3172985-0ea2-47d8-87b5-87df47e52fcd"]},{"id":"ITEM-2","itemData":{"DOI":"138/9S-II/1796S [pii]","ISBN":"1541-6100 (Electronic)\\r0022-3166 (Linking)","ISSN":"1541-6100","PMID":"18716189","abstract":"The gastrointestinal tract of neonates becomes colonized immediately after birth with environmental microorganisms, mainly from the mother; strong evidence suggests that the early composition of the microbiota of neonates plays an important role for the postnatal development of the immune system. The present study was designed to evaluate by means of a molecular biology approach the relation between the intestinal ecosystem of the newborn and the mode of delivery. The intestinal bacterial composition on d 3 of life was investigated in 23 infants born by vaginal delivery and in 23 infants delivered by cesarean section. PCR-denaturing gradient gel electrophoresis and PCR-temperature gradient gel electrophoresis have been utilized, together with the specific amplifications for 10 Bifidobacterium species, 3 Ruminococcus species, and Bacteroides. The intestinal microbiota of neonates delivered by cesarean delivery appears to be less diverse, in terms of bacteria species, than the microbiota of vaginally delivered infants. The intestinal microbiota after cesarean delivery is characterized by an absence of Bifidobacteria species. Vaginally delivered neonates, even if they showed individual microbial profiles, were characterized by predominant groups such as B. longum and B. catenulatum. Our data demonstrate that the mode of delivery has a deep impact on the composition of the intestinal microbiota at the very beginning of human life. This study opens the path to further investigations to confirm the link between microbiota composition and immune system development and to identify tools for the modulation of the intestinal microbiota of cesarean-delivered neonates. Additionally, we underline the importance of adequate microbiological tools used to support clinically relevant trials, if intestinal microbiota is considered as a study outcome.","author":[{"dropping-particle":"","family":"Biasucci","given":"Giacomo","non-dropping-particle":"","parse-names":false,"suffix":""},{"dropping-particle":"","family":"Benenati","given":"Belinda","non-dropping-particle":"","parse-names":false,"suffix":""},{"dropping-particle":"","family":"Morelli","given":"Lorenzo","non-dropping-particle":"","parse-names":false,"suffix":""},{"dropping-particle":"","family":"Bessi","given":"Elena","non-dropping-particle":"","parse-names":false,"suffix":""},{"dropping-particle":"","family":"Boehm","given":"Günther","non-dropping-particle":"","parse-names":false,"suffix":""}],"container-title":"The Journal of nutrition","id":"ITEM-2","issue":"9","issued":{"date-parts":[["2008"]]},"page":"1796S-1800S","title":"Cesarean delivery may affect the early biodiversity of intestinal bacteria.","type":"article-journal","volume":"138"},"uris":["http://www.mendeley.com/documents/?uuid=8fca6ef7-4e8d-413c-be01-30fa6c5e0b42","http://www.mendeley.com/documents/?uuid=b2a181b9-24c7-4421-8b25-7c86cba14fce"]},{"id":"ITEM-3","itemData":{"DOI":"10.3390/ijms17050649","ISSN":"14220067","PMID":"27136545","abstract":"Background: The microbial colonization of the neonatal gut provides a critical stimulus for normal maturation and development. This process of early microbiota establishment, known to be affected by several factors, constitutes an important determinant for later health. Methods: We studied the establishment of the microbiota in preterm and full-term infants and the impact of perinatal antibiotics upon this process in premature babies. To this end, 16S rRNA gene sequence-based microbiota assessment was performed at phylum level and functional inference analyses were conducted. Moreover, the levels of the main intestinal microbial metabolites, the short-chain fatty acids (SCFA) acetate, propionate and butyrate, were measured by Gas-Chromatography Flame ionization/Mass spectrometry detection. Results: Prematurity affects microbiota composition at phylum level, leading to increases of Proteobacteria and reduction of other intestinal microorganisms. Perinatal antibiotic use further affected the microbiota of the preterm infant. These changes involved a concomitant alteration in the levels of intestinal SCFA. Moreover, functional inference analyses allowed for identifying metabolic pathways potentially affected by prematurity and perinatal antibiotics use. Conclusion: A deficiency or delay in the establishment of normal microbiota function seems to be present in preterm infants. Perinatal antibiotic use, such as intrapartum prophylaxis, affected the early life microbiota establishment in preterm newborns, which may have consequences for later health.","author":[{"dropping-particle":"","family":"Arboleya","given":"Silvia","non-dropping-particle":"","parse-names":false,"suffix":""},{"dropping-particle":"","family":"Sánchez","given":"Borja","non-dropping-particle":"","parse-names":false,"suffix":""},{"dropping-particle":"","family":"Solis","given":"Gonzalo","non-dropping-particle":"","parse-names":false,"suffix":""},{"dropping-particle":"","family":"Fernández","given":"Nuria","non-dropping-particle":"","parse-names":false,"suffix":""},{"dropping-particle":"","family":"Suárez","given":"Marta","non-dropping-particle":"","parse-names":false,"suffix":""},{"dropping-particle":"","family":"Hernández-Barranco","given":"Ana M.","non-dropping-particle":"","parse-names":false,"suffix":""},{"dropping-particle":"","family":"Milani","given":"Christian","non-dropping-particle":"","parse-names":false,"suffix":""},{"dropping-particle":"","family":"Margolles","given":"Abelardo","non-dropping-particle":"","parse-names":false,"suffix":""},{"dropping-particle":"","family":"Los Reyes-Gavilán","given":"Clara G.","non-dropping-particle":"de","parse-names":false,"suffix":""},{"dropping-particle":"","family":"Ventura","given":"Marco","non-dropping-particle":"","parse-names":false,"suffix":""},{"dropping-particle":"","family":"Gueimonde","given":"Miguel","non-dropping-particle":"","parse-names":false,"suffix":""}],"container-title":"International journal of molecular sciences","id":"ITEM-3","issue":"5","issued":{"date-parts":[["2016"]]},"page":"1-14","title":"Impact of Prematurity and Perinatal Antibiotics on the Developing Intestinal Microbiota: A Functional Inference Study","type":"article-journal","volume":"17"},"uris":["http://www.mendeley.com/documents/?uuid=4f8da811-3600-4077-a791-d16d8dd91ea2","http://www.mendeley.com/documents/?uuid=6ae58b97-2b8e-478e-8c4a-ec08c08218bf"]},{"id":"ITEM-4","itemData":{"DOI":"10.1016/j.anaerobe.2016.11.001","ISSN":"10958274","PMID":"27833033","abstract":"The establishment and development of the intestinal microbiota is known to be associated with profound short- and long-term effects on the health of full-term infants (FTI), but studies are just starting for preterm infants (PTI). The data also mostly come from western countries and little information is available for the Middle East. Here, we determined the composition and dynamics of the intestinal microbiota during the first month of life for PTI (n = 66) and FTI (n = 17) in Lebanon. Fecal samples were collected weekly and analyzed by quantitative PCR (q-PCR) and temporal temperature gradient gel electrophoresis (TTGE). We observed differences in the establishment and composition of the intestinal microbiota between the two groups. q-PCR showed that PTI were more highly colonized by Staphylococcus than FTI in the first three weeks of life; whereas FTI were more highly colonized by Clostridium clusters I and XI. At one month of life, PTI were mainly colonized by facultative anaerobes and a few strict anaerobes, such as Clostridium cluster I and Bifidobacterium. The type of feeding and antibiotic treatments significantly affected intestinal colonization. TTGE revealed low species diversity in both groups and high inter-individual variability in PTI. Our findings show that PTI had altered intestinal colonization with a higher occurrence of potential pathogens (Enterobacter, Clostridium sp) than FTI. This suggests the need for intervention strategies for PTI to modulate their intestinal microbiota and promote their health.","author":[{"dropping-particle":"","family":"Itani","given":"Tarek","non-dropping-particle":"","parse-names":false,"suffix":""},{"dropping-particle":"","family":"Ayoub Moubareck","given":"Carole","non-dropping-particle":"","parse-names":false,"suffix":""},{"dropping-particle":"","family":"Melki","given":"Imad","non-dropping-particle":"","parse-names":false,"suffix":""},{"dropping-particle":"","family":"Rousseau","given":"Clotilde","non-dropping-particle":"","parse-names":false,"suffix":""},{"dropping-particle":"","family":"Mangin","given":"Irène","non-dropping-particle":"","parse-names":false,"suffix":""},{"dropping-particle":"","family":"Butel","given":"Marie José","non-dropping-particle":"","parse-names":false,"suffix":""},{"dropping-particle":"","family":"Karam Sarkis","given":"Dolla","non-dropping-particle":"","parse-names":false,"suffix":""}],"container-title":"Anaerobe","id":"ITEM-4","issued":{"date-parts":[["2017"]]},"page":"4-14","title":"Establishment and development of the intestinal microbiota of preterm infants in a Lebanese tertiary hospital","type":"article-journal","volume":"43"},"uris":["http://www.mendeley.com/documents/?uuid=8271bb06-74b4-48b2-ab73-e7b6fc936028","http://www.mendeley.com/documents/?uuid=1c9dd47f-90a9-445d-b7ef-0032b68d9f12"]}],"mendeley":{"formattedCitation":"&lt;sup&gt;[10–13]&lt;/sup&gt;","plainTextFormattedCitation":"[10–13]","previouslyFormattedCitation":"&lt;sup&gt;[9–12]&lt;/sup&gt;"},"properties":{"noteIndex":0},"schema":"https://github.com/citation-style-language/schema/raw/master/csl-citation.json"}</w:instrText>
      </w:r>
      <w:r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lang w:val="en-US"/>
        </w:rPr>
        <w:t>[10–13]</w:t>
      </w:r>
      <w:r w:rsidRPr="001F1399">
        <w:rPr>
          <w:rFonts w:ascii="Book Antiqua" w:hAnsi="Book Antiqua"/>
          <w:sz w:val="24"/>
          <w:szCs w:val="24"/>
        </w:rPr>
        <w:fldChar w:fldCharType="end"/>
      </w:r>
      <w:r w:rsidRPr="001F1399">
        <w:rPr>
          <w:rFonts w:ascii="Book Antiqua" w:hAnsi="Book Antiqua"/>
          <w:sz w:val="24"/>
          <w:szCs w:val="24"/>
          <w:lang w:val="en-US"/>
        </w:rPr>
        <w:t>.</w:t>
      </w:r>
      <w:r w:rsidR="12CF0757" w:rsidRPr="001F1399">
        <w:rPr>
          <w:rFonts w:ascii="Book Antiqua" w:hAnsi="Book Antiqua"/>
          <w:sz w:val="24"/>
          <w:szCs w:val="24"/>
          <w:lang w:val="en-US"/>
        </w:rPr>
        <w:t xml:space="preserve"> </w:t>
      </w:r>
      <w:r w:rsidRPr="001F1399">
        <w:rPr>
          <w:rFonts w:ascii="Book Antiqua" w:hAnsi="Book Antiqua"/>
          <w:sz w:val="24"/>
          <w:szCs w:val="24"/>
          <w:lang w:val="en-US"/>
        </w:rPr>
        <w:t xml:space="preserve">Currently, it has been </w:t>
      </w:r>
      <w:r w:rsidR="12CF0757" w:rsidRPr="001F1399">
        <w:rPr>
          <w:rFonts w:ascii="Book Antiqua" w:hAnsi="Book Antiqua"/>
          <w:sz w:val="24"/>
          <w:szCs w:val="24"/>
          <w:lang w:val="en-US"/>
        </w:rPr>
        <w:t>acknowledged</w:t>
      </w:r>
      <w:r w:rsidRPr="001F1399">
        <w:rPr>
          <w:rFonts w:ascii="Book Antiqua" w:hAnsi="Book Antiqua"/>
          <w:sz w:val="24"/>
          <w:szCs w:val="24"/>
          <w:lang w:val="en-US"/>
        </w:rPr>
        <w:t xml:space="preserve"> that</w:t>
      </w:r>
      <w:r w:rsidRPr="001F1399">
        <w:rPr>
          <w:rFonts w:ascii="Book Antiqua" w:hAnsi="Book Antiqua"/>
          <w:i/>
          <w:iCs/>
          <w:sz w:val="24"/>
          <w:szCs w:val="24"/>
          <w:lang w:val="en-US"/>
        </w:rPr>
        <w:t xml:space="preserve"> </w:t>
      </w:r>
      <w:r w:rsidR="12CF0757" w:rsidRPr="001F1399">
        <w:rPr>
          <w:rFonts w:ascii="Book Antiqua" w:hAnsi="Book Antiqua"/>
          <w:i/>
          <w:iCs/>
          <w:sz w:val="24"/>
          <w:szCs w:val="24"/>
          <w:lang w:val="en-US"/>
        </w:rPr>
        <w:t>S</w:t>
      </w:r>
      <w:r w:rsidRPr="001F1399">
        <w:rPr>
          <w:rFonts w:ascii="Book Antiqua" w:hAnsi="Book Antiqua"/>
          <w:i/>
          <w:iCs/>
          <w:sz w:val="24"/>
          <w:szCs w:val="24"/>
          <w:lang w:val="en-US"/>
        </w:rPr>
        <w:t xml:space="preserve">taphylococci, </w:t>
      </w:r>
      <w:r w:rsidR="12CF0757" w:rsidRPr="001F1399">
        <w:rPr>
          <w:rFonts w:ascii="Book Antiqua" w:hAnsi="Book Antiqua"/>
          <w:i/>
          <w:iCs/>
          <w:sz w:val="24"/>
          <w:szCs w:val="24"/>
          <w:lang w:val="en-US"/>
        </w:rPr>
        <w:t>S</w:t>
      </w:r>
      <w:r w:rsidRPr="001F1399">
        <w:rPr>
          <w:rFonts w:ascii="Book Antiqua" w:hAnsi="Book Antiqua"/>
          <w:i/>
          <w:iCs/>
          <w:sz w:val="24"/>
          <w:szCs w:val="24"/>
          <w:lang w:val="en-US"/>
        </w:rPr>
        <w:t xml:space="preserve">treptococci, </w:t>
      </w:r>
      <w:r w:rsidR="12CF0757" w:rsidRPr="001F1399">
        <w:rPr>
          <w:rFonts w:ascii="Book Antiqua" w:hAnsi="Book Antiqua"/>
          <w:i/>
          <w:iCs/>
          <w:sz w:val="24"/>
          <w:szCs w:val="24"/>
          <w:lang w:val="en-US"/>
        </w:rPr>
        <w:t>E</w:t>
      </w:r>
      <w:r w:rsidRPr="001F1399">
        <w:rPr>
          <w:rFonts w:ascii="Book Antiqua" w:hAnsi="Book Antiqua"/>
          <w:i/>
          <w:iCs/>
          <w:sz w:val="24"/>
          <w:szCs w:val="24"/>
          <w:lang w:val="en-US"/>
        </w:rPr>
        <w:t xml:space="preserve">nterococci, </w:t>
      </w:r>
      <w:r w:rsidR="12CF0757" w:rsidRPr="001F1399">
        <w:rPr>
          <w:rFonts w:ascii="Book Antiqua" w:hAnsi="Book Antiqua"/>
          <w:i/>
          <w:iCs/>
          <w:sz w:val="24"/>
          <w:szCs w:val="24"/>
          <w:lang w:val="en-US"/>
        </w:rPr>
        <w:t>L</w:t>
      </w:r>
      <w:r w:rsidRPr="001F1399">
        <w:rPr>
          <w:rFonts w:ascii="Book Antiqua" w:hAnsi="Book Antiqua"/>
          <w:i/>
          <w:iCs/>
          <w:sz w:val="24"/>
          <w:szCs w:val="24"/>
          <w:lang w:val="en-US"/>
        </w:rPr>
        <w:t>actobacillus</w:t>
      </w:r>
      <w:r w:rsidRPr="001F1399">
        <w:rPr>
          <w:rFonts w:ascii="Book Antiqua" w:hAnsi="Book Antiqua"/>
          <w:sz w:val="24"/>
          <w:szCs w:val="24"/>
          <w:lang w:val="en-US"/>
        </w:rPr>
        <w:t xml:space="preserve"> and </w:t>
      </w:r>
      <w:r w:rsidR="12CF0757" w:rsidRPr="001F1399">
        <w:rPr>
          <w:rFonts w:ascii="Book Antiqua" w:hAnsi="Book Antiqua"/>
          <w:i/>
          <w:iCs/>
          <w:sz w:val="24"/>
          <w:szCs w:val="24"/>
          <w:lang w:val="en-US"/>
        </w:rPr>
        <w:t>B</w:t>
      </w:r>
      <w:r w:rsidRPr="001F1399">
        <w:rPr>
          <w:rFonts w:ascii="Book Antiqua" w:hAnsi="Book Antiqua"/>
          <w:i/>
          <w:iCs/>
          <w:sz w:val="24"/>
          <w:szCs w:val="24"/>
          <w:lang w:val="en-US"/>
        </w:rPr>
        <w:t>ifidobacteria</w:t>
      </w:r>
      <w:r w:rsidRPr="001F1399">
        <w:rPr>
          <w:rFonts w:ascii="Book Antiqua" w:hAnsi="Book Antiqua"/>
          <w:sz w:val="24"/>
          <w:szCs w:val="24"/>
          <w:lang w:val="en-US"/>
        </w:rPr>
        <w:t xml:space="preserve"> are the first bacteria which </w:t>
      </w:r>
      <w:r w:rsidR="5CB92A37" w:rsidRPr="001F1399">
        <w:rPr>
          <w:rFonts w:ascii="Book Antiqua" w:hAnsi="Book Antiqua"/>
          <w:sz w:val="24"/>
          <w:szCs w:val="24"/>
          <w:lang w:val="en-US"/>
        </w:rPr>
        <w:t xml:space="preserve">will </w:t>
      </w:r>
      <w:r w:rsidRPr="001F1399">
        <w:rPr>
          <w:rFonts w:ascii="Book Antiqua" w:hAnsi="Book Antiqua"/>
          <w:sz w:val="24"/>
          <w:szCs w:val="24"/>
          <w:lang w:val="en-US"/>
        </w:rPr>
        <w:t>colonize our gastrointestinal tract from vaginal and fecal flora and some of them come from lactation</w:t>
      </w:r>
      <w:r w:rsidRPr="001F1399">
        <w:rPr>
          <w:rFonts w:ascii="Book Antiqua" w:hAnsi="Book Antiqua"/>
          <w:sz w:val="24"/>
          <w:szCs w:val="24"/>
        </w:rPr>
        <w:fldChar w:fldCharType="begin" w:fldLock="1"/>
      </w:r>
      <w:r w:rsidR="00B1214D" w:rsidRPr="001F1399">
        <w:rPr>
          <w:rFonts w:ascii="Book Antiqua" w:hAnsi="Book Antiqua"/>
          <w:sz w:val="24"/>
          <w:szCs w:val="24"/>
          <w:lang w:val="en-US"/>
        </w:rPr>
        <w:instrText>ADDIN CSL_CITATION {"citationItems":[{"id":"ITEM-1","itemData":{"DOI":"10.3920/BM2010.0027","ISBN":"1876-2891 (Electronic)\\n1876-2883 (Linking)","ISSN":"18762891","PMID":"21831776","abstract":"The immune system of infants is actively downregulated during pregnancy and therefore the first months of life represent a period of heightened susceptibility to infection. After birth, there is an age-dependent maturation of the immune system. Exposure to environmental microbial components is suggested to play an important role in the maturation process. The gastrointestinal tract is the major site of interaction between the host immune system and microorganisms, both commensal as well as potentially pathogenic. It is well established that the mammalian immune system is designed to help protect the host from invading microorganisms and other danger signals. However, recent research is emerging in the field of host-microbe interactions showing that commensal microorganisms (microbiota) are most likely one of the drivers of immune development and, in turn the immune system shapes the composition of the microbiota. Specific early microbial exposure of the gut is thought to dramatically reduce the incidence of inflammatory, autoimmune and atopic diseases further fuelling the scientific view that microbial colonisation plays an important role in regulating and fine-tuning the immune system throughout life. Therefore, the use of pre-, pro- and synbiotics may result in a beneficial microbiota composition that might have a pivotal role on the prevention of several important diseases that develop in early life such as necrotizing enterocolitis and atopic eczema.","author":[{"dropping-particle":"","family":"Martin","given":"R.","non-dropping-particle":"","parse-names":false,"suffix":""},{"dropping-particle":"","family":"Nauta","given":"A. J.","non-dropping-particle":"","parse-names":false,"suffix":""},{"dropping-particle":"","family":"Amor","given":"K.","non-dropping-particle":"Ben","parse-names":false,"suffix":""},{"dropping-particle":"","family":"Knippels","given":"L. M J","non-dropping-particle":"","parse-names":false,"suffix":""},{"dropping-particle":"","family":"Knol","given":"J.","non-dropping-particle":"","parse-names":false,"suffix":""},{"dropping-particle":"","family":"Garssen","given":"J.","non-dropping-particle":"","parse-names":false,"suffix":""}],"container-title":"Beneficial Microbes","id":"ITEM-1","issue":"4","issued":{"date-parts":[["2010"]]},"page":"367-382","title":"Early life: Gut microbiota and immune development in infancy","type":"article-journal","volume":"1"},"uris":["http://www.mendeley.com/documents/?uuid=40a63b2e-3f71-4bb0-ba45-73070e6d47c2","http://www.mendeley.com/documents/?uuid=e8f6eaa5-c073-44d1-93d1-ccd310d1686d"]}],"mendeley":{"formattedCitation":"&lt;sup&gt;[14]&lt;/sup&gt;","plainTextFormattedCitation":"[14]","previouslyFormattedCitation":"&lt;sup&gt;[13]&lt;/sup&gt;"},"properties":{"noteIndex":0},"schema":"https://github.com/citation-style-language/schema/raw/master/csl-citation.json"}</w:instrText>
      </w:r>
      <w:r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lang w:val="en-US"/>
        </w:rPr>
        <w:t>[14]</w:t>
      </w:r>
      <w:r w:rsidRPr="001F1399">
        <w:rPr>
          <w:rFonts w:ascii="Book Antiqua" w:hAnsi="Book Antiqua"/>
          <w:sz w:val="24"/>
          <w:szCs w:val="24"/>
        </w:rPr>
        <w:fldChar w:fldCharType="end"/>
      </w:r>
      <w:r w:rsidRPr="001F1399">
        <w:rPr>
          <w:rFonts w:ascii="Book Antiqua" w:hAnsi="Book Antiqua"/>
          <w:sz w:val="24"/>
          <w:szCs w:val="24"/>
          <w:lang w:val="en-US"/>
        </w:rPr>
        <w:t xml:space="preserve">. Before </w:t>
      </w:r>
      <w:r w:rsidR="5CB92A37" w:rsidRPr="001F1399">
        <w:rPr>
          <w:rFonts w:ascii="Book Antiqua" w:hAnsi="Book Antiqua"/>
          <w:sz w:val="24"/>
          <w:szCs w:val="24"/>
          <w:lang w:val="en-US"/>
        </w:rPr>
        <w:t>the third year</w:t>
      </w:r>
      <w:r w:rsidRPr="001F1399">
        <w:rPr>
          <w:rFonts w:ascii="Book Antiqua" w:hAnsi="Book Antiqua"/>
          <w:sz w:val="24"/>
          <w:szCs w:val="24"/>
          <w:lang w:val="en-US"/>
        </w:rPr>
        <w:t xml:space="preserve">, the interindividual variability is higher than in adults, but food diet diversification generates gut microbiota evolution by increasing their richness/diversity and </w:t>
      </w:r>
      <w:r w:rsidR="5EEFA6C5" w:rsidRPr="001F1399">
        <w:rPr>
          <w:rFonts w:ascii="Book Antiqua" w:hAnsi="Book Antiqua"/>
          <w:sz w:val="24"/>
          <w:szCs w:val="24"/>
          <w:lang w:val="en-US"/>
        </w:rPr>
        <w:t xml:space="preserve">will </w:t>
      </w:r>
      <w:r w:rsidRPr="001F1399">
        <w:rPr>
          <w:rFonts w:ascii="Book Antiqua" w:hAnsi="Book Antiqua"/>
          <w:sz w:val="24"/>
          <w:szCs w:val="24"/>
          <w:lang w:val="en-US"/>
        </w:rPr>
        <w:t xml:space="preserve">tend to </w:t>
      </w:r>
      <w:r w:rsidR="5EEFA6C5" w:rsidRPr="001F1399">
        <w:rPr>
          <w:rFonts w:ascii="Book Antiqua" w:hAnsi="Book Antiqua"/>
          <w:sz w:val="24"/>
          <w:szCs w:val="24"/>
          <w:lang w:val="en-US"/>
        </w:rPr>
        <w:t>reach</w:t>
      </w:r>
      <w:r w:rsidRPr="001F1399">
        <w:rPr>
          <w:rFonts w:ascii="Book Antiqua" w:hAnsi="Book Antiqua"/>
          <w:sz w:val="24"/>
          <w:szCs w:val="24"/>
          <w:lang w:val="en-US"/>
        </w:rPr>
        <w:t xml:space="preserve"> </w:t>
      </w:r>
      <w:r w:rsidR="5EEFA6C5" w:rsidRPr="001F1399">
        <w:rPr>
          <w:rFonts w:ascii="Book Antiqua" w:hAnsi="Book Antiqua"/>
          <w:sz w:val="24"/>
          <w:szCs w:val="24"/>
          <w:lang w:val="en-US"/>
        </w:rPr>
        <w:t>a stability</w:t>
      </w:r>
      <w:r w:rsidRPr="001F1399">
        <w:rPr>
          <w:rFonts w:ascii="Book Antiqua" w:hAnsi="Book Antiqua"/>
          <w:sz w:val="24"/>
          <w:szCs w:val="24"/>
          <w:lang w:val="en-US"/>
        </w:rPr>
        <w:t xml:space="preserve"> in time </w:t>
      </w:r>
      <w:r w:rsidR="5EEFA6C5" w:rsidRPr="001F1399">
        <w:rPr>
          <w:rFonts w:ascii="Book Antiqua" w:hAnsi="Book Antiqua"/>
          <w:sz w:val="24"/>
          <w:szCs w:val="24"/>
          <w:lang w:val="en-US"/>
        </w:rPr>
        <w:t xml:space="preserve">also called </w:t>
      </w:r>
      <w:r w:rsidRPr="001F1399">
        <w:rPr>
          <w:rFonts w:ascii="Book Antiqua" w:hAnsi="Book Antiqua"/>
          <w:sz w:val="24"/>
          <w:szCs w:val="24"/>
          <w:lang w:val="en-US"/>
        </w:rPr>
        <w:t>eubiosis state</w:t>
      </w:r>
      <w:r w:rsidRPr="001F1399">
        <w:rPr>
          <w:rFonts w:ascii="Book Antiqua" w:hAnsi="Book Antiqua"/>
          <w:sz w:val="24"/>
          <w:szCs w:val="24"/>
        </w:rPr>
        <w:fldChar w:fldCharType="begin" w:fldLock="1"/>
      </w:r>
      <w:r w:rsidR="00B1214D" w:rsidRPr="001F1399">
        <w:rPr>
          <w:rFonts w:ascii="Book Antiqua" w:hAnsi="Book Antiqua"/>
          <w:sz w:val="24"/>
          <w:szCs w:val="24"/>
          <w:lang w:val="en-US"/>
        </w:rPr>
        <w:instrText>ADDIN CSL_CITATION {"citationItems":[{"id":"ITEM-1","itemData":{"DOI":"10.3389/fimmu.2014.00427","ISSN":"1664-3224","PMID":"25250028","author":[{"dropping-particle":"","family":"Arrieta","given":"Marie-Claire","non-dropping-particle":"","parse-names":false,"suffix":""},{"dropping-particle":"","family":"Stiemsma","given":"Leah T.","non-dropping-particle":"","parse-names":false,"suffix":""},{"dropping-particle":"","family":"Amenyogbe","given":"Nelly","non-dropping-particle":"","parse-names":false,"suffix":""},{"dropping-particle":"","family":"Brown","given":"Eric M.","non-dropping-particle":"","parse-names":false,"suffix":""},{"dropping-particle":"","family":"Finlay","given":"Brett","non-dropping-particle":"","parse-names":false,"suffix":""}],"container-title":"Frontiers in Immunology","id":"ITEM-1","issued":{"date-parts":[["2014","9","5"]]},"title":"The Intestinal Microbiome in Early Life: Health and Disease","type":"article-journal","volume":"5"},"uris":["http://www.mendeley.com/documents/?uuid=2432800e-7740-41a5-b64a-f37bf333e61d"]}],"mendeley":{"formattedCitation":"&lt;sup&gt;[15]&lt;/sup&gt;","plainTextFormattedCitation":"[15]","previouslyFormattedCitation":"&lt;sup&gt;[14]&lt;/sup&gt;"},"properties":{"noteIndex":0},"schema":"https://github.com/citation-style-language/schema/raw/master/csl-citation.json"}</w:instrText>
      </w:r>
      <w:r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lang w:val="en-US"/>
        </w:rPr>
        <w:t>[15]</w:t>
      </w:r>
      <w:r w:rsidRPr="001F1399">
        <w:rPr>
          <w:rFonts w:ascii="Book Antiqua" w:hAnsi="Book Antiqua"/>
          <w:sz w:val="24"/>
          <w:szCs w:val="24"/>
        </w:rPr>
        <w:fldChar w:fldCharType="end"/>
      </w:r>
      <w:r w:rsidRPr="001F1399">
        <w:rPr>
          <w:rFonts w:ascii="Book Antiqua" w:hAnsi="Book Antiqua"/>
          <w:sz w:val="24"/>
          <w:szCs w:val="24"/>
          <w:lang w:val="en-US"/>
        </w:rPr>
        <w:t>. Gut microbiota contributes in health benefits such as metabolism</w:t>
      </w:r>
      <w:r w:rsidR="5EEFA6C5" w:rsidRPr="001F1399">
        <w:rPr>
          <w:rFonts w:ascii="Book Antiqua" w:hAnsi="Book Antiqua"/>
          <w:sz w:val="24"/>
          <w:szCs w:val="24"/>
          <w:lang w:val="en-US"/>
        </w:rPr>
        <w:t xml:space="preserve"> of food</w:t>
      </w:r>
      <w:r w:rsidRPr="001F1399">
        <w:rPr>
          <w:rFonts w:ascii="Book Antiqua" w:hAnsi="Book Antiqua"/>
          <w:sz w:val="24"/>
          <w:szCs w:val="24"/>
          <w:lang w:val="en-US"/>
        </w:rPr>
        <w:t xml:space="preserve">, </w:t>
      </w:r>
      <w:r w:rsidR="5EEFA6C5" w:rsidRPr="001F1399">
        <w:rPr>
          <w:rFonts w:ascii="Book Antiqua" w:hAnsi="Book Antiqua"/>
          <w:sz w:val="24"/>
          <w:szCs w:val="24"/>
          <w:lang w:val="en-US"/>
        </w:rPr>
        <w:t xml:space="preserve">competition against </w:t>
      </w:r>
      <w:r w:rsidRPr="001F1399">
        <w:rPr>
          <w:rFonts w:ascii="Book Antiqua" w:hAnsi="Book Antiqua"/>
          <w:sz w:val="24"/>
          <w:szCs w:val="24"/>
          <w:lang w:val="en-US"/>
        </w:rPr>
        <w:t xml:space="preserve">pathogen, </w:t>
      </w:r>
      <w:r w:rsidR="5EEFA6C5" w:rsidRPr="001F1399">
        <w:rPr>
          <w:rFonts w:ascii="Book Antiqua" w:hAnsi="Book Antiqua"/>
          <w:sz w:val="24"/>
          <w:szCs w:val="24"/>
          <w:lang w:val="en-US"/>
        </w:rPr>
        <w:t xml:space="preserve">growth of </w:t>
      </w:r>
      <w:r w:rsidRPr="001F1399">
        <w:rPr>
          <w:rFonts w:ascii="Book Antiqua" w:hAnsi="Book Antiqua"/>
          <w:sz w:val="24"/>
          <w:szCs w:val="24"/>
          <w:lang w:val="en-US"/>
        </w:rPr>
        <w:t xml:space="preserve">intestinal cells and </w:t>
      </w:r>
      <w:r w:rsidR="5EEFA6C5" w:rsidRPr="001F1399">
        <w:rPr>
          <w:rFonts w:ascii="Book Antiqua" w:hAnsi="Book Antiqua"/>
          <w:sz w:val="24"/>
          <w:szCs w:val="24"/>
          <w:lang w:val="en-US"/>
        </w:rPr>
        <w:t xml:space="preserve">stimulation of the </w:t>
      </w:r>
      <w:r w:rsidRPr="001F1399">
        <w:rPr>
          <w:rFonts w:ascii="Book Antiqua" w:hAnsi="Book Antiqua"/>
          <w:sz w:val="24"/>
          <w:szCs w:val="24"/>
          <w:lang w:val="en-US"/>
        </w:rPr>
        <w:t>immune system among others</w:t>
      </w:r>
      <w:r w:rsidRPr="001F1399">
        <w:rPr>
          <w:rFonts w:ascii="Book Antiqua" w:hAnsi="Book Antiqua"/>
          <w:sz w:val="24"/>
          <w:szCs w:val="24"/>
        </w:rPr>
        <w:fldChar w:fldCharType="begin" w:fldLock="1"/>
      </w:r>
      <w:r w:rsidR="00B1214D" w:rsidRPr="001F1399">
        <w:rPr>
          <w:rFonts w:ascii="Book Antiqua" w:hAnsi="Book Antiqua"/>
          <w:sz w:val="24"/>
          <w:szCs w:val="24"/>
          <w:lang w:val="en-US"/>
        </w:rPr>
        <w:instrText>ADDIN CSL_CITATION {"citationItems":[{"id":"ITEM-1","itemData":{"DOI":"10.1152/physrev.00045.2009.","ISBN":"0031-9333","ISSN":"1522-1210","PMID":"20664075","abstract":"Gut microbiota is an assortment of microorganisms inhabiting the length and width of the mammalian gastrointestinal tract. The composition of this microbial community is host specific, evolving throughout an individual's lifetime and susceptible to both exogenous and endogenous modifications. Recent renewed interest in the structure and function of this “organ” has illuminated its central position in health and disease. The microbiota is intimately involved in numerous aspects of normal host physiology, from nutritional status to behavior and stress response. Additionally, they can be a central or a contributing cause of many diseases, affecting both near and far organ systems. The overall balance in the composition of the gut microbial community, as well as the presence or absence of key species capable of effecting specific responses, is important in ensuring homeostasis or lack thereof at the intestinal mucosa and beyond. The mechanisms through which microbiota exerts its beneficial or detrimental influences remain largely undefined, but include elaboration of signaling molecules and recognition of bacterial epitopes by both intestinal epithelial and mucosal immune cells. The advances in modeling and analysis of gut microbiota will further our knowledge of their role in health and disease, allowing customization of existing and future therapeutic and prophylactic modalities.","author":[{"dropping-particle":"","family":"Sekirov","given":"Inna","non-dropping-particle":"","parse-names":false,"suffix":""},{"dropping-particle":"","family":"Russell","given":"Sl","non-dropping-particle":"","parse-names":false,"suffix":""},{"dropping-particle":"","family":"Antunes","given":"Lcm","non-dropping-particle":"","parse-names":false,"suffix":""}],"container-title":"Physiological Reviews","id":"ITEM-1","issue":"3","issued":{"date-parts":[["2010"]]},"page":"859-904","title":"Gut microbiota in health and disease","type":"article-journal","volume":"90"},"uris":["http://www.mendeley.com/documents/?uuid=bc0962f7-0b93-42fa-a259-8bcdb0a81219","http://www.mendeley.com/documents/?uuid=b41b6688-1718-443f-891a-3adfc820ae39"]},{"id":"ITEM-2","itemData":{"DOI":"10.2147/BTT.S19099","ISBN":"1177-5491 (Electronic)\\r1177-5475 (Linking)","ISSN":"1177-5475","PMID":"21847343","abstract":"The gut microbiota is a remarkable asset for human health. As a key element in the development and prevention of specific diseases, its study has yielded a new field of promising biotherapeutics. This review provides comprehensive and updated knowledge of the human gut microbiota, its implications in health and disease, and the potentials and limitations of its modification by currently available biotherapeutics to treat, prevent and/or restore human health, and future directions. Homeostasis of the gut microbiota maintains various functions which are vital to the maintenance of human health. Disruption of the intestinal ecosystem equilibrium (gut dysbiosis) is associated with a plethora of human diseases, including autoimmune and allergic diseases, colorectal cancer, metabolic diseases, and bacterial infections. Relevant underlying mechanisms by which specific intestinal bacteria populations might trigger the development of disease in susceptible hosts are being explored across the globe. Beneficial modulation of the gut microbiota using biotherapeutics, such as prebiotics, probiotics, and antibiotics, may favor health-promoting populations of bacteria and can be exploited in development of biotherapeutics. Other technologies, such as development of human gut models, bacterial screening, and delivery formulations eg, microencapsulated probiotics, may contribute significantly in the near future. Therefore, the human gut microbiota is a legitimate therapeutic target to treat and/or prevent various diseases. Development of a clear understanding of the technologies needed to exploit the gut microbiota is urgently required.","author":[{"dropping-particle":"","family":"Prakash","given":"Satya","non-dropping-particle":"","parse-names":false,"suffix":""},{"dropping-particle":"","family":"Rodes","given":"Laetitia","non-dropping-particle":"","parse-names":false,"suffix":""},{"dropping-particle":"","family":"Coussa-Charley","given":"Michael","non-dropping-particle":"","parse-names":false,"suffix":""},{"dropping-particle":"","family":"Tomaro-Duchesneau","given":"Catherine","non-dropping-particle":"","parse-names":false,"suffix":""},{"dropping-particle":"","family":"Tomaro-Duchesneau","given":"Catherine","non-dropping-particle":"","parse-names":false,"suffix":""},{"dropping-particle":"","family":"Coussa-Charley","given":"","non-dropping-particle":"","parse-names":false,"suffix":""},{"dropping-particle":"","family":"Rodes","given":"","non-dropping-particle":"","parse-names":false,"suffix":""}],"container-title":"Biologics: Targets and Therapy","id":"ITEM-2","issued":{"date-parts":[["2011","7"]]},"page":"71","publisher":"Dove Press","title":"Gut microbiota: next frontier in understanding human health and development of biotherapeutics","type":"article-journal","volume":"5"},"uris":["http://www.mendeley.com/documents/?uuid=ff4fd001-8c48-4eba-8814-f8d41c65b89b","http://www.mendeley.com/documents/?uuid=66d91ab4-2e45-4de9-8b85-bc6f4a99a9e4"]}],"mendeley":{"formattedCitation":"&lt;sup&gt;[16,17]&lt;/sup&gt;","plainTextFormattedCitation":"[16,17]","previouslyFormattedCitation":"&lt;sup&gt;[15,16]&lt;/sup&gt;"},"properties":{"noteIndex":0},"schema":"https://github.com/citation-style-language/schema/raw/master/csl-citation.json"}</w:instrText>
      </w:r>
      <w:r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lang w:val="en-US"/>
        </w:rPr>
        <w:t>[16,17]</w:t>
      </w:r>
      <w:r w:rsidRPr="001F1399">
        <w:rPr>
          <w:rFonts w:ascii="Book Antiqua" w:hAnsi="Book Antiqua"/>
          <w:sz w:val="24"/>
          <w:szCs w:val="24"/>
        </w:rPr>
        <w:fldChar w:fldCharType="end"/>
      </w:r>
      <w:r w:rsidRPr="001F1399">
        <w:rPr>
          <w:rFonts w:ascii="Book Antiqua" w:hAnsi="Book Antiqua"/>
          <w:sz w:val="24"/>
          <w:szCs w:val="24"/>
          <w:lang w:val="en-US"/>
        </w:rPr>
        <w:t xml:space="preserve">. </w:t>
      </w:r>
      <w:r w:rsidR="323B29B7" w:rsidRPr="001F1399">
        <w:rPr>
          <w:rFonts w:ascii="Book Antiqua" w:hAnsi="Book Antiqua"/>
          <w:sz w:val="24"/>
          <w:szCs w:val="24"/>
          <w:lang w:val="en-US"/>
        </w:rPr>
        <w:t>During this period, child microbiota remains very sensitive to various influences that can impact its composition and cause long term effects on our physiology</w:t>
      </w:r>
      <w:r w:rsidRPr="001F1399">
        <w:rPr>
          <w:rFonts w:ascii="Book Antiqua" w:hAnsi="Book Antiqua"/>
          <w:sz w:val="24"/>
          <w:szCs w:val="24"/>
          <w:lang w:val="en-US"/>
        </w:rPr>
        <w:fldChar w:fldCharType="begin" w:fldLock="1"/>
      </w:r>
      <w:r w:rsidR="00B1214D" w:rsidRPr="001F1399">
        <w:rPr>
          <w:rFonts w:ascii="Book Antiqua" w:hAnsi="Book Antiqua"/>
          <w:sz w:val="24"/>
          <w:szCs w:val="24"/>
          <w:lang w:val="en-US"/>
        </w:rPr>
        <w:instrText>ADDIN CSL_CITATION {"citationItems":[{"id":"ITEM-1","itemData":{"DOI":"10.1080/19490976.2015.1078051","ISSN":"19490984","PMID":"26516657","abstract":"The gut of the human neonate is colonized rapidly after birth from an early sparse and highly distinct microbiota to a more adult-like and convergent state, within 1 to 3 years. The progression of colonizing bacterial species is non-random. During the first months of life several shifts commonly occur in the species prevalent in our guts. Although the sequential progression of these species is remarkably consistent across individuals and geographies, there is interindividual ariation in the rate of progression. Our study and others suggest that the rate is influenced by environmental factors, and influences our future health. In this article, we review our recent contribution to cataloging the developing infant gut microbiota alongside other important recent studies. We suggest testable hypotheses that arise from this synthesis.","author":[{"dropping-particle":"","family":"Dogra","given":"Shaillay","non-dropping-particle":"","parse-names":false,"suffix":""},{"dropping-particle":"","family":"Sakwinska","given":"Olga","non-dropping-particle":"","parse-names":false,"suffix":""},{"dropping-particle":"","family":"Soh","given":"Shu E.","non-dropping-particle":"","parse-names":false,"suffix":""},{"dropping-particle":"","family":"Ngom-Bru","given":"Catherine","non-dropping-particle":"","parse-names":false,"suffix":""},{"dropping-particle":"","family":"Brück","given":"Wolfram M.","non-dropping-particle":"","parse-names":false,"suffix":""},{"dropping-particle":"","family":"Berger","given":"Bernard","non-dropping-particle":"","parse-names":false,"suffix":""},{"dropping-particle":"","family":"Brüssow","given":"Harald","non-dropping-particle":"","parse-names":false,"suffix":""},{"dropping-particle":"","family":"Karnani","given":"Neerja","non-dropping-particle":"","parse-names":false,"suffix":""},{"dropping-particle":"","family":"Lee","given":"Yung Seng","non-dropping-particle":"","parse-names":false,"suffix":""},{"dropping-particle":"","family":"Yap","given":"Fabian","non-dropping-particle":"","parse-names":false,"suffix":""},{"dropping-particle":"","family":"Chong","given":"Yap Seng","non-dropping-particle":"","parse-names":false,"suffix":""},{"dropping-particle":"","family":"Godfrey","given":"Keith M.","non-dropping-particle":"","parse-names":false,"suffix":""},{"dropping-particle":"","family":"Holbrook","given":"Joanna D.","non-dropping-particle":"","parse-names":false,"suffix":""}],"container-title":"Gut Microbes","id":"ITEM-1","issue":"5","issued":{"date-parts":[["2015"]]},"page":"321-325","title":"Rate of establishing the gut microbiota in infancy has consequences for future health","type":"article-journal","volume":"6"},"uris":["http://www.mendeley.com/documents/?uuid=d32a7db2-3aa0-4391-9f3f-7565527b58c1"]}],"mendeley":{"formattedCitation":"&lt;sup&gt;[18]&lt;/sup&gt;","plainTextFormattedCitation":"[18]","previouslyFormattedCitation":"&lt;sup&gt;[17]&lt;/sup&gt;"},"properties":{"noteIndex":0},"schema":"https://github.com/citation-style-language/schema/raw/master/csl-citation.json"}</w:instrText>
      </w:r>
      <w:r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lang w:val="en-US"/>
        </w:rPr>
        <w:t>[18]</w:t>
      </w:r>
      <w:r w:rsidRPr="001F1399">
        <w:rPr>
          <w:rFonts w:ascii="Book Antiqua" w:hAnsi="Book Antiqua"/>
          <w:sz w:val="24"/>
          <w:szCs w:val="24"/>
          <w:lang w:val="en-US"/>
        </w:rPr>
        <w:fldChar w:fldCharType="end"/>
      </w:r>
      <w:r w:rsidR="323B29B7" w:rsidRPr="001F1399">
        <w:rPr>
          <w:rFonts w:ascii="Book Antiqua" w:hAnsi="Book Antiqua"/>
          <w:sz w:val="24"/>
          <w:szCs w:val="24"/>
          <w:lang w:val="en-US"/>
        </w:rPr>
        <w:t xml:space="preserve">. </w:t>
      </w:r>
      <w:r w:rsidRPr="001F1399">
        <w:rPr>
          <w:rFonts w:ascii="Book Antiqua" w:hAnsi="Book Antiqua"/>
          <w:sz w:val="24"/>
          <w:szCs w:val="24"/>
          <w:lang w:val="en-US"/>
        </w:rPr>
        <w:t xml:space="preserve">Nonetheless, a modification of gut microbiota inducing dysbiosis </w:t>
      </w:r>
      <w:r w:rsidR="1309C247" w:rsidRPr="001F1399">
        <w:rPr>
          <w:rFonts w:ascii="Book Antiqua" w:hAnsi="Book Antiqua"/>
          <w:sz w:val="24"/>
          <w:szCs w:val="24"/>
          <w:lang w:val="en-US"/>
        </w:rPr>
        <w:t>is</w:t>
      </w:r>
      <w:r w:rsidRPr="001F1399">
        <w:rPr>
          <w:rFonts w:ascii="Book Antiqua" w:hAnsi="Book Antiqua"/>
          <w:sz w:val="24"/>
          <w:szCs w:val="24"/>
          <w:lang w:val="en-US"/>
        </w:rPr>
        <w:t xml:space="preserve"> usually associated with many diseases as inflammatory bowel disease, autism, type 2 diabetes, obesity, autoimmune diseases and allergy</w:t>
      </w:r>
      <w:r w:rsidRPr="001F1399">
        <w:rPr>
          <w:rFonts w:ascii="Book Antiqua" w:hAnsi="Book Antiqua"/>
          <w:sz w:val="24"/>
          <w:szCs w:val="24"/>
        </w:rPr>
        <w:fldChar w:fldCharType="begin" w:fldLock="1"/>
      </w:r>
      <w:r w:rsidR="00B1214D" w:rsidRPr="001F1399">
        <w:rPr>
          <w:rFonts w:ascii="Book Antiqua" w:hAnsi="Book Antiqua"/>
          <w:sz w:val="24"/>
          <w:szCs w:val="24"/>
          <w:lang w:val="en-US"/>
        </w:rPr>
        <w:instrText>ADDIN CSL_CITATION {"citationItems":[{"id":"ITEM-1","itemData":{"DOI":"10.1016/j.cell.2012.01.035","ISBN":"1097-4172 (Electronic)\\n0092-8674 (Linking)","ISSN":"00928674","PMID":"22424233","abstract":"The human gut harbors diverse microbes that play a fundamental role in the well-being of their host. The constituents of the microbiota - bacteria, viruses, and eukaryotes - have been shown to interact with one another and with the host immune system in ways that influence the development of disease. We review these interactions and suggest that a holistic approach to studying the microbiota that goes beyond characterization of community composition and encompasses dynamic interactions between all components of the microbiota and host tissue over time will be crucial for building predictive models for diagnosis and treatment of diseases linked to imbalances in our microbiota. ?? 2012 Elsevier Inc.","author":[{"dropping-particle":"","family":"Clemente","given":"Jose C.","non-dropping-particle":"","parse-names":false,"suffix":""},{"dropping-particle":"","family":"Ursell","given":"Luke K.","non-dropping-particle":"","parse-names":false,"suffix":""},{"dropping-particle":"","family":"Parfrey","given":"Laura Wegener","non-dropping-particle":"","parse-names":false,"suffix":""},{"dropping-particle":"","family":"Knight","given":"Rob","non-dropping-particle":"","parse-names":false,"suffix":""}],"container-title":"Cell","id":"ITEM-1","issue":"6","issued":{"date-parts":[["2012"]]},"page":"1258-1270","publisher":"Elsevier Inc.","title":"The impact of the gut microbiota on human health: An integrative view","type":"article-journal","volume":"148"},"uris":["http://www.mendeley.com/documents/?uuid=22457b19-3401-4cee-b95b-e8331ca4b975","http://www.mendeley.com/documents/?uuid=eb1b63cd-1aa8-4ee9-a0b0-0ec3e31a8323"]},{"id":"ITEM-2","itemData":{"DOI":"10.1016/j.clp.2011.03.008.Cesarean","PMID":"21645799","author":[{"dropping-particle":"","family":"Neu","given":"Josef","non-dropping-particle":"","parse-names":false,"suffix":""},{"dropping-particle":"","family":"Rushing","given":"J","non-dropping-particle":"","parse-names":false,"suffix":""}],"container-title":"Clinical Perinatology","id":"ITEM-2","issue":"2","issued":{"date-parts":[["2012"]]},"page":"321-331","title":"Cesarean versus vaginal delivery: long term infant outcomes and the hygiene hypothesis","type":"article-journal","volume":"38"},"uris":["http://www.mendeley.com/documents/?uuid=96600db6-9019-46ff-8c5e-d919ee4ef358","http://www.mendeley.com/documents/?uuid=65b1147e-7222-4aa1-a8fb-a19ea24cfb85"]}],"mendeley":{"formattedCitation":"&lt;sup&gt;[19,20]&lt;/sup&gt;","plainTextFormattedCitation":"[19,20]","previouslyFormattedCitation":"&lt;sup&gt;[18,19]&lt;/sup&gt;"},"properties":{"noteIndex":0},"schema":"https://github.com/citation-style-language/schema/raw/master/csl-citation.json"}</w:instrText>
      </w:r>
      <w:r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lang w:val="en-US"/>
        </w:rPr>
        <w:t>[19,20]</w:t>
      </w:r>
      <w:r w:rsidRPr="001F1399">
        <w:rPr>
          <w:rFonts w:ascii="Book Antiqua" w:hAnsi="Book Antiqua"/>
          <w:sz w:val="24"/>
          <w:szCs w:val="24"/>
        </w:rPr>
        <w:fldChar w:fldCharType="end"/>
      </w:r>
      <w:r w:rsidRPr="001F1399">
        <w:rPr>
          <w:rFonts w:ascii="Book Antiqua" w:hAnsi="Book Antiqua"/>
          <w:sz w:val="24"/>
          <w:szCs w:val="24"/>
          <w:lang w:val="en-US"/>
        </w:rPr>
        <w:t xml:space="preserve">. </w:t>
      </w:r>
      <w:r w:rsidR="1309C247" w:rsidRPr="001F1399">
        <w:rPr>
          <w:rFonts w:ascii="Book Antiqua" w:hAnsi="Book Antiqua"/>
          <w:sz w:val="24"/>
          <w:szCs w:val="24"/>
          <w:lang w:val="en-US"/>
        </w:rPr>
        <w:t>For example, c</w:t>
      </w:r>
      <w:r w:rsidRPr="001F1399">
        <w:rPr>
          <w:rFonts w:ascii="Book Antiqua" w:hAnsi="Book Antiqua"/>
          <w:sz w:val="24"/>
          <w:szCs w:val="24"/>
          <w:lang w:val="en-US"/>
        </w:rPr>
        <w:t>linical trials provide proofs concerning the relationship between allergy development and microbiota dysbiosis</w:t>
      </w:r>
      <w:r w:rsidRPr="001F1399">
        <w:rPr>
          <w:rFonts w:ascii="Book Antiqua" w:hAnsi="Book Antiqua"/>
          <w:sz w:val="24"/>
          <w:szCs w:val="24"/>
        </w:rPr>
        <w:fldChar w:fldCharType="begin" w:fldLock="1"/>
      </w:r>
      <w:r w:rsidR="00B1214D" w:rsidRPr="001F1399">
        <w:rPr>
          <w:rFonts w:ascii="Book Antiqua" w:hAnsi="Book Antiqua"/>
          <w:sz w:val="24"/>
          <w:szCs w:val="24"/>
          <w:lang w:val="en-US"/>
        </w:rPr>
        <w:instrText>ADDIN CSL_CITATION {"citationItems":[{"id":"ITEM-1","itemData":{"DOI":"10.1128/AEM.00003-14","ISBN":"0099-2240","ISSN":"10985336","PMID":"24532064","abstract":"Increasing evidence suggests that perturbations in the intestinal microbiota composition of infants are implicated in the pathogenesis of food allergy (FA), while the actual structure and composition of the intestinal microbiota in human beings with FA remain unclear. Microbial diversity and composition were analyzed with parallel barcoded 454 pyrosequencing targeting the 16S rRNA gene hypervariable V1-V3 regions in the feces of 34 infants with FA (17 IgE mediated and 17 non-IgE mediated) and 45 healthy controls. Here, we showed that several key FA-associated bacterial phylotypes, but not the overall microbiota diversity, significantly changed in infancy fecal microbiota with FA and were associated with the development of FA. The proportion of abundant Bacteroidetes, Proteobacteria, and Actinobacteria phyla were significantly reduced, while the Firmicutes phylum was highly enriched in the FA group (P &lt; 0.05). Abundant Clostridiaceae 1 organisms were prevalent in infants with FA at the family level (P = 0.016). FA-enriched phylotypes negatively correlated with interleukin-10, for example, the genera Enterococcus and Staphylococcus. Despite profound interindividual variability, levels of 20 predominant genera were significantly different between the FA and healthy control groups (P &lt; 0.05). Infants with IgE-mediated FA had increased levels of Clostridium sensu stricto and Anaerobacter and decreased levels of Bacteroides and Clostridium XVIII (P &lt; 0.05). A positive correlation was observed between Clostridium sensu stricto and serum-specific IgE (R = 0.655, P &lt; 0.001). The specific microbiota signature could distinguish infants with IgE-mediated FA from non-IgE-mediated ones. Detailed microbiota analysis of a well-characterized cohort of infants with FA showed that dysbiosis of fecal microbiota with several FA-associated key phylotypes may play a pathogenic role in FA.","author":[{"dropping-particle":"","family":"Ling","given":"Zongxin","non-dropping-particle":"","parse-names":false,"suffix":""},{"dropping-particle":"","family":"Li","given":"Zailing","non-dropping-particle":"","parse-names":false,"suffix":""},{"dropping-particle":"","family":"Liu","given":"Xia","non-dropping-particle":"","parse-names":false,"suffix":""},{"dropping-particle":"","family":"Cheng","given":"Yiwen","non-dropping-particle":"","parse-names":false,"suffix":""},{"dropping-particle":"","family":"Luo","given":"Yueqiu","non-dropping-particle":"","parse-names":false,"suffix":""},{"dropping-particle":"","family":"Tong","given":"Xiaojuan","non-dropping-particle":"","parse-names":false,"suffix":""},{"dropping-particle":"","family":"Yuan","given":"Li","non-dropping-particle":"","parse-names":false,"suffix":""},{"dropping-particle":"","family":"Wang","given":"Yuezhu","non-dropping-particle":"","parse-names":false,"suffix":""},{"dropping-particle":"","family":"Sun","given":"Jinbo","non-dropping-particle":"","parse-names":false,"suffix":""},{"dropping-particle":"","family":"Li","given":"Lanjuan","non-dropping-particle":"","parse-names":false,"suffix":""},{"dropping-particle":"","family":"Xiang","given":"Charlie","non-dropping-particle":"","parse-names":false,"suffix":""}],"container-title":"Applied and Environmental Microbiology","id":"ITEM-1","issue":"8","issued":{"date-parts":[["2014"]]},"page":"2546-2554","title":"Altered fecal microbiota composition associated with food allergy in infants","type":"article-journal","volume":"80"},"uris":["http://www.mendeley.com/documents/?uuid=30b42e67-36d3-4697-8c44-9275e5385c04","http://www.mendeley.com/documents/?uuid=d06dadc9-8e90-4f8d-8d47-833801d82d99"]}],"mendeley":{"formattedCitation":"&lt;sup&gt;[21]&lt;/sup&gt;","plainTextFormattedCitation":"[21]","previouslyFormattedCitation":"&lt;sup&gt;[20]&lt;/sup&gt;"},"properties":{"noteIndex":0},"schema":"https://github.com/citation-style-language/schema/raw/master/csl-citation.json"}</w:instrText>
      </w:r>
      <w:r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lang w:val="en-US"/>
        </w:rPr>
        <w:t>[21]</w:t>
      </w:r>
      <w:r w:rsidRPr="001F1399">
        <w:rPr>
          <w:rFonts w:ascii="Book Antiqua" w:hAnsi="Book Antiqua"/>
          <w:sz w:val="24"/>
          <w:szCs w:val="24"/>
        </w:rPr>
        <w:fldChar w:fldCharType="end"/>
      </w:r>
      <w:r w:rsidRPr="001F1399">
        <w:rPr>
          <w:rFonts w:ascii="Book Antiqua" w:hAnsi="Book Antiqua"/>
          <w:sz w:val="24"/>
          <w:szCs w:val="24"/>
          <w:lang w:val="en-US"/>
        </w:rPr>
        <w:t xml:space="preserve"> in function of delivery mode in infants</w:t>
      </w:r>
      <w:r w:rsidRPr="001F1399">
        <w:rPr>
          <w:rFonts w:ascii="Book Antiqua" w:hAnsi="Book Antiqua"/>
          <w:sz w:val="24"/>
          <w:szCs w:val="24"/>
        </w:rPr>
        <w:fldChar w:fldCharType="begin" w:fldLock="1"/>
      </w:r>
      <w:r w:rsidR="00B1214D" w:rsidRPr="001F1399">
        <w:rPr>
          <w:rFonts w:ascii="Book Antiqua" w:hAnsi="Book Antiqua"/>
          <w:sz w:val="24"/>
          <w:szCs w:val="24"/>
          <w:lang w:val="en-US"/>
        </w:rPr>
        <w:instrText>ADDIN CSL_CITATION {"citationItems":[{"id":"ITEM-1","itemData":{"DOI":"10.1046/j.0905-6157.2003.00101.x","ISBN":"0905-6157 (Print) 0905-6157 (Linking)","ISSN":"09056157","PMID":"14998382","abstract":"It has been hypothesized that cesarean delivery might have an impact on the development of atopic diseases because of its gut flora modulating properties. In the present study, we analysed the association between cesarean delivery and atopic diseases using data of 2500 infants enrolled in the LISA-Study, a German prospective multicenter birth cohort study. Data on symptoms and physician-diagnosed atopic diseases were gathered by questionnaires shortly after birth and at infant's age 6, 12, 18, and 24 months. In addition, sensitization to common food and inhalant allergens was assessed by measuring specific immunoglobulin E (IgE) using the CAP-RAST FEIA method at the age of 2 yr. Confounder-adjusted odds ratios (aOR) with 95% confidence intervals (CI) were calculated by multiple logistic regression. We found a positive association between cesarean delivery and occurrence of at least one episode of wheezing [aOR 1.31 (95% CI 1.02-1.68)] and of recurrent wheezing [1.41 (1.02-1.96)] during the first 2 yr of life. Furthermore, effect estimates for allergic sensitization defined as at least one specific IgE &gt;/=0.70 kU/l against any allergen [1.48 (0.98-2.24)], against food allergens [1.64 (1.03-2.63)], and against inhalant allergens [1.75 (0.98-3.12)] were increased. Symptoms of atopic dermatitis [1.21 (0.92-1.59)], physician-diagnosed atopic dermatitis [1.04 (0.79-1.39)], and symptoms of allergic rhinoconjunctivitis [1.40 (0.80-2.44)] were only marginally increased in children delivered by cesarean section. In conclusion, our results suggest that cesarean delivery may be an additional risk factor for wheezing and allergic sensitization at least to food allergens up to the age of 2 yr. This should be considered when cesarean section is done for other than medical reasons.","author":[{"dropping-particle":"","family":"Negele","given":"Kathrin","non-dropping-particle":"","parse-names":false,"suffix":""},{"dropping-particle":"","family":"Heinrich","given":"Joachim","non-dropping-particle":"","parse-names":false,"suffix":""},{"dropping-particle":"","family":"Borte","given":"Michael","non-dropping-particle":"","parse-names":false,"suffix":""},{"dropping-particle":"","family":"Berg","given":"Andrea","non-dropping-particle":"Von","parse-names":false,"suffix":""},{"dropping-particle":"","family":"Schaaf","given":"Beate","non-dropping-particle":"","parse-names":false,"suffix":""},{"dropping-particle":"","family":"Lehmann","given":"Irina","non-dropping-particle":"","parse-names":false,"suffix":""},{"dropping-particle":"","family":"Wichmann","given":"H. Erich","non-dropping-particle":"","parse-names":false,"suffix":""},{"dropping-particle":"","family":"Bolte","given":"Gabriele","non-dropping-particle":"","parse-names":false,"suffix":""}],"container-title":"Pediatric Allergy and Immunology","id":"ITEM-1","issue":"1","issued":{"date-parts":[["2004"]]},"page":"48-54","title":"Mode of delivery and development of atopic disease during the first 2 years of life","type":"article-journal","volume":"15"},"uris":["http://www.mendeley.com/documents/?uuid=60c95045-1461-4079-ad91-a33f7b21b1c3","http://www.mendeley.com/documents/?uuid=7ae551cb-0d1b-4d71-a630-edd0c8c6b7a7"]}],"mendeley":{"formattedCitation":"&lt;sup&gt;[22]&lt;/sup&gt;","plainTextFormattedCitation":"[22]","previouslyFormattedCitation":"&lt;sup&gt;[21]&lt;/sup&gt;"},"properties":{"noteIndex":0},"schema":"https://github.com/citation-style-language/schema/raw/master/csl-citation.json"}</w:instrText>
      </w:r>
      <w:r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lang w:val="en-US"/>
        </w:rPr>
        <w:t>[22]</w:t>
      </w:r>
      <w:r w:rsidRPr="001F1399">
        <w:rPr>
          <w:rFonts w:ascii="Book Antiqua" w:hAnsi="Book Antiqua"/>
          <w:sz w:val="24"/>
          <w:szCs w:val="24"/>
        </w:rPr>
        <w:fldChar w:fldCharType="end"/>
      </w:r>
      <w:r w:rsidRPr="001F1399">
        <w:rPr>
          <w:rFonts w:ascii="Book Antiqua" w:hAnsi="Book Antiqua"/>
          <w:sz w:val="24"/>
          <w:szCs w:val="24"/>
          <w:lang w:val="en-US"/>
        </w:rPr>
        <w:t>.</w:t>
      </w:r>
      <w:r w:rsidR="7DC85D41" w:rsidRPr="001F1399">
        <w:rPr>
          <w:rFonts w:ascii="Book Antiqua" w:hAnsi="Book Antiqua"/>
          <w:sz w:val="24"/>
          <w:szCs w:val="24"/>
          <w:lang w:val="en-US"/>
        </w:rPr>
        <w:t xml:space="preserve"> </w:t>
      </w:r>
      <w:r w:rsidR="2257F385" w:rsidRPr="001F1399">
        <w:rPr>
          <w:rFonts w:ascii="Book Antiqua" w:hAnsi="Book Antiqua"/>
          <w:sz w:val="24"/>
          <w:szCs w:val="24"/>
          <w:lang w:val="en-US"/>
        </w:rPr>
        <w:t xml:space="preserve">The behavior of children in the first 3 years of life clearly promotes significant exposure to microbes: breastfeeding and direct contact with maternal skin, permanent </w:t>
      </w:r>
      <w:r w:rsidR="7D6D23C8" w:rsidRPr="001F1399">
        <w:rPr>
          <w:rFonts w:ascii="Book Antiqua" w:hAnsi="Book Antiqua"/>
          <w:sz w:val="24"/>
          <w:szCs w:val="24"/>
          <w:lang w:val="en-US"/>
        </w:rPr>
        <w:t xml:space="preserve">introduction of objects, </w:t>
      </w:r>
      <w:r w:rsidR="7D6D23C8" w:rsidRPr="001F1399">
        <w:rPr>
          <w:rFonts w:ascii="Book Antiqua" w:hAnsi="Book Antiqua"/>
          <w:sz w:val="24"/>
          <w:szCs w:val="24"/>
          <w:lang w:val="en-US"/>
        </w:rPr>
        <w:lastRenderedPageBreak/>
        <w:t xml:space="preserve">hands or feet into mouth, especially during crawling and early walking stages when hands are in contact onto floor </w:t>
      </w:r>
      <w:r w:rsidR="7D6D23C8" w:rsidRPr="001F1399">
        <w:rPr>
          <w:rFonts w:ascii="Book Antiqua" w:hAnsi="Book Antiqua"/>
          <w:color w:val="000000" w:themeColor="text1"/>
          <w:sz w:val="24"/>
          <w:szCs w:val="24"/>
          <w:lang w:val="en-US"/>
        </w:rPr>
        <w:t xml:space="preserve">surfaces. </w:t>
      </w:r>
      <w:r w:rsidR="37127417" w:rsidRPr="001F1399">
        <w:rPr>
          <w:rFonts w:ascii="Book Antiqua" w:hAnsi="Book Antiqua"/>
          <w:color w:val="000000" w:themeColor="text1"/>
          <w:sz w:val="24"/>
          <w:szCs w:val="24"/>
          <w:lang w:val="en-US"/>
        </w:rPr>
        <w:t xml:space="preserve">However, </w:t>
      </w:r>
      <w:r w:rsidR="005F7929" w:rsidRPr="001F1399">
        <w:rPr>
          <w:rFonts w:ascii="Book Antiqua" w:hAnsi="Book Antiqua"/>
          <w:color w:val="000000" w:themeColor="text1"/>
          <w:sz w:val="24"/>
          <w:szCs w:val="24"/>
          <w:lang w:val="en-US"/>
        </w:rPr>
        <w:t xml:space="preserve">the </w:t>
      </w:r>
      <w:r w:rsidR="37127417" w:rsidRPr="001F1399">
        <w:rPr>
          <w:rFonts w:ascii="Book Antiqua" w:hAnsi="Book Antiqua"/>
          <w:color w:val="000000" w:themeColor="text1"/>
          <w:sz w:val="24"/>
          <w:szCs w:val="24"/>
          <w:lang w:val="en-US"/>
        </w:rPr>
        <w:t xml:space="preserve">actual excessive hygiene of our environment decreases the exposition </w:t>
      </w:r>
      <w:r w:rsidR="006A0D0B" w:rsidRPr="001F1399">
        <w:rPr>
          <w:rFonts w:ascii="Book Antiqua" w:hAnsi="Book Antiqua"/>
          <w:color w:val="000000" w:themeColor="text1"/>
          <w:sz w:val="24"/>
          <w:szCs w:val="24"/>
          <w:lang w:val="en-US"/>
        </w:rPr>
        <w:t>to</w:t>
      </w:r>
      <w:r w:rsidR="37127417" w:rsidRPr="001F1399">
        <w:rPr>
          <w:rFonts w:ascii="Book Antiqua" w:hAnsi="Book Antiqua"/>
          <w:color w:val="000000" w:themeColor="text1"/>
          <w:sz w:val="24"/>
          <w:szCs w:val="24"/>
          <w:lang w:val="en-US"/>
        </w:rPr>
        <w:t xml:space="preserve"> microbes in early life impacting immune system maturation</w:t>
      </w:r>
      <w:r w:rsidR="006A0D0B" w:rsidRPr="001F1399">
        <w:rPr>
          <w:rFonts w:ascii="Book Antiqua" w:hAnsi="Book Antiqua"/>
          <w:color w:val="000000" w:themeColor="text1"/>
          <w:sz w:val="24"/>
          <w:szCs w:val="24"/>
          <w:lang w:val="en-US"/>
        </w:rPr>
        <w:t xml:space="preserve">. This </w:t>
      </w:r>
      <w:r w:rsidR="37127417" w:rsidRPr="001F1399">
        <w:rPr>
          <w:rFonts w:ascii="Book Antiqua" w:hAnsi="Book Antiqua"/>
          <w:color w:val="000000" w:themeColor="text1"/>
          <w:sz w:val="24"/>
          <w:szCs w:val="24"/>
          <w:lang w:val="en-US"/>
        </w:rPr>
        <w:t xml:space="preserve">has been mentioned in the rise of immune disorders (autoimmune diseases, allergies, </w:t>
      </w:r>
      <w:r w:rsidR="002974FA" w:rsidRPr="001F1399">
        <w:rPr>
          <w:rFonts w:ascii="Book Antiqua" w:hAnsi="Book Antiqua" w:hint="eastAsia"/>
          <w:i/>
          <w:iCs/>
          <w:color w:val="000000" w:themeColor="text1"/>
          <w:sz w:val="24"/>
          <w:szCs w:val="24"/>
          <w:lang w:val="en-US" w:eastAsia="zh-CN"/>
        </w:rPr>
        <w:t>etc</w:t>
      </w:r>
      <w:r w:rsidR="002974FA" w:rsidRPr="001F1399">
        <w:rPr>
          <w:rFonts w:ascii="Book Antiqua" w:hAnsi="Book Antiqua"/>
          <w:color w:val="000000" w:themeColor="text1"/>
          <w:sz w:val="24"/>
          <w:szCs w:val="24"/>
          <w:lang w:val="en-US" w:eastAsia="zh-CN"/>
        </w:rPr>
        <w:t>.</w:t>
      </w:r>
      <w:r w:rsidR="37127417" w:rsidRPr="001F1399">
        <w:rPr>
          <w:rFonts w:ascii="Book Antiqua" w:hAnsi="Book Antiqua"/>
          <w:color w:val="000000" w:themeColor="text1"/>
          <w:sz w:val="24"/>
          <w:szCs w:val="24"/>
          <w:lang w:val="en-US"/>
        </w:rPr>
        <w:t xml:space="preserve">) </w:t>
      </w:r>
      <w:r w:rsidR="006A0D0B" w:rsidRPr="001F1399">
        <w:rPr>
          <w:rFonts w:ascii="Book Antiqua" w:hAnsi="Book Antiqua"/>
          <w:color w:val="000000" w:themeColor="text1"/>
          <w:sz w:val="24"/>
          <w:szCs w:val="24"/>
          <w:lang w:val="en-US"/>
        </w:rPr>
        <w:t>for more than</w:t>
      </w:r>
      <w:r w:rsidR="37127417" w:rsidRPr="001F1399">
        <w:rPr>
          <w:rFonts w:ascii="Book Antiqua" w:hAnsi="Book Antiqua"/>
          <w:color w:val="000000" w:themeColor="text1"/>
          <w:sz w:val="24"/>
          <w:szCs w:val="24"/>
          <w:lang w:val="en-US"/>
        </w:rPr>
        <w:t xml:space="preserve"> 40 years as “hygiene hypothesis”</w:t>
      </w:r>
      <w:r w:rsidR="002A1829" w:rsidRPr="001F1399">
        <w:rPr>
          <w:rFonts w:ascii="Book Antiqua" w:hAnsi="Book Antiqua"/>
          <w:color w:val="000000" w:themeColor="text1"/>
          <w:sz w:val="24"/>
          <w:szCs w:val="24"/>
          <w:lang w:val="en-US"/>
        </w:rPr>
        <w:fldChar w:fldCharType="begin" w:fldLock="1"/>
      </w:r>
      <w:r w:rsidR="00B1214D" w:rsidRPr="001F1399">
        <w:rPr>
          <w:rFonts w:ascii="Book Antiqua" w:hAnsi="Book Antiqua"/>
          <w:color w:val="000000" w:themeColor="text1"/>
          <w:sz w:val="24"/>
          <w:szCs w:val="24"/>
          <w:lang w:val="en-US"/>
        </w:rPr>
        <w:instrText>ADDIN CSL_CITATION {"citationItems":[{"id":"ITEM-1","itemData":{"DOI":"10.1136/bmj.299.6710.1259","ISSN":"0959-8138","PMID":"2513902","author":[{"dropping-particle":"","family":"Strachan","given":"D. P.","non-dropping-particle":"","parse-names":false,"suffix":""}],"container-title":"BMJ","id":"ITEM-1","issue":"6710","issued":{"date-parts":[["1989","11","18"]]},"page":"1259-1260","title":"Hay fever, hygiene, and household size.","type":"article-journal","volume":"299"},"uris":["http://www.mendeley.com/documents/?uuid=f5849800-66fb-36d9-af46-adda84aad15f"]},{"id":"ITEM-2","itemData":{"DOI":"10.1016/j.actatropica.2018.08.032","ISSN":"0001706X","PMID":"30165069","abstract":"The hygiene hypothesis was proposed almost three decades ago. Nevertheless, its mechanism still remains with relevant controversies. Some studies defend that early exposures during childhood to microbes and parasites are key determinants to prevent allergies and autoimmune diseases; however, other studies demonstrated that these early exposures can even potentiate the clinical scenario of the diseases. Based on several studies covering the influences of microbiome, parasites, related theories and others, this review focuses on recent advances in the hygiene hypothesis field. In addition, the main immunological mechanisms underlying the hygiene hypothesis are also discussed. We also strongly encourage that researchers do not consider the hygiene hypothesis as a theory based strictly on hygiene habits, but a theory combining diverse influences, as illustrated in this review as the hygiene hypothesis net.","author":[{"dropping-particle":"","family":"Alexandre-Silva","given":"Gabriel M.","non-dropping-particle":"","parse-names":false,"suffix":""},{"dropping-particle":"","family":"Brito-Souza","given":"Pablo A.","non-dropping-particle":"","parse-names":false,"suffix":""},{"dropping-particle":"","family":"Oliveira","given":"Ana C.S.","non-dropping-particle":"","parse-names":false,"suffix":""},{"dropping-particle":"","family":"Cerni","given":"Felipe A.","non-dropping-particle":"","parse-names":false,"suffix":""},{"dropping-particle":"","family":"Zottich","given":"Umberto","non-dropping-particle":"","parse-names":false,"suffix":""},{"dropping-particle":"","family":"Pucca","given":"Manuela B.","non-dropping-particle":"","parse-names":false,"suffix":""}],"container-title":"Acta Tropica","id":"ITEM-2","issued":{"date-parts":[["2018","12","1"]]},"page":"16-26","publisher":"Elsevier B.V.","title":"The hygiene hypothesis at a glance: Early exposures, immune mechanism and novel therapies","type":"article-journal","volume":"188"},"uris":["http://www.mendeley.com/documents/?uuid=358dc149-1745-386d-bedb-a07cd5fa9691"]}],"mendeley":{"formattedCitation":"&lt;sup&gt;[23,24]&lt;/sup&gt;","plainTextFormattedCitation":"[23,24]","previouslyFormattedCitation":"&lt;sup&gt;[22,23]&lt;/sup&gt;"},"properties":{"noteIndex":0},"schema":"https://github.com/citation-style-language/schema/raw/master/csl-citation.json"}</w:instrText>
      </w:r>
      <w:r w:rsidR="002A1829" w:rsidRPr="001F1399">
        <w:rPr>
          <w:rFonts w:ascii="Book Antiqua" w:hAnsi="Book Antiqua"/>
          <w:color w:val="000000" w:themeColor="text1"/>
          <w:sz w:val="24"/>
          <w:szCs w:val="24"/>
          <w:lang w:val="en-US"/>
        </w:rPr>
        <w:fldChar w:fldCharType="separate"/>
      </w:r>
      <w:r w:rsidR="00B1214D" w:rsidRPr="001F1399">
        <w:rPr>
          <w:rFonts w:ascii="Book Antiqua" w:hAnsi="Book Antiqua"/>
          <w:noProof/>
          <w:color w:val="000000" w:themeColor="text1"/>
          <w:sz w:val="24"/>
          <w:szCs w:val="24"/>
          <w:vertAlign w:val="superscript"/>
          <w:lang w:val="en-US"/>
        </w:rPr>
        <w:t>[23,24]</w:t>
      </w:r>
      <w:r w:rsidR="002A1829" w:rsidRPr="001F1399">
        <w:rPr>
          <w:rFonts w:ascii="Book Antiqua" w:hAnsi="Book Antiqua"/>
          <w:color w:val="000000" w:themeColor="text1"/>
          <w:sz w:val="24"/>
          <w:szCs w:val="24"/>
          <w:lang w:val="en-US"/>
        </w:rPr>
        <w:fldChar w:fldCharType="end"/>
      </w:r>
      <w:r w:rsidR="006A0D0B" w:rsidRPr="001F1399">
        <w:rPr>
          <w:rFonts w:ascii="Book Antiqua" w:hAnsi="Book Antiqua"/>
          <w:color w:val="000000" w:themeColor="text1"/>
          <w:sz w:val="24"/>
          <w:szCs w:val="24"/>
          <w:lang w:val="en-US"/>
        </w:rPr>
        <w:t>.</w:t>
      </w:r>
    </w:p>
    <w:p w14:paraId="5D229145" w14:textId="3EABE768" w:rsidR="00493FA8" w:rsidRPr="001F1399" w:rsidRDefault="38137423" w:rsidP="002974FA">
      <w:pPr>
        <w:adjustRightInd w:val="0"/>
        <w:snapToGrid w:val="0"/>
        <w:spacing w:after="0" w:line="360" w:lineRule="auto"/>
        <w:ind w:firstLineChars="100" w:firstLine="240"/>
        <w:jc w:val="both"/>
        <w:rPr>
          <w:rFonts w:ascii="Book Antiqua" w:hAnsi="Book Antiqua"/>
          <w:sz w:val="24"/>
          <w:szCs w:val="24"/>
          <w:lang w:val="en-US"/>
        </w:rPr>
      </w:pPr>
      <w:r w:rsidRPr="001F1399">
        <w:rPr>
          <w:rFonts w:ascii="Book Antiqua" w:hAnsi="Book Antiqua"/>
          <w:sz w:val="24"/>
          <w:szCs w:val="24"/>
          <w:lang w:val="en-US"/>
        </w:rPr>
        <w:t xml:space="preserve">By contrast, as the </w:t>
      </w:r>
      <w:r w:rsidR="4F6AD575" w:rsidRPr="001F1399">
        <w:rPr>
          <w:rFonts w:ascii="Book Antiqua" w:hAnsi="Book Antiqua"/>
          <w:sz w:val="24"/>
          <w:szCs w:val="24"/>
          <w:lang w:val="en-US"/>
        </w:rPr>
        <w:t>intestinal microbiota of preterm infants at birth is less diverse than in full-term infants, it presents an immature intestine with underdeveloped peristalsis, barrier function and immunity. The intestine is therefore, a potential source of inflammation and infections by pathogenic bacteria such as</w:t>
      </w:r>
      <w:r w:rsidR="005F1373" w:rsidRPr="001F1399">
        <w:rPr>
          <w:rFonts w:ascii="Book Antiqua" w:hAnsi="Book Antiqua"/>
          <w:sz w:val="24"/>
          <w:szCs w:val="24"/>
          <w:lang w:val="en-US"/>
        </w:rPr>
        <w:t xml:space="preserve"> </w:t>
      </w:r>
      <w:r w:rsidR="4F6AD575" w:rsidRPr="001F1399">
        <w:rPr>
          <w:rFonts w:ascii="Book Antiqua" w:hAnsi="Book Antiqua"/>
          <w:i/>
          <w:iCs/>
          <w:sz w:val="24"/>
          <w:szCs w:val="24"/>
          <w:lang w:val="en-US"/>
        </w:rPr>
        <w:t>Enterobacter</w:t>
      </w:r>
      <w:r w:rsidR="4F6AD575" w:rsidRPr="001F1399">
        <w:rPr>
          <w:rFonts w:ascii="Book Antiqua" w:hAnsi="Book Antiqua"/>
          <w:sz w:val="24"/>
          <w:szCs w:val="24"/>
          <w:lang w:val="en-US"/>
        </w:rPr>
        <w:t xml:space="preserve">, </w:t>
      </w:r>
      <w:r w:rsidR="4F6AD575" w:rsidRPr="001F1399">
        <w:rPr>
          <w:rFonts w:ascii="Book Antiqua" w:hAnsi="Book Antiqua"/>
          <w:i/>
          <w:iCs/>
          <w:sz w:val="24"/>
          <w:szCs w:val="24"/>
          <w:lang w:val="en-US"/>
        </w:rPr>
        <w:t>Enterococcus</w:t>
      </w:r>
      <w:r w:rsidR="4F6AD575" w:rsidRPr="001F1399">
        <w:rPr>
          <w:rFonts w:ascii="Book Antiqua" w:hAnsi="Book Antiqua"/>
          <w:sz w:val="24"/>
          <w:szCs w:val="24"/>
          <w:lang w:val="en-US"/>
        </w:rPr>
        <w:t>, and</w:t>
      </w:r>
      <w:r w:rsidR="005F1373" w:rsidRPr="001F1399">
        <w:rPr>
          <w:rFonts w:ascii="Book Antiqua" w:hAnsi="Book Antiqua"/>
          <w:sz w:val="24"/>
          <w:szCs w:val="24"/>
          <w:lang w:val="en-US"/>
        </w:rPr>
        <w:t xml:space="preserve"> </w:t>
      </w:r>
      <w:r w:rsidR="4F6AD575" w:rsidRPr="001F1399">
        <w:rPr>
          <w:rFonts w:ascii="Book Antiqua" w:hAnsi="Book Antiqua"/>
          <w:i/>
          <w:iCs/>
          <w:sz w:val="24"/>
          <w:szCs w:val="24"/>
          <w:lang w:val="en-US"/>
        </w:rPr>
        <w:t>Staphylococcus</w:t>
      </w:r>
      <w:r w:rsidR="006515FC" w:rsidRPr="001F1399">
        <w:rPr>
          <w:rFonts w:ascii="Book Antiqua" w:hAnsi="Book Antiqua"/>
          <w:sz w:val="24"/>
          <w:szCs w:val="24"/>
          <w:lang w:val="en-US"/>
        </w:rPr>
        <w:fldChar w:fldCharType="begin" w:fldLock="1"/>
      </w:r>
      <w:r w:rsidR="00B1214D" w:rsidRPr="001F1399">
        <w:rPr>
          <w:rFonts w:ascii="Book Antiqua" w:hAnsi="Book Antiqua"/>
          <w:sz w:val="24"/>
          <w:szCs w:val="24"/>
          <w:lang w:val="en-US"/>
        </w:rPr>
        <w:instrText>ADDIN CSL_CITATION {"citationItems":[{"id":"ITEM-1","itemData":{"DOI":"10.1186/s40168-017-0377-0","ISSN":"2049-2618","PMID":"29228972","abstract":"CONCLUSION: The phase-dependent impact of nutrition on infant growth along with phase-specific metabolic functions suggests a pioneering potential for improving growth outcomes by tailoring nutrient intake to microbiota phase. BACKGROUND: Identification of factors that influence the neonatal gut microbiome is urgently needed to guide clinical practices that support growth of healthy preterm infants. Here, we examined the influence of nutrition and common practices on the gut microbiota and growth in a cohort of preterm infants. RESULTS: With weekly gut microbiota samples spanning postmenstrual age (PMA) 24 to 46 weeks, we developed two models to test associations between the microbiota, nutrition and growth: a categorical model with three successive microbiota phases (P1, P2, and P3) and a model with two periods (early and late PMA) defined by microbiota composition and PMA, respectively. The more significant associations with phase led us to use a phase-based framework for the majority of our analyses. Phase transitions were characterized by rapid shifts in the microbiota, with transition out of P1 occurring nearly simultaneously with the change from meconium to normal stool. The rate of phase progression was positively associated with gestational age at birth, and delayed transition to a P3 microbiota was associated with growth failure. We found distinct bacterial metabolic functions in P1-3 and significant associations between nutrition, microbiota phase, and infant growth.","author":[{"dropping-particle":"","family":"Grier","given":"Alex","non-dropping-particle":"","parse-names":false,"suffix":""},{"dropping-particle":"","family":"Qiu","given":"Xing","non-dropping-particle":"","parse-names":false,"suffix":""},{"dropping-particle":"","family":"Bandyopadhyay","given":"Sanjukta","non-dropping-particle":"","parse-names":false,"suffix":""},{"dropping-particle":"","family":"Holden-Wiltse","given":"Jeanne","non-dropping-particle":"","parse-names":false,"suffix":""},{"dropping-particle":"","family":"Kessler","given":"Haeja A.","non-dropping-particle":"","parse-names":false,"suffix":""},{"dropping-particle":"","family":"Gill","given":"Ann L.","non-dropping-particle":"","parse-names":false,"suffix":""},{"dropping-particle":"","family":"Hamilton","given":"Brooke","non-dropping-particle":"","parse-names":false,"suffix":""},{"dropping-particle":"","family":"Huyck","given":"Heidie","non-dropping-particle":"","parse-names":false,"suffix":""},{"dropping-particle":"","family":"Misra","given":"Sara","non-dropping-particle":"","parse-names":false,"suffix":""},{"dropping-particle":"","family":"Mariani","given":"Thomas J.","non-dropping-particle":"","parse-names":false,"suffix":""},{"dropping-particle":"","family":"Ryan","given":"Rita M.","non-dropping-particle":"","parse-names":false,"suffix":""},{"dropping-particle":"","family":"Scholer","given":"Lori","non-dropping-particle":"","parse-names":false,"suffix":""},{"dropping-particle":"","family":"Scheible","given":"Kristin M.","non-dropping-particle":"","parse-names":false,"suffix":""},{"dropping-particle":"","family":"Lee","given":"Yi-Horng","non-dropping-particle":"","parse-names":false,"suffix":""},{"dropping-particle":"","family":"Caserta","given":"Mary T.","non-dropping-particle":"","parse-names":false,"suffix":""},{"dropping-particle":"","family":"Pryhuber","given":"Gloria S.","non-dropping-particle":"","parse-names":false,"suffix":""},{"dropping-particle":"","family":"Gill","given":"Steven R.","non-dropping-particle":"","parse-names":false,"suffix":""}],"container-title":"Microbiome","id":"ITEM-1","issue":"1","issued":{"date-parts":[["2017","12","11"]]},"page":"158","title":"Impact of prematurity and nutrition on the developing gut microbiome and preterm infant growth","type":"article-journal","volume":"5"},"uris":["http://www.mendeley.com/documents/?uuid=8c111828-5de6-339e-a2e0-5d75ccbba6f7"]},{"id":"ITEM-2","itemData":{"DOI":"10.1038/s41598-018-20827-x","ISSN":"2045-2322","PMID":"29410448","abstract":"The intestinal microbiota is an important contributor to the health of preterm infants, and may be destabilized by a number of environmental factors and treatment modalities. How to promote the development of a healthy microbiota in preterm infants is largely unknown. We collected fecal samples from 45 breastfed preterm very low birth weight (birth weight &lt; 1500 g) infants from birth until 60 days postnatal age to characterize the intestinal microbiota development during the first weeks of life in preterm infants. Fecal microbiota composition was determined by 16S rRNA amplicon sequencing. The main driver of microbiota development was gestational age; antibiotic use had strong but temporary effects and birth mode had little influence. Microbiota development proceeded in four phases indicated by the dominance of Staphylococcus, Enterococcus, Enterobacter, and finally Bifidobacterium. The Enterococcus phase was only observed among the extremely premature infants and appeared to delay the microbiota succession. The results indicate that hospitalized preterm infants receiving breast milk may develop a normal microbiota resembling that of term infants.","author":[{"dropping-particle":"","family":"Korpela","given":"Katri","non-dropping-particle":"","parse-names":false,"suffix":""},{"dropping-particle":"","family":"Blakstad","given":"Elin W.","non-dropping-particle":"","parse-names":false,"suffix":""},{"dropping-particle":"","family":"Moltu","given":"Sissel J.","non-dropping-particle":"","parse-names":false,"suffix":""},{"dropping-particle":"","family":"Strømmen","given":"Kenneth","non-dropping-particle":"","parse-names":false,"suffix":""},{"dropping-particle":"","family":"Nakstad","given":"Britt","non-dropping-particle":"","parse-names":false,"suffix":""},{"dropping-particle":"","family":"Rønnestad","given":"Arild E.","non-dropping-particle":"","parse-names":false,"suffix":""},{"dropping-particle":"","family":"Brække","given":"Kristin","non-dropping-particle":"","parse-names":false,"suffix":""},{"dropping-particle":"","family":"Iversen","given":"Per O.","non-dropping-particle":"","parse-names":false,"suffix":""},{"dropping-particle":"","family":"Drevon","given":"Christian A.","non-dropping-particle":"","parse-names":false,"suffix":""},{"dropping-particle":"","family":"Vos","given":"Willem","non-dropping-particle":"de","parse-names":false,"suffix":""}],"container-title":"Scientific Reports","id":"ITEM-2","issue":"1","issued":{"date-parts":[["2018","12","6"]]},"page":"2453","publisher":"Nature Publishing Group","title":"Intestinal microbiota development and gestational age in preterm neonates","type":"article-journal","volume":"8"},"uris":["http://www.mendeley.com/documents/?uuid=6f7f62a1-e0d4-3013-be62-076451d20552"]}],"mendeley":{"formattedCitation":"&lt;sup&gt;[25,26]&lt;/sup&gt;","plainTextFormattedCitation":"[25,26]","previouslyFormattedCitation":"&lt;sup&gt;[24,25]&lt;/sup&gt;"},"properties":{"noteIndex":0},"schema":"https://github.com/citation-style-language/schema/raw/master/csl-citation.json"}</w:instrText>
      </w:r>
      <w:r w:rsidR="006515FC"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lang w:val="en-US"/>
        </w:rPr>
        <w:t>[25,26]</w:t>
      </w:r>
      <w:r w:rsidR="006515FC" w:rsidRPr="001F1399">
        <w:rPr>
          <w:rFonts w:ascii="Book Antiqua" w:hAnsi="Book Antiqua"/>
          <w:sz w:val="24"/>
          <w:szCs w:val="24"/>
          <w:lang w:val="en-US"/>
        </w:rPr>
        <w:fldChar w:fldCharType="end"/>
      </w:r>
      <w:r w:rsidR="4F6AD575" w:rsidRPr="001F1399">
        <w:rPr>
          <w:rFonts w:ascii="Book Antiqua" w:hAnsi="Book Antiqua"/>
          <w:sz w:val="24"/>
          <w:szCs w:val="24"/>
          <w:lang w:val="en-US"/>
        </w:rPr>
        <w:t>.</w:t>
      </w:r>
    </w:p>
    <w:p w14:paraId="7B9E9606" w14:textId="702B4CA4" w:rsidR="58C337B2" w:rsidRPr="001F1399" w:rsidRDefault="00597CF4" w:rsidP="002974FA">
      <w:pPr>
        <w:adjustRightInd w:val="0"/>
        <w:snapToGrid w:val="0"/>
        <w:spacing w:after="0" w:line="360" w:lineRule="auto"/>
        <w:ind w:firstLineChars="100" w:firstLine="240"/>
        <w:jc w:val="both"/>
        <w:rPr>
          <w:rStyle w:val="eop"/>
          <w:rFonts w:ascii="Book Antiqua" w:hAnsi="Book Antiqua"/>
          <w:sz w:val="24"/>
          <w:szCs w:val="24"/>
          <w:lang w:val="en-US"/>
        </w:rPr>
      </w:pPr>
      <w:r w:rsidRPr="001F1399">
        <w:rPr>
          <w:rFonts w:ascii="Book Antiqua" w:hAnsi="Book Antiqua"/>
          <w:sz w:val="24"/>
          <w:szCs w:val="24"/>
          <w:lang w:val="en-US"/>
        </w:rPr>
        <w:t xml:space="preserve">Mucosal tissue homeostasis </w:t>
      </w:r>
      <w:r w:rsidR="00433C6E" w:rsidRPr="001F1399">
        <w:rPr>
          <w:rFonts w:ascii="Book Antiqua" w:hAnsi="Book Antiqua"/>
          <w:sz w:val="24"/>
          <w:szCs w:val="24"/>
          <w:lang w:val="en-US"/>
        </w:rPr>
        <w:t xml:space="preserve">also </w:t>
      </w:r>
      <w:r w:rsidRPr="001F1399">
        <w:rPr>
          <w:rFonts w:ascii="Book Antiqua" w:hAnsi="Book Antiqua"/>
          <w:sz w:val="24"/>
          <w:szCs w:val="24"/>
          <w:lang w:val="en-US"/>
        </w:rPr>
        <w:t xml:space="preserve">results from the perinatal establishment of </w:t>
      </w:r>
      <w:r w:rsidR="005C08C5" w:rsidRPr="001F1399">
        <w:rPr>
          <w:rFonts w:ascii="Book Antiqua" w:hAnsi="Book Antiqua"/>
          <w:sz w:val="24"/>
          <w:szCs w:val="24"/>
          <w:lang w:val="en-US"/>
        </w:rPr>
        <w:t>mucosal</w:t>
      </w:r>
      <w:r w:rsidRPr="001F1399">
        <w:rPr>
          <w:rFonts w:ascii="Book Antiqua" w:hAnsi="Book Antiqua"/>
          <w:sz w:val="24"/>
          <w:szCs w:val="24"/>
          <w:lang w:val="en-US"/>
        </w:rPr>
        <w:t>-induced immune tolerance</w:t>
      </w:r>
      <w:r w:rsidR="005A1697" w:rsidRPr="001F1399">
        <w:rPr>
          <w:rFonts w:ascii="Book Antiqua" w:hAnsi="Book Antiqua"/>
          <w:sz w:val="24"/>
          <w:szCs w:val="24"/>
          <w:lang w:val="en-US"/>
        </w:rPr>
        <w:t>, phenomenon regulated by a set of signals provided by innate immune cells that shape the adaptative immune responses. Through its barrier function, cell contact-mediated signals and production of cytokines</w:t>
      </w:r>
      <w:r w:rsidR="00CD2D83" w:rsidRPr="001F1399">
        <w:rPr>
          <w:rFonts w:ascii="Book Antiqua" w:hAnsi="Book Antiqua"/>
          <w:sz w:val="24"/>
          <w:szCs w:val="24"/>
          <w:lang w:val="en-US"/>
        </w:rPr>
        <w:t>,</w:t>
      </w:r>
      <w:r w:rsidR="005A1697" w:rsidRPr="001F1399">
        <w:rPr>
          <w:rFonts w:ascii="Book Antiqua" w:hAnsi="Book Antiqua"/>
          <w:sz w:val="24"/>
          <w:szCs w:val="24"/>
          <w:lang w:val="en-US"/>
        </w:rPr>
        <w:t xml:space="preserve"> this regulatory immune network is controlled by the mucosal epithelium</w:t>
      </w:r>
      <w:r w:rsidR="00CD2D83" w:rsidRPr="001F1399">
        <w:rPr>
          <w:rFonts w:ascii="Book Antiqua" w:hAnsi="Book Antiqua"/>
          <w:sz w:val="24"/>
          <w:szCs w:val="24"/>
          <w:lang w:val="en-US"/>
        </w:rPr>
        <w:t>.</w:t>
      </w:r>
      <w:r w:rsidR="005A1697" w:rsidRPr="001F1399">
        <w:rPr>
          <w:rFonts w:ascii="Book Antiqua" w:hAnsi="Book Antiqua"/>
          <w:sz w:val="24"/>
          <w:szCs w:val="24"/>
          <w:lang w:val="en-US"/>
        </w:rPr>
        <w:t xml:space="preserve"> </w:t>
      </w:r>
      <w:r w:rsidR="00CD2D83" w:rsidRPr="001F1399">
        <w:rPr>
          <w:rFonts w:ascii="Book Antiqua" w:hAnsi="Book Antiqua"/>
          <w:sz w:val="24"/>
          <w:szCs w:val="24"/>
          <w:lang w:val="en-US"/>
        </w:rPr>
        <w:t>Perinatal maturation of the mucosal immune system may also be modulated by direct or undirect effect of environmental factors</w:t>
      </w:r>
      <w:r w:rsidR="004C7EE5" w:rsidRPr="001F1399">
        <w:rPr>
          <w:rFonts w:ascii="Book Antiqua" w:hAnsi="Book Antiqua"/>
          <w:sz w:val="24"/>
          <w:szCs w:val="24"/>
          <w:lang w:val="en-US"/>
        </w:rPr>
        <w:t xml:space="preserve"> wh</w:t>
      </w:r>
      <w:r w:rsidR="00DD6AA6" w:rsidRPr="001F1399">
        <w:rPr>
          <w:rFonts w:ascii="Book Antiqua" w:hAnsi="Book Antiqua"/>
          <w:sz w:val="24"/>
          <w:szCs w:val="24"/>
          <w:lang w:val="en-US"/>
        </w:rPr>
        <w:t>ich</w:t>
      </w:r>
      <w:r w:rsidR="004C7EE5" w:rsidRPr="001F1399">
        <w:rPr>
          <w:rFonts w:ascii="Book Antiqua" w:hAnsi="Book Antiqua"/>
          <w:sz w:val="24"/>
          <w:szCs w:val="24"/>
          <w:lang w:val="en-US"/>
        </w:rPr>
        <w:t>ever route of exposure considered</w:t>
      </w:r>
      <w:r w:rsidR="00CD2D83" w:rsidRPr="001F1399">
        <w:rPr>
          <w:rFonts w:ascii="Book Antiqua" w:hAnsi="Book Antiqua"/>
          <w:sz w:val="24"/>
          <w:szCs w:val="24"/>
          <w:lang w:val="en-US"/>
        </w:rPr>
        <w:t xml:space="preserve">. </w:t>
      </w:r>
      <w:r w:rsidR="00DA482B" w:rsidRPr="001F1399">
        <w:rPr>
          <w:rFonts w:ascii="Book Antiqua" w:hAnsi="Book Antiqua"/>
          <w:sz w:val="24"/>
          <w:szCs w:val="24"/>
          <w:lang w:val="en-US"/>
        </w:rPr>
        <w:t xml:space="preserve">During pregnancy; maternal and fetal immune system communicate in a bi-directional manner. The development and maturation of the immune system starts </w:t>
      </w:r>
      <w:r w:rsidR="00413495" w:rsidRPr="001F1399">
        <w:rPr>
          <w:rFonts w:ascii="Book Antiqua" w:hAnsi="Book Antiqua"/>
          <w:sz w:val="24"/>
          <w:szCs w:val="24"/>
          <w:lang w:val="en-US"/>
        </w:rPr>
        <w:t xml:space="preserve">early in fetal life and continues throughout the infancy and early childhood. These are windows of high susceptibility and vulnerability to environmental insults such as malnutrition, stress </w:t>
      </w:r>
      <w:r w:rsidR="00DD6AA6" w:rsidRPr="001F1399">
        <w:rPr>
          <w:rFonts w:ascii="Book Antiqua" w:hAnsi="Book Antiqua"/>
          <w:sz w:val="24"/>
          <w:szCs w:val="24"/>
          <w:lang w:val="en-US"/>
        </w:rPr>
        <w:t>or</w:t>
      </w:r>
      <w:r w:rsidR="00413495" w:rsidRPr="001F1399">
        <w:rPr>
          <w:rFonts w:ascii="Book Antiqua" w:hAnsi="Book Antiqua"/>
          <w:sz w:val="24"/>
          <w:szCs w:val="24"/>
          <w:lang w:val="en-US"/>
        </w:rPr>
        <w:t xml:space="preserve"> environmental contaminants. The development of fetal immune system is characterized by the presence of several distinctive features that promote fetal active tolerance against both </w:t>
      </w:r>
      <w:r w:rsidR="00413495" w:rsidRPr="001F1399">
        <w:rPr>
          <w:rFonts w:ascii="Book Antiqua" w:hAnsi="Book Antiqua"/>
          <w:i/>
          <w:sz w:val="24"/>
          <w:szCs w:val="24"/>
          <w:lang w:val="en-US"/>
        </w:rPr>
        <w:t>in utero</w:t>
      </w:r>
      <w:r w:rsidR="00413495" w:rsidRPr="001F1399">
        <w:rPr>
          <w:rFonts w:ascii="Book Antiqua" w:hAnsi="Book Antiqua"/>
          <w:sz w:val="24"/>
          <w:szCs w:val="24"/>
          <w:lang w:val="en-US"/>
        </w:rPr>
        <w:t xml:space="preserve"> maternal antigens and exogenous antigens, such as infectious agents. </w:t>
      </w:r>
      <w:r w:rsidR="00852F79" w:rsidRPr="001F1399">
        <w:rPr>
          <w:rFonts w:ascii="Book Antiqua" w:hAnsi="Book Antiqua"/>
          <w:sz w:val="24"/>
          <w:szCs w:val="24"/>
          <w:lang w:val="en-US"/>
        </w:rPr>
        <w:t>It is well established that endogenous and exogenous factors shape the development and maturation of the intestinal immune system. In rodents and human, the formation of secondary lymphoid structures, such as Peyer’s patches or mesenteric lymph nodes</w:t>
      </w:r>
      <w:r w:rsidR="00322E8A" w:rsidRPr="001F1399">
        <w:rPr>
          <w:rFonts w:ascii="Book Antiqua" w:hAnsi="Book Antiqua"/>
          <w:sz w:val="24"/>
          <w:szCs w:val="24"/>
          <w:lang w:val="en-US"/>
        </w:rPr>
        <w:t xml:space="preserve"> (MLNs)</w:t>
      </w:r>
      <w:r w:rsidR="00852F79" w:rsidRPr="001F1399">
        <w:rPr>
          <w:rFonts w:ascii="Book Antiqua" w:hAnsi="Book Antiqua"/>
          <w:sz w:val="24"/>
          <w:szCs w:val="24"/>
          <w:lang w:val="en-US"/>
        </w:rPr>
        <w:t>, occurs before birth. However, their size and development of germinal centers depend on the postnatal microbial colonization</w:t>
      </w:r>
      <w:r w:rsidR="00C07929" w:rsidRPr="001F1399">
        <w:rPr>
          <w:rFonts w:ascii="Book Antiqua" w:hAnsi="Book Antiqua"/>
          <w:sz w:val="24"/>
          <w:szCs w:val="24"/>
          <w:lang w:val="en-US"/>
        </w:rPr>
        <w:fldChar w:fldCharType="begin" w:fldLock="1"/>
      </w:r>
      <w:r w:rsidR="00B1214D" w:rsidRPr="001F1399">
        <w:rPr>
          <w:rFonts w:ascii="Book Antiqua" w:hAnsi="Book Antiqua"/>
          <w:sz w:val="24"/>
          <w:szCs w:val="24"/>
          <w:lang w:val="en-US"/>
        </w:rPr>
        <w:instrText>ADDIN CSL_CITATION {"citationItems":[{"id":"ITEM-1","itemData":{"DOI":"10.1038/nri2832","ISSN":"1474-1741","PMID":"20706277","abstract":"Secondary lymphoid organs are important locations for the initiation of adaptive immune responses. They develop before birth, and their formation requires interaction between lymphotoxin-α</w:instrText>
      </w:r>
      <w:r w:rsidR="00B1214D" w:rsidRPr="001F1399">
        <w:rPr>
          <w:rFonts w:ascii="Cambria Math" w:hAnsi="Cambria Math" w:cs="Cambria Math"/>
          <w:sz w:val="24"/>
          <w:szCs w:val="24"/>
          <w:lang w:val="en-US"/>
        </w:rPr>
        <w:instrText>₁</w:instrText>
      </w:r>
      <w:r w:rsidR="00B1214D" w:rsidRPr="001F1399">
        <w:rPr>
          <w:rFonts w:ascii="Book Antiqua" w:hAnsi="Book Antiqua" w:cs="Book Antiqua"/>
          <w:sz w:val="24"/>
          <w:szCs w:val="24"/>
          <w:lang w:val="en-US"/>
        </w:rPr>
        <w:instrText>ß</w:instrText>
      </w:r>
      <w:r w:rsidR="00B1214D" w:rsidRPr="001F1399">
        <w:rPr>
          <w:rFonts w:ascii="Cambria Math" w:hAnsi="Cambria Math" w:cs="Cambria Math"/>
          <w:sz w:val="24"/>
          <w:szCs w:val="24"/>
          <w:lang w:val="en-US"/>
        </w:rPr>
        <w:instrText>₂</w:instrText>
      </w:r>
      <w:r w:rsidR="00B1214D" w:rsidRPr="001F1399">
        <w:rPr>
          <w:rFonts w:ascii="Book Antiqua" w:hAnsi="Book Antiqua"/>
          <w:sz w:val="24"/>
          <w:szCs w:val="24"/>
          <w:lang w:val="en-US"/>
        </w:rPr>
        <w:instrText>-expressing lymphoid-tissue inducer cells and lymphotoxin-</w:instrText>
      </w:r>
      <w:r w:rsidR="00B1214D" w:rsidRPr="001F1399">
        <w:rPr>
          <w:rFonts w:ascii="Book Antiqua" w:hAnsi="Book Antiqua" w:cs="Book Antiqua"/>
          <w:sz w:val="24"/>
          <w:szCs w:val="24"/>
          <w:lang w:val="en-US"/>
        </w:rPr>
        <w:instrText>ß</w:instrText>
      </w:r>
      <w:r w:rsidR="00B1214D" w:rsidRPr="001F1399">
        <w:rPr>
          <w:rFonts w:ascii="Book Antiqua" w:hAnsi="Book Antiqua"/>
          <w:sz w:val="24"/>
          <w:szCs w:val="24"/>
          <w:lang w:val="en-US"/>
        </w:rPr>
        <w:instrText xml:space="preserve"> receptor-expressing stromal organizer cells. Here, we discuss new insights into the earliest phases of peripheral lymph node and Peyer's patch formation that occur before lymphotoxin-ß receptor signalling and suggest a role for the developing nervous system. In addition, we discuss the differing requirements for the postnatal formation of mucosa-associated lymphoid tissues and tertiary lymphoid structures that develop at sites of chronic inflammation.","author":[{"dropping-particle":"","family":"Pavert","given":"Serge A.","non-dropping-particle":"van de","parse-names":false,"suffix":""},{"dropping-particle":"","family":"Mebius","given":"Reina E.","non-dropping-particle":"","parse-names":false,"suffix":""}],"container-title":"Nature reviews. Immunology","id":"ITEM-1","issue":"9","issued":{"date-parts":[["2010","9","13"]]},"page":"664-74","title":"New insights into the development of lymphoid tissues.","type":"article-journal","volume":"10"},"uris":["http://www.mendeley.com/documents/?uuid=abf47830-e2a6-47b9-80a9-5b5a42d93d60"]},{"id":"ITEM-2","itemData":{"DOI":"10.2350/08-09-0533.1","ISSN":"1093-5266","PMID":"19203136","author":[{"dropping-particle":"","family":"Weitkamp","given":"Jörn-Hendrik","non-dropping-particle":"","parse-names":false,"suffix":""},{"dropping-particle":"","family":"Rudzinski","given":"Erin","non-dropping-particle":"","parse-names":false,"suffix":""},{"dropping-particle":"","family":"Koyama","given":"Tatsuki","non-dropping-particle":"","parse-names":false,"suffix":""},{"dropping-particle":"","family":"Correa","given":"Hernan","non-dropping-particle":"","parse-names":false,"suffix":""},{"dropping-particle":"","family":"Matta","given":"Pranathi","non-dropping-particle":"","parse-names":false,"suffix":""},{"dropping-particle":"","family":"Alberty","given":"Brannon","non-dropping-particle":"","parse-names":false,"suffix":""},{"dropping-particle":"","family":"Polk","given":"D-Brent","non-dropping-particle":"","parse-names":false,"suffix":""}],"container-title":"Pediatric and Developmental Pathology","id":"ITEM-2","issue":"6","issued":{"date-parts":[["2009","12"]]},"page":"443-449","title":"Ontogeny of FOXP3 + Regulatory T Cells in the Postnatal Human Small Intestinal and Large Intestinal Lamina Propria","type":"article-journal","volume":"12"},"uris":["http://www.mendeley.com/documents/?uuid=64e9340e-17bc-409a-b312-6b3306c3c289"]}],"mendeley":{"formattedCitation":"&lt;sup&gt;[27,28]&lt;/sup&gt;","plainTextFormattedCitation":"[27,28]","previouslyFormattedCitation":"&lt;sup&gt;[26,27]&lt;/sup&gt;"},"properties":{"noteIndex":0},"schema":"https://github.com/citation-style-language/schema/raw/master/csl-citation.json"}</w:instrText>
      </w:r>
      <w:r w:rsidR="00C07929"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lang w:val="en-US"/>
        </w:rPr>
        <w:t>[27,28]</w:t>
      </w:r>
      <w:r w:rsidR="00C07929" w:rsidRPr="001F1399">
        <w:rPr>
          <w:rFonts w:ascii="Book Antiqua" w:hAnsi="Book Antiqua"/>
          <w:sz w:val="24"/>
          <w:szCs w:val="24"/>
          <w:lang w:val="en-US"/>
        </w:rPr>
        <w:fldChar w:fldCharType="end"/>
      </w:r>
      <w:r w:rsidR="00C07929" w:rsidRPr="001F1399">
        <w:rPr>
          <w:rFonts w:ascii="Book Antiqua" w:hAnsi="Book Antiqua"/>
          <w:sz w:val="24"/>
          <w:szCs w:val="24"/>
          <w:lang w:val="en-US"/>
        </w:rPr>
        <w:t xml:space="preserve">. </w:t>
      </w:r>
      <w:r w:rsidR="00C1146D" w:rsidRPr="001F1399">
        <w:rPr>
          <w:rFonts w:ascii="Book Antiqua" w:hAnsi="Book Antiqua"/>
          <w:sz w:val="24"/>
          <w:szCs w:val="24"/>
          <w:lang w:val="en-US"/>
        </w:rPr>
        <w:t xml:space="preserve">Myeloid-derived cells, such as macrophages, dendritic cells </w:t>
      </w:r>
      <w:r w:rsidR="002D537C" w:rsidRPr="001F1399">
        <w:rPr>
          <w:rFonts w:ascii="Book Antiqua" w:hAnsi="Book Antiqua"/>
          <w:sz w:val="24"/>
          <w:szCs w:val="24"/>
          <w:lang w:val="en-US"/>
        </w:rPr>
        <w:t xml:space="preserve">(DCs) </w:t>
      </w:r>
      <w:r w:rsidR="00C1146D" w:rsidRPr="001F1399">
        <w:rPr>
          <w:rFonts w:ascii="Book Antiqua" w:hAnsi="Book Antiqua"/>
          <w:sz w:val="24"/>
          <w:szCs w:val="24"/>
          <w:lang w:val="en-US"/>
        </w:rPr>
        <w:t xml:space="preserve">or brain microglial cells, begin to populate the </w:t>
      </w:r>
      <w:r w:rsidR="00C1146D" w:rsidRPr="001F1399">
        <w:rPr>
          <w:rFonts w:ascii="Book Antiqua" w:hAnsi="Book Antiqua"/>
          <w:sz w:val="24"/>
          <w:szCs w:val="24"/>
          <w:lang w:val="en-US"/>
        </w:rPr>
        <w:lastRenderedPageBreak/>
        <w:t>tissues as early as gestational weeks 4 to 7 and continue to increase in number throughout the second trimester</w:t>
      </w:r>
      <w:r w:rsidR="00E4535C" w:rsidRPr="001F1399">
        <w:rPr>
          <w:rFonts w:ascii="Book Antiqua" w:hAnsi="Book Antiqua"/>
          <w:sz w:val="24"/>
          <w:szCs w:val="24"/>
          <w:lang w:val="en-US"/>
        </w:rPr>
        <w:fldChar w:fldCharType="begin" w:fldLock="1"/>
      </w:r>
      <w:r w:rsidR="00B1214D" w:rsidRPr="001F1399">
        <w:rPr>
          <w:rFonts w:ascii="Book Antiqua" w:hAnsi="Book Antiqua"/>
          <w:sz w:val="24"/>
          <w:szCs w:val="24"/>
          <w:lang w:val="en-US"/>
        </w:rPr>
        <w:instrText>ADDIN CSL_CITATION {"citationItems":[{"id":"ITEM-1","itemData":{"author":[{"dropping-particle":"","family":"Leibnitz","given":"R.","non-dropping-particle":"","parse-names":false,"suffix":""}],"container-title":"Developmental Immunotoxicology","edition":"CRC","editor":[{"dropping-particle":"","family":"Holladay","given":"S","non-dropping-particle":"","parse-names":false,"suffix":""}],"id":"ITEM-1","issued":{"date-parts":[["2005"]]},"page":"21–44","publisher-place":"Boca Raton, FL","title":"Development of the human immune system","type":"chapter"},"uris":["http://www.mendeley.com/documents/?uuid=23ab007b-a58b-4fdd-9d53-9abe3f64c441"]}],"mendeley":{"formattedCitation":"&lt;sup&gt;[29]&lt;/sup&gt;","plainTextFormattedCitation":"[29]","previouslyFormattedCitation":"&lt;sup&gt;[28]&lt;/sup&gt;"},"properties":{"noteIndex":0},"schema":"https://github.com/citation-style-language/schema/raw/master/csl-citation.json"}</w:instrText>
      </w:r>
      <w:r w:rsidR="00E4535C"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lang w:val="en-US"/>
        </w:rPr>
        <w:t>[29]</w:t>
      </w:r>
      <w:r w:rsidR="00E4535C" w:rsidRPr="001F1399">
        <w:rPr>
          <w:rFonts w:ascii="Book Antiqua" w:hAnsi="Book Antiqua"/>
          <w:sz w:val="24"/>
          <w:szCs w:val="24"/>
          <w:lang w:val="en-US"/>
        </w:rPr>
        <w:fldChar w:fldCharType="end"/>
      </w:r>
      <w:r w:rsidR="000A7E75" w:rsidRPr="001F1399">
        <w:rPr>
          <w:rFonts w:ascii="Book Antiqua" w:hAnsi="Book Antiqua"/>
          <w:sz w:val="24"/>
          <w:szCs w:val="24"/>
          <w:lang w:val="en-US"/>
        </w:rPr>
        <w:t>. Then from week 8 to 18, the thymus will be populated by lymphoid cells through the process of lymphocyte maturation and positive and negative selection (central tolerance). The population will continue to expand within the thymus as gestation proceeds</w:t>
      </w:r>
      <w:r w:rsidR="008B4E80" w:rsidRPr="001F1399">
        <w:rPr>
          <w:rFonts w:ascii="Book Antiqua" w:hAnsi="Book Antiqua"/>
          <w:sz w:val="24"/>
          <w:szCs w:val="24"/>
          <w:lang w:val="en-US"/>
        </w:rPr>
        <w:fldChar w:fldCharType="begin" w:fldLock="1"/>
      </w:r>
      <w:r w:rsidR="00B1214D" w:rsidRPr="001F1399">
        <w:rPr>
          <w:rFonts w:ascii="Book Antiqua" w:hAnsi="Book Antiqua"/>
          <w:sz w:val="24"/>
          <w:szCs w:val="24"/>
          <w:lang w:val="en-US"/>
        </w:rPr>
        <w:instrText>ADDIN CSL_CITATION {"citationItems":[{"id":"ITEM-1","itemData":{"author":[{"dropping-particle":"","family":"Leibnitz","given":"R.","non-dropping-particle":"","parse-names":false,"suffix":""}],"container-title":"Developmental Immunotoxicology","edition":"CRC","editor":[{"dropping-particle":"","family":"Holladay","given":"S","non-dropping-particle":"","parse-names":false,"suffix":""}],"id":"ITEM-1","issued":{"date-parts":[["2005"]]},"page":"21–44","publisher-place":"Boca Raton, FL","title":"Development of the human immune system","type":"chapter"},"uris":["http://www.mendeley.com/documents/?uuid=23ab007b-a58b-4fdd-9d53-9abe3f64c441"]}],"mendeley":{"formattedCitation":"&lt;sup&gt;[29]&lt;/sup&gt;","plainTextFormattedCitation":"[29]","previouslyFormattedCitation":"&lt;sup&gt;[28]&lt;/sup&gt;"},"properties":{"noteIndex":0},"schema":"https://github.com/citation-style-language/schema/raw/master/csl-citation.json"}</w:instrText>
      </w:r>
      <w:r w:rsidR="008B4E80"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lang w:val="en-US"/>
        </w:rPr>
        <w:t>[29]</w:t>
      </w:r>
      <w:r w:rsidR="008B4E80" w:rsidRPr="001F1399">
        <w:rPr>
          <w:rFonts w:ascii="Book Antiqua" w:hAnsi="Book Antiqua"/>
          <w:sz w:val="24"/>
          <w:szCs w:val="24"/>
          <w:lang w:val="en-US"/>
        </w:rPr>
        <w:fldChar w:fldCharType="end"/>
      </w:r>
      <w:r w:rsidR="008B4E80" w:rsidRPr="001F1399">
        <w:rPr>
          <w:rFonts w:ascii="Book Antiqua" w:hAnsi="Book Antiqua"/>
          <w:sz w:val="24"/>
          <w:szCs w:val="24"/>
          <w:lang w:val="en-US"/>
        </w:rPr>
        <w:t xml:space="preserve">. </w:t>
      </w:r>
      <w:r w:rsidR="007664EA" w:rsidRPr="001F1399">
        <w:rPr>
          <w:rFonts w:ascii="Book Antiqua" w:hAnsi="Book Antiqua"/>
          <w:sz w:val="24"/>
          <w:szCs w:val="24"/>
          <w:lang w:val="en-US"/>
        </w:rPr>
        <w:t>The first mature T cells are seen in peripheral tissues between weeks 10 and 12 of gestation and a significant number are circulating at the end of the second trimester</w:t>
      </w:r>
      <w:r w:rsidR="007664EA" w:rsidRPr="001F1399">
        <w:rPr>
          <w:rFonts w:ascii="Book Antiqua" w:hAnsi="Book Antiqua"/>
          <w:sz w:val="24"/>
          <w:szCs w:val="24"/>
          <w:lang w:val="en-US"/>
        </w:rPr>
        <w:fldChar w:fldCharType="begin" w:fldLock="1"/>
      </w:r>
      <w:r w:rsidR="00B1214D" w:rsidRPr="001F1399">
        <w:rPr>
          <w:rFonts w:ascii="Book Antiqua" w:hAnsi="Book Antiqua"/>
          <w:sz w:val="24"/>
          <w:szCs w:val="24"/>
          <w:lang w:val="en-US"/>
        </w:rPr>
        <w:instrText>ADDIN CSL_CITATION {"citationItems":[{"id":"ITEM-1","itemData":{"author":[{"dropping-particle":"","family":"Mold","given":"JE","non-dropping-particle":"","parse-names":false,"suffix":""},{"dropping-particle":"","family":"McCune","given":"JM","non-dropping-particle":"","parse-names":false,"suffix":""}],"container-title":"Advances in Immunology","edition":"Academic P","editor":[{"dropping-particle":"","family":"Frederick","given":"WA","non-dropping-particle":"","parse-names":false,"suffix":""}],"id":"ITEM-1","issued":{"date-parts":[["2012"]]},"page":"73–112","publisher-place":"Boston, MA","title":"Immunological tolerance during fetal development: from mouse to man","type":"chapter"},"uris":["http://www.mendeley.com/documents/?uuid=7b0bcfa0-b44e-4cb9-8cb1-14bdcd63e74d"]}],"mendeley":{"formattedCitation":"&lt;sup&gt;[30]&lt;/sup&gt;","plainTextFormattedCitation":"[30]","previouslyFormattedCitation":"&lt;sup&gt;[29]&lt;/sup&gt;"},"properties":{"noteIndex":0},"schema":"https://github.com/citation-style-language/schema/raw/master/csl-citation.json"}</w:instrText>
      </w:r>
      <w:r w:rsidR="007664EA"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lang w:val="en-US"/>
        </w:rPr>
        <w:t>[30]</w:t>
      </w:r>
      <w:r w:rsidR="007664EA" w:rsidRPr="001F1399">
        <w:rPr>
          <w:rFonts w:ascii="Book Antiqua" w:hAnsi="Book Antiqua"/>
          <w:sz w:val="24"/>
          <w:szCs w:val="24"/>
          <w:lang w:val="en-US"/>
        </w:rPr>
        <w:fldChar w:fldCharType="end"/>
      </w:r>
      <w:r w:rsidR="007664EA" w:rsidRPr="001F1399">
        <w:rPr>
          <w:rFonts w:ascii="Book Antiqua" w:hAnsi="Book Antiqua"/>
          <w:sz w:val="24"/>
          <w:szCs w:val="24"/>
          <w:lang w:val="en-US"/>
        </w:rPr>
        <w:t xml:space="preserve">. </w:t>
      </w:r>
      <w:r w:rsidR="00C07929" w:rsidRPr="001F1399">
        <w:rPr>
          <w:rFonts w:ascii="Book Antiqua" w:hAnsi="Book Antiqua"/>
          <w:sz w:val="24"/>
          <w:szCs w:val="24"/>
          <w:lang w:val="en-US"/>
        </w:rPr>
        <w:t xml:space="preserve">In mice, innate cells such as lymphoid tissue induced cells, natural killer cells or T helper 2 like cells, migrate from fetal liver to the gut mucosa thanks </w:t>
      </w:r>
      <w:r w:rsidR="00C1146D" w:rsidRPr="001F1399">
        <w:rPr>
          <w:rFonts w:ascii="Book Antiqua" w:hAnsi="Book Antiqua"/>
          <w:sz w:val="24"/>
          <w:szCs w:val="24"/>
          <w:lang w:val="en-US"/>
        </w:rPr>
        <w:t>to</w:t>
      </w:r>
      <w:r w:rsidR="00C07929" w:rsidRPr="001F1399">
        <w:rPr>
          <w:rFonts w:ascii="Book Antiqua" w:hAnsi="Book Antiqua"/>
          <w:sz w:val="24"/>
          <w:szCs w:val="24"/>
          <w:lang w:val="en-US"/>
        </w:rPr>
        <w:t xml:space="preserve"> endogenous signals within the first 4 wk after birth</w:t>
      </w:r>
      <w:r w:rsidR="009B257B" w:rsidRPr="001F1399">
        <w:rPr>
          <w:rFonts w:ascii="Book Antiqua" w:hAnsi="Book Antiqua"/>
          <w:sz w:val="24"/>
          <w:szCs w:val="24"/>
          <w:lang w:val="en-US"/>
        </w:rPr>
        <w:fldChar w:fldCharType="begin" w:fldLock="1"/>
      </w:r>
      <w:r w:rsidR="00B1214D" w:rsidRPr="001F1399">
        <w:rPr>
          <w:rFonts w:ascii="Book Antiqua" w:hAnsi="Book Antiqua"/>
          <w:sz w:val="24"/>
          <w:szCs w:val="24"/>
          <w:lang w:val="en-US"/>
        </w:rPr>
        <w:instrText>ADDIN CSL_CITATION {"citationItems":[{"id":"ITEM-1","itemData":{"DOI":"10.1126/science.1194597","ISSN":"0036-8075","PMID":"20929731","author":[{"dropping-particle":"","family":"Sawa","given":"Shinichiro","non-dropping-particle":"","parse-names":false,"suffix":""},{"dropping-particle":"","family":"Cherrier","given":"Marie","non-dropping-particle":"","parse-names":false,"suffix":""},{"dropping-particle":"","family":"Lochner","given":"Matthias","non-dropping-particle":"","parse-names":false,"suffix":""},{"dropping-particle":"","family":"Satoh-Takayama","given":"Naoko","non-dropping-particle":"","parse-names":false,"suffix":""},{"dropping-particle":"","family":"Fehling","given":"Hans Jörg","non-dropping-particle":"","parse-names":false,"suffix":""},{"dropping-particle":"","family":"Langa","given":"Francina","non-dropping-particle":"","parse-names":false,"suffix":""},{"dropping-particle":"","family":"Santo","given":"James P.","non-dropping-particle":"Di","parse-names":false,"suffix":""},{"dropping-particle":"","family":"Eberl","given":"Gérard","non-dropping-particle":"","parse-names":false,"suffix":""}],"container-title":"Science","id":"ITEM-1","issue":"6004","issued":{"date-parts":[["2010","10","29"]]},"page":"665-669","title":"Lineage Relationship Analysis of RORγt + Innate Lymphoid Cells","type":"article-journal","volume":"330"},"uris":["http://www.mendeley.com/documents/?uuid=11a5c77b-1d6f-4825-8ac5-f4f381921d68"]}],"mendeley":{"formattedCitation":"&lt;sup&gt;[31]&lt;/sup&gt;","plainTextFormattedCitation":"[31]","previouslyFormattedCitation":"&lt;sup&gt;[30]&lt;/sup&gt;"},"properties":{"noteIndex":0},"schema":"https://github.com/citation-style-language/schema/raw/master/csl-citation.json"}</w:instrText>
      </w:r>
      <w:r w:rsidR="009B257B"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lang w:val="en-US"/>
        </w:rPr>
        <w:t>[31]</w:t>
      </w:r>
      <w:r w:rsidR="009B257B" w:rsidRPr="001F1399">
        <w:rPr>
          <w:rFonts w:ascii="Book Antiqua" w:hAnsi="Book Antiqua"/>
          <w:sz w:val="24"/>
          <w:szCs w:val="24"/>
          <w:lang w:val="en-US"/>
        </w:rPr>
        <w:fldChar w:fldCharType="end"/>
      </w:r>
      <w:r w:rsidR="00C07929" w:rsidRPr="001F1399">
        <w:rPr>
          <w:rFonts w:ascii="Book Antiqua" w:hAnsi="Book Antiqua"/>
          <w:sz w:val="24"/>
          <w:szCs w:val="24"/>
          <w:lang w:val="en-US"/>
        </w:rPr>
        <w:t>. Bacterial colonization will stimulate the recruitment of forkhead box protein 3 (FOXP3) and regulatory T cells (</w:t>
      </w:r>
      <w:r w:rsidR="00DD6AA6" w:rsidRPr="001F1399">
        <w:rPr>
          <w:rFonts w:ascii="Book Antiqua" w:hAnsi="Book Antiqua"/>
          <w:sz w:val="24"/>
          <w:szCs w:val="24"/>
          <w:lang w:val="en-US"/>
        </w:rPr>
        <w:t>Treg</w:t>
      </w:r>
      <w:r w:rsidR="00C07929" w:rsidRPr="001F1399">
        <w:rPr>
          <w:rFonts w:ascii="Book Antiqua" w:hAnsi="Book Antiqua"/>
          <w:sz w:val="24"/>
          <w:szCs w:val="24"/>
          <w:lang w:val="en-US"/>
        </w:rPr>
        <w:t xml:space="preserve">) to the gut mucosa </w:t>
      </w:r>
      <w:r w:rsidR="00DF3B11" w:rsidRPr="001F1399">
        <w:rPr>
          <w:rFonts w:ascii="Book Antiqua" w:hAnsi="Book Antiqua"/>
          <w:sz w:val="24"/>
          <w:szCs w:val="24"/>
          <w:lang w:val="en-US"/>
        </w:rPr>
        <w:t xml:space="preserve">and secretion of the anti-inflammatory cytokine </w:t>
      </w:r>
      <w:r w:rsidR="005F1373" w:rsidRPr="001F1399">
        <w:rPr>
          <w:rFonts w:ascii="Book Antiqua" w:hAnsi="Book Antiqua"/>
          <w:sz w:val="24"/>
          <w:szCs w:val="24"/>
          <w:lang w:val="en-US"/>
        </w:rPr>
        <w:t>interleukin-10 (</w:t>
      </w:r>
      <w:r w:rsidR="00DF3B11" w:rsidRPr="001F1399">
        <w:rPr>
          <w:rFonts w:ascii="Book Antiqua" w:hAnsi="Book Antiqua"/>
          <w:sz w:val="24"/>
          <w:szCs w:val="24"/>
          <w:lang w:val="en-US"/>
        </w:rPr>
        <w:t>IL-10</w:t>
      </w:r>
      <w:r w:rsidR="005F1373" w:rsidRPr="001F1399">
        <w:rPr>
          <w:rFonts w:ascii="Book Antiqua" w:hAnsi="Book Antiqua"/>
          <w:sz w:val="24"/>
          <w:szCs w:val="24"/>
          <w:lang w:val="en-US"/>
        </w:rPr>
        <w:t>)</w:t>
      </w:r>
      <w:r w:rsidR="00DF2989" w:rsidRPr="001F1399">
        <w:rPr>
          <w:rFonts w:ascii="Book Antiqua" w:hAnsi="Book Antiqua"/>
          <w:sz w:val="24"/>
          <w:szCs w:val="24"/>
          <w:lang w:val="en-US"/>
        </w:rPr>
        <w:fldChar w:fldCharType="begin" w:fldLock="1"/>
      </w:r>
      <w:r w:rsidR="00B1214D" w:rsidRPr="001F1399">
        <w:rPr>
          <w:rFonts w:ascii="Book Antiqua" w:hAnsi="Book Antiqua"/>
          <w:sz w:val="24"/>
          <w:szCs w:val="24"/>
          <w:lang w:val="en-US"/>
        </w:rPr>
        <w:instrText>ADDIN CSL_CITATION {"citationItems":[{"id":"ITEM-1","itemData":{"DOI":"10.1126/science.1194597","ISSN":"0036-8075","PMID":"20929731","author":[{"dropping-particle":"","family":"Sawa","given":"Shinichiro","non-dropping-particle":"","parse-names":false,"suffix":""},{"dropping-particle":"","family":"Cherrier","given":"Marie","non-dropping-particle":"","parse-names":false,"suffix":""},{"dropping-particle":"","family":"Lochner","given":"Matthias","non-dropping-particle":"","parse-names":false,"suffix":""},{"dropping-particle":"","family":"Satoh-Takayama","given":"Naoko","non-dropping-particle":"","parse-names":false,"suffix":""},{"dropping-particle":"","family":"Fehling","given":"Hans Jörg","non-dropping-particle":"","parse-names":false,"suffix":""},{"dropping-particle":"","family":"Langa","given":"Francina","non-dropping-particle":"","parse-names":false,"suffix":""},{"dropping-particle":"","family":"Santo","given":"James P.","non-dropping-particle":"Di","parse-names":false,"suffix":""},{"dropping-particle":"","family":"Eberl","given":"Gérard","non-dropping-particle":"","parse-names":false,"suffix":""}],"container-title":"Science","id":"ITEM-1","issue":"6004","issued":{"date-parts":[["2010","10","29"]]},"page":"665-669","title":"Lineage Relationship Analysis of RORγt + Innate Lymphoid Cells","type":"article-journal","volume":"330"},"uris":["http://www.mendeley.com/documents/?uuid=11a5c77b-1d6f-4825-8ac5-f4f381921d68"]},{"id":"ITEM-2","itemData":{"DOI":"10.1126/science.1206095","ISSN":"0036-8075","PMID":"21512004","author":[{"dropping-particle":"","family":"Round","given":"J. L.","non-dropping-particle":"","parse-names":false,"suffix":""},{"dropping-particle":"","family":"Lee","given":"S. M.","non-dropping-particle":"","parse-names":false,"suffix":""},{"dropping-particle":"","family":"Li","given":"J.","non-dropping-particle":"","parse-names":false,"suffix":""},{"dropping-particle":"","family":"Tran","given":"G.","non-dropping-particle":"","parse-names":false,"suffix":""},{"dropping-particle":"","family":"Jabri","given":"B.","non-dropping-particle":"","parse-names":false,"suffix":""},{"dropping-particle":"","family":"Chatila","given":"T. A.","non-dropping-particle":"","parse-names":false,"suffix":""},{"dropping-particle":"","family":"Mazmanian","given":"S. K.","non-dropping-particle":"","parse-names":false,"suffix":""}],"container-title":"Science","id":"ITEM-2","issue":"6032","issued":{"date-parts":[["2011","5","20"]]},"page":"974-977","title":"The Toll-Like Receptor 2 Pathway Establishes Colonization by a Commensal of the Human Microbiota","type":"article-journal","volume":"332"},"uris":["http://www.mendeley.com/documents/?uuid=6999ca4e-bed8-4579-946e-535e5cadb702"]}],"mendeley":{"formattedCitation":"&lt;sup&gt;[31,32]&lt;/sup&gt;","plainTextFormattedCitation":"[31,32]","previouslyFormattedCitation":"&lt;sup&gt;[30,31]&lt;/sup&gt;"},"properties":{"noteIndex":0},"schema":"https://github.com/citation-style-language/schema/raw/master/csl-citation.json"}</w:instrText>
      </w:r>
      <w:r w:rsidR="00DF2989"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lang w:val="en-US"/>
        </w:rPr>
        <w:t>[31,32]</w:t>
      </w:r>
      <w:r w:rsidR="00DF2989" w:rsidRPr="001F1399">
        <w:rPr>
          <w:rFonts w:ascii="Book Antiqua" w:hAnsi="Book Antiqua"/>
          <w:sz w:val="24"/>
          <w:szCs w:val="24"/>
          <w:lang w:val="en-US"/>
        </w:rPr>
        <w:fldChar w:fldCharType="end"/>
      </w:r>
      <w:r w:rsidR="00DF3B11" w:rsidRPr="001F1399">
        <w:rPr>
          <w:rFonts w:ascii="Book Antiqua" w:hAnsi="Book Antiqua"/>
          <w:sz w:val="24"/>
          <w:szCs w:val="24"/>
          <w:lang w:val="en-US"/>
        </w:rPr>
        <w:t xml:space="preserve">. By this mechanism, </w:t>
      </w:r>
      <w:r w:rsidR="00DD6AA6" w:rsidRPr="001F1399">
        <w:rPr>
          <w:rFonts w:ascii="Book Antiqua" w:hAnsi="Book Antiqua"/>
          <w:sz w:val="24"/>
          <w:szCs w:val="24"/>
          <w:lang w:val="en-US"/>
        </w:rPr>
        <w:t>Treg</w:t>
      </w:r>
      <w:r w:rsidR="00DF3B11" w:rsidRPr="001F1399">
        <w:rPr>
          <w:rFonts w:ascii="Book Antiqua" w:hAnsi="Book Antiqua"/>
          <w:sz w:val="24"/>
          <w:szCs w:val="24"/>
          <w:lang w:val="en-US"/>
        </w:rPr>
        <w:t xml:space="preserve"> cells keep pro-inflammatory T</w:t>
      </w:r>
      <w:r w:rsidR="00475BF5" w:rsidRPr="001F1399">
        <w:rPr>
          <w:rFonts w:ascii="Book Antiqua" w:hAnsi="Book Antiqua"/>
          <w:sz w:val="24"/>
          <w:szCs w:val="24"/>
          <w:lang w:val="en-US"/>
        </w:rPr>
        <w:t>h</w:t>
      </w:r>
      <w:r w:rsidR="00DF3B11" w:rsidRPr="001F1399">
        <w:rPr>
          <w:rFonts w:ascii="Book Antiqua" w:hAnsi="Book Antiqua"/>
          <w:sz w:val="24"/>
          <w:szCs w:val="24"/>
          <w:lang w:val="en-US"/>
        </w:rPr>
        <w:t xml:space="preserve"> cells under control to preserve the epithelial barrier. </w:t>
      </w:r>
      <w:r w:rsidR="0035048E" w:rsidRPr="001F1399">
        <w:rPr>
          <w:rFonts w:ascii="Book Antiqua" w:hAnsi="Book Antiqua"/>
          <w:sz w:val="24"/>
          <w:szCs w:val="24"/>
          <w:lang w:val="en-US"/>
        </w:rPr>
        <w:t xml:space="preserve">It has been observed a great abundance of </w:t>
      </w:r>
      <w:r w:rsidR="00DD6AA6" w:rsidRPr="001F1399">
        <w:rPr>
          <w:rFonts w:ascii="Book Antiqua" w:hAnsi="Book Antiqua"/>
          <w:sz w:val="24"/>
          <w:szCs w:val="24"/>
          <w:lang w:val="en-US"/>
        </w:rPr>
        <w:t>Treg</w:t>
      </w:r>
      <w:r w:rsidR="0035048E" w:rsidRPr="001F1399">
        <w:rPr>
          <w:rFonts w:ascii="Book Antiqua" w:hAnsi="Book Antiqua"/>
          <w:sz w:val="24"/>
          <w:szCs w:val="24"/>
          <w:lang w:val="en-US"/>
        </w:rPr>
        <w:t xml:space="preserve"> cells in human fetal </w:t>
      </w:r>
      <w:r w:rsidR="00322E8A" w:rsidRPr="001F1399">
        <w:rPr>
          <w:rFonts w:ascii="Book Antiqua" w:hAnsi="Book Antiqua"/>
          <w:sz w:val="24"/>
          <w:szCs w:val="24"/>
          <w:lang w:val="en-US"/>
        </w:rPr>
        <w:t>MLN</w:t>
      </w:r>
      <w:r w:rsidR="0035048E" w:rsidRPr="001F1399">
        <w:rPr>
          <w:rFonts w:ascii="Book Antiqua" w:hAnsi="Book Antiqua"/>
          <w:sz w:val="24"/>
          <w:szCs w:val="24"/>
          <w:lang w:val="en-US"/>
        </w:rPr>
        <w:t>s</w:t>
      </w:r>
      <w:r w:rsidR="009B257B" w:rsidRPr="001F1399">
        <w:rPr>
          <w:rFonts w:ascii="Book Antiqua" w:hAnsi="Book Antiqua"/>
          <w:sz w:val="24"/>
          <w:szCs w:val="24"/>
          <w:lang w:val="en-US"/>
        </w:rPr>
        <w:fldChar w:fldCharType="begin" w:fldLock="1"/>
      </w:r>
      <w:r w:rsidR="00B1214D" w:rsidRPr="001F1399">
        <w:rPr>
          <w:rFonts w:ascii="Book Antiqua" w:hAnsi="Book Antiqua"/>
          <w:sz w:val="24"/>
          <w:szCs w:val="24"/>
          <w:lang w:val="en-US"/>
        </w:rPr>
        <w:instrText>ADDIN CSL_CITATION {"citationItems":[{"id":"ITEM-1","itemData":{"DOI":"10.4049/jimmunol.176.10.5741","ISSN":"0022-1767","PMID":"16670279","author":[{"dropping-particle":"","family":"Michaëlsson","given":"Jakob","non-dropping-particle":"","parse-names":false,"suffix":""},{"dropping-particle":"","family":"Mold","given":"Jeff E.","non-dropping-particle":"","parse-names":false,"suffix":""},{"dropping-particle":"","family":"McCune","given":"Joseph M.","non-dropping-particle":"","parse-names":false,"suffix":""},{"dropping-particle":"","family":"Nixon","given":"Douglas F.","non-dropping-particle":"","parse-names":false,"suffix":""}],"container-title":"The Journal of Immunology","id":"ITEM-1","issue":"10","issued":{"date-parts":[["2006","5","15"]]},"page":"5741-5748","title":"Regulation of T Cell Responses in the Developing Human Fetus","type":"article-journal","volume":"176"},"uris":["http://www.mendeley.com/documents/?uuid=795bc019-3b83-4c03-b980-91c3bb5a5f97"]}],"mendeley":{"formattedCitation":"&lt;sup&gt;[33]&lt;/sup&gt;","plainTextFormattedCitation":"[33]","previouslyFormattedCitation":"&lt;sup&gt;[32]&lt;/sup&gt;"},"properties":{"noteIndex":0},"schema":"https://github.com/citation-style-language/schema/raw/master/csl-citation.json"}</w:instrText>
      </w:r>
      <w:r w:rsidR="009B257B"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lang w:val="en-US"/>
        </w:rPr>
        <w:t>[33]</w:t>
      </w:r>
      <w:r w:rsidR="009B257B" w:rsidRPr="001F1399">
        <w:rPr>
          <w:rFonts w:ascii="Book Antiqua" w:hAnsi="Book Antiqua"/>
          <w:sz w:val="24"/>
          <w:szCs w:val="24"/>
          <w:lang w:val="en-US"/>
        </w:rPr>
        <w:fldChar w:fldCharType="end"/>
      </w:r>
      <w:r w:rsidR="0035048E" w:rsidRPr="001F1399">
        <w:rPr>
          <w:rFonts w:ascii="Book Antiqua" w:hAnsi="Book Antiqua"/>
          <w:sz w:val="24"/>
          <w:szCs w:val="24"/>
          <w:lang w:val="en-US"/>
        </w:rPr>
        <w:t xml:space="preserve"> and their homing seems to be particularly important in infancy</w:t>
      </w:r>
      <w:r w:rsidR="009B257B" w:rsidRPr="001F1399">
        <w:rPr>
          <w:rFonts w:ascii="Book Antiqua" w:hAnsi="Book Antiqua"/>
          <w:sz w:val="24"/>
          <w:szCs w:val="24"/>
          <w:lang w:val="en-US"/>
        </w:rPr>
        <w:fldChar w:fldCharType="begin" w:fldLock="1"/>
      </w:r>
      <w:r w:rsidR="00B1214D" w:rsidRPr="001F1399">
        <w:rPr>
          <w:rFonts w:ascii="Book Antiqua" w:hAnsi="Book Antiqua"/>
          <w:sz w:val="24"/>
          <w:szCs w:val="24"/>
          <w:lang w:val="en-US"/>
        </w:rPr>
        <w:instrText>ADDIN CSL_CITATION {"citationItems":[{"id":"ITEM-1","itemData":{"DOI":"10.4049/jimmunol.0901091","ISSN":"0022-1767","PMID":"19734224","author":[{"dropping-particle":"","family":"Grindebacke","given":"Hanna","non-dropping-particle":"","parse-names":false,"suffix":""},{"dropping-particle":"","family":"Stenstad","given":"Hanna","non-dropping-particle":"","parse-names":false,"suffix":""},{"dropping-particle":"","family":"Quiding-Järbrink","given":"Marianne","non-dropping-particle":"","parse-names":false,"suffix":""},{"dropping-particle":"","family":"Waldenström","given":"Jesper","non-dropping-particle":"","parse-names":false,"suffix":""},{"dropping-particle":"","family":"Adlerberth","given":"Ingegerd","non-dropping-particle":"","parse-names":false,"suffix":""},{"dropping-particle":"","family":"Wold","given":"Agnes E.","non-dropping-particle":"","parse-names":false,"suffix":""},{"dropping-particle":"","family":"Rudin","given":"Anna","non-dropping-particle":"","parse-names":false,"suffix":""}],"container-title":"The Journal of Immunology","id":"ITEM-1","issue":"7","issued":{"date-parts":[["2009","10","1"]]},"page":"4360-4370","title":"Dynamic Development of Homing Receptor Expression and Memory Cell Differentiation of Infant CD4 + CD25 high Regulatory T Cells","type":"article-journal","volume":"183"},"uris":["http://www.mendeley.com/documents/?uuid=e5ebc573-70fd-44fe-b907-f63766b718f1"]}],"mendeley":{"formattedCitation":"&lt;sup&gt;[34]&lt;/sup&gt;","plainTextFormattedCitation":"[34]","previouslyFormattedCitation":"&lt;sup&gt;[33]&lt;/sup&gt;"},"properties":{"noteIndex":0},"schema":"https://github.com/citation-style-language/schema/raw/master/csl-citation.json"}</w:instrText>
      </w:r>
      <w:r w:rsidR="009B257B"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lang w:val="en-US"/>
        </w:rPr>
        <w:t>[34]</w:t>
      </w:r>
      <w:r w:rsidR="009B257B" w:rsidRPr="001F1399">
        <w:rPr>
          <w:rFonts w:ascii="Book Antiqua" w:hAnsi="Book Antiqua"/>
          <w:sz w:val="24"/>
          <w:szCs w:val="24"/>
          <w:lang w:val="en-US"/>
        </w:rPr>
        <w:fldChar w:fldCharType="end"/>
      </w:r>
      <w:r w:rsidR="0035048E" w:rsidRPr="001F1399">
        <w:rPr>
          <w:rFonts w:ascii="Book Antiqua" w:hAnsi="Book Antiqua"/>
          <w:sz w:val="24"/>
          <w:szCs w:val="24"/>
          <w:lang w:val="en-US"/>
        </w:rPr>
        <w:t xml:space="preserve">. </w:t>
      </w:r>
      <w:r w:rsidR="00D51433" w:rsidRPr="001F1399">
        <w:rPr>
          <w:rFonts w:ascii="Book Antiqua" w:hAnsi="Book Antiqua"/>
          <w:i/>
          <w:sz w:val="24"/>
          <w:szCs w:val="24"/>
          <w:lang w:val="en-US"/>
        </w:rPr>
        <w:t>Bifidob</w:t>
      </w:r>
      <w:r w:rsidR="00F3039D" w:rsidRPr="001F1399">
        <w:rPr>
          <w:rFonts w:ascii="Book Antiqua" w:hAnsi="Book Antiqua"/>
          <w:i/>
          <w:sz w:val="24"/>
          <w:szCs w:val="24"/>
          <w:lang w:val="en-US"/>
        </w:rPr>
        <w:t>a</w:t>
      </w:r>
      <w:r w:rsidR="00D51433" w:rsidRPr="001F1399">
        <w:rPr>
          <w:rFonts w:ascii="Book Antiqua" w:hAnsi="Book Antiqua"/>
          <w:i/>
          <w:sz w:val="24"/>
          <w:szCs w:val="24"/>
          <w:lang w:val="en-US"/>
        </w:rPr>
        <w:t>cterium infantis</w:t>
      </w:r>
      <w:r w:rsidR="00F3039D" w:rsidRPr="001F1399">
        <w:rPr>
          <w:rFonts w:ascii="Book Antiqua" w:hAnsi="Book Antiqua"/>
          <w:sz w:val="24"/>
          <w:szCs w:val="24"/>
          <w:lang w:val="en-US"/>
        </w:rPr>
        <w:t xml:space="preserve">, largely present in the gut lumen, strongly induces FOXP3+ </w:t>
      </w:r>
      <w:r w:rsidR="00DD6AA6" w:rsidRPr="001F1399">
        <w:rPr>
          <w:rFonts w:ascii="Book Antiqua" w:hAnsi="Book Antiqua"/>
          <w:sz w:val="24"/>
          <w:szCs w:val="24"/>
          <w:lang w:val="en-US"/>
        </w:rPr>
        <w:t>Treg</w:t>
      </w:r>
      <w:r w:rsidR="00F3039D" w:rsidRPr="001F1399">
        <w:rPr>
          <w:rFonts w:ascii="Book Antiqua" w:hAnsi="Book Antiqua"/>
          <w:sz w:val="24"/>
          <w:szCs w:val="24"/>
          <w:lang w:val="en-US"/>
        </w:rPr>
        <w:t xml:space="preserve"> cells in human infants</w:t>
      </w:r>
      <w:r w:rsidR="00D76F2F" w:rsidRPr="001F1399">
        <w:rPr>
          <w:rFonts w:ascii="Book Antiqua" w:hAnsi="Book Antiqua"/>
          <w:sz w:val="24"/>
          <w:szCs w:val="24"/>
          <w:lang w:val="en-US"/>
        </w:rPr>
        <w:fldChar w:fldCharType="begin" w:fldLock="1"/>
      </w:r>
      <w:r w:rsidR="00B1214D" w:rsidRPr="001F1399">
        <w:rPr>
          <w:rFonts w:ascii="Book Antiqua" w:hAnsi="Book Antiqua"/>
          <w:sz w:val="24"/>
          <w:szCs w:val="24"/>
          <w:lang w:val="en-US"/>
        </w:rPr>
        <w:instrText>ADDIN CSL_CITATION {"citationItems":[{"id":"ITEM-1","itemData":{"DOI":"10.1371/journal.ppat.1000112","ISSN":"1553-7374","PMID":"18670628","author":[{"dropping-particle":"","family":"O'Mahony","given":"Caitlin","non-dropping-particle":"","parse-names":false,"suffix":""},{"dropping-particle":"","family":"Scully","given":"Paul","non-dropping-particle":"","parse-names":false,"suffix":""},{"dropping-particle":"","family":"O'Mahony","given":"David","non-dropping-particle":"","parse-names":false,"suffix":""},{"dropping-particle":"","family":"Murphy","given":"Sharon","non-dropping-particle":"","parse-names":false,"suffix":""},{"dropping-particle":"","family":"O'Brien","given":"Frances","non-dropping-particle":"","parse-names":false,"suffix":""},{"dropping-particle":"","family":"Lyons","given":"Anne","non-dropping-particle":"","parse-names":false,"suffix":""},{"dropping-particle":"","family":"Sherlock","given":"Graham","non-dropping-particle":"","parse-names":false,"suffix":""},{"dropping-particle":"","family":"MacSharry","given":"John","non-dropping-particle":"","parse-names":false,"suffix":""},{"dropping-particle":"","family":"Kiely","given":"Barry","non-dropping-particle":"","parse-names":false,"suffix":""},{"dropping-particle":"","family":"Shanahan","given":"Fergus","non-dropping-particle":"","parse-names":false,"suffix":""},{"dropping-particle":"","family":"O'Mahony","given":"Liam","non-dropping-particle":"","parse-names":false,"suffix":""}],"container-title":"PLoS Pathogens","editor":[{"dropping-particle":"","family":"Ausubel","given":"Frederick M.","non-dropping-particle":"","parse-names":false,"suffix":""}],"id":"ITEM-1","issue":"8","issued":{"date-parts":[["2008","8","1"]]},"page":"e1000112","title":"Commensal-Induced Regulatory T Cells Mediate Protection against Pathogen-Stimulated NF-κB Activation","type":"article-journal","volume":"4"},"uris":["http://www.mendeley.com/documents/?uuid=88a32d7e-8ae6-4902-afdb-d6681d6a4a27"]}],"mendeley":{"formattedCitation":"&lt;sup&gt;[35]&lt;/sup&gt;","plainTextFormattedCitation":"[35]","previouslyFormattedCitation":"&lt;sup&gt;[34]&lt;/sup&gt;"},"properties":{"noteIndex":0},"schema":"https://github.com/citation-style-language/schema/raw/master/csl-citation.json"}</w:instrText>
      </w:r>
      <w:r w:rsidR="00D76F2F"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lang w:val="en-US"/>
        </w:rPr>
        <w:t>[35]</w:t>
      </w:r>
      <w:r w:rsidR="00D76F2F" w:rsidRPr="001F1399">
        <w:rPr>
          <w:rFonts w:ascii="Book Antiqua" w:hAnsi="Book Antiqua"/>
          <w:sz w:val="24"/>
          <w:szCs w:val="24"/>
          <w:lang w:val="en-US"/>
        </w:rPr>
        <w:fldChar w:fldCharType="end"/>
      </w:r>
      <w:r w:rsidR="00D76F2F" w:rsidRPr="001F1399">
        <w:rPr>
          <w:rFonts w:ascii="Book Antiqua" w:hAnsi="Book Antiqua"/>
          <w:sz w:val="24"/>
          <w:szCs w:val="24"/>
          <w:lang w:val="en-US"/>
        </w:rPr>
        <w:t xml:space="preserve">. </w:t>
      </w:r>
      <w:r w:rsidR="00993231" w:rsidRPr="001F1399">
        <w:rPr>
          <w:rFonts w:ascii="Book Antiqua" w:hAnsi="Book Antiqua"/>
          <w:sz w:val="24"/>
          <w:szCs w:val="24"/>
          <w:lang w:val="en-US"/>
        </w:rPr>
        <w:t xml:space="preserve">Reversely, with the development of the innate immune response most of microorganisms colonizing the small intestine and the colon will be anaerobes. </w:t>
      </w:r>
      <w:r w:rsidR="00160275" w:rsidRPr="001F1399">
        <w:rPr>
          <w:rFonts w:ascii="Book Antiqua" w:hAnsi="Book Antiqua"/>
          <w:sz w:val="24"/>
          <w:szCs w:val="24"/>
          <w:lang w:val="en-US"/>
        </w:rPr>
        <w:t xml:space="preserve">The small intestinal mucosa </w:t>
      </w:r>
      <w:r w:rsidR="00424B2F" w:rsidRPr="001F1399">
        <w:rPr>
          <w:rFonts w:ascii="Book Antiqua" w:hAnsi="Book Antiqua"/>
          <w:sz w:val="24"/>
          <w:szCs w:val="24"/>
          <w:lang w:val="en-US"/>
        </w:rPr>
        <w:t>of human newborns has a mature crypt-villus architecture, with continuous stem cell proliferation, and epithelial cell migration and differentiation. Changes in the composition of antimicrobial peptides and in antibacterial activity during early postnatal period have also been observed in the intestinal lumen of human neonates</w:t>
      </w:r>
      <w:r w:rsidR="00C75B25" w:rsidRPr="001F1399">
        <w:rPr>
          <w:rFonts w:ascii="Book Antiqua" w:hAnsi="Book Antiqua"/>
          <w:sz w:val="24"/>
          <w:szCs w:val="24"/>
          <w:lang w:val="en-US"/>
        </w:rPr>
        <w:fldChar w:fldCharType="begin" w:fldLock="1"/>
      </w:r>
      <w:r w:rsidR="00B1214D" w:rsidRPr="001F1399">
        <w:rPr>
          <w:rFonts w:ascii="Book Antiqua" w:hAnsi="Book Antiqua"/>
          <w:sz w:val="24"/>
          <w:szCs w:val="24"/>
          <w:lang w:val="en-US"/>
        </w:rPr>
        <w:instrText>ADDIN CSL_CITATION {"citationItems":[{"id":"ITEM-1","itemData":{"DOI":"10.1126/science.291.5505.881","ISSN":"00368075","PMID":"11157169","author":[{"dropping-particle":"V.","family":"Hooper","given":"L.","non-dropping-particle":"","parse-names":false,"suffix":""}],"container-title":"Science","id":"ITEM-1","issue":"5505","issued":{"date-parts":[["2001","2","2"]]},"page":"881-884","title":"Molecular Analysis of Commensal Host-Microbial Relationships in the Intestine","type":"article-journal","volume":"291"},"uris":["http://www.mendeley.com/documents/?uuid=a061553a-50df-48df-9337-4cdec5905958"]}],"mendeley":{"formattedCitation":"&lt;sup&gt;[36]&lt;/sup&gt;","plainTextFormattedCitation":"[36]","previouslyFormattedCitation":"&lt;sup&gt;[35]&lt;/sup&gt;"},"properties":{"noteIndex":0},"schema":"https://github.com/citation-style-language/schema/raw/master/csl-citation.json"}</w:instrText>
      </w:r>
      <w:r w:rsidR="00C75B25"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lang w:val="en-US"/>
        </w:rPr>
        <w:t>[36]</w:t>
      </w:r>
      <w:r w:rsidR="00C75B25" w:rsidRPr="001F1399">
        <w:rPr>
          <w:rFonts w:ascii="Book Antiqua" w:hAnsi="Book Antiqua"/>
          <w:sz w:val="24"/>
          <w:szCs w:val="24"/>
          <w:lang w:val="en-US"/>
        </w:rPr>
        <w:fldChar w:fldCharType="end"/>
      </w:r>
      <w:r w:rsidR="00424B2F" w:rsidRPr="001F1399">
        <w:rPr>
          <w:rFonts w:ascii="Book Antiqua" w:hAnsi="Book Antiqua"/>
          <w:sz w:val="24"/>
          <w:szCs w:val="24"/>
          <w:lang w:val="en-US"/>
        </w:rPr>
        <w:t xml:space="preserve">. </w:t>
      </w:r>
      <w:r w:rsidR="005E6297" w:rsidRPr="001F1399">
        <w:rPr>
          <w:rFonts w:ascii="Book Antiqua" w:hAnsi="Book Antiqua"/>
          <w:sz w:val="24"/>
          <w:szCs w:val="24"/>
          <w:lang w:val="en-US"/>
        </w:rPr>
        <w:t xml:space="preserve">Intestinal immune homeostasis is also </w:t>
      </w:r>
      <w:r w:rsidR="006F2319" w:rsidRPr="001F1399">
        <w:rPr>
          <w:rFonts w:ascii="Book Antiqua" w:hAnsi="Book Antiqua"/>
          <w:sz w:val="24"/>
          <w:szCs w:val="24"/>
          <w:lang w:val="en-US"/>
        </w:rPr>
        <w:t>established thanks to a close cooperation between the intestinal epithelial cells (IECs) and the components of sub-epithelial gut associated lymphoid tissue. I</w:t>
      </w:r>
      <w:r w:rsidR="00655537" w:rsidRPr="001F1399">
        <w:rPr>
          <w:rFonts w:ascii="Book Antiqua" w:hAnsi="Book Antiqua"/>
          <w:sz w:val="24"/>
          <w:szCs w:val="24"/>
          <w:lang w:val="en-US"/>
        </w:rPr>
        <w:t>n the i</w:t>
      </w:r>
      <w:r w:rsidR="006F2319" w:rsidRPr="001F1399">
        <w:rPr>
          <w:rFonts w:ascii="Book Antiqua" w:hAnsi="Book Antiqua"/>
          <w:sz w:val="24"/>
          <w:szCs w:val="24"/>
          <w:lang w:val="en-US"/>
        </w:rPr>
        <w:t xml:space="preserve">ntestinal </w:t>
      </w:r>
      <w:r w:rsidR="00655537" w:rsidRPr="001F1399">
        <w:rPr>
          <w:rFonts w:ascii="Book Antiqua" w:hAnsi="Book Antiqua"/>
          <w:sz w:val="24"/>
          <w:szCs w:val="24"/>
          <w:lang w:val="en-US"/>
        </w:rPr>
        <w:t xml:space="preserve">mucosa, </w:t>
      </w:r>
      <w:r w:rsidR="00F95940" w:rsidRPr="001F1399">
        <w:rPr>
          <w:rFonts w:ascii="Book Antiqua" w:hAnsi="Book Antiqua"/>
          <w:sz w:val="24"/>
          <w:szCs w:val="24"/>
          <w:lang w:val="en-US"/>
        </w:rPr>
        <w:t>molecules frequently associated with pathogens may be recognized by</w:t>
      </w:r>
      <w:r w:rsidR="006F2319" w:rsidRPr="001F1399">
        <w:rPr>
          <w:rFonts w:ascii="Book Antiqua" w:hAnsi="Book Antiqua"/>
          <w:sz w:val="24"/>
          <w:szCs w:val="24"/>
          <w:lang w:val="en-US"/>
        </w:rPr>
        <w:t xml:space="preserve"> surface </w:t>
      </w:r>
      <w:r w:rsidR="00655537" w:rsidRPr="001F1399">
        <w:rPr>
          <w:rFonts w:ascii="Book Antiqua" w:hAnsi="Book Antiqua"/>
          <w:sz w:val="24"/>
          <w:szCs w:val="24"/>
          <w:lang w:val="en-US"/>
        </w:rPr>
        <w:t>pattern recognition receptors</w:t>
      </w:r>
      <w:r w:rsidR="006F0EF8" w:rsidRPr="001F1399">
        <w:rPr>
          <w:rFonts w:ascii="Book Antiqua" w:hAnsi="Book Antiqua"/>
          <w:sz w:val="24"/>
          <w:szCs w:val="24"/>
          <w:lang w:val="en-US"/>
        </w:rPr>
        <w:t xml:space="preserve"> and a</w:t>
      </w:r>
      <w:r w:rsidR="00F95940" w:rsidRPr="001F1399">
        <w:rPr>
          <w:rFonts w:ascii="Book Antiqua" w:hAnsi="Book Antiqua"/>
          <w:sz w:val="24"/>
          <w:szCs w:val="24"/>
          <w:lang w:val="en-US"/>
        </w:rPr>
        <w:t xml:space="preserve">mong </w:t>
      </w:r>
      <w:r w:rsidR="006F0EF8" w:rsidRPr="001F1399">
        <w:rPr>
          <w:rFonts w:ascii="Book Antiqua" w:hAnsi="Book Antiqua"/>
          <w:sz w:val="24"/>
          <w:szCs w:val="24"/>
          <w:lang w:val="en-US"/>
        </w:rPr>
        <w:t>them, T</w:t>
      </w:r>
      <w:r w:rsidR="00F95940" w:rsidRPr="001F1399">
        <w:rPr>
          <w:rFonts w:ascii="Book Antiqua" w:hAnsi="Book Antiqua"/>
          <w:sz w:val="24"/>
          <w:szCs w:val="24"/>
          <w:lang w:val="en-US"/>
        </w:rPr>
        <w:t>oll</w:t>
      </w:r>
      <w:r w:rsidR="006F0EF8" w:rsidRPr="001F1399">
        <w:rPr>
          <w:rFonts w:ascii="Book Antiqua" w:hAnsi="Book Antiqua"/>
          <w:sz w:val="24"/>
          <w:szCs w:val="24"/>
          <w:lang w:val="en-US"/>
        </w:rPr>
        <w:t>-</w:t>
      </w:r>
      <w:r w:rsidR="00F95940" w:rsidRPr="001F1399">
        <w:rPr>
          <w:rFonts w:ascii="Book Antiqua" w:hAnsi="Book Antiqua"/>
          <w:sz w:val="24"/>
          <w:szCs w:val="24"/>
          <w:lang w:val="en-US"/>
        </w:rPr>
        <w:t>like receptors (TLRs)</w:t>
      </w:r>
      <w:r w:rsidR="006F0EF8" w:rsidRPr="001F1399">
        <w:rPr>
          <w:rFonts w:ascii="Book Antiqua" w:hAnsi="Book Antiqua"/>
          <w:sz w:val="24"/>
          <w:szCs w:val="24"/>
          <w:lang w:val="en-US"/>
        </w:rPr>
        <w:t>. Upon activation of TLR signaling, IECs will release transforming growth factor beta (TGF</w:t>
      </w:r>
      <w:r w:rsidR="00322E8A" w:rsidRPr="001F1399">
        <w:rPr>
          <w:rFonts w:ascii="Book Antiqua" w:hAnsi="Book Antiqua" w:cs="Calibri"/>
          <w:sz w:val="24"/>
          <w:szCs w:val="24"/>
          <w:lang w:val="en-US"/>
        </w:rPr>
        <w:t>β</w:t>
      </w:r>
      <w:r w:rsidR="006F0EF8" w:rsidRPr="001F1399">
        <w:rPr>
          <w:rFonts w:ascii="Book Antiqua" w:hAnsi="Book Antiqua"/>
          <w:sz w:val="24"/>
          <w:szCs w:val="24"/>
          <w:lang w:val="en-US"/>
        </w:rPr>
        <w:t xml:space="preserve">) by which tolerogenic phenotypes </w:t>
      </w:r>
      <w:r w:rsidR="004F748C" w:rsidRPr="001F1399">
        <w:rPr>
          <w:rFonts w:ascii="Book Antiqua" w:hAnsi="Book Antiqua"/>
          <w:sz w:val="24"/>
          <w:szCs w:val="24"/>
          <w:lang w:val="en-US"/>
        </w:rPr>
        <w:t xml:space="preserve">of </w:t>
      </w:r>
      <w:r w:rsidR="006F0EF8" w:rsidRPr="001F1399">
        <w:rPr>
          <w:rFonts w:ascii="Book Antiqua" w:hAnsi="Book Antiqua"/>
          <w:sz w:val="24"/>
          <w:szCs w:val="24"/>
          <w:lang w:val="en-US"/>
        </w:rPr>
        <w:t>DC</w:t>
      </w:r>
      <w:r w:rsidR="004F748C" w:rsidRPr="001F1399">
        <w:rPr>
          <w:rFonts w:ascii="Book Antiqua" w:hAnsi="Book Antiqua"/>
          <w:sz w:val="24"/>
          <w:szCs w:val="24"/>
          <w:lang w:val="en-US"/>
        </w:rPr>
        <w:t>s</w:t>
      </w:r>
      <w:r w:rsidR="006F0EF8" w:rsidRPr="001F1399">
        <w:rPr>
          <w:rFonts w:ascii="Book Antiqua" w:hAnsi="Book Antiqua"/>
          <w:sz w:val="24"/>
          <w:szCs w:val="24"/>
          <w:lang w:val="en-US"/>
        </w:rPr>
        <w:t xml:space="preserve"> are elicited</w:t>
      </w:r>
      <w:r w:rsidR="004C7EE5" w:rsidRPr="001F1399">
        <w:rPr>
          <w:rFonts w:ascii="Book Antiqua" w:hAnsi="Book Antiqua"/>
          <w:sz w:val="24"/>
          <w:szCs w:val="24"/>
          <w:lang w:val="en-US"/>
        </w:rPr>
        <w:fldChar w:fldCharType="begin" w:fldLock="1"/>
      </w:r>
      <w:r w:rsidR="00B1214D" w:rsidRPr="001F1399">
        <w:rPr>
          <w:rFonts w:ascii="Book Antiqua" w:hAnsi="Book Antiqua"/>
          <w:sz w:val="24"/>
          <w:szCs w:val="24"/>
          <w:lang w:val="en-US"/>
        </w:rPr>
        <w:instrText>ADDIN CSL_CITATION {"citationItems":[{"id":"ITEM-1","itemData":{"DOI":"10.1111/j.1365-2567.2007.02687.x","ISSN":"0019-2805","PMID":"17655740","author":[{"dropping-particle":"","family":"Zeuthen","given":"Louise Hjerrild","non-dropping-particle":"","parse-names":false,"suffix":""},{"dropping-particle":"","family":"Fink","given":"Lisbeth Nielsen","non-dropping-particle":"","parse-names":false,"suffix":""},{"dropping-particle":"","family":"Frokiaer","given":"Hanne","non-dropping-particle":"","parse-names":false,"suffix":""}],"container-title":"Immunology","id":"ITEM-1","issued":{"date-parts":[["2007","7","26"]]},"page":"070726024918001-???","title":"Epithelial cells prime the immune response to an array of gut-derived commensals towards a tolerogenic phenotype through distinct actions of thymic stromal lymphopoietin and transforming growth factor-?","type":"article-journal"},"uris":["http://www.mendeley.com/documents/?uuid=f26b2327-be12-428b-a766-305c63004e5a"]}],"mendeley":{"formattedCitation":"&lt;sup&gt;[37]&lt;/sup&gt;","plainTextFormattedCitation":"[37]","previouslyFormattedCitation":"&lt;sup&gt;[36]&lt;/sup&gt;"},"properties":{"noteIndex":0},"schema":"https://github.com/citation-style-language/schema/raw/master/csl-citation.json"}</w:instrText>
      </w:r>
      <w:r w:rsidR="004C7EE5"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lang w:val="en-US"/>
        </w:rPr>
        <w:t>[37]</w:t>
      </w:r>
      <w:r w:rsidR="004C7EE5" w:rsidRPr="001F1399">
        <w:rPr>
          <w:rFonts w:ascii="Book Antiqua" w:hAnsi="Book Antiqua"/>
          <w:sz w:val="24"/>
          <w:szCs w:val="24"/>
          <w:lang w:val="en-US"/>
        </w:rPr>
        <w:fldChar w:fldCharType="end"/>
      </w:r>
      <w:r w:rsidR="0061663E" w:rsidRPr="001F1399">
        <w:rPr>
          <w:rFonts w:ascii="Book Antiqua" w:hAnsi="Book Antiqua"/>
          <w:sz w:val="24"/>
          <w:szCs w:val="24"/>
          <w:lang w:val="en-US"/>
        </w:rPr>
        <w:t>. DC</w:t>
      </w:r>
      <w:r w:rsidR="004F748C" w:rsidRPr="001F1399">
        <w:rPr>
          <w:rFonts w:ascii="Book Antiqua" w:hAnsi="Book Antiqua"/>
          <w:sz w:val="24"/>
          <w:szCs w:val="24"/>
          <w:lang w:val="en-US"/>
        </w:rPr>
        <w:t>s</w:t>
      </w:r>
      <w:r w:rsidR="0061663E" w:rsidRPr="001F1399">
        <w:rPr>
          <w:rFonts w:ascii="Book Antiqua" w:hAnsi="Book Antiqua"/>
          <w:sz w:val="24"/>
          <w:szCs w:val="24"/>
          <w:lang w:val="en-US"/>
        </w:rPr>
        <w:t xml:space="preserve"> then secrete IL-10 </w:t>
      </w:r>
      <w:r w:rsidR="004160BB" w:rsidRPr="001F1399">
        <w:rPr>
          <w:rFonts w:ascii="Book Antiqua" w:hAnsi="Book Antiqua"/>
          <w:sz w:val="24"/>
          <w:szCs w:val="24"/>
          <w:lang w:val="en-US"/>
        </w:rPr>
        <w:t xml:space="preserve">at the origin of an immune response dominated by </w:t>
      </w:r>
      <w:r w:rsidR="00DD6AA6" w:rsidRPr="001F1399">
        <w:rPr>
          <w:rFonts w:ascii="Book Antiqua" w:hAnsi="Book Antiqua"/>
          <w:sz w:val="24"/>
          <w:szCs w:val="24"/>
          <w:lang w:val="en-US"/>
        </w:rPr>
        <w:t>Treg</w:t>
      </w:r>
      <w:r w:rsidR="004160BB" w:rsidRPr="001F1399">
        <w:rPr>
          <w:rFonts w:ascii="Book Antiqua" w:hAnsi="Book Antiqua"/>
          <w:sz w:val="24"/>
          <w:szCs w:val="24"/>
          <w:lang w:val="en-US"/>
        </w:rPr>
        <w:t xml:space="preserve"> cells. In parallel, Th1 immunity may be induced and anti-inflammatory cytokines will be secreted</w:t>
      </w:r>
      <w:r w:rsidR="00363869" w:rsidRPr="001F1399">
        <w:rPr>
          <w:rFonts w:ascii="Book Antiqua" w:hAnsi="Book Antiqua"/>
          <w:sz w:val="24"/>
          <w:szCs w:val="24"/>
          <w:lang w:val="en-US"/>
        </w:rPr>
        <w:fldChar w:fldCharType="begin" w:fldLock="1"/>
      </w:r>
      <w:r w:rsidR="00B1214D" w:rsidRPr="001F1399">
        <w:rPr>
          <w:rFonts w:ascii="Book Antiqua" w:hAnsi="Book Antiqua"/>
          <w:sz w:val="24"/>
          <w:szCs w:val="24"/>
          <w:lang w:val="en-US"/>
        </w:rPr>
        <w:instrText>ADDIN CSL_CITATION {"citationItems":[{"id":"ITEM-1","itemData":{"DOI":"10.2741/3041","ISSN":"1093-9946","PMID":"18508547","abstract":"The recognition of microbial stimuli by Toll-like receptors (TLRs) expressed on dendritic cells (DCs) is essential for the regulation of immune responses. DC activation via TLRs leads to the production of proinflammatory cytokines, chemokines and surface molecules that play a key role in the regulation and control of inflammatory reactions and adaptive immunity. Minor imbalances in the feedback control of TLR-activated innate immune cells have been associated with autoimmunity in genetically prone individuals. We review here recent studies indicating how TLR-mediated activation of innate immune cells, including DCs, may be involved in the development and/or maintenance of autoimmune responses in the presence of both endogenous and exogenous ligands.","author":[{"dropping-particle":"","family":"Granucci","given":"Francesca","non-dropping-particle":"","parse-names":false,"suffix":""},{"dropping-particle":"","family":"Zanoni","given":"Ivan","non-dropping-particle":"","parse-names":false,"suffix":""}],"container-title":"Frontiers in bioscience : a journal and virtual library","id":"ITEM-1","issue":"13","issued":{"date-parts":[["2008","5","1"]]},"page":"4817-26","title":"Role of Toll like receptor-activated dendritic cells in the development of autoimmunity.","type":"article-journal","volume":"13"},"uris":["http://www.mendeley.com/documents/?uuid=f3bfba1d-1fbc-4a8c-9a50-e7b0f841cf98"]},{"id":"ITEM-2","itemData":{"DOI":"10.3748/wjg.v17.i33.3761","ISSN":"1007-9327","PMID":"21987618","author":[{"dropping-particle":"","family":"Rutella","given":"Sergio","non-dropping-particle":"","parse-names":false,"suffix":""}],"container-title":"World Journal of Gastroenterology","id":"ITEM-2","issue":"33","issued":{"date-parts":[["2011"]]},"page":"3761","title":"Intestinal dendritic cells in the pathogenesis of inflammatory bowel disease","type":"article-journal","volume":"17"},"uris":["http://www.mendeley.com/documents/?uuid=653690dc-7852-4c25-82bb-5d1ac0d15e23"]}],"mendeley":{"formattedCitation":"&lt;sup&gt;[38,39]&lt;/sup&gt;","plainTextFormattedCitation":"[38,39]","previouslyFormattedCitation":"&lt;sup&gt;[37,38]&lt;/sup&gt;"},"properties":{"noteIndex":0},"schema":"https://github.com/citation-style-language/schema/raw/master/csl-citation.json"}</w:instrText>
      </w:r>
      <w:r w:rsidR="00363869"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lang w:val="en-US"/>
        </w:rPr>
        <w:t>[38,39]</w:t>
      </w:r>
      <w:r w:rsidR="00363869" w:rsidRPr="001F1399">
        <w:rPr>
          <w:rFonts w:ascii="Book Antiqua" w:hAnsi="Book Antiqua"/>
          <w:sz w:val="24"/>
          <w:szCs w:val="24"/>
          <w:lang w:val="en-US"/>
        </w:rPr>
        <w:fldChar w:fldCharType="end"/>
      </w:r>
      <w:r w:rsidR="004160BB" w:rsidRPr="001F1399">
        <w:rPr>
          <w:rFonts w:ascii="Book Antiqua" w:hAnsi="Book Antiqua"/>
          <w:sz w:val="24"/>
          <w:szCs w:val="24"/>
          <w:lang w:val="en-US"/>
        </w:rPr>
        <w:t xml:space="preserve">. </w:t>
      </w:r>
      <w:r w:rsidR="00E852ED" w:rsidRPr="001F1399">
        <w:rPr>
          <w:rFonts w:ascii="Book Antiqua" w:hAnsi="Book Antiqua"/>
          <w:sz w:val="24"/>
          <w:szCs w:val="24"/>
          <w:lang w:val="en-US"/>
        </w:rPr>
        <w:t>Generation of FOXP3</w:t>
      </w:r>
      <w:r w:rsidR="009C222B" w:rsidRPr="001F1399">
        <w:rPr>
          <w:rFonts w:ascii="Book Antiqua" w:hAnsi="Book Antiqua"/>
          <w:sz w:val="24"/>
          <w:szCs w:val="24"/>
          <w:lang w:val="en-US"/>
        </w:rPr>
        <w:t>+</w:t>
      </w:r>
      <w:r w:rsidR="00E852ED" w:rsidRPr="001F1399">
        <w:rPr>
          <w:rFonts w:ascii="Book Antiqua" w:hAnsi="Book Antiqua"/>
          <w:sz w:val="24"/>
          <w:szCs w:val="24"/>
          <w:lang w:val="en-US"/>
        </w:rPr>
        <w:t xml:space="preserve"> </w:t>
      </w:r>
      <w:r w:rsidR="00DD6AA6" w:rsidRPr="001F1399">
        <w:rPr>
          <w:rFonts w:ascii="Book Antiqua" w:hAnsi="Book Antiqua"/>
          <w:sz w:val="24"/>
          <w:szCs w:val="24"/>
          <w:lang w:val="en-US"/>
        </w:rPr>
        <w:t>Treg</w:t>
      </w:r>
      <w:r w:rsidR="00E852ED" w:rsidRPr="001F1399">
        <w:rPr>
          <w:rFonts w:ascii="Book Antiqua" w:hAnsi="Book Antiqua"/>
          <w:sz w:val="24"/>
          <w:szCs w:val="24"/>
          <w:lang w:val="en-US"/>
        </w:rPr>
        <w:t xml:space="preserve"> and </w:t>
      </w:r>
      <w:r w:rsidR="009F69B6" w:rsidRPr="001F1399">
        <w:rPr>
          <w:rFonts w:ascii="Book Antiqua" w:hAnsi="Book Antiqua"/>
          <w:sz w:val="24"/>
          <w:szCs w:val="24"/>
          <w:lang w:val="en-US"/>
        </w:rPr>
        <w:t>concomitant</w:t>
      </w:r>
      <w:r w:rsidR="00E852ED" w:rsidRPr="001F1399">
        <w:rPr>
          <w:rFonts w:ascii="Book Antiqua" w:hAnsi="Book Antiqua"/>
          <w:sz w:val="24"/>
          <w:szCs w:val="24"/>
          <w:lang w:val="en-US"/>
        </w:rPr>
        <w:t xml:space="preserve"> establishment of </w:t>
      </w:r>
      <w:r w:rsidR="00E852ED" w:rsidRPr="001F1399">
        <w:rPr>
          <w:rFonts w:ascii="Book Antiqua" w:hAnsi="Book Antiqua"/>
          <w:sz w:val="24"/>
          <w:szCs w:val="24"/>
          <w:lang w:val="en-US"/>
        </w:rPr>
        <w:lastRenderedPageBreak/>
        <w:t xml:space="preserve">immune tolerance result from two steps. </w:t>
      </w:r>
      <w:r w:rsidR="009C222B" w:rsidRPr="001F1399">
        <w:rPr>
          <w:rFonts w:ascii="Book Antiqua" w:hAnsi="Book Antiqua"/>
          <w:sz w:val="24"/>
          <w:szCs w:val="24"/>
          <w:lang w:val="en-US"/>
        </w:rPr>
        <w:t xml:space="preserve">On the one hand, a founder pool of FOXP3+ </w:t>
      </w:r>
      <w:r w:rsidR="00DD6AA6" w:rsidRPr="001F1399">
        <w:rPr>
          <w:rFonts w:ascii="Book Antiqua" w:hAnsi="Book Antiqua"/>
          <w:sz w:val="24"/>
          <w:szCs w:val="24"/>
          <w:lang w:val="en-US"/>
        </w:rPr>
        <w:t>Treg</w:t>
      </w:r>
      <w:r w:rsidR="009C222B" w:rsidRPr="001F1399">
        <w:rPr>
          <w:rFonts w:ascii="Book Antiqua" w:hAnsi="Book Antiqua"/>
          <w:sz w:val="24"/>
          <w:szCs w:val="24"/>
          <w:lang w:val="en-US"/>
        </w:rPr>
        <w:t>s is produced by the activation of antigen specific naive T cells in gut-draining MLNs. On the other hand, homing of activated T</w:t>
      </w:r>
      <w:r w:rsidR="00DD6AA6" w:rsidRPr="001F1399">
        <w:rPr>
          <w:rFonts w:ascii="Book Antiqua" w:hAnsi="Book Antiqua"/>
          <w:sz w:val="24"/>
          <w:szCs w:val="24"/>
          <w:lang w:val="en-US"/>
        </w:rPr>
        <w:t>r</w:t>
      </w:r>
      <w:r w:rsidR="009C222B" w:rsidRPr="001F1399">
        <w:rPr>
          <w:rFonts w:ascii="Book Antiqua" w:hAnsi="Book Antiqua"/>
          <w:sz w:val="24"/>
          <w:szCs w:val="24"/>
          <w:lang w:val="en-US"/>
        </w:rPr>
        <w:t xml:space="preserve">eg to intestinal </w:t>
      </w:r>
      <w:r w:rsidR="009C222B" w:rsidRPr="001F1399">
        <w:rPr>
          <w:rFonts w:ascii="Book Antiqua" w:hAnsi="Book Antiqua"/>
          <w:iCs/>
          <w:sz w:val="24"/>
          <w:szCs w:val="24"/>
          <w:lang w:val="en-US"/>
        </w:rPr>
        <w:t>lamina propria</w:t>
      </w:r>
      <w:r w:rsidR="00322E8A" w:rsidRPr="001F1399">
        <w:rPr>
          <w:rFonts w:ascii="Book Antiqua" w:hAnsi="Book Antiqua"/>
          <w:sz w:val="24"/>
          <w:szCs w:val="24"/>
          <w:lang w:val="en-US"/>
        </w:rPr>
        <w:t xml:space="preserve"> </w:t>
      </w:r>
      <w:r w:rsidR="009C222B" w:rsidRPr="001F1399">
        <w:rPr>
          <w:rFonts w:ascii="Book Antiqua" w:hAnsi="Book Antiqua"/>
          <w:sz w:val="24"/>
          <w:szCs w:val="24"/>
          <w:lang w:val="en-US"/>
        </w:rPr>
        <w:t xml:space="preserve">thanks to intestinal macrophages. </w:t>
      </w:r>
      <w:r w:rsidR="00E74F80" w:rsidRPr="001F1399">
        <w:rPr>
          <w:rFonts w:ascii="Book Antiqua" w:hAnsi="Book Antiqua"/>
          <w:sz w:val="24"/>
          <w:szCs w:val="24"/>
          <w:lang w:val="en-US"/>
        </w:rPr>
        <w:t>Homing FOXP3+</w:t>
      </w:r>
      <w:r w:rsidR="00DD6AA6" w:rsidRPr="001F1399">
        <w:rPr>
          <w:rFonts w:ascii="Book Antiqua" w:hAnsi="Book Antiqua"/>
          <w:sz w:val="24"/>
          <w:szCs w:val="24"/>
          <w:vertAlign w:val="superscript"/>
          <w:lang w:val="en-US"/>
        </w:rPr>
        <w:t xml:space="preserve"> </w:t>
      </w:r>
      <w:r w:rsidR="00DD6AA6" w:rsidRPr="001F1399">
        <w:rPr>
          <w:rFonts w:ascii="Book Antiqua" w:hAnsi="Book Antiqua"/>
          <w:sz w:val="24"/>
          <w:szCs w:val="24"/>
          <w:lang w:val="en-US"/>
        </w:rPr>
        <w:t>Treg</w:t>
      </w:r>
      <w:r w:rsidR="00E74F80" w:rsidRPr="001F1399">
        <w:rPr>
          <w:rFonts w:ascii="Book Antiqua" w:hAnsi="Book Antiqua"/>
          <w:sz w:val="24"/>
          <w:szCs w:val="24"/>
          <w:lang w:val="en-US"/>
        </w:rPr>
        <w:t xml:space="preserve"> cells propagate, and immune tolerance is irreversibly </w:t>
      </w:r>
      <w:r w:rsidRPr="001F1399">
        <w:rPr>
          <w:rFonts w:ascii="Book Antiqua" w:hAnsi="Book Antiqua"/>
          <w:sz w:val="24"/>
          <w:szCs w:val="24"/>
          <w:lang w:val="en-US"/>
        </w:rPr>
        <w:t xml:space="preserve">installed. </w:t>
      </w:r>
      <w:r w:rsidR="00071C7C" w:rsidRPr="001F1399">
        <w:rPr>
          <w:rStyle w:val="eop"/>
          <w:rFonts w:ascii="Book Antiqua" w:hAnsi="Book Antiqua" w:cs="Calibri"/>
          <w:sz w:val="24"/>
          <w:szCs w:val="24"/>
          <w:lang w:val="en-US"/>
        </w:rPr>
        <w:t xml:space="preserve">To provide passive immunity to the fetus or the neonate, maternal antibodies are transferred to the fetus by the placenta (starting as early as 6 wk of gestation with a rapid increase by week 24-26) </w:t>
      </w:r>
      <w:r w:rsidR="00BC73ED" w:rsidRPr="001F1399">
        <w:rPr>
          <w:rStyle w:val="eop"/>
          <w:rFonts w:ascii="Book Antiqua" w:hAnsi="Book Antiqua" w:cs="Calibri"/>
          <w:sz w:val="24"/>
          <w:szCs w:val="24"/>
          <w:lang w:val="en-US"/>
        </w:rPr>
        <w:t>and then</w:t>
      </w:r>
      <w:r w:rsidR="00071C7C" w:rsidRPr="001F1399">
        <w:rPr>
          <w:rStyle w:val="eop"/>
          <w:rFonts w:ascii="Book Antiqua" w:hAnsi="Book Antiqua" w:cs="Calibri"/>
          <w:sz w:val="24"/>
          <w:szCs w:val="24"/>
          <w:lang w:val="en-US"/>
        </w:rPr>
        <w:t xml:space="preserve"> to the infant through breast feeding</w:t>
      </w:r>
      <w:r w:rsidR="00BC73ED" w:rsidRPr="001F1399">
        <w:rPr>
          <w:rStyle w:val="eop"/>
          <w:rFonts w:ascii="Book Antiqua" w:hAnsi="Book Antiqua" w:cs="Calibri"/>
          <w:sz w:val="24"/>
          <w:szCs w:val="24"/>
          <w:lang w:val="en-US"/>
        </w:rPr>
        <w:t xml:space="preserve">; Peripheral activation of the immune system with production of cytokines can affect the central nervous system </w:t>
      </w:r>
      <w:r w:rsidR="004708A0" w:rsidRPr="001F1399">
        <w:rPr>
          <w:rStyle w:val="eop"/>
          <w:rFonts w:ascii="Book Antiqua" w:hAnsi="Book Antiqua" w:cs="Calibri"/>
          <w:sz w:val="24"/>
          <w:szCs w:val="24"/>
          <w:lang w:val="en-US"/>
        </w:rPr>
        <w:t xml:space="preserve">(CNS) </w:t>
      </w:r>
      <w:r w:rsidR="00BC73ED" w:rsidRPr="001F1399">
        <w:rPr>
          <w:rStyle w:val="eop"/>
          <w:rFonts w:ascii="Book Antiqua" w:hAnsi="Book Antiqua" w:cs="Calibri"/>
          <w:sz w:val="24"/>
          <w:szCs w:val="24"/>
          <w:lang w:val="en-US"/>
        </w:rPr>
        <w:t xml:space="preserve">directly </w:t>
      </w:r>
      <w:r w:rsidR="00BC73ED" w:rsidRPr="001F1399">
        <w:rPr>
          <w:rStyle w:val="eop"/>
          <w:rFonts w:ascii="Book Antiqua" w:hAnsi="Book Antiqua" w:cs="Calibri"/>
          <w:i/>
          <w:iCs/>
          <w:sz w:val="24"/>
          <w:szCs w:val="24"/>
          <w:lang w:val="en-US"/>
        </w:rPr>
        <w:t>via</w:t>
      </w:r>
      <w:r w:rsidR="00BC73ED" w:rsidRPr="001F1399">
        <w:rPr>
          <w:rStyle w:val="eop"/>
          <w:rFonts w:ascii="Book Antiqua" w:hAnsi="Book Antiqua" w:cs="Calibri"/>
          <w:sz w:val="24"/>
          <w:szCs w:val="24"/>
          <w:lang w:val="en-US"/>
        </w:rPr>
        <w:t xml:space="preserve"> cytokines crossing the brain blood barrier or indirectly by activating the hypothalamic pituitary adrenal axis</w:t>
      </w:r>
      <w:r w:rsidR="00BC73ED" w:rsidRPr="001F1399">
        <w:rPr>
          <w:rStyle w:val="eop"/>
          <w:rFonts w:ascii="Book Antiqua" w:hAnsi="Book Antiqua" w:cs="Calibri"/>
          <w:sz w:val="24"/>
          <w:szCs w:val="24"/>
          <w:lang w:val="en-US"/>
        </w:rPr>
        <w:fldChar w:fldCharType="begin" w:fldLock="1"/>
      </w:r>
      <w:r w:rsidR="00B1214D" w:rsidRPr="001F1399">
        <w:rPr>
          <w:rStyle w:val="eop"/>
          <w:rFonts w:ascii="Book Antiqua" w:hAnsi="Book Antiqua" w:cs="Calibri"/>
          <w:sz w:val="24"/>
          <w:szCs w:val="24"/>
          <w:lang w:val="en-US"/>
        </w:rPr>
        <w:instrText>ADDIN CSL_CITATION {"citationItems":[{"id":"ITEM-1","itemData":{"DOI":"10.1089/vim.2005.18.41","ISSN":"0882-8245","PMID":"15802953","author":[{"dropping-particle":"","family":"Silverman","given":"Marni N.","non-dropping-particle":"","parse-names":false,"suffix":""},{"dropping-particle":"","family":"Pearce","given":"Brad D.","non-dropping-particle":"","parse-names":false,"suffix":""},{"dropping-particle":"","family":"Biron","given":"Christine A.","non-dropping-particle":"","parse-names":false,"suffix":""},{"dropping-particle":"","family":"Miller","given":"Andrew H.","non-dropping-particle":"","parse-names":false,"suffix":""}],"container-title":"Viral Immunology","id":"ITEM-1","issue":"1","issued":{"date-parts":[["2005","3"]]},"page":"41-78","title":"Immune Modulation of the Hypothalamic-Pituitary-Adrenal (HPA) Axis during Viral Infection","type":"article-journal","volume":"18"},"uris":["http://www.mendeley.com/documents/?uuid=a99d2a08-e120-4a48-9188-620ea89c030a"]}],"mendeley":{"formattedCitation":"&lt;sup&gt;[40]&lt;/sup&gt;","plainTextFormattedCitation":"[40]","previouslyFormattedCitation":"&lt;sup&gt;[39]&lt;/sup&gt;"},"properties":{"noteIndex":0},"schema":"https://github.com/citation-style-language/schema/raw/master/csl-citation.json"}</w:instrText>
      </w:r>
      <w:r w:rsidR="00BC73ED" w:rsidRPr="001F1399">
        <w:rPr>
          <w:rStyle w:val="eop"/>
          <w:rFonts w:ascii="Book Antiqua" w:hAnsi="Book Antiqua" w:cs="Calibri"/>
          <w:sz w:val="24"/>
          <w:szCs w:val="24"/>
          <w:lang w:val="en-US"/>
        </w:rPr>
        <w:fldChar w:fldCharType="separate"/>
      </w:r>
      <w:r w:rsidR="00B1214D" w:rsidRPr="001F1399">
        <w:rPr>
          <w:rStyle w:val="eop"/>
          <w:rFonts w:ascii="Book Antiqua" w:hAnsi="Book Antiqua" w:cs="Calibri"/>
          <w:noProof/>
          <w:sz w:val="24"/>
          <w:szCs w:val="24"/>
          <w:vertAlign w:val="superscript"/>
          <w:lang w:val="en-US"/>
        </w:rPr>
        <w:t>[40]</w:t>
      </w:r>
      <w:r w:rsidR="00BC73ED" w:rsidRPr="001F1399">
        <w:rPr>
          <w:rStyle w:val="eop"/>
          <w:rFonts w:ascii="Book Antiqua" w:hAnsi="Book Antiqua" w:cs="Calibri"/>
          <w:sz w:val="24"/>
          <w:szCs w:val="24"/>
          <w:lang w:val="en-US"/>
        </w:rPr>
        <w:fldChar w:fldCharType="end"/>
      </w:r>
      <w:r w:rsidR="00BC73ED" w:rsidRPr="001F1399">
        <w:rPr>
          <w:rStyle w:val="eop"/>
          <w:rFonts w:ascii="Book Antiqua" w:hAnsi="Book Antiqua" w:cs="Calibri"/>
          <w:sz w:val="24"/>
          <w:szCs w:val="24"/>
          <w:lang w:val="en-US"/>
        </w:rPr>
        <w:t xml:space="preserve">. </w:t>
      </w:r>
    </w:p>
    <w:p w14:paraId="2AC92C19" w14:textId="47C14B6B" w:rsidR="005A7DD6" w:rsidRPr="001F1399" w:rsidRDefault="00505415" w:rsidP="002974FA">
      <w:pPr>
        <w:pStyle w:val="paragraph"/>
        <w:adjustRightInd w:val="0"/>
        <w:snapToGrid w:val="0"/>
        <w:spacing w:before="0" w:beforeAutospacing="0" w:after="0" w:afterAutospacing="0" w:line="360" w:lineRule="auto"/>
        <w:ind w:firstLineChars="100" w:firstLine="240"/>
        <w:jc w:val="both"/>
        <w:rPr>
          <w:rStyle w:val="eop"/>
          <w:rFonts w:ascii="Book Antiqua" w:hAnsi="Book Antiqua" w:cs="Calibri"/>
          <w:lang w:val="en-US"/>
        </w:rPr>
      </w:pPr>
      <w:r w:rsidRPr="001F1399">
        <w:rPr>
          <w:rStyle w:val="eop"/>
          <w:rFonts w:ascii="Book Antiqua" w:hAnsi="Book Antiqua" w:cs="Calibri"/>
          <w:lang w:val="en-US"/>
        </w:rPr>
        <w:t>At last, t</w:t>
      </w:r>
      <w:r w:rsidR="005A7DD6" w:rsidRPr="001F1399">
        <w:rPr>
          <w:rStyle w:val="eop"/>
          <w:rFonts w:ascii="Book Antiqua" w:hAnsi="Book Antiqua" w:cs="Calibri"/>
          <w:lang w:val="en-US"/>
        </w:rPr>
        <w:t xml:space="preserve">he homeostasis of maternal and fetal endocrine milieu is </w:t>
      </w:r>
      <w:r w:rsidR="00067319" w:rsidRPr="001F1399">
        <w:rPr>
          <w:rStyle w:val="eop"/>
          <w:rFonts w:ascii="Book Antiqua" w:hAnsi="Book Antiqua" w:cs="Calibri"/>
          <w:lang w:val="en-US"/>
        </w:rPr>
        <w:t xml:space="preserve">also </w:t>
      </w:r>
      <w:r w:rsidR="005A7DD6" w:rsidRPr="001F1399">
        <w:rPr>
          <w:rStyle w:val="eop"/>
          <w:rFonts w:ascii="Book Antiqua" w:hAnsi="Book Antiqua" w:cs="Calibri"/>
          <w:lang w:val="en-US"/>
        </w:rPr>
        <w:t xml:space="preserve">important to allow normal development and prevent adverse effects arising from early insults. Alteration of gestational endocrine </w:t>
      </w:r>
      <w:r w:rsidR="00DD6AA6" w:rsidRPr="001F1399">
        <w:rPr>
          <w:rStyle w:val="eop"/>
          <w:rFonts w:ascii="Book Antiqua" w:hAnsi="Book Antiqua" w:cs="Calibri"/>
          <w:lang w:val="en-US"/>
        </w:rPr>
        <w:t>environment</w:t>
      </w:r>
      <w:r w:rsidR="005A7DD6" w:rsidRPr="001F1399">
        <w:rPr>
          <w:rStyle w:val="eop"/>
          <w:rFonts w:ascii="Book Antiqua" w:hAnsi="Book Antiqua" w:cs="Calibri"/>
          <w:lang w:val="en-US"/>
        </w:rPr>
        <w:t xml:space="preserve"> by diseases will then perturb hormonal homeostasis</w:t>
      </w:r>
      <w:r w:rsidR="00852F79" w:rsidRPr="001F1399">
        <w:rPr>
          <w:rStyle w:val="eop"/>
          <w:rFonts w:ascii="Book Antiqua" w:hAnsi="Book Antiqua" w:cs="Calibri"/>
          <w:lang w:val="en-US"/>
        </w:rPr>
        <w:t xml:space="preserve"> and may be at the origin of fetal programming of altered endocrine profile in fetus. </w:t>
      </w:r>
      <w:r w:rsidR="00922CDA" w:rsidRPr="001F1399">
        <w:rPr>
          <w:rStyle w:val="eop"/>
          <w:rFonts w:ascii="Book Antiqua" w:hAnsi="Book Antiqua" w:cs="Calibri"/>
          <w:lang w:val="en-US"/>
        </w:rPr>
        <w:t xml:space="preserve">An important pathway by which </w:t>
      </w:r>
      <w:r w:rsidR="00FE420B" w:rsidRPr="001F1399">
        <w:rPr>
          <w:rStyle w:val="eop"/>
          <w:rFonts w:ascii="Book Antiqua" w:hAnsi="Book Antiqua" w:cs="Calibri"/>
          <w:lang w:val="en-US"/>
        </w:rPr>
        <w:t>gut microbes and their metabolites communicate with CNS involves the cells making up the endocrine system of the gut</w:t>
      </w:r>
      <w:r w:rsidR="00FE420B" w:rsidRPr="001F1399">
        <w:rPr>
          <w:rStyle w:val="eop"/>
          <w:rFonts w:ascii="Book Antiqua" w:hAnsi="Book Antiqua" w:cs="Calibri"/>
          <w:lang w:val="en-US"/>
        </w:rPr>
        <w:fldChar w:fldCharType="begin" w:fldLock="1"/>
      </w:r>
      <w:r w:rsidR="00B1214D" w:rsidRPr="001F1399">
        <w:rPr>
          <w:rStyle w:val="eop"/>
          <w:rFonts w:ascii="Book Antiqua" w:hAnsi="Book Antiqua" w:cs="Calibri"/>
          <w:lang w:val="en-US"/>
        </w:rPr>
        <w:instrText>ADDIN CSL_CITATION {"citationItems":[{"id":"ITEM-1","itemData":{"DOI":"10.1038/nrgastro.2013.180","ISSN":"1759-5053","PMID":"24061204","abstract":"The gastrointestinal tract presents the largest and most vulnerable surface to the outside world. Simultaneously, it must be accessible and permeable to nutrients and must defend against pathogens and potentially injurious chemicals. Integrated responses to these challenges require the gut to sense its environment, which it does through a range of detection systems for specific chemical entities, pathogenic organisms and their products (including toxins), as well as physicochemical properties of its contents. Sensory information is then communicated to four major effector systems: the enteroendocrine hormonal signalling system; the innervation of the gut, both intrinsic and extrinsic; the gut immune system; and the local tissue defence system. Extensive endocrine-neuro-immune-organ-defence interactions are demonstrable, but under-investigated. A major challenge is to develop a comprehensive understanding of the integrated responses of the gut to the sensory information it receives. A major therapeutic opportunity exists to develop agents that target the receptors facing the gut lumen.","author":[{"dropping-particle":"","family":"Furness","given":"John B.","non-dropping-particle":"","parse-names":false,"suffix":""},{"dropping-particle":"","family":"Rivera","given":"Leni R.","non-dropping-particle":"","parse-names":false,"suffix":""},{"dropping-particle":"","family":"Cho","given":"Hyun-Jung","non-dropping-particle":"","parse-names":false,"suffix":""},{"dropping-particle":"","family":"Bravo","given":"David M.","non-dropping-particle":"","parse-names":false,"suffix":""},{"dropping-particle":"","family":"Callaghan","given":"Brid","non-dropping-particle":"","parse-names":false,"suffix":""}],"container-title":"Nature reviews. Gastroenterology &amp; hepatology","id":"ITEM-1","issue":"12","issued":{"date-parts":[["2013","12","24"]]},"page":"729-40","title":"The gut as a sensory organ.","type":"article-journal","volume":"10"},"uris":["http://www.mendeley.com/documents/?uuid=bb363a84-a11c-4ee6-8283-13e251e05bbc"]}],"mendeley":{"formattedCitation":"&lt;sup&gt;[41]&lt;/sup&gt;","plainTextFormattedCitation":"[41]","previouslyFormattedCitation":"&lt;sup&gt;[40]&lt;/sup&gt;"},"properties":{"noteIndex":0},"schema":"https://github.com/citation-style-language/schema/raw/master/csl-citation.json"}</w:instrText>
      </w:r>
      <w:r w:rsidR="00FE420B" w:rsidRPr="001F1399">
        <w:rPr>
          <w:rStyle w:val="eop"/>
          <w:rFonts w:ascii="Book Antiqua" w:hAnsi="Book Antiqua" w:cs="Calibri"/>
          <w:lang w:val="en-US"/>
        </w:rPr>
        <w:fldChar w:fldCharType="separate"/>
      </w:r>
      <w:r w:rsidR="00B1214D" w:rsidRPr="001F1399">
        <w:rPr>
          <w:rStyle w:val="eop"/>
          <w:rFonts w:ascii="Book Antiqua" w:hAnsi="Book Antiqua" w:cs="Calibri"/>
          <w:noProof/>
          <w:vertAlign w:val="superscript"/>
          <w:lang w:val="en-US"/>
        </w:rPr>
        <w:t>[41]</w:t>
      </w:r>
      <w:r w:rsidR="00FE420B" w:rsidRPr="001F1399">
        <w:rPr>
          <w:rStyle w:val="eop"/>
          <w:rFonts w:ascii="Book Antiqua" w:hAnsi="Book Antiqua" w:cs="Calibri"/>
          <w:lang w:val="en-US"/>
        </w:rPr>
        <w:fldChar w:fldCharType="end"/>
      </w:r>
      <w:r w:rsidR="00FE420B" w:rsidRPr="001F1399">
        <w:rPr>
          <w:rStyle w:val="eop"/>
          <w:rFonts w:ascii="Book Antiqua" w:hAnsi="Book Antiqua" w:cs="Calibri"/>
          <w:lang w:val="en-US"/>
        </w:rPr>
        <w:t xml:space="preserve">. Enteroendocrine cells are intersped between gut epithelial cells throughout the length of the gut and are able to release different types of molecules that can enter the systemic circulation and have an incidence on the CNS regulatory pathways. </w:t>
      </w:r>
      <w:r w:rsidR="00322E8A" w:rsidRPr="001F1399">
        <w:rPr>
          <w:rStyle w:val="eop"/>
          <w:rFonts w:ascii="Book Antiqua" w:hAnsi="Book Antiqua" w:cs="Calibri"/>
          <w:lang w:val="en-US"/>
        </w:rPr>
        <w:t>5-Hydroxytryptamin or serotonin (</w:t>
      </w:r>
      <w:r w:rsidR="00976FFB" w:rsidRPr="001F1399">
        <w:rPr>
          <w:rStyle w:val="eop"/>
          <w:rFonts w:ascii="Book Antiqua" w:hAnsi="Book Antiqua" w:cs="Calibri"/>
          <w:lang w:val="en-US"/>
        </w:rPr>
        <w:t>5-HT</w:t>
      </w:r>
      <w:r w:rsidR="00322E8A" w:rsidRPr="001F1399">
        <w:rPr>
          <w:rStyle w:val="eop"/>
          <w:rFonts w:ascii="Book Antiqua" w:hAnsi="Book Antiqua" w:cs="Calibri"/>
          <w:lang w:val="en-US"/>
        </w:rPr>
        <w:t>)</w:t>
      </w:r>
      <w:r w:rsidR="00376BF4" w:rsidRPr="001F1399">
        <w:rPr>
          <w:rStyle w:val="eop"/>
          <w:rFonts w:ascii="Book Antiqua" w:hAnsi="Book Antiqua" w:cs="Calibri"/>
          <w:lang w:val="en-US"/>
        </w:rPr>
        <w:t>, the main regulating hormone of gastrointestinal motility and secretion,</w:t>
      </w:r>
      <w:r w:rsidR="00FE420B" w:rsidRPr="001F1399">
        <w:rPr>
          <w:rStyle w:val="eop"/>
          <w:rFonts w:ascii="Book Antiqua" w:hAnsi="Book Antiqua" w:cs="Calibri"/>
          <w:lang w:val="en-US"/>
        </w:rPr>
        <w:t xml:space="preserve"> is produced by the enterochromaffin cells and stored in these cells and enteric neurons but also in CNS. </w:t>
      </w:r>
      <w:r w:rsidR="002B11B8" w:rsidRPr="001F1399">
        <w:rPr>
          <w:rStyle w:val="eop"/>
          <w:rFonts w:ascii="Book Antiqua" w:hAnsi="Book Antiqua" w:cs="Calibri"/>
          <w:lang w:val="en-US"/>
        </w:rPr>
        <w:t xml:space="preserve">Most of the molecules contributing to the neuroendocrine signaling within the brain-gut-microbiota axis originate from the gut microbiota metabolism of food as it is the case for tryptophan, a precursor to the neurotransmitter </w:t>
      </w:r>
      <w:r w:rsidR="00976FFB" w:rsidRPr="001F1399">
        <w:rPr>
          <w:rStyle w:val="eop"/>
          <w:rFonts w:ascii="Book Antiqua" w:hAnsi="Book Antiqua" w:cs="Calibri"/>
          <w:lang w:val="en-US"/>
        </w:rPr>
        <w:t>5-HT</w:t>
      </w:r>
      <w:r w:rsidR="00797642" w:rsidRPr="001F1399">
        <w:rPr>
          <w:rStyle w:val="eop"/>
          <w:rFonts w:ascii="Book Antiqua" w:hAnsi="Book Antiqua" w:cs="Calibri"/>
          <w:lang w:val="en-US"/>
        </w:rPr>
        <w:fldChar w:fldCharType="begin" w:fldLock="1"/>
      </w:r>
      <w:r w:rsidR="00B1214D" w:rsidRPr="001F1399">
        <w:rPr>
          <w:rStyle w:val="eop"/>
          <w:rFonts w:ascii="Book Antiqua" w:hAnsi="Book Antiqua" w:cs="Calibri"/>
          <w:lang w:val="en-US"/>
        </w:rPr>
        <w:instrText>ADDIN CSL_CITATION {"citationItems":[{"id":"ITEM-1","itemData":{"DOI":"10.1017/S1462399406000068","ISSN":"1462-3994","PMID":"16942634","abstract":"The metabolism of the amino acid L-tryptophan is a highly regulated physiological process leading to the generation of several neuroactive compounds within the central nervous system. These include the aminergic neurotransmitter serotonin (5-hydroxytryptamine, 5-HT), products of the kynurenine pathway of tryptophan metabolism (including 3-hydroxykynurenine, 3-hydroxyanthranilic acid, quinolinic acid and kynurenic acid), the neurohormone melatonin, several neuroactive kynuramine metabolites of melatonin, and the trace amine tryptamine. The integral role of central serotonergic systems in the modulation of physiology and behaviour has been well documented since the first description of serotonergic neurons in the brain some 40 years ago. However, while the significance of the peripheral kynurenine pathway of tryptophan metabolism has also been recognised for several decades, it has only recently been appreciated that the synthesis of kynurenines within the central nervous system has important consequences for physiology and behaviour. Altered kynurenine metabolism has been implicated in the pathophysiology of conditions such as acquired immunodeficiency syndrome (AIDS)-related dementia, Huntington's disease and Alzheimer's disease. In this review we discuss the molecular mechanisms involved in regulating the metabolism of tryptophan and consider the medical implications associated with dysregulation of both serotonergic and kynurenine pathways of tryptophan metabolism.","author":[{"dropping-particle":"","family":"Ruddick","given":"Jon P.","non-dropping-particle":"","parse-names":false,"suffix":""},{"dropping-particle":"","family":"Evans","given":"Andrew K.","non-dropping-particle":"","parse-names":false,"suffix":""},{"dropping-particle":"","family":"Nutt","given":"David J.","non-dropping-particle":"","parse-names":false,"suffix":""},{"dropping-particle":"","family":"Lightman","given":"Stafford L.","non-dropping-particle":"","parse-names":false,"suffix":""},{"dropping-particle":"","family":"Rook","given":"Graham A W","non-dropping-particle":"","parse-names":false,"suffix":""},{"dropping-particle":"","family":"Lowry","given":"Christopher A.","non-dropping-particle":"","parse-names":false,"suffix":""}],"container-title":"Expert reviews in molecular medicine","id":"ITEM-1","issue":"20","issued":{"date-parts":[["2006","8","31"]]},"page":"1-27","title":"Tryptophan metabolism in the central nervous system: medical implications.","type":"article-journal","volume":"8"},"uris":["http://www.mendeley.com/documents/?uuid=12ced228-e8de-4974-95d7-289dc3553cb6"]}],"mendeley":{"formattedCitation":"&lt;sup&gt;[42]&lt;/sup&gt;","plainTextFormattedCitation":"[42]","previouslyFormattedCitation":"&lt;sup&gt;[41]&lt;/sup&gt;"},"properties":{"noteIndex":0},"schema":"https://github.com/citation-style-language/schema/raw/master/csl-citation.json"}</w:instrText>
      </w:r>
      <w:r w:rsidR="00797642" w:rsidRPr="001F1399">
        <w:rPr>
          <w:rStyle w:val="eop"/>
          <w:rFonts w:ascii="Book Antiqua" w:hAnsi="Book Antiqua" w:cs="Calibri"/>
          <w:lang w:val="en-US"/>
        </w:rPr>
        <w:fldChar w:fldCharType="separate"/>
      </w:r>
      <w:r w:rsidR="00B1214D" w:rsidRPr="001F1399">
        <w:rPr>
          <w:rStyle w:val="eop"/>
          <w:rFonts w:ascii="Book Antiqua" w:hAnsi="Book Antiqua" w:cs="Calibri"/>
          <w:noProof/>
          <w:vertAlign w:val="superscript"/>
          <w:lang w:val="en-US"/>
        </w:rPr>
        <w:t>[42]</w:t>
      </w:r>
      <w:r w:rsidR="00797642" w:rsidRPr="001F1399">
        <w:rPr>
          <w:rStyle w:val="eop"/>
          <w:rFonts w:ascii="Book Antiqua" w:hAnsi="Book Antiqua" w:cs="Calibri"/>
          <w:lang w:val="en-US"/>
        </w:rPr>
        <w:fldChar w:fldCharType="end"/>
      </w:r>
      <w:r w:rsidR="002B11B8" w:rsidRPr="001F1399">
        <w:rPr>
          <w:rStyle w:val="eop"/>
          <w:rFonts w:ascii="Book Antiqua" w:hAnsi="Book Antiqua" w:cs="Calibri"/>
          <w:lang w:val="en-US"/>
        </w:rPr>
        <w:t xml:space="preserve">. </w:t>
      </w:r>
    </w:p>
    <w:p w14:paraId="07C4AD0D" w14:textId="665ADFED" w:rsidR="00DC7B49" w:rsidRPr="001F1399" w:rsidRDefault="0012395F" w:rsidP="002974FA">
      <w:pPr>
        <w:pStyle w:val="paragraph"/>
        <w:adjustRightInd w:val="0"/>
        <w:snapToGrid w:val="0"/>
        <w:spacing w:before="0" w:beforeAutospacing="0" w:after="0" w:afterAutospacing="0" w:line="360" w:lineRule="auto"/>
        <w:ind w:firstLineChars="100" w:firstLine="240"/>
        <w:jc w:val="both"/>
        <w:textAlignment w:val="baseline"/>
        <w:rPr>
          <w:rStyle w:val="eop"/>
          <w:rFonts w:ascii="Book Antiqua" w:hAnsi="Book Antiqua" w:cs="Calibri"/>
          <w:lang w:val="en-US"/>
        </w:rPr>
      </w:pPr>
      <w:r w:rsidRPr="001F1399">
        <w:rPr>
          <w:rStyle w:val="spellingerror"/>
          <w:rFonts w:ascii="Book Antiqua" w:hAnsi="Book Antiqua" w:cs="Calibri"/>
          <w:bCs/>
          <w:lang w:val="en-US"/>
        </w:rPr>
        <w:t>While n</w:t>
      </w:r>
      <w:r w:rsidR="00DC7B49" w:rsidRPr="001F1399">
        <w:rPr>
          <w:rStyle w:val="spellingerror"/>
          <w:rFonts w:ascii="Book Antiqua" w:hAnsi="Book Antiqua" w:cs="Calibri"/>
          <w:bCs/>
          <w:lang w:val="en-US"/>
        </w:rPr>
        <w:t>euronal connections star to settle during the fetal period</w:t>
      </w:r>
      <w:r w:rsidRPr="001F1399">
        <w:rPr>
          <w:rStyle w:val="spellingerror"/>
          <w:rFonts w:ascii="Book Antiqua" w:hAnsi="Book Antiqua" w:cs="Calibri"/>
          <w:bCs/>
          <w:lang w:val="en-US"/>
        </w:rPr>
        <w:t>,</w:t>
      </w:r>
      <w:r w:rsidR="00DC7B49" w:rsidRPr="001F1399">
        <w:rPr>
          <w:rStyle w:val="spellingerror"/>
          <w:rFonts w:ascii="Book Antiqua" w:hAnsi="Book Antiqua" w:cs="Calibri"/>
          <w:bCs/>
          <w:lang w:val="en-US"/>
        </w:rPr>
        <w:t xml:space="preserve"> </w:t>
      </w:r>
      <w:r w:rsidRPr="001F1399">
        <w:rPr>
          <w:rStyle w:val="spellingerror"/>
          <w:rFonts w:ascii="Book Antiqua" w:hAnsi="Book Antiqua" w:cs="Calibri"/>
          <w:bCs/>
          <w:lang w:val="en-US"/>
        </w:rPr>
        <w:t>t</w:t>
      </w:r>
      <w:r w:rsidR="00DC7B49" w:rsidRPr="001F1399">
        <w:rPr>
          <w:rStyle w:val="spellingerror"/>
          <w:rFonts w:ascii="Book Antiqua" w:hAnsi="Book Antiqua" w:cs="Calibri"/>
          <w:bCs/>
          <w:lang w:val="en-US"/>
        </w:rPr>
        <w:t xml:space="preserve">heir complete development won’t be achieved before adulthood. This is the reason why brain/periphery neuronal organization will remain very sensitive during a wide lifespan window. Thanks to epidemiological observation, the developing brain is known to be very sensitive to both external and internal environmental cues as early as prenatal life. During this period, maternal metabolic and immune activities will be </w:t>
      </w:r>
      <w:r w:rsidR="00DC7B49" w:rsidRPr="001F1399">
        <w:rPr>
          <w:rStyle w:val="spellingerror"/>
          <w:rFonts w:ascii="Book Antiqua" w:hAnsi="Book Antiqua" w:cs="Calibri"/>
          <w:bCs/>
          <w:lang w:val="en-US"/>
        </w:rPr>
        <w:lastRenderedPageBreak/>
        <w:t>dependent of the external environment. Their reactivity will interfere with the neurodevelopment in the womb and any alteration of maternal endocrine or immune response may have strong irreversible consequences on fetal development through epigenetic modifications. These studies linked neurodevelopmental disorders such as schizophrenia or autism with microbial infection during fetal life</w:t>
      </w:r>
      <w:r w:rsidR="007C7A32" w:rsidRPr="001F1399">
        <w:rPr>
          <w:rStyle w:val="eop"/>
          <w:rFonts w:ascii="Book Antiqua" w:hAnsi="Book Antiqua" w:cs="Calibri"/>
          <w:lang w:val="en-US"/>
        </w:rPr>
        <w:fldChar w:fldCharType="begin" w:fldLock="1"/>
      </w:r>
      <w:r w:rsidR="00B1214D" w:rsidRPr="001F1399">
        <w:rPr>
          <w:rStyle w:val="eop"/>
          <w:rFonts w:ascii="Book Antiqua" w:hAnsi="Book Antiqua" w:cs="Calibri"/>
          <w:lang w:val="en-US"/>
        </w:rPr>
        <w:instrText>ADDIN CSL_CITATION {"citationItems":[{"id":"ITEM-1","itemData":{"DOI":"10.1016/j.biopsych.2010.05.028","ISSN":"00063223","PMID":"20674602","author":[{"dropping-particle":"","family":"Bale","given":"Tracy L.","non-dropping-particle":"","parse-names":false,"suffix":""},{"dropping-particle":"","family":"Baram","given":"Tallie Z.","non-dropping-particle":"","parse-names":false,"suffix":""},{"dropping-particle":"","family":"Brown","given":"Alan S.","non-dropping-particle":"","parse-names":false,"suffix":""},{"dropping-particle":"","family":"Goldstein","given":"Jill M.","non-dropping-particle":"","parse-names":false,"suffix":""},{"dropping-particle":"","family":"Insel","given":"Thomas R.","non-dropping-particle":"","parse-names":false,"suffix":""},{"dropping-particle":"","family":"McCarthy","given":"Margaret M.","non-dropping-particle":"","parse-names":false,"suffix":""},{"dropping-particle":"","family":"Nemeroff","given":"Charles B.","non-dropping-particle":"","parse-names":false,"suffix":""},{"dropping-particle":"","family":"Reyes","given":"Teresa M.","non-dropping-particle":"","parse-names":false,"suffix":""},{"dropping-particle":"","family":"Simerly","given":"Richard B.","non-dropping-particle":"","parse-names":false,"suffix":""},{"dropping-particle":"","family":"Susser","given":"Ezra S.","non-dropping-particle":"","parse-names":false,"suffix":""},{"dropping-particle":"","family":"Nestler","given":"Eric J.","non-dropping-particle":"","parse-names":false,"suffix":""}],"container-title":"Biological Psychiatry","id":"ITEM-1","issue":"4","issued":{"date-parts":[["2010","8"]]},"page":"314-319","title":"Early Life Programming and Neurodevelopmental Disorders","type":"article-journal","volume":"68"},"uris":["http://www.mendeley.com/documents/?uuid=3b7462f7-4182-4989-b22b-20068fba1dad"]},{"id":"ITEM-2","itemData":{"DOI":"10.1086/341914","ISSN":"1537-6591","PMID":"12173102","abstract":"Some cases of late-onset (regressive) autism may involve abnormal flora because oral vancomycin, which is poorly absorbed, may lead to significant improvement in these children. Fecal flora of children with regressive autism was compared with that of control children, and clostridial counts were higher. The number of clostridial species found in the stools of children with autism was greater than in the stools of control children. Children with autism had 9 species of Clostridium not found in controls, whereas controls yielded only 3 species not found in children with autism. In all, there were 25 different clostridial species found. In gastric and duodenal specimens, the most striking finding was total absence of non-spore-forming anaerobes and microaerophilic bacteria from control children and significant numbers of such bacteria from children with autism. These studies demonstrate significant alterations in the upper and lower intestinal flora of children with late-onset autism and may provide insights into the nature of this disorder.","author":[{"dropping-particle":"","family":"Finegold","given":"Sydney M.","non-dropping-particle":"","parse-names":false,"suffix":""},{"dropping-particle":"","family":"Molitoris","given":"Denise","non-dropping-particle":"","parse-names":false,"suffix":""},{"dropping-particle":"","family":"Song","given":"Yuli","non-dropping-particle":"","parse-names":false,"suffix":""},{"dropping-particle":"","family":"Liu","given":"Chengxu","non-dropping-particle":"","parse-names":false,"suffix":""},{"dropping-particle":"","family":"Vaisanen","given":"Marja</w:instrText>
      </w:r>
      <w:r w:rsidR="00B1214D" w:rsidRPr="001F1399">
        <w:rPr>
          <w:rStyle w:val="eop"/>
          <w:rFonts w:ascii="Cambria Math" w:hAnsi="Cambria Math" w:cs="Cambria Math"/>
          <w:lang w:val="en-US"/>
        </w:rPr>
        <w:instrText>‐</w:instrText>
      </w:r>
      <w:r w:rsidR="00B1214D" w:rsidRPr="001F1399">
        <w:rPr>
          <w:rStyle w:val="eop"/>
          <w:rFonts w:ascii="Book Antiqua" w:hAnsi="Book Antiqua" w:cs="Calibri"/>
          <w:lang w:val="en-US"/>
        </w:rPr>
        <w:instrText>Liisa","non-dropping-particle":"","parse-names":false,"suffix":""},{"dropping-particle":"","family":"Bolte","given":"Ellen","non-dropping-particle":"","parse-names":false,"suffix":""},{"dropping-particle":"","family":"McTeague","given":"Maureen","non-dropping-particle":"","parse-names":false,"suffix":""},{"dropping-particle":"","family":"Sandler","given":"Richard","non-dropping-particle":"","parse-names":false,"suffix":""},{"dropping-particle":"","family":"Wexler","given":"Hannah","non-dropping-particle":"","parse-names":false,"suffix":""},{"dropping-particle":"","family":"Marlowe","given":"Elizabeth M.","non-dropping-particle":"","parse-names":false,"suffix":""},{"dropping-particle":"","family":"Collins","given":"Matthew D.","non-dropping-particle":"","parse-names":false,"suffix":""},{"dropping-particle":"","family":"Lawson","given":"Paul A.","non-dropping-particle":"","parse-names":false,"suffix":""},{"dropping-particle":"","family":"Summanen","given":"Paula","non-dropping-particle":"","parse-names":false,"suffix":""},{"dropping-particle":"","family":"Baysallar","given":"Mehmet","non-dropping-particle":"","parse-names":false,"suffix":""},{"dropping-particle":"","family":"Tomzynski","given":"Thomas J.","non-dropping-particle":"","parse-names":false,"suffix":""},{"dropping-particle":"","family":"Read","given":"Erik","non-dropping-particle":"","parse-names":false,"suffix":""},{"dropping-particle":"","family":"Johnson","given":"Eric","non-dropping-particle":"","parse-names":false,"suffix":""},{"dropping-particle":"","family":"Rolfe","given":"Rial","non-dropping-particle":"","parse-names":false,"suffix":""},{"dropping-particle":"","family":"Nasir","given":"Palwasha","non-dropping-particle":"","parse-names":false,"suffix":""},{"dropping-particle":"","family":"Shah","given":"Haroun","non-dropping-particle":"","parse-names":false,"suffix":""},{"dropping-particle":"","family":"Haake","given":"David A.","non-dropping-particle":"","parse-names":false,"suffix":""},{"dropping-particle":"","family":"Manning","given":"Patricia","non-dropping-particle":"","parse-names":false,"suffix":""},{"dropping-particle":"","family":"Kaul","given":"Ajay","non-dropping-particle":"","parse-names":false,"suffix":""}],"container-title":"Clinical infectious diseases : an official publication of the Infectious Diseases Society of America","id":"ITEM-2","issue":"Suppl 1","issued":{"date-parts":[["2002","9","1"]]},"page":"S6-S16","title":"Gastrointestinal microflora studies in late-onset autism.","type":"article-journal","volume":"35"},"uris":["http://www.mendeley.com/documents/?uuid=f09165e0-4951-4187-be50-4e308a36e22f"]},{"id":"ITEM-3","itemData":{"DOI":"10.1093/schbul/sbn080","ISSN":"0586-7614","PMID":"18635675","abstract":"While genetic factors account for a significant proportion of liability to schizophrenia, a body of evidence attests to a significant environmental contribution. Understanding the mechanisms through which genetic and environmental factors coalesce in influencing schizophrenia is critical for elucidating the pathways underlying psychotic illness and for developing primary prevention strategies. Although obstetric complications (OCs) remain among the most well-documented environmental indicators of risk for schizophrenia, the pathogenic role they play in the etiology of schizophrenia continues to remain poorly understood. A question of major importance is do these factors result from a genetic diathesis to schizophrenia (as in gene-environment covariation), act additively or interactively with predisposing genes for the disorder in influencing disease risk, or independently cause disease onset? In this review, we evaluate 3 classes of OCs commonly related to schizophrenia including hypoxia-associated OCs, maternal infection during pregnancy, and maternal stress during pregnancy. In addition, we discuss several mechanisms by which OCs impact on genetically susceptible brain regions, increasing constitutional vulnerability to neuromaturational events and stressors later in life (ie, adolescence), which may in turn contribute to triggering psychosis.","author":[{"dropping-particle":"","family":"Mittal","given":"Vijay A.","non-dropping-particle":"","parse-names":false,"suffix":""},{"dropping-particle":"","family":"Ellman","given":"Lauren M.","non-dropping-particle":"","parse-names":false,"suffix":""},{"dropping-particle":"","family":"Cannon","given":"Tyrone D.","non-dropping-particle":"","parse-names":false,"suffix":""}],"container-title":"Schizophrenia bulletin","id":"ITEM-3","issue":"6","issued":{"date-parts":[["2008","11","20"]]},"page":"1083-94","title":"Gene-environment interaction and covariation in schizophrenia: the role of obstetric complications.","type":"article-journal","volume":"34"},"uris":["http://www.mendeley.com/documents/?uuid=5f234765-e697-4c46-b928-1d9c201ee05c"]}],"mendeley":{"formattedCitation":"&lt;sup&gt;[43–45]&lt;/sup&gt;"},"properties":{"noteIndex":0},"schema":"https://github.com/citation-style-language/schema/raw/master/csl-citation.json"}</w:instrText>
      </w:r>
      <w:r w:rsidR="007C7A32" w:rsidRPr="001F1399">
        <w:rPr>
          <w:rStyle w:val="eop"/>
          <w:rFonts w:ascii="Book Antiqua" w:hAnsi="Book Antiqua" w:cs="Calibri"/>
          <w:vertAlign w:val="superscript"/>
          <w:lang w:val="en-US"/>
        </w:rPr>
        <w:fldChar w:fldCharType="separate"/>
      </w:r>
      <w:r w:rsidR="00B1214D" w:rsidRPr="001F1399">
        <w:rPr>
          <w:rStyle w:val="eop"/>
          <w:rFonts w:ascii="Book Antiqua" w:hAnsi="Book Antiqua" w:cs="Calibri"/>
          <w:noProof/>
          <w:vertAlign w:val="superscript"/>
          <w:lang w:val="en-US"/>
        </w:rPr>
        <w:t>[43</w:t>
      </w:r>
      <w:r w:rsidR="00D73513" w:rsidRPr="001F1399">
        <w:rPr>
          <w:rStyle w:val="eop"/>
          <w:rFonts w:ascii="Book Antiqua" w:hAnsi="Book Antiqua" w:cs="Calibri"/>
          <w:noProof/>
          <w:vertAlign w:val="superscript"/>
          <w:lang w:val="en-US"/>
        </w:rPr>
        <w:t>-</w:t>
      </w:r>
      <w:r w:rsidR="00B1214D" w:rsidRPr="001F1399">
        <w:rPr>
          <w:rStyle w:val="eop"/>
          <w:rFonts w:ascii="Book Antiqua" w:hAnsi="Book Antiqua" w:cs="Calibri"/>
          <w:noProof/>
          <w:vertAlign w:val="superscript"/>
          <w:lang w:val="en-US"/>
        </w:rPr>
        <w:t>45]</w:t>
      </w:r>
      <w:r w:rsidR="007C7A32" w:rsidRPr="001F1399">
        <w:rPr>
          <w:rStyle w:val="eop"/>
          <w:rFonts w:ascii="Book Antiqua" w:hAnsi="Book Antiqua" w:cs="Calibri"/>
          <w:lang w:val="en-US"/>
        </w:rPr>
        <w:fldChar w:fldCharType="end"/>
      </w:r>
      <w:r w:rsidR="007C7A32" w:rsidRPr="001F1399">
        <w:rPr>
          <w:rStyle w:val="eop"/>
          <w:rFonts w:ascii="Book Antiqua" w:hAnsi="Book Antiqua" w:cs="Calibri"/>
          <w:lang w:val="en-US"/>
        </w:rPr>
        <w:t>. While placenta is considered to protect the fetus, placing him in an almost sterile environment, the maternal environment will by many ways condition fetal brain development. Indeed, maternal microbiota metabolites may cross the placental barrier and affect the fetal brain construction programming which is dependent on placental neurohormones such as serotonin, essential for the forebrain development</w:t>
      </w:r>
      <w:r w:rsidR="007C7A32" w:rsidRPr="001F1399">
        <w:rPr>
          <w:rStyle w:val="eop"/>
          <w:rFonts w:ascii="Book Antiqua" w:hAnsi="Book Antiqua" w:cs="Calibri"/>
          <w:lang w:val="en-US"/>
        </w:rPr>
        <w:fldChar w:fldCharType="begin" w:fldLock="1"/>
      </w:r>
      <w:r w:rsidR="00B1214D" w:rsidRPr="001F1399">
        <w:rPr>
          <w:rStyle w:val="eop"/>
          <w:rFonts w:ascii="Book Antiqua" w:hAnsi="Book Antiqua" w:cs="Calibri"/>
          <w:lang w:val="en-US"/>
        </w:rPr>
        <w:instrText>ADDIN CSL_CITATION {"citationItems":[{"id":"ITEM-1","itemData":{"DOI":"10.1016/j. bbi.2007.08.009","PMID":"17920243","author":[{"dropping-particle":"","family":"Goehler","given":"LE","non-dropping-particle":"","parse-names":false,"suffix":""},{"dropping-particle":"","family":"Park","given":"SM","non-dropping-particle":"","parse-names":false,"suffix":""},{"dropping-particle":"","family":"Opitz","given":"N","non-dropping-particle":"","parse-names":false,"suffix":""},{"dropping-particle":"","family":"Lyte","given":"M","non-dropping-particle":"","parse-names":false,"suffix":""},{"dropping-particle":"","family":"Gaykema","given":"RP","non-dropping-particle":"","parse-names":false,"suffix":""}],"container-title":"brain Behav Immun2","id":"ITEM-1","issued":{"date-parts":[["2008"]]},"page":"354-366","title":"Campylobacter jejuni infection increases anxiety- like behavior in the holeboard: possible anatomical substrates for viscerosensory modulation of exploratory behavior","type":"article-journal","volume":"22"},"uris":["http://www.mendeley.com/documents/?uuid=e7ab620b-e9c2-455a-a991-5530bdb904f1"]}],"mendeley":{"formattedCitation":"&lt;sup&gt;[46]&lt;/sup&gt;","plainTextFormattedCitation":"[46]","previouslyFormattedCitation":"&lt;sup&gt;[45]&lt;/sup&gt;"},"properties":{"noteIndex":0},"schema":"https://github.com/citation-style-language/schema/raw/master/csl-citation.json"}</w:instrText>
      </w:r>
      <w:r w:rsidR="007C7A32" w:rsidRPr="001F1399">
        <w:rPr>
          <w:rStyle w:val="eop"/>
          <w:rFonts w:ascii="Book Antiqua" w:hAnsi="Book Antiqua" w:cs="Calibri"/>
          <w:lang w:val="en-US"/>
        </w:rPr>
        <w:fldChar w:fldCharType="separate"/>
      </w:r>
      <w:r w:rsidR="00B1214D" w:rsidRPr="001F1399">
        <w:rPr>
          <w:rStyle w:val="eop"/>
          <w:rFonts w:ascii="Book Antiqua" w:hAnsi="Book Antiqua" w:cs="Calibri"/>
          <w:noProof/>
          <w:vertAlign w:val="superscript"/>
          <w:lang w:val="en-US"/>
        </w:rPr>
        <w:t>[46]</w:t>
      </w:r>
      <w:r w:rsidR="007C7A32" w:rsidRPr="001F1399">
        <w:rPr>
          <w:rStyle w:val="eop"/>
          <w:rFonts w:ascii="Book Antiqua" w:hAnsi="Book Antiqua" w:cs="Calibri"/>
          <w:lang w:val="en-US"/>
        </w:rPr>
        <w:fldChar w:fldCharType="end"/>
      </w:r>
      <w:r w:rsidR="009E7068" w:rsidRPr="001F1399">
        <w:rPr>
          <w:rStyle w:val="eop"/>
          <w:rFonts w:ascii="Book Antiqua" w:hAnsi="Book Antiqua" w:cs="Calibri"/>
          <w:lang w:val="en-US"/>
        </w:rPr>
        <w:t xml:space="preserve"> or metabolic hormones such as adipokines or steroids controlling cell proliferation, </w:t>
      </w:r>
      <w:r w:rsidR="009465C8" w:rsidRPr="001F1399">
        <w:rPr>
          <w:rStyle w:val="eop"/>
          <w:rFonts w:ascii="Book Antiqua" w:hAnsi="Book Antiqua" w:cs="Calibri"/>
          <w:lang w:val="en-US"/>
        </w:rPr>
        <w:t>differentiation</w:t>
      </w:r>
      <w:r w:rsidR="009E7068" w:rsidRPr="001F1399">
        <w:rPr>
          <w:rStyle w:val="eop"/>
          <w:rFonts w:ascii="Book Antiqua" w:hAnsi="Book Antiqua" w:cs="Calibri"/>
          <w:lang w:val="en-US"/>
        </w:rPr>
        <w:t>, neurodevelopment</w:t>
      </w:r>
      <w:r w:rsidR="009E7068" w:rsidRPr="001F1399">
        <w:rPr>
          <w:rStyle w:val="eop"/>
          <w:rFonts w:ascii="Book Antiqua" w:hAnsi="Book Antiqua" w:cs="Calibri"/>
          <w:lang w:val="en-US"/>
        </w:rPr>
        <w:fldChar w:fldCharType="begin" w:fldLock="1"/>
      </w:r>
      <w:r w:rsidR="00B1214D" w:rsidRPr="001F1399">
        <w:rPr>
          <w:rStyle w:val="eop"/>
          <w:rFonts w:ascii="Book Antiqua" w:hAnsi="Book Antiqua" w:cs="Calibri"/>
          <w:lang w:val="en-US"/>
        </w:rPr>
        <w:instrText>ADDIN CSL_CITATION {"citationItems":[{"id":"ITEM-1","itemData":{"DOI":"10.1002/dev.20170","ISSN":"0012-1630","PMID":"17016842","abstract":"Decades of research in the area of developmental psychobiology have shown that early life experience alters behavioral and brain development, which canalizes development to suit different environments. Recent methodological advances have begun to identify the mechanisms by which early life experiences cause these diverse adult outcomes. Here we present four different research programs that demonstrate the intricacies of early environmental influences on behavioral and brain development in both pathological and normal development. First, an animal model of schizophrenia is presented that suggests prenatal immune stimulation influences the postpubertal emergence of psychosis-related behavior in mice. Second, we describe a research program on infant rats that demonstrates how early odor learning has unique characteristics due to the unique functioning of the infant limbic system. Third, we present work on the rodent Octodon degus, which shows that early paternal and/or maternal deprivation alters development of limbic system synaptic density that corresponds to heightened emotionality. Fourth, a juvenile model of stress is presented that suggests this developmental period is important in determining adulthood emotional well being. The approach of each research program is strikingly different, yet all succeed in delineating a specific aspect of early development and its effects on infant and adult outcome that expands our understanding of the developmental impact of infant experiences on emotional and limbic system development. Together, these research programs suggest that the developing organism's developmental trajectory is influenced by environmental factors beginning in the fetus and extending through adolescence, although the specific timing and nature of the environmental influence has unique impact on adult mental health.","author":[{"dropping-particle":"","family":"Sullivan","given":"Regina","non-dropping-particle":"","parse-names":false,"suffix":""},{"dropping-particle":"","family":"Wilson","given":"Donald A.","non-dropping-particle":"","parse-names":false,"suffix":""},{"dropping-particle":"","family":"Feldon","given":"Joram","non-dropping-particle":"","parse-names":false,"suffix":""},{"dropping-particle":"","family":"Yee","given":"Benjamin K.","non-dropping-particle":"","parse-names":false,"suffix":""},{"dropping-particle":"","family":"Meyer","given":"Urs","non-dropping-particle":"","parse-names":false,"suffix":""},{"dropping-particle":"","family":"Richter-Levin","given":"Gal","non-dropping-particle":"","parse-names":false,"suffix":""},{"dropping-particle":"","family":"Avi","given":"Avital","non-dropping-particle":"","parse-names":false,"suffix":""},{"dropping-particle":"","family":"Michael","given":"Tsoory","non-dropping-particle":"","parse-names":false,"suffix":""},{"dropping-particle":"","family":"Gruss","given":"Michael","non-dropping-particle":"","parse-names":false,"suffix":""},{"dropping-particle":"","family":"Bock","given":"Jörg","non-dropping-particle":"","parse-names":false,"suffix":""},{"dropping-particle":"","family":"Helmeke","given":"Carina","non-dropping-particle":"","parse-names":false,"suffix":""},{"dropping-particle":"","family":"Braun","given":"Katharina","non-dropping-particle":"","parse-names":false,"suffix":""}],"container-title":"Developmental psychobiology","id":"ITEM-1","issue":"7","issued":{"date-parts":[["2006","11"]]},"page":"583-602","title":"The International Society for Developmental Psychobiology annual meeting symposium: Impact of early life experiences on brain and behavioral development.","type":"article-journal","volume":"48"},"uris":["http://www.mendeley.com/documents/?uuid=527449dd-7285-4553-bb8a-19994b02e4a7"]},{"id":"ITEM-2","itemData":{"DOI":"10.1111/j.1472-765X.2008.02475.x","ISSN":"02668254","PMID":"19018955","author":[{"dropping-particle":"","family":"Satokari","given":"R.","non-dropping-particle":"","parse-names":false,"suffix":""},{"dropping-particle":"","family":"Grönroos","given":"T.","non-dropping-particle":"","parse-names":false,"suffix":""},{"dropping-particle":"","family":"Laitinen","given":"K.","non-dropping-particle":"","parse-names":false,"suffix":""},{"dropping-particle":"","family":"Salminen","given":"S.","non-dropping-particle":"","parse-names":false,"suffix":""},{"dropping-particle":"","family":"Isolauri","given":"E.","non-dropping-particle":"","parse-names":false,"suffix":""}],"container-title":"Letters in Applied Microbiology","id":"ITEM-2","issue":"1","issued":{"date-parts":[["2009","1"]]},"page":"8-12","title":"Bifidobacterium and Lactobacillus DNA in the human placenta","type":"article-journal","volume":"48"},"uris":["http://www.mendeley.com/documents/?uuid=d7908a5f-f318-4926-b442-d51b815aac44"]}],"mendeley":{"formattedCitation":"&lt;sup&gt;[47,48]&lt;/sup&gt;","plainTextFormattedCitation":"[47,48]","previouslyFormattedCitation":"&lt;sup&gt;[46,47]&lt;/sup&gt;"},"properties":{"noteIndex":0},"schema":"https://github.com/citation-style-language/schema/raw/master/csl-citation.json"}</w:instrText>
      </w:r>
      <w:r w:rsidR="009E7068" w:rsidRPr="001F1399">
        <w:rPr>
          <w:rStyle w:val="eop"/>
          <w:rFonts w:ascii="Book Antiqua" w:hAnsi="Book Antiqua" w:cs="Calibri"/>
          <w:lang w:val="en-US"/>
        </w:rPr>
        <w:fldChar w:fldCharType="separate"/>
      </w:r>
      <w:r w:rsidR="00B1214D" w:rsidRPr="001F1399">
        <w:rPr>
          <w:rStyle w:val="eop"/>
          <w:rFonts w:ascii="Book Antiqua" w:hAnsi="Book Antiqua" w:cs="Calibri"/>
          <w:noProof/>
          <w:vertAlign w:val="superscript"/>
          <w:lang w:val="en-US"/>
        </w:rPr>
        <w:t>[47,48]</w:t>
      </w:r>
      <w:r w:rsidR="009E7068" w:rsidRPr="001F1399">
        <w:rPr>
          <w:rStyle w:val="eop"/>
          <w:rFonts w:ascii="Book Antiqua" w:hAnsi="Book Antiqua" w:cs="Calibri"/>
          <w:lang w:val="en-US"/>
        </w:rPr>
        <w:fldChar w:fldCharType="end"/>
      </w:r>
      <w:r w:rsidR="009E7068" w:rsidRPr="001F1399">
        <w:rPr>
          <w:rStyle w:val="eop"/>
          <w:rFonts w:ascii="Book Antiqua" w:hAnsi="Book Antiqua" w:cs="Calibri"/>
          <w:lang w:val="en-US"/>
        </w:rPr>
        <w:t>.</w:t>
      </w:r>
      <w:r w:rsidR="00F51EBB" w:rsidRPr="001F1399">
        <w:rPr>
          <w:rStyle w:val="eop"/>
          <w:rFonts w:ascii="Book Antiqua" w:hAnsi="Book Antiqua" w:cs="Calibri"/>
          <w:lang w:val="en-US"/>
        </w:rPr>
        <w:t xml:space="preserve"> </w:t>
      </w:r>
      <w:r w:rsidR="009465C8" w:rsidRPr="001F1399">
        <w:rPr>
          <w:rStyle w:val="eop"/>
          <w:rFonts w:ascii="Book Antiqua" w:hAnsi="Book Antiqua" w:cs="Calibri"/>
          <w:lang w:val="en-US"/>
        </w:rPr>
        <w:t>Furthermore</w:t>
      </w:r>
      <w:r w:rsidR="00F51EBB" w:rsidRPr="001F1399">
        <w:rPr>
          <w:rStyle w:val="eop"/>
          <w:rFonts w:ascii="Book Antiqua" w:hAnsi="Book Antiqua" w:cs="Calibri"/>
          <w:lang w:val="en-US"/>
        </w:rPr>
        <w:t>, maternal gut microbiome regulates serotonin production by enterochromaffin cells</w:t>
      </w:r>
      <w:r w:rsidR="00F51EBB" w:rsidRPr="001F1399">
        <w:rPr>
          <w:rStyle w:val="eop"/>
          <w:rFonts w:ascii="Book Antiqua" w:hAnsi="Book Antiqua" w:cs="Calibri"/>
          <w:lang w:val="en-US"/>
        </w:rPr>
        <w:fldChar w:fldCharType="begin" w:fldLock="1"/>
      </w:r>
      <w:r w:rsidR="00B1214D" w:rsidRPr="001F1399">
        <w:rPr>
          <w:rStyle w:val="eop"/>
          <w:rFonts w:ascii="Book Antiqua" w:hAnsi="Book Antiqua" w:cs="Calibri"/>
          <w:lang w:val="en-US"/>
        </w:rPr>
        <w:instrText>ADDIN CSL_CITATION {"citationItems":[{"id":"ITEM-1","itemData":{"DOI":"10.1161/CIRCRESAHA.115.306807","ISSN":"15244571","PMID":"26358192","abstract":"Rationale: Evidence suggests that the gut microbiome is involved in the development of cardiovascular disease, with the host-microbe interaction regulating immune and metabolic pathways. However, there was no firm evidence for associations between microbiota and metabolic risk factors for cardiovascular disease from large-scale studies in humans. In particular, there was no strong evidence for association between cardiovascular disease and aberrant blood lipid levels. Objectives: To identify intestinal bacteria taxa, whose proportions correlate with body mass index and lipid levels, and to determine whether lipid variance can be explained by microbiota relative to age, sex, and host genetics. Methods and Results: We studied 893 subjects from the LifeLines-DEEP population cohort. After correcting for age and sex, we identified 34 bacterial taxa associated with body mass index and blood lipids; most are novel associations. Cross-validation analysis revealed that microbiota explain 4.5% of the variance in body mass index, 6% in triglycerides, and 4% in high-density lipoproteins, independent of age, sex, and genetic risk factors. A novel risk model, including the gut microbiome explained ≤25.9% of high-density lipoprotein variance, significantly outperforming the risk model without microbiome. Strikingly, the microbiome had little effect on low-density lipoproteins or total cholesterol. Conclusions: Our studies suggest that the gut microbiome may play an important role in the variation in body mass index and blood lipid levels, independent of age, sex, and host genetics. Our findings support the potential of therapies altering the gut microbiome to control body mass, triglycerides, and high-density lipoproteins.","author":[{"dropping-particle":"","family":"Fu","given":"Jingyuan","non-dropping-particle":"","parse-names":false,"suffix":""},{"dropping-particle":"","family":"Bonder","given":"Marc Jan","non-dropping-particle":"","parse-names":false,"suffix":""},{"dropping-particle":"","family":"Cenit","given":"María Carmen","non-dropping-particle":"","parse-names":false,"suffix":""},{"dropping-particle":"","family":"Tigchelaar","given":"Ettje F.","non-dropping-particle":"","parse-names":false,"suffix":""},{"dropping-particle":"","family":"Maatman","given":"Astrid","non-dropping-particle":"","parse-names":false,"suffix":""},{"dropping-particle":"","family":"Dekens","given":"Jackie A.M.","non-dropping-particle":"","parse-names":false,"suffix":""},{"dropping-particle":"","family":"Brandsma","given":"Eelke","non-dropping-particle":"","parse-names":false,"suffix":""},{"dropping-particle":"","family":"Marczynska","given":"Joanna","non-dropping-particle":"","parse-names":false,"suffix":""},{"dropping-particle":"","family":"Imhann","given":"Floris","non-dropping-particle":"","parse-names":false,"suffix":""},{"dropping-particle":"","family":"Weersma","given":"Rinse K.","non-dropping-particle":"","parse-names":false,"suffix":""},{"dropping-particle":"","family":"Franke","given":"Lude","non-dropping-particle":"","parse-names":false,"suffix":""},{"dropping-particle":"","family":"Poon","given":"Tiffany W.","non-dropping-particle":"","parse-names":false,"suffix":""},{"dropping-particle":"","family":"Xavier","given":"Ramnik J.","non-dropping-particle":"","parse-names":false,"suffix":""},{"dropping-particle":"","family":"Gevers","given":"Dirk","non-dropping-particle":"","parse-names":false,"suffix":""},{"dropping-particle":"","family":"Hofker","given":"Marten H.","non-dropping-particle":"","parse-names":false,"suffix":""},{"dropping-particle":"","family":"Wijmenga","given":"Cisca","non-dropping-particle":"","parse-names":false,"suffix":""},{"dropping-particle":"","family":"Zhernakova","given":"Alexandra","non-dropping-particle":"","parse-names":false,"suffix":""}],"container-title":"Circulation Research","id":"ITEM-1","issue":"9","issued":{"date-parts":[["2015"]]},"page":"817-824","title":"The gut microbiome contributes to a substantial proportion of the variation in blood lipids","type":"article-journal","volume":"117"},"uris":["http://www.mendeley.com/documents/?uuid=0afdab57-a15d-449c-9624-47885077e58a"]}],"mendeley":{"formattedCitation":"&lt;sup&gt;[49]&lt;/sup&gt;","plainTextFormattedCitation":"[49]","previouslyFormattedCitation":"&lt;sup&gt;[48]&lt;/sup&gt;"},"properties":{"noteIndex":0},"schema":"https://github.com/citation-style-language/schema/raw/master/csl-citation.json"}</w:instrText>
      </w:r>
      <w:r w:rsidR="00F51EBB" w:rsidRPr="001F1399">
        <w:rPr>
          <w:rStyle w:val="eop"/>
          <w:rFonts w:ascii="Book Antiqua" w:hAnsi="Book Antiqua" w:cs="Calibri"/>
          <w:lang w:val="en-US"/>
        </w:rPr>
        <w:fldChar w:fldCharType="separate"/>
      </w:r>
      <w:r w:rsidR="00B1214D" w:rsidRPr="001F1399">
        <w:rPr>
          <w:rStyle w:val="eop"/>
          <w:rFonts w:ascii="Book Antiqua" w:hAnsi="Book Antiqua" w:cs="Calibri"/>
          <w:noProof/>
          <w:vertAlign w:val="superscript"/>
          <w:lang w:val="en-US"/>
        </w:rPr>
        <w:t>[49]</w:t>
      </w:r>
      <w:r w:rsidR="00F51EBB" w:rsidRPr="001F1399">
        <w:rPr>
          <w:rStyle w:val="eop"/>
          <w:rFonts w:ascii="Book Antiqua" w:hAnsi="Book Antiqua" w:cs="Calibri"/>
          <w:lang w:val="en-US"/>
        </w:rPr>
        <w:fldChar w:fldCharType="end"/>
      </w:r>
      <w:r w:rsidR="002A0FDF" w:rsidRPr="001F1399">
        <w:rPr>
          <w:rStyle w:val="eop"/>
          <w:rFonts w:ascii="Book Antiqua" w:hAnsi="Book Antiqua" w:cs="Calibri"/>
          <w:lang w:val="en-US"/>
        </w:rPr>
        <w:t xml:space="preserve">. Its depletion results in </w:t>
      </w:r>
      <w:r w:rsidR="004E1A3F" w:rsidRPr="001F1399">
        <w:rPr>
          <w:rStyle w:val="eop"/>
          <w:rFonts w:ascii="Book Antiqua" w:hAnsi="Book Antiqua" w:cs="Calibri"/>
          <w:lang w:val="en-US"/>
        </w:rPr>
        <w:t>uttered</w:t>
      </w:r>
      <w:r w:rsidR="002A0FDF" w:rsidRPr="001F1399">
        <w:rPr>
          <w:rStyle w:val="eop"/>
          <w:rFonts w:ascii="Book Antiqua" w:hAnsi="Book Antiqua" w:cs="Calibri"/>
          <w:lang w:val="en-US"/>
        </w:rPr>
        <w:t xml:space="preserve"> brain development</w:t>
      </w:r>
      <w:r w:rsidR="001219CC" w:rsidRPr="001F1399">
        <w:rPr>
          <w:rStyle w:val="eop"/>
          <w:rFonts w:ascii="Book Antiqua" w:hAnsi="Book Antiqua" w:cs="Calibri"/>
          <w:lang w:val="en-US"/>
        </w:rPr>
        <w:fldChar w:fldCharType="begin" w:fldLock="1"/>
      </w:r>
      <w:r w:rsidR="00B1214D" w:rsidRPr="001F1399">
        <w:rPr>
          <w:rStyle w:val="eop"/>
          <w:rFonts w:ascii="Book Antiqua" w:hAnsi="Book Antiqua" w:cs="Calibri"/>
          <w:lang w:val="en-US"/>
        </w:rPr>
        <w:instrText>ADDIN CSL_CITATION {"citationItems":[{"id":"ITEM-1","itemData":{"DOI":"10.1016/S0006-8993(97)00297-7","ISSN":"00068993","PMID":"9237519","author":[{"dropping-particle":"","family":"Mazer","given":"Carrie","non-dropping-particle":"","parse-names":false,"suffix":""},{"dropping-particle":"","family":"Muneyyirci","given":"Jennifer","non-dropping-particle":"","parse-names":false,"suffix":""},{"dropping-particle":"","family":"Taheny","given":"Kenneth","non-dropping-particle":"","parse-names":false,"suffix":""},{"dropping-particle":"","family":"Raio","given":"Nicholas","non-dropping-particle":"","parse-names":false,"suffix":""},{"dropping-particle":"","family":"Borella","given":"Alice","non-dropping-particle":"","parse-names":false,"suffix":""},{"dropping-particle":"","family":"Whitaker-Azmitia","given":"Patricia","non-dropping-particle":"","parse-names":false,"suffix":""}],"container-title":"Brain Research","id":"ITEM-1","issue":"1-2","issued":{"date-parts":[["1997","6"]]},"page":"68-73","title":"Serotonin depletion during synaptogenesis leads to decreased synaptic density and learning deficits in the adult rat: a possible model of neurodevelopmental disorders with cognitive deficits","type":"article-journal","volume":"760"},"uris":["http://www.mendeley.com/documents/?uuid=d97195b1-6ca4-4a17-8dcf-e65b82f1fb05"]}],"mendeley":{"formattedCitation":"&lt;sup&gt;[50]&lt;/sup&gt;","plainTextFormattedCitation":"[50]","previouslyFormattedCitation":"&lt;sup&gt;[49]&lt;/sup&gt;"},"properties":{"noteIndex":0},"schema":"https://github.com/citation-style-language/schema/raw/master/csl-citation.json"}</w:instrText>
      </w:r>
      <w:r w:rsidR="001219CC" w:rsidRPr="001F1399">
        <w:rPr>
          <w:rStyle w:val="eop"/>
          <w:rFonts w:ascii="Book Antiqua" w:hAnsi="Book Antiqua" w:cs="Calibri"/>
          <w:lang w:val="en-US"/>
        </w:rPr>
        <w:fldChar w:fldCharType="separate"/>
      </w:r>
      <w:r w:rsidR="00B1214D" w:rsidRPr="001F1399">
        <w:rPr>
          <w:rStyle w:val="eop"/>
          <w:rFonts w:ascii="Book Antiqua" w:hAnsi="Book Antiqua" w:cs="Calibri"/>
          <w:noProof/>
          <w:vertAlign w:val="superscript"/>
          <w:lang w:val="en-US"/>
        </w:rPr>
        <w:t>[50]</w:t>
      </w:r>
      <w:r w:rsidR="001219CC" w:rsidRPr="001F1399">
        <w:rPr>
          <w:rStyle w:val="eop"/>
          <w:rFonts w:ascii="Book Antiqua" w:hAnsi="Book Antiqua" w:cs="Calibri"/>
          <w:lang w:val="en-US"/>
        </w:rPr>
        <w:fldChar w:fldCharType="end"/>
      </w:r>
      <w:r w:rsidR="00A17A96" w:rsidRPr="001F1399">
        <w:rPr>
          <w:rStyle w:val="eop"/>
          <w:rFonts w:ascii="Book Antiqua" w:hAnsi="Book Antiqua" w:cs="Calibri"/>
          <w:lang w:val="en-US"/>
        </w:rPr>
        <w:t>. Maternal dysbiosis will also influence blood brain barrier formation</w:t>
      </w:r>
      <w:r w:rsidR="00505D2D" w:rsidRPr="001F1399">
        <w:rPr>
          <w:rStyle w:val="eop"/>
          <w:rFonts w:ascii="Book Antiqua" w:hAnsi="Book Antiqua" w:cs="Calibri"/>
          <w:lang w:val="en-US"/>
        </w:rPr>
        <w:fldChar w:fldCharType="begin" w:fldLock="1"/>
      </w:r>
      <w:r w:rsidR="00B1214D" w:rsidRPr="001F1399">
        <w:rPr>
          <w:rStyle w:val="eop"/>
          <w:rFonts w:ascii="Book Antiqua" w:hAnsi="Book Antiqua" w:cs="Calibri"/>
          <w:lang w:val="en-US"/>
        </w:rPr>
        <w:instrText>ADDIN CSL_CITATION {"citationItems":[{"id":"ITEM-1","itemData":{"DOI":"10.1073/pnas.0606722104","ISSN":"0027-8424","PMID":"17182745","abstract":"The early appearance of serotonin and its receptors during prenatal development, together with the many effects serotonin exerts during CNS morphogenesis, strongly suggest that serotonin influences the development and maturation of the mammalian brain before it becomes a neuromodulator/neurotransmitter. Sites of early serotonin biosynthesis, however, have not been detected in mouse embryos or extraembryonic structures, suggesting that the main source of serotonin could be of maternal origin. This hypothesis was tested by using knockout mice lacking the tph1 gene, which is responsible for the synthesis of peripheral serotonin. Genetic crosses were performed to compare the phenotype of pups born from homozygous and heterozygous mothers. Observations provide the first clear evidence that (i) maternal serotonin is involved in the control of morphogenesis during developmental stages that precede the appearance of serotonergic neurons and (ii) serotonin is critical for normal murine development. Most strikingly, the phenotype of tph1-/- embryos depends more on the maternal genotype than on that of the concepti. Consideration of the maternal genotype may thus help to clarify the influence of other genes in complex diseases, such as mental illness.","author":[{"dropping-particle":"","family":"Cote","given":"F.","non-dropping-particle":"","parse-names":false,"suffix":""},{"dropping-particle":"","family":"Fligny","given":"C.","non-dropping-particle":"","parse-names":false,"suffix":""},{"dropping-particle":"","family":"Bayard","given":"E.","non-dropping-particle":"","parse-names":false,"suffix":""},{"dropping-particle":"","family":"Launay","given":"J.-M.","non-dropping-particle":"","parse-names":false,"suffix":""},{"dropping-particle":"","family":"Gershon","given":"M. D.","non-dropping-particle":"","parse-names":false,"suffix":""},{"dropping-particle":"","family":"Mallet","given":"J.","non-dropping-particle":"","parse-names":false,"suffix":""},{"dropping-particle":"","family":"Vodjdani","given":"G.","non-dropping-particle":"","parse-names":false,"suffix":""}],"container-title":"Proceedings of the National Academy of Sciences","id":"ITEM-1","issue":"1","issued":{"date-parts":[["2007","1","2"]]},"page":"329-334","title":"Maternal serotonin is crucial for murine embryonic development","type":"article-journal","volume":"104"},"uris":["http://www.mendeley.com/documents/?uuid=b43eaaf3-48b1-4a1d-ab00-ee4d2384072a"]}],"mendeley":{"formattedCitation":"&lt;sup&gt;[51]&lt;/sup&gt;","plainTextFormattedCitation":"[51]","previouslyFormattedCitation":"&lt;sup&gt;[50]&lt;/sup&gt;"},"properties":{"noteIndex":0},"schema":"https://github.com/citation-style-language/schema/raw/master/csl-citation.json"}</w:instrText>
      </w:r>
      <w:r w:rsidR="00505D2D" w:rsidRPr="001F1399">
        <w:rPr>
          <w:rStyle w:val="eop"/>
          <w:rFonts w:ascii="Book Antiqua" w:hAnsi="Book Antiqua" w:cs="Calibri"/>
          <w:lang w:val="en-US"/>
        </w:rPr>
        <w:fldChar w:fldCharType="separate"/>
      </w:r>
      <w:r w:rsidR="00B1214D" w:rsidRPr="001F1399">
        <w:rPr>
          <w:rStyle w:val="eop"/>
          <w:rFonts w:ascii="Book Antiqua" w:hAnsi="Book Antiqua" w:cs="Calibri"/>
          <w:noProof/>
          <w:vertAlign w:val="superscript"/>
          <w:lang w:val="en-US"/>
        </w:rPr>
        <w:t>[51]</w:t>
      </w:r>
      <w:r w:rsidR="00505D2D" w:rsidRPr="001F1399">
        <w:rPr>
          <w:rStyle w:val="eop"/>
          <w:rFonts w:ascii="Book Antiqua" w:hAnsi="Book Antiqua" w:cs="Calibri"/>
          <w:lang w:val="en-US"/>
        </w:rPr>
        <w:fldChar w:fldCharType="end"/>
      </w:r>
      <w:r w:rsidR="00A17A96" w:rsidRPr="001F1399">
        <w:rPr>
          <w:rStyle w:val="eop"/>
          <w:rFonts w:ascii="Book Antiqua" w:hAnsi="Book Antiqua" w:cs="Calibri"/>
          <w:lang w:val="en-US"/>
        </w:rPr>
        <w:t xml:space="preserve">. </w:t>
      </w:r>
    </w:p>
    <w:p w14:paraId="3F03618B" w14:textId="1273519E" w:rsidR="00A17A96" w:rsidRPr="001F1399" w:rsidRDefault="00573D27" w:rsidP="002974FA">
      <w:pPr>
        <w:pStyle w:val="paragraph"/>
        <w:adjustRightInd w:val="0"/>
        <w:snapToGrid w:val="0"/>
        <w:spacing w:before="0" w:beforeAutospacing="0" w:after="0" w:afterAutospacing="0" w:line="360" w:lineRule="auto"/>
        <w:ind w:firstLineChars="100" w:firstLine="240"/>
        <w:jc w:val="both"/>
        <w:textAlignment w:val="baseline"/>
        <w:rPr>
          <w:rStyle w:val="eop"/>
          <w:rFonts w:ascii="Book Antiqua" w:hAnsi="Book Antiqua" w:cs="Calibri"/>
          <w:bCs/>
          <w:lang w:val="en-US"/>
        </w:rPr>
      </w:pPr>
      <w:r w:rsidRPr="001F1399">
        <w:rPr>
          <w:rStyle w:val="eop"/>
          <w:rFonts w:ascii="Book Antiqua" w:hAnsi="Book Antiqua" w:cs="Calibri"/>
          <w:bCs/>
          <w:lang w:val="en-US"/>
        </w:rPr>
        <w:t xml:space="preserve">Brain development will continue </w:t>
      </w:r>
      <w:r w:rsidR="003F4907" w:rsidRPr="001F1399">
        <w:rPr>
          <w:rStyle w:val="eop"/>
          <w:rFonts w:ascii="Book Antiqua" w:hAnsi="Book Antiqua" w:cs="Calibri"/>
          <w:bCs/>
          <w:lang w:val="en-US"/>
        </w:rPr>
        <w:t>postnatally,</w:t>
      </w:r>
      <w:r w:rsidRPr="001F1399">
        <w:rPr>
          <w:rStyle w:val="eop"/>
          <w:rFonts w:ascii="Book Antiqua" w:hAnsi="Book Antiqua" w:cs="Calibri"/>
          <w:bCs/>
          <w:lang w:val="en-US"/>
        </w:rPr>
        <w:t xml:space="preserve"> and metabolic programming of energy expenditure will be conditioned by a proper settlement of the Arc</w:t>
      </w:r>
      <w:r w:rsidR="006251A2" w:rsidRPr="001F1399">
        <w:rPr>
          <w:rStyle w:val="eop"/>
          <w:rFonts w:ascii="Book Antiqua" w:hAnsi="Book Antiqua" w:cs="Calibri"/>
          <w:bCs/>
          <w:lang w:val="en-US"/>
        </w:rPr>
        <w:t>uate nucleus</w:t>
      </w:r>
      <w:r w:rsidRPr="001F1399">
        <w:rPr>
          <w:rStyle w:val="eop"/>
          <w:rFonts w:ascii="Book Antiqua" w:hAnsi="Book Antiqua" w:cs="Calibri"/>
          <w:bCs/>
          <w:lang w:val="en-US"/>
        </w:rPr>
        <w:t xml:space="preserve">/hypothalamic connections that take place </w:t>
      </w:r>
      <w:r w:rsidR="00732DB1" w:rsidRPr="001F1399">
        <w:rPr>
          <w:rStyle w:val="eop"/>
          <w:rFonts w:ascii="Book Antiqua" w:hAnsi="Book Antiqua" w:cs="Calibri"/>
          <w:bCs/>
          <w:lang w:val="en-US"/>
        </w:rPr>
        <w:t xml:space="preserve">the first couple of days after birth. Synaptogenesis </w:t>
      </w:r>
      <w:r w:rsidR="006A05AC" w:rsidRPr="001F1399">
        <w:rPr>
          <w:rStyle w:val="eop"/>
          <w:rFonts w:ascii="Book Antiqua" w:hAnsi="Book Antiqua" w:cs="Calibri"/>
          <w:bCs/>
          <w:lang w:val="en-US"/>
        </w:rPr>
        <w:t>beg</w:t>
      </w:r>
      <w:r w:rsidR="00732DB1" w:rsidRPr="001F1399">
        <w:rPr>
          <w:rStyle w:val="eop"/>
          <w:rFonts w:ascii="Book Antiqua" w:hAnsi="Book Antiqua" w:cs="Calibri"/>
          <w:bCs/>
          <w:lang w:val="en-US"/>
        </w:rPr>
        <w:t>ins shortly after birth and reaches a maximal level around 2 years of age before synaptic refinement during mid-adolescence to get adult neuronal organization</w:t>
      </w:r>
      <w:r w:rsidR="00273198" w:rsidRPr="001F1399">
        <w:rPr>
          <w:rStyle w:val="eop"/>
          <w:rFonts w:ascii="Book Antiqua" w:hAnsi="Book Antiqua" w:cs="Calibri"/>
          <w:bCs/>
          <w:lang w:val="en-US"/>
        </w:rPr>
        <w:fldChar w:fldCharType="begin" w:fldLock="1"/>
      </w:r>
      <w:r w:rsidR="00B1214D" w:rsidRPr="001F1399">
        <w:rPr>
          <w:rStyle w:val="eop"/>
          <w:rFonts w:ascii="Book Antiqua" w:hAnsi="Book Antiqua" w:cs="Calibri"/>
          <w:bCs/>
          <w:lang w:val="en-US"/>
        </w:rPr>
        <w:instrText>ADDIN CSL_CITATION {"citationItems":[{"id":"ITEM-1","itemData":{"DOI":"10.1055/s-2007-973720","ISSN":"0174-304X","PMID":"9453026","author":[{"dropping-particle":"","family":"Herschkowitz","given":"N.","non-dropping-particle":"","parse-names":false,"suffix":""},{"dropping-particle":"","family":"Kagan","given":"J.","non-dropping-particle":"","parse-names":false,"suffix":""},{"dropping-particle":"","family":"Zilles","given":"K.","non-dropping-particle":"","parse-names":false,"suffix":""}],"container-title":"Neuropediatrics","id":"ITEM-1","issue":"06","issued":{"date-parts":[["1997","12","13"]]},"page":"296-306","title":"Neurobiological Bases of Behavioral Development in the First Year","type":"article-journal","volume":"28"},"uris":["http://www.mendeley.com/documents/?uuid=7ba29ca6-3086-4887-954b-3e1be8bba376"]}],"mendeley":{"formattedCitation":"&lt;sup&gt;[52]&lt;/sup&gt;","plainTextFormattedCitation":"[52]","previouslyFormattedCitation":"&lt;sup&gt;[51]&lt;/sup&gt;"},"properties":{"noteIndex":0},"schema":"https://github.com/citation-style-language/schema/raw/master/csl-citation.json"}</w:instrText>
      </w:r>
      <w:r w:rsidR="00273198" w:rsidRPr="001F1399">
        <w:rPr>
          <w:rStyle w:val="eop"/>
          <w:rFonts w:ascii="Book Antiqua" w:hAnsi="Book Antiqua" w:cs="Calibri"/>
          <w:bCs/>
          <w:vertAlign w:val="superscript"/>
          <w:lang w:val="en-US"/>
        </w:rPr>
        <w:fldChar w:fldCharType="separate"/>
      </w:r>
      <w:r w:rsidR="00B1214D" w:rsidRPr="001F1399">
        <w:rPr>
          <w:rStyle w:val="eop"/>
          <w:rFonts w:ascii="Book Antiqua" w:hAnsi="Book Antiqua" w:cs="Calibri"/>
          <w:bCs/>
          <w:noProof/>
          <w:vertAlign w:val="superscript"/>
          <w:lang w:val="en-US"/>
        </w:rPr>
        <w:t>[52]</w:t>
      </w:r>
      <w:r w:rsidR="00273198" w:rsidRPr="001F1399">
        <w:rPr>
          <w:rStyle w:val="eop"/>
          <w:rFonts w:ascii="Book Antiqua" w:hAnsi="Book Antiqua" w:cs="Calibri"/>
          <w:bCs/>
          <w:lang w:val="en-US"/>
        </w:rPr>
        <w:fldChar w:fldCharType="end"/>
      </w:r>
      <w:r w:rsidR="00732DB1" w:rsidRPr="001F1399">
        <w:rPr>
          <w:rStyle w:val="eop"/>
          <w:rFonts w:ascii="Book Antiqua" w:hAnsi="Book Antiqua" w:cs="Calibri"/>
          <w:bCs/>
          <w:lang w:val="en-US"/>
        </w:rPr>
        <w:t>. This development is partly under the control of brain derived nerve factor (BDNF), a key neurotrophin known to be involved in neuronal growth and survival</w:t>
      </w:r>
      <w:r w:rsidR="006A05AC" w:rsidRPr="001F1399">
        <w:rPr>
          <w:rStyle w:val="eop"/>
          <w:rFonts w:ascii="Book Antiqua" w:hAnsi="Book Antiqua" w:cs="Calibri"/>
          <w:bCs/>
          <w:lang w:val="en-US"/>
        </w:rPr>
        <w:fldChar w:fldCharType="begin" w:fldLock="1"/>
      </w:r>
      <w:r w:rsidR="00B1214D" w:rsidRPr="001F1399">
        <w:rPr>
          <w:rStyle w:val="eop"/>
          <w:rFonts w:ascii="Book Antiqua" w:hAnsi="Book Antiqua" w:cs="Calibri"/>
          <w:bCs/>
          <w:lang w:val="en-US"/>
        </w:rPr>
        <w:instrText>ADDIN CSL_CITATION {"citationItems":[{"id":"ITEM-1","itemData":{"DOI":"10.3389/fcimb.2012.00109","ISSN":"22352988","PMID":"22912939","author":[{"dropping-particle":"","family":"Manco","given":"Melania","non-dropping-particle":"","parse-names":false,"suffix":""}],"container-title":"Frontiers in cellular and infection microbiology","id":"ITEM-1","issue":"August","issued":{"date-parts":[["2012"]]},"page":"109","title":"Gut microbiota and developmental programming of the brain: from evidence in behavioral endophenotypes to novel perspective in obesity.","type":"article-journal","volume":"2"},"uris":["http://www.mendeley.com/documents/?uuid=c5622543-6490-432a-a0b6-4328d99decb9"]}],"mendeley":{"formattedCitation":"&lt;sup&gt;[53]&lt;/sup&gt;","plainTextFormattedCitation":"[53]","previouslyFormattedCitation":"&lt;sup&gt;[52]&lt;/sup&gt;"},"properties":{"noteIndex":0},"schema":"https://github.com/citation-style-language/schema/raw/master/csl-citation.json"}</w:instrText>
      </w:r>
      <w:r w:rsidR="006A05AC" w:rsidRPr="001F1399">
        <w:rPr>
          <w:rStyle w:val="eop"/>
          <w:rFonts w:ascii="Book Antiqua" w:hAnsi="Book Antiqua" w:cs="Calibri"/>
          <w:bCs/>
          <w:lang w:val="en-US"/>
        </w:rPr>
        <w:fldChar w:fldCharType="separate"/>
      </w:r>
      <w:r w:rsidR="00B1214D" w:rsidRPr="001F1399">
        <w:rPr>
          <w:rStyle w:val="eop"/>
          <w:rFonts w:ascii="Book Antiqua" w:hAnsi="Book Antiqua" w:cs="Calibri"/>
          <w:bCs/>
          <w:noProof/>
          <w:vertAlign w:val="superscript"/>
          <w:lang w:val="en-US"/>
        </w:rPr>
        <w:t>[53]</w:t>
      </w:r>
      <w:r w:rsidR="006A05AC" w:rsidRPr="001F1399">
        <w:rPr>
          <w:rStyle w:val="eop"/>
          <w:rFonts w:ascii="Book Antiqua" w:hAnsi="Book Antiqua" w:cs="Calibri"/>
          <w:bCs/>
          <w:lang w:val="en-US"/>
        </w:rPr>
        <w:fldChar w:fldCharType="end"/>
      </w:r>
      <w:r w:rsidR="00732DB1" w:rsidRPr="001F1399">
        <w:rPr>
          <w:rStyle w:val="eop"/>
          <w:rFonts w:ascii="Book Antiqua" w:hAnsi="Book Antiqua" w:cs="Calibri"/>
          <w:bCs/>
          <w:lang w:val="en-US"/>
        </w:rPr>
        <w:t xml:space="preserve"> on top of appetite regulation and energy metabolism</w:t>
      </w:r>
      <w:r w:rsidR="006A05AC" w:rsidRPr="001F1399">
        <w:rPr>
          <w:rStyle w:val="eop"/>
          <w:rFonts w:ascii="Book Antiqua" w:hAnsi="Book Antiqua" w:cs="Calibri"/>
          <w:bCs/>
          <w:lang w:val="en-US"/>
        </w:rPr>
        <w:fldChar w:fldCharType="begin" w:fldLock="1"/>
      </w:r>
      <w:r w:rsidR="00B1214D" w:rsidRPr="001F1399">
        <w:rPr>
          <w:rStyle w:val="eop"/>
          <w:rFonts w:ascii="Book Antiqua" w:hAnsi="Book Antiqua" w:cs="Calibri"/>
          <w:bCs/>
          <w:lang w:val="en-US"/>
        </w:rPr>
        <w:instrText>ADDIN CSL_CITATION {"citationItems":[{"id":"ITEM-1","itemData":{"DOI":"10.1111/j.1749-6632.2012.06525.x","ISSN":"00778923","PMID":"22548651","author":[{"dropping-particle":"","family":"Rothman","given":"Sarah M.","non-dropping-particle":"","parse-names":false,"suffix":""},{"dropping-particle":"","family":"Griffioen","given":"Kathleen J.","non-dropping-particle":"","parse-names":false,"suffix":""},{"dropping-particle":"","family":"Wan","given":"Ruiqian","non-dropping-particle":"","parse-names":false,"suffix":""},{"dropping-particle":"","family":"Mattson","given":"Mark P.","non-dropping-particle":"","parse-names":false,"suffix":""}],"container-title":"Annals of the New York Academy of Sciences","id":"ITEM-1","issue":"1","issued":{"date-parts":[["2012","8"]]},"page":"49-63","title":"Brain-derived neurotrophic factor as a regulator of systemic and brain energy metabolism and cardiovascular health","type":"article-journal","volume":"1264"},"uris":["http://www.mendeley.com/documents/?uuid=f292e439-2e9f-46f2-844d-364bec58d979"]}],"mendeley":{"formattedCitation":"&lt;sup&gt;[54]&lt;/sup&gt;","plainTextFormattedCitation":"[54]","previouslyFormattedCitation":"&lt;sup&gt;[53]&lt;/sup&gt;"},"properties":{"noteIndex":0},"schema":"https://github.com/citation-style-language/schema/raw/master/csl-citation.json"}</w:instrText>
      </w:r>
      <w:r w:rsidR="006A05AC" w:rsidRPr="001F1399">
        <w:rPr>
          <w:rStyle w:val="eop"/>
          <w:rFonts w:ascii="Book Antiqua" w:hAnsi="Book Antiqua" w:cs="Calibri"/>
          <w:bCs/>
          <w:lang w:val="en-US"/>
        </w:rPr>
        <w:fldChar w:fldCharType="separate"/>
      </w:r>
      <w:r w:rsidR="00B1214D" w:rsidRPr="001F1399">
        <w:rPr>
          <w:rStyle w:val="eop"/>
          <w:rFonts w:ascii="Book Antiqua" w:hAnsi="Book Antiqua" w:cs="Calibri"/>
          <w:bCs/>
          <w:noProof/>
          <w:vertAlign w:val="superscript"/>
          <w:lang w:val="en-US"/>
        </w:rPr>
        <w:t>[54]</w:t>
      </w:r>
      <w:r w:rsidR="006A05AC" w:rsidRPr="001F1399">
        <w:rPr>
          <w:rStyle w:val="eop"/>
          <w:rFonts w:ascii="Book Antiqua" w:hAnsi="Book Antiqua" w:cs="Calibri"/>
          <w:bCs/>
          <w:lang w:val="en-US"/>
        </w:rPr>
        <w:fldChar w:fldCharType="end"/>
      </w:r>
      <w:r w:rsidR="00732DB1" w:rsidRPr="001F1399">
        <w:rPr>
          <w:rStyle w:val="eop"/>
          <w:rFonts w:ascii="Book Antiqua" w:hAnsi="Book Antiqua" w:cs="Calibri"/>
          <w:bCs/>
          <w:lang w:val="en-US"/>
        </w:rPr>
        <w:t>. It also controls cognitive and emotional behavior</w:t>
      </w:r>
      <w:r w:rsidR="006A05AC" w:rsidRPr="001F1399">
        <w:rPr>
          <w:rStyle w:val="eop"/>
          <w:rFonts w:ascii="Book Antiqua" w:hAnsi="Book Antiqua" w:cs="Calibri"/>
          <w:bCs/>
          <w:lang w:val="en-US"/>
        </w:rPr>
        <w:fldChar w:fldCharType="begin" w:fldLock="1"/>
      </w:r>
      <w:r w:rsidR="00B1214D" w:rsidRPr="001F1399">
        <w:rPr>
          <w:rStyle w:val="eop"/>
          <w:rFonts w:ascii="Book Antiqua" w:hAnsi="Book Antiqua" w:cs="Calibri"/>
          <w:bCs/>
          <w:lang w:val="en-US"/>
        </w:rPr>
        <w:instrText>ADDIN CSL_CITATION {"citationItems":[{"id":"ITEM-1","itemData":{"DOI":"10.1523/JNEUROSCI.20-01-00451.2000","ISSN":"0270-6474","PMID":"10627621","author":[{"dropping-particle":"","family":"Zola","given":"Stuart M.","non-dropping-particle":"","parse-names":false,"suffix":""},{"dropping-particle":"","family":"Squire","given":"Larry R.","non-dropping-particle":"","parse-names":false,"suffix":""},{"dropping-particle":"","family":"Teng","given":"Edmond","non-dropping-particle":"","parse-names":false,"suffix":""},{"dropping-particle":"","family":"Stefanacci","given":"Lisa","non-dropping-particle":"","parse-names":false,"suffix":""},{"dropping-particle":"","family":"Buffalo","given":"Elizabeth A.","non-dropping-particle":"","parse-names":false,"suffix":""},{"dropping-particle":"","family":"Clark","given":"Robert E.","non-dropping-particle":"","parse-names":false,"suffix":""}],"container-title":"The Journal of Neuroscience","id":"ITEM-1","issue":"1","issued":{"date-parts":[["2000","1","1"]]},"page":"451-463","title":"Impaired Recognition Memory in Monkeys after Damage Limited to the Hippocampal Region","type":"article-journal","volume":"20"},"uris":["http://www.mendeley.com/documents/?uuid=02d505da-feb0-495a-a066-2c447f7d5d3f"]}],"mendeley":{"formattedCitation":"&lt;sup&gt;[55]&lt;/sup&gt;","plainTextFormattedCitation":"[55]","previouslyFormattedCitation":"&lt;sup&gt;[54]&lt;/sup&gt;"},"properties":{"noteIndex":0},"schema":"https://github.com/citation-style-language/schema/raw/master/csl-citation.json"}</w:instrText>
      </w:r>
      <w:r w:rsidR="006A05AC" w:rsidRPr="001F1399">
        <w:rPr>
          <w:rStyle w:val="eop"/>
          <w:rFonts w:ascii="Book Antiqua" w:hAnsi="Book Antiqua" w:cs="Calibri"/>
          <w:bCs/>
          <w:lang w:val="en-US"/>
        </w:rPr>
        <w:fldChar w:fldCharType="separate"/>
      </w:r>
      <w:r w:rsidR="00B1214D" w:rsidRPr="001F1399">
        <w:rPr>
          <w:rStyle w:val="eop"/>
          <w:rFonts w:ascii="Book Antiqua" w:hAnsi="Book Antiqua" w:cs="Calibri"/>
          <w:bCs/>
          <w:noProof/>
          <w:vertAlign w:val="superscript"/>
          <w:lang w:val="en-US"/>
        </w:rPr>
        <w:t>[55]</w:t>
      </w:r>
      <w:r w:rsidR="006A05AC" w:rsidRPr="001F1399">
        <w:rPr>
          <w:rStyle w:val="eop"/>
          <w:rFonts w:ascii="Book Antiqua" w:hAnsi="Book Antiqua" w:cs="Calibri"/>
          <w:bCs/>
          <w:lang w:val="en-US"/>
        </w:rPr>
        <w:fldChar w:fldCharType="end"/>
      </w:r>
      <w:r w:rsidR="00732DB1" w:rsidRPr="001F1399">
        <w:rPr>
          <w:rStyle w:val="eop"/>
          <w:rFonts w:ascii="Book Antiqua" w:hAnsi="Book Antiqua" w:cs="Calibri"/>
          <w:bCs/>
          <w:lang w:val="en-US"/>
        </w:rPr>
        <w:t>.</w:t>
      </w:r>
      <w:r w:rsidRPr="001F1399">
        <w:rPr>
          <w:rStyle w:val="eop"/>
          <w:rFonts w:ascii="Book Antiqua" w:hAnsi="Book Antiqua" w:cs="Calibri"/>
          <w:bCs/>
          <w:lang w:val="en-US"/>
        </w:rPr>
        <w:t xml:space="preserve">Brain development will continue postnatally and metabolic programming of energy expenditure will be conditioned by a proper settlement of the Arc/hypothalamic connections that take place </w:t>
      </w:r>
      <w:r w:rsidR="00732DB1" w:rsidRPr="001F1399">
        <w:rPr>
          <w:rStyle w:val="eop"/>
          <w:rFonts w:ascii="Book Antiqua" w:hAnsi="Book Antiqua" w:cs="Calibri"/>
          <w:bCs/>
          <w:lang w:val="en-US"/>
        </w:rPr>
        <w:t xml:space="preserve">the first couple of days after birth. Synaptogenesis </w:t>
      </w:r>
      <w:r w:rsidR="006A05AC" w:rsidRPr="001F1399">
        <w:rPr>
          <w:rStyle w:val="eop"/>
          <w:rFonts w:ascii="Book Antiqua" w:hAnsi="Book Antiqua" w:cs="Calibri"/>
          <w:bCs/>
          <w:lang w:val="en-US"/>
        </w:rPr>
        <w:t>beg</w:t>
      </w:r>
      <w:r w:rsidR="00732DB1" w:rsidRPr="001F1399">
        <w:rPr>
          <w:rStyle w:val="eop"/>
          <w:rFonts w:ascii="Book Antiqua" w:hAnsi="Book Antiqua" w:cs="Calibri"/>
          <w:bCs/>
          <w:lang w:val="en-US"/>
        </w:rPr>
        <w:t>ins shortly after birth and reaches a maximal level around 2 years of age before synaptic refinement during mid-adolescence to get adult neuronal organization</w:t>
      </w:r>
      <w:r w:rsidR="00273198" w:rsidRPr="001F1399">
        <w:rPr>
          <w:rStyle w:val="eop"/>
          <w:rFonts w:ascii="Book Antiqua" w:hAnsi="Book Antiqua" w:cs="Calibri"/>
          <w:bCs/>
          <w:lang w:val="en-US"/>
        </w:rPr>
        <w:fldChar w:fldCharType="begin" w:fldLock="1"/>
      </w:r>
      <w:r w:rsidR="00B1214D" w:rsidRPr="001F1399">
        <w:rPr>
          <w:rStyle w:val="eop"/>
          <w:rFonts w:ascii="Book Antiqua" w:hAnsi="Book Antiqua" w:cs="Calibri"/>
          <w:bCs/>
          <w:lang w:val="en-US"/>
        </w:rPr>
        <w:instrText>ADDIN CSL_CITATION {"citationItems":[{"id":"ITEM-1","itemData":{"DOI":"10.1055/s-2007-973720","ISSN":"0174-304X","PMID":"9453026","author":[{"dropping-particle":"","family":"Herschkowitz","given":"N.","non-dropping-particle":"","parse-names":false,"suffix":""},{"dropping-particle":"","family":"Kagan","given":"J.","non-dropping-particle":"","parse-names":false,"suffix":""},{"dropping-particle":"","family":"Zilles","given":"K.","non-dropping-particle":"","parse-names":false,"suffix":""}],"container-title":"Neuropediatrics","id":"ITEM-1","issue":"06","issued":{"date-parts":[["1997","12","13"]]},"page":"296-306","title":"Neurobiological Bases of Behavioral Development in the First Year","type":"article-journal","volume":"28"},"uris":["http://www.mendeley.com/documents/?uuid=7ba29ca6-3086-4887-954b-3e1be8bba376"]}],"mendeley":{"formattedCitation":"&lt;sup&gt;[52]&lt;/sup&gt;","plainTextFormattedCitation":"[52]","previouslyFormattedCitation":"&lt;sup&gt;[51]&lt;/sup&gt;"},"properties":{"noteIndex":0},"schema":"https://github.com/citation-style-language/schema/raw/master/csl-citation.json"}</w:instrText>
      </w:r>
      <w:r w:rsidR="00273198" w:rsidRPr="001F1399">
        <w:rPr>
          <w:rStyle w:val="eop"/>
          <w:rFonts w:ascii="Book Antiqua" w:hAnsi="Book Antiqua" w:cs="Calibri"/>
          <w:bCs/>
          <w:vertAlign w:val="superscript"/>
          <w:lang w:val="en-US"/>
        </w:rPr>
        <w:fldChar w:fldCharType="separate"/>
      </w:r>
      <w:r w:rsidR="00B1214D" w:rsidRPr="001F1399">
        <w:rPr>
          <w:rStyle w:val="eop"/>
          <w:rFonts w:ascii="Book Antiqua" w:hAnsi="Book Antiqua" w:cs="Calibri"/>
          <w:bCs/>
          <w:noProof/>
          <w:vertAlign w:val="superscript"/>
          <w:lang w:val="en-US"/>
        </w:rPr>
        <w:t>[52]</w:t>
      </w:r>
      <w:r w:rsidR="00273198" w:rsidRPr="001F1399">
        <w:rPr>
          <w:rStyle w:val="eop"/>
          <w:rFonts w:ascii="Book Antiqua" w:hAnsi="Book Antiqua" w:cs="Calibri"/>
          <w:bCs/>
          <w:lang w:val="en-US"/>
        </w:rPr>
        <w:fldChar w:fldCharType="end"/>
      </w:r>
      <w:r w:rsidR="00732DB1" w:rsidRPr="001F1399">
        <w:rPr>
          <w:rStyle w:val="eop"/>
          <w:rFonts w:ascii="Book Antiqua" w:hAnsi="Book Antiqua" w:cs="Calibri"/>
          <w:bCs/>
          <w:lang w:val="en-US"/>
        </w:rPr>
        <w:t xml:space="preserve">. This development is partly under the control of BDNF, a key neurotrophin known to be involved in neuronal growth and survival </w:t>
      </w:r>
      <w:r w:rsidR="006A05AC" w:rsidRPr="001F1399">
        <w:rPr>
          <w:rStyle w:val="eop"/>
          <w:rFonts w:ascii="Book Antiqua" w:hAnsi="Book Antiqua" w:cs="Calibri"/>
          <w:bCs/>
          <w:lang w:val="en-US"/>
        </w:rPr>
        <w:fldChar w:fldCharType="begin" w:fldLock="1"/>
      </w:r>
      <w:r w:rsidR="00B1214D" w:rsidRPr="001F1399">
        <w:rPr>
          <w:rStyle w:val="eop"/>
          <w:rFonts w:ascii="Book Antiqua" w:hAnsi="Book Antiqua" w:cs="Calibri"/>
          <w:bCs/>
          <w:lang w:val="en-US"/>
        </w:rPr>
        <w:instrText>ADDIN CSL_CITATION {"citationItems":[{"id":"ITEM-1","itemData":{"DOI":"10.3389/fcimb.2012.00109","ISSN":"22352988","PMID":"22912939","author":[{"dropping-particle":"","family":"Manco","given":"Melania","non-dropping-particle":"","parse-names":false,"suffix":""}],"container-title":"Frontiers in cellular and infection microbiology","id":"ITEM-1","issue":"August","issued":{"date-parts":[["2012"]]},"page":"109","title":"Gut microbiota and developmental programming of the brain: from evidence in behavioral endophenotypes to novel perspective in obesity.","type":"article-journal","volume":"2"},"uris":["http://www.mendeley.com/documents/?uuid=c5622543-6490-432a-a0b6-4328d99decb9"]}],"mendeley":{"formattedCitation":"&lt;sup&gt;[53]&lt;/sup&gt;","plainTextFormattedCitation":"[53]","previouslyFormattedCitation":"&lt;sup&gt;[52]&lt;/sup&gt;"},"properties":{"noteIndex":0},"schema":"https://github.com/citation-style-language/schema/raw/master/csl-citation.json"}</w:instrText>
      </w:r>
      <w:r w:rsidR="006A05AC" w:rsidRPr="001F1399">
        <w:rPr>
          <w:rStyle w:val="eop"/>
          <w:rFonts w:ascii="Book Antiqua" w:hAnsi="Book Antiqua" w:cs="Calibri"/>
          <w:bCs/>
          <w:lang w:val="en-US"/>
        </w:rPr>
        <w:fldChar w:fldCharType="separate"/>
      </w:r>
      <w:r w:rsidR="00B1214D" w:rsidRPr="001F1399">
        <w:rPr>
          <w:rStyle w:val="eop"/>
          <w:rFonts w:ascii="Book Antiqua" w:hAnsi="Book Antiqua" w:cs="Calibri"/>
          <w:bCs/>
          <w:noProof/>
          <w:vertAlign w:val="superscript"/>
          <w:lang w:val="en-US"/>
        </w:rPr>
        <w:t>[53]</w:t>
      </w:r>
      <w:r w:rsidR="006A05AC" w:rsidRPr="001F1399">
        <w:rPr>
          <w:rStyle w:val="eop"/>
          <w:rFonts w:ascii="Book Antiqua" w:hAnsi="Book Antiqua" w:cs="Calibri"/>
          <w:bCs/>
          <w:lang w:val="en-US"/>
        </w:rPr>
        <w:fldChar w:fldCharType="end"/>
      </w:r>
      <w:r w:rsidR="00732DB1" w:rsidRPr="001F1399">
        <w:rPr>
          <w:rStyle w:val="eop"/>
          <w:rFonts w:ascii="Book Antiqua" w:hAnsi="Book Antiqua" w:cs="Calibri"/>
          <w:bCs/>
          <w:lang w:val="en-US"/>
        </w:rPr>
        <w:t xml:space="preserve"> on top of appetite regulation and energy metabolism</w:t>
      </w:r>
      <w:r w:rsidR="006A05AC" w:rsidRPr="001F1399">
        <w:rPr>
          <w:rStyle w:val="eop"/>
          <w:rFonts w:ascii="Book Antiqua" w:hAnsi="Book Antiqua" w:cs="Calibri"/>
          <w:bCs/>
          <w:lang w:val="en-US"/>
        </w:rPr>
        <w:fldChar w:fldCharType="begin" w:fldLock="1"/>
      </w:r>
      <w:r w:rsidR="00B1214D" w:rsidRPr="001F1399">
        <w:rPr>
          <w:rStyle w:val="eop"/>
          <w:rFonts w:ascii="Book Antiqua" w:hAnsi="Book Antiqua" w:cs="Calibri"/>
          <w:bCs/>
          <w:lang w:val="en-US"/>
        </w:rPr>
        <w:instrText>ADDIN CSL_CITATION {"citationItems":[{"id":"ITEM-1","itemData":{"DOI":"10.1111/j.1749-6632.2012.06525.x","ISSN":"00778923","PMID":"22548651","author":[{"dropping-particle":"","family":"Rothman","given":"Sarah M.","non-dropping-particle":"","parse-names":false,"suffix":""},{"dropping-particle":"","family":"Griffioen","given":"Kathleen J.","non-dropping-particle":"","parse-names":false,"suffix":""},{"dropping-particle":"","family":"Wan","given":"Ruiqian","non-dropping-particle":"","parse-names":false,"suffix":""},{"dropping-particle":"","family":"Mattson","given":"Mark P.","non-dropping-particle":"","parse-names":false,"suffix":""}],"container-title":"Annals of the New York Academy of Sciences","id":"ITEM-1","issue":"1","issued":{"date-parts":[["2012","8"]]},"page":"49-63","title":"Brain-derived neurotrophic factor as a regulator of systemic and brain energy metabolism and cardiovascular health","type":"article-journal","volume":"1264"},"uris":["http://www.mendeley.com/documents/?uuid=f292e439-2e9f-46f2-844d-364bec58d979"]}],"mendeley":{"formattedCitation":"&lt;sup&gt;[54]&lt;/sup&gt;","plainTextFormattedCitation":"[54]","previouslyFormattedCitation":"&lt;sup&gt;[53]&lt;/sup&gt;"},"properties":{"noteIndex":0},"schema":"https://github.com/citation-style-language/schema/raw/master/csl-citation.json"}</w:instrText>
      </w:r>
      <w:r w:rsidR="006A05AC" w:rsidRPr="001F1399">
        <w:rPr>
          <w:rStyle w:val="eop"/>
          <w:rFonts w:ascii="Book Antiqua" w:hAnsi="Book Antiqua" w:cs="Calibri"/>
          <w:bCs/>
          <w:lang w:val="en-US"/>
        </w:rPr>
        <w:fldChar w:fldCharType="separate"/>
      </w:r>
      <w:r w:rsidR="00B1214D" w:rsidRPr="001F1399">
        <w:rPr>
          <w:rStyle w:val="eop"/>
          <w:rFonts w:ascii="Book Antiqua" w:hAnsi="Book Antiqua" w:cs="Calibri"/>
          <w:bCs/>
          <w:noProof/>
          <w:vertAlign w:val="superscript"/>
          <w:lang w:val="en-US"/>
        </w:rPr>
        <w:t>[54]</w:t>
      </w:r>
      <w:r w:rsidR="006A05AC" w:rsidRPr="001F1399">
        <w:rPr>
          <w:rStyle w:val="eop"/>
          <w:rFonts w:ascii="Book Antiqua" w:hAnsi="Book Antiqua" w:cs="Calibri"/>
          <w:bCs/>
          <w:lang w:val="en-US"/>
        </w:rPr>
        <w:fldChar w:fldCharType="end"/>
      </w:r>
      <w:r w:rsidR="00732DB1" w:rsidRPr="001F1399">
        <w:rPr>
          <w:rStyle w:val="eop"/>
          <w:rFonts w:ascii="Book Antiqua" w:hAnsi="Book Antiqua" w:cs="Calibri"/>
          <w:bCs/>
          <w:lang w:val="en-US"/>
        </w:rPr>
        <w:t>. It also controls cognitive and emotional behavior</w:t>
      </w:r>
      <w:r w:rsidR="006A05AC" w:rsidRPr="001F1399">
        <w:rPr>
          <w:rStyle w:val="eop"/>
          <w:rFonts w:ascii="Book Antiqua" w:hAnsi="Book Antiqua" w:cs="Calibri"/>
          <w:bCs/>
          <w:lang w:val="en-US"/>
        </w:rPr>
        <w:fldChar w:fldCharType="begin" w:fldLock="1"/>
      </w:r>
      <w:r w:rsidR="00B1214D" w:rsidRPr="001F1399">
        <w:rPr>
          <w:rStyle w:val="eop"/>
          <w:rFonts w:ascii="Book Antiqua" w:hAnsi="Book Antiqua" w:cs="Calibri"/>
          <w:bCs/>
          <w:lang w:val="en-US"/>
        </w:rPr>
        <w:instrText>ADDIN CSL_CITATION {"citationItems":[{"id":"ITEM-1","itemData":{"DOI":"10.1523/JNEUROSCI.20-01-00451.2000","ISSN":"0270-6474","PMID":"10627621","author":[{"dropping-particle":"","family":"Zola","given":"Stuart M.","non-dropping-particle":"","parse-names":false,"suffix":""},{"dropping-particle":"","family":"Squire","given":"Larry R.","non-dropping-particle":"","parse-names":false,"suffix":""},{"dropping-particle":"","family":"Teng","given":"Edmond","non-dropping-particle":"","parse-names":false,"suffix":""},{"dropping-particle":"","family":"Stefanacci","given":"Lisa","non-dropping-particle":"","parse-names":false,"suffix":""},{"dropping-particle":"","family":"Buffalo","given":"Elizabeth A.","non-dropping-particle":"","parse-names":false,"suffix":""},{"dropping-particle":"","family":"Clark","given":"Robert E.","non-dropping-particle":"","parse-names":false,"suffix":""}],"container-title":"The Journal of Neuroscience","id":"ITEM-1","issue":"1","issued":{"date-parts":[["2000","1","1"]]},"page":"451-463","title":"Impaired Recognition Memory in Monkeys after Damage Limited to the Hippocampal Region","type":"article-journal","volume":"20"},"uris":["http://www.mendeley.com/documents/?uuid=02d505da-feb0-495a-a066-2c447f7d5d3f"]}],"mendeley":{"formattedCitation":"&lt;sup&gt;[55]&lt;/sup&gt;","plainTextFormattedCitation":"[55]","previouslyFormattedCitation":"&lt;sup&gt;[54]&lt;/sup&gt;"},"properties":{"noteIndex":0},"schema":"https://github.com/citation-style-language/schema/raw/master/csl-citation.json"}</w:instrText>
      </w:r>
      <w:r w:rsidR="006A05AC" w:rsidRPr="001F1399">
        <w:rPr>
          <w:rStyle w:val="eop"/>
          <w:rFonts w:ascii="Book Antiqua" w:hAnsi="Book Antiqua" w:cs="Calibri"/>
          <w:bCs/>
          <w:lang w:val="en-US"/>
        </w:rPr>
        <w:fldChar w:fldCharType="separate"/>
      </w:r>
      <w:r w:rsidR="00B1214D" w:rsidRPr="001F1399">
        <w:rPr>
          <w:rStyle w:val="eop"/>
          <w:rFonts w:ascii="Book Antiqua" w:hAnsi="Book Antiqua" w:cs="Calibri"/>
          <w:bCs/>
          <w:noProof/>
          <w:vertAlign w:val="superscript"/>
          <w:lang w:val="en-US"/>
        </w:rPr>
        <w:t>[55]</w:t>
      </w:r>
      <w:r w:rsidR="006A05AC" w:rsidRPr="001F1399">
        <w:rPr>
          <w:rStyle w:val="eop"/>
          <w:rFonts w:ascii="Book Antiqua" w:hAnsi="Book Antiqua" w:cs="Calibri"/>
          <w:bCs/>
          <w:lang w:val="en-US"/>
        </w:rPr>
        <w:fldChar w:fldCharType="end"/>
      </w:r>
      <w:r w:rsidR="00732DB1" w:rsidRPr="001F1399">
        <w:rPr>
          <w:rStyle w:val="eop"/>
          <w:rFonts w:ascii="Book Antiqua" w:hAnsi="Book Antiqua" w:cs="Calibri"/>
          <w:bCs/>
          <w:lang w:val="en-US"/>
        </w:rPr>
        <w:t>.</w:t>
      </w:r>
    </w:p>
    <w:p w14:paraId="655463A9" w14:textId="266C6D67" w:rsidR="00732DB1" w:rsidRPr="001F1399" w:rsidRDefault="00732DB1" w:rsidP="002974FA">
      <w:pPr>
        <w:pStyle w:val="paragraph"/>
        <w:adjustRightInd w:val="0"/>
        <w:snapToGrid w:val="0"/>
        <w:spacing w:before="0" w:beforeAutospacing="0" w:after="0" w:afterAutospacing="0" w:line="360" w:lineRule="auto"/>
        <w:ind w:firstLineChars="100" w:firstLine="240"/>
        <w:jc w:val="both"/>
        <w:textAlignment w:val="baseline"/>
        <w:rPr>
          <w:rStyle w:val="eop"/>
          <w:rFonts w:ascii="Book Antiqua" w:hAnsi="Book Antiqua" w:cs="Calibri"/>
          <w:bCs/>
          <w:lang w:val="en-US"/>
        </w:rPr>
      </w:pPr>
      <w:r w:rsidRPr="001F1399">
        <w:rPr>
          <w:rStyle w:val="eop"/>
          <w:rFonts w:ascii="Book Antiqua" w:hAnsi="Book Antiqua" w:cs="Calibri"/>
          <w:bCs/>
          <w:lang w:val="en-US"/>
        </w:rPr>
        <w:lastRenderedPageBreak/>
        <w:t>This period of neuronal development parallels the gut microbiota settlement and maturation a process known to be essential for the establishment of a proper immune function</w:t>
      </w:r>
      <w:r w:rsidR="00DE5CB6" w:rsidRPr="001F1399">
        <w:rPr>
          <w:rStyle w:val="eop"/>
          <w:rFonts w:ascii="Book Antiqua" w:hAnsi="Book Antiqua" w:cs="Calibri"/>
          <w:bCs/>
          <w:lang w:val="en-US"/>
        </w:rPr>
        <w:fldChar w:fldCharType="begin" w:fldLock="1"/>
      </w:r>
      <w:r w:rsidR="00B1214D" w:rsidRPr="001F1399">
        <w:rPr>
          <w:rStyle w:val="eop"/>
          <w:rFonts w:ascii="Book Antiqua" w:hAnsi="Book Antiqua" w:cs="Calibri"/>
          <w:bCs/>
          <w:lang w:val="en-US"/>
        </w:rPr>
        <w:instrText>ADDIN CSL_CITATION {"citationItems":[{"id":"ITEM-1","itemData":{"DOI":"10.1111/imm.12159","ISSN":"00192805","PMID":"23909393","author":[{"dropping-particle":"","family":"Karmarkar","given":"Dipti","non-dropping-particle":"","parse-names":false,"suffix":""},{"dropping-particle":"","family":"Rock","given":"Kenneth L.","non-dropping-particle":"","parse-names":false,"suffix":""}],"container-title":"Immunology","id":"ITEM-1","issue":"4","issued":{"date-parts":[["2013","12"]]},"page":"483-492","title":"Microbiota signalling through MyD88 is necessary for a systemic neutrophilic inflammatory response","type":"article-journal","volume":"140"},"uris":["http://www.mendeley.com/documents/?uuid=93407bbc-2bf3-487e-ad59-353354e1de10"]},{"id":"ITEM-2","itemData":{"DOI":"10.1016/j.immuni.2012.04.011","ISSN":"10747613","PMID":"22705104","author":[{"dropping-particle":"","family":"Abt","given":"Michael C.","non-dropping-particle":"","parse-names":false,"suffix":""},{"dropping-particle":"","family":"Osborne","given":"Lisa C.","non-dropping-particle":"","parse-names":false,"suffix":""},{"dropping-particle":"","family":"Monticelli","given":"Laurel A.","non-dropping-particle":"","parse-names":false,"suffix":""},{"dropping-particle":"","family":"Doering","given":"Travis A.","non-dropping-particle":"","parse-names":false,"suffix":""},{"dropping-particle":"","family":"Alenghat","given":"Theresa","non-dropping-particle":"","parse-names":false,"suffix":""},{"dropping-particle":"","family":"Sonnenberg","given":"Gregory F.","non-dropping-particle":"","parse-names":false,"suffix":""},{"dropping-particle":"","family":"Paley","given":"Michael A.","non-dropping-particle":"","parse-names":false,"suffix":""},{"dropping-particle":"","family":"Antenus","given":"Marcelo","non-dropping-particle":"","parse-names":false,"suffix":""},{"dropping-particle":"","family":"Williams","given":"Katie L.","non-dropping-particle":"","parse-names":false,"suffix":""},{"dropping-particle":"","family":"Erikson","given":"Jan","non-dropping-particle":"","parse-names":false,"suffix":""},{"dropping-particle":"","family":"Wherry","given":"E. John","non-dropping-particle":"","parse-names":false,"suffix":""},{"dropping-particle":"","family":"Artis","given":"David","non-dropping-particle":"","parse-names":false,"suffix":""}],"container-title":"Immunity","id":"ITEM-2","issue":"1","issued":{"date-parts":[["2012","7"]]},"page":"158-170","title":"Commensal Bacteria Calibrate the Activation Threshold of Innate Antiviral Immunity","type":"article-journal","volume":"37"},"uris":["http://www.mendeley.com/documents/?uuid=410892a6-8420-40d0-ba04-c2cbdf8a17fb"]},{"id":"ITEM-3","itemData":{"DOI":"10.1038/nature12726","ISSN":"0028-0836","PMID":"24226773","author":[{"dropping-particle":"","family":"Arpaia","given":"Nicholas","non-dropping-particle":"","parse-names":false,"suffix":""},{"dropping-particle":"","family":"Campbell","given":"Clarissa","non-dropping-particle":"","parse-names":false,"suffix":""},{"dropping-particle":"","family":"Fan","given":"Xiying","non-dropping-particle":"","parse-names":false,"suffix":""},{"dropping-particle":"","family":"Dikiy","given":"Stanislav","non-dropping-particle":"","parse-names":false,"suffix":""},{"dropping-particle":"","family":"Veeken","given":"Joris","non-dropping-particle":"van der","parse-names":false,"suffix":""},{"dropping-particle":"","family":"DeRoos","given":"Paul","non-dropping-particle":"","parse-names":false,"suffix":""},{"dropping-particle":"","family":"Liu","given":"Hui","non-dropping-particle":"","parse-names":false,"suffix":""},{"dropping-particle":"","family":"Cross","given":"Justin R.","non-dropping-particle":"","parse-names":false,"suffix":""},{"dropping-particle":"","family":"Pfeffer","given":"Klaus","non-dropping-particle":"","parse-names":false,"suffix":""},{"dropping-particle":"","family":"Coffer","given":"Paul J.","non-dropping-particle":"","parse-names":false,"suffix":""},{"dropping-particle":"","family":"Rudensky","given":"Alexander Y.","non-dropping-particle":"","parse-names":false,"suffix":""}],"container-title":"Nature","id":"ITEM-3","issue":"7480","issued":{"date-parts":[["2013","12","13"]]},"page":"451-455","title":"Metabolites produced by commensal bacteria promote peripheral regulatory T-cell generation","type":"article-journal","volume":"504"},"uris":["http://www.mendeley.com/documents/?uuid=d8598001-476a-49d8-ac69-c6326cf7235f"]},{"id":"ITEM-4","itemData":{"DOI":"10.1038/nri2316","ISSN":"1474-1741","PMID":"18469830","abstract":"Mucosal surfaces such as the intestinal tract are continuously exposed to both potential pathogens and beneficial commensal microorganisms. This creates a requirement for a homeostatic balance between tolerance and immunity that represents a unique regulatory challenge to the mucosal immune system. Recent findings suggest that intestinal epithelial cells, although once considered a simple physical barrier, are a crucial cell lineage for maintaining intestinal immune homeostasis. This Review discusses recent findings that identify a cardinal role for epithelial cells in sampling the intestinal microenvironment, discriminating pathogenic and commensal microorganisms and influencing the function of antigen-presenting cells and lymphocytes.","author":[{"dropping-particle":"","family":"Artis","given":"David","non-dropping-particle":"","parse-names":false,"suffix":""}],"container-title":"Nature reviews. Immunology","id":"ITEM-4","issue":"6","issued":{"date-parts":[["2008","6"]]},"page":"411-20","title":"Epithelial-cell recognition of commensal bacteria and maintenance of immune homeostasis in the gut.","type":"article-journal","volume":"8"},"uris":["http://www.mendeley.com/documents/?uuid=82d64c3d-89d2-463c-b48c-8a0c1035318d"]},{"id":"ITEM-5","itemData":{"DOI":"10.1203/PDR.0b013e318217638a","ISSN":"0031-3998","PMID":"21364495","author":[{"dropping-particle":"","family":"Kaplan","given":"Jess L","non-dropping-particle":"","parse-names":false,"suffix":""},{"dropping-particle":"","family":"Shi","given":"Hai Ning","non-dropping-particle":"","parse-names":false,"suffix":""},{"dropping-particle":"","family":"Walker","given":"W Allan","non-dropping-particle":"","parse-names":false,"suffix":""}],"container-title":"Pediatric Research","id":"ITEM-5","issue":"6","issued":{"date-parts":[["2011","6"]]},"page":"465-472","title":"The Role of Microbes in Developmental Immunologic Programming","type":"article-journal","volume":"69"},"uris":["http://www.mendeley.com/documents/?uuid=a8501d10-4ad4-4465-904f-62ddb892c98d"]}],"mendeley":{"formattedCitation":"&lt;sup&gt;[56–60]&lt;/sup&gt;","plainTextFormattedCitation":"[56–60]","previouslyFormattedCitation":"&lt;sup&gt;[55–59]&lt;/sup&gt;"},"properties":{"noteIndex":0},"schema":"https://github.com/citation-style-language/schema/raw/master/csl-citation.json"}</w:instrText>
      </w:r>
      <w:r w:rsidR="00DE5CB6" w:rsidRPr="001F1399">
        <w:rPr>
          <w:rStyle w:val="eop"/>
          <w:rFonts w:ascii="Book Antiqua" w:hAnsi="Book Antiqua" w:cs="Calibri"/>
          <w:bCs/>
          <w:vertAlign w:val="superscript"/>
          <w:lang w:val="en-US"/>
        </w:rPr>
        <w:fldChar w:fldCharType="separate"/>
      </w:r>
      <w:r w:rsidR="00B1214D" w:rsidRPr="001F1399">
        <w:rPr>
          <w:rStyle w:val="eop"/>
          <w:rFonts w:ascii="Book Antiqua" w:hAnsi="Book Antiqua" w:cs="Calibri"/>
          <w:bCs/>
          <w:noProof/>
          <w:vertAlign w:val="superscript"/>
          <w:lang w:val="en-US"/>
        </w:rPr>
        <w:t>[56–60]</w:t>
      </w:r>
      <w:r w:rsidR="00DE5CB6" w:rsidRPr="001F1399">
        <w:rPr>
          <w:rStyle w:val="eop"/>
          <w:rFonts w:ascii="Book Antiqua" w:hAnsi="Book Antiqua" w:cs="Calibri"/>
          <w:bCs/>
          <w:lang w:val="en-US"/>
        </w:rPr>
        <w:fldChar w:fldCharType="end"/>
      </w:r>
      <w:r w:rsidRPr="001F1399">
        <w:rPr>
          <w:rStyle w:val="eop"/>
          <w:rFonts w:ascii="Book Antiqua" w:hAnsi="Book Antiqua" w:cs="Calibri"/>
          <w:bCs/>
          <w:lang w:val="en-US"/>
        </w:rPr>
        <w:t>, the neuroendocrine system</w:t>
      </w:r>
      <w:r w:rsidR="00DE5CB6" w:rsidRPr="001F1399">
        <w:rPr>
          <w:rStyle w:val="eop"/>
          <w:rFonts w:ascii="Book Antiqua" w:hAnsi="Book Antiqua" w:cs="Calibri"/>
          <w:bCs/>
          <w:lang w:val="en-US"/>
        </w:rPr>
        <w:fldChar w:fldCharType="begin" w:fldLock="1"/>
      </w:r>
      <w:r w:rsidR="00B1214D" w:rsidRPr="001F1399">
        <w:rPr>
          <w:rStyle w:val="eop"/>
          <w:rFonts w:ascii="Book Antiqua" w:hAnsi="Book Antiqua" w:cs="Calibri"/>
          <w:bCs/>
          <w:lang w:val="en-US"/>
        </w:rPr>
        <w:instrText>ADDIN CSL_CITATION {"citationItems":[{"id":"ITEM-1","itemData":{"DOI":"10.1111/apa.12674","ISSN":"08035253","PMID":"24798884","author":[{"dropping-particle":"","family":"Clarke","given":"G","non-dropping-particle":"","parse-names":false,"suffix":""},{"dropping-particle":"","family":"O'Mahony","given":"SM","non-dropping-particle":"","parse-names":false,"suffix":""},{"dropping-particle":"","family":"Dinan","given":"TG","non-dropping-particle":"","parse-names":false,"suffix":""},{"dropping-particle":"","family":"Cryan","given":"JF","non-dropping-particle":"","parse-names":false,"suffix":""}],"container-title":"Acta Paediatrica","id":"ITEM-1","issue":"8","issued":{"date-parts":[["2014","8"]]},"page":"812-819","title":"Priming for health: gut microbiota acquired in early life regulates physiology, brain and behaviour","type":"article-journal","volume":"103"},"uris":["http://www.mendeley.com/documents/?uuid=657bdd89-8a00-429c-932c-9d9dcf3da963"]}],"mendeley":{"formattedCitation":"&lt;sup&gt;[61]&lt;/sup&gt;","plainTextFormattedCitation":"[61]","previouslyFormattedCitation":"&lt;sup&gt;[60]&lt;/sup&gt;"},"properties":{"noteIndex":0},"schema":"https://github.com/citation-style-language/schema/raw/master/csl-citation.json"}</w:instrText>
      </w:r>
      <w:r w:rsidR="00DE5CB6" w:rsidRPr="001F1399">
        <w:rPr>
          <w:rStyle w:val="eop"/>
          <w:rFonts w:ascii="Book Antiqua" w:hAnsi="Book Antiqua" w:cs="Calibri"/>
          <w:bCs/>
          <w:lang w:val="en-US"/>
        </w:rPr>
        <w:fldChar w:fldCharType="separate"/>
      </w:r>
      <w:r w:rsidR="00B1214D" w:rsidRPr="001F1399">
        <w:rPr>
          <w:rStyle w:val="eop"/>
          <w:rFonts w:ascii="Book Antiqua" w:hAnsi="Book Antiqua" w:cs="Calibri"/>
          <w:bCs/>
          <w:noProof/>
          <w:vertAlign w:val="superscript"/>
          <w:lang w:val="en-US"/>
        </w:rPr>
        <w:t>[61]</w:t>
      </w:r>
      <w:r w:rsidR="00DE5CB6" w:rsidRPr="001F1399">
        <w:rPr>
          <w:rStyle w:val="eop"/>
          <w:rFonts w:ascii="Book Antiqua" w:hAnsi="Book Antiqua" w:cs="Calibri"/>
          <w:bCs/>
          <w:lang w:val="en-US"/>
        </w:rPr>
        <w:fldChar w:fldCharType="end"/>
      </w:r>
      <w:r w:rsidRPr="001F1399">
        <w:rPr>
          <w:rStyle w:val="eop"/>
          <w:rFonts w:ascii="Book Antiqua" w:hAnsi="Book Antiqua" w:cs="Calibri"/>
          <w:bCs/>
          <w:lang w:val="en-US"/>
        </w:rPr>
        <w:t xml:space="preserve"> and metabolic regulation</w:t>
      </w:r>
      <w:r w:rsidR="00DE5CB6" w:rsidRPr="001F1399">
        <w:rPr>
          <w:rStyle w:val="eop"/>
          <w:rFonts w:ascii="Book Antiqua" w:hAnsi="Book Antiqua" w:cs="Calibri"/>
          <w:bCs/>
          <w:lang w:val="en-US"/>
        </w:rPr>
        <w:fldChar w:fldCharType="begin" w:fldLock="1"/>
      </w:r>
      <w:r w:rsidR="00B1214D" w:rsidRPr="001F1399">
        <w:rPr>
          <w:rStyle w:val="eop"/>
          <w:rFonts w:ascii="Book Antiqua" w:hAnsi="Book Antiqua" w:cs="Calibri"/>
          <w:bCs/>
          <w:lang w:val="en-US"/>
        </w:rPr>
        <w:instrText>ADDIN CSL_CITATION {"citationItems":[{"id":"ITEM-1","itemData":{"DOI":"10.1093/nutrit/nuv039","ISSN":"0029-6643","PMID":"26175488","author":[{"dropping-particle":"","family":"Goulet","given":"Olivier","non-dropping-particle":"","parse-names":false,"suffix":""}],"container-title":"Nutrition Reviews","id":"ITEM-1","issue":"suppl 1","issued":{"date-parts":[["2015","8","14"]]},"page":"32-40","title":"Potential role of the intestinal microbiota in programming health and disease","type":"article-journal","volume":"73"},"uris":["http://www.mendeley.com/documents/?uuid=21101f5b-2e40-477b-8a4d-231b6cde8f80"]},{"id":"ITEM-2","itemData":{"DOI":"10.3389/fimmu.2014.00427","ISSN":"1664-3224","PMID":"25250028","author":[{"dropping-particle":"","family":"Arrieta","given":"Marie-Claire","non-dropping-particle":"","parse-names":false,"suffix":""},{"dropping-particle":"","family":"Stiemsma","given":"Leah T.","non-dropping-particle":"","parse-names":false,"suffix":""},{"dropping-particle":"","family":"Amenyogbe","given":"Nelly","non-dropping-particle":"","parse-names":false,"suffix":""},{"dropping-particle":"","family":"Brown","given":"Eric M.","non-dropping-particle":"","parse-names":false,"suffix":""},{"dropping-particle":"","family":"Finlay","given":"Brett","non-dropping-particle":"","parse-names":false,"suffix":""}],"container-title":"Frontiers in Immunology","id":"ITEM-2","issued":{"date-parts":[["2014","9","5"]]},"title":"The Intestinal Microbiome in Early Life: Health and Disease","type":"article-journal","volume":"5"},"uris":["http://www.mendeley.com/documents/?uuid=2432800e-7740-41a5-b64a-f37bf333e61d"]}],"mendeley":{"formattedCitation":"&lt;sup&gt;[15,62]&lt;/sup&gt;","plainTextFormattedCitation":"[15,62]","previouslyFormattedCitation":"&lt;sup&gt;[14,61]&lt;/sup&gt;"},"properties":{"noteIndex":0},"schema":"https://github.com/citation-style-language/schema/raw/master/csl-citation.json"}</w:instrText>
      </w:r>
      <w:r w:rsidR="00DE5CB6" w:rsidRPr="001F1399">
        <w:rPr>
          <w:rStyle w:val="eop"/>
          <w:rFonts w:ascii="Book Antiqua" w:hAnsi="Book Antiqua" w:cs="Calibri"/>
          <w:bCs/>
          <w:lang w:val="en-US"/>
        </w:rPr>
        <w:fldChar w:fldCharType="separate"/>
      </w:r>
      <w:r w:rsidR="00B1214D" w:rsidRPr="001F1399">
        <w:rPr>
          <w:rStyle w:val="eop"/>
          <w:rFonts w:ascii="Book Antiqua" w:hAnsi="Book Antiqua" w:cs="Calibri"/>
          <w:bCs/>
          <w:noProof/>
          <w:vertAlign w:val="superscript"/>
          <w:lang w:val="en-US"/>
        </w:rPr>
        <w:t>[15,62]</w:t>
      </w:r>
      <w:r w:rsidR="00DE5CB6" w:rsidRPr="001F1399">
        <w:rPr>
          <w:rStyle w:val="eop"/>
          <w:rFonts w:ascii="Book Antiqua" w:hAnsi="Book Antiqua" w:cs="Calibri"/>
          <w:bCs/>
          <w:lang w:val="en-US"/>
        </w:rPr>
        <w:fldChar w:fldCharType="end"/>
      </w:r>
      <w:r w:rsidRPr="001F1399">
        <w:rPr>
          <w:rStyle w:val="eop"/>
          <w:rFonts w:ascii="Book Antiqua" w:hAnsi="Book Antiqua" w:cs="Calibri"/>
          <w:bCs/>
          <w:lang w:val="en-US"/>
        </w:rPr>
        <w:t xml:space="preserve">. Gut microbes communicate with the </w:t>
      </w:r>
      <w:r w:rsidR="00322E8A" w:rsidRPr="001F1399">
        <w:rPr>
          <w:rStyle w:val="eop"/>
          <w:rFonts w:ascii="Book Antiqua" w:hAnsi="Book Antiqua" w:cs="Calibri"/>
          <w:bCs/>
          <w:lang w:val="en-US"/>
        </w:rPr>
        <w:t>CNS</w:t>
      </w:r>
      <w:r w:rsidRPr="001F1399">
        <w:rPr>
          <w:rStyle w:val="eop"/>
          <w:rFonts w:ascii="Book Antiqua" w:hAnsi="Book Antiqua" w:cs="Calibri"/>
          <w:bCs/>
          <w:lang w:val="en-US"/>
        </w:rPr>
        <w:t xml:space="preserve"> through at least three parallel and</w:t>
      </w:r>
      <w:r w:rsidR="009A4DD4" w:rsidRPr="001F1399">
        <w:rPr>
          <w:rStyle w:val="eop"/>
          <w:rFonts w:ascii="Book Antiqua" w:hAnsi="Book Antiqua" w:cs="Calibri"/>
          <w:bCs/>
          <w:lang w:val="en-US"/>
        </w:rPr>
        <w:t xml:space="preserve"> </w:t>
      </w:r>
      <w:r w:rsidRPr="001F1399">
        <w:rPr>
          <w:rStyle w:val="eop"/>
          <w:rFonts w:ascii="Book Antiqua" w:hAnsi="Book Antiqua" w:cs="Calibri"/>
          <w:bCs/>
          <w:lang w:val="en-US"/>
        </w:rPr>
        <w:t>interacting</w:t>
      </w:r>
      <w:r w:rsidR="009A4DD4" w:rsidRPr="001F1399">
        <w:rPr>
          <w:rStyle w:val="eop"/>
          <w:rFonts w:ascii="Book Antiqua" w:hAnsi="Book Antiqua" w:cs="Calibri"/>
          <w:bCs/>
          <w:lang w:val="en-US"/>
        </w:rPr>
        <w:t xml:space="preserve"> </w:t>
      </w:r>
      <w:r w:rsidRPr="001F1399">
        <w:rPr>
          <w:rStyle w:val="eop"/>
          <w:rFonts w:ascii="Book Antiqua" w:hAnsi="Book Antiqua" w:cs="Calibri"/>
          <w:bCs/>
          <w:lang w:val="en-US"/>
        </w:rPr>
        <w:t>channels invol</w:t>
      </w:r>
      <w:r w:rsidR="009465C8" w:rsidRPr="001F1399">
        <w:rPr>
          <w:rStyle w:val="eop"/>
          <w:rFonts w:ascii="Book Antiqua" w:hAnsi="Book Antiqua" w:cs="Calibri"/>
          <w:bCs/>
          <w:lang w:val="en-US"/>
        </w:rPr>
        <w:t>ving endocrine, nervous and immune signaling mechanisms. As thus, the settlement of this bidirectional communication is very crucial for preserving health according to a large body of literature. Alteration of this cross talk will be at the origin of the pathogenesis and pathophysiology of classic brain/gut disorders such as gastrointestinal disorders such as irritable bowel syndrome or inflammatory bowel diseases but also a growing list of psychiatric disorders or autism</w:t>
      </w:r>
      <w:r w:rsidR="00255788" w:rsidRPr="001F1399">
        <w:rPr>
          <w:rStyle w:val="eop"/>
          <w:rFonts w:ascii="Book Antiqua" w:hAnsi="Book Antiqua" w:cs="Calibri"/>
          <w:bCs/>
          <w:lang w:val="en-US"/>
        </w:rPr>
        <w:fldChar w:fldCharType="begin" w:fldLock="1"/>
      </w:r>
      <w:r w:rsidR="00B1214D" w:rsidRPr="001F1399">
        <w:rPr>
          <w:rStyle w:val="eop"/>
          <w:rFonts w:ascii="Book Antiqua" w:hAnsi="Book Antiqua" w:cs="Calibri"/>
          <w:bCs/>
          <w:lang w:val="en-US"/>
        </w:rPr>
        <w:instrText>ADDIN CSL_CITATION {"citationItems":[{"id":"ITEM-1","itemData":{"DOI":"10.1016/j.biopsych.2016.08.024","ISSN":"00063223","PMID":"27773355","author":[{"dropping-particle":"","family":"Vuong","given":"Helen E.","non-dropping-particle":"","parse-names":false,"suffix":""},{"dropping-particle":"","family":"Hsiao","given":"Elaine Y.","non-dropping-particle":"","parse-names":false,"suffix":""}],"container-title":"Biological Psychiatry","id":"ITEM-1","issue":"5","issued":{"date-parts":[["2017","3"]]},"page":"411-423","title":"Emerging Roles for the Gut Microbiome in Autism Spectrum Disorder","type":"article-journal","volume":"81"},"uris":["http://www.mendeley.com/documents/?uuid=3d1c241b-4a22-4188-a1cd-53ce922a32c2"]},{"id":"ITEM-2","itemData":{"DOI":"10.1038/nrn3346","ISSN":"1471-003X","PMID":"22968153","author":[{"dropping-particle":"","family":"Cryan","given":"John F.","non-dropping-particle":"","parse-names":false,"suffix":""},{"dropping-particle":"","family":"Dinan","given":"Timothy G.","non-dropping-particle":"","parse-names":false,"suffix":""}],"container-title":"Nature Reviews Neuroscience","id":"ITEM-2","issue":"10","issued":{"date-parts":[["2012","10","12"]]},"page":"701-712","title":"Mind-altering microorganisms: the impact of the gut microbiota on brain and behaviour","type":"article-journal","volume":"13"},"uris":["http://www.mendeley.com/documents/?uuid=3a3c6328-b04a-44d9-91d2-b0d6993340b0"]}],"mendeley":{"formattedCitation":"&lt;sup&gt;[63,64]&lt;/sup&gt;","plainTextFormattedCitation":"[63,64]","previouslyFormattedCitation":"&lt;sup&gt;[62,63]&lt;/sup&gt;"},"properties":{"noteIndex":0},"schema":"https://github.com/citation-style-language/schema/raw/master/csl-citation.json"}</w:instrText>
      </w:r>
      <w:r w:rsidR="00255788" w:rsidRPr="001F1399">
        <w:rPr>
          <w:rStyle w:val="eop"/>
          <w:rFonts w:ascii="Book Antiqua" w:hAnsi="Book Antiqua" w:cs="Calibri"/>
          <w:bCs/>
          <w:lang w:val="en-US"/>
        </w:rPr>
        <w:fldChar w:fldCharType="separate"/>
      </w:r>
      <w:r w:rsidR="00B1214D" w:rsidRPr="001F1399">
        <w:rPr>
          <w:rStyle w:val="eop"/>
          <w:rFonts w:ascii="Book Antiqua" w:hAnsi="Book Antiqua" w:cs="Calibri"/>
          <w:bCs/>
          <w:noProof/>
          <w:vertAlign w:val="superscript"/>
          <w:lang w:val="en-US"/>
        </w:rPr>
        <w:t>[63,64]</w:t>
      </w:r>
      <w:r w:rsidR="00255788" w:rsidRPr="001F1399">
        <w:rPr>
          <w:rStyle w:val="eop"/>
          <w:rFonts w:ascii="Book Antiqua" w:hAnsi="Book Antiqua" w:cs="Calibri"/>
          <w:bCs/>
          <w:lang w:val="en-US"/>
        </w:rPr>
        <w:fldChar w:fldCharType="end"/>
      </w:r>
      <w:r w:rsidR="009465C8" w:rsidRPr="001F1399">
        <w:rPr>
          <w:rStyle w:val="eop"/>
          <w:rFonts w:ascii="Book Antiqua" w:hAnsi="Book Antiqua" w:cs="Calibri"/>
          <w:bCs/>
          <w:lang w:val="en-US"/>
        </w:rPr>
        <w:t>, Parkinson’s disease</w:t>
      </w:r>
      <w:r w:rsidR="00A82D9A" w:rsidRPr="001F1399">
        <w:rPr>
          <w:rStyle w:val="eop"/>
          <w:rFonts w:ascii="Book Antiqua" w:hAnsi="Book Antiqua" w:cs="Calibri"/>
          <w:bCs/>
          <w:lang w:val="en-US"/>
        </w:rPr>
        <w:fldChar w:fldCharType="begin" w:fldLock="1"/>
      </w:r>
      <w:r w:rsidR="00B1214D" w:rsidRPr="001F1399">
        <w:rPr>
          <w:rStyle w:val="eop"/>
          <w:rFonts w:ascii="Book Antiqua" w:hAnsi="Book Antiqua" w:cs="Calibri"/>
          <w:bCs/>
          <w:lang w:val="en-US"/>
        </w:rPr>
        <w:instrText>ADDIN CSL_CITATION {"citationItems":[{"id":"ITEM-1","itemData":{"DOI":"10.1016/j.cell.2016.11.018","ISSN":"00928674","PMID":"27912057","author":[{"dropping-particle":"","family":"Sampson","given":"Timothy R.","non-dropping-particle":"","parse-names":false,"suffix":""},{"dropping-particle":"","family":"Debelius","given":"Justine W.","non-dropping-particle":"","parse-names":false,"suffix":""},{"dropping-particle":"","family":"Thron","given":"Taren","non-dropping-particle":"","parse-names":false,"suffix":""},{"dropping-particle":"","family":"Janssen","given":"Stefan","non-dropping-particle":"","parse-names":false,"suffix":""},{"dropping-particle":"","family":"Shastri","given":"Gauri G.","non-dropping-particle":"","parse-names":false,"suffix":""},{"dropping-particle":"","family":"Ilhan","given":"Zehra Esra","non-dropping-particle":"","parse-names":false,"suffix":""},{"dropping-particle":"","family":"Challis","given":"Collin","non-dropping-particle":"","parse-names":false,"suffix":""},{"dropping-particle":"","family":"Schretter","given":"Catherine E.","non-dropping-particle":"","parse-names":false,"suffix":""},{"dropping-particle":"","family":"Rocha","given":"Sandra","non-dropping-particle":"","parse-names":false,"suffix":""},{"dropping-particle":"","family":"Gradinaru","given":"Viviana","non-dropping-particle":"","parse-names":false,"suffix":""},{"dropping-particle":"","family":"Chesselet","given":"Marie-Francoise","non-dropping-particle":"","parse-names":false,"suffix":""},{"dropping-particle":"","family":"Keshavarzian","given":"Ali","non-dropping-particle":"","parse-names":false,"suffix":""},{"dropping-particle":"","family":"Shannon","given":"Kathleen M.","non-dropping-particle":"","parse-names":false,"suffix":""},{"dropping-particle":"","family":"Krajmalnik-Brown","given":"Rosa","non-dropping-particle":"","parse-names":false,"suffix":""},{"dropping-particle":"","family":"Wittung-Stafshede","given":"Pernilla","non-dropping-particle":"","parse-names":false,"suffix":""},{"dropping-particle":"","family":"Knight","given":"Rob","non-dropping-particle":"","parse-names":false,"suffix":""},{"dropping-particle":"","family":"Mazmanian","given":"Sarkis K.","non-dropping-particle":"","parse-names":false,"suffix":""}],"container-title":"Cell","id":"ITEM-1","issue":"6","issued":{"date-parts":[["2016","12"]]},"page":"1469-1480.e12","title":"Gut Microbiota Regulate Motor Deficits and Neuroinflammation in a Model of Parkinson’s Disease","type":"article-journal","volume":"167"},"uris":["http://www.mendeley.com/documents/?uuid=16a5a561-bc70-484d-a379-e7039f785273"]}],"mendeley":{"formattedCitation":"&lt;sup&gt;[65]&lt;/sup&gt;","plainTextFormattedCitation":"[65]","previouslyFormattedCitation":"&lt;sup&gt;[64]&lt;/sup&gt;"},"properties":{"noteIndex":0},"schema":"https://github.com/citation-style-language/schema/raw/master/csl-citation.json"}</w:instrText>
      </w:r>
      <w:r w:rsidR="00A82D9A" w:rsidRPr="001F1399">
        <w:rPr>
          <w:rStyle w:val="eop"/>
          <w:rFonts w:ascii="Book Antiqua" w:hAnsi="Book Antiqua" w:cs="Calibri"/>
          <w:bCs/>
          <w:lang w:val="en-US"/>
        </w:rPr>
        <w:fldChar w:fldCharType="separate"/>
      </w:r>
      <w:r w:rsidR="00B1214D" w:rsidRPr="001F1399">
        <w:rPr>
          <w:rStyle w:val="eop"/>
          <w:rFonts w:ascii="Book Antiqua" w:hAnsi="Book Antiqua" w:cs="Calibri"/>
          <w:bCs/>
          <w:noProof/>
          <w:vertAlign w:val="superscript"/>
          <w:lang w:val="en-US"/>
        </w:rPr>
        <w:t>[65]</w:t>
      </w:r>
      <w:r w:rsidR="00A82D9A" w:rsidRPr="001F1399">
        <w:rPr>
          <w:rStyle w:val="eop"/>
          <w:rFonts w:ascii="Book Antiqua" w:hAnsi="Book Antiqua" w:cs="Calibri"/>
          <w:bCs/>
          <w:lang w:val="en-US"/>
        </w:rPr>
        <w:fldChar w:fldCharType="end"/>
      </w:r>
      <w:r w:rsidR="009465C8" w:rsidRPr="001F1399">
        <w:rPr>
          <w:rStyle w:val="eop"/>
          <w:rFonts w:ascii="Book Antiqua" w:hAnsi="Book Antiqua" w:cs="Calibri"/>
          <w:bCs/>
          <w:lang w:val="en-US"/>
        </w:rPr>
        <w:t xml:space="preserve"> or chronic pain</w:t>
      </w:r>
      <w:r w:rsidR="00A82D9A" w:rsidRPr="001F1399">
        <w:rPr>
          <w:rStyle w:val="eop"/>
          <w:rFonts w:ascii="Book Antiqua" w:hAnsi="Book Antiqua" w:cs="Calibri"/>
          <w:bCs/>
          <w:lang w:val="en-US"/>
        </w:rPr>
        <w:fldChar w:fldCharType="begin" w:fldLock="1"/>
      </w:r>
      <w:r w:rsidR="00B1214D" w:rsidRPr="001F1399">
        <w:rPr>
          <w:rStyle w:val="eop"/>
          <w:rFonts w:ascii="Book Antiqua" w:hAnsi="Book Antiqua" w:cs="Calibri"/>
          <w:bCs/>
          <w:lang w:val="en-US"/>
        </w:rPr>
        <w:instrText>ADDIN CSL_CITATION {"citationItems":[{"id":"ITEM-1","itemData":{"DOI":"10.1073/pnas.0711891105","ISSN":"0027-8424","PMID":"18268332","author":[{"dropping-particle":"","family":"Amaral","given":"F. A.","non-dropping-particle":"","parse-names":false,"suffix":""},{"dropping-particle":"","family":"Sachs","given":"D.","non-dropping-particle":"","parse-names":false,"suffix":""},{"dropping-particle":"V.","family":"Costa","given":"V.","non-dropping-particle":"","parse-names":false,"suffix":""},{"dropping-particle":"","family":"Fagundes","given":"C. T.","non-dropping-particle":"","parse-names":false,"suffix":""},{"dropping-particle":"","family":"Cisalpino","given":"D.","non-dropping-particle":"","parse-names":false,"suffix":""},{"dropping-particle":"","family":"Cunha","given":"T. M.","non-dropping-particle":"","parse-names":false,"suffix":""},{"dropping-particle":"","family":"Ferreira","given":"S. H.","non-dropping-particle":"","parse-names":false,"suffix":""},{"dropping-particle":"","family":"Cunha","given":"F. Q.","non-dropping-particle":"","parse-names":false,"suffix":""},{"dropping-particle":"","family":"Silva","given":"T. A.","non-dropping-particle":"","parse-names":false,"suffix":""},{"dropping-particle":"","family":"Nicoli","given":"J. R.","non-dropping-particle":"","parse-names":false,"suffix":""},{"dropping-particle":"","family":"Vieira","given":"L. Q.","non-dropping-particle":"","parse-names":false,"suffix":""},{"dropping-particle":"","family":"Souza","given":"D. G.","non-dropping-particle":"","parse-names":false,"suffix":""},{"dropping-particle":"","family":"Teixeira","given":"M. M.","non-dropping-particle":"","parse-names":false,"suffix":""}],"container-title":"Proceedings of the National Academy of Sciences","id":"ITEM-1","issue":"6","issued":{"date-parts":[["2008","2","12"]]},"page":"2193-2197","title":"Commensal microbiota is fundamental for the development of inflammatory pain","type":"article-journal","volume":"105"},"uris":["http://www.mendeley.com/documents/?uuid=a5ea883a-4c7f-43f2-a30c-2fbd8964fdac"]}],"mendeley":{"formattedCitation":"&lt;sup&gt;[66]&lt;/sup&gt;","plainTextFormattedCitation":"[66]","previouslyFormattedCitation":"&lt;sup&gt;[65]&lt;/sup&gt;"},"properties":{"noteIndex":0},"schema":"https://github.com/citation-style-language/schema/raw/master/csl-citation.json"}</w:instrText>
      </w:r>
      <w:r w:rsidR="00A82D9A" w:rsidRPr="001F1399">
        <w:rPr>
          <w:rStyle w:val="eop"/>
          <w:rFonts w:ascii="Book Antiqua" w:hAnsi="Book Antiqua" w:cs="Calibri"/>
          <w:bCs/>
          <w:lang w:val="en-US"/>
        </w:rPr>
        <w:fldChar w:fldCharType="separate"/>
      </w:r>
      <w:r w:rsidR="00B1214D" w:rsidRPr="001F1399">
        <w:rPr>
          <w:rStyle w:val="eop"/>
          <w:rFonts w:ascii="Book Antiqua" w:hAnsi="Book Antiqua" w:cs="Calibri"/>
          <w:bCs/>
          <w:noProof/>
          <w:vertAlign w:val="superscript"/>
          <w:lang w:val="en-US"/>
        </w:rPr>
        <w:t>[66]</w:t>
      </w:r>
      <w:r w:rsidR="00A82D9A" w:rsidRPr="001F1399">
        <w:rPr>
          <w:rStyle w:val="eop"/>
          <w:rFonts w:ascii="Book Antiqua" w:hAnsi="Book Antiqua" w:cs="Calibri"/>
          <w:bCs/>
          <w:lang w:val="en-US"/>
        </w:rPr>
        <w:fldChar w:fldCharType="end"/>
      </w:r>
      <w:r w:rsidR="009465C8" w:rsidRPr="001F1399">
        <w:rPr>
          <w:rStyle w:val="eop"/>
          <w:rFonts w:ascii="Book Antiqua" w:hAnsi="Book Antiqua" w:cs="Calibri"/>
          <w:bCs/>
          <w:lang w:val="en-US"/>
        </w:rPr>
        <w:t xml:space="preserve">. One can suspect a mis settlement of this bidirectional communication to be at the origin of all of </w:t>
      </w:r>
      <w:r w:rsidR="001B06E4" w:rsidRPr="001F1399">
        <w:rPr>
          <w:rStyle w:val="eop"/>
          <w:rFonts w:ascii="Book Antiqua" w:hAnsi="Book Antiqua" w:cs="Calibri"/>
          <w:bCs/>
          <w:lang w:val="en-US"/>
        </w:rPr>
        <w:t>these chronic non-communicable diseases</w:t>
      </w:r>
      <w:r w:rsidR="009465C8" w:rsidRPr="001F1399">
        <w:rPr>
          <w:rStyle w:val="eop"/>
          <w:rFonts w:ascii="Book Antiqua" w:hAnsi="Book Antiqua" w:cs="Calibri"/>
          <w:bCs/>
          <w:lang w:val="en-US"/>
        </w:rPr>
        <w:t xml:space="preserve"> the </w:t>
      </w:r>
      <w:r w:rsidR="009E149F" w:rsidRPr="001F1399">
        <w:rPr>
          <w:rStyle w:val="eop"/>
          <w:rFonts w:ascii="Book Antiqua" w:hAnsi="Book Antiqua" w:cs="Calibri"/>
          <w:bCs/>
          <w:lang w:val="en-US"/>
        </w:rPr>
        <w:t>alteration</w:t>
      </w:r>
      <w:r w:rsidR="009465C8" w:rsidRPr="001F1399">
        <w:rPr>
          <w:rStyle w:val="eop"/>
          <w:rFonts w:ascii="Book Antiqua" w:hAnsi="Book Antiqua" w:cs="Calibri"/>
          <w:bCs/>
          <w:lang w:val="en-US"/>
        </w:rPr>
        <w:t xml:space="preserve"> of gut microbiota </w:t>
      </w:r>
      <w:r w:rsidR="009E149F" w:rsidRPr="001F1399">
        <w:rPr>
          <w:rStyle w:val="eop"/>
          <w:rFonts w:ascii="Book Antiqua" w:hAnsi="Book Antiqua" w:cs="Calibri"/>
          <w:bCs/>
          <w:lang w:val="en-US"/>
        </w:rPr>
        <w:t xml:space="preserve">settlement </w:t>
      </w:r>
      <w:r w:rsidR="009465C8" w:rsidRPr="001F1399">
        <w:rPr>
          <w:rStyle w:val="eop"/>
          <w:rFonts w:ascii="Book Antiqua" w:hAnsi="Book Antiqua" w:cs="Calibri"/>
          <w:bCs/>
          <w:lang w:val="en-US"/>
        </w:rPr>
        <w:t xml:space="preserve">early in life. </w:t>
      </w:r>
    </w:p>
    <w:p w14:paraId="6C328011" w14:textId="29EA0DB9" w:rsidR="0062198E" w:rsidRPr="001F1399" w:rsidRDefault="0062198E" w:rsidP="002974FA">
      <w:pPr>
        <w:pStyle w:val="paragraph"/>
        <w:adjustRightInd w:val="0"/>
        <w:snapToGrid w:val="0"/>
        <w:spacing w:before="0" w:beforeAutospacing="0" w:after="0" w:afterAutospacing="0" w:line="360" w:lineRule="auto"/>
        <w:ind w:firstLineChars="100" w:firstLine="240"/>
        <w:jc w:val="both"/>
        <w:rPr>
          <w:rStyle w:val="eop"/>
          <w:rFonts w:ascii="Book Antiqua" w:hAnsi="Book Antiqua" w:cs="Calibri"/>
          <w:lang w:val="en-US"/>
        </w:rPr>
      </w:pPr>
      <w:r w:rsidRPr="001F1399">
        <w:rPr>
          <w:rStyle w:val="eop"/>
          <w:rFonts w:ascii="Book Antiqua" w:hAnsi="Book Antiqua" w:cs="Calibri"/>
          <w:lang w:val="en-US"/>
        </w:rPr>
        <w:t>During a sensitive window of development, environmental chemical exposure to chemicals, particularly through nutritional route, will act when tissues are forming, to affect the phenotype, shift the immune-metabolism-microbiota interactions, with consequences on the neuro-immuno-endocrine pathways at both the gut and the brain levels and this will then impact organ functions and chronic diseases development susceptibility later in life</w:t>
      </w:r>
      <w:r w:rsidRPr="001F1399">
        <w:rPr>
          <w:rStyle w:val="eop"/>
          <w:rFonts w:ascii="Book Antiqua" w:hAnsi="Book Antiqua" w:cs="Calibri"/>
          <w:lang w:val="en-US"/>
        </w:rPr>
        <w:fldChar w:fldCharType="begin" w:fldLock="1"/>
      </w:r>
      <w:r w:rsidR="00B1214D" w:rsidRPr="001F1399">
        <w:rPr>
          <w:rStyle w:val="eop"/>
          <w:rFonts w:ascii="Book Antiqua" w:hAnsi="Book Antiqua" w:cs="Calibri"/>
          <w:lang w:val="en-US"/>
        </w:rPr>
        <w:instrText>ADDIN CSL_CITATION {"citationItems":[{"id":"ITEM-1","itemData":{"DOI":"10.1186/1476-069X-11-42","ISSN":"1476069X","PMID":"22715989","abstract":"This White Paper highlights the developmental period as a plastic phase, which allows the organism to adapt to changes in the environment to maintain or improve reproductive capability in part through sustained health. Plasticity is more prominent prenatally and during early postnatal life, i.e., during the time of cell differentiation and specific tissue formation. These developmental periods are highly sensitive to environmental factors, such as nutrients, environmental chemicals, drugs, infections and other stressors. Nutrient and toxicant effects share many of the same characteristics and reflect two sides of the same coin. In both cases, alterations in physiological functions can be induced and may lead to the development of non-communicable conditions. Many of the major diseases - and dysfunctions - that have increased substantially in prevalence over the last 40 years seem to be related in part to developmental factors associated with either nutritional imbalance or exposures to environmental chemicals. The Developmental Origins of Health and Disease (DOHaD) concept provides significant insight into new strategies for research and disease prevention and is sufficiently robust and repeatable across species, including humans, to require a policy and public health response. This White Paper therefore concludes that, as early development (in utero and during the first years of postnatal life) is particularly sensitive to developmental disruption by nutritional factors or environmental chemical exposures, with potentially adverse consequences for health later in life, both research and disease prevention strategies should focus more on these vulnerable life stages. © 2012 Barouki et al.; licensee BioMed Central Ltd.","author":[{"dropping-particle":"","family":"Barouki","given":"Robert","non-dropping-particle":"","parse-names":false,"suffix":""},{"dropping-particle":"","family":"Gluckman","given":"Peter D.","non-dropping-particle":"","parse-names":false,"suffix":""},{"dropping-particle":"","family":"Grandjean","given":"Philippe","non-dropping-particle":"","parse-names":false,"suffix":""},{"dropping-particle":"","family":"Hanson","given":"Mark","non-dropping-particle":"","parse-names":false,"suffix":""},{"dropping-particle":"","family":"Heindel","given":"Jerrold J.","non-dropping-particle":"","parse-names":false,"suffix":""}],"container-title":"Environmental Health: A Global Access Science Source","id":"ITEM-1","issue":"1","issued":{"date-parts":[["2012"]]},"page":"1-9","title":"Developmental origins of non-communicable disease: Implications for research and public health","type":"article-journal","volume":"11"},"uris":["http://www.mendeley.com/documents/?uuid=c8c6ced5-af04-4671-ba6e-8774be1dcca1"]}],"mendeley":{"formattedCitation":"&lt;sup&gt;[67]&lt;/sup&gt;","plainTextFormattedCitation":"[67]","previouslyFormattedCitation":"&lt;sup&gt;[66]&lt;/sup&gt;"},"properties":{"noteIndex":0},"schema":"https://github.com/citation-style-language/schema/raw/master/csl-citation.json"}</w:instrText>
      </w:r>
      <w:r w:rsidRPr="001F1399">
        <w:rPr>
          <w:rStyle w:val="eop"/>
          <w:rFonts w:ascii="Book Antiqua" w:hAnsi="Book Antiqua" w:cs="Calibri"/>
          <w:lang w:val="en-US"/>
        </w:rPr>
        <w:fldChar w:fldCharType="separate"/>
      </w:r>
      <w:r w:rsidR="00B1214D" w:rsidRPr="001F1399">
        <w:rPr>
          <w:rStyle w:val="eop"/>
          <w:rFonts w:ascii="Book Antiqua" w:hAnsi="Book Antiqua" w:cs="Calibri"/>
          <w:noProof/>
          <w:vertAlign w:val="superscript"/>
          <w:lang w:val="en-US"/>
        </w:rPr>
        <w:t>[67]</w:t>
      </w:r>
      <w:r w:rsidRPr="001F1399">
        <w:rPr>
          <w:rStyle w:val="eop"/>
          <w:rFonts w:ascii="Book Antiqua" w:hAnsi="Book Antiqua" w:cs="Calibri"/>
          <w:lang w:val="en-US"/>
        </w:rPr>
        <w:fldChar w:fldCharType="end"/>
      </w:r>
      <w:r w:rsidRPr="001F1399">
        <w:rPr>
          <w:rStyle w:val="eop"/>
          <w:rFonts w:ascii="Book Antiqua" w:hAnsi="Book Antiqua" w:cs="Calibri"/>
          <w:lang w:val="en-US"/>
        </w:rPr>
        <w:t xml:space="preserve">. Furthermore, </w:t>
      </w:r>
      <w:r w:rsidR="5C885008" w:rsidRPr="001F1399">
        <w:rPr>
          <w:rStyle w:val="eop"/>
          <w:rFonts w:ascii="Book Antiqua" w:hAnsi="Book Antiqua" w:cs="Calibri"/>
          <w:lang w:val="en-US"/>
        </w:rPr>
        <w:t>many mechanisms presented here are under genetic control including specific gene expression at each developmental and ma</w:t>
      </w:r>
      <w:r w:rsidR="7FFCE8B9" w:rsidRPr="001F1399">
        <w:rPr>
          <w:rStyle w:val="eop"/>
          <w:rFonts w:ascii="Book Antiqua" w:hAnsi="Book Antiqua" w:cs="Calibri"/>
          <w:lang w:val="en-US"/>
        </w:rPr>
        <w:t xml:space="preserve">turation stage. These mechanisms are allowed by particular transcription factors </w:t>
      </w:r>
      <w:r w:rsidR="3DEAC107" w:rsidRPr="001F1399">
        <w:rPr>
          <w:rStyle w:val="eop"/>
          <w:rFonts w:ascii="Book Antiqua" w:hAnsi="Book Antiqua" w:cs="Calibri"/>
          <w:lang w:val="en-US"/>
        </w:rPr>
        <w:t xml:space="preserve">that </w:t>
      </w:r>
      <w:r w:rsidR="3DEAC107" w:rsidRPr="001F1399">
        <w:rPr>
          <w:rFonts w:ascii="Book Antiqua" w:eastAsia="Calibri" w:hAnsi="Book Antiqua" w:cs="Calibri"/>
          <w:lang w:val="en-GB"/>
        </w:rPr>
        <w:t xml:space="preserve">interact with DNA to activate or inhibit gene expression. Epigenetic mechanisms are linked to accessibility of DNA to these transcription factors and </w:t>
      </w:r>
      <w:r w:rsidR="686FC784" w:rsidRPr="001F1399">
        <w:rPr>
          <w:rFonts w:ascii="Book Antiqua" w:eastAsia="Calibri" w:hAnsi="Book Antiqua" w:cs="Calibri"/>
          <w:lang w:val="en-GB"/>
        </w:rPr>
        <w:t>are</w:t>
      </w:r>
      <w:r w:rsidR="727F89C1" w:rsidRPr="001F1399">
        <w:rPr>
          <w:rFonts w:ascii="Book Antiqua" w:eastAsia="Calibri" w:hAnsi="Book Antiqua" w:cs="Calibri"/>
          <w:lang w:val="en-GB"/>
        </w:rPr>
        <w:t xml:space="preserve"> not transmitted with the classical mendelian genetics. Epigenetic is linked to biochemical modifications that affect DNA compaction and accessibility, essentially methylation of DNA on the specific nitrogen base cytosine and</w:t>
      </w:r>
      <w:r w:rsidR="3DEAC107" w:rsidRPr="001F1399">
        <w:rPr>
          <w:rFonts w:ascii="Book Antiqua" w:eastAsia="Calibri" w:hAnsi="Book Antiqua" w:cs="Calibri"/>
          <w:lang w:val="en-GB"/>
        </w:rPr>
        <w:t xml:space="preserve"> post translational modifications of Histone proteins. </w:t>
      </w:r>
      <w:r w:rsidR="00322E8A" w:rsidRPr="001F1399">
        <w:rPr>
          <w:rFonts w:ascii="Book Antiqua" w:eastAsia="Calibri" w:hAnsi="Book Antiqua" w:cs="Calibri"/>
          <w:lang w:val="en-GB"/>
        </w:rPr>
        <w:t>m</w:t>
      </w:r>
      <w:r w:rsidR="37F94FDB" w:rsidRPr="001F1399">
        <w:rPr>
          <w:rFonts w:ascii="Book Antiqua" w:eastAsia="Calibri" w:hAnsi="Book Antiqua" w:cs="Calibri"/>
          <w:lang w:val="en-GB"/>
        </w:rPr>
        <w:t>iRNA are a</w:t>
      </w:r>
      <w:r w:rsidR="3DEAC107" w:rsidRPr="001F1399">
        <w:rPr>
          <w:rFonts w:ascii="Book Antiqua" w:eastAsia="Calibri" w:hAnsi="Book Antiqua" w:cs="Calibri"/>
          <w:lang w:val="en-GB"/>
        </w:rPr>
        <w:t xml:space="preserve">nother epigenetic mechanism </w:t>
      </w:r>
      <w:r w:rsidR="135A018C" w:rsidRPr="001F1399">
        <w:rPr>
          <w:rFonts w:ascii="Book Antiqua" w:eastAsia="Calibri" w:hAnsi="Book Antiqua" w:cs="Calibri"/>
          <w:lang w:val="en-GB"/>
        </w:rPr>
        <w:t>where these</w:t>
      </w:r>
      <w:r w:rsidR="3DEAC107" w:rsidRPr="001F1399">
        <w:rPr>
          <w:rFonts w:ascii="Book Antiqua" w:eastAsia="Calibri" w:hAnsi="Book Antiqua" w:cs="Calibri"/>
          <w:lang w:val="en-GB"/>
        </w:rPr>
        <w:t xml:space="preserve"> small RNA</w:t>
      </w:r>
      <w:r w:rsidR="134D3F70" w:rsidRPr="001F1399">
        <w:rPr>
          <w:rFonts w:ascii="Book Antiqua" w:eastAsia="Calibri" w:hAnsi="Book Antiqua" w:cs="Calibri"/>
          <w:lang w:val="en-GB"/>
        </w:rPr>
        <w:t>s</w:t>
      </w:r>
      <w:r w:rsidR="3DEAC107" w:rsidRPr="001F1399">
        <w:rPr>
          <w:rFonts w:ascii="Book Antiqua" w:eastAsia="Calibri" w:hAnsi="Book Antiqua" w:cs="Calibri"/>
          <w:lang w:val="en-GB"/>
        </w:rPr>
        <w:t xml:space="preserve"> from 21 to 24 nucleotides </w:t>
      </w:r>
      <w:r w:rsidR="3FB1275C" w:rsidRPr="001F1399">
        <w:rPr>
          <w:rFonts w:ascii="Book Antiqua" w:eastAsia="Calibri" w:hAnsi="Book Antiqua" w:cs="Calibri"/>
          <w:lang w:val="en-GB"/>
        </w:rPr>
        <w:t>are</w:t>
      </w:r>
      <w:r w:rsidR="3DEAC107" w:rsidRPr="001F1399">
        <w:rPr>
          <w:rFonts w:ascii="Book Antiqua" w:eastAsia="Calibri" w:hAnsi="Book Antiqua" w:cs="Calibri"/>
          <w:lang w:val="en-GB"/>
        </w:rPr>
        <w:t xml:space="preserve"> able to hybridise mainly in the 3’</w:t>
      </w:r>
      <w:r w:rsidR="009A4DD4" w:rsidRPr="001F1399">
        <w:rPr>
          <w:rFonts w:ascii="Book Antiqua" w:eastAsia="Calibri" w:hAnsi="Book Antiqua" w:cs="Calibri"/>
          <w:lang w:val="en-GB"/>
        </w:rPr>
        <w:t>-</w:t>
      </w:r>
      <w:r w:rsidR="3DEAC107" w:rsidRPr="001F1399">
        <w:rPr>
          <w:rFonts w:ascii="Book Antiqua" w:eastAsia="Calibri" w:hAnsi="Book Antiqua" w:cs="Calibri"/>
          <w:lang w:val="en-GB"/>
        </w:rPr>
        <w:t xml:space="preserve">UTR region of mRNA and block translation or cause </w:t>
      </w:r>
      <w:r w:rsidR="55B8555E" w:rsidRPr="001F1399">
        <w:rPr>
          <w:rFonts w:ascii="Book Antiqua" w:eastAsia="Calibri" w:hAnsi="Book Antiqua" w:cs="Calibri"/>
          <w:lang w:val="en-GB"/>
        </w:rPr>
        <w:t>m</w:t>
      </w:r>
      <w:r w:rsidR="3DEAC107" w:rsidRPr="001F1399">
        <w:rPr>
          <w:rFonts w:ascii="Book Antiqua" w:eastAsia="Calibri" w:hAnsi="Book Antiqua" w:cs="Calibri"/>
          <w:lang w:val="en-GB"/>
        </w:rPr>
        <w:t>RNA degradation</w:t>
      </w:r>
      <w:r w:rsidR="001C0F07" w:rsidRPr="001F1399">
        <w:rPr>
          <w:rFonts w:ascii="Book Antiqua" w:eastAsia="Calibri" w:hAnsi="Book Antiqua" w:cs="Calibri"/>
          <w:lang w:val="en-GB"/>
        </w:rPr>
        <w:fldChar w:fldCharType="begin" w:fldLock="1"/>
      </w:r>
      <w:r w:rsidR="00B1214D" w:rsidRPr="001F1399">
        <w:rPr>
          <w:rFonts w:ascii="Book Antiqua" w:eastAsia="Calibri" w:hAnsi="Book Antiqua" w:cs="Calibri"/>
          <w:lang w:val="en-GB"/>
        </w:rPr>
        <w:instrText>ADDIN CSL_CITATION {"citationItems":[{"id":"ITEM-1","itemData":{"DOI":"10.3390/nu6062165","ISSN":"2072-6643","PMID":"24892374","abstract":"The global pandemic of obesity and type 2 diabetes is often causally linked to marked changes in diet and lifestyle; namely marked increases in dietary intakes of high energy diets and concomitant reductions in physical activity levels. However, less attention has been paid to the role of developmental plasticity and alterations in phenotypic outcomes resulting from altered environmental conditions during the early life period. Human and experimental animal studies have highlighted the link between alterations in the early life environment and increased risk of obesity and metabolic disorders in later life. This link is conceptualised as the developmental programming hypothesis whereby environmental influences during critical periods of developmental plasticity can elicit lifelong effects on the health and well-being of the offspring. In particular, the nutritional environment in which the fetus or infant develops influences the risk of metabolic disorders in offspring. The late onset of such diseases in response to earlier transient experiences has led to the suggestion that developmental programming may have an epigenetic component, as epigenetic marks such as DNA methylation or histone tail modifications could provide a persistent memory of earlier nutritional states. Moreover, evidence exists, at least from animal models, that such epigenetic programming should be viewed as a transgenerational phenomenon. However, the mechanisms by which early environmental insults can have long-term effects on offspring are relatively unclear. Thus far, these mechanisms include permanent structural changes to the organ caused by suboptimal levels of an important factor during a critical developmental period, changes in gene expression caused by epigenetic modifications (including DNA methylation, histone modification, and microRNA) and permanent changes in cellular ageing. A better understanding of the epigenetic basis of developmental programming and how these effects may be transmitted across generations is essential for the implementation of initiatives aimed at curbing the current obesity and diabetes crisis. © 2014 by the authors; licensee MDPI, Basel, Switzerland.","author":[{"dropping-particle":"","family":"Vickers","given":"Mark","non-dropping-particle":"","parse-names":false,"suffix":""}],"container-title":"Nutrients","id":"ITEM-1","issue":"6","issued":{"date-parts":[["2014","6","2"]]},"page":"2165-2178","title":"Early Life Nutrition, Epigenetics and Programming of Later Life Disease","type":"article-journal","volume":"6"},"uris":["http://www.mendeley.com/documents/?uuid=c2e25fdc-037e-3b03-b59a-44871049a107"]}],"mendeley":{"formattedCitation":"&lt;sup&gt;[68]&lt;/sup&gt;","plainTextFormattedCitation":"[68]","previouslyFormattedCitation":"&lt;sup&gt;[67]&lt;/sup&gt;"},"properties":{"noteIndex":0},"schema":"https://github.com/citation-style-language/schema/raw/master/csl-citation.json"}</w:instrText>
      </w:r>
      <w:r w:rsidR="001C0F07" w:rsidRPr="001F1399">
        <w:rPr>
          <w:rFonts w:ascii="Book Antiqua" w:eastAsia="Calibri" w:hAnsi="Book Antiqua" w:cs="Calibri"/>
          <w:lang w:val="en-GB"/>
        </w:rPr>
        <w:fldChar w:fldCharType="separate"/>
      </w:r>
      <w:r w:rsidR="00B1214D" w:rsidRPr="001F1399">
        <w:rPr>
          <w:rFonts w:ascii="Book Antiqua" w:eastAsia="Calibri" w:hAnsi="Book Antiqua" w:cs="Calibri"/>
          <w:noProof/>
          <w:vertAlign w:val="superscript"/>
          <w:lang w:val="en-GB"/>
        </w:rPr>
        <w:t>[68]</w:t>
      </w:r>
      <w:r w:rsidR="001C0F07" w:rsidRPr="001F1399">
        <w:rPr>
          <w:rFonts w:ascii="Book Antiqua" w:eastAsia="Calibri" w:hAnsi="Book Antiqua" w:cs="Calibri"/>
          <w:lang w:val="en-GB"/>
        </w:rPr>
        <w:fldChar w:fldCharType="end"/>
      </w:r>
      <w:r w:rsidR="3DEAC107" w:rsidRPr="001F1399">
        <w:rPr>
          <w:rFonts w:ascii="Book Antiqua" w:eastAsia="Calibri" w:hAnsi="Book Antiqua" w:cs="Calibri"/>
          <w:lang w:val="en-GB"/>
        </w:rPr>
        <w:t>.</w:t>
      </w:r>
      <w:r w:rsidR="3DEAC107" w:rsidRPr="001F1399">
        <w:rPr>
          <w:rStyle w:val="eop"/>
          <w:rFonts w:ascii="Book Antiqua" w:hAnsi="Book Antiqua" w:cs="Calibri"/>
          <w:lang w:val="en-US"/>
        </w:rPr>
        <w:t xml:space="preserve"> </w:t>
      </w:r>
      <w:r w:rsidR="3842CE4D" w:rsidRPr="001F1399">
        <w:rPr>
          <w:rStyle w:val="eop"/>
          <w:rFonts w:ascii="Book Antiqua" w:hAnsi="Book Antiqua" w:cs="Calibri"/>
          <w:lang w:val="en-US"/>
        </w:rPr>
        <w:t xml:space="preserve">Alterations of </w:t>
      </w:r>
      <w:r w:rsidRPr="001F1399">
        <w:rPr>
          <w:rStyle w:val="eop"/>
          <w:rFonts w:ascii="Book Antiqua" w:hAnsi="Book Antiqua" w:cs="Calibri"/>
          <w:lang w:val="en-US"/>
        </w:rPr>
        <w:t xml:space="preserve">epigenetic </w:t>
      </w:r>
      <w:r w:rsidR="73026D47" w:rsidRPr="001F1399">
        <w:rPr>
          <w:rStyle w:val="eop"/>
          <w:rFonts w:ascii="Book Antiqua" w:hAnsi="Book Antiqua" w:cs="Calibri"/>
          <w:lang w:val="en-US"/>
        </w:rPr>
        <w:t>modifications</w:t>
      </w:r>
      <w:r w:rsidR="00190298" w:rsidRPr="001F1399">
        <w:rPr>
          <w:rStyle w:val="eop"/>
          <w:rFonts w:ascii="Book Antiqua" w:hAnsi="Book Antiqua" w:cs="Calibri"/>
          <w:lang w:val="en-US"/>
        </w:rPr>
        <w:t xml:space="preserve"> </w:t>
      </w:r>
      <w:r w:rsidRPr="001F1399">
        <w:rPr>
          <w:rStyle w:val="eop"/>
          <w:rFonts w:ascii="Book Antiqua" w:hAnsi="Book Antiqua" w:cs="Calibri"/>
          <w:lang w:val="en-US"/>
        </w:rPr>
        <w:t>presented as key events of developmental programming</w:t>
      </w:r>
      <w:r w:rsidRPr="001F1399">
        <w:rPr>
          <w:rStyle w:val="eop"/>
          <w:rFonts w:ascii="Book Antiqua" w:hAnsi="Book Antiqua" w:cs="Calibri"/>
          <w:lang w:val="en-US"/>
        </w:rPr>
        <w:fldChar w:fldCharType="begin" w:fldLock="1"/>
      </w:r>
      <w:r w:rsidR="00B1214D" w:rsidRPr="001F1399">
        <w:rPr>
          <w:rStyle w:val="eop"/>
          <w:rFonts w:ascii="Book Antiqua" w:hAnsi="Book Antiqua" w:cs="Calibri"/>
          <w:lang w:val="en-US"/>
        </w:rPr>
        <w:instrText>ADDIN CSL_CITATION {"citationItems":[{"id":"ITEM-1","itemData":{"DOI":"10.1203/pdr.0b013e318045bedb","ISSN":"0031-3998","PMID":"17413851","abstract":"There is now considerable evidence that elements of the heritable or familial component of disease susceptibility are transmitted by nongenomic means, and that environmental influences acting during early development shape disease risk in later life. The underlying mechanisms are thought to involve epigenetic modifications in nonimprinted genes induced by aspects of the developmental environment, which modify gene expression without altering DNA sequences. These changes result in life-long alterations in gene expression. Such nongenomic tuning of phenotype through developmental plasticity has adaptive value because it attempts to match an individual's responses to the environment predicted to be experienced. When the responses are mismatched, disease risk increases. An example of such mismatch is that arising either from inaccurate nutritional cues from the mother or placenta before birth, or from rapid environmental change through improved socioeconomic conditions, which contribute substantially to the increasing prevalence of type-2 diabetes, obesity, and cardiovascular disease. Recent evidence suggests that the effects can be transmitted to more than the immediately succeeding generation, through female and perhaps male lines. Future research into epigenetic processes may permit us to develop intervention strategies.","author":[{"dropping-particle":"","family":"Godfrey","given":"Keith M","non-dropping-particle":"","parse-names":false,"suffix":""},{"dropping-particle":"","family":"Lillycrop","given":"Karen A","non-dropping-particle":"","parse-names":false,"suffix":""},{"dropping-particle":"","family":"Burdge","given":"Graham C","non-dropping-particle":"","parse-names":false,"suffix":""},{"dropping-particle":"","family":"Gluckman","given":"Peter D","non-dropping-particle":"","parse-names":false,"suffix":""},{"dropping-particle":"","family":"Hanson","given":"Mark A","non-dropping-particle":"","parse-names":false,"suffix":""}],"container-title":"Pediatric Research","id":"ITEM-1","issue":"5 Part 2","issued":{"date-parts":[["2007","5"]]},"page":"5R-10R","title":"Epigenetic Mechanisms and the Mismatch Concept of the Developmental Origins of Health and Disease","type":"article-journal","volume":"61"},"uris":["http://www.mendeley.com/documents/?uuid=c43c0792-f0ae-4c5e-ba17-e26831b42df0"]},{"id":"ITEM-2","itemData":{"DOI":"10.1016/j.clp.2014.08.006","ISSN":"00955108","PMID":"25459776","author":[{"dropping-particle":"","family":"Lane","given":"Robert H.","non-dropping-particle":"","parse-names":false,"suffix":""}],"container-title":"Clinics in Perinatology","id":"ITEM-2","issue":"4","issued":{"date-parts":[["2014","12"]]},"page":"815-831","title":"Fetal Programming, Epigenetics, and Adult Onset Disease","type":"article-journal","volume":"41"},"uris":["http://www.mendeley.com/documents/?uuid=f3128524-497d-4826-a221-b267041e411c"]}],"mendeley":{"formattedCitation":"&lt;sup&gt;[69,70]&lt;/sup&gt;","plainTextFormattedCitation":"[69,70]","previouslyFormattedCitation":"&lt;sup&gt;[68,69]&lt;/sup&gt;"},"properties":{"noteIndex":0},"schema":"https://github.com/citation-style-language/schema/raw/master/csl-citation.json"}</w:instrText>
      </w:r>
      <w:r w:rsidRPr="001F1399">
        <w:rPr>
          <w:rStyle w:val="eop"/>
          <w:rFonts w:ascii="Book Antiqua" w:hAnsi="Book Antiqua" w:cs="Calibri"/>
          <w:lang w:val="en-US"/>
        </w:rPr>
        <w:fldChar w:fldCharType="separate"/>
      </w:r>
      <w:r w:rsidR="00B1214D" w:rsidRPr="001F1399">
        <w:rPr>
          <w:rStyle w:val="eop"/>
          <w:rFonts w:ascii="Book Antiqua" w:hAnsi="Book Antiqua" w:cs="Calibri"/>
          <w:noProof/>
          <w:vertAlign w:val="superscript"/>
          <w:lang w:val="en-US"/>
        </w:rPr>
        <w:t>[69,70]</w:t>
      </w:r>
      <w:r w:rsidRPr="001F1399">
        <w:rPr>
          <w:rStyle w:val="eop"/>
          <w:rFonts w:ascii="Book Antiqua" w:hAnsi="Book Antiqua" w:cs="Calibri"/>
          <w:lang w:val="en-US"/>
        </w:rPr>
        <w:fldChar w:fldCharType="end"/>
      </w:r>
      <w:r w:rsidRPr="001F1399">
        <w:rPr>
          <w:rStyle w:val="eop"/>
          <w:rFonts w:ascii="Book Antiqua" w:hAnsi="Book Antiqua" w:cs="Calibri"/>
          <w:lang w:val="en-US"/>
        </w:rPr>
        <w:t xml:space="preserve">. Epigenetic mechanisms are inherently malleable and may accumulate over time which will, during the </w:t>
      </w:r>
      <w:r w:rsidRPr="001F1399">
        <w:rPr>
          <w:rStyle w:val="eop"/>
          <w:rFonts w:ascii="Book Antiqua" w:hAnsi="Book Antiqua" w:cs="Calibri"/>
          <w:lang w:val="en-US"/>
        </w:rPr>
        <w:lastRenderedPageBreak/>
        <w:t>developmental programming of individuals, have profound effects on gene expression and predispose to the development of disease phenotypes profile</w:t>
      </w:r>
      <w:r w:rsidRPr="001F1399">
        <w:rPr>
          <w:rStyle w:val="eop"/>
          <w:rFonts w:ascii="Book Antiqua" w:hAnsi="Book Antiqua" w:cs="Calibri"/>
          <w:lang w:val="en-US"/>
        </w:rPr>
        <w:fldChar w:fldCharType="begin" w:fldLock="1"/>
      </w:r>
      <w:r w:rsidR="00B1214D" w:rsidRPr="001F1399">
        <w:rPr>
          <w:rStyle w:val="eop"/>
          <w:rFonts w:ascii="Book Antiqua" w:hAnsi="Book Antiqua" w:cs="Calibri"/>
          <w:lang w:val="en-US"/>
        </w:rPr>
        <w:instrText>ADDIN CSL_CITATION {"citationItems":[{"id":"ITEM-1","itemData":{"DOI":"10.1038/nrg2045","ISSN":"1471-0056","author":[{"dropping-particle":"","family":"Jirtle","given":"Randy L.","non-dropping-particle":"","parse-names":false,"suffix":""},{"dropping-particle":"","family":"Skinner","given":"Michael K.","non-dropping-particle":"","parse-names":false,"suffix":""}],"container-title":"Nature Reviews Genetics","id":"ITEM-1","issue":"4","issued":{"date-parts":[["2007","4"]]},"page":"253-262","title":"Environmental epigenomics and disease susceptibility","type":"article-journal","volume":"8"},"uris":["http://www.mendeley.com/documents/?uuid=2aae83a5-fc46-4d3d-9380-da7f2c3d7e43"]}],"mendeley":{"formattedCitation":"&lt;sup&gt;[71]&lt;/sup&gt;","plainTextFormattedCitation":"[71]","previouslyFormattedCitation":"&lt;sup&gt;[70]&lt;/sup&gt;"},"properties":{"noteIndex":0},"schema":"https://github.com/citation-style-language/schema/raw/master/csl-citation.json"}</w:instrText>
      </w:r>
      <w:r w:rsidRPr="001F1399">
        <w:rPr>
          <w:rStyle w:val="eop"/>
          <w:rFonts w:ascii="Book Antiqua" w:hAnsi="Book Antiqua" w:cs="Calibri"/>
          <w:lang w:val="en-US"/>
        </w:rPr>
        <w:fldChar w:fldCharType="separate"/>
      </w:r>
      <w:r w:rsidR="00B1214D" w:rsidRPr="001F1399">
        <w:rPr>
          <w:rStyle w:val="eop"/>
          <w:rFonts w:ascii="Book Antiqua" w:hAnsi="Book Antiqua" w:cs="Calibri"/>
          <w:noProof/>
          <w:vertAlign w:val="superscript"/>
          <w:lang w:val="en-US"/>
        </w:rPr>
        <w:t>[71]</w:t>
      </w:r>
      <w:r w:rsidRPr="001F1399">
        <w:rPr>
          <w:rStyle w:val="eop"/>
          <w:rFonts w:ascii="Book Antiqua" w:hAnsi="Book Antiqua" w:cs="Calibri"/>
          <w:lang w:val="en-US"/>
        </w:rPr>
        <w:fldChar w:fldCharType="end"/>
      </w:r>
      <w:r w:rsidRPr="001F1399">
        <w:rPr>
          <w:rStyle w:val="eop"/>
          <w:rFonts w:ascii="Book Antiqua" w:hAnsi="Book Antiqua" w:cs="Calibri"/>
          <w:lang w:val="en-US"/>
        </w:rPr>
        <w:t xml:space="preserve">. </w:t>
      </w:r>
    </w:p>
    <w:p w14:paraId="0E1058BE" w14:textId="5EBF6E68" w:rsidR="00DD6AA6" w:rsidRPr="001F1399" w:rsidRDefault="00DD6AA6" w:rsidP="002974FA">
      <w:pPr>
        <w:pStyle w:val="paragraph"/>
        <w:adjustRightInd w:val="0"/>
        <w:snapToGrid w:val="0"/>
        <w:spacing w:before="0" w:beforeAutospacing="0" w:after="0" w:afterAutospacing="0" w:line="360" w:lineRule="auto"/>
        <w:ind w:firstLineChars="100" w:firstLine="240"/>
        <w:jc w:val="both"/>
        <w:textAlignment w:val="baseline"/>
        <w:rPr>
          <w:rStyle w:val="eop"/>
          <w:rFonts w:ascii="Book Antiqua" w:hAnsi="Book Antiqua" w:cs="Calibri"/>
          <w:lang w:val="en-US"/>
        </w:rPr>
      </w:pPr>
      <w:r w:rsidRPr="001F1399">
        <w:rPr>
          <w:rStyle w:val="eop"/>
          <w:rFonts w:ascii="Book Antiqua" w:hAnsi="Book Antiqua" w:cs="Calibri"/>
          <w:lang w:val="en-US"/>
        </w:rPr>
        <w:t xml:space="preserve">The “Trialogue” among bacterial inhabitants, intestinal barriers and gut -associated neuro-immuno-endocrine components should normally </w:t>
      </w:r>
      <w:r w:rsidR="003F4907" w:rsidRPr="001F1399">
        <w:rPr>
          <w:rStyle w:val="eop"/>
          <w:rFonts w:ascii="Book Antiqua" w:hAnsi="Book Antiqua" w:cs="Calibri"/>
          <w:lang w:val="en-US"/>
        </w:rPr>
        <w:t>ensure</w:t>
      </w:r>
      <w:r w:rsidRPr="001F1399">
        <w:rPr>
          <w:rStyle w:val="eop"/>
          <w:rFonts w:ascii="Book Antiqua" w:hAnsi="Book Antiqua" w:cs="Calibri"/>
          <w:lang w:val="en-US"/>
        </w:rPr>
        <w:t xml:space="preserve"> genesis and preservation of a stable symbiotic relationship consolidating the gut homeostasis. However, if the organism gets into contact with environmental toxicants, carried inside the lumen through food intake, these conditions could be at the origin of instability increasing the risk to develop chronic disorders, especially in critical windows of life such as perinatal stage.</w:t>
      </w:r>
    </w:p>
    <w:p w14:paraId="50CF0898" w14:textId="7C45D596" w:rsidR="00CD4A5A" w:rsidRPr="001F1399" w:rsidRDefault="00CD4A5A" w:rsidP="002974FA">
      <w:pPr>
        <w:pStyle w:val="paragraph"/>
        <w:adjustRightInd w:val="0"/>
        <w:snapToGrid w:val="0"/>
        <w:spacing w:before="0" w:beforeAutospacing="0" w:after="0" w:afterAutospacing="0" w:line="360" w:lineRule="auto"/>
        <w:jc w:val="both"/>
        <w:textAlignment w:val="baseline"/>
        <w:rPr>
          <w:rFonts w:ascii="Book Antiqua" w:hAnsi="Book Antiqua" w:cs="Segoe UI"/>
          <w:color w:val="7030A0"/>
          <w:lang w:val="en-US"/>
        </w:rPr>
      </w:pPr>
    </w:p>
    <w:p w14:paraId="31899918" w14:textId="1E1FD3FB" w:rsidR="00CD4A5A" w:rsidRPr="001F1399" w:rsidRDefault="003F4907" w:rsidP="002974FA">
      <w:pPr>
        <w:pStyle w:val="paragraph"/>
        <w:adjustRightInd w:val="0"/>
        <w:snapToGrid w:val="0"/>
        <w:spacing w:before="0" w:beforeAutospacing="0" w:after="0" w:afterAutospacing="0" w:line="360" w:lineRule="auto"/>
        <w:jc w:val="both"/>
        <w:textAlignment w:val="baseline"/>
        <w:rPr>
          <w:rStyle w:val="eop"/>
          <w:rFonts w:ascii="Book Antiqua" w:hAnsi="Book Antiqua" w:cs="Calibri"/>
          <w:b/>
          <w:iCs/>
          <w:u w:val="single"/>
          <w:lang w:val="en-US"/>
        </w:rPr>
      </w:pPr>
      <w:r w:rsidRPr="001F1399">
        <w:rPr>
          <w:rStyle w:val="normaltextrun"/>
          <w:rFonts w:ascii="Book Antiqua" w:hAnsi="Book Antiqua" w:cs="Calibri"/>
          <w:b/>
          <w:iCs/>
          <w:u w:val="single"/>
          <w:lang w:val="en-US"/>
        </w:rPr>
        <w:t>ROLE OF FOOD CONTAMINANTS ON FETAL PROGRAMMING</w:t>
      </w:r>
    </w:p>
    <w:p w14:paraId="29F15B3E" w14:textId="1C8C5F8E" w:rsidR="00C74AA0" w:rsidRPr="001F1399" w:rsidRDefault="009C07C2" w:rsidP="002974FA">
      <w:pPr>
        <w:pStyle w:val="paragraph"/>
        <w:adjustRightInd w:val="0"/>
        <w:snapToGrid w:val="0"/>
        <w:spacing w:before="0" w:beforeAutospacing="0" w:after="0" w:afterAutospacing="0" w:line="360" w:lineRule="auto"/>
        <w:jc w:val="both"/>
        <w:textAlignment w:val="baseline"/>
        <w:rPr>
          <w:rFonts w:ascii="Book Antiqua" w:hAnsi="Book Antiqua" w:cstheme="minorBidi"/>
          <w:lang w:val="en-US"/>
        </w:rPr>
      </w:pPr>
      <w:r w:rsidRPr="001F1399">
        <w:rPr>
          <w:rStyle w:val="eop"/>
          <w:rFonts w:ascii="Book Antiqua" w:hAnsi="Book Antiqua" w:cs="Calibri"/>
          <w:lang w:val="en-US"/>
        </w:rPr>
        <w:t xml:space="preserve">Based on all this literature information, one can question whether prenatal or postnatal food contaminants exposure could somehow reprogram the fetus or infant overall development and more especially may interfere with the microbiota settlement, reconditioning the maturation of the gut mucosa not only at the immune but also at the neuroendocrine level. One can speculate that all of these modifications will naturally impact the developing connection between the gut and the brain. This has clearly been evidenced that exposition to certain chemical substances during postnatal life and early childhood will predispose to significant and irreversible damage in the developing brain. </w:t>
      </w:r>
      <w:r w:rsidR="002A7F05" w:rsidRPr="001F1399">
        <w:rPr>
          <w:rFonts w:ascii="Book Antiqua" w:hAnsi="Book Antiqua" w:cstheme="minorBidi"/>
          <w:lang w:val="en-US"/>
        </w:rPr>
        <w:t xml:space="preserve">Pregnancy is a peculiar state </w:t>
      </w:r>
      <w:r w:rsidR="003B6DF5" w:rsidRPr="001F1399">
        <w:rPr>
          <w:rFonts w:ascii="Book Antiqua" w:hAnsi="Book Antiqua" w:cstheme="minorBidi"/>
          <w:lang w:val="en-US"/>
        </w:rPr>
        <w:t xml:space="preserve">of high vulnerability </w:t>
      </w:r>
      <w:r w:rsidR="00642E96" w:rsidRPr="001F1399">
        <w:rPr>
          <w:rFonts w:ascii="Book Antiqua" w:hAnsi="Book Antiqua" w:cstheme="minorBidi"/>
          <w:lang w:val="en-US"/>
        </w:rPr>
        <w:t>for the woman and the fet</w:t>
      </w:r>
      <w:r w:rsidR="004A377C" w:rsidRPr="001F1399">
        <w:rPr>
          <w:rFonts w:ascii="Book Antiqua" w:hAnsi="Book Antiqua" w:cstheme="minorBidi"/>
          <w:lang w:val="en-US"/>
        </w:rPr>
        <w:t xml:space="preserve">us </w:t>
      </w:r>
      <w:r w:rsidR="00C91BA9" w:rsidRPr="001F1399">
        <w:rPr>
          <w:rFonts w:ascii="Book Antiqua" w:hAnsi="Book Antiqua" w:cstheme="minorBidi"/>
          <w:lang w:val="en-US"/>
        </w:rPr>
        <w:t>because of the necess</w:t>
      </w:r>
      <w:r w:rsidR="009A2CD8" w:rsidRPr="001F1399">
        <w:rPr>
          <w:rFonts w:ascii="Book Antiqua" w:hAnsi="Book Antiqua" w:cstheme="minorBidi"/>
          <w:lang w:val="en-US"/>
        </w:rPr>
        <w:t>ary</w:t>
      </w:r>
      <w:r w:rsidR="00C91BA9" w:rsidRPr="001F1399">
        <w:rPr>
          <w:rFonts w:ascii="Book Antiqua" w:hAnsi="Book Antiqua" w:cstheme="minorBidi"/>
          <w:lang w:val="en-US"/>
        </w:rPr>
        <w:t xml:space="preserve"> adaptation to </w:t>
      </w:r>
      <w:r w:rsidR="00B01B2F" w:rsidRPr="001F1399">
        <w:rPr>
          <w:rFonts w:ascii="Book Antiqua" w:hAnsi="Book Antiqua" w:cstheme="minorBidi"/>
          <w:lang w:val="en-US"/>
        </w:rPr>
        <w:t>a putatively noxious</w:t>
      </w:r>
      <w:r w:rsidR="00176133" w:rsidRPr="001F1399">
        <w:rPr>
          <w:rFonts w:ascii="Book Antiqua" w:hAnsi="Book Antiqua" w:cstheme="minorBidi"/>
          <w:lang w:val="en-US"/>
        </w:rPr>
        <w:t xml:space="preserve"> environment</w:t>
      </w:r>
      <w:r w:rsidR="00742BDD" w:rsidRPr="001F1399">
        <w:rPr>
          <w:rFonts w:ascii="Book Antiqua" w:hAnsi="Book Antiqua" w:cstheme="minorBidi"/>
          <w:lang w:val="en-US"/>
        </w:rPr>
        <w:t xml:space="preserve"> which may modify</w:t>
      </w:r>
      <w:r w:rsidR="00176133" w:rsidRPr="001F1399">
        <w:rPr>
          <w:rFonts w:ascii="Book Antiqua" w:hAnsi="Book Antiqua" w:cstheme="minorBidi"/>
          <w:lang w:val="en-US"/>
        </w:rPr>
        <w:t xml:space="preserve"> the </w:t>
      </w:r>
      <w:r w:rsidR="00FD5169" w:rsidRPr="001F1399">
        <w:rPr>
          <w:rFonts w:ascii="Book Antiqua" w:hAnsi="Book Antiqua" w:cstheme="minorBidi"/>
          <w:lang w:val="en-US"/>
        </w:rPr>
        <w:t>symbio</w:t>
      </w:r>
      <w:r w:rsidR="005843BA" w:rsidRPr="001F1399">
        <w:rPr>
          <w:rFonts w:ascii="Book Antiqua" w:hAnsi="Book Antiqua" w:cstheme="minorBidi"/>
          <w:lang w:val="en-US"/>
        </w:rPr>
        <w:t>t</w:t>
      </w:r>
      <w:r w:rsidR="00FD5169" w:rsidRPr="001F1399">
        <w:rPr>
          <w:rFonts w:ascii="Book Antiqua" w:hAnsi="Book Antiqua" w:cstheme="minorBidi"/>
          <w:lang w:val="en-US"/>
        </w:rPr>
        <w:t>i</w:t>
      </w:r>
      <w:r w:rsidR="00742BDD" w:rsidRPr="001F1399">
        <w:rPr>
          <w:rFonts w:ascii="Book Antiqua" w:hAnsi="Book Antiqua" w:cstheme="minorBidi"/>
          <w:lang w:val="en-US"/>
        </w:rPr>
        <w:t>c interaction</w:t>
      </w:r>
      <w:r w:rsidR="00FD5169" w:rsidRPr="001F1399">
        <w:rPr>
          <w:rFonts w:ascii="Book Antiqua" w:hAnsi="Book Antiqua" w:cstheme="minorBidi"/>
          <w:lang w:val="en-US"/>
        </w:rPr>
        <w:t xml:space="preserve"> between mother and baby and </w:t>
      </w:r>
      <w:r w:rsidR="005843BA" w:rsidRPr="001F1399">
        <w:rPr>
          <w:rFonts w:ascii="Book Antiqua" w:hAnsi="Book Antiqua" w:cstheme="minorBidi"/>
          <w:lang w:val="en-US"/>
        </w:rPr>
        <w:t xml:space="preserve">could, in turn, </w:t>
      </w:r>
      <w:r w:rsidR="00077997" w:rsidRPr="001F1399">
        <w:rPr>
          <w:rFonts w:ascii="Book Antiqua" w:hAnsi="Book Antiqua" w:cstheme="minorBidi"/>
          <w:lang w:val="en-US"/>
        </w:rPr>
        <w:t>influence the fetal programming process</w:t>
      </w:r>
      <w:r w:rsidR="00012D70" w:rsidRPr="001F1399">
        <w:rPr>
          <w:rFonts w:ascii="Book Antiqua" w:hAnsi="Book Antiqua" w:cstheme="minorBidi"/>
          <w:lang w:val="en-US"/>
        </w:rPr>
        <w:t xml:space="preserve">. </w:t>
      </w:r>
      <w:r w:rsidR="00BC35B9" w:rsidRPr="001F1399">
        <w:rPr>
          <w:rFonts w:ascii="Book Antiqua" w:hAnsi="Book Antiqua" w:cstheme="minorBidi"/>
          <w:lang w:val="en-US"/>
        </w:rPr>
        <w:t>T</w:t>
      </w:r>
      <w:r w:rsidR="00012D70" w:rsidRPr="001F1399">
        <w:rPr>
          <w:rFonts w:ascii="Book Antiqua" w:hAnsi="Book Antiqua" w:cstheme="minorBidi"/>
          <w:lang w:val="en-US"/>
        </w:rPr>
        <w:t xml:space="preserve">his could </w:t>
      </w:r>
      <w:r w:rsidR="00BC35B9" w:rsidRPr="001F1399">
        <w:rPr>
          <w:rFonts w:ascii="Book Antiqua" w:hAnsi="Book Antiqua" w:cstheme="minorBidi"/>
          <w:lang w:val="en-US"/>
        </w:rPr>
        <w:t xml:space="preserve">result </w:t>
      </w:r>
      <w:r w:rsidR="00DC56ED" w:rsidRPr="001F1399">
        <w:rPr>
          <w:rFonts w:ascii="Book Antiqua" w:hAnsi="Book Antiqua" w:cstheme="minorBidi"/>
          <w:lang w:val="en-US"/>
        </w:rPr>
        <w:t>in some permanent, often subtle alterations in different organs among which</w:t>
      </w:r>
      <w:r w:rsidR="0071286E" w:rsidRPr="001F1399">
        <w:rPr>
          <w:rFonts w:ascii="Book Antiqua" w:hAnsi="Book Antiqua" w:cstheme="minorBidi"/>
          <w:lang w:val="en-US"/>
        </w:rPr>
        <w:t xml:space="preserve"> gut or brain. </w:t>
      </w:r>
      <w:r w:rsidR="00AE39C6" w:rsidRPr="001F1399">
        <w:rPr>
          <w:rFonts w:ascii="Book Antiqua" w:hAnsi="Book Antiqua" w:cstheme="minorBidi"/>
          <w:lang w:val="en-US"/>
        </w:rPr>
        <w:t>M</w:t>
      </w:r>
      <w:r w:rsidR="002B24BD" w:rsidRPr="001F1399">
        <w:rPr>
          <w:rFonts w:ascii="Book Antiqua" w:hAnsi="Book Antiqua" w:cstheme="minorBidi"/>
          <w:lang w:val="en-US"/>
        </w:rPr>
        <w:t xml:space="preserve">any factors </w:t>
      </w:r>
      <w:r w:rsidR="00E213F6" w:rsidRPr="001F1399">
        <w:rPr>
          <w:rFonts w:ascii="Book Antiqua" w:hAnsi="Book Antiqua" w:cstheme="minorBidi"/>
          <w:lang w:val="en-US"/>
        </w:rPr>
        <w:t xml:space="preserve">during and after pregnancy may influence the </w:t>
      </w:r>
      <w:r w:rsidR="00E26474" w:rsidRPr="001F1399">
        <w:rPr>
          <w:rFonts w:ascii="Book Antiqua" w:hAnsi="Book Antiqua" w:cstheme="minorBidi"/>
          <w:lang w:val="en-US"/>
        </w:rPr>
        <w:t>future health status of the human being</w:t>
      </w:r>
      <w:r w:rsidR="005E6DD1" w:rsidRPr="001F1399">
        <w:rPr>
          <w:rFonts w:ascii="Book Antiqua" w:hAnsi="Book Antiqua" w:cstheme="minorBidi"/>
          <w:lang w:val="en-US"/>
        </w:rPr>
        <w:t>: gene</w:t>
      </w:r>
      <w:r w:rsidR="00D70A96" w:rsidRPr="001F1399">
        <w:rPr>
          <w:rFonts w:ascii="Book Antiqua" w:hAnsi="Book Antiqua" w:cstheme="minorBidi"/>
          <w:lang w:val="en-US"/>
        </w:rPr>
        <w:t>tic status</w:t>
      </w:r>
      <w:r w:rsidR="005E6DD1" w:rsidRPr="001F1399">
        <w:rPr>
          <w:rFonts w:ascii="Book Antiqua" w:hAnsi="Book Antiqua" w:cstheme="minorBidi"/>
          <w:lang w:val="en-US"/>
        </w:rPr>
        <w:t xml:space="preserve">, inflammation during pregnancy, </w:t>
      </w:r>
      <w:r w:rsidR="00D70A96" w:rsidRPr="001F1399">
        <w:rPr>
          <w:rFonts w:ascii="Book Antiqua" w:hAnsi="Book Antiqua" w:cstheme="minorBidi"/>
          <w:lang w:val="en-US"/>
        </w:rPr>
        <w:t>but also diet</w:t>
      </w:r>
      <w:r w:rsidR="00532073" w:rsidRPr="001F1399">
        <w:rPr>
          <w:rFonts w:ascii="Book Antiqua" w:hAnsi="Book Antiqua" w:cstheme="minorBidi"/>
          <w:lang w:val="en-US"/>
        </w:rPr>
        <w:t xml:space="preserve">. Indeed, </w:t>
      </w:r>
      <w:r w:rsidR="60B57681" w:rsidRPr="001F1399">
        <w:rPr>
          <w:rFonts w:ascii="Book Antiqua" w:hAnsi="Book Antiqua" w:cstheme="minorBidi"/>
          <w:lang w:val="en-US"/>
        </w:rPr>
        <w:t>f</w:t>
      </w:r>
      <w:r w:rsidR="00651980" w:rsidRPr="001F1399">
        <w:rPr>
          <w:rFonts w:ascii="Book Antiqua" w:hAnsi="Book Antiqua" w:cstheme="minorBidi"/>
          <w:lang w:val="en-US"/>
        </w:rPr>
        <w:t xml:space="preserve">ood not only provides nutrients but is also the most important source of environmental contaminants </w:t>
      </w:r>
      <w:r w:rsidR="0053538D" w:rsidRPr="001F1399">
        <w:rPr>
          <w:rFonts w:ascii="Book Antiqua" w:hAnsi="Book Antiqua" w:cstheme="minorBidi"/>
          <w:lang w:val="en-US"/>
        </w:rPr>
        <w:t xml:space="preserve">of diverse origins including </w:t>
      </w:r>
      <w:r w:rsidR="00DD6AA6" w:rsidRPr="001F1399">
        <w:rPr>
          <w:rFonts w:ascii="Book Antiqua" w:hAnsi="Book Antiqua" w:cstheme="minorBidi"/>
          <w:lang w:val="en-US"/>
        </w:rPr>
        <w:t>heavy metals</w:t>
      </w:r>
      <w:r w:rsidRPr="001F1399">
        <w:rPr>
          <w:rFonts w:ascii="Book Antiqua" w:hAnsi="Book Antiqua" w:cstheme="minorBidi"/>
          <w:lang w:val="en-US"/>
        </w:rPr>
        <w:fldChar w:fldCharType="begin" w:fldLock="1"/>
      </w:r>
      <w:r w:rsidR="00B1214D" w:rsidRPr="001F1399">
        <w:rPr>
          <w:rFonts w:ascii="Book Antiqua" w:hAnsi="Book Antiqua" w:cstheme="minorBidi"/>
          <w:lang w:val="en-US"/>
        </w:rPr>
        <w:instrText>ADDIN CSL_CITATION {"citationItems":[{"id":"ITEM-1","itemData":{"DOI":"10.1289/EHP5324","ISSN":"15529924","PMID":"31617753","abstract":"BACKGROUND: Pregnant women and children are especially vulnerable to exposures to food contaminants, and a balanced diet during these periods is critical for optimal nutritional status. OBJECTIVES: Our objective was to study the association between diet and measured blood and urinary levels of environmental contaminants in mother–child pairs from six European birth cohorts (n = 818 mothers and 1,288 children). METHODS: We assessed the consumption of seven food groups and the blood levels of organochlorine pesticides, polybrominated diphenyl ethers, polychlorinated biphenyls (PCBs), per-and polyfluoroalkyl substances (PFAS), and heavy metals and urinary levels of phthalate metabolites, phenolic compounds, and organophosphate pesticide (OP) metabolites. Organic food consumption during childhood was also studied. We applied multivariable linear regressions and targeted maximum likelihood based estimation (TMLE). RESULTS: Maternal high (≥4 times=week) versus low (&lt;2 times=week) fish consumption was associated with 15% higher PCBs [geometric mean (GM) ratio = 1:15; 95% confidence interval (CI): 1.02, 1.29], 42% higher perfluoroundecanoate (PFUnDA) (GM ratio = 1:42; 95% CI: 1.20, 1.68), 89% higher mercury (Hg) (GM ratio = 1:89; 95% CI: 1.47, 2.41) and a 487% increase in arsenic (As) (GM ratio = 4:87; 95% CI: 2.57, 9.23) levels. In children, high (≥3 times=week) versus low (&lt;1:5 times=week) fish consumption was associated with 23% higher perfluorononanoate (PFNA) (GM ratio = 1:23; 95% CI: 1.08, 1.40), 36% higher PFUnDA (GM ratio = 1:36; 95% CI: 1.12, 1.64), 37% higher perfluorooctane sulfonate (PFOS) (GM ratio = 1:37; 95% CI: 1.22, 1.54), and &gt;200% higher Hg and As [GM ratio = 3:87 (95% CI: 1.91, 4.31) and GM ratio = 2:68 (95% CI: 2.23, 3.21)] concentrations. Using TMLE analysis, we estimated that fish consumption within the recommended 2–3 times/week resulted in lower PFAS, Hg, and As compared with higher consumption. Fruit consumption was positively associated with OP metabolites. Organic food consumption was negatively associated with OP metabolites. DISCUSSION: Fish consumption is related to higher PFAS, Hg, and As exposures. In addition, fruit consumption is a source of exposure to OPs. https://doi.org/10.1289/EHP5324.","author":[{"dropping-particle":"","family":"Papadopoulou","given":"Eleni","non-dropping-particle":"","parse-names":false,"suffix":""},{"dropping-particle":"","family":"Haug","given":"Line Småstuen","non-dropping-particle":"","parse-names":false,"suffix":""},{"dropping-particle":"","family":"Sakhi","given":"Amrit Kaur","non-dropping-particle":"","parse-names":false,"suffix":""},{"dropping-particle":"","family":"Andrusaityte","given":"Sandra","non-dropping-particle":"","parse-names":false,"suffix":""},{"dropping-particle":"","family":"Basagaña","given":"Xavier","non-dropping-particle":"","parse-names":false,"suffix":""},{"dropping-particle":"","family":"Brantsaeter","given":"Anne Lise","non-dropping-particle":"","parse-names":false,"suffix":""},{"dropping-particle":"","family":"Casas","given":"Maribel","non-dropping-particle":"","parse-names":false,"suffix":""},{"dropping-particle":"","family":"Fernández-Barrés","given":"Sílvia","non-dropping-particle":"","parse-names":false,"suffix":""},{"dropping-particle":"","family":"Grazuleviciene","given":"Regina","non-dropping-particle":"","parse-names":false,"suffix":""},{"dropping-particle":"","family":"Knutsen","given":"Helle Katrine","non-dropping-particle":"","parse-names":false,"suffix":""},{"dropping-particle":"","family":"Maitre","given":"Lea","non-dropping-particle":"","parse-names":false,"suffix":""},{"dropping-particle":"","family":"Meltzer","given":"Helle Margrete","non-dropping-particle":"","parse-names":false,"suffix":""},{"dropping-particle":"","family":"McEachan","given":"Rosemary R.C.","non-dropping-particle":"","parse-names":false,"suffix":""},{"dropping-particle":"","family":"Roumeliotaki","given":"Theano","non-dropping-particle":"","parse-names":false,"suffix":""},{"dropping-particle":"","family":"Slama","given":"Remy","non-dropping-particle":"","parse-names":false,"suffix":""},{"dropping-particle":"","family":"Vafeiadi","given":"Marina","non-dropping-particle":"","parse-names":false,"suffix":""},{"dropping-particle":"","family":"Wright","given":"John","non-dropping-particle":"","parse-names":false,"suffix":""},{"dropping-particle":"","family":"Vrijheid","given":"Martine","non-dropping-particle":"","parse-names":false,"suffix":""},{"dropping-particle":"","family":"Thomsen","given":"Cathrine","non-dropping-particle":"","parse-names":false,"suffix":""},{"dropping-particle":"","family":"Chatzi","given":"Leda","non-dropping-particle":"","parse-names":false,"suffix":""}],"container-title":"Environmental Health Perspectives","id":"ITEM-1","issue":"10","issued":{"date-parts":[["2019"]]},"page":"1-13","title":"Diet as a source of exposure to environmental contaminants for pregnant women and children from Six European Countries","type":"article-journal","volume":"127"},"uris":["http://www.mendeley.com/documents/?uuid=493ceada-ba41-4a5e-a59f-884c7211405b"]}],"mendeley":{"formattedCitation":"&lt;sup&gt;[72]&lt;/sup&gt;","plainTextFormattedCitation":"[72]","previouslyFormattedCitation":"&lt;sup&gt;[71]&lt;/sup&gt;"},"properties":{"noteIndex":0},"schema":"https://github.com/citation-style-language/schema/raw/master/csl-citation.json"}</w:instrText>
      </w:r>
      <w:r w:rsidRPr="001F1399">
        <w:rPr>
          <w:rFonts w:ascii="Book Antiqua" w:hAnsi="Book Antiqua" w:cstheme="minorBidi"/>
          <w:lang w:val="en-US"/>
        </w:rPr>
        <w:fldChar w:fldCharType="separate"/>
      </w:r>
      <w:r w:rsidR="00B1214D" w:rsidRPr="001F1399">
        <w:rPr>
          <w:rFonts w:ascii="Book Antiqua" w:hAnsi="Book Antiqua" w:cstheme="minorBidi"/>
          <w:noProof/>
          <w:vertAlign w:val="superscript"/>
          <w:lang w:val="en-US"/>
        </w:rPr>
        <w:t>[72]</w:t>
      </w:r>
      <w:r w:rsidRPr="001F1399">
        <w:rPr>
          <w:rFonts w:ascii="Book Antiqua" w:hAnsi="Book Antiqua" w:cstheme="minorBidi"/>
          <w:lang w:val="en-US"/>
        </w:rPr>
        <w:fldChar w:fldCharType="end"/>
      </w:r>
      <w:r w:rsidR="00DD6AA6" w:rsidRPr="001F1399">
        <w:rPr>
          <w:rFonts w:ascii="Book Antiqua" w:hAnsi="Book Antiqua" w:cstheme="minorBidi"/>
          <w:lang w:val="en-US"/>
        </w:rPr>
        <w:t xml:space="preserve"> or </w:t>
      </w:r>
      <w:r w:rsidR="001C5C63" w:rsidRPr="001F1399">
        <w:rPr>
          <w:rFonts w:ascii="Book Antiqua" w:hAnsi="Book Antiqua" w:cstheme="minorBidi"/>
          <w:lang w:val="en-US"/>
        </w:rPr>
        <w:t>persistent organic pollutants (POPs)</w:t>
      </w:r>
      <w:r w:rsidR="00674AB1" w:rsidRPr="001F1399">
        <w:rPr>
          <w:rFonts w:ascii="Book Antiqua" w:hAnsi="Book Antiqua" w:cstheme="minorBidi"/>
          <w:lang w:val="en-US"/>
        </w:rPr>
        <w:t xml:space="preserve"> coming from industrial activities and </w:t>
      </w:r>
      <w:r w:rsidR="00A01259" w:rsidRPr="001F1399">
        <w:rPr>
          <w:rFonts w:ascii="Book Antiqua" w:hAnsi="Book Antiqua" w:cstheme="minorBidi"/>
          <w:lang w:val="en-US"/>
        </w:rPr>
        <w:t>found in food</w:t>
      </w:r>
      <w:r w:rsidR="007D7F81" w:rsidRPr="001F1399">
        <w:rPr>
          <w:rFonts w:ascii="Book Antiqua" w:hAnsi="Book Antiqua" w:cstheme="minorBidi"/>
          <w:lang w:val="en-US"/>
        </w:rPr>
        <w:t xml:space="preserve"> and particularly</w:t>
      </w:r>
      <w:r w:rsidR="00A01259" w:rsidRPr="001F1399">
        <w:rPr>
          <w:rFonts w:ascii="Book Antiqua" w:hAnsi="Book Antiqua" w:cstheme="minorBidi"/>
          <w:lang w:val="en-US"/>
        </w:rPr>
        <w:t xml:space="preserve"> in fatty fish</w:t>
      </w:r>
      <w:r w:rsidRPr="001F1399">
        <w:rPr>
          <w:rFonts w:ascii="Book Antiqua" w:hAnsi="Book Antiqua" w:cstheme="minorBidi"/>
          <w:lang w:val="en-US"/>
        </w:rPr>
        <w:fldChar w:fldCharType="begin" w:fldLock="1"/>
      </w:r>
      <w:r w:rsidR="00B1214D" w:rsidRPr="001F1399">
        <w:rPr>
          <w:rFonts w:ascii="Book Antiqua" w:hAnsi="Book Antiqua" w:cstheme="minorBidi"/>
          <w:lang w:val="en-US"/>
        </w:rPr>
        <w:instrText>ADDIN CSL_CITATION {"citationItems":[{"id":"ITEM-1","itemData":{"DOI":"10.1289/ehp.0901347","ISSN":"0091-6765","author":[{"dropping-particle":"","family":"Schecter","given":"Arnold","non-dropping-particle":"","parse-names":false,"suffix":""},{"dropping-particle":"","family":"Colacino","given":"Justin","non-dropping-particle":"","parse-names":false,"suffix":""},{"dropping-particle":"","family":"Haffner","given":"Darrah","non-dropping-particle":"","parse-names":false,"suffix":""},{"dropping-particle":"","family":"Patel","given":"Keyur","non-dropping-particle":"","parse-names":false,"suffix":""},{"dropping-particle":"","family":"Opel","given":"Matthias","non-dropping-particle":"","parse-names":false,"suffix":""},{"dropping-particle":"","family":"Päpke","given":"Olaf","non-dropping-particle":"","parse-names":false,"suffix":""},{"dropping-particle":"","family":"Birnbaum","given":"Linda","non-dropping-particle":"","parse-names":false,"suffix":""}],"container-title":"Environmental Health Perspectives","id":"ITEM-1","issue":"6","issued":{"date-parts":[["2010","6"]]},"page":"796-802","title":"Perfluorinated Compounds, Polychlorinated Biphenyls, and Organochlorine Pesticide Contamination in Composite Food Samples from Dallas, Texas, USA","type":"article-journal","volume":"118"},"uris":["http://www.mendeley.com/documents/?uuid=9751072b-7aa5-4fc2-9623-fa608ea9d1d4"]}],"mendeley":{"formattedCitation":"&lt;sup&gt;[73]&lt;/sup&gt;","plainTextFormattedCitation":"[73]","previouslyFormattedCitation":"&lt;sup&gt;[72]&lt;/sup&gt;"},"properties":{"noteIndex":0},"schema":"https://github.com/citation-style-language/schema/raw/master/csl-citation.json"}</w:instrText>
      </w:r>
      <w:r w:rsidRPr="001F1399">
        <w:rPr>
          <w:rFonts w:ascii="Book Antiqua" w:hAnsi="Book Antiqua" w:cstheme="minorBidi"/>
          <w:lang w:val="en-US"/>
        </w:rPr>
        <w:fldChar w:fldCharType="separate"/>
      </w:r>
      <w:r w:rsidR="00B1214D" w:rsidRPr="001F1399">
        <w:rPr>
          <w:rFonts w:ascii="Book Antiqua" w:hAnsi="Book Antiqua" w:cstheme="minorBidi"/>
          <w:noProof/>
          <w:vertAlign w:val="superscript"/>
          <w:lang w:val="en-US"/>
        </w:rPr>
        <w:t>[73]</w:t>
      </w:r>
      <w:r w:rsidRPr="001F1399">
        <w:rPr>
          <w:rFonts w:ascii="Book Antiqua" w:hAnsi="Book Antiqua" w:cstheme="minorBidi"/>
          <w:lang w:val="en-US"/>
        </w:rPr>
        <w:fldChar w:fldCharType="end"/>
      </w:r>
      <w:r w:rsidR="00716A4D" w:rsidRPr="001F1399">
        <w:rPr>
          <w:rFonts w:ascii="Book Antiqua" w:hAnsi="Book Antiqua" w:cstheme="minorBidi"/>
          <w:lang w:val="en-US"/>
        </w:rPr>
        <w:t>.</w:t>
      </w:r>
      <w:r w:rsidR="00E6088E" w:rsidRPr="001F1399">
        <w:rPr>
          <w:rFonts w:ascii="Book Antiqua" w:hAnsi="Book Antiqua" w:cstheme="minorBidi"/>
          <w:lang w:val="en-US"/>
        </w:rPr>
        <w:t xml:space="preserve"> </w:t>
      </w:r>
      <w:r w:rsidR="00C62FDF" w:rsidRPr="001F1399">
        <w:rPr>
          <w:rFonts w:ascii="Book Antiqua" w:hAnsi="Book Antiqua" w:cstheme="minorBidi"/>
          <w:lang w:val="en-US"/>
        </w:rPr>
        <w:t>Some other</w:t>
      </w:r>
      <w:r w:rsidR="00084F8F" w:rsidRPr="001F1399">
        <w:rPr>
          <w:rFonts w:ascii="Book Antiqua" w:hAnsi="Book Antiqua" w:cstheme="minorBidi"/>
          <w:lang w:val="en-US"/>
        </w:rPr>
        <w:t>, such as pesticides,</w:t>
      </w:r>
      <w:r w:rsidR="00C62FDF" w:rsidRPr="001F1399">
        <w:rPr>
          <w:rFonts w:ascii="Book Antiqua" w:hAnsi="Book Antiqua" w:cstheme="minorBidi"/>
          <w:lang w:val="en-US"/>
        </w:rPr>
        <w:t xml:space="preserve"> may </w:t>
      </w:r>
      <w:r w:rsidR="0025256E" w:rsidRPr="001F1399">
        <w:rPr>
          <w:rFonts w:ascii="Book Antiqua" w:hAnsi="Book Antiqua" w:cstheme="minorBidi"/>
          <w:lang w:val="en-US"/>
        </w:rPr>
        <w:t>be detected in harvested crops</w:t>
      </w:r>
      <w:r w:rsidRPr="001F1399">
        <w:rPr>
          <w:rFonts w:ascii="Book Antiqua" w:hAnsi="Book Antiqua" w:cstheme="minorBidi"/>
          <w:lang w:val="en-US"/>
        </w:rPr>
        <w:fldChar w:fldCharType="begin" w:fldLock="1"/>
      </w:r>
      <w:r w:rsidR="00B1214D" w:rsidRPr="001F1399">
        <w:rPr>
          <w:rFonts w:ascii="Book Antiqua" w:hAnsi="Book Antiqua" w:cstheme="minorBidi"/>
          <w:lang w:val="en-US"/>
        </w:rPr>
        <w:instrText>ADDIN CSL_CITATION {"citationItems":[{"id":"ITEM-1","itemData":{"DOI":"10.1289/EHP614","ISSN":"0091-6765","PMID":"28669934","author":[{"dropping-particle":"","family":"Valeri","given":"Linda","non-dropping-particle":"","parse-names":false,"suffix":""},{"dropping-particle":"","family":"Mazumdar","given":"Maitreyi M.","non-dropping-particle":"","parse-names":false,"suffix":""},{"dropping-particle":"","family":"Bobb","given":"Jennifer F.","non-dropping-particle":"","parse-names":false,"suffix":""},{"dropping-particle":"","family":"Claus Henn","given":"Birgit","non-dropping-particle":"","parse-names":false,"suffix":""},{"dropping-particle":"","family":"Rodrigues","given":"Ema","non-dropping-particle":"","parse-names":false,"suffix":""},{"dropping-particle":"","family":"Sharif","given":"Omar I.A.","non-dropping-particle":"","parse-names":false,"suffix":""},{"dropping-particle":"","family":"Kile","given":"Molly L.","non-dropping-particle":"","parse-names":false,"suffix":""},{"dropping-particle":"","family":"Quamruzzaman","given":"Quazi","non-dropping-particle":"","parse-names":false,"suffix":""},{"dropping-particle":"","family":"Afroz","given":"Sakila","non-dropping-particle":"","parse-names":false,"suffix":""},{"dropping-particle":"","family":"Golam","given":"Mostafa","non-dropping-particle":"","parse-names":false,"suffix":""},{"dropping-particle":"","family":"Amarasiriwardena","given":"Citra","non-dropping-particle":"","parse-names":false,"suffix":""},{"dropping-particle":"","family":"Bellinger","given":"David C.","non-dropping-particle":"","parse-names":false,"suffix":""},{"dropping-particle":"","family":"Christiani","given":"David C.","non-dropping-particle":"","parse-names":false,"suffix":""},{"dropping-particle":"","family":"Coull","given":"Brent A.","non-dropping-particle":"","parse-names":false,"suffix":""},{"dropping-particle":"","family":"Wright","given":"Robert O.","non-dropping-particle":"","parse-names":false,"suffix":""}],"container-title":"Environmental Health Perspectives","id":"ITEM-1","issue":"6","issued":{"date-parts":[["2017","6","23"]]},"page":"067015","title":"The Joint Effect of Prenatal Exposure to Metal Mixtures on Neurodevelopmental Outcomes at 20–40 Months of Age: Evidence from Rural Bangladesh","type":"article-journal","volume":"125"},"uris":["http://www.mendeley.com/documents/?uuid=99a9d972-1ffd-4bee-ac5c-c26e4d2a0053"]}],"mendeley":{"formattedCitation":"&lt;sup&gt;[74]&lt;/sup&gt;","plainTextFormattedCitation":"[74]","previouslyFormattedCitation":"&lt;sup&gt;[73]&lt;/sup&gt;"},"properties":{"noteIndex":0},"schema":"https://github.com/citation-style-language/schema/raw/master/csl-citation.json"}</w:instrText>
      </w:r>
      <w:r w:rsidRPr="001F1399">
        <w:rPr>
          <w:rFonts w:ascii="Book Antiqua" w:hAnsi="Book Antiqua" w:cstheme="minorBidi"/>
          <w:lang w:val="en-US"/>
        </w:rPr>
        <w:fldChar w:fldCharType="separate"/>
      </w:r>
      <w:r w:rsidR="00B1214D" w:rsidRPr="001F1399">
        <w:rPr>
          <w:rFonts w:ascii="Book Antiqua" w:hAnsi="Book Antiqua" w:cstheme="minorBidi"/>
          <w:noProof/>
          <w:vertAlign w:val="superscript"/>
          <w:lang w:val="en-US"/>
        </w:rPr>
        <w:t>[74]</w:t>
      </w:r>
      <w:r w:rsidRPr="001F1399">
        <w:rPr>
          <w:rFonts w:ascii="Book Antiqua" w:hAnsi="Book Antiqua" w:cstheme="minorBidi"/>
          <w:lang w:val="en-US"/>
        </w:rPr>
        <w:fldChar w:fldCharType="end"/>
      </w:r>
      <w:r w:rsidR="0025256E" w:rsidRPr="001F1399">
        <w:rPr>
          <w:rFonts w:ascii="Book Antiqua" w:hAnsi="Book Antiqua" w:cstheme="minorBidi"/>
          <w:lang w:val="en-US"/>
        </w:rPr>
        <w:t xml:space="preserve"> </w:t>
      </w:r>
      <w:r w:rsidR="00084F8F" w:rsidRPr="001F1399">
        <w:rPr>
          <w:rFonts w:ascii="Book Antiqua" w:hAnsi="Book Antiqua" w:cstheme="minorBidi"/>
          <w:lang w:val="en-US"/>
        </w:rPr>
        <w:t>or may appear</w:t>
      </w:r>
      <w:r w:rsidR="00D75293" w:rsidRPr="001F1399">
        <w:rPr>
          <w:rFonts w:ascii="Book Antiqua" w:hAnsi="Book Antiqua" w:cstheme="minorBidi"/>
          <w:lang w:val="en-US"/>
        </w:rPr>
        <w:t xml:space="preserve"> during storag</w:t>
      </w:r>
      <w:r w:rsidR="009756B1" w:rsidRPr="001F1399">
        <w:rPr>
          <w:rFonts w:ascii="Book Antiqua" w:hAnsi="Book Antiqua" w:cstheme="minorBidi"/>
          <w:lang w:val="en-US"/>
        </w:rPr>
        <w:t xml:space="preserve">e </w:t>
      </w:r>
      <w:r w:rsidR="00555D67" w:rsidRPr="001F1399">
        <w:rPr>
          <w:rFonts w:ascii="Book Antiqua" w:hAnsi="Book Antiqua" w:cstheme="minorBidi"/>
          <w:lang w:val="en-US"/>
        </w:rPr>
        <w:t xml:space="preserve">which is the case for </w:t>
      </w:r>
      <w:r w:rsidR="009756B1" w:rsidRPr="001F1399">
        <w:rPr>
          <w:rFonts w:ascii="Book Antiqua" w:hAnsi="Book Antiqua" w:cstheme="minorBidi"/>
          <w:lang w:val="en-US"/>
        </w:rPr>
        <w:t>fungi or bacteria</w:t>
      </w:r>
      <w:r w:rsidR="004160B8" w:rsidRPr="001F1399">
        <w:rPr>
          <w:rFonts w:ascii="Book Antiqua" w:hAnsi="Book Antiqua" w:cstheme="minorBidi"/>
          <w:lang w:val="en-US"/>
        </w:rPr>
        <w:t xml:space="preserve"> toxins</w:t>
      </w:r>
      <w:r w:rsidRPr="001F1399">
        <w:rPr>
          <w:rFonts w:ascii="Book Antiqua" w:hAnsi="Book Antiqua" w:cstheme="minorBidi"/>
          <w:lang w:val="en-US"/>
        </w:rPr>
        <w:fldChar w:fldCharType="begin" w:fldLock="1"/>
      </w:r>
      <w:r w:rsidR="00B1214D" w:rsidRPr="001F1399">
        <w:rPr>
          <w:rFonts w:ascii="Book Antiqua" w:hAnsi="Book Antiqua" w:cstheme="minorBidi"/>
          <w:lang w:val="en-US"/>
        </w:rPr>
        <w:instrText>ADDIN CSL_CITATION {"citationItems":[{"id":"ITEM-1","itemData":{"DOI":"10.3389/fcimb.2018.00060","ISSN":"2235-2988","PMID":"29535978","abstract":"The secondary metabolites produced by fungi known as mycotoxins, are capable of causing mycotoxicosis (diseases and death) in human and animals. Contamination of feedstuffs as well as food commodities by fungi occurs frequently in a natural manner and is accompanied by the presence of mycotoxins. The occurrence of mycotoxins' contamination is further stimulated by the on-going global warming as reflected in some findings. This review comprehensively discussed the role of mycotoxins (trichothecenes, zearalenone, fumonisins, ochratoxins, and aflatoxins) toward gut health and gut microbiota. Certainly, mycotoxins cause perturbation in the gut, particularly in the intestinal epithelial. Recent insights have generated an entirely new perspective where there is a bi-directional relationship exists between mycotoxins and gut microbiota, thus suggesting that our gut microbiota might be involved in the development of mycotoxicosis. The bacteria-xenobiotic interplay for the host is highlighted in this review article. It is now well established that a healthy gut microbiota is largely responsible for the overall health of the host. Findings revealed that the gut microbiota is capable of eliminating mycotoxin from the host naturally, provided that the host is healthy with a balance gut microbiota. Moreover, mycotoxins have been demonstrated for modulation of gut microbiota composition, and such alteration in gut microbiota can be observed up to species level in some of the studies. Most, if not all, of the reported effects of mycotoxins, are negative in terms of intestinal health, where beneficial bacteria are eliminated accompanied by an increase of the gut pathogen. The interactions between gut microbiota and mycotoxins have a significant role in the development of mycotoxicosis, particularly hepatocellular carcinoma. Such knowledge potentially drives the development of novel and innovative strategies for the prevention and therapy of mycotoxin contamination and mycotoxicosis.","author":[{"dropping-particle":"","family":"Liew","given":"Winnie-Pui-Pui","non-dropping-particle":"","parse-names":false,"suffix":""},{"dropping-particle":"","family":"Mohd-Redzwan","given":"Sabran","non-dropping-particle":"","parse-names":false,"suffix":""}],"container-title":"Frontiers in Cellular and Infection Microbiology","id":"ITEM-1","issue":"FEB","issued":{"date-parts":[["2018","2","26"]]},"title":"Mycotoxin: Its Impact on Gut Health and Microbiota","type":"article-journal","volume":"8"},"uris":["http://www.mendeley.com/documents/?uuid=7cabcd6b-1b0f-336f-9fd6-c637e71ff893"]}],"mendeley":{"formattedCitation":"&lt;sup&gt;[75]&lt;/sup&gt;","plainTextFormattedCitation":"[75]","previouslyFormattedCitation":"&lt;sup&gt;[74]&lt;/sup&gt;"},"properties":{"noteIndex":0},"schema":"https://github.com/citation-style-language/schema/raw/master/csl-citation.json"}</w:instrText>
      </w:r>
      <w:r w:rsidRPr="001F1399">
        <w:rPr>
          <w:rFonts w:ascii="Book Antiqua" w:hAnsi="Book Antiqua" w:cstheme="minorBidi"/>
          <w:lang w:val="en-US"/>
        </w:rPr>
        <w:fldChar w:fldCharType="separate"/>
      </w:r>
      <w:r w:rsidR="00B1214D" w:rsidRPr="001F1399">
        <w:rPr>
          <w:rFonts w:ascii="Book Antiqua" w:hAnsi="Book Antiqua" w:cstheme="minorBidi"/>
          <w:noProof/>
          <w:vertAlign w:val="superscript"/>
          <w:lang w:val="en-US"/>
        </w:rPr>
        <w:t>[75]</w:t>
      </w:r>
      <w:r w:rsidRPr="001F1399">
        <w:rPr>
          <w:rFonts w:ascii="Book Antiqua" w:hAnsi="Book Antiqua" w:cstheme="minorBidi"/>
          <w:lang w:val="en-US"/>
        </w:rPr>
        <w:fldChar w:fldCharType="end"/>
      </w:r>
      <w:r w:rsidR="005867CD" w:rsidRPr="001F1399">
        <w:rPr>
          <w:rFonts w:ascii="Book Antiqua" w:hAnsi="Book Antiqua" w:cstheme="minorBidi"/>
          <w:lang w:val="en-US"/>
        </w:rPr>
        <w:t xml:space="preserve"> or during </w:t>
      </w:r>
      <w:r w:rsidR="00B12FBB" w:rsidRPr="001F1399">
        <w:rPr>
          <w:rFonts w:ascii="Book Antiqua" w:hAnsi="Book Antiqua" w:cstheme="minorBidi"/>
          <w:lang w:val="en-US"/>
        </w:rPr>
        <w:t xml:space="preserve">food </w:t>
      </w:r>
      <w:r w:rsidR="00B12FBB" w:rsidRPr="001F1399">
        <w:rPr>
          <w:rFonts w:ascii="Book Antiqua" w:hAnsi="Book Antiqua" w:cstheme="minorBidi"/>
          <w:lang w:val="en-US"/>
        </w:rPr>
        <w:lastRenderedPageBreak/>
        <w:t xml:space="preserve">processing </w:t>
      </w:r>
      <w:r w:rsidR="00257E7D" w:rsidRPr="001F1399">
        <w:rPr>
          <w:rFonts w:ascii="Book Antiqua" w:hAnsi="Book Antiqua" w:cstheme="minorBidi"/>
          <w:lang w:val="en-US"/>
        </w:rPr>
        <w:t xml:space="preserve">and particularly heating </w:t>
      </w:r>
      <w:r w:rsidR="00D761CF" w:rsidRPr="001F1399">
        <w:rPr>
          <w:rFonts w:ascii="Book Antiqua" w:hAnsi="Book Antiqua" w:cstheme="minorBidi"/>
          <w:lang w:val="en-US"/>
        </w:rPr>
        <w:t xml:space="preserve">with the appearance of </w:t>
      </w:r>
      <w:r w:rsidR="00390720" w:rsidRPr="001F1399">
        <w:rPr>
          <w:rFonts w:ascii="Book Antiqua" w:hAnsi="Book Antiqua" w:cstheme="minorBidi"/>
          <w:lang w:val="en-US"/>
        </w:rPr>
        <w:t xml:space="preserve">Maillard </w:t>
      </w:r>
      <w:r w:rsidR="005D5A36" w:rsidRPr="001F1399">
        <w:rPr>
          <w:rFonts w:ascii="Book Antiqua" w:hAnsi="Book Antiqua" w:cstheme="minorBidi"/>
          <w:lang w:val="en-US"/>
        </w:rPr>
        <w:t>reaction products</w:t>
      </w:r>
      <w:r w:rsidR="002D7306" w:rsidRPr="001F1399">
        <w:rPr>
          <w:rFonts w:ascii="Book Antiqua" w:hAnsi="Book Antiqua" w:cstheme="minorBidi"/>
          <w:lang w:val="en-US"/>
        </w:rPr>
        <w:t xml:space="preserve"> (MRPs)</w:t>
      </w:r>
      <w:r w:rsidRPr="001F1399">
        <w:rPr>
          <w:rFonts w:ascii="Book Antiqua" w:hAnsi="Book Antiqua" w:cstheme="minorBidi"/>
          <w:lang w:val="en-US"/>
        </w:rPr>
        <w:fldChar w:fldCharType="begin" w:fldLock="1"/>
      </w:r>
      <w:r w:rsidR="00B1214D" w:rsidRPr="001F1399">
        <w:rPr>
          <w:rFonts w:ascii="Book Antiqua" w:hAnsi="Book Antiqua" w:cstheme="minorBidi"/>
          <w:lang w:val="en-US"/>
        </w:rPr>
        <w:instrText>ADDIN CSL_CITATION {"citationItems":[{"id":"ITEM-1","itemData":{"DOI":"10.1016/j.envint.2018.12.032","ISSN":"01604120","PMID":"30622074","abstract":"Mankind exposure to chemicals in the past century has increased dramatically throughout environment. There is no question that chemicals interfere with the physiology of biological system. Abundance of chemicals is documented to be detrimental to human and wildlife. The mammalian endocrine system is comprised of many interacting tissues mediate themselves through hormones that are essential for metabolism, growth and development. Humans secrete over fifty different hormones to orchestrate major physiological functions however; these vital functions can be intervened by huge number of internal and external chemical stressors that are identified as endocrine disruptors. Advanced glycation end products (AGEs), familiarly known as Maillard products, formed through non-enzymatic glycation whose production is augmented on aging as well as environmental stressors. Processed foods have become very popular today due to their taste, convenience, and inexpensiveness. Manufacture of these day-to-day foods involves extreme temperatures on processing results in the formation of AGEs could independently promote oxidative stress, aging, diabetes, cancer, degenerative diseases, more fascinatingly hormonal disruption is the subject of interest of this review. Based on some substantial observations documented till time, we discuss the emergence of dietary AGEs as potential endocrine disruptors by emphasizing their occurrence, mechanisms and participation in endocrine interruption. Both economically and in terms of human life, AGEs may represent an enormous cost for the future society. Therefore, by explicating their novel role in endocrine diseases, the review strives to make an impact on AGEs and their exposure among public as well as scientific communities.","author":[{"dropping-particle":"","family":"Ravichandran","given":"Guna","non-dropping-particle":"","parse-names":false,"suffix":""},{"dropping-particle":"","family":"Lakshmanan","given":"Dinesh Kumar","non-dropping-particle":"","parse-names":false,"suffix":""},{"dropping-particle":"","family":"Raju","given":"Karthik","non-dropping-particle":"","parse-names":false,"suffix":""},{"dropping-particle":"","family":"Elangovan","given":"Abbirami","non-dropping-particle":"","parse-names":false,"suffix":""},{"dropping-particle":"","family":"Nambirajan","given":"Gayathri","non-dropping-particle":"","parse-names":false,"suffix":""},{"dropping-particle":"","family":"Devanesan","given":"Arul Ananth","non-dropping-particle":"","parse-names":false,"suffix":""},{"dropping-particle":"","family":"Thilagar","given":"Sivasudha","non-dropping-particle":"","parse-names":false,"suffix":""}],"container-title":"Environment International","id":"ITEM-1","issue":"December 2018","issued":{"date-parts":[["2019","2"]]},"page":"486-500","title":"Food advanced glycation end products as potential endocrine disruptors: An emerging threat to contemporary and future generation","type":"article-journal","volume":"123"},"uris":["http://www.mendeley.com/documents/?uuid=8af41fda-714c-318f-ae2f-9b53675de7c5"]}],"mendeley":{"formattedCitation":"&lt;sup&gt;[76]&lt;/sup&gt;","plainTextFormattedCitation":"[76]","previouslyFormattedCitation":"&lt;sup&gt;[75]&lt;/sup&gt;"},"properties":{"noteIndex":0},"schema":"https://github.com/citation-style-language/schema/raw/master/csl-citation.json"}</w:instrText>
      </w:r>
      <w:r w:rsidRPr="001F1399">
        <w:rPr>
          <w:rFonts w:ascii="Book Antiqua" w:hAnsi="Book Antiqua" w:cstheme="minorBidi"/>
          <w:lang w:val="en-US"/>
        </w:rPr>
        <w:fldChar w:fldCharType="separate"/>
      </w:r>
      <w:r w:rsidR="00B1214D" w:rsidRPr="001F1399">
        <w:rPr>
          <w:rFonts w:ascii="Book Antiqua" w:hAnsi="Book Antiqua" w:cstheme="minorBidi"/>
          <w:noProof/>
          <w:vertAlign w:val="superscript"/>
          <w:lang w:val="en-US"/>
        </w:rPr>
        <w:t>[76]</w:t>
      </w:r>
      <w:r w:rsidRPr="001F1399">
        <w:rPr>
          <w:rFonts w:ascii="Book Antiqua" w:hAnsi="Book Antiqua" w:cstheme="minorBidi"/>
          <w:lang w:val="en-US"/>
        </w:rPr>
        <w:fldChar w:fldCharType="end"/>
      </w:r>
      <w:r w:rsidR="00390720" w:rsidRPr="001F1399">
        <w:rPr>
          <w:rFonts w:ascii="Book Antiqua" w:hAnsi="Book Antiqua" w:cstheme="minorBidi"/>
          <w:lang w:val="en-US"/>
        </w:rPr>
        <w:t xml:space="preserve">. </w:t>
      </w:r>
      <w:r w:rsidR="00E934E7" w:rsidRPr="001F1399">
        <w:rPr>
          <w:rFonts w:ascii="Book Antiqua" w:hAnsi="Book Antiqua" w:cstheme="minorBidi"/>
          <w:lang w:val="en-US"/>
        </w:rPr>
        <w:t>Fetus</w:t>
      </w:r>
      <w:r w:rsidR="00A4495D" w:rsidRPr="001F1399">
        <w:rPr>
          <w:rFonts w:ascii="Book Antiqua" w:hAnsi="Book Antiqua" w:cstheme="minorBidi"/>
          <w:lang w:val="en-US"/>
        </w:rPr>
        <w:t>es are</w:t>
      </w:r>
      <w:r w:rsidR="00E934E7" w:rsidRPr="001F1399">
        <w:rPr>
          <w:rFonts w:ascii="Book Antiqua" w:hAnsi="Book Antiqua" w:cstheme="minorBidi"/>
          <w:lang w:val="en-US"/>
        </w:rPr>
        <w:t xml:space="preserve"> exposed to contaminants from </w:t>
      </w:r>
      <w:r w:rsidR="004C23F1" w:rsidRPr="001F1399">
        <w:rPr>
          <w:rFonts w:ascii="Book Antiqua" w:hAnsi="Book Antiqua" w:cstheme="minorBidi"/>
          <w:lang w:val="en-US"/>
        </w:rPr>
        <w:t>their</w:t>
      </w:r>
      <w:r w:rsidR="00E934E7" w:rsidRPr="001F1399">
        <w:rPr>
          <w:rFonts w:ascii="Book Antiqua" w:hAnsi="Book Antiqua" w:cstheme="minorBidi"/>
          <w:lang w:val="en-US"/>
        </w:rPr>
        <w:t xml:space="preserve"> mother’s diet. </w:t>
      </w:r>
      <w:r w:rsidR="001E14D0" w:rsidRPr="001F1399">
        <w:rPr>
          <w:rFonts w:ascii="Book Antiqua" w:hAnsi="Book Antiqua" w:cstheme="minorBidi"/>
          <w:lang w:val="en-US"/>
        </w:rPr>
        <w:t xml:space="preserve">Since all of these substances are unintentionally found in food products, they can impair health under certain circumstances. </w:t>
      </w:r>
      <w:r w:rsidR="00675CAC" w:rsidRPr="001F1399">
        <w:rPr>
          <w:rFonts w:ascii="Book Antiqua" w:hAnsi="Book Antiqua" w:cstheme="minorBidi"/>
          <w:lang w:val="en-US"/>
        </w:rPr>
        <w:t xml:space="preserve">Human fetus is not a small adult. This vulnerable subpopulation is probably at a greater risk from food contaminant because of a higher absorption rate, a poor detoxification elimination capacity, rapid cell proliferation, and immature </w:t>
      </w:r>
      <w:r w:rsidR="00C40773" w:rsidRPr="001F1399">
        <w:rPr>
          <w:rFonts w:ascii="Book Antiqua" w:hAnsi="Book Antiqua" w:cstheme="minorBidi"/>
          <w:lang w:val="en-US"/>
        </w:rPr>
        <w:t>repairing</w:t>
      </w:r>
      <w:r w:rsidR="00675CAC" w:rsidRPr="001F1399">
        <w:rPr>
          <w:rFonts w:ascii="Book Antiqua" w:hAnsi="Book Antiqua" w:cstheme="minorBidi"/>
          <w:lang w:val="en-US"/>
        </w:rPr>
        <w:t xml:space="preserve"> mechanisms. I</w:t>
      </w:r>
      <w:r w:rsidR="00CB7879" w:rsidRPr="001F1399">
        <w:rPr>
          <w:rFonts w:ascii="Book Antiqua" w:hAnsi="Book Antiqua" w:cstheme="minorBidi"/>
          <w:lang w:val="en-US"/>
        </w:rPr>
        <w:t>n this part, we will review</w:t>
      </w:r>
      <w:r w:rsidR="00A35FEB" w:rsidRPr="001F1399">
        <w:rPr>
          <w:rFonts w:ascii="Book Antiqua" w:hAnsi="Book Antiqua" w:cstheme="minorBidi"/>
          <w:lang w:val="en-US"/>
        </w:rPr>
        <w:t xml:space="preserve"> the </w:t>
      </w:r>
      <w:r w:rsidR="003D434E" w:rsidRPr="001F1399">
        <w:rPr>
          <w:rFonts w:ascii="Book Antiqua" w:hAnsi="Book Antiqua" w:cstheme="minorBidi"/>
          <w:lang w:val="en-US"/>
        </w:rPr>
        <w:t>consequences of food contaminants</w:t>
      </w:r>
      <w:r w:rsidR="00A4613F" w:rsidRPr="001F1399">
        <w:rPr>
          <w:rFonts w:ascii="Book Antiqua" w:hAnsi="Book Antiqua" w:cstheme="minorBidi"/>
          <w:lang w:val="en-US"/>
        </w:rPr>
        <w:t xml:space="preserve"> exposure of the mother during pregnancy on the maturation of </w:t>
      </w:r>
      <w:r w:rsidR="004A35ED" w:rsidRPr="001F1399">
        <w:rPr>
          <w:rFonts w:ascii="Book Antiqua" w:hAnsi="Book Antiqua" w:cstheme="minorBidi"/>
          <w:lang w:val="en-US"/>
        </w:rPr>
        <w:t>fetus and then on infant and child</w:t>
      </w:r>
      <w:r w:rsidR="003531AA" w:rsidRPr="001F1399">
        <w:rPr>
          <w:rFonts w:ascii="Book Antiqua" w:hAnsi="Book Antiqua" w:cstheme="minorBidi"/>
          <w:lang w:val="en-US"/>
        </w:rPr>
        <w:t>.</w:t>
      </w:r>
      <w:bookmarkStart w:id="9" w:name="_Hlk28065480"/>
      <w:bookmarkEnd w:id="9"/>
    </w:p>
    <w:p w14:paraId="3C9B0613" w14:textId="372BE257" w:rsidR="00C74AA0" w:rsidRPr="001F1399" w:rsidRDefault="00C74AA0" w:rsidP="002974FA">
      <w:pPr>
        <w:pStyle w:val="paragraph"/>
        <w:adjustRightInd w:val="0"/>
        <w:snapToGrid w:val="0"/>
        <w:spacing w:before="0" w:beforeAutospacing="0" w:after="0" w:afterAutospacing="0" w:line="360" w:lineRule="auto"/>
        <w:jc w:val="both"/>
        <w:textAlignment w:val="baseline"/>
        <w:rPr>
          <w:rFonts w:ascii="Book Antiqua" w:hAnsi="Book Antiqua" w:cstheme="minorHAnsi"/>
          <w:i/>
          <w:color w:val="7030A0"/>
          <w:lang w:val="en-US"/>
        </w:rPr>
      </w:pPr>
    </w:p>
    <w:p w14:paraId="06C2FA73" w14:textId="41EA330B" w:rsidR="00CD4A5A" w:rsidRPr="001F1399" w:rsidRDefault="00D559AB" w:rsidP="002974FA">
      <w:pPr>
        <w:pStyle w:val="paragraph"/>
        <w:adjustRightInd w:val="0"/>
        <w:snapToGrid w:val="0"/>
        <w:spacing w:before="0" w:beforeAutospacing="0" w:after="0" w:afterAutospacing="0" w:line="360" w:lineRule="auto"/>
        <w:jc w:val="both"/>
        <w:textAlignment w:val="baseline"/>
        <w:rPr>
          <w:rStyle w:val="eop"/>
          <w:rFonts w:ascii="Book Antiqua" w:hAnsi="Book Antiqua" w:cs="Calibri"/>
          <w:b/>
          <w:i/>
          <w:lang w:val="en-US"/>
        </w:rPr>
      </w:pPr>
      <w:r w:rsidRPr="001F1399">
        <w:rPr>
          <w:rStyle w:val="normaltextrun"/>
          <w:rFonts w:ascii="Book Antiqua" w:hAnsi="Book Antiqua" w:cs="Calibri"/>
          <w:b/>
          <w:i/>
          <w:lang w:val="en-US"/>
        </w:rPr>
        <w:t>Fetal exposure to antibiotics</w:t>
      </w:r>
      <w:r w:rsidR="00CD4A5A" w:rsidRPr="001F1399">
        <w:rPr>
          <w:rStyle w:val="eop"/>
          <w:rFonts w:ascii="Book Antiqua" w:hAnsi="Book Antiqua" w:cs="Calibri"/>
          <w:b/>
          <w:i/>
          <w:lang w:val="en-US"/>
        </w:rPr>
        <w:t> </w:t>
      </w:r>
    </w:p>
    <w:p w14:paraId="4BA6F32B" w14:textId="1A5362CD" w:rsidR="00286FB1" w:rsidRPr="001F1399" w:rsidRDefault="00286FB1" w:rsidP="002974FA">
      <w:pPr>
        <w:pStyle w:val="paragraph"/>
        <w:adjustRightInd w:val="0"/>
        <w:snapToGrid w:val="0"/>
        <w:spacing w:before="0" w:beforeAutospacing="0" w:after="0" w:afterAutospacing="0" w:line="360" w:lineRule="auto"/>
        <w:jc w:val="both"/>
        <w:textAlignment w:val="baseline"/>
        <w:rPr>
          <w:rFonts w:ascii="Book Antiqua" w:hAnsi="Book Antiqua" w:cstheme="minorBidi"/>
          <w:i/>
          <w:lang w:val="en-US"/>
        </w:rPr>
      </w:pPr>
      <w:r w:rsidRPr="001F1399">
        <w:rPr>
          <w:rFonts w:ascii="Book Antiqua" w:hAnsi="Book Antiqua"/>
          <w:shd w:val="clear" w:color="auto" w:fill="FFFFFF"/>
          <w:lang w:val="en-US"/>
        </w:rPr>
        <w:t>As mentioned above, maternal microbiota is transmitted to the fetus during pregnancy through mechanisms partly understood and, during natural parturition, microflora is ingested into the neonatal gut, establishing the initial microbial population provided that delivery was realized without caesarean, without disinfectants, intrapartum antibiotics, antiseptic creams</w:t>
      </w:r>
      <w:r w:rsidR="002974FA" w:rsidRPr="001F1399">
        <w:rPr>
          <w:rFonts w:ascii="Book Antiqua" w:hAnsi="Book Antiqua"/>
          <w:shd w:val="clear" w:color="auto" w:fill="FFFFFF"/>
          <w:lang w:val="en-US"/>
        </w:rPr>
        <w:t xml:space="preserve">, </w:t>
      </w:r>
      <w:r w:rsidR="002974FA" w:rsidRPr="001F1399">
        <w:rPr>
          <w:rFonts w:ascii="Book Antiqua" w:hAnsi="Book Antiqua"/>
          <w:i/>
          <w:iCs/>
          <w:shd w:val="clear" w:color="auto" w:fill="FFFFFF"/>
          <w:lang w:val="en-US"/>
        </w:rPr>
        <w:t>etc</w:t>
      </w:r>
      <w:r w:rsidRPr="001F1399">
        <w:rPr>
          <w:rFonts w:ascii="Book Antiqua" w:hAnsi="Book Antiqua"/>
          <w:shd w:val="clear" w:color="auto" w:fill="FFFFFF"/>
          <w:lang w:val="en-US"/>
        </w:rPr>
        <w:fldChar w:fldCharType="begin" w:fldLock="1"/>
      </w:r>
      <w:r w:rsidR="00B1214D" w:rsidRPr="001F1399">
        <w:rPr>
          <w:rFonts w:ascii="Book Antiqua" w:hAnsi="Book Antiqua"/>
          <w:shd w:val="clear" w:color="auto" w:fill="FFFFFF"/>
          <w:lang w:val="en-US"/>
        </w:rPr>
        <w:instrText>ADDIN CSL_CITATION {"citationItems":[{"id":"ITEM-1","itemData":{"DOI":"10.1016/j.ynstr.2014.10.005","ISSN":"23522895","PMID":"25530984","abstract":"Perturbations in the prenatal and early life environment can contribute to the development of offspring stress dysregulation, a pervasive symptom in neuropsychiatric disease. Interestingly, the vertical transmission of maternal microbes to offspring and the subsequent bacterial colonization of the neonatal gut overlap with a critical period of brain development. Therefore, environmental factors such as maternal stress that are able to alter microbial populations and their transmission can thereby shape offspring neurodevelopment. As the neonatal gastrointestinal tract is primarily inoculated at parturition through the ingestion of maternal vaginal microflora, disruption in the vaginal ecosystem may have important implications for offspring neurodevelopment and disease risk. Here, we discuss alterations that occur in the vaginal microbiome following maternal insult and the subsequent effects on bacterial assembly of the neonate gut, the production of neuromodulatory metabolites, and the developmental course of stress regulation.","author":[{"dropping-particle":"","family":"Jašarević","given":"Eldin","non-dropping-particle":"","parse-names":false,"suffix":""},{"dropping-particle":"","family":"Rodgers","given":"Ali B.","non-dropping-particle":"","parse-names":false,"suffix":""},{"dropping-particle":"","family":"Bale","given":"Tracy L.","non-dropping-particle":"","parse-names":false,"suffix":""}],"container-title":"Neurobiology of Stress","id":"ITEM-1","issue":"1","issued":{"date-parts":[["2015"]]},"page":"81-88","title":"A novel role for maternal stress and microbial transmission in early life programming and neurodevelopment","type":"article-journal","volume":"1"},"uris":["http://www.mendeley.com/documents/?uuid=72040fe0-f3df-43a2-81ac-36b4d5a89742"]}],"mendeley":{"formattedCitation":"&lt;sup&gt;[77]&lt;/sup&gt;","plainTextFormattedCitation":"[77]","previouslyFormattedCitation":"&lt;sup&gt;[76]&lt;/sup&gt;"},"properties":{"noteIndex":0},"schema":"https://github.com/citation-style-language/schema/raw/master/csl-citation.json"}</w:instrText>
      </w:r>
      <w:r w:rsidRPr="001F1399">
        <w:rPr>
          <w:rFonts w:ascii="Book Antiqua" w:hAnsi="Book Antiqua"/>
          <w:shd w:val="clear" w:color="auto" w:fill="FFFFFF"/>
          <w:lang w:val="en-US"/>
        </w:rPr>
        <w:fldChar w:fldCharType="separate"/>
      </w:r>
      <w:r w:rsidR="00B1214D" w:rsidRPr="001F1399">
        <w:rPr>
          <w:rFonts w:ascii="Book Antiqua" w:hAnsi="Book Antiqua"/>
          <w:noProof/>
          <w:shd w:val="clear" w:color="auto" w:fill="FFFFFF"/>
          <w:vertAlign w:val="superscript"/>
          <w:lang w:val="en-US"/>
        </w:rPr>
        <w:t>[77]</w:t>
      </w:r>
      <w:r w:rsidRPr="001F1399">
        <w:rPr>
          <w:rFonts w:ascii="Book Antiqua" w:hAnsi="Book Antiqua"/>
          <w:shd w:val="clear" w:color="auto" w:fill="FFFFFF"/>
          <w:lang w:val="en-US"/>
        </w:rPr>
        <w:fldChar w:fldCharType="end"/>
      </w:r>
      <w:r w:rsidR="001C0F07" w:rsidRPr="001F1399">
        <w:rPr>
          <w:rFonts w:ascii="Book Antiqua" w:hAnsi="Book Antiqua"/>
          <w:shd w:val="clear" w:color="auto" w:fill="FFFFFF"/>
          <w:lang w:val="en-US"/>
        </w:rPr>
        <w:t>.</w:t>
      </w:r>
      <w:r w:rsidRPr="001F1399">
        <w:rPr>
          <w:rFonts w:ascii="Book Antiqua" w:hAnsi="Book Antiqua"/>
          <w:shd w:val="clear" w:color="auto" w:fill="FFFFFF"/>
          <w:lang w:val="en-US"/>
        </w:rPr>
        <w:t xml:space="preserve"> As thus, perturbations of vaginal maternal microflora (diet, body composition, infection, antibiotic treatment, stress, probiotics</w:t>
      </w:r>
      <w:r w:rsidR="002974FA" w:rsidRPr="001F1399">
        <w:rPr>
          <w:rFonts w:ascii="Book Antiqua" w:hAnsi="Book Antiqua"/>
          <w:shd w:val="clear" w:color="auto" w:fill="FFFFFF"/>
          <w:lang w:val="en-US"/>
        </w:rPr>
        <w:t xml:space="preserve">, </w:t>
      </w:r>
      <w:r w:rsidR="002974FA" w:rsidRPr="001F1399">
        <w:rPr>
          <w:rFonts w:ascii="Book Antiqua" w:hAnsi="Book Antiqua"/>
          <w:i/>
          <w:iCs/>
          <w:shd w:val="clear" w:color="auto" w:fill="FFFFFF"/>
          <w:lang w:val="en-US"/>
        </w:rPr>
        <w:t>etc</w:t>
      </w:r>
      <w:r w:rsidRPr="001F1399">
        <w:rPr>
          <w:rFonts w:ascii="Book Antiqua" w:hAnsi="Book Antiqua"/>
          <w:shd w:val="clear" w:color="auto" w:fill="FFFFFF"/>
          <w:lang w:val="en-US"/>
        </w:rPr>
        <w:t>.) will definitely have significant consequences on the offspring</w:t>
      </w:r>
      <w:r w:rsidR="00E16DF6" w:rsidRPr="001F1399">
        <w:rPr>
          <w:rFonts w:ascii="Book Antiqua" w:hAnsi="Book Antiqua"/>
          <w:shd w:val="clear" w:color="auto" w:fill="FFFFFF"/>
          <w:lang w:val="en-US"/>
        </w:rPr>
        <w:t>. During pregnancy, vaginal bacterial infections may alter early neurodevelopment and seems to be related with autism spectrum disorder</w:t>
      </w:r>
      <w:r w:rsidR="003645BD" w:rsidRPr="001F1399">
        <w:rPr>
          <w:rFonts w:ascii="Book Antiqua" w:hAnsi="Book Antiqua"/>
          <w:shd w:val="clear" w:color="auto" w:fill="FFFFFF"/>
          <w:lang w:val="en-US"/>
        </w:rPr>
        <w:fldChar w:fldCharType="begin" w:fldLock="1"/>
      </w:r>
      <w:r w:rsidR="00B1214D" w:rsidRPr="001F1399">
        <w:rPr>
          <w:rFonts w:ascii="Book Antiqua" w:hAnsi="Book Antiqua"/>
          <w:shd w:val="clear" w:color="auto" w:fill="FFFFFF"/>
          <w:lang w:val="en-US"/>
        </w:rPr>
        <w:instrText>ADDIN CSL_CITATION {"citationItems":[{"id":"ITEM-1","itemData":{"DOI":"10.1007/s10803-013-2016-3","ISSN":"0162-3257","PMID":"24366406","author":[{"dropping-particle":"","family":"Zerbo","given":"Ousseny","non-dropping-particle":"","parse-names":false,"suffix":""},{"dropping-particle":"","family":"Qian","given":"Yinge","non-dropping-particle":"","parse-names":false,"suffix":""},{"dropping-particle":"","family":"Yoshida","given":"Cathleen","non-dropping-particle":"","parse-names":false,"suffix":""},{"dropping-particle":"","family":"Grether","given":"Judith K.","non-dropping-particle":"","parse-names":false,"suffix":""},{"dropping-particle":"","family":"Water","given":"Judy","non-dropping-particle":"Van de","parse-names":false,"suffix":""},{"dropping-particle":"","family":"Croen","given":"Lisa A.","non-dropping-particle":"","parse-names":false,"suffix":""}],"container-title":"Journal of Autism and Developmental Disorders","id":"ITEM-1","issue":"12","issued":{"date-parts":[["2015","12","24"]]},"page":"4015-4025","title":"Maternal Infection During Pregnancy and Autism Spectrum Disorders","type":"article-journal","volume":"45"},"uris":["http://www.mendeley.com/documents/?uuid=3ff43481-d860-42a4-8048-f118c51e0765"]}],"mendeley":{"formattedCitation":"&lt;sup&gt;[78]&lt;/sup&gt;","plainTextFormattedCitation":"[78]","previouslyFormattedCitation":"&lt;sup&gt;[77]&lt;/sup&gt;"},"properties":{"noteIndex":0},"schema":"https://github.com/citation-style-language/schema/raw/master/csl-citation.json"}</w:instrText>
      </w:r>
      <w:r w:rsidR="003645BD" w:rsidRPr="001F1399">
        <w:rPr>
          <w:rFonts w:ascii="Book Antiqua" w:hAnsi="Book Antiqua"/>
          <w:shd w:val="clear" w:color="auto" w:fill="FFFFFF"/>
          <w:lang w:val="en-US"/>
        </w:rPr>
        <w:fldChar w:fldCharType="separate"/>
      </w:r>
      <w:r w:rsidR="00B1214D" w:rsidRPr="001F1399">
        <w:rPr>
          <w:rFonts w:ascii="Book Antiqua" w:hAnsi="Book Antiqua"/>
          <w:noProof/>
          <w:shd w:val="clear" w:color="auto" w:fill="FFFFFF"/>
          <w:vertAlign w:val="superscript"/>
          <w:lang w:val="en-US"/>
        </w:rPr>
        <w:t>[78]</w:t>
      </w:r>
      <w:r w:rsidR="003645BD" w:rsidRPr="001F1399">
        <w:rPr>
          <w:rFonts w:ascii="Book Antiqua" w:hAnsi="Book Antiqua"/>
          <w:shd w:val="clear" w:color="auto" w:fill="FFFFFF"/>
          <w:lang w:val="en-US"/>
        </w:rPr>
        <w:fldChar w:fldCharType="end"/>
      </w:r>
      <w:r w:rsidR="00E16DF6" w:rsidRPr="001F1399">
        <w:rPr>
          <w:rFonts w:ascii="Book Antiqua" w:hAnsi="Book Antiqua"/>
          <w:shd w:val="clear" w:color="auto" w:fill="FFFFFF"/>
          <w:lang w:val="en-US"/>
        </w:rPr>
        <w:t xml:space="preserve"> and following the delivery it may alter </w:t>
      </w:r>
      <w:r w:rsidRPr="001F1399">
        <w:rPr>
          <w:rFonts w:ascii="Book Antiqua" w:hAnsi="Book Antiqua"/>
          <w:shd w:val="clear" w:color="auto" w:fill="FFFFFF"/>
          <w:lang w:val="en-US"/>
        </w:rPr>
        <w:t>the microbial assembly of the neonatal gut. This will decrease diversity and stability of the microbiota populations that will influence fermentation, digestion and absorption of metabolites, increase of antibiotic resistant bact</w:t>
      </w:r>
      <w:r w:rsidR="00E16DF6" w:rsidRPr="001F1399">
        <w:rPr>
          <w:rFonts w:ascii="Book Antiqua" w:hAnsi="Book Antiqua"/>
          <w:shd w:val="clear" w:color="auto" w:fill="FFFFFF"/>
          <w:lang w:val="en-US"/>
        </w:rPr>
        <w:t>e</w:t>
      </w:r>
      <w:r w:rsidRPr="001F1399">
        <w:rPr>
          <w:rFonts w:ascii="Book Antiqua" w:hAnsi="Book Antiqua"/>
          <w:shd w:val="clear" w:color="auto" w:fill="FFFFFF"/>
          <w:lang w:val="en-US"/>
        </w:rPr>
        <w:t xml:space="preserve">ria such as </w:t>
      </w:r>
      <w:r w:rsidRPr="001F1399">
        <w:rPr>
          <w:rFonts w:ascii="Book Antiqua" w:hAnsi="Book Antiqua"/>
          <w:i/>
          <w:shd w:val="clear" w:color="auto" w:fill="FFFFFF"/>
          <w:lang w:val="en-US"/>
        </w:rPr>
        <w:t>Klebsiella</w:t>
      </w:r>
      <w:r w:rsidRPr="001F1399">
        <w:rPr>
          <w:rFonts w:ascii="Book Antiqua" w:hAnsi="Book Antiqua"/>
          <w:shd w:val="clear" w:color="auto" w:fill="FFFFFF"/>
          <w:lang w:val="en-US"/>
        </w:rPr>
        <w:t xml:space="preserve">, </w:t>
      </w:r>
      <w:r w:rsidRPr="001F1399">
        <w:rPr>
          <w:rFonts w:ascii="Book Antiqua" w:hAnsi="Book Antiqua"/>
          <w:i/>
          <w:shd w:val="clear" w:color="auto" w:fill="FFFFFF"/>
          <w:lang w:val="en-US"/>
        </w:rPr>
        <w:t>Citrobacter</w:t>
      </w:r>
      <w:r w:rsidRPr="001F1399">
        <w:rPr>
          <w:rFonts w:ascii="Book Antiqua" w:hAnsi="Book Antiqua"/>
          <w:shd w:val="clear" w:color="auto" w:fill="FFFFFF"/>
          <w:lang w:val="en-US"/>
        </w:rPr>
        <w:t xml:space="preserve">, </w:t>
      </w:r>
      <w:r w:rsidRPr="001F1399">
        <w:rPr>
          <w:rFonts w:ascii="Book Antiqua" w:hAnsi="Book Antiqua"/>
          <w:i/>
          <w:shd w:val="clear" w:color="auto" w:fill="FFFFFF"/>
          <w:lang w:val="en-US"/>
        </w:rPr>
        <w:t>Enterobacter</w:t>
      </w:r>
      <w:r w:rsidRPr="001F1399">
        <w:rPr>
          <w:rFonts w:ascii="Book Antiqua" w:hAnsi="Book Antiqua"/>
          <w:shd w:val="clear" w:color="auto" w:fill="FFFFFF"/>
          <w:lang w:val="en-US"/>
        </w:rPr>
        <w:t xml:space="preserve">, </w:t>
      </w:r>
      <w:r w:rsidRPr="001F1399">
        <w:rPr>
          <w:rFonts w:ascii="Book Antiqua" w:hAnsi="Book Antiqua"/>
          <w:i/>
          <w:shd w:val="clear" w:color="auto" w:fill="FFFFFF"/>
          <w:lang w:val="en-US"/>
        </w:rPr>
        <w:t>E. coli</w:t>
      </w:r>
      <w:r w:rsidR="003645BD" w:rsidRPr="001F1399">
        <w:rPr>
          <w:rFonts w:ascii="Book Antiqua" w:hAnsi="Book Antiqua"/>
          <w:shd w:val="clear" w:color="auto" w:fill="FFFFFF"/>
          <w:lang w:val="en-US"/>
        </w:rPr>
        <w:fldChar w:fldCharType="begin" w:fldLock="1"/>
      </w:r>
      <w:r w:rsidR="00B1214D" w:rsidRPr="001F1399">
        <w:rPr>
          <w:rFonts w:ascii="Book Antiqua" w:hAnsi="Book Antiqua"/>
          <w:shd w:val="clear" w:color="auto" w:fill="FFFFFF"/>
          <w:lang w:val="en-US"/>
        </w:rPr>
        <w:instrText>ADDIN CSL_CITATION {"citationItems":[{"id":"ITEM-1","itemData":{"DOI":"10.1016/j.alit.2017.07.010","ISSN":"14401592","PMID":"28826938","abstract":"Gut microbial ecology and function are dynamic in infancy, but are stabilized in childhood. The ‘new friends’ have a great impact on the development of the digestive tract and host immune system. In the first year of life, especially, the gut microbiota dramatically changes through interactions with the developing immune system in the gut. The process of establishing the gut microbiota is affected by various environmental factors, with the potential to be a main determinant of life-long health. In this review, we summarize recent findings regarding gut microbiota establishment, including the importance of various factors related to the development of the immune system and allergic diseases later in life.","author":[{"dropping-particle":"","family":"Tanaka","given":"Masaru","non-dropping-particle":"","parse-names":false,"suffix":""},{"dropping-particle":"","family":"Nakayama","given":"Jiro","non-dropping-particle":"","parse-names":false,"suffix":""}],"container-title":"Allergology International","id":"ITEM-1","issue":"4","issued":{"date-parts":[["2017"]]},"page":"515-522","publisher":"Elsevier B.V","title":"Development of the gut microbiota in infancy and its impact on health in later life","type":"article-journal","volume":"66"},"uris":["http://www.mendeley.com/documents/?uuid=488632dd-ce66-41c4-9849-a0e8f5fa1c87"]},{"id":"ITEM-2","itemData":{"DOI":"10.1111/apa.12186","ISSN":"08035253","PMID":"23398392","author":[{"dropping-particle":"","family":"Keski-Nisula","given":"Leea","non-dropping-particle":"","parse-names":false,"suffix":""},{"dropping-particle":"","family":"Kyynäräinen","given":"Hanna-Reetta","non-dropping-particle":"","parse-names":false,"suffix":""},{"dropping-particle":"","family":"Kärkkäinen","given":"Ulla","non-dropping-particle":"","parse-names":false,"suffix":""},{"dropping-particle":"","family":"Karhukorpi","given":"Jari","non-dropping-particle":"","parse-names":false,"suffix":""},{"dropping-particle":"","family":"Heinonen","given":"Seppo","non-dropping-particle":"","parse-names":false,"suffix":""},{"dropping-particle":"","family":"Pekkanen","given":"Juha","non-dropping-particle":"","parse-names":false,"suffix":""}],"container-title":"Acta Paediatrica","id":"ITEM-2","issue":"5","issued":{"date-parts":[["2013","5"]]},"page":"480-485","title":"Maternal intrapartum antibiotics and decreased vertical transmission of Lactobacillus to neonates during birth","type":"article-journal","volume":"102"},"uris":["http://www.mendeley.com/documents/?uuid=14ba82ea-1c09-456f-b5fe-4e3f86ba50fd"]},{"id":"ITEM-3","itemData":{"DOI":"10.1097/MPG.0b013e3181d1b11e","ISSN":"0277-2116","PMID":"20479681","author":[{"dropping-particle":"","family":"Fallani","given":"Matteo","non-dropping-particle":"","parse-names":false,"suffix":""},{"dropping-particle":"","family":"Young","given":"David","non-dropping-particle":"","parse-names":false,"suffix":""},{"dropping-particle":"","family":"Scott","given":"Jane","non-dropping-particle":"","parse-names":false,"suffix":""},{"dropping-particle":"","family":"Norin","given":"Elisabeth","non-dropping-particle":"","parse-names":false,"suffix":""},{"dropping-particle":"","family":"Amarri","given":"Sergio","non-dropping-particle":"","parse-names":false,"suffix":""},{"dropping-particle":"","family":"Adam","given":"Rüdiger","non-dropping-particle":"","parse-names":false,"suffix":""},{"dropping-particle":"","family":"Aguilera","given":"Marga","non-dropping-particle":"","parse-names":false,"suffix":""},{"dropping-particle":"","family":"Khanna","given":"Sheila","non-dropping-particle":"","parse-names":false,"suffix":""},{"dropping-particle":"","family":"Gil","given":"Angel","non-dropping-particle":"","parse-names":false,"suffix":""},{"dropping-particle":"","family":"Edwards","given":"Christine A","non-dropping-particle":"","parse-names":false,"suffix":""},{"dropping-particle":"","family":"Doré","given":"Joël","non-dropping-particle":"","parse-names":false,"suffix":""}],"container-title":"Journal of Pediatric Gastroenterology and Nutrition","id":"ITEM-3","issue":"1","issued":{"date-parts":[["2010","7"]]},"page":"77-84","title":"Intestinal Microbiota of 6-week-old Infants Across Europe: Geographic Influence Beyond Delivery Mode, Breast-feeding, and Antibiotics","type":"article-journal","volume":"51"},"uris":["http://www.mendeley.com/documents/?uuid=f17510b3-9668-4334-8f23-cf52f6378800"]}],"mendeley":{"formattedCitation":"&lt;sup&gt;[79–81]&lt;/sup&gt;"},"properties":{"noteIndex":0},"schema":"https://github.com/citation-style-language/schema/raw/master/csl-citation.json"}</w:instrText>
      </w:r>
      <w:r w:rsidR="003645BD" w:rsidRPr="001F1399">
        <w:rPr>
          <w:rFonts w:ascii="Book Antiqua" w:hAnsi="Book Antiqua"/>
          <w:shd w:val="clear" w:color="auto" w:fill="FFFFFF"/>
          <w:lang w:val="en-US"/>
        </w:rPr>
        <w:fldChar w:fldCharType="separate"/>
      </w:r>
      <w:r w:rsidR="00B1214D" w:rsidRPr="001F1399">
        <w:rPr>
          <w:rFonts w:ascii="Book Antiqua" w:hAnsi="Book Antiqua"/>
          <w:noProof/>
          <w:shd w:val="clear" w:color="auto" w:fill="FFFFFF"/>
          <w:vertAlign w:val="superscript"/>
          <w:lang w:val="en-US"/>
        </w:rPr>
        <w:t>[79–81]</w:t>
      </w:r>
      <w:r w:rsidR="003645BD" w:rsidRPr="001F1399">
        <w:rPr>
          <w:rFonts w:ascii="Book Antiqua" w:hAnsi="Book Antiqua"/>
          <w:shd w:val="clear" w:color="auto" w:fill="FFFFFF"/>
          <w:lang w:val="en-US"/>
        </w:rPr>
        <w:fldChar w:fldCharType="end"/>
      </w:r>
      <w:r w:rsidR="009C4B1B" w:rsidRPr="001F1399">
        <w:rPr>
          <w:rFonts w:ascii="Book Antiqua" w:hAnsi="Book Antiqua"/>
          <w:shd w:val="clear" w:color="auto" w:fill="FFFFFF"/>
          <w:lang w:val="en-US"/>
        </w:rPr>
        <w:t>. Altogether, these effects will alter the</w:t>
      </w:r>
      <w:r w:rsidRPr="001F1399">
        <w:rPr>
          <w:rFonts w:ascii="Book Antiqua" w:hAnsi="Book Antiqua"/>
          <w:shd w:val="clear" w:color="auto" w:fill="FFFFFF"/>
          <w:lang w:val="en-US"/>
        </w:rPr>
        <w:t xml:space="preserve"> development </w:t>
      </w:r>
      <w:r w:rsidR="009C4B1B" w:rsidRPr="001F1399">
        <w:rPr>
          <w:rFonts w:ascii="Book Antiqua" w:hAnsi="Book Antiqua"/>
          <w:shd w:val="clear" w:color="auto" w:fill="FFFFFF"/>
          <w:lang w:val="en-US"/>
        </w:rPr>
        <w:t xml:space="preserve">of the neonate and the infant </w:t>
      </w:r>
      <w:r w:rsidRPr="001F1399">
        <w:rPr>
          <w:rFonts w:ascii="Book Antiqua" w:hAnsi="Book Antiqua"/>
          <w:shd w:val="clear" w:color="auto" w:fill="FFFFFF"/>
          <w:lang w:val="en-US"/>
        </w:rPr>
        <w:t xml:space="preserve">and </w:t>
      </w:r>
      <w:r w:rsidR="009C4B1B" w:rsidRPr="001F1399">
        <w:rPr>
          <w:rFonts w:ascii="Book Antiqua" w:hAnsi="Book Antiqua"/>
          <w:shd w:val="clear" w:color="auto" w:fill="FFFFFF"/>
          <w:lang w:val="en-US"/>
        </w:rPr>
        <w:t xml:space="preserve">will be </w:t>
      </w:r>
      <w:r w:rsidRPr="001F1399">
        <w:rPr>
          <w:rFonts w:ascii="Book Antiqua" w:hAnsi="Book Antiqua"/>
          <w:shd w:val="clear" w:color="auto" w:fill="FFFFFF"/>
          <w:lang w:val="en-US"/>
        </w:rPr>
        <w:t>increasing its disease risk</w:t>
      </w:r>
      <w:r w:rsidR="009C4B1B" w:rsidRPr="001F1399">
        <w:rPr>
          <w:rFonts w:ascii="Book Antiqua" w:hAnsi="Book Antiqua"/>
          <w:shd w:val="clear" w:color="auto" w:fill="FFFFFF"/>
          <w:lang w:val="en-US"/>
        </w:rPr>
        <w:t>.</w:t>
      </w:r>
      <w:r w:rsidRPr="001F1399">
        <w:rPr>
          <w:rFonts w:ascii="Book Antiqua" w:hAnsi="Book Antiqua"/>
          <w:shd w:val="clear" w:color="auto" w:fill="FFFFFF"/>
          <w:lang w:val="en-US"/>
        </w:rPr>
        <w:t xml:space="preserve"> </w:t>
      </w:r>
    </w:p>
    <w:p w14:paraId="5974EAAA" w14:textId="62B336E8" w:rsidR="00286FB1" w:rsidRPr="001F1399" w:rsidRDefault="008814DA" w:rsidP="002974FA">
      <w:pPr>
        <w:pStyle w:val="paragraph"/>
        <w:adjustRightInd w:val="0"/>
        <w:snapToGrid w:val="0"/>
        <w:spacing w:before="0" w:beforeAutospacing="0" w:after="0" w:afterAutospacing="0" w:line="360" w:lineRule="auto"/>
        <w:ind w:firstLineChars="100" w:firstLine="240"/>
        <w:jc w:val="both"/>
        <w:textAlignment w:val="baseline"/>
        <w:rPr>
          <w:rFonts w:ascii="Book Antiqua" w:hAnsi="Book Antiqua" w:cstheme="minorBidi"/>
          <w:lang w:val="en-US"/>
        </w:rPr>
      </w:pPr>
      <w:r w:rsidRPr="001F1399">
        <w:rPr>
          <w:rFonts w:ascii="Book Antiqua" w:hAnsi="Book Antiqua" w:cstheme="minorBidi"/>
          <w:lang w:val="en-US"/>
        </w:rPr>
        <w:t xml:space="preserve">In rodents, exposure of dams to antibiotics during lactation is responsible for </w:t>
      </w:r>
      <w:r w:rsidRPr="001F1399">
        <w:rPr>
          <w:rFonts w:ascii="Book Antiqua" w:hAnsi="Book Antiqua" w:cstheme="minorBidi"/>
          <w:i/>
          <w:iCs/>
          <w:lang w:val="en-US"/>
        </w:rPr>
        <w:t>Lactobacilli</w:t>
      </w:r>
      <w:r w:rsidRPr="001F1399">
        <w:rPr>
          <w:rFonts w:ascii="Book Antiqua" w:hAnsi="Book Antiqua" w:cstheme="minorBidi"/>
          <w:lang w:val="en-US"/>
        </w:rPr>
        <w:t xml:space="preserve"> abundance depletion, an increased fat mass and altered secretion of metabolic hormones in their offspring</w:t>
      </w:r>
      <w:r w:rsidRPr="001F1399">
        <w:rPr>
          <w:rFonts w:ascii="Book Antiqua" w:hAnsi="Book Antiqua" w:cstheme="minorBidi"/>
          <w:lang w:val="en-US"/>
        </w:rPr>
        <w:fldChar w:fldCharType="begin" w:fldLock="1"/>
      </w:r>
      <w:r w:rsidR="00B1214D" w:rsidRPr="001F1399">
        <w:rPr>
          <w:rFonts w:ascii="Book Antiqua" w:hAnsi="Book Antiqua" w:cstheme="minorBidi"/>
          <w:lang w:val="en-US"/>
        </w:rPr>
        <w:instrText>ADDIN CSL_CITATION {"citationItems":[{"id":"ITEM-1","itemData":{"DOI":"10.1016/j.cmet.2013.05.004","ISSN":"15504131","PMID":"23747247","author":[{"dropping-particle":"","family":"Cox","given":"Laura M.","non-dropping-particle":"","parse-names":false,"suffix":""},{"dropping-particle":"","family":"Blaser","given":"Martin J.","non-dropping-particle":"","parse-names":false,"suffix":""}],"container-title":"Cell Metabolism","id":"ITEM-1","issue":"6","issued":{"date-parts":[["2013","6"]]},"page":"883-894","title":"Pathways in Microbe-Induced Obesity","type":"article-journal","volume":"17"},"uris":["http://www.mendeley.com/documents/?uuid=93308771-49bf-48de-9373-0a808c19f13a"]},{"id":"ITEM-2","itemData":{"DOI":"10.1016/j.cell.2014.05.052","ISSN":"00928674","PMID":"23747247","author":[{"dropping-particle":"","family":"Cox","given":"Laura M.","non-dropping-particle":"","parse-names":false,"suffix":""},{"dropping-particle":"","family":"Yamanishi","given":"Shingo","non-dropping-particle":"","parse-names":false,"suffix":""},{"dropping-particle":"","family":"Sohn","given":"Jiho","non-dropping-particle":"","parse-names":false,"suffix":""},{"dropping-particle":"V.","family":"Alekseyenko","given":"Alexander","non-dropping-particle":"","parse-names":false,"suffix":""},{"dropping-particle":"","family":"Leung","given":"Jacqueline M.","non-dropping-particle":"","parse-names":false,"suffix":""},{"dropping-particle":"","family":"Cho","given":"Ilseung","non-dropping-particle":"","parse-names":false,"suffix":""},{"dropping-particle":"","family":"Kim","given":"Sungheon G.","non-dropping-particle":"","parse-names":false,"suffix":""},{"dropping-particle":"","family":"Li","given":"Huilin","non-dropping-particle":"","parse-names":false,"suffix":""},{"dropping-particle":"","family":"Gao","given":"Zhan","non-dropping-particle":"","parse-names":false,"suffix":""},{"dropping-particle":"","family":"Mahana","given":"Douglas","non-dropping-particle":"","parse-names":false,"suffix":""},{"dropping-particle":"","family":"Zárate Rodriguez","given":"Jorge G.","non-dropping-particle":"","parse-names":false,"suffix":""},{"dropping-particle":"","family":"Rogers","given":"Arlin B.","non-dropping-particle":"","parse-names":false,"suffix":""},{"dropping-particle":"","family":"Robine","given":"Nicolas","non-dropping-particle":"","parse-names":false,"suffix":""},{"dropping-particle":"","family":"Loke","given":"P’ng","non-dropping-particle":"","parse-names":false,"suffix":""},{"dropping-particle":"","family":"Blaser","given":"Martin J.","non-dropping-particle":"","parse-names":false,"suffix":""}],"container-title":"Cell","id":"ITEM-2","issue":"4","issued":{"date-parts":[["2014","8"]]},"page":"705-721","title":"Altering the Intestinal Microbiota during a Critical Developmental Window Has Lasting Metabolic Consequences","type":"article-journal","volume":"158"},"uris":["http://www.mendeley.com/documents/?uuid=5c542e98-2e61-4cac-9c25-ff8453f882ab"]}],"mendeley":{"formattedCitation":"&lt;sup&gt;[82,83]&lt;/sup&gt;","plainTextFormattedCitation":"[82,83]","previouslyFormattedCitation":"&lt;sup&gt;[81,82]&lt;/sup&gt;"},"properties":{"noteIndex":0},"schema":"https://github.com/citation-style-language/schema/raw/master/csl-citation.json"}</w:instrText>
      </w:r>
      <w:r w:rsidRPr="001F1399">
        <w:rPr>
          <w:rFonts w:ascii="Book Antiqua" w:hAnsi="Book Antiqua" w:cstheme="minorBidi"/>
          <w:lang w:val="en-US"/>
        </w:rPr>
        <w:fldChar w:fldCharType="separate"/>
      </w:r>
      <w:r w:rsidR="00B1214D" w:rsidRPr="001F1399">
        <w:rPr>
          <w:rFonts w:ascii="Book Antiqua" w:hAnsi="Book Antiqua" w:cstheme="minorBidi"/>
          <w:noProof/>
          <w:vertAlign w:val="superscript"/>
          <w:lang w:val="en-US"/>
        </w:rPr>
        <w:t>[82,83]</w:t>
      </w:r>
      <w:r w:rsidRPr="001F1399">
        <w:rPr>
          <w:rFonts w:ascii="Book Antiqua" w:hAnsi="Book Antiqua" w:cstheme="minorBidi"/>
          <w:lang w:val="en-US"/>
        </w:rPr>
        <w:fldChar w:fldCharType="end"/>
      </w:r>
      <w:r w:rsidR="00062FFC" w:rsidRPr="001F1399">
        <w:rPr>
          <w:rFonts w:ascii="Book Antiqua" w:hAnsi="Book Antiqua" w:cstheme="minorBidi"/>
          <w:lang w:val="en-US"/>
        </w:rPr>
        <w:t xml:space="preserve">. </w:t>
      </w:r>
    </w:p>
    <w:p w14:paraId="3F0EC48C" w14:textId="77777777" w:rsidR="00286FB1" w:rsidRPr="001F1399" w:rsidRDefault="00286FB1" w:rsidP="002974FA">
      <w:pPr>
        <w:pStyle w:val="paragraph"/>
        <w:adjustRightInd w:val="0"/>
        <w:snapToGrid w:val="0"/>
        <w:spacing w:before="0" w:beforeAutospacing="0" w:after="0" w:afterAutospacing="0" w:line="360" w:lineRule="auto"/>
        <w:jc w:val="both"/>
        <w:textAlignment w:val="baseline"/>
        <w:rPr>
          <w:rFonts w:ascii="Book Antiqua" w:hAnsi="Book Antiqua" w:cstheme="minorHAnsi"/>
          <w:i/>
          <w:lang w:val="en-US"/>
        </w:rPr>
      </w:pPr>
    </w:p>
    <w:p w14:paraId="49AD28F2" w14:textId="2AE3F7F0" w:rsidR="0028468B" w:rsidRPr="001F1399" w:rsidRDefault="0028468B" w:rsidP="002974FA">
      <w:pPr>
        <w:pStyle w:val="paragraph"/>
        <w:adjustRightInd w:val="0"/>
        <w:snapToGrid w:val="0"/>
        <w:spacing w:before="0" w:beforeAutospacing="0" w:after="0" w:afterAutospacing="0" w:line="360" w:lineRule="auto"/>
        <w:jc w:val="both"/>
        <w:textAlignment w:val="baseline"/>
        <w:rPr>
          <w:rStyle w:val="eop"/>
          <w:rFonts w:ascii="Book Antiqua" w:hAnsi="Book Antiqua" w:cs="Calibri"/>
          <w:b/>
          <w:i/>
          <w:lang w:val="en-US"/>
        </w:rPr>
      </w:pPr>
      <w:r w:rsidRPr="001F1399">
        <w:rPr>
          <w:rStyle w:val="normaltextrun"/>
          <w:rFonts w:ascii="Book Antiqua" w:hAnsi="Book Antiqua" w:cs="Calibri"/>
          <w:b/>
          <w:i/>
          <w:lang w:val="en-US"/>
        </w:rPr>
        <w:t>Fetal exposure to pesticides</w:t>
      </w:r>
      <w:r w:rsidRPr="001F1399">
        <w:rPr>
          <w:rStyle w:val="eop"/>
          <w:rFonts w:ascii="Book Antiqua" w:hAnsi="Book Antiqua" w:cs="Calibri"/>
          <w:b/>
          <w:i/>
          <w:lang w:val="en-US"/>
        </w:rPr>
        <w:t> </w:t>
      </w:r>
    </w:p>
    <w:p w14:paraId="0C6FB1B1" w14:textId="1C62B122" w:rsidR="00A83413" w:rsidRPr="001F1399" w:rsidRDefault="00390F19" w:rsidP="002974FA">
      <w:pPr>
        <w:autoSpaceDE w:val="0"/>
        <w:autoSpaceDN w:val="0"/>
        <w:adjustRightInd w:val="0"/>
        <w:snapToGrid w:val="0"/>
        <w:spacing w:after="0" w:line="360" w:lineRule="auto"/>
        <w:jc w:val="both"/>
        <w:rPr>
          <w:rFonts w:ascii="Book Antiqua" w:hAnsi="Book Antiqua" w:cstheme="minorHAnsi"/>
          <w:sz w:val="24"/>
          <w:szCs w:val="24"/>
          <w:lang w:val="en-US"/>
        </w:rPr>
      </w:pPr>
      <w:r w:rsidRPr="001F1399">
        <w:rPr>
          <w:rFonts w:ascii="Book Antiqua" w:hAnsi="Book Antiqua" w:cstheme="minorHAnsi"/>
          <w:sz w:val="24"/>
          <w:szCs w:val="24"/>
          <w:lang w:val="en-US"/>
        </w:rPr>
        <w:t xml:space="preserve">Impacts of pesticides on the offspring after maternal exposure has been widely documented in the literature. </w:t>
      </w:r>
      <w:r w:rsidR="000B7B01" w:rsidRPr="001F1399">
        <w:rPr>
          <w:rFonts w:ascii="Book Antiqua" w:hAnsi="Book Antiqua" w:cstheme="minorHAnsi"/>
          <w:sz w:val="24"/>
          <w:szCs w:val="24"/>
          <w:lang w:val="en-US"/>
        </w:rPr>
        <w:t xml:space="preserve">However, few studies evidenced their deleterious effects </w:t>
      </w:r>
      <w:r w:rsidR="000B7B01" w:rsidRPr="001F1399">
        <w:rPr>
          <w:rFonts w:ascii="Book Antiqua" w:hAnsi="Book Antiqua" w:cstheme="minorHAnsi"/>
          <w:sz w:val="24"/>
          <w:szCs w:val="24"/>
          <w:lang w:val="en-US"/>
        </w:rPr>
        <w:lastRenderedPageBreak/>
        <w:t xml:space="preserve">at repeated </w:t>
      </w:r>
      <w:r w:rsidR="00C46F39" w:rsidRPr="001F1399">
        <w:rPr>
          <w:rFonts w:ascii="Book Antiqua" w:hAnsi="Book Antiqua" w:cstheme="minorHAnsi"/>
          <w:sz w:val="24"/>
          <w:szCs w:val="24"/>
          <w:lang w:val="en-US"/>
        </w:rPr>
        <w:t>low-level</w:t>
      </w:r>
      <w:r w:rsidR="000B7B01" w:rsidRPr="001F1399">
        <w:rPr>
          <w:rFonts w:ascii="Book Antiqua" w:hAnsi="Book Antiqua" w:cstheme="minorHAnsi"/>
          <w:sz w:val="24"/>
          <w:szCs w:val="24"/>
          <w:lang w:val="en-US"/>
        </w:rPr>
        <w:t xml:space="preserve"> exposure. Many of these have long been described as endocrine disruptors. </w:t>
      </w:r>
      <w:r w:rsidR="007766E4" w:rsidRPr="001F1399">
        <w:rPr>
          <w:rFonts w:ascii="Book Antiqua" w:hAnsi="Book Antiqua" w:cstheme="minorHAnsi"/>
          <w:sz w:val="24"/>
          <w:szCs w:val="24"/>
          <w:lang w:val="en-US"/>
        </w:rPr>
        <w:t>Organo</w:t>
      </w:r>
      <w:r w:rsidR="00A83413" w:rsidRPr="001F1399">
        <w:rPr>
          <w:rFonts w:ascii="Book Antiqua" w:hAnsi="Book Antiqua" w:cstheme="minorHAnsi"/>
          <w:sz w:val="24"/>
          <w:szCs w:val="24"/>
          <w:lang w:val="en-US"/>
        </w:rPr>
        <w:t>phos</w:t>
      </w:r>
      <w:r w:rsidR="000B7B01" w:rsidRPr="001F1399">
        <w:rPr>
          <w:rFonts w:ascii="Book Antiqua" w:hAnsi="Book Antiqua" w:cstheme="minorHAnsi"/>
          <w:sz w:val="24"/>
          <w:szCs w:val="24"/>
          <w:lang w:val="en-US"/>
        </w:rPr>
        <w:t>p</w:t>
      </w:r>
      <w:r w:rsidR="00A83413" w:rsidRPr="001F1399">
        <w:rPr>
          <w:rFonts w:ascii="Book Antiqua" w:hAnsi="Book Antiqua" w:cstheme="minorHAnsi"/>
          <w:sz w:val="24"/>
          <w:szCs w:val="24"/>
          <w:lang w:val="en-US"/>
        </w:rPr>
        <w:t xml:space="preserve">hates and carbamates such as </w:t>
      </w:r>
      <w:r w:rsidR="00322E8A" w:rsidRPr="001F1399">
        <w:rPr>
          <w:rFonts w:ascii="Book Antiqua" w:hAnsi="Book Antiqua" w:cstheme="minorHAnsi"/>
          <w:sz w:val="24"/>
          <w:szCs w:val="24"/>
          <w:lang w:val="en-US"/>
        </w:rPr>
        <w:t>chlorpyriphos (CPF)</w:t>
      </w:r>
      <w:r w:rsidR="00A83413" w:rsidRPr="001F1399">
        <w:rPr>
          <w:rFonts w:ascii="Book Antiqua" w:hAnsi="Book Antiqua" w:cstheme="minorHAnsi"/>
          <w:sz w:val="24"/>
          <w:szCs w:val="24"/>
          <w:lang w:val="en-US"/>
        </w:rPr>
        <w:t xml:space="preserve">, malathion, diazinon, carbaryl share cholinesterase inhibitory activities. </w:t>
      </w:r>
      <w:r w:rsidR="004C23F1" w:rsidRPr="001F1399">
        <w:rPr>
          <w:rFonts w:ascii="Book Antiqua" w:hAnsi="Book Antiqua" w:cstheme="minorHAnsi"/>
          <w:sz w:val="24"/>
          <w:szCs w:val="24"/>
          <w:lang w:val="en-US"/>
        </w:rPr>
        <w:t>Moreover, these organophosphate do have a strong incidence on microbiota balance</w:t>
      </w:r>
      <w:r w:rsidR="00772F29" w:rsidRPr="001F1399">
        <w:rPr>
          <w:rFonts w:ascii="Book Antiqua" w:hAnsi="Book Antiqua" w:cstheme="minorHAnsi"/>
          <w:sz w:val="24"/>
          <w:szCs w:val="24"/>
          <w:lang w:val="en-US"/>
        </w:rPr>
        <w:fldChar w:fldCharType="begin" w:fldLock="1"/>
      </w:r>
      <w:r w:rsidR="00B1214D" w:rsidRPr="001F1399">
        <w:rPr>
          <w:rFonts w:ascii="Book Antiqua" w:hAnsi="Book Antiqua" w:cstheme="minorHAnsi"/>
          <w:sz w:val="24"/>
          <w:szCs w:val="24"/>
          <w:lang w:val="en-US"/>
        </w:rPr>
        <w:instrText>ADDIN CSL_CITATION {"citationItems":[{"id":"ITEM-1","itemData":{"DOI":"10.1097/MPG.0000000000000734","ISSN":"0277-2116","PMID":"25643018","author":[{"dropping-particle":"","family":"Condette","given":"Claire Joly","non-dropping-particle":"","parse-names":false,"suffix":""},{"dropping-particle":"","family":"Bach","given":"Véronique","non-dropping-particle":"","parse-names":false,"suffix":""},{"dropping-particle":"","family":"Mayeur","given":"Camille","non-dropping-particle":"","parse-names":false,"suffix":""},{"dropping-particle":"","family":"Gay-Quéheillard","given":"Jérôme","non-dropping-particle":"","parse-names":false,"suffix":""},{"dropping-particle":"","family":"Khorsi-Cauet","given":"Hafida","non-dropping-particle":"","parse-names":false,"suffix":""}],"container-title":"Journal of Pediatric Gastroenterology and Nutrition","id":"ITEM-1","issued":{"date-parts":[["2015","1"]]},"page":"1","title":"Chlorpyrifos Exposure During Perinatal Period Impacts Intestinal Microbiota Associated with Delay of Maturation of Digestive Tract in Rats","type":"article-journal"},"uris":["http://www.mendeley.com/documents/?uuid=bf292c5e-57f0-4071-8b9a-f4902e4ac452"]}],"mendeley":{"formattedCitation":"&lt;sup&gt;[84]&lt;/sup&gt;","plainTextFormattedCitation":"[84]","previouslyFormattedCitation":"&lt;sup&gt;[83]&lt;/sup&gt;"},"properties":{"noteIndex":0},"schema":"https://github.com/citation-style-language/schema/raw/master/csl-citation.json"}</w:instrText>
      </w:r>
      <w:r w:rsidR="00772F29" w:rsidRPr="001F1399">
        <w:rPr>
          <w:rFonts w:ascii="Book Antiqua" w:hAnsi="Book Antiqua" w:cstheme="minorHAnsi"/>
          <w:sz w:val="24"/>
          <w:szCs w:val="24"/>
          <w:lang w:val="en-US"/>
        </w:rPr>
        <w:fldChar w:fldCharType="separate"/>
      </w:r>
      <w:r w:rsidR="00B1214D" w:rsidRPr="001F1399">
        <w:rPr>
          <w:rFonts w:ascii="Book Antiqua" w:hAnsi="Book Antiqua" w:cstheme="minorHAnsi"/>
          <w:noProof/>
          <w:sz w:val="24"/>
          <w:szCs w:val="24"/>
          <w:vertAlign w:val="superscript"/>
          <w:lang w:val="en-US"/>
        </w:rPr>
        <w:t>[84]</w:t>
      </w:r>
      <w:r w:rsidR="00772F29" w:rsidRPr="001F1399">
        <w:rPr>
          <w:rFonts w:ascii="Book Antiqua" w:hAnsi="Book Antiqua" w:cstheme="minorHAnsi"/>
          <w:sz w:val="24"/>
          <w:szCs w:val="24"/>
          <w:lang w:val="en-US"/>
        </w:rPr>
        <w:fldChar w:fldCharType="end"/>
      </w:r>
      <w:r w:rsidR="00772F29" w:rsidRPr="001F1399">
        <w:rPr>
          <w:rFonts w:ascii="Book Antiqua" w:hAnsi="Book Antiqua" w:cstheme="minorHAnsi"/>
          <w:sz w:val="24"/>
          <w:szCs w:val="24"/>
          <w:lang w:val="en-US"/>
        </w:rPr>
        <w:t xml:space="preserve">. </w:t>
      </w:r>
      <w:r w:rsidR="00A83413" w:rsidRPr="001F1399">
        <w:rPr>
          <w:rFonts w:ascii="Book Antiqua" w:hAnsi="Book Antiqua" w:cstheme="minorHAnsi"/>
          <w:sz w:val="24"/>
          <w:szCs w:val="24"/>
          <w:lang w:val="en-US"/>
        </w:rPr>
        <w:t>It has been evidenced that exposing dams to diazinon results in behavioural disturbances in their offspring</w:t>
      </w:r>
      <w:r w:rsidR="00A83413" w:rsidRPr="001F1399">
        <w:rPr>
          <w:rFonts w:ascii="Book Antiqua" w:hAnsi="Book Antiqua" w:cstheme="minorHAnsi"/>
          <w:sz w:val="24"/>
          <w:szCs w:val="24"/>
          <w:lang w:val="en-US"/>
        </w:rPr>
        <w:fldChar w:fldCharType="begin" w:fldLock="1"/>
      </w:r>
      <w:r w:rsidR="00B1214D" w:rsidRPr="001F1399">
        <w:rPr>
          <w:rFonts w:ascii="Book Antiqua" w:hAnsi="Book Antiqua" w:cstheme="minorHAnsi"/>
          <w:sz w:val="24"/>
          <w:szCs w:val="24"/>
          <w:lang w:val="en-US"/>
        </w:rPr>
        <w:instrText>ADDIN CSL_CITATION {"citationItems":[{"id":"ITEM-1","itemData":{"DOI":"10.1080/15287397709529633","ISSN":"0098-4108","PMID":"599594","author":[{"dropping-particle":"","family":"Spyker","given":"Joan M.","non-dropping-particle":"","parse-names":false,"suffix":""},{"dropping-particle":"","family":"Avery","given":"David L.","non-dropping-particle":"","parse-names":false,"suffix":""}],"container-title":"Journal of Toxicology and Environmental Health","id":"ITEM-1","issue":"5-6","issued":{"date-parts":[["1977","12"]]},"page":"989-1002","title":"Neurobehavioral effects of prenatal exposure to the organophosphate Diazinon in mice","type":"article-journal","volume":"3"},"uris":["http://www.mendeley.com/documents/?uuid=a6b0b894-b56b-4625-8914-e4c9ddae4fdc"]}],"mendeley":{"formattedCitation":"&lt;sup&gt;[85]&lt;/sup&gt;","plainTextFormattedCitation":"[85]","previouslyFormattedCitation":"&lt;sup&gt;[84]&lt;/sup&gt;"},"properties":{"noteIndex":0},"schema":"https://github.com/citation-style-language/schema/raw/master/csl-citation.json"}</w:instrText>
      </w:r>
      <w:r w:rsidR="00A83413" w:rsidRPr="001F1399">
        <w:rPr>
          <w:rFonts w:ascii="Book Antiqua" w:hAnsi="Book Antiqua" w:cstheme="minorHAnsi"/>
          <w:sz w:val="24"/>
          <w:szCs w:val="24"/>
          <w:lang w:val="en-US"/>
        </w:rPr>
        <w:fldChar w:fldCharType="separate"/>
      </w:r>
      <w:r w:rsidR="00B1214D" w:rsidRPr="001F1399">
        <w:rPr>
          <w:rFonts w:ascii="Book Antiqua" w:hAnsi="Book Antiqua" w:cstheme="minorHAnsi"/>
          <w:noProof/>
          <w:sz w:val="24"/>
          <w:szCs w:val="24"/>
          <w:vertAlign w:val="superscript"/>
          <w:lang w:val="en-US"/>
        </w:rPr>
        <w:t>[85]</w:t>
      </w:r>
      <w:r w:rsidR="00A83413" w:rsidRPr="001F1399">
        <w:rPr>
          <w:rFonts w:ascii="Book Antiqua" w:hAnsi="Book Antiqua" w:cstheme="minorHAnsi"/>
          <w:sz w:val="24"/>
          <w:szCs w:val="24"/>
          <w:lang w:val="en-US"/>
        </w:rPr>
        <w:fldChar w:fldCharType="end"/>
      </w:r>
      <w:r w:rsidR="003545C7" w:rsidRPr="001F1399">
        <w:rPr>
          <w:rFonts w:ascii="Book Antiqua" w:hAnsi="Book Antiqua" w:cstheme="minorHAnsi"/>
          <w:sz w:val="24"/>
          <w:szCs w:val="24"/>
          <w:lang w:val="en-US"/>
        </w:rPr>
        <w:t xml:space="preserve">. </w:t>
      </w:r>
      <w:r w:rsidR="00895268" w:rsidRPr="001F1399">
        <w:rPr>
          <w:rFonts w:ascii="Book Antiqua" w:hAnsi="Book Antiqua" w:cstheme="minorHAnsi"/>
          <w:sz w:val="24"/>
          <w:szCs w:val="24"/>
          <w:lang w:val="en-US"/>
        </w:rPr>
        <w:t>It is acknowledged that environmental chemicals, especially endocrine disrupting factors,</w:t>
      </w:r>
      <w:r w:rsidR="000B7B01" w:rsidRPr="001F1399">
        <w:rPr>
          <w:rFonts w:ascii="Book Antiqua" w:hAnsi="Book Antiqua" w:cstheme="minorHAnsi"/>
          <w:sz w:val="24"/>
          <w:szCs w:val="24"/>
          <w:lang w:val="en-US"/>
        </w:rPr>
        <w:t xml:space="preserve"> </w:t>
      </w:r>
      <w:r w:rsidR="00895268" w:rsidRPr="001F1399">
        <w:rPr>
          <w:rFonts w:ascii="Book Antiqua" w:hAnsi="Book Antiqua" w:cstheme="minorHAnsi"/>
          <w:sz w:val="24"/>
          <w:szCs w:val="24"/>
          <w:lang w:val="en-US"/>
        </w:rPr>
        <w:t>will induce functional modification of gene expression and when these changes occur in fetal life this may be at the origin of increased risk of dysfunction and disease later in life although any phenotype change will be observed at birth</w:t>
      </w:r>
      <w:r w:rsidR="00895268" w:rsidRPr="001F1399">
        <w:rPr>
          <w:rFonts w:ascii="Book Antiqua" w:hAnsi="Book Antiqua" w:cstheme="minorHAnsi"/>
          <w:sz w:val="24"/>
          <w:szCs w:val="24"/>
          <w:lang w:val="en-US"/>
        </w:rPr>
        <w:fldChar w:fldCharType="begin" w:fldLock="1"/>
      </w:r>
      <w:r w:rsidR="00B1214D" w:rsidRPr="001F1399">
        <w:rPr>
          <w:rFonts w:ascii="Book Antiqua" w:hAnsi="Book Antiqua" w:cstheme="minorHAnsi"/>
          <w:sz w:val="24"/>
          <w:szCs w:val="24"/>
          <w:lang w:val="en-US"/>
        </w:rPr>
        <w:instrText>ADDIN CSL_CITATION {"citationItems":[{"id":"ITEM-1","itemData":{"DOI":"10.1186/1476-069X-11-42","ISSN":"1476069X","PMID":"22715989","abstract":"This White Paper highlights the developmental period as a plastic phase, which allows the organism to adapt to changes in the environment to maintain or improve reproductive capability in part through sustained health. Plasticity is more prominent prenatally and during early postnatal life, i.e., during the time of cell differentiation and specific tissue formation. These developmental periods are highly sensitive to environmental factors, such as nutrients, environmental chemicals, drugs, infections and other stressors. Nutrient and toxicant effects share many of the same characteristics and reflect two sides of the same coin. In both cases, alterations in physiological functions can be induced and may lead to the development of non-communicable conditions. Many of the major diseases - and dysfunctions - that have increased substantially in prevalence over the last 40 years seem to be related in part to developmental factors associated with either nutritional imbalance or exposures to environmental chemicals. The Developmental Origins of Health and Disease (DOHaD) concept provides significant insight into new strategies for research and disease prevention and is sufficiently robust and repeatable across species, including humans, to require a policy and public health response. This White Paper therefore concludes that, as early development (in utero and during the first years of postnatal life) is particularly sensitive to developmental disruption by nutritional factors or environmental chemical exposures, with potentially adverse consequences for health later in life, both research and disease prevention strategies should focus more on these vulnerable life stages. © 2012 Barouki et al.; licensee BioMed Central Ltd.","author":[{"dropping-particle":"","family":"Barouki","given":"Robert","non-dropping-particle":"","parse-names":false,"suffix":""},{"dropping-particle":"","family":"Gluckman","given":"Peter D.","non-dropping-particle":"","parse-names":false,"suffix":""},{"dropping-particle":"","family":"Grandjean","given":"Philippe","non-dropping-particle":"","parse-names":false,"suffix":""},{"dropping-particle":"","family":"Hanson","given":"Mark","non-dropping-particle":"","parse-names":false,"suffix":""},{"dropping-particle":"","family":"Heindel","given":"Jerrold J.","non-dropping-particle":"","parse-names":false,"suffix":""}],"container-title":"Environmental Health: A Global Access Science Source","id":"ITEM-1","issue":"1","issued":{"date-parts":[["2012"]]},"page":"1-9","title":"Developmental origins of non-communicable disease: Implications for research and public health","type":"article-journal","volume":"11"},"uris":["http://www.mendeley.com/documents/?uuid=c8c6ced5-af04-4671-ba6e-8774be1dcca1"]}],"mendeley":{"formattedCitation":"&lt;sup&gt;[67]&lt;/sup&gt;","plainTextFormattedCitation":"[67]","previouslyFormattedCitation":"&lt;sup&gt;[66]&lt;/sup&gt;"},"properties":{"noteIndex":0},"schema":"https://github.com/citation-style-language/schema/raw/master/csl-citation.json"}</w:instrText>
      </w:r>
      <w:r w:rsidR="00895268" w:rsidRPr="001F1399">
        <w:rPr>
          <w:rFonts w:ascii="Book Antiqua" w:hAnsi="Book Antiqua" w:cstheme="minorHAnsi"/>
          <w:sz w:val="24"/>
          <w:szCs w:val="24"/>
          <w:lang w:val="en-US"/>
        </w:rPr>
        <w:fldChar w:fldCharType="separate"/>
      </w:r>
      <w:r w:rsidR="00B1214D" w:rsidRPr="001F1399">
        <w:rPr>
          <w:rFonts w:ascii="Book Antiqua" w:hAnsi="Book Antiqua" w:cstheme="minorHAnsi"/>
          <w:noProof/>
          <w:sz w:val="24"/>
          <w:szCs w:val="24"/>
          <w:vertAlign w:val="superscript"/>
          <w:lang w:val="en-US"/>
        </w:rPr>
        <w:t>[67]</w:t>
      </w:r>
      <w:r w:rsidR="00895268" w:rsidRPr="001F1399">
        <w:rPr>
          <w:rFonts w:ascii="Book Antiqua" w:hAnsi="Book Antiqua" w:cstheme="minorHAnsi"/>
          <w:sz w:val="24"/>
          <w:szCs w:val="24"/>
          <w:lang w:val="en-US"/>
        </w:rPr>
        <w:fldChar w:fldCharType="end"/>
      </w:r>
      <w:r w:rsidR="00A83413" w:rsidRPr="001F1399">
        <w:rPr>
          <w:rFonts w:ascii="Book Antiqua" w:hAnsi="Book Antiqua" w:cstheme="minorHAnsi"/>
          <w:sz w:val="24"/>
          <w:szCs w:val="24"/>
          <w:lang w:val="en-US"/>
        </w:rPr>
        <w:t xml:space="preserve">. </w:t>
      </w:r>
    </w:p>
    <w:p w14:paraId="6E9D2F4C" w14:textId="6B82BF9C" w:rsidR="00812C5B" w:rsidRPr="001F1399" w:rsidRDefault="00812C5B" w:rsidP="002974FA">
      <w:pPr>
        <w:pStyle w:val="paragraph"/>
        <w:adjustRightInd w:val="0"/>
        <w:snapToGrid w:val="0"/>
        <w:spacing w:before="0" w:beforeAutospacing="0" w:after="0" w:afterAutospacing="0" w:line="360" w:lineRule="auto"/>
        <w:ind w:firstLineChars="100" w:firstLine="240"/>
        <w:jc w:val="both"/>
        <w:textAlignment w:val="baseline"/>
        <w:rPr>
          <w:rFonts w:ascii="Book Antiqua" w:hAnsi="Book Antiqua" w:cs="Calibri"/>
          <w:lang w:val="en-US"/>
        </w:rPr>
      </w:pPr>
      <w:r w:rsidRPr="001F1399">
        <w:rPr>
          <w:rFonts w:ascii="Book Antiqua" w:hAnsi="Book Antiqua" w:cs="Calibri"/>
          <w:lang w:val="en-US"/>
        </w:rPr>
        <w:t>Carbofuran, an anticholinesterase carbamate, is commonly used as an insecticide, nematicide, and acaricide in agricultural practice throughout the world. Carbofuran and/or its major metabolites can cross the placental barrier and produce serious effects on the maternal-placental-fetal unit. Carbofuran's toxicity can be potentiated by simultaneous exposure with other cholinesterase inhibitors</w:t>
      </w:r>
      <w:r w:rsidRPr="001F1399">
        <w:rPr>
          <w:rFonts w:ascii="Book Antiqua" w:hAnsi="Book Antiqua" w:cs="Calibri"/>
          <w:lang w:val="en-US"/>
        </w:rPr>
        <w:fldChar w:fldCharType="begin" w:fldLock="1"/>
      </w:r>
      <w:r w:rsidR="00B1214D" w:rsidRPr="001F1399">
        <w:rPr>
          <w:rFonts w:ascii="Book Antiqua" w:hAnsi="Book Antiqua" w:cs="Calibri"/>
          <w:lang w:val="en-US"/>
        </w:rPr>
        <w:instrText>ADDIN CSL_CITATION {"citationItems":[{"id":"ITEM-1","itemData":{"DOI":"10.1080/15287399409531931","ISSN":"0098-4108","PMID":"7990167","abstract":"Carbofuran, an anticholinesterase carbamate, is commonly used as an insecticide, nematicide, and acaricide in agricultural practice throughout the world. Due to its widespread use in agriculture, contamination of food, water, and air has become imminent, and consequently adverse health effects are inevitable in humans, animals, wildlife, and fish. Currently, carbofuran's involvement is most frequently encountered in malicious poisoning. The literature on chemical properties, acute toxicity data, poisoning incidences, pharmacokinetics, and mechanism of toxicity of carbofuran is briefly reviewed. Much emphasis is given to the metabolism of carbofuran, and the impact of carbofuran and its two major metabolites (3-hydroxycarbofuran and 3-ketocarbofuran) on overall toxicity. Biochemical (cholinergic and noncholinergic), hematological, and immunological effects induced by carbofuran are discussed in detail. Carbofuran and/or its major metabolites can cross the placental barrier and produce serious effects on the maternal-placental-fetal unit. Carbofuran's toxicity can be potentiated by simultaneous exposure with other cholinesterase inhibitors. Literature on various biomarkers of carbofuran exposure and on induced adverse health effects is also presented. To date, a combination of atropine and memantine remains the most effective antidotal treatment against acute carbofuran toxicity","author":[{"dropping-particle":"","family":"Gupta","given":"Ramesh C.","non-dropping-particle":"","parse-names":false,"suffix":""}],"container-title":"Journal of Toxicology and Environmental Health","id":"ITEM-1","issue":"4","issued":{"date-parts":[["1994","12"]]},"page":"383-418","title":"Carbofuran toxicity","type":"article-journal","volume":"43"},"uris":["http://www.mendeley.com/documents/?uuid=ffa28e70-4772-45d6-9dbe-95a8c33ae240"]}],"mendeley":{"formattedCitation":"&lt;sup&gt;[86]&lt;/sup&gt;","plainTextFormattedCitation":"[86]","previouslyFormattedCitation":"&lt;sup&gt;[85]&lt;/sup&gt;"},"properties":{"noteIndex":0},"schema":"https://github.com/citation-style-language/schema/raw/master/csl-citation.json"}</w:instrText>
      </w:r>
      <w:r w:rsidRPr="001F1399">
        <w:rPr>
          <w:rFonts w:ascii="Book Antiqua" w:hAnsi="Book Antiqua" w:cs="Calibri"/>
          <w:lang w:val="en-US"/>
        </w:rPr>
        <w:fldChar w:fldCharType="separate"/>
      </w:r>
      <w:r w:rsidR="00B1214D" w:rsidRPr="001F1399">
        <w:rPr>
          <w:rFonts w:ascii="Book Antiqua" w:hAnsi="Book Antiqua" w:cs="Calibri"/>
          <w:noProof/>
          <w:vertAlign w:val="superscript"/>
          <w:lang w:val="en-US"/>
        </w:rPr>
        <w:t>[86]</w:t>
      </w:r>
      <w:r w:rsidRPr="001F1399">
        <w:rPr>
          <w:rFonts w:ascii="Book Antiqua" w:hAnsi="Book Antiqua" w:cs="Calibri"/>
          <w:lang w:val="en-US"/>
        </w:rPr>
        <w:fldChar w:fldCharType="end"/>
      </w:r>
      <w:r w:rsidRPr="001F1399">
        <w:rPr>
          <w:rFonts w:ascii="Book Antiqua" w:hAnsi="Book Antiqua" w:cs="Calibri"/>
          <w:lang w:val="en-US"/>
        </w:rPr>
        <w:t>.</w:t>
      </w:r>
    </w:p>
    <w:p w14:paraId="3C5B1BAD" w14:textId="13F51E09" w:rsidR="00BC35BB" w:rsidRPr="001F1399" w:rsidRDefault="00390F19" w:rsidP="002974FA">
      <w:pPr>
        <w:autoSpaceDE w:val="0"/>
        <w:autoSpaceDN w:val="0"/>
        <w:adjustRightInd w:val="0"/>
        <w:snapToGrid w:val="0"/>
        <w:spacing w:after="0" w:line="360" w:lineRule="auto"/>
        <w:ind w:firstLineChars="100" w:firstLine="240"/>
        <w:jc w:val="both"/>
        <w:rPr>
          <w:rFonts w:ascii="Book Antiqua" w:hAnsi="Book Antiqua" w:cs="Calibri"/>
          <w:sz w:val="24"/>
          <w:szCs w:val="24"/>
          <w:lang w:val="en-US"/>
        </w:rPr>
      </w:pPr>
      <w:r w:rsidRPr="001F1399">
        <w:rPr>
          <w:rFonts w:ascii="Book Antiqua" w:hAnsi="Book Antiqua"/>
          <w:sz w:val="24"/>
          <w:szCs w:val="24"/>
          <w:lang w:val="en-GB"/>
        </w:rPr>
        <w:t>Chlorpyrifos</w:t>
      </w:r>
      <w:r w:rsidR="0AE71724" w:rsidRPr="001F1399">
        <w:rPr>
          <w:rFonts w:ascii="Book Antiqua" w:hAnsi="Book Antiqua"/>
          <w:sz w:val="24"/>
          <w:szCs w:val="24"/>
          <w:lang w:val="en-GB"/>
        </w:rPr>
        <w:t xml:space="preserve"> </w:t>
      </w:r>
      <w:r w:rsidR="00322E8A" w:rsidRPr="001F1399">
        <w:rPr>
          <w:rFonts w:ascii="Book Antiqua" w:hAnsi="Book Antiqua"/>
          <w:sz w:val="24"/>
          <w:szCs w:val="24"/>
          <w:lang w:val="en-GB"/>
        </w:rPr>
        <w:t>[</w:t>
      </w:r>
      <w:r w:rsidRPr="001F1399">
        <w:rPr>
          <w:rFonts w:ascii="Book Antiqua" w:hAnsi="Book Antiqua"/>
          <w:sz w:val="24"/>
          <w:szCs w:val="24"/>
          <w:lang w:val="en-GB"/>
        </w:rPr>
        <w:t>O</w:t>
      </w:r>
      <w:proofErr w:type="gramStart"/>
      <w:r w:rsidRPr="001F1399">
        <w:rPr>
          <w:rFonts w:ascii="Book Antiqua" w:hAnsi="Book Antiqua"/>
          <w:sz w:val="24"/>
          <w:szCs w:val="24"/>
          <w:lang w:val="en-GB"/>
        </w:rPr>
        <w:t>,O</w:t>
      </w:r>
      <w:proofErr w:type="gramEnd"/>
      <w:r w:rsidRPr="001F1399">
        <w:rPr>
          <w:rFonts w:ascii="Book Antiqua" w:hAnsi="Book Antiqua"/>
          <w:sz w:val="24"/>
          <w:szCs w:val="24"/>
          <w:lang w:val="en-GB"/>
        </w:rPr>
        <w:t>-diethyl-O-</w:t>
      </w:r>
      <w:r w:rsidR="00322E8A" w:rsidRPr="001F1399">
        <w:rPr>
          <w:rFonts w:ascii="Book Antiqua" w:hAnsi="Book Antiqua"/>
          <w:sz w:val="24"/>
          <w:szCs w:val="24"/>
          <w:lang w:val="en-GB"/>
        </w:rPr>
        <w:t>(</w:t>
      </w:r>
      <w:r w:rsidRPr="001F1399">
        <w:rPr>
          <w:rFonts w:ascii="Book Antiqua" w:hAnsi="Book Antiqua"/>
          <w:sz w:val="24"/>
          <w:szCs w:val="24"/>
          <w:lang w:val="en-GB"/>
        </w:rPr>
        <w:t>3,5,6-trichloro-2-pyridinyl</w:t>
      </w:r>
      <w:r w:rsidR="00322E8A" w:rsidRPr="001F1399">
        <w:rPr>
          <w:rFonts w:ascii="Book Antiqua" w:hAnsi="Book Antiqua"/>
          <w:sz w:val="24"/>
          <w:szCs w:val="24"/>
          <w:lang w:val="en-GB"/>
        </w:rPr>
        <w:t>)</w:t>
      </w:r>
      <w:r w:rsidRPr="001F1399">
        <w:rPr>
          <w:rFonts w:ascii="Book Antiqua" w:hAnsi="Book Antiqua"/>
          <w:sz w:val="24"/>
          <w:szCs w:val="24"/>
          <w:lang w:val="en-GB"/>
        </w:rPr>
        <w:t>phosphorothioate:</w:t>
      </w:r>
      <w:r w:rsidR="00944E7A" w:rsidRPr="001F1399">
        <w:rPr>
          <w:rFonts w:ascii="Book Antiqua" w:hAnsi="Book Antiqua"/>
          <w:sz w:val="24"/>
          <w:szCs w:val="24"/>
          <w:lang w:val="en-GB"/>
        </w:rPr>
        <w:t xml:space="preserve"> </w:t>
      </w:r>
      <w:r w:rsidRPr="001F1399">
        <w:rPr>
          <w:rFonts w:ascii="Book Antiqua" w:hAnsi="Book Antiqua"/>
          <w:sz w:val="24"/>
          <w:szCs w:val="24"/>
          <w:lang w:val="en-GB"/>
        </w:rPr>
        <w:t>CPF</w:t>
      </w:r>
      <w:r w:rsidR="00322E8A" w:rsidRPr="001F1399">
        <w:rPr>
          <w:rFonts w:ascii="Book Antiqua" w:hAnsi="Book Antiqua"/>
          <w:sz w:val="24"/>
          <w:szCs w:val="24"/>
          <w:lang w:val="en-GB"/>
        </w:rPr>
        <w:t>]</w:t>
      </w:r>
      <w:r w:rsidRPr="001F1399">
        <w:rPr>
          <w:rFonts w:ascii="Book Antiqua" w:hAnsi="Book Antiqua"/>
          <w:sz w:val="24"/>
          <w:szCs w:val="24"/>
          <w:lang w:val="en-GB"/>
        </w:rPr>
        <w:t xml:space="preserve"> is an organophosphate insecticide used worldwide to treat fruit and vegetable crops. </w:t>
      </w:r>
      <w:r w:rsidRPr="001F1399">
        <w:rPr>
          <w:rFonts w:ascii="Book Antiqua" w:hAnsi="Book Antiqua"/>
          <w:sz w:val="24"/>
          <w:szCs w:val="24"/>
          <w:lang w:val="en-US"/>
        </w:rPr>
        <w:t xml:space="preserve">The most widely studied organophosphate, CPF has been clearly identified as a neuron killer, neural cell migration and brain connection disruptor and its </w:t>
      </w:r>
      <w:r w:rsidRPr="001F1399">
        <w:rPr>
          <w:rFonts w:ascii="Book Antiqua" w:hAnsi="Book Antiqua"/>
          <w:sz w:val="24"/>
          <w:szCs w:val="24"/>
          <w:lang w:val="en-GB"/>
        </w:rPr>
        <w:t>residues are often detected in food and drinking water</w:t>
      </w:r>
      <w:r w:rsidRPr="001F1399">
        <w:rPr>
          <w:rFonts w:ascii="Book Antiqua" w:hAnsi="Book Antiqua"/>
          <w:sz w:val="24"/>
          <w:szCs w:val="24"/>
        </w:rPr>
        <w:fldChar w:fldCharType="begin" w:fldLock="1"/>
      </w:r>
      <w:r w:rsidR="00B1214D" w:rsidRPr="001F1399">
        <w:rPr>
          <w:rFonts w:ascii="Book Antiqua" w:hAnsi="Book Antiqua"/>
          <w:sz w:val="24"/>
          <w:szCs w:val="24"/>
          <w:lang w:val="en-GB"/>
        </w:rPr>
        <w:instrText>ADDIN CSL_CITATION {"citationItems":[{"id":"ITEM-1","itemData":{"DOI":"10.1021/jf980962d","ISSN":"0021-8561","PMID":"10552457","author":[{"dropping-particle":"","family":"Bolles","given":"H. G.","non-dropping-particle":"","parse-names":false,"suffix":""},{"dropping-particle":"","family":"Dixon-White","given":"H. E.","non-dropping-particle":"","parse-names":false,"suffix":""},{"dropping-particle":"","family":"Peterson","given":"R. K.","non-dropping-particle":"","parse-names":false,"suffix":""},{"dropping-particle":"","family":"Tomerlin","given":"J. R.","non-dropping-particle":"","parse-names":false,"suffix":""},{"dropping-particle":"","family":"Day,","given":"E. W.","non-dropping-particle":"","parse-names":false,"suffix":""},{"dropping-particle":"","family":"Oliver","given":"G. R.","non-dropping-particle":"","parse-names":false,"suffix":""}],"container-title":"Journal of Agricultural and Food Chemistry","id":"ITEM-1","issue":"5","issued":{"date-parts":[["1999","5"]]},"page":"1817-1822","title":"U.S. Market Basket Study To Determine Residues of the Insecticide Chlorpyrifos","type":"article-journal","volume":"47"},"uris":["http://www.mendeley.com/documents/?uuid=d8e33ba3-7852-4b8a-892c-84d2f9c3a5fe"]}],"mendeley":{"formattedCitation":"&lt;sup&gt;[87]&lt;/sup&gt;","plainTextFormattedCitation":"[87]","previouslyFormattedCitation":"&lt;sup&gt;[86]&lt;/sup&gt;"},"properties":{"noteIndex":0},"schema":"https://github.com/citation-style-language/schema/raw/master/csl-citation.json"}</w:instrText>
      </w:r>
      <w:r w:rsidRPr="001F1399">
        <w:rPr>
          <w:rFonts w:ascii="Book Antiqua" w:hAnsi="Book Antiqua"/>
          <w:sz w:val="24"/>
          <w:szCs w:val="24"/>
          <w:vertAlign w:val="superscript"/>
          <w:lang w:val="en-GB"/>
        </w:rPr>
        <w:fldChar w:fldCharType="separate"/>
      </w:r>
      <w:r w:rsidR="00B1214D" w:rsidRPr="001F1399">
        <w:rPr>
          <w:rFonts w:ascii="Book Antiqua" w:hAnsi="Book Antiqua"/>
          <w:noProof/>
          <w:sz w:val="24"/>
          <w:szCs w:val="24"/>
          <w:vertAlign w:val="superscript"/>
          <w:lang w:val="en-GB"/>
        </w:rPr>
        <w:t>[87]</w:t>
      </w:r>
      <w:r w:rsidRPr="001F1399">
        <w:rPr>
          <w:rFonts w:ascii="Book Antiqua" w:hAnsi="Book Antiqua"/>
          <w:sz w:val="24"/>
          <w:szCs w:val="24"/>
        </w:rPr>
        <w:fldChar w:fldCharType="end"/>
      </w:r>
      <w:r w:rsidRPr="001F1399">
        <w:rPr>
          <w:rFonts w:ascii="Book Antiqua" w:hAnsi="Book Antiqua"/>
          <w:sz w:val="24"/>
          <w:szCs w:val="24"/>
          <w:lang w:val="en-GB"/>
        </w:rPr>
        <w:t>. Although the digestive tract is the first organ to come into contact with food contaminants, little is known about CPF’s impact on the epithelial barrier. Studies from Joly</w:t>
      </w:r>
      <w:r w:rsidR="003F4907" w:rsidRPr="001F1399">
        <w:rPr>
          <w:rFonts w:ascii="Book Antiqua" w:hAnsi="Book Antiqua"/>
          <w:sz w:val="24"/>
          <w:szCs w:val="24"/>
          <w:lang w:val="en-GB"/>
        </w:rPr>
        <w:t xml:space="preserve"> </w:t>
      </w:r>
      <w:r w:rsidRPr="001F1399">
        <w:rPr>
          <w:rFonts w:ascii="Book Antiqua" w:hAnsi="Book Antiqua"/>
          <w:sz w:val="24"/>
          <w:szCs w:val="24"/>
          <w:lang w:val="en-GB"/>
        </w:rPr>
        <w:t xml:space="preserve">Condette </w:t>
      </w:r>
      <w:r w:rsidRPr="001F1399">
        <w:rPr>
          <w:rFonts w:ascii="Book Antiqua" w:hAnsi="Book Antiqua"/>
          <w:i/>
          <w:iCs/>
          <w:sz w:val="24"/>
          <w:szCs w:val="24"/>
          <w:lang w:val="en-GB"/>
        </w:rPr>
        <w:t>et al</w:t>
      </w:r>
      <w:r w:rsidRPr="001F1399">
        <w:rPr>
          <w:rFonts w:ascii="Book Antiqua" w:hAnsi="Book Antiqua"/>
          <w:sz w:val="24"/>
          <w:szCs w:val="24"/>
        </w:rPr>
        <w:fldChar w:fldCharType="begin" w:fldLock="1"/>
      </w:r>
      <w:r w:rsidR="00B1214D" w:rsidRPr="001F1399">
        <w:rPr>
          <w:rFonts w:ascii="Book Antiqua" w:hAnsi="Book Antiqua"/>
          <w:sz w:val="24"/>
          <w:szCs w:val="24"/>
          <w:lang w:val="en-GB"/>
        </w:rPr>
        <w:instrText>ADDIN CSL_CITATION {"citationItems":[{"id":"ITEM-1","itemData":{"DOI":"10.1371/journal.pone.0102217","ISSN":"1932-6203","PMID":"25019507","author":[{"dropping-particle":"","family":"Joly Condette","given":"Claire","non-dropping-particle":"","parse-names":false,"suffix":""},{"dropping-particle":"","family":"Khorsi-Cauet","given":"Hafida","non-dropping-particle":"","parse-names":false,"suffix":""},{"dropping-particle":"","family":"Morlière","given":"Patrice","non-dropping-particle":"","parse-names":false,"suffix":""},{"dropping-particle":"","family":"Zabijak","given":"Luciane","non-dropping-particle":"","parse-names":false,"suffix":""},{"dropping-particle":"","family":"Reygner","given":"Julie","non-dropping-particle":"","parse-names":false,"suffix":""},{"dropping-particle":"","family":"Bach","given":"Véronique","non-dropping-particle":"","parse-names":false,"suffix":""},{"dropping-particle":"","family":"Gay-Quéheillard","given":"Jérôme","non-dropping-particle":"","parse-names":false,"suffix":""}],"container-title":"PLoS ONE","editor":[{"dropping-particle":"","family":"Blachier","given":"François","non-dropping-particle":"","parse-names":false,"suffix":""}],"id":"ITEM-1","issue":"7","issued":{"date-parts":[["2014","7","14"]]},"page":"e102217","title":"Increased Gut Permeability and Bacterial Translocation after Chronic Chlorpyrifos Exposure in Rats","type":"article-journal","volume":"9"},"uris":["http://www.mendeley.com/documents/?uuid=000a13d3-6834-433e-851a-3a314a40a5bf"]}],"mendeley":{"formattedCitation":"&lt;sup&gt;[88]&lt;/sup&gt;","plainTextFormattedCitation":"[88]","previouslyFormattedCitation":"&lt;sup&gt;[87]&lt;/sup&gt;"},"properties":{"noteIndex":0},"schema":"https://github.com/citation-style-language/schema/raw/master/csl-citation.json"}</w:instrText>
      </w:r>
      <w:r w:rsidRPr="001F1399">
        <w:rPr>
          <w:rFonts w:ascii="Book Antiqua" w:hAnsi="Book Antiqua"/>
          <w:sz w:val="24"/>
          <w:szCs w:val="24"/>
          <w:lang w:val="en-GB"/>
        </w:rPr>
        <w:fldChar w:fldCharType="separate"/>
      </w:r>
      <w:r w:rsidR="00B1214D" w:rsidRPr="001F1399">
        <w:rPr>
          <w:rFonts w:ascii="Book Antiqua" w:hAnsi="Book Antiqua"/>
          <w:noProof/>
          <w:sz w:val="24"/>
          <w:szCs w:val="24"/>
          <w:vertAlign w:val="superscript"/>
          <w:lang w:val="en-GB"/>
        </w:rPr>
        <w:t>[88]</w:t>
      </w:r>
      <w:r w:rsidRPr="001F1399">
        <w:rPr>
          <w:rFonts w:ascii="Book Antiqua" w:hAnsi="Book Antiqua"/>
          <w:sz w:val="24"/>
          <w:szCs w:val="24"/>
        </w:rPr>
        <w:fldChar w:fldCharType="end"/>
      </w:r>
      <w:r w:rsidR="003F4907" w:rsidRPr="001F1399">
        <w:rPr>
          <w:rFonts w:ascii="Book Antiqua" w:hAnsi="Book Antiqua"/>
          <w:sz w:val="24"/>
          <w:szCs w:val="24"/>
          <w:lang w:val="en-US"/>
        </w:rPr>
        <w:t>,</w:t>
      </w:r>
      <w:r w:rsidRPr="001F1399">
        <w:rPr>
          <w:rFonts w:ascii="Book Antiqua" w:hAnsi="Book Antiqua"/>
          <w:sz w:val="24"/>
          <w:szCs w:val="24"/>
          <w:lang w:val="en-GB"/>
        </w:rPr>
        <w:t xml:space="preserve"> have shown that chronic CPF-exposure during critical pre- and postnatal periods of organ development and maturation alters epithelial barrier function, which in turn is associated with elevated permeability and bacterial translocation. Furthermore, the barrier dysfunction is associated with changes in tight junction’s protein expression. In the same rat model; rat pups exposed to 5 mg/kg/d CPF were both significantly smaller (body length) and lighter than controls. Exposure to CPF was associated with changes in the histological structures (shorter and thinner intestinal villi), an intestinal microbial dysbiosis and increased bacterial translocation in the spleen and liver. These significant microbial changes in the gut were associated with impaired epithelium protection (mucin-2) and microbial pattern recognition receptors (</w:t>
      </w:r>
      <w:r w:rsidR="00322E8A" w:rsidRPr="001F1399">
        <w:rPr>
          <w:rFonts w:ascii="Book Antiqua" w:hAnsi="Book Antiqua"/>
          <w:sz w:val="24"/>
          <w:szCs w:val="24"/>
          <w:lang w:val="en-GB"/>
        </w:rPr>
        <w:t>TLR</w:t>
      </w:r>
      <w:r w:rsidR="009A4DD4" w:rsidRPr="001F1399">
        <w:rPr>
          <w:rFonts w:ascii="Book Antiqua" w:hAnsi="Book Antiqua"/>
          <w:sz w:val="24"/>
          <w:szCs w:val="24"/>
          <w:lang w:val="en-GB"/>
        </w:rPr>
        <w:t xml:space="preserve">s </w:t>
      </w:r>
      <w:r w:rsidRPr="001F1399">
        <w:rPr>
          <w:rFonts w:ascii="Book Antiqua" w:hAnsi="Book Antiqua"/>
          <w:sz w:val="24"/>
          <w:szCs w:val="24"/>
          <w:lang w:val="en-GB"/>
        </w:rPr>
        <w:t>2 and 4) genes expression</w:t>
      </w:r>
      <w:r w:rsidRPr="001F1399">
        <w:rPr>
          <w:rFonts w:ascii="Book Antiqua" w:hAnsi="Book Antiqua"/>
          <w:sz w:val="24"/>
          <w:szCs w:val="24"/>
        </w:rPr>
        <w:fldChar w:fldCharType="begin" w:fldLock="1"/>
      </w:r>
      <w:r w:rsidR="00B1214D" w:rsidRPr="001F1399">
        <w:rPr>
          <w:rFonts w:ascii="Book Antiqua" w:hAnsi="Book Antiqua"/>
          <w:sz w:val="24"/>
          <w:szCs w:val="24"/>
          <w:lang w:val="en-GB"/>
        </w:rPr>
        <w:instrText>ADDIN CSL_CITATION {"citationItems":[{"id":"ITEM-1","itemData":{"DOI":"10.1097/MPG.0000000000000734","ISSN":"0277-2116","PMID":"25643018","author":[{"dropping-particle":"","family":"Condette","given":"Claire Joly","non-dropping-particle":"","parse-names":false,"suffix":""},{"dropping-particle":"","family":"Bach","given":"Véronique","non-dropping-particle":"","parse-names":false,"suffix":""},{"dropping-particle":"","family":"Mayeur","given":"Camille","non-dropping-particle":"","parse-names":false,"suffix":""},{"dropping-particle":"","family":"Gay-Quéheillard","given":"Jérôme","non-dropping-particle":"","parse-names":false,"suffix":""},{"dropping-particle":"","family":"Khorsi-Cauet","given":"Hafida","non-dropping-particle":"","parse-names":false,"suffix":""}],"container-title":"Journal of Pediatric Gastroenterology and Nutrition","id":"ITEM-1","issued":{"date-parts":[["2015","1"]]},"page":"1","title":"Chlorpyrifos Exposure During Perinatal Period Impacts Intestinal Microbiota Associated with Delay of Maturation of Digestive Tract in Rats","type":"article-journal"},"uris":["http://www.mendeley.com/documents/?uuid=bf292c5e-57f0-4071-8b9a-f4902e4ac452"]}],"mendeley":{"formattedCitation":"&lt;sup&gt;[84]&lt;/sup&gt;","plainTextFormattedCitation":"[84]","previouslyFormattedCitation":"&lt;sup&gt;[83]&lt;/sup&gt;"},"properties":{"noteIndex":0},"schema":"https://github.com/citation-style-language/schema/raw/master/csl-citation.json"}</w:instrText>
      </w:r>
      <w:r w:rsidRPr="001F1399">
        <w:rPr>
          <w:rFonts w:ascii="Book Antiqua" w:hAnsi="Book Antiqua"/>
          <w:sz w:val="24"/>
          <w:szCs w:val="24"/>
          <w:lang w:val="en-GB"/>
        </w:rPr>
        <w:fldChar w:fldCharType="separate"/>
      </w:r>
      <w:r w:rsidR="00B1214D" w:rsidRPr="001F1399">
        <w:rPr>
          <w:rFonts w:ascii="Book Antiqua" w:hAnsi="Book Antiqua"/>
          <w:noProof/>
          <w:sz w:val="24"/>
          <w:szCs w:val="24"/>
          <w:vertAlign w:val="superscript"/>
          <w:lang w:val="en-GB"/>
        </w:rPr>
        <w:t>[84]</w:t>
      </w:r>
      <w:r w:rsidRPr="001F1399">
        <w:rPr>
          <w:rFonts w:ascii="Book Antiqua" w:hAnsi="Book Antiqua"/>
          <w:sz w:val="24"/>
          <w:szCs w:val="24"/>
        </w:rPr>
        <w:fldChar w:fldCharType="end"/>
      </w:r>
      <w:r w:rsidRPr="001F1399">
        <w:rPr>
          <w:rFonts w:ascii="Book Antiqua" w:hAnsi="Book Antiqua"/>
          <w:sz w:val="24"/>
          <w:szCs w:val="24"/>
          <w:lang w:val="en-GB"/>
        </w:rPr>
        <w:t xml:space="preserve">. In summary, </w:t>
      </w:r>
      <w:r w:rsidRPr="001F1399">
        <w:rPr>
          <w:rFonts w:ascii="Book Antiqua" w:hAnsi="Book Antiqua"/>
          <w:sz w:val="24"/>
          <w:szCs w:val="24"/>
          <w:lang w:val="en-GB"/>
        </w:rPr>
        <w:lastRenderedPageBreak/>
        <w:t>pesticide residues in food may impact the digestive tract function and its ability to adapt to environmental changes. In rats, this effect appears to be even greater at the time of weaning (</w:t>
      </w:r>
      <w:r w:rsidRPr="001F1399">
        <w:rPr>
          <w:rFonts w:ascii="Book Antiqua" w:hAnsi="Book Antiqua"/>
          <w:i/>
          <w:iCs/>
          <w:sz w:val="24"/>
          <w:szCs w:val="24"/>
          <w:lang w:val="en-GB"/>
        </w:rPr>
        <w:t>i.e.</w:t>
      </w:r>
      <w:r w:rsidR="003F4907" w:rsidRPr="001F1399">
        <w:rPr>
          <w:rFonts w:ascii="Book Antiqua" w:hAnsi="Book Antiqua"/>
          <w:sz w:val="24"/>
          <w:szCs w:val="24"/>
          <w:lang w:val="en-GB"/>
        </w:rPr>
        <w:t>,</w:t>
      </w:r>
      <w:r w:rsidRPr="001F1399">
        <w:rPr>
          <w:rFonts w:ascii="Book Antiqua" w:hAnsi="Book Antiqua"/>
          <w:sz w:val="24"/>
          <w:szCs w:val="24"/>
          <w:lang w:val="en-GB"/>
        </w:rPr>
        <w:t xml:space="preserve"> when food diversification occurs). </w:t>
      </w:r>
      <w:r w:rsidRPr="001F1399">
        <w:rPr>
          <w:rFonts w:ascii="Book Antiqua" w:hAnsi="Book Antiqua"/>
          <w:color w:val="212121"/>
          <w:sz w:val="24"/>
          <w:szCs w:val="24"/>
          <w:shd w:val="clear" w:color="auto" w:fill="FFFFFF"/>
          <w:lang w:val="en-GB"/>
        </w:rPr>
        <w:t xml:space="preserve">Increasing evidence indicates that CPF is involved in metabolic disorders. Data from Reygner </w:t>
      </w:r>
      <w:r w:rsidRPr="001F1399">
        <w:rPr>
          <w:rFonts w:ascii="Book Antiqua" w:hAnsi="Book Antiqua"/>
          <w:i/>
          <w:iCs/>
          <w:color w:val="212121"/>
          <w:sz w:val="24"/>
          <w:szCs w:val="24"/>
          <w:shd w:val="clear" w:color="auto" w:fill="FFFFFF"/>
          <w:lang w:val="en-GB"/>
        </w:rPr>
        <w:t>et al</w:t>
      </w:r>
      <w:r w:rsidRPr="001F1399">
        <w:rPr>
          <w:rFonts w:ascii="Book Antiqua" w:hAnsi="Book Antiqua"/>
          <w:sz w:val="24"/>
          <w:szCs w:val="24"/>
        </w:rPr>
        <w:fldChar w:fldCharType="begin" w:fldLock="1"/>
      </w:r>
      <w:r w:rsidR="00B1214D" w:rsidRPr="001F1399">
        <w:rPr>
          <w:rFonts w:ascii="Book Antiqua" w:hAnsi="Book Antiqua"/>
          <w:color w:val="212121"/>
          <w:sz w:val="24"/>
          <w:szCs w:val="24"/>
          <w:shd w:val="clear" w:color="auto" w:fill="FFFFFF"/>
          <w:lang w:val="en-GB"/>
        </w:rPr>
        <w:instrText>ADDIN CSL_CITATION {"citationItems":[{"id":"ITEM-1","itemData":{"DOI":"10.1371/journal.pone.0164614","ISSN":"1932-6203","PMID":"27760213","author":[{"dropping-particle":"","family":"Reygner","given":"Julie","non-dropping-particle":"","parse-names":false,"suffix":""},{"dropping-particle":"","family":"Lichtenberger","given":"Lydia","non-dropping-particle":"","parse-names":false,"suffix":""},{"dropping-particle":"","family":"Elmhiri","given":"Ghada","non-dropping-particle":"","parse-names":false,"suffix":""},{"dropping-particle":"","family":"Dou","given":"Samir","non-dropping-particle":"","parse-names":false,"suffix":""},{"dropping-particle":"","family":"Bahi-Jaber","given":"Narges","non-dropping-particle":"","parse-names":false,"suffix":""},{"dropping-particle":"","family":"Rhazi","given":"Larbi","non-dropping-particle":"","parse-names":false,"suffix":""},{"dropping-particle":"","family":"Depeint","given":"Flore","non-dropping-particle":"","parse-names":false,"suffix":""},{"dropping-particle":"","family":"Bach","given":"Veronique","non-dropping-particle":"","parse-names":false,"suffix":""},{"dropping-particle":"","family":"Khorsi-Cauet","given":"Hafida","non-dropping-particle":"","parse-names":false,"suffix":""},{"dropping-particle":"","family":"Abdennebi-Najar","given":"Latifa","non-dropping-particle":"","parse-names":false,"suffix":""}],"container-title":"PLOS ONE","editor":[{"dropping-particle":"","family":"Smidt","given":"Hauke","non-dropping-particle":"","parse-names":false,"suffix":""}],"id":"ITEM-1","issue":"10","issued":{"date-parts":[["2016","10","19"]]},"page":"e0164614","title":"Inulin Supplementation Lowered the Metabolic Defects of Prolonged Exposure to Chlorpyrifos from Gestation to Young Adult Stage in Offspring Rats","type":"article-journal","volume":"11"},"uris":["http://www.mendeley.com/documents/?uuid=e5f9c04c-1337-47a8-bf68-ded7d73957ee"]}],"mendeley":{"formattedCitation":"&lt;sup&gt;[89]&lt;/sup&gt;","plainTextFormattedCitation":"[89]","previouslyFormattedCitation":"&lt;sup&gt;[88]&lt;/sup&gt;"},"properties":{"noteIndex":0},"schema":"https://github.com/citation-style-language/schema/raw/master/csl-citation.json"}</w:instrText>
      </w:r>
      <w:r w:rsidRPr="001F1399">
        <w:rPr>
          <w:rFonts w:ascii="Book Antiqua" w:hAnsi="Book Antiqua"/>
          <w:color w:val="212121"/>
          <w:sz w:val="24"/>
          <w:szCs w:val="24"/>
          <w:shd w:val="clear" w:color="auto" w:fill="FFFFFF"/>
          <w:lang w:val="en-GB"/>
        </w:rPr>
        <w:fldChar w:fldCharType="separate"/>
      </w:r>
      <w:r w:rsidR="00B1214D" w:rsidRPr="001F1399">
        <w:rPr>
          <w:rFonts w:ascii="Book Antiqua" w:hAnsi="Book Antiqua"/>
          <w:noProof/>
          <w:color w:val="212121"/>
          <w:sz w:val="24"/>
          <w:szCs w:val="24"/>
          <w:shd w:val="clear" w:color="auto" w:fill="FFFFFF"/>
          <w:vertAlign w:val="superscript"/>
          <w:lang w:val="en-GB"/>
        </w:rPr>
        <w:t>[89]</w:t>
      </w:r>
      <w:r w:rsidRPr="001F1399">
        <w:rPr>
          <w:rFonts w:ascii="Book Antiqua" w:hAnsi="Book Antiqua"/>
          <w:sz w:val="24"/>
          <w:szCs w:val="24"/>
        </w:rPr>
        <w:fldChar w:fldCharType="end"/>
      </w:r>
      <w:r w:rsidR="003F4907" w:rsidRPr="001F1399">
        <w:rPr>
          <w:rFonts w:ascii="Book Antiqua" w:hAnsi="Book Antiqua"/>
          <w:sz w:val="24"/>
          <w:szCs w:val="24"/>
          <w:lang w:val="en-US"/>
        </w:rPr>
        <w:t>,</w:t>
      </w:r>
      <w:r w:rsidRPr="001F1399">
        <w:rPr>
          <w:rFonts w:ascii="Book Antiqua" w:hAnsi="Book Antiqua"/>
          <w:color w:val="212121"/>
          <w:sz w:val="24"/>
          <w:szCs w:val="24"/>
          <w:shd w:val="clear" w:color="auto" w:fill="FFFFFF"/>
          <w:lang w:val="en-GB"/>
        </w:rPr>
        <w:t xml:space="preserve"> indicate that developmental exposure to CPF interferes with metabolism with dose related effects evident at adulthood. </w:t>
      </w:r>
      <w:r w:rsidR="00B86379" w:rsidRPr="001F1399">
        <w:rPr>
          <w:rFonts w:ascii="Book Antiqua" w:hAnsi="Book Antiqua"/>
          <w:sz w:val="24"/>
          <w:szCs w:val="24"/>
          <w:lang w:val="en-US"/>
        </w:rPr>
        <w:t xml:space="preserve">Today, as developmental intellectual disorders affect one out of six children in industrialized countries, there is a growing interest in identifying impacts of pesticides on brain development and maturation and in the etiology of intellectual impairments. </w:t>
      </w:r>
      <w:r w:rsidR="00B86379" w:rsidRPr="001F1399">
        <w:rPr>
          <w:rFonts w:ascii="Book Antiqua" w:hAnsi="Book Antiqua"/>
          <w:sz w:val="24"/>
          <w:szCs w:val="24"/>
          <w:lang w:val="en-GB"/>
        </w:rPr>
        <w:t>A study from</w:t>
      </w:r>
      <w:r w:rsidR="00B86379" w:rsidRPr="001F1399">
        <w:rPr>
          <w:rFonts w:ascii="Book Antiqua" w:hAnsi="Book Antiqua" w:cs="Calibri"/>
          <w:sz w:val="24"/>
          <w:szCs w:val="24"/>
          <w:lang w:val="en-GB"/>
        </w:rPr>
        <w:t xml:space="preserve"> the same French team </w:t>
      </w:r>
      <w:r w:rsidR="00B86379" w:rsidRPr="001F1399">
        <w:rPr>
          <w:rFonts w:ascii="Book Antiqua" w:hAnsi="Book Antiqua"/>
          <w:sz w:val="24"/>
          <w:szCs w:val="24"/>
          <w:lang w:val="en-US"/>
        </w:rPr>
        <w:t>assessed whether maternal ingestion of low CPF dose in rats could impair the cerebral function of their progeny</w:t>
      </w:r>
      <w:r w:rsidR="00B23E29" w:rsidRPr="001F1399">
        <w:rPr>
          <w:rFonts w:ascii="Book Antiqua" w:hAnsi="Book Antiqua"/>
          <w:sz w:val="24"/>
          <w:szCs w:val="24"/>
        </w:rPr>
        <w:fldChar w:fldCharType="begin" w:fldLock="1"/>
      </w:r>
      <w:r w:rsidR="00B1214D" w:rsidRPr="001F1399">
        <w:rPr>
          <w:rFonts w:ascii="Book Antiqua" w:hAnsi="Book Antiqua"/>
          <w:sz w:val="24"/>
          <w:szCs w:val="24"/>
          <w:lang w:val="en-US"/>
        </w:rPr>
        <w:instrText>ADDIN CSL_CITATION {"citationItems":[{"id":"ITEM-1","itemData":{"DOI":"10.1016/j.fct.2018.01.026","ISSN":"02786915","PMID":"29421768","author":[{"dropping-particle":"","family":"Laporte","given":"Bérengère","non-dropping-particle":"","parse-names":false,"suffix":""},{"dropping-particle":"","family":"Gay-Quéheillard","given":"Jérôme","non-dropping-particle":"","parse-names":false,"suffix":""},{"dropping-particle":"","family":"Bach","given":"Véronique","non-dropping-particle":"","parse-names":false,"suffix":""},{"dropping-particle":"","family":"Villégier","given":"Anne-Sophie","non-dropping-particle":"","parse-names":false,"suffix":""}],"container-title":"Food and Chemical Toxicology","id":"ITEM-1","issued":{"date-parts":[["2018","3"]]},"page":"66-72","title":"Developmental neurotoxicity in the progeny after maternal gavage with chlorpyrifos","type":"article-journal","volume":"113"},"uris":["http://www.mendeley.com/documents/?uuid=2a190bac-c737-4415-9d1a-5503a7d2ed98"]}],"mendeley":{"formattedCitation":"&lt;sup&gt;[90]&lt;/sup&gt;","plainTextFormattedCitation":"[90]","previouslyFormattedCitation":"&lt;sup&gt;[89]&lt;/sup&gt;"},"properties":{"noteIndex":0},"schema":"https://github.com/citation-style-language/schema/raw/master/csl-citation.json"}</w:instrText>
      </w:r>
      <w:r w:rsidR="00B23E29"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lang w:val="en-US"/>
        </w:rPr>
        <w:t>[90]</w:t>
      </w:r>
      <w:r w:rsidR="00B23E29" w:rsidRPr="001F1399">
        <w:rPr>
          <w:rFonts w:ascii="Book Antiqua" w:hAnsi="Book Antiqua"/>
          <w:sz w:val="24"/>
          <w:szCs w:val="24"/>
        </w:rPr>
        <w:fldChar w:fldCharType="end"/>
      </w:r>
      <w:r w:rsidR="00B86379" w:rsidRPr="001F1399">
        <w:rPr>
          <w:rFonts w:ascii="Book Antiqua" w:hAnsi="Book Antiqua"/>
          <w:sz w:val="24"/>
          <w:szCs w:val="24"/>
          <w:lang w:val="en-US"/>
        </w:rPr>
        <w:t>. According</w:t>
      </w:r>
      <w:r w:rsidR="00B86379" w:rsidRPr="001F1399">
        <w:rPr>
          <w:rFonts w:ascii="Book Antiqua" w:hAnsi="Book Antiqua" w:cs="Calibri"/>
          <w:sz w:val="24"/>
          <w:szCs w:val="24"/>
          <w:lang w:val="en-US"/>
        </w:rPr>
        <w:t xml:space="preserve"> to the results, the progeny of CPF-treated dams showed slower negative geotaxis as</w:t>
      </w:r>
      <w:r w:rsidR="00B23E29" w:rsidRPr="001F1399">
        <w:rPr>
          <w:rFonts w:ascii="Book Antiqua" w:hAnsi="Book Antiqua" w:cs="Calibri"/>
          <w:sz w:val="24"/>
          <w:szCs w:val="24"/>
          <w:lang w:val="en-US"/>
        </w:rPr>
        <w:t xml:space="preserve"> neonates</w:t>
      </w:r>
      <w:r w:rsidR="00B86379" w:rsidRPr="001F1399">
        <w:rPr>
          <w:rFonts w:ascii="Book Antiqua" w:hAnsi="Book Antiqua" w:cs="Calibri"/>
          <w:sz w:val="24"/>
          <w:szCs w:val="24"/>
          <w:lang w:val="en-US"/>
        </w:rPr>
        <w:t>, lower novelty exploration as juveniles and faster startle</w:t>
      </w:r>
      <w:r w:rsidR="00B23E29" w:rsidRPr="001F1399">
        <w:rPr>
          <w:rFonts w:ascii="Book Antiqua" w:hAnsi="Book Antiqua" w:cs="Calibri"/>
          <w:sz w:val="24"/>
          <w:szCs w:val="24"/>
          <w:lang w:val="en-US"/>
        </w:rPr>
        <w:t xml:space="preserve"> reflex</w:t>
      </w:r>
      <w:r w:rsidR="00B86379" w:rsidRPr="001F1399">
        <w:rPr>
          <w:rFonts w:ascii="Book Antiqua" w:hAnsi="Book Antiqua" w:cs="Calibri"/>
          <w:sz w:val="24"/>
          <w:szCs w:val="24"/>
          <w:lang w:val="en-US"/>
        </w:rPr>
        <w:t xml:space="preserve"> as adolescents and adults. This data suggests that developmental CPF relevant to human exposure may impair novelty-related activity and sensori-motor functions, thus adaptability to the environment. This data supports the hypothesis that CPF may contribute to behavioural disorders including acquisition retardation and consequences as an adult.</w:t>
      </w:r>
      <w:r w:rsidR="0073051F" w:rsidRPr="001F1399">
        <w:rPr>
          <w:rFonts w:ascii="Book Antiqua" w:hAnsi="Book Antiqua" w:cs="Calibri"/>
          <w:sz w:val="24"/>
          <w:szCs w:val="24"/>
          <w:lang w:val="en-US"/>
        </w:rPr>
        <w:t xml:space="preserve"> Another organophosphate compound</w:t>
      </w:r>
      <w:r w:rsidR="00B86379" w:rsidRPr="001F1399">
        <w:rPr>
          <w:rFonts w:ascii="Book Antiqua" w:hAnsi="Book Antiqua" w:cs="Calibri"/>
          <w:sz w:val="24"/>
          <w:szCs w:val="24"/>
          <w:lang w:val="en-US"/>
        </w:rPr>
        <w:t xml:space="preserve"> ha</w:t>
      </w:r>
      <w:r w:rsidR="0073051F" w:rsidRPr="001F1399">
        <w:rPr>
          <w:rFonts w:ascii="Book Antiqua" w:hAnsi="Book Antiqua" w:cs="Calibri"/>
          <w:sz w:val="24"/>
          <w:szCs w:val="24"/>
          <w:lang w:val="en-US"/>
        </w:rPr>
        <w:t>s</w:t>
      </w:r>
      <w:r w:rsidR="00B86379" w:rsidRPr="001F1399">
        <w:rPr>
          <w:rFonts w:ascii="Book Antiqua" w:hAnsi="Book Antiqua" w:cs="Calibri"/>
          <w:sz w:val="24"/>
          <w:szCs w:val="24"/>
          <w:lang w:val="en-US"/>
        </w:rPr>
        <w:t xml:space="preserve"> also been studied for </w:t>
      </w:r>
      <w:r w:rsidR="0073051F" w:rsidRPr="001F1399">
        <w:rPr>
          <w:rFonts w:ascii="Book Antiqua" w:hAnsi="Book Antiqua" w:cs="Calibri"/>
          <w:sz w:val="24"/>
          <w:szCs w:val="24"/>
          <w:lang w:val="en-US"/>
        </w:rPr>
        <w:t>its</w:t>
      </w:r>
      <w:r w:rsidR="00B86379" w:rsidRPr="001F1399">
        <w:rPr>
          <w:rFonts w:ascii="Book Antiqua" w:hAnsi="Book Antiqua" w:cs="Calibri"/>
          <w:sz w:val="24"/>
          <w:szCs w:val="24"/>
          <w:lang w:val="en-US"/>
        </w:rPr>
        <w:t xml:space="preserve"> potential health impacts. </w:t>
      </w:r>
      <w:r w:rsidR="0073051F" w:rsidRPr="001F1399">
        <w:rPr>
          <w:rFonts w:ascii="Book Antiqua" w:hAnsi="Book Antiqua" w:cs="Calibri"/>
          <w:sz w:val="24"/>
          <w:szCs w:val="24"/>
          <w:lang w:val="en-US"/>
        </w:rPr>
        <w:t>A</w:t>
      </w:r>
      <w:r w:rsidR="00B86379" w:rsidRPr="001F1399">
        <w:rPr>
          <w:rFonts w:ascii="Book Antiqua" w:hAnsi="Book Antiqua" w:cs="Calibri"/>
          <w:sz w:val="24"/>
          <w:szCs w:val="24"/>
          <w:lang w:val="en-US"/>
        </w:rPr>
        <w:t xml:space="preserve">cephate </w:t>
      </w:r>
      <w:r w:rsidR="003E11D0" w:rsidRPr="001F1399">
        <w:rPr>
          <w:rFonts w:ascii="Book Antiqua" w:hAnsi="Book Antiqua" w:cs="Calibri"/>
          <w:sz w:val="24"/>
          <w:szCs w:val="24"/>
          <w:lang w:val="en-US"/>
        </w:rPr>
        <w:t>i</w:t>
      </w:r>
      <w:r w:rsidR="00B86379" w:rsidRPr="001F1399">
        <w:rPr>
          <w:rFonts w:ascii="Book Antiqua" w:hAnsi="Book Antiqua" w:cs="Calibri"/>
          <w:sz w:val="24"/>
          <w:szCs w:val="24"/>
          <w:lang w:val="en-US"/>
        </w:rPr>
        <w:t>s a pesticide that targets insects</w:t>
      </w:r>
      <w:r w:rsidR="003E11D0" w:rsidRPr="001F1399">
        <w:rPr>
          <w:rFonts w:ascii="Book Antiqua" w:hAnsi="Book Antiqua" w:cs="Calibri"/>
          <w:sz w:val="24"/>
          <w:szCs w:val="24"/>
          <w:lang w:val="en-US"/>
        </w:rPr>
        <w:t xml:space="preserve"> which also belongs to the organochlorines</w:t>
      </w:r>
      <w:r w:rsidR="00B86379" w:rsidRPr="001F1399">
        <w:rPr>
          <w:rFonts w:ascii="Book Antiqua" w:hAnsi="Book Antiqua" w:cs="Calibri"/>
          <w:sz w:val="24"/>
          <w:szCs w:val="24"/>
          <w:lang w:val="en-US"/>
        </w:rPr>
        <w:t>. As for CPF, a Wistar rat animal model suggests that acephate exposure during pregnancy and lactation causes alterations in maternal glucose metabolism and programs the offspring to be susceptible to type 2 diabetes at adulthood</w:t>
      </w:r>
      <w:r w:rsidR="00B23E29" w:rsidRPr="001F1399">
        <w:rPr>
          <w:rFonts w:ascii="Book Antiqua" w:hAnsi="Book Antiqua"/>
          <w:sz w:val="24"/>
          <w:szCs w:val="24"/>
        </w:rPr>
        <w:fldChar w:fldCharType="begin" w:fldLock="1"/>
      </w:r>
      <w:r w:rsidR="00B1214D" w:rsidRPr="001F1399">
        <w:rPr>
          <w:rFonts w:ascii="Book Antiqua" w:hAnsi="Book Antiqua" w:cs="Calibri"/>
          <w:sz w:val="24"/>
          <w:szCs w:val="24"/>
          <w:lang w:val="en-US"/>
        </w:rPr>
        <w:instrText>ADDIN CSL_CITATION {"citationItems":[{"id":"ITEM-1","itemData":{"DOI":"10.1016/j.tox.2016.10.010","ISSN":"0300483X","PMID":"27765684","author":[{"dropping-particle":"","family":"Ribeiro","given":"Tatiane Aparecida","non-dropping-particle":"","parse-names":false,"suffix":""},{"dropping-particle":"","family":"Prates","given":"Kelly Valério","non-dropping-particle":"","parse-names":false,"suffix":""},{"dropping-particle":"","family":"Pavanello","given":"Audrei","non-dropping-particle":"","parse-names":false,"suffix":""},{"dropping-particle":"","family":"Malta","given":"Ananda","non-dropping-particle":"","parse-names":false,"suffix":""},{"dropping-particle":"","family":"Tófolo","given":"Laize Peron","non-dropping-particle":"","parse-names":false,"suffix":""},{"dropping-particle":"","family":"Martins","given":"Isabela Peixoto","non-dropping-particle":"","parse-names":false,"suffix":""},{"dropping-particle":"de","family":"Oliveira","given":"Júlio Cezar","non-dropping-particle":"","parse-names":false,"suffix":""},{"dropping-particle":"","family":"Miranda","given":"Rosiane Aparecida","non-dropping-particle":"","parse-names":false,"suffix":""},{"dropping-particle":"","family":"Gomes","given":"Rodrigo Mello","non-dropping-particle":"","parse-names":false,"suffix":""},{"dropping-particle":"","family":"Vieira","given":"Elaine","non-dropping-particle":"","parse-names":false,"suffix":""},{"dropping-particle":"","family":"Franco","given":"Claudinéia Conationi da Silva","non-dropping-particle":"","parse-names":false,"suffix":""},{"dropping-particle":"","family":"Barella","given":"Luiz Felipe","non-dropping-particle":"","parse-names":false,"suffix":""},{"dropping-particle":"","family":"Francisco","given":"Flávio Andrade","non-dropping-particle":"","parse-names":false,"suffix":""},{"dropping-particle":"","family":"Alves","given":"Vander Silva","non-dropping-particle":"","parse-names":false,"suffix":""},{"dropping-particle":"","family":"Silveira","given":"Sandra da Silva","non-dropping-particle":"","parse-names":false,"suffix":""},{"dropping-particle":"","family":"Moreira","given":"Veridiana Mota","non-dropping-particle":"","parse-names":false,"suffix":""},{"dropping-particle":"","family":"Fabricio","given":"Gabriel Sergio","non-dropping-particle":"","parse-names":false,"suffix":""},{"dropping-particle":"","family":"Palma-Rigo","given":"Kesia","non-dropping-particle":"","parse-names":false,"suffix":""},{"dropping-particle":"","family":"Sloboda","given":"Deborah M.","non-dropping-particle":"","parse-names":false,"suffix":""},{"dropping-particle":"","family":"Mathias","given":"Paulo Cezar de Freitas","non-dropping-particle":"","parse-names":false,"suffix":""}],"container-title":"Toxicology","id":"ITEM-1","issued":{"date-parts":[["2016","11"]]},"page":"12-21","title":"Acephate exposure during a perinatal life program to type 2 diabetes","type":"article-journal","volume":"372"},"uris":["http://www.mendeley.com/documents/?uuid=01d6ac78-5a21-4bad-81f8-4a6fdff163a3"]}],"mendeley":{"formattedCitation":"&lt;sup&gt;[91]&lt;/sup&gt;","plainTextFormattedCitation":"[91]","previouslyFormattedCitation":"&lt;sup&gt;[90]&lt;/sup&gt;"},"properties":{"noteIndex":0},"schema":"https://github.com/citation-style-language/schema/raw/master/csl-citation.json"}</w:instrText>
      </w:r>
      <w:r w:rsidR="00B23E29" w:rsidRPr="001F1399">
        <w:rPr>
          <w:rFonts w:ascii="Book Antiqua" w:hAnsi="Book Antiqua" w:cs="Calibri"/>
          <w:sz w:val="24"/>
          <w:szCs w:val="24"/>
          <w:lang w:val="en-US"/>
        </w:rPr>
        <w:fldChar w:fldCharType="separate"/>
      </w:r>
      <w:r w:rsidR="00B1214D" w:rsidRPr="001F1399">
        <w:rPr>
          <w:rFonts w:ascii="Book Antiqua" w:hAnsi="Book Antiqua" w:cs="Calibri"/>
          <w:noProof/>
          <w:sz w:val="24"/>
          <w:szCs w:val="24"/>
          <w:vertAlign w:val="superscript"/>
          <w:lang w:val="en-US"/>
        </w:rPr>
        <w:t>[91]</w:t>
      </w:r>
      <w:r w:rsidR="00B23E29" w:rsidRPr="001F1399">
        <w:rPr>
          <w:rFonts w:ascii="Book Antiqua" w:hAnsi="Book Antiqua"/>
          <w:sz w:val="24"/>
          <w:szCs w:val="24"/>
        </w:rPr>
        <w:fldChar w:fldCharType="end"/>
      </w:r>
      <w:r w:rsidR="00B86379" w:rsidRPr="001F1399">
        <w:rPr>
          <w:rFonts w:ascii="Book Antiqua" w:hAnsi="Book Antiqua" w:cs="Calibri"/>
          <w:sz w:val="24"/>
          <w:szCs w:val="24"/>
          <w:lang w:val="en-US"/>
        </w:rPr>
        <w:t xml:space="preserve">. </w:t>
      </w:r>
    </w:p>
    <w:p w14:paraId="1840FE05" w14:textId="20C3FB79" w:rsidR="0051331C" w:rsidRPr="001F1399" w:rsidRDefault="00B86379" w:rsidP="002974FA">
      <w:pPr>
        <w:autoSpaceDE w:val="0"/>
        <w:autoSpaceDN w:val="0"/>
        <w:adjustRightInd w:val="0"/>
        <w:snapToGrid w:val="0"/>
        <w:spacing w:after="0" w:line="360" w:lineRule="auto"/>
        <w:ind w:firstLineChars="100" w:firstLine="240"/>
        <w:jc w:val="both"/>
        <w:rPr>
          <w:rFonts w:ascii="Book Antiqua" w:hAnsi="Book Antiqua" w:cs="Calibri"/>
          <w:sz w:val="24"/>
          <w:szCs w:val="24"/>
          <w:lang w:val="en-US"/>
        </w:rPr>
      </w:pPr>
      <w:r w:rsidRPr="001F1399">
        <w:rPr>
          <w:rFonts w:ascii="Book Antiqua" w:hAnsi="Book Antiqua" w:cs="Calibri"/>
          <w:sz w:val="24"/>
          <w:szCs w:val="24"/>
          <w:lang w:val="en-US"/>
        </w:rPr>
        <w:t xml:space="preserve">Organochlorine pesticides (OCPs) are environmental contaminants that persist in the environment and bioaccumulate through the food chain in humans and animals. The results from Yamazaki </w:t>
      </w:r>
      <w:r w:rsidR="005D5A36" w:rsidRPr="001F1399">
        <w:rPr>
          <w:rFonts w:ascii="Book Antiqua" w:hAnsi="Book Antiqua" w:cs="Calibri"/>
          <w:i/>
          <w:iCs/>
          <w:sz w:val="24"/>
          <w:szCs w:val="24"/>
          <w:lang w:val="en-US"/>
        </w:rPr>
        <w:t>et al</w:t>
      </w:r>
      <w:r w:rsidR="005D5A36" w:rsidRPr="001F1399">
        <w:rPr>
          <w:rFonts w:ascii="Book Antiqua" w:hAnsi="Book Antiqua" w:cs="Calibri"/>
          <w:sz w:val="24"/>
          <w:szCs w:val="24"/>
          <w:lang w:val="en-US"/>
        </w:rPr>
        <w:fldChar w:fldCharType="begin" w:fldLock="1"/>
      </w:r>
      <w:r w:rsidR="00B1214D" w:rsidRPr="001F1399">
        <w:rPr>
          <w:rFonts w:ascii="Book Antiqua" w:hAnsi="Book Antiqua" w:cs="Calibri"/>
          <w:sz w:val="24"/>
          <w:szCs w:val="24"/>
          <w:lang w:val="en-US"/>
        </w:rPr>
        <w:instrText>ADDIN CSL_CITATION {"citationItems":[{"id":"ITEM-1","itemData":{"DOI":"10.1016/j.neuro.2017.11.011","ISSN":"0161813X","PMID":"29203293","author":[{"dropping-particle":"","family":"Yamazaki","given":"Keiko","non-dropping-particle":"","parse-names":false,"suffix":""},{"dropping-particle":"","family":"Araki","given":"Atsuko","non-dropping-particle":"","parse-names":false,"suffix":""},{"dropping-particle":"","family":"Nakajima","given":"Sonomi","non-dropping-particle":"","parse-names":false,"suffix":""},{"dropping-particle":"","family":"Miyashita","given":"Chihiro","non-dropping-particle":"","parse-names":false,"suffix":""},{"dropping-particle":"","family":"Ikeno","given":"Tamiko","non-dropping-particle":"","parse-names":false,"suffix":""},{"dropping-particle":"","family":"Itoh","given":"Sachiko","non-dropping-particle":"","parse-names":false,"suffix":""},{"dropping-particle":"","family":"Minatoya","given":"Machiko","non-dropping-particle":"","parse-names":false,"suffix":""},{"dropping-particle":"","family":"Kobayashi","given":"Sumitaka","non-dropping-particle":"","parse-names":false,"suffix":""},{"dropping-particle":"","family":"Mizutani","given":"Futoshi","non-dropping-particle":"","parse-names":false,"suffix":""},{"dropping-particle":"","family":"Chisaki","given":"Yoichi","non-dropping-particle":"","parse-names":false,"suffix":""},{"dropping-particle":"","family":"Kishi","given":"Reiko","non-dropping-particle":"","parse-names":false,"suffix":""}],"container-title":"NeuroToxicology","id":"ITEM-1","issued":{"date-parts":[["2018","12"]]},"page":"201-208","title":"Association between prenatal exposure to organochlorine pesticides and the mental and psychomotor development of infants at ages 6 and 18 months: The Hokkaido Study on Environment and Children’s Health","type":"article-journal","volume":"69"},"uris":["http://www.mendeley.com/documents/?uuid=13af2dde-f165-45ae-add5-db3f40b3ea58"]}],"mendeley":{"formattedCitation":"&lt;sup&gt;[92]&lt;/sup&gt;","plainTextFormattedCitation":"[92]","previouslyFormattedCitation":"&lt;sup&gt;[91]&lt;/sup&gt;"},"properties":{"noteIndex":0},"schema":"https://github.com/citation-style-language/schema/raw/master/csl-citation.json"}</w:instrText>
      </w:r>
      <w:r w:rsidR="005D5A36" w:rsidRPr="001F1399">
        <w:rPr>
          <w:rFonts w:ascii="Book Antiqua" w:hAnsi="Book Antiqua" w:cs="Calibri"/>
          <w:sz w:val="24"/>
          <w:szCs w:val="24"/>
          <w:lang w:val="en-US"/>
        </w:rPr>
        <w:fldChar w:fldCharType="separate"/>
      </w:r>
      <w:r w:rsidR="00B1214D" w:rsidRPr="001F1399">
        <w:rPr>
          <w:rFonts w:ascii="Book Antiqua" w:hAnsi="Book Antiqua" w:cs="Calibri"/>
          <w:noProof/>
          <w:sz w:val="24"/>
          <w:szCs w:val="24"/>
          <w:vertAlign w:val="superscript"/>
          <w:lang w:val="en-US"/>
        </w:rPr>
        <w:t>[92]</w:t>
      </w:r>
      <w:r w:rsidR="005D5A36" w:rsidRPr="001F1399">
        <w:rPr>
          <w:rFonts w:ascii="Book Antiqua" w:hAnsi="Book Antiqua" w:cs="Calibri"/>
          <w:sz w:val="24"/>
          <w:szCs w:val="24"/>
          <w:lang w:val="en-US"/>
        </w:rPr>
        <w:fldChar w:fldCharType="end"/>
      </w:r>
      <w:r w:rsidRPr="001F1399">
        <w:rPr>
          <w:rFonts w:ascii="Book Antiqua" w:hAnsi="Book Antiqua" w:cs="Calibri"/>
          <w:sz w:val="24"/>
          <w:szCs w:val="24"/>
          <w:lang w:val="en-US"/>
        </w:rPr>
        <w:t xml:space="preserve"> support the hypothesis that prenatal exposure to OCPs, especially cis-heptachlor epoxide, may have an adverse effect on the neurodevelopment of infants at specific ages, even at low levels. Chlordecone is a persistent </w:t>
      </w:r>
      <w:r w:rsidR="00322E8A" w:rsidRPr="001F1399">
        <w:rPr>
          <w:rFonts w:ascii="Book Antiqua" w:hAnsi="Book Antiqua" w:cs="Calibri"/>
          <w:sz w:val="24"/>
          <w:szCs w:val="24"/>
          <w:lang w:val="en-US"/>
        </w:rPr>
        <w:t>OCP</w:t>
      </w:r>
      <w:r w:rsidRPr="001F1399">
        <w:rPr>
          <w:rFonts w:ascii="Book Antiqua" w:hAnsi="Book Antiqua" w:cs="Calibri"/>
          <w:sz w:val="24"/>
          <w:szCs w:val="24"/>
          <w:lang w:val="en-US"/>
        </w:rPr>
        <w:t xml:space="preserve"> that was used in the French West Indies until the early 1990s for banana weevil borer control. In a prospective longitudinal study conducted in Guadeloupe (Timoun mother-child cohort study), exposure to chlordecone was measured at birth from an umbilical cord blood sample and from a breast milk sample collected at 3 mo postpartum. The results </w:t>
      </w:r>
      <w:r w:rsidRPr="001F1399">
        <w:rPr>
          <w:rFonts w:ascii="Book Antiqua" w:hAnsi="Book Antiqua" w:cs="Calibri"/>
          <w:sz w:val="24"/>
          <w:szCs w:val="24"/>
          <w:lang w:val="en-US"/>
        </w:rPr>
        <w:lastRenderedPageBreak/>
        <w:t xml:space="preserve">suggest that prenatal exposure to chlordecone is associated with specific impairments in fine motor function in boys, and add to the growing evidence that exposure to </w:t>
      </w:r>
      <w:r w:rsidR="00322E8A" w:rsidRPr="001F1399">
        <w:rPr>
          <w:rFonts w:ascii="Book Antiqua" w:hAnsi="Book Antiqua" w:cs="Calibri"/>
          <w:sz w:val="24"/>
          <w:szCs w:val="24"/>
          <w:lang w:val="en-US"/>
        </w:rPr>
        <w:t>OCP</w:t>
      </w:r>
      <w:r w:rsidRPr="001F1399">
        <w:rPr>
          <w:rFonts w:ascii="Book Antiqua" w:hAnsi="Book Antiqua" w:cs="Calibri"/>
          <w:sz w:val="24"/>
          <w:szCs w:val="24"/>
          <w:lang w:val="en-US"/>
        </w:rPr>
        <w:t>s early in life impairs child development</w:t>
      </w:r>
      <w:r w:rsidR="00B23E29" w:rsidRPr="001F1399">
        <w:rPr>
          <w:rFonts w:ascii="Book Antiqua" w:hAnsi="Book Antiqua" w:cs="Calibri"/>
          <w:sz w:val="24"/>
          <w:szCs w:val="24"/>
          <w:lang w:val="en-US"/>
        </w:rPr>
        <w:fldChar w:fldCharType="begin" w:fldLock="1"/>
      </w:r>
      <w:r w:rsidR="00B1214D" w:rsidRPr="001F1399">
        <w:rPr>
          <w:rFonts w:ascii="Book Antiqua" w:hAnsi="Book Antiqua" w:cs="Calibri"/>
          <w:sz w:val="24"/>
          <w:szCs w:val="24"/>
          <w:lang w:val="en-US"/>
        </w:rPr>
        <w:instrText>ADDIN CSL_CITATION {"citationItems":[{"id":"ITEM-1","itemData":{"DOI":"10.1016/j.neuro.2013.01.007","ISSN":"0161813X","PMID":"23376090","author":[{"dropping-particle":"","family":"Boucher","given":"Olivier","non-dropping-particle":"","parse-names":false,"suffix":""},{"dropping-particle":"","family":"Simard","given":"Marie-Noëlle","non-dropping-particle":"","parse-names":false,"suffix":""},{"dropping-particle":"","family":"Muckle","given":"Gina","non-dropping-particle":"","parse-names":false,"suffix":""},{"dropping-particle":"","family":"Rouget","given":"Florence","non-dropping-particle":"","parse-names":false,"suffix":""},{"dropping-particle":"","family":"Kadhel","given":"Philippe","non-dropping-particle":"","parse-names":false,"suffix":""},{"dropping-particle":"","family":"Bataille","given":"Henri","non-dropping-particle":"","parse-names":false,"suffix":""},{"dropping-particle":"","family":"Chajès","given":"Véronique","non-dropping-particle":"","parse-names":false,"suffix":""},{"dropping-particle":"","family":"Dallaire","given":"Renée","non-dropping-particle":"","parse-names":false,"suffix":""},{"dropping-particle":"","family":"Monfort","given":"Christine","non-dropping-particle":"","parse-names":false,"suffix":""},{"dropping-particle":"","family":"Thomé","given":"Jean-Pierre","non-dropping-particle":"","parse-names":false,"suffix":""},{"dropping-particle":"","family":"Multigner","given":"Luc","non-dropping-particle":"","parse-names":false,"suffix":""},{"dropping-particle":"","family":"Cordier","given":"Sylvaine","non-dropping-particle":"","parse-names":false,"suffix":""}],"container-title":"NeuroToxicology","id":"ITEM-1","issued":{"date-parts":[["2013","3"]]},"page":"162-168","title":"Exposure to an organochlorine pesticide (chlordecone) and development of 18-month-old infants","type":"article-journal","volume":"35"},"uris":["http://www.mendeley.com/documents/?uuid=aecefd17-bff9-436b-9c83-6d39f42320a1"]}],"mendeley":{"formattedCitation":"&lt;sup&gt;[93]&lt;/sup&gt;","plainTextFormattedCitation":"[93]","previouslyFormattedCitation":"&lt;sup&gt;[92]&lt;/sup&gt;"},"properties":{"noteIndex":0},"schema":"https://github.com/citation-style-language/schema/raw/master/csl-citation.json"}</w:instrText>
      </w:r>
      <w:r w:rsidR="00B23E29" w:rsidRPr="001F1399">
        <w:rPr>
          <w:rFonts w:ascii="Book Antiqua" w:hAnsi="Book Antiqua" w:cs="Calibri"/>
          <w:sz w:val="24"/>
          <w:szCs w:val="24"/>
          <w:lang w:val="en-US"/>
        </w:rPr>
        <w:fldChar w:fldCharType="separate"/>
      </w:r>
      <w:r w:rsidR="00B1214D" w:rsidRPr="001F1399">
        <w:rPr>
          <w:rFonts w:ascii="Book Antiqua" w:hAnsi="Book Antiqua" w:cs="Calibri"/>
          <w:noProof/>
          <w:sz w:val="24"/>
          <w:szCs w:val="24"/>
          <w:vertAlign w:val="superscript"/>
          <w:lang w:val="en-US"/>
        </w:rPr>
        <w:t>[93]</w:t>
      </w:r>
      <w:r w:rsidR="00B23E29" w:rsidRPr="001F1399">
        <w:rPr>
          <w:rFonts w:ascii="Book Antiqua" w:hAnsi="Book Antiqua" w:cs="Calibri"/>
          <w:sz w:val="24"/>
          <w:szCs w:val="24"/>
          <w:lang w:val="en-US"/>
        </w:rPr>
        <w:fldChar w:fldCharType="end"/>
      </w:r>
      <w:r w:rsidRPr="001F1399">
        <w:rPr>
          <w:rFonts w:ascii="Book Antiqua" w:hAnsi="Book Antiqua" w:cs="Calibri"/>
          <w:sz w:val="24"/>
          <w:szCs w:val="24"/>
          <w:lang w:val="en-US"/>
        </w:rPr>
        <w:t>. Similarly, in the same birth cohort Timoun in Guadeloupe,</w:t>
      </w:r>
      <w:r w:rsidR="0002377E" w:rsidRPr="001F1399">
        <w:rPr>
          <w:rFonts w:ascii="Book Antiqua" w:hAnsi="Book Antiqua" w:cs="Calibri"/>
          <w:sz w:val="24"/>
          <w:szCs w:val="24"/>
          <w:lang w:val="en-US"/>
        </w:rPr>
        <w:t xml:space="preserve"> another</w:t>
      </w:r>
      <w:r w:rsidRPr="001F1399">
        <w:rPr>
          <w:rFonts w:ascii="Book Antiqua" w:hAnsi="Book Antiqua" w:cs="Calibri"/>
          <w:sz w:val="24"/>
          <w:szCs w:val="24"/>
          <w:lang w:val="en-US"/>
        </w:rPr>
        <w:t xml:space="preserve"> objective of the study was to examine the association between prenatal exposure to chlordecone and fetal growth measured by birth weight</w:t>
      </w:r>
      <w:r w:rsidR="0002377E" w:rsidRPr="001F1399">
        <w:rPr>
          <w:rFonts w:ascii="Book Antiqua" w:hAnsi="Book Antiqua" w:cs="Calibri"/>
          <w:sz w:val="24"/>
          <w:szCs w:val="24"/>
          <w:lang w:val="en-US"/>
        </w:rPr>
        <w:fldChar w:fldCharType="begin" w:fldLock="1"/>
      </w:r>
      <w:r w:rsidR="00B1214D" w:rsidRPr="001F1399">
        <w:rPr>
          <w:rFonts w:ascii="Book Antiqua" w:hAnsi="Book Antiqua" w:cs="Calibri"/>
          <w:sz w:val="24"/>
          <w:szCs w:val="24"/>
          <w:lang w:val="en-US"/>
        </w:rPr>
        <w:instrText>ADDIN CSL_CITATION {"citationItems":[{"id":"ITEM-1","itemData":{"DOI":"10.1016/j.envres.2016.08.004","ISSN":"00139351","PMID":"27560981","author":[{"dropping-particle":"","family":"Hervé","given":"David","non-dropping-particle":"","parse-names":false,"suffix":""},{"dropping-particle":"","family":"Costet","given":"Nathalie","non-dropping-particle":"","parse-names":false,"suffix":""},{"dropping-particle":"","family":"Kadhel","given":"Philippe","non-dropping-particle":"","parse-names":false,"suffix":""},{"dropping-particle":"","family":"Rouget","given":"Florence","non-dropping-particle":"","parse-names":false,"suffix":""},{"dropping-particle":"","family":"Monfort","given":"Christine","non-dropping-particle":"","parse-names":false,"suffix":""},{"dropping-particle":"","family":"Thomé","given":"Jean-Pierre","non-dropping-particle":"","parse-names":false,"suffix":""},{"dropping-particle":"","family":"Multigner","given":"Luc","non-dropping-particle":"","parse-names":false,"suffix":""},{"dropping-particle":"","family":"Cordier","given":"Sylvaine","non-dropping-particle":"","parse-names":false,"suffix":""}],"container-title":"Environmental Research","id":"ITEM-1","issued":{"date-parts":[["2016","11"]]},"page":"436-444","title":"Prenatal exposure to chlordecone, gestational weight gain, and birth weight in a Guadeloupean birth cohort","type":"article-journal","volume":"151"},"uris":["http://www.mendeley.com/documents/?uuid=144a5253-568d-4017-a483-610ec574d948"]}],"mendeley":{"formattedCitation":"&lt;sup&gt;[94]&lt;/sup&gt;","plainTextFormattedCitation":"[94]","previouslyFormattedCitation":"&lt;sup&gt;[93]&lt;/sup&gt;"},"properties":{"noteIndex":0},"schema":"https://github.com/citation-style-language/schema/raw/master/csl-citation.json"}</w:instrText>
      </w:r>
      <w:r w:rsidR="0002377E" w:rsidRPr="001F1399">
        <w:rPr>
          <w:rFonts w:ascii="Book Antiqua" w:hAnsi="Book Antiqua" w:cs="Calibri"/>
          <w:sz w:val="24"/>
          <w:szCs w:val="24"/>
          <w:lang w:val="en-US"/>
        </w:rPr>
        <w:fldChar w:fldCharType="separate"/>
      </w:r>
      <w:r w:rsidR="00B1214D" w:rsidRPr="001F1399">
        <w:rPr>
          <w:rFonts w:ascii="Book Antiqua" w:hAnsi="Book Antiqua" w:cs="Calibri"/>
          <w:noProof/>
          <w:sz w:val="24"/>
          <w:szCs w:val="24"/>
          <w:vertAlign w:val="superscript"/>
          <w:lang w:val="en-US"/>
        </w:rPr>
        <w:t>[94]</w:t>
      </w:r>
      <w:r w:rsidR="0002377E" w:rsidRPr="001F1399">
        <w:rPr>
          <w:rFonts w:ascii="Book Antiqua" w:hAnsi="Book Antiqua" w:cs="Calibri"/>
          <w:sz w:val="24"/>
          <w:szCs w:val="24"/>
          <w:lang w:val="en-US"/>
        </w:rPr>
        <w:fldChar w:fldCharType="end"/>
      </w:r>
      <w:r w:rsidRPr="001F1399">
        <w:rPr>
          <w:rFonts w:ascii="Book Antiqua" w:hAnsi="Book Antiqua" w:cs="Calibri"/>
          <w:sz w:val="24"/>
          <w:szCs w:val="24"/>
          <w:lang w:val="en-US"/>
        </w:rPr>
        <w:t>. They found a significant U-shaped association between birth weight and chlordecone exposure, within the upper quartiles of gestational weight gain or excessive gestational weight gain. Chlordecone exposure may affect fetal growth, particularly when excessive gestational weight gain is present. Other pesticides</w:t>
      </w:r>
      <w:r w:rsidR="00F17FDF" w:rsidRPr="001F1399">
        <w:rPr>
          <w:rFonts w:ascii="Book Antiqua" w:hAnsi="Book Antiqua" w:cs="Calibri"/>
          <w:sz w:val="24"/>
          <w:szCs w:val="24"/>
          <w:lang w:val="en-US"/>
        </w:rPr>
        <w:t xml:space="preserve"> such</w:t>
      </w:r>
      <w:r w:rsidRPr="001F1399">
        <w:rPr>
          <w:rFonts w:ascii="Book Antiqua" w:hAnsi="Book Antiqua" w:cs="Calibri"/>
          <w:sz w:val="24"/>
          <w:szCs w:val="24"/>
          <w:lang w:val="en-US"/>
        </w:rPr>
        <w:t xml:space="preserve"> as dichlorodiphenyltrichloroethane</w:t>
      </w:r>
      <w:r w:rsidR="005D5A36" w:rsidRPr="001F1399">
        <w:rPr>
          <w:rFonts w:ascii="Book Antiqua" w:hAnsi="Book Antiqua" w:cs="Calibri"/>
          <w:sz w:val="24"/>
          <w:szCs w:val="24"/>
          <w:lang w:val="en-US"/>
        </w:rPr>
        <w:t xml:space="preserve"> </w:t>
      </w:r>
      <w:r w:rsidRPr="001F1399">
        <w:rPr>
          <w:rFonts w:ascii="Book Antiqua" w:hAnsi="Book Antiqua" w:cs="Calibri"/>
          <w:sz w:val="24"/>
          <w:szCs w:val="24"/>
          <w:lang w:val="en-US"/>
        </w:rPr>
        <w:t>and its highly toxic metabolite dichloro</w:t>
      </w:r>
      <w:r w:rsidR="006E7427" w:rsidRPr="001F1399">
        <w:rPr>
          <w:rFonts w:ascii="Book Antiqua" w:hAnsi="Book Antiqua" w:cs="Calibri"/>
          <w:sz w:val="24"/>
          <w:szCs w:val="24"/>
          <w:lang w:val="en-US"/>
        </w:rPr>
        <w:t>-</w:t>
      </w:r>
      <w:r w:rsidRPr="001F1399">
        <w:rPr>
          <w:rFonts w:ascii="Book Antiqua" w:hAnsi="Book Antiqua" w:cs="Calibri"/>
          <w:sz w:val="24"/>
          <w:szCs w:val="24"/>
          <w:lang w:val="en-US"/>
        </w:rPr>
        <w:t>diphenyl</w:t>
      </w:r>
      <w:r w:rsidR="006E7427" w:rsidRPr="001F1399">
        <w:rPr>
          <w:rFonts w:ascii="Book Antiqua" w:hAnsi="Book Antiqua" w:cs="Calibri"/>
          <w:sz w:val="24"/>
          <w:szCs w:val="24"/>
          <w:lang w:val="en-US"/>
        </w:rPr>
        <w:t>-</w:t>
      </w:r>
      <w:r w:rsidRPr="001F1399">
        <w:rPr>
          <w:rFonts w:ascii="Book Antiqua" w:hAnsi="Book Antiqua" w:cs="Calibri"/>
          <w:sz w:val="24"/>
          <w:szCs w:val="24"/>
          <w:lang w:val="en-US"/>
        </w:rPr>
        <w:t xml:space="preserve">dichloroethylene (DDE) are persistent </w:t>
      </w:r>
      <w:r w:rsidR="00322E8A" w:rsidRPr="001F1399">
        <w:rPr>
          <w:rFonts w:ascii="Book Antiqua" w:hAnsi="Book Antiqua" w:cs="Calibri"/>
          <w:sz w:val="24"/>
          <w:szCs w:val="24"/>
          <w:lang w:val="en-US"/>
        </w:rPr>
        <w:t>OCP</w:t>
      </w:r>
      <w:r w:rsidRPr="001F1399">
        <w:rPr>
          <w:rFonts w:ascii="Book Antiqua" w:hAnsi="Book Antiqua" w:cs="Calibri"/>
          <w:sz w:val="24"/>
          <w:szCs w:val="24"/>
          <w:lang w:val="en-US"/>
        </w:rPr>
        <w:t xml:space="preserve">s which are lipophilic environmental pollutants that accumulate in the food chain. These chemicals have recently been under scrutiny for their possible health hazards such as cancer and reproductive outcomes including low birth weight. The study from Khanjani </w:t>
      </w:r>
      <w:r w:rsidR="003F4907" w:rsidRPr="001F1399">
        <w:rPr>
          <w:rFonts w:ascii="Book Antiqua" w:hAnsi="Book Antiqua" w:cs="Calibri"/>
          <w:i/>
          <w:iCs/>
          <w:sz w:val="24"/>
          <w:szCs w:val="24"/>
          <w:lang w:val="en-US"/>
        </w:rPr>
        <w:t>et al</w:t>
      </w:r>
      <w:r w:rsidR="003F4907" w:rsidRPr="001F1399">
        <w:rPr>
          <w:rFonts w:ascii="Book Antiqua" w:hAnsi="Book Antiqua" w:cs="Calibri"/>
          <w:sz w:val="24"/>
          <w:szCs w:val="24"/>
          <w:lang w:val="en-US"/>
        </w:rPr>
        <w:fldChar w:fldCharType="begin" w:fldLock="1"/>
      </w:r>
      <w:r w:rsidR="00B1214D" w:rsidRPr="001F1399">
        <w:rPr>
          <w:rFonts w:ascii="Book Antiqua" w:hAnsi="Book Antiqua" w:cs="Calibri"/>
          <w:sz w:val="24"/>
          <w:szCs w:val="24"/>
          <w:lang w:val="en-US"/>
        </w:rPr>
        <w:instrText>ADDIN CSL_CITATION {"citationItems":[{"id":"ITEM-1","itemData":{"DOI":"10.1016/j.envres.2005.10.003","ISSN":"00139351","PMID":"16360142","abstract":"Persistent organochlorine pesticides, such as dichlorodiphenyltrichloroethane (DDT), are lipophilic environmental pollutants which accumulate in the food chain. These chemicals have long half-lives and can be detected in human milk, serum, and some other tissues. These chemicals have recently been under scrutiny for their possible health hazards such as cancer and reproductive outcomes including low birth weight. The aim of our study was to investigate whether mothers with a higher contamination of pesticides were different from mothers with low contamination in relation to their offspring's birth outcomes such as birth weight, small for gestation age, prematurity, head circumference, sex ratio, and previous miscarriage or still birth. We used data collected as part of a cross-sectional study of organochlorines in breast milk. This study did not show any association between low birth weight or small for gestation age and organochlorine contamination when comparing the higher to the low exposure group. Weak, significant correlations (-0.1) were detected between low birth weight and contamination levels of dichlorodiphenyldichloroethylene (DDE) only in female offspring. There was a decrease in the percentage of female offspring for all chemicals in the high-contamination group. The baby's head circumference increased as the mother's contamination increased but the adjusted difference in means was not significant. We did not see any association between either miscarriage or stillbirth in the mother's previous pregnancies or prematurity of the first live (recent) baby when comparing the higher to the low exposure mothers. The organochlorines DDT and DDE were not found to be associated with adverse birth outcomes in contaminated mothers in the range of contamination of our population (&lt;7.5 mg/kg lipid in maternal milk), although there is weak evidence that sex ratio may be affected.","author":[{"dropping-particle":"","family":"Khanjani","given":"N.","non-dropping-particle":"","parse-names":false,"suffix":""},{"dropping-particle":"","family":"Sim","given":"M.R.","non-dropping-particle":"","parse-names":false,"suffix":""}],"container-title":"Environmental Research","id":"ITEM-1","issue":"3","issued":{"date-parts":[["2006","7"]]},"page":"373-379","title":"Maternal contamination with dichlorodiphenyltrichloroethane and reproductive outcomes in an Australian population","type":"article-journal","volume":"101"},"uris":["http://www.mendeley.com/documents/?uuid=4b9ec219-184c-4cf2-b3c0-0741e70e28d0"]}],"mendeley":{"formattedCitation":"&lt;sup&gt;[95]&lt;/sup&gt;","plainTextFormattedCitation":"[95]","previouslyFormattedCitation":"&lt;sup&gt;[94]&lt;/sup&gt;"},"properties":{"noteIndex":0},"schema":"https://github.com/citation-style-language/schema/raw/master/csl-citation.json"}</w:instrText>
      </w:r>
      <w:r w:rsidR="003F4907" w:rsidRPr="001F1399">
        <w:rPr>
          <w:rFonts w:ascii="Book Antiqua" w:hAnsi="Book Antiqua" w:cs="Calibri"/>
          <w:sz w:val="24"/>
          <w:szCs w:val="24"/>
          <w:lang w:val="en-US"/>
        </w:rPr>
        <w:fldChar w:fldCharType="separate"/>
      </w:r>
      <w:r w:rsidR="00B1214D" w:rsidRPr="001F1399">
        <w:rPr>
          <w:rFonts w:ascii="Book Antiqua" w:hAnsi="Book Antiqua" w:cs="Calibri"/>
          <w:noProof/>
          <w:sz w:val="24"/>
          <w:szCs w:val="24"/>
          <w:vertAlign w:val="superscript"/>
          <w:lang w:val="en-US"/>
        </w:rPr>
        <w:t>[95]</w:t>
      </w:r>
      <w:r w:rsidR="003F4907" w:rsidRPr="001F1399">
        <w:rPr>
          <w:rFonts w:ascii="Book Antiqua" w:hAnsi="Book Antiqua" w:cs="Calibri"/>
          <w:sz w:val="24"/>
          <w:szCs w:val="24"/>
          <w:lang w:val="en-US"/>
        </w:rPr>
        <w:fldChar w:fldCharType="end"/>
      </w:r>
      <w:r w:rsidRPr="001F1399">
        <w:rPr>
          <w:rFonts w:ascii="Book Antiqua" w:hAnsi="Book Antiqua" w:cs="Calibri"/>
          <w:sz w:val="24"/>
          <w:szCs w:val="24"/>
          <w:lang w:val="en-US"/>
        </w:rPr>
        <w:t xml:space="preserve"> investigated whether mothers with a higher contamination of pesticides were different from mothers with low contamination in relation to their offspring's birth outcomes such as birth weight, small for gestation age, prematurity, head circumference, sex ratio, and previous miscarriage or still birth. In this case, those pesticides were not found to be associated with adverse birth outcomes in contaminated mothers in the range of contamination of our population (&lt;</w:t>
      </w:r>
      <w:r w:rsidR="003F4907" w:rsidRPr="001F1399">
        <w:rPr>
          <w:rFonts w:ascii="Book Antiqua" w:hAnsi="Book Antiqua" w:cs="Calibri"/>
          <w:sz w:val="24"/>
          <w:szCs w:val="24"/>
          <w:lang w:val="en-US"/>
        </w:rPr>
        <w:t xml:space="preserve"> </w:t>
      </w:r>
      <w:r w:rsidRPr="001F1399">
        <w:rPr>
          <w:rFonts w:ascii="Book Antiqua" w:hAnsi="Book Antiqua" w:cs="Calibri"/>
          <w:sz w:val="24"/>
          <w:szCs w:val="24"/>
          <w:lang w:val="en-US"/>
        </w:rPr>
        <w:t>7.5 mg/kg lipid in maternal milk), although there is weak evidence that sex ratio may be affected. Maternal exposure to Great Lakes sport-caught fish contaminated by DDE suggest that fetal DDE exposure (as indicated by maternal serum DDE concentration) may decrease birth weight</w:t>
      </w:r>
      <w:r w:rsidR="007A79C5" w:rsidRPr="001F1399">
        <w:rPr>
          <w:rFonts w:ascii="Book Antiqua" w:hAnsi="Book Antiqua" w:cs="Calibri"/>
          <w:sz w:val="24"/>
          <w:szCs w:val="24"/>
          <w:lang w:val="en-US"/>
        </w:rPr>
        <w:fldChar w:fldCharType="begin" w:fldLock="1"/>
      </w:r>
      <w:r w:rsidR="00B1214D" w:rsidRPr="001F1399">
        <w:rPr>
          <w:rFonts w:ascii="Book Antiqua" w:hAnsi="Book Antiqua" w:cs="Calibri"/>
          <w:sz w:val="24"/>
          <w:szCs w:val="24"/>
          <w:lang w:val="en-US"/>
        </w:rPr>
        <w:instrText>ADDIN CSL_CITATION {"citationItems":[{"id":"ITEM-1","itemData":{"DOI":"10.1016/j.envres.2004.01.014","ISSN":"00139351","PMID":"15533331","abstract":"Along with the wide use of pesticides in the world, the concerns over their health impacts are rapidly growing. There is a huge body of evidence on the relation between exposure to pesticides and elevated rate of chronic diseases such as different types of cancers, diabetes, neurodegenerative disorders like Parkinson, Alzheimer, and amyotrophic lateral sclerosis (ALS), birth defects, and reproductive disorders. There is also circumstantial evidence on the association of exposure to pesticides with some other chronic diseases like respiratory problems, particularly asthma and chronic obstructive pulmonary disease (COPD), cardiovascular disease such as atherosclerosis and coronary artery disease, chronic nephropathies, autoimmune diseases like systemic lupus erythematous and rheumatoid arthritis, chronic fatigue syndrome, and aging. The common feature of chronic disorders is a disturbance in cellular homeostasis, which can be induced via pesticides' primary action like perturbation of ion channels, enzymes, receptors, etc., or can as well be mediated via pathways other than the main mechanism. In this review, we present the highlighted evidence on the association of pesticide's exposure with the incidence of chronic diseases and introduce genetic damages, epigenetic modifications, endocrine disruption, mitochondrial dysfunction, oxidative stress, endoplasmic reticulum stress and unfolded protein response (UPR), impairment of ubiquitin proteasome system, and defective autophagy as the effective mechanisms of action.","author":[{"dropping-particle":"","family":"Weisskopf","given":"Marc G.","non-dropping-particle":"","parse-names":false,"suffix":""},{"dropping-particle":"","family":"Anderson","given":"Henry A.","non-dropping-particle":"","parse-names":false,"suffix":""},{"dropping-particle":"","family":"Hanrahan","given":"Lawrence P.","non-dropping-particle":"","parse-names":false,"suffix":""},{"dropping-particle":"","family":"Kanarek","given":"Marty S.","non-dropping-particle":"","parse-names":false,"suffix":""},{"dropping-particle":"","family":"Falk","given":"Claire M.","non-dropping-particle":"","parse-names":false,"suffix":""},{"dropping-particle":"","family":"Steenport","given":"Dyan M.","non-dropping-particle":"","parse-names":false,"suffix":""},{"dropping-particle":"","family":"Draheim","given":"Laurie A.","non-dropping-particle":"","parse-names":false,"suffix":""}],"container-title":"Environmental Research","id":"ITEM-1","issue":"2","issued":{"date-parts":[["2005","2"]]},"page":"149-162","title":"Maternal exposure to Great Lakes sport-caught fish and dichlorodiphenyl dichloroethylene, but not polychlorinated biphenyls, is associated with reduced birth weight","type":"article-journal","volume":"97"},"uris":["http://www.mendeley.com/documents/?uuid=e4f36ac4-bc57-4813-b2e7-5e06a0ad9b72"]}],"mendeley":{"formattedCitation":"&lt;sup&gt;[96]&lt;/sup&gt;","plainTextFormattedCitation":"[96]","previouslyFormattedCitation":"&lt;sup&gt;[95]&lt;/sup&gt;"},"properties":{"noteIndex":0},"schema":"https://github.com/citation-style-language/schema/raw/master/csl-citation.json"}</w:instrText>
      </w:r>
      <w:r w:rsidR="007A79C5" w:rsidRPr="001F1399">
        <w:rPr>
          <w:rFonts w:ascii="Book Antiqua" w:hAnsi="Book Antiqua" w:cs="Calibri"/>
          <w:sz w:val="24"/>
          <w:szCs w:val="24"/>
          <w:lang w:val="en-US"/>
        </w:rPr>
        <w:fldChar w:fldCharType="separate"/>
      </w:r>
      <w:r w:rsidR="00B1214D" w:rsidRPr="001F1399">
        <w:rPr>
          <w:rFonts w:ascii="Book Antiqua" w:hAnsi="Book Antiqua" w:cs="Calibri"/>
          <w:noProof/>
          <w:sz w:val="24"/>
          <w:szCs w:val="24"/>
          <w:vertAlign w:val="superscript"/>
          <w:lang w:val="en-US"/>
        </w:rPr>
        <w:t>[96]</w:t>
      </w:r>
      <w:r w:rsidR="007A79C5" w:rsidRPr="001F1399">
        <w:rPr>
          <w:rFonts w:ascii="Book Antiqua" w:hAnsi="Book Antiqua" w:cs="Calibri"/>
          <w:sz w:val="24"/>
          <w:szCs w:val="24"/>
          <w:lang w:val="en-US"/>
        </w:rPr>
        <w:fldChar w:fldCharType="end"/>
      </w:r>
      <w:r w:rsidRPr="001F1399">
        <w:rPr>
          <w:rFonts w:ascii="Book Antiqua" w:hAnsi="Book Antiqua" w:cs="Calibri"/>
          <w:sz w:val="24"/>
          <w:szCs w:val="24"/>
          <w:lang w:val="en-US"/>
        </w:rPr>
        <w:t xml:space="preserve">. </w:t>
      </w:r>
    </w:p>
    <w:p w14:paraId="2CFB519D" w14:textId="2832FD67" w:rsidR="0051331C" w:rsidRPr="001F1399" w:rsidRDefault="00B86379" w:rsidP="002974FA">
      <w:pPr>
        <w:pStyle w:val="paragraph"/>
        <w:adjustRightInd w:val="0"/>
        <w:snapToGrid w:val="0"/>
        <w:spacing w:before="0" w:beforeAutospacing="0" w:after="0" w:afterAutospacing="0" w:line="360" w:lineRule="auto"/>
        <w:ind w:firstLineChars="100" w:firstLine="240"/>
        <w:jc w:val="both"/>
        <w:textAlignment w:val="baseline"/>
        <w:rPr>
          <w:rFonts w:ascii="Book Antiqua" w:hAnsi="Book Antiqua" w:cs="Calibri"/>
          <w:lang w:val="en-US"/>
        </w:rPr>
      </w:pPr>
      <w:r w:rsidRPr="001F1399">
        <w:rPr>
          <w:rFonts w:ascii="Book Antiqua" w:hAnsi="Book Antiqua" w:cs="Calibri"/>
          <w:lang w:val="en-US"/>
        </w:rPr>
        <w:t xml:space="preserve">Amitraz is an active plant protection product, which has an antiparasitic effect, and which belongs to the chemical family of formamidines. Kim </w:t>
      </w:r>
      <w:r w:rsidR="005D5A36" w:rsidRPr="001F1399">
        <w:rPr>
          <w:rFonts w:ascii="Book Antiqua" w:hAnsi="Book Antiqua" w:cs="Calibri"/>
          <w:i/>
          <w:iCs/>
          <w:lang w:val="en-US"/>
        </w:rPr>
        <w:t>et al</w:t>
      </w:r>
      <w:r w:rsidR="005D5A36" w:rsidRPr="001F1399">
        <w:rPr>
          <w:rFonts w:ascii="Book Antiqua" w:hAnsi="Book Antiqua" w:cs="Calibri"/>
          <w:lang w:val="en-US"/>
        </w:rPr>
        <w:fldChar w:fldCharType="begin" w:fldLock="1"/>
      </w:r>
      <w:r w:rsidR="00B1214D" w:rsidRPr="001F1399">
        <w:rPr>
          <w:rFonts w:ascii="Book Antiqua" w:hAnsi="Book Antiqua" w:cs="Calibri"/>
          <w:lang w:val="en-US"/>
        </w:rPr>
        <w:instrText>ADDIN CSL_CITATION {"citationItems":[{"id":"ITEM-1","itemData":{"DOI":"10.1007/s00244-006-0021-7","ISSN":"0090-4341","PMID":"17083001","author":[{"dropping-particle":"","family":"Kim","given":"J. C.","non-dropping-particle":"","parse-names":false,"suffix":""},{"dropping-particle":"","family":"Shin","given":"J. Y.","non-dropping-particle":"","parse-names":false,"suffix":""},{"dropping-particle":"","family":"Yang","given":"Y. S.","non-dropping-particle":"","parse-names":false,"suffix":""},{"dropping-particle":"","family":"Shin","given":"D. H.","non-dropping-particle":"","parse-names":false,"suffix":""},{"dropping-particle":"","family":"Moon","given":"C. J.","non-dropping-particle":"","parse-names":false,"suffix":""},{"dropping-particle":"","family":"Kim","given":"S. H.","non-dropping-particle":"","parse-names":false,"suffix":""},{"dropping-particle":"","family":"Park","given":"S. C.","non-dropping-particle":"","parse-names":false,"suffix":""},{"dropping-particle":"","family":"Kim","given":"Y. B.","non-dropping-particle":"","parse-names":false,"suffix":""},{"dropping-particle":"","family":"Kim","given":"H. C.","non-dropping-particle":"","parse-names":false,"suffix":""},{"dropping-particle":"","family":"Chung","given":"M. K.","non-dropping-particle":"","parse-names":false,"suffix":""}],"container-title":"Archives of Environmental Contamination and Toxicology","id":"ITEM-1","issue":"1","issued":{"date-parts":[["2007","1","2"]]},"page":"137-144","title":"Evaluation of Developmental Toxicity of Amitraz in Sprague-Dawley Rats","type":"article-journal","volume":"52"},"uris":["http://www.mendeley.com/documents/?uuid=9bb15ee0-a61a-4e05-92b3-94fca1742967"]}],"mendeley":{"formattedCitation":"&lt;sup&gt;[97]&lt;/sup&gt;","plainTextFormattedCitation":"[97]","previouslyFormattedCitation":"&lt;sup&gt;[96]&lt;/sup&gt;"},"properties":{"noteIndex":0},"schema":"https://github.com/citation-style-language/schema/raw/master/csl-citation.json"}</w:instrText>
      </w:r>
      <w:r w:rsidR="005D5A36" w:rsidRPr="001F1399">
        <w:rPr>
          <w:rFonts w:ascii="Book Antiqua" w:hAnsi="Book Antiqua" w:cs="Calibri"/>
          <w:lang w:val="en-US"/>
        </w:rPr>
        <w:fldChar w:fldCharType="separate"/>
      </w:r>
      <w:r w:rsidR="00B1214D" w:rsidRPr="001F1399">
        <w:rPr>
          <w:rFonts w:ascii="Book Antiqua" w:hAnsi="Book Antiqua" w:cs="Calibri"/>
          <w:noProof/>
          <w:vertAlign w:val="superscript"/>
          <w:lang w:val="en-US"/>
        </w:rPr>
        <w:t>[97]</w:t>
      </w:r>
      <w:r w:rsidR="005D5A36" w:rsidRPr="001F1399">
        <w:rPr>
          <w:rFonts w:ascii="Book Antiqua" w:hAnsi="Book Antiqua" w:cs="Calibri"/>
          <w:lang w:val="en-US"/>
        </w:rPr>
        <w:fldChar w:fldCharType="end"/>
      </w:r>
      <w:r w:rsidRPr="001F1399">
        <w:rPr>
          <w:rFonts w:ascii="Book Antiqua" w:hAnsi="Book Antiqua" w:cs="Calibri"/>
          <w:lang w:val="en-US"/>
        </w:rPr>
        <w:t xml:space="preserve"> investigated the potential adverse effects of amitraz on the initiation and maintenance of pregnancy in Sprague-Dawley rats as well as its effects on embryo-fetal development after maternal exposure during the entire pregnancy period. Amitraz was administered to pregnant rats by gavage from days 1 to 19 of gestation at dose levels of 0, 3, 10, and 30 mg/kg/d. All dams underwent a caesarean section on day 20 of gestation and their fetuses were examined for any external, visceral, and skeletal abnormalities. At 30 mg/kg, maternal </w:t>
      </w:r>
      <w:r w:rsidRPr="001F1399">
        <w:rPr>
          <w:rFonts w:ascii="Book Antiqua" w:hAnsi="Book Antiqua" w:cs="Calibri"/>
          <w:lang w:val="en-US"/>
        </w:rPr>
        <w:lastRenderedPageBreak/>
        <w:t xml:space="preserve">toxicity manifested as an increase in the incidence of abnormal clinical signs and a lower body weight gain and food intake. Developmental toxicity included an increase in the fetal death rate, a decrease in the litter size, and a reduction in the fetal body weight. In addition, there was an increase in the incidence of fetal external, visceral, and skeletal abnormalities. At a dose </w:t>
      </w:r>
      <w:r w:rsidR="0051331C" w:rsidRPr="001F1399">
        <w:rPr>
          <w:rFonts w:ascii="Book Antiqua" w:hAnsi="Book Antiqua" w:cs="Calibri"/>
          <w:lang w:val="en-US"/>
        </w:rPr>
        <w:t>below</w:t>
      </w:r>
      <w:r w:rsidRPr="001F1399">
        <w:rPr>
          <w:rFonts w:ascii="Book Antiqua" w:hAnsi="Book Antiqua" w:cs="Calibri"/>
          <w:lang w:val="en-US"/>
        </w:rPr>
        <w:t xml:space="preserve"> 10 mg/kg, maternal toxicity observed included a decrease in the body weight gain and a decrease in food intake associated to a minimal developmental toxicity. This includes a decrease in the fetal body weight, an increase in the visceral and skeletal aberrations, and a delay in fetal ossification. These results show that amitraz administered during the entire pregnancy period in rats is embryotoxic and teratogenic at the maternally toxic dose (</w:t>
      </w:r>
      <w:r w:rsidRPr="001F1399">
        <w:rPr>
          <w:rFonts w:ascii="Book Antiqua" w:hAnsi="Book Antiqua" w:cs="Calibri"/>
          <w:i/>
          <w:iCs/>
          <w:lang w:val="en-US"/>
        </w:rPr>
        <w:t>i.e.</w:t>
      </w:r>
      <w:r w:rsidRPr="001F1399">
        <w:rPr>
          <w:rFonts w:ascii="Book Antiqua" w:hAnsi="Book Antiqua" w:cs="Calibri"/>
          <w:lang w:val="en-US"/>
        </w:rPr>
        <w:t>, 30 mg/kg/d) and is minimally embryotoxic at a minimally maternally toxic dose (</w:t>
      </w:r>
      <w:r w:rsidRPr="001F1399">
        <w:rPr>
          <w:rFonts w:ascii="Book Antiqua" w:hAnsi="Book Antiqua" w:cs="Calibri"/>
          <w:i/>
          <w:iCs/>
          <w:lang w:val="en-US"/>
        </w:rPr>
        <w:t>i.e.</w:t>
      </w:r>
      <w:r w:rsidRPr="001F1399">
        <w:rPr>
          <w:rFonts w:ascii="Book Antiqua" w:hAnsi="Book Antiqua" w:cs="Calibri"/>
          <w:lang w:val="en-US"/>
        </w:rPr>
        <w:t xml:space="preserve">, 10 mg/kg/d). </w:t>
      </w:r>
    </w:p>
    <w:p w14:paraId="1DFDEE71" w14:textId="2FAF41AA" w:rsidR="001F11AC" w:rsidRPr="001F1399" w:rsidRDefault="00B86379" w:rsidP="002974FA">
      <w:pPr>
        <w:pStyle w:val="paragraph"/>
        <w:adjustRightInd w:val="0"/>
        <w:snapToGrid w:val="0"/>
        <w:spacing w:before="0" w:beforeAutospacing="0" w:after="0" w:afterAutospacing="0" w:line="360" w:lineRule="auto"/>
        <w:ind w:firstLineChars="100" w:firstLine="240"/>
        <w:jc w:val="both"/>
        <w:textAlignment w:val="baseline"/>
        <w:rPr>
          <w:rFonts w:ascii="Book Antiqua" w:hAnsi="Book Antiqua" w:cs="Calibri"/>
          <w:lang w:val="en-US"/>
        </w:rPr>
      </w:pPr>
      <w:r w:rsidRPr="001F1399">
        <w:rPr>
          <w:rFonts w:ascii="Book Antiqua" w:hAnsi="Book Antiqua" w:cs="Calibri"/>
          <w:lang w:val="en-US"/>
        </w:rPr>
        <w:t>Diuron is widely used as a weed</w:t>
      </w:r>
      <w:r w:rsidR="002337A4" w:rsidRPr="001F1399">
        <w:rPr>
          <w:rFonts w:ascii="Book Antiqua" w:hAnsi="Book Antiqua" w:cs="Calibri"/>
          <w:lang w:val="en-US"/>
        </w:rPr>
        <w:t xml:space="preserve"> </w:t>
      </w:r>
      <w:r w:rsidRPr="001F1399">
        <w:rPr>
          <w:rFonts w:ascii="Book Antiqua" w:hAnsi="Book Antiqua" w:cs="Calibri"/>
          <w:lang w:val="en-US"/>
        </w:rPr>
        <w:t>killer to kill unwanted grasses and other annual and evergreen broadleaf weeds, especially in viticulture. It is also used in gardens and for weeding roadsides or railways. A perinatal exposure to diuron [3-(3,4-dichlorophenyl)-1-1-dimethylurea] might exert adverse effects on rat lymphoid organs. Pregnant Sprague-Dawley rats were exposed to diuron at 500, 750 or 1250 ppm in the diet from gestational days 12</w:t>
      </w:r>
      <w:r w:rsidR="001D64E8" w:rsidRPr="001F1399">
        <w:rPr>
          <w:rFonts w:ascii="Book Antiqua" w:hAnsi="Book Antiqua" w:cs="Calibri"/>
          <w:lang w:val="en-US"/>
        </w:rPr>
        <w:t xml:space="preserve"> to </w:t>
      </w:r>
      <w:r w:rsidRPr="001F1399">
        <w:rPr>
          <w:rFonts w:ascii="Book Antiqua" w:hAnsi="Book Antiqua" w:cs="Calibri"/>
          <w:lang w:val="en-US"/>
        </w:rPr>
        <w:t xml:space="preserve">21 </w:t>
      </w:r>
      <w:r w:rsidR="001D64E8" w:rsidRPr="001F1399">
        <w:rPr>
          <w:rFonts w:ascii="Book Antiqua" w:hAnsi="Book Antiqua" w:cs="Calibri"/>
          <w:lang w:val="en-US"/>
        </w:rPr>
        <w:t xml:space="preserve">(GD 12-21) </w:t>
      </w:r>
      <w:r w:rsidRPr="001F1399">
        <w:rPr>
          <w:rFonts w:ascii="Book Antiqua" w:hAnsi="Book Antiqua" w:cs="Calibri"/>
          <w:lang w:val="en-US"/>
        </w:rPr>
        <w:t xml:space="preserve">and during lactation. Flow cytometric analysis revealed a significant reduction in B lymphocytes (CD45RA+) in male pups but T lymphocytes (CD4+, CD8+ and CD4+/CD8+) were not markedly affected. Thus, data suggest that Diuron-induced maternal toxicity in dams exposed to high dose and perinatal exposure to this herbicide produced spleen toxicity as evidenced by a reduction in B lymphocyte number in male </w:t>
      </w:r>
      <w:r w:rsidR="00235ADE" w:rsidRPr="001F1399">
        <w:rPr>
          <w:rFonts w:ascii="Book Antiqua" w:hAnsi="Book Antiqua" w:cs="Calibri"/>
          <w:lang w:val="en-US"/>
        </w:rPr>
        <w:t>Sprague-Dawley</w:t>
      </w:r>
      <w:r w:rsidRPr="001F1399">
        <w:rPr>
          <w:rFonts w:ascii="Book Antiqua" w:hAnsi="Book Antiqua" w:cs="Calibri"/>
          <w:lang w:val="en-US"/>
        </w:rPr>
        <w:t xml:space="preserve"> pups</w:t>
      </w:r>
      <w:r w:rsidR="007A79C5" w:rsidRPr="001F1399">
        <w:rPr>
          <w:rFonts w:ascii="Book Antiqua" w:hAnsi="Book Antiqua" w:cs="Calibri"/>
          <w:lang w:val="en-US"/>
        </w:rPr>
        <w:fldChar w:fldCharType="begin" w:fldLock="1"/>
      </w:r>
      <w:r w:rsidR="00B1214D" w:rsidRPr="001F1399">
        <w:rPr>
          <w:rFonts w:ascii="Book Antiqua" w:hAnsi="Book Antiqua" w:cs="Calibri"/>
          <w:lang w:val="en-US"/>
        </w:rPr>
        <w:instrText>ADDIN CSL_CITATION {"citationItems":[{"id":"ITEM-1","itemData":{"DOI":"10.1080/03601234.2012.657054","ISSN":"0360-1234","PMID":"22424067","abstract":"This study investigated whether perinatal exposure to diuron [3-(3,4-dichlorophenyl)-1-1-dimethylurea] might exert adverse effects on rat lymphoid organs. Pregnant Sprague-Dawley (SD) rats were exposed to diuron at 500, 750 or 1250 ppm in the diet from gestational days (GD) 12-21 and during lactation. At postnatal day (PND) 42, male pups were euthanized and thymus, spleen, mesenteric lymph node and femur were collected for histopathological analysis. Food consumption and body weight gain were significantly reduced in dams exposed to 1250 ppm during gestation period. Also, Diuron at 750 and 1250 ppm produced: (1) increased relative spleen weight associated histologically with severe congestion in red pulp, (2) enhanced extramedullary hematopoiesis and hemosiderosis as well as (3) depletion of lymphoid follicles in white pulp. Flow cytometric analysis revealed a significant reduction in B lymphocytes (CD45RA+) in male pups but T lymphocytes (CD4+, CD8+ and CD4+/CD8+) were not markedly affected. Thus, data suggest that Diuron-induced maternal toxicity in dams exposed to high dose and perinatal exposure to this herbicide produced spleen toxicity as evidenced by a reduction in B lymphocyte number in male SD pups.","author":[{"dropping-particle":"","family":"Domingues","given":"Alexandre","non-dropping-particle":"","parse-names":false,"suffix":""},{"dropping-particle":"","family":"Grassi","given":"Tony F.","non-dropping-particle":"","parse-names":false,"suffix":""},{"dropping-particle":"","family":"Spinardi-Barbisan","given":"Ana L.T.","non-dropping-particle":"","parse-names":false,"suffix":""},{"dropping-particle":"","family":"Barbisan","given":"Luís F.","non-dropping-particle":"","parse-names":false,"suffix":""}],"container-title":"Journal of Environmental Science and Health, Part B","id":"ITEM-1","issue":"5","issued":{"date-parts":[["2012","5"]]},"page":"420-426","title":"Developmental exposure to diuron causes splenotoxicity in male Sprague-Dawley rat pups","type":"article-journal","volume":"47"},"uris":["http://www.mendeley.com/documents/?uuid=5802a2bd-b38b-491e-b417-c17141ecf27b"]}],"mendeley":{"formattedCitation":"&lt;sup&gt;[98]&lt;/sup&gt;","plainTextFormattedCitation":"[98]","previouslyFormattedCitation":"&lt;sup&gt;[97]&lt;/sup&gt;"},"properties":{"noteIndex":0},"schema":"https://github.com/citation-style-language/schema/raw/master/csl-citation.json"}</w:instrText>
      </w:r>
      <w:r w:rsidR="007A79C5" w:rsidRPr="001F1399">
        <w:rPr>
          <w:rFonts w:ascii="Book Antiqua" w:hAnsi="Book Antiqua" w:cs="Calibri"/>
          <w:lang w:val="en-US"/>
        </w:rPr>
        <w:fldChar w:fldCharType="separate"/>
      </w:r>
      <w:r w:rsidR="00B1214D" w:rsidRPr="001F1399">
        <w:rPr>
          <w:rFonts w:ascii="Book Antiqua" w:hAnsi="Book Antiqua" w:cs="Calibri"/>
          <w:noProof/>
          <w:vertAlign w:val="superscript"/>
          <w:lang w:val="en-US"/>
        </w:rPr>
        <w:t>[98]</w:t>
      </w:r>
      <w:r w:rsidR="007A79C5" w:rsidRPr="001F1399">
        <w:rPr>
          <w:rFonts w:ascii="Book Antiqua" w:hAnsi="Book Antiqua" w:cs="Calibri"/>
          <w:lang w:val="en-US"/>
        </w:rPr>
        <w:fldChar w:fldCharType="end"/>
      </w:r>
      <w:r w:rsidR="007A79C5" w:rsidRPr="001F1399">
        <w:rPr>
          <w:rFonts w:ascii="Book Antiqua" w:hAnsi="Book Antiqua" w:cs="Calibri"/>
          <w:lang w:val="en-US"/>
        </w:rPr>
        <w:t>.</w:t>
      </w:r>
      <w:r w:rsidRPr="001F1399">
        <w:rPr>
          <w:rFonts w:ascii="Book Antiqua" w:hAnsi="Book Antiqua" w:cs="Calibri"/>
          <w:lang w:val="en-US"/>
        </w:rPr>
        <w:t xml:space="preserve"> </w:t>
      </w:r>
    </w:p>
    <w:p w14:paraId="7306D2F3" w14:textId="462C0213" w:rsidR="00B86379" w:rsidRPr="001F1399" w:rsidRDefault="00B86379" w:rsidP="002974FA">
      <w:pPr>
        <w:pStyle w:val="paragraph"/>
        <w:adjustRightInd w:val="0"/>
        <w:snapToGrid w:val="0"/>
        <w:spacing w:before="0" w:beforeAutospacing="0" w:after="0" w:afterAutospacing="0" w:line="360" w:lineRule="auto"/>
        <w:jc w:val="both"/>
        <w:textAlignment w:val="baseline"/>
        <w:rPr>
          <w:rFonts w:ascii="Book Antiqua" w:hAnsi="Book Antiqua" w:cs="Segoe UI"/>
          <w:lang w:val="en-GB"/>
        </w:rPr>
      </w:pPr>
    </w:p>
    <w:p w14:paraId="070FBC62" w14:textId="02B46055" w:rsidR="008B17B3" w:rsidRPr="001F1399" w:rsidRDefault="008B17B3" w:rsidP="002974FA">
      <w:pPr>
        <w:pStyle w:val="paragraph"/>
        <w:adjustRightInd w:val="0"/>
        <w:snapToGrid w:val="0"/>
        <w:spacing w:before="0" w:beforeAutospacing="0" w:after="0" w:afterAutospacing="0" w:line="360" w:lineRule="auto"/>
        <w:jc w:val="both"/>
        <w:textAlignment w:val="baseline"/>
        <w:rPr>
          <w:rStyle w:val="eop"/>
          <w:rFonts w:ascii="Book Antiqua" w:hAnsi="Book Antiqua" w:cs="Calibri"/>
          <w:b/>
          <w:i/>
          <w:lang w:val="en-US"/>
        </w:rPr>
      </w:pPr>
      <w:r w:rsidRPr="001F1399">
        <w:rPr>
          <w:rStyle w:val="normaltextrun"/>
          <w:rFonts w:ascii="Book Antiqua" w:hAnsi="Book Antiqua" w:cs="Calibri"/>
          <w:b/>
          <w:i/>
          <w:lang w:val="en-US"/>
        </w:rPr>
        <w:t>Fetal exposure to mycotoxins</w:t>
      </w:r>
      <w:r w:rsidRPr="001F1399">
        <w:rPr>
          <w:rStyle w:val="eop"/>
          <w:rFonts w:ascii="Book Antiqua" w:hAnsi="Book Antiqua" w:cs="Calibri"/>
          <w:b/>
          <w:i/>
          <w:lang w:val="en-US"/>
        </w:rPr>
        <w:t> </w:t>
      </w:r>
    </w:p>
    <w:p w14:paraId="01BAB9A5" w14:textId="7C3BF360" w:rsidR="008B17B3" w:rsidRPr="001F1399" w:rsidRDefault="0063524C"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Because of the growing evidence of the deleterious effects of pesticides</w:t>
      </w:r>
      <w:r w:rsidR="00CF2907" w:rsidRPr="001F1399">
        <w:rPr>
          <w:rFonts w:ascii="Book Antiqua" w:hAnsi="Book Antiqua"/>
          <w:sz w:val="24"/>
          <w:szCs w:val="24"/>
          <w:lang w:val="en-US"/>
        </w:rPr>
        <w:t xml:space="preserve"> on health</w:t>
      </w:r>
      <w:r w:rsidRPr="001F1399">
        <w:rPr>
          <w:rFonts w:ascii="Book Antiqua" w:hAnsi="Book Antiqua"/>
          <w:sz w:val="24"/>
          <w:szCs w:val="24"/>
          <w:lang w:val="en-US"/>
        </w:rPr>
        <w:t>, more and more people are choosing to consume organic products.</w:t>
      </w:r>
      <w:r w:rsidR="00061FC2" w:rsidRPr="001F1399">
        <w:rPr>
          <w:rFonts w:ascii="Book Antiqua" w:hAnsi="Book Antiqua"/>
          <w:sz w:val="24"/>
          <w:szCs w:val="24"/>
          <w:lang w:val="en-US"/>
        </w:rPr>
        <w:t xml:space="preserve"> </w:t>
      </w:r>
      <w:r w:rsidR="00CF2907" w:rsidRPr="001F1399">
        <w:rPr>
          <w:rFonts w:ascii="Book Antiqua" w:hAnsi="Book Antiqua"/>
          <w:sz w:val="24"/>
          <w:szCs w:val="24"/>
          <w:lang w:val="en-US"/>
        </w:rPr>
        <w:t>However, there is growing attention in western countries related to the increasing consumption of organic products since the actual m</w:t>
      </w:r>
      <w:r w:rsidR="000B683F" w:rsidRPr="001F1399">
        <w:rPr>
          <w:rFonts w:ascii="Book Antiqua" w:hAnsi="Book Antiqua"/>
          <w:sz w:val="24"/>
          <w:szCs w:val="24"/>
          <w:lang w:val="en-US"/>
        </w:rPr>
        <w:t xml:space="preserve">eans of crop storage conditions </w:t>
      </w:r>
      <w:r w:rsidR="00CF2907" w:rsidRPr="001F1399">
        <w:rPr>
          <w:rFonts w:ascii="Book Antiqua" w:hAnsi="Book Antiqua"/>
          <w:sz w:val="24"/>
          <w:szCs w:val="24"/>
          <w:lang w:val="en-US"/>
        </w:rPr>
        <w:t>may not prevent from</w:t>
      </w:r>
      <w:r w:rsidR="006C40EA" w:rsidRPr="001F1399">
        <w:rPr>
          <w:rFonts w:ascii="Book Antiqua" w:hAnsi="Book Antiqua"/>
          <w:sz w:val="24"/>
          <w:szCs w:val="24"/>
          <w:lang w:val="en-US"/>
        </w:rPr>
        <w:t xml:space="preserve"> mycotoxins food contamination</w:t>
      </w:r>
      <w:r w:rsidR="000B683F" w:rsidRPr="001F1399">
        <w:rPr>
          <w:rFonts w:ascii="Book Antiqua" w:hAnsi="Book Antiqua"/>
          <w:sz w:val="24"/>
          <w:szCs w:val="24"/>
          <w:lang w:val="en-US"/>
        </w:rPr>
        <w:t>, especially when it relates to organic products</w:t>
      </w:r>
      <w:r w:rsidR="006C40EA" w:rsidRPr="001F1399">
        <w:rPr>
          <w:rFonts w:ascii="Book Antiqua" w:hAnsi="Book Antiqua"/>
          <w:sz w:val="24"/>
          <w:szCs w:val="24"/>
          <w:lang w:val="en-US"/>
        </w:rPr>
        <w:t>. This concern is even more important when it comes to pregnant women and infants. Indeed, c</w:t>
      </w:r>
      <w:r w:rsidR="008B17B3" w:rsidRPr="001F1399">
        <w:rPr>
          <w:rFonts w:ascii="Book Antiqua" w:hAnsi="Book Antiqua"/>
          <w:sz w:val="24"/>
          <w:szCs w:val="24"/>
          <w:lang w:val="en-US"/>
        </w:rPr>
        <w:t xml:space="preserve">ereals intended for human consumption may be contaminated by fungi species of the </w:t>
      </w:r>
      <w:r w:rsidR="008B17B3" w:rsidRPr="001F1399">
        <w:rPr>
          <w:rFonts w:ascii="Book Antiqua" w:hAnsi="Book Antiqua"/>
          <w:sz w:val="24"/>
          <w:szCs w:val="24"/>
          <w:lang w:val="en-US"/>
        </w:rPr>
        <w:lastRenderedPageBreak/>
        <w:t xml:space="preserve">genera </w:t>
      </w:r>
      <w:r w:rsidR="008B17B3" w:rsidRPr="001F1399">
        <w:rPr>
          <w:rFonts w:ascii="Book Antiqua" w:hAnsi="Book Antiqua"/>
          <w:i/>
          <w:iCs/>
          <w:sz w:val="24"/>
          <w:szCs w:val="24"/>
          <w:lang w:val="en-US"/>
        </w:rPr>
        <w:t>Aspergillus</w:t>
      </w:r>
      <w:r w:rsidR="008B17B3" w:rsidRPr="001F1399">
        <w:rPr>
          <w:rFonts w:ascii="Book Antiqua" w:hAnsi="Book Antiqua"/>
          <w:sz w:val="24"/>
          <w:szCs w:val="24"/>
          <w:lang w:val="en-US"/>
        </w:rPr>
        <w:t xml:space="preserve">, </w:t>
      </w:r>
      <w:r w:rsidR="008B17B3" w:rsidRPr="001F1399">
        <w:rPr>
          <w:rFonts w:ascii="Book Antiqua" w:hAnsi="Book Antiqua"/>
          <w:i/>
          <w:iCs/>
          <w:sz w:val="24"/>
          <w:szCs w:val="24"/>
          <w:lang w:val="en-US"/>
        </w:rPr>
        <w:t>Penicillium,</w:t>
      </w:r>
      <w:r w:rsidR="008B17B3" w:rsidRPr="001F1399">
        <w:rPr>
          <w:rFonts w:ascii="Book Antiqua" w:hAnsi="Book Antiqua"/>
          <w:sz w:val="24"/>
          <w:szCs w:val="24"/>
          <w:lang w:val="en-US"/>
        </w:rPr>
        <w:t xml:space="preserve"> </w:t>
      </w:r>
      <w:r w:rsidR="008B17B3" w:rsidRPr="001F1399">
        <w:rPr>
          <w:rFonts w:ascii="Book Antiqua" w:hAnsi="Book Antiqua"/>
          <w:i/>
          <w:iCs/>
          <w:sz w:val="24"/>
          <w:szCs w:val="24"/>
          <w:lang w:val="en-US"/>
        </w:rPr>
        <w:t xml:space="preserve">Fusarium </w:t>
      </w:r>
      <w:r w:rsidR="008B17B3" w:rsidRPr="001F1399">
        <w:rPr>
          <w:rFonts w:ascii="Book Antiqua" w:hAnsi="Book Antiqua"/>
          <w:sz w:val="24"/>
          <w:szCs w:val="24"/>
          <w:lang w:val="en-US"/>
        </w:rPr>
        <w:t xml:space="preserve">and </w:t>
      </w:r>
      <w:r w:rsidR="008B17B3" w:rsidRPr="001F1399">
        <w:rPr>
          <w:rFonts w:ascii="Book Antiqua" w:hAnsi="Book Antiqua"/>
          <w:i/>
          <w:iCs/>
          <w:sz w:val="24"/>
          <w:szCs w:val="24"/>
          <w:lang w:val="en-US"/>
        </w:rPr>
        <w:t>Alternaria</w:t>
      </w:r>
      <w:r w:rsidR="008B17B3" w:rsidRPr="001F1399">
        <w:rPr>
          <w:rFonts w:ascii="Book Antiqua" w:hAnsi="Book Antiqua"/>
          <w:sz w:val="24"/>
          <w:szCs w:val="24"/>
          <w:lang w:val="en-US"/>
        </w:rPr>
        <w:t>, which are able to produce highly noxious secondary metabolites: mycotoxins</w:t>
      </w:r>
      <w:r w:rsidR="008B17B3" w:rsidRPr="001F1399">
        <w:rPr>
          <w:rFonts w:ascii="Book Antiqua" w:hAnsi="Book Antiqua"/>
          <w:sz w:val="24"/>
          <w:szCs w:val="24"/>
          <w:lang w:val="en-US"/>
        </w:rPr>
        <w:fldChar w:fldCharType="begin" w:fldLock="1"/>
      </w:r>
      <w:r w:rsidR="00B1214D" w:rsidRPr="001F1399">
        <w:rPr>
          <w:rFonts w:ascii="Book Antiqua" w:hAnsi="Book Antiqua"/>
          <w:sz w:val="24"/>
          <w:szCs w:val="24"/>
          <w:lang w:val="en-US"/>
        </w:rPr>
        <w:instrText>ADDIN CSL_CITATION {"citationItems":[{"id":"ITEM-1","itemData":{"DOI":"10.3389/fcimb.2018.00060","ISSN":"2235-2988","PMID":"29535978","abstract":"The secondary metabolites produced by fungi known as mycotoxins, are capable of causing mycotoxicosis (diseases and death) in human and animals. Contamination of feedstuffs as well as food commodities by fungi occurs frequently in a natural manner and is accompanied by the presence of mycotoxins. The occurrence of mycotoxins' contamination is further stimulated by the on-going global warming as reflected in some findings. This review comprehensively discussed the role of mycotoxins (trichothecenes, zearalenone, fumonisins, ochratoxins, and aflatoxins) toward gut health and gut microbiota. Certainly, mycotoxins cause perturbation in the gut, particularly in the intestinal epithelial. Recent insights have generated an entirely new perspective where there is a bi-directional relationship exists between mycotoxins and gut microbiota, thus suggesting that our gut microbiota might be involved in the development of mycotoxicosis. The bacteria-xenobiotic interplay for the host is highlighted in this review article. It is now well established that a healthy gut microbiota is largely responsible for the overall health of the host. Findings revealed that the gut microbiota is capable of eliminating mycotoxin from the host naturally, provided that the host is healthy with a balance gut microbiota. Moreover, mycotoxins have been demonstrated for modulation of gut microbiota composition, and such alteration in gut microbiota can be observed up to species level in some of the studies. Most, if not all, of the reported effects of mycotoxins, are negative in terms of intestinal health, where beneficial bacteria are eliminated accompanied by an increase of the gut pathogen. The interactions between gut microbiota and mycotoxins have a significant role in the development of mycotoxicosis, particularly hepatocellular carcinoma. Such knowledge potentially drives the development of novel and innovative strategies for the prevention and therapy of mycotoxin contamination and mycotoxicosis.","author":[{"dropping-particle":"","family":"Liew","given":"Winnie-Pui-Pui","non-dropping-particle":"","parse-names":false,"suffix":""},{"dropping-particle":"","family":"Mohd-Redzwan","given":"Sabran","non-dropping-particle":"","parse-names":false,"suffix":""}],"container-title":"Frontiers in Cellular and Infection Microbiology","id":"ITEM-1","issue":"FEB","issued":{"date-parts":[["2018","2","26"]]},"title":"Mycotoxin: Its Impact on Gut Health and Microbiota","type":"article-journal","volume":"8"},"uris":["http://www.mendeley.com/documents/?uuid=7cabcd6b-1b0f-336f-9fd6-c637e71ff893"]}],"mendeley":{"formattedCitation":"&lt;sup&gt;[75]&lt;/sup&gt;","plainTextFormattedCitation":"[75]","previouslyFormattedCitation":"&lt;sup&gt;[74]&lt;/sup&gt;"},"properties":{"noteIndex":0},"schema":"https://github.com/citation-style-language/schema/raw/master/csl-citation.json"}</w:instrText>
      </w:r>
      <w:r w:rsidR="008B17B3" w:rsidRPr="001F1399">
        <w:rPr>
          <w:rFonts w:ascii="Book Antiqua" w:hAnsi="Book Antiqua"/>
          <w:sz w:val="24"/>
          <w:szCs w:val="24"/>
          <w:vertAlign w:val="superscript"/>
          <w:lang w:val="en-US"/>
        </w:rPr>
        <w:fldChar w:fldCharType="separate"/>
      </w:r>
      <w:r w:rsidR="00B1214D" w:rsidRPr="001F1399">
        <w:rPr>
          <w:rFonts w:ascii="Book Antiqua" w:hAnsi="Book Antiqua"/>
          <w:noProof/>
          <w:sz w:val="24"/>
          <w:szCs w:val="24"/>
          <w:vertAlign w:val="superscript"/>
          <w:lang w:val="en-US"/>
        </w:rPr>
        <w:t>[75]</w:t>
      </w:r>
      <w:r w:rsidR="008B17B3" w:rsidRPr="001F1399">
        <w:rPr>
          <w:rFonts w:ascii="Book Antiqua" w:hAnsi="Book Antiqua"/>
          <w:sz w:val="24"/>
          <w:szCs w:val="24"/>
          <w:lang w:val="en-US"/>
        </w:rPr>
        <w:fldChar w:fldCharType="end"/>
      </w:r>
      <w:r w:rsidR="008B17B3" w:rsidRPr="001F1399">
        <w:rPr>
          <w:rFonts w:ascii="Book Antiqua" w:hAnsi="Book Antiqua"/>
          <w:sz w:val="24"/>
          <w:szCs w:val="24"/>
          <w:lang w:val="en-US"/>
        </w:rPr>
        <w:t>. The most relevant worldwide mycotoxins in cereals are aflatoxins (AF), ochratoxin A (OTA), patulin (PAT), fumonisins, zearalenone (ZE) and trichothecenes including T-2 toxin and deoxynivalenol (DON)</w:t>
      </w:r>
      <w:r w:rsidR="008B17B3" w:rsidRPr="001F1399">
        <w:rPr>
          <w:rFonts w:ascii="Book Antiqua" w:hAnsi="Book Antiqua"/>
          <w:sz w:val="24"/>
          <w:szCs w:val="24"/>
          <w:lang w:val="en-US"/>
        </w:rPr>
        <w:fldChar w:fldCharType="begin" w:fldLock="1"/>
      </w:r>
      <w:r w:rsidR="00B1214D" w:rsidRPr="001F1399">
        <w:rPr>
          <w:rFonts w:ascii="Book Antiqua" w:hAnsi="Book Antiqua"/>
          <w:sz w:val="24"/>
          <w:szCs w:val="24"/>
          <w:lang w:val="en-US"/>
        </w:rPr>
        <w:instrText>ADDIN CSL_CITATION {"citationItems":[{"id":"ITEM-1","itemData":{"DOI":"10.1016/j.cofs.2019.06.008","ISSN":"22147993","abstract":"Compared to adults, children and especially infants, have a markedly different physiology. Mainly due to metabolic rates and lower body weight, infants are recognized as a potentially vulnerable subgroup with respect to consumption of mycotoxins. In this review, analysis of the main mycotoxins occurring in food intended for children, such as aflatoxins, ochratoxin A, Fusarium toxins and Alternaria toxins, is presented. Aspects regarding general mechanisms of toxicity, tolerable daily intake and regulations are shown. Additionally, occurrence of mycotoxins in cereal-based baby foods during the last 15 years is are also discussed.","author":[{"dropping-particle":"","family":"Piacentini","given":"Karim C","non-dropping-particle":"","parse-names":false,"suffix":""},{"dropping-particle":"","family":"Ferranti","given":"Larissa S","non-dropping-particle":"","parse-names":false,"suffix":""},{"dropping-particle":"","family":"Pinheiro","given":"Mariana","non-dropping-particle":"","parse-names":false,"suffix":""},{"dropping-particle":"","family":"Bertozzi","given":"Bruno G","non-dropping-particle":"","parse-names":false,"suffix":""},{"dropping-particle":"","family":"Rocha","given":"Liliana O","non-dropping-particle":"","parse-names":false,"suffix":""}],"container-title":"Current Opinion in Food Science","id":"ITEM-1","issued":{"date-parts":[["2019","12","1"]]},"page":"73-78","publisher":"Elsevier","title":"Mycotoxin contamination in cereal-based baby foods","type":"article-journal","volume":"30"},"uris":["http://www.mendeley.com/documents/?uuid=06756aa1-c8ad-4348-abd9-7223eaf294a1"]}],"mendeley":{"formattedCitation":"&lt;sup&gt;[99]&lt;/sup&gt;","plainTextFormattedCitation":"[99]","previouslyFormattedCitation":"&lt;sup&gt;[98]&lt;/sup&gt;"},"properties":{"noteIndex":0},"schema":"https://github.com/citation-style-language/schema/raw/master/csl-citation.json"}</w:instrText>
      </w:r>
      <w:r w:rsidR="008B17B3"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lang w:val="en-US"/>
        </w:rPr>
        <w:t>[99]</w:t>
      </w:r>
      <w:r w:rsidR="008B17B3" w:rsidRPr="001F1399">
        <w:rPr>
          <w:rFonts w:ascii="Book Antiqua" w:hAnsi="Book Antiqua"/>
          <w:sz w:val="24"/>
          <w:szCs w:val="24"/>
          <w:lang w:val="en-US"/>
        </w:rPr>
        <w:fldChar w:fldCharType="end"/>
      </w:r>
      <w:r w:rsidR="008B17B3" w:rsidRPr="001F1399">
        <w:rPr>
          <w:rFonts w:ascii="Book Antiqua" w:hAnsi="Book Antiqua"/>
          <w:sz w:val="24"/>
          <w:szCs w:val="24"/>
          <w:lang w:val="en-US"/>
        </w:rPr>
        <w:t>.</w:t>
      </w:r>
      <w:r w:rsidR="00061FC2" w:rsidRPr="001F1399">
        <w:rPr>
          <w:rFonts w:ascii="Book Antiqua" w:hAnsi="Book Antiqua"/>
          <w:sz w:val="24"/>
          <w:szCs w:val="24"/>
          <w:lang w:val="en-US"/>
        </w:rPr>
        <w:t xml:space="preserve"> </w:t>
      </w:r>
      <w:r w:rsidR="008B17B3" w:rsidRPr="001F1399">
        <w:rPr>
          <w:rFonts w:ascii="Book Antiqua" w:hAnsi="Book Antiqua"/>
          <w:color w:val="000000"/>
          <w:sz w:val="24"/>
          <w:szCs w:val="24"/>
          <w:shd w:val="clear" w:color="auto" w:fill="FFFFFF"/>
          <w:lang w:val="en-US"/>
        </w:rPr>
        <w:t xml:space="preserve">Based on current available evidence, it is probable that a placental transfer of mycotoxins occurs as early as gestational stage and accumulates in the fetal circulation towards the end of pregnancy. </w:t>
      </w:r>
      <w:r w:rsidR="008B17B3" w:rsidRPr="001F1399">
        <w:rPr>
          <w:rFonts w:ascii="Book Antiqua" w:hAnsi="Book Antiqua"/>
          <w:sz w:val="24"/>
          <w:szCs w:val="24"/>
          <w:lang w:val="en-US"/>
        </w:rPr>
        <w:t>Mycotoxins from human maternal contaminated food consumption can cross placental barrier, be metabolize by the developing fetus and can affect fetal systems</w:t>
      </w:r>
      <w:r w:rsidR="008B17B3" w:rsidRPr="001F1399">
        <w:rPr>
          <w:rFonts w:ascii="Book Antiqua" w:hAnsi="Book Antiqua"/>
          <w:sz w:val="24"/>
          <w:szCs w:val="24"/>
          <w:lang w:val="en-US"/>
        </w:rPr>
        <w:fldChar w:fldCharType="begin" w:fldLock="1"/>
      </w:r>
      <w:r w:rsidR="00B1214D" w:rsidRPr="001F1399">
        <w:rPr>
          <w:rFonts w:ascii="Book Antiqua" w:hAnsi="Book Antiqua"/>
          <w:sz w:val="24"/>
          <w:szCs w:val="24"/>
          <w:lang w:val="en-US"/>
        </w:rPr>
        <w:instrText>ADDIN CSL_CITATION {"citationItems":[{"id":"ITEM-1","itemData":{"DOI":"10.1016/0140-6736(91)93295-k","ISSN":"01406736","PMID":"1675725","author":[{"dropping-particle":"","family":"Wild","given":"C. P.","non-dropping-particle":"","parse-names":false,"suffix":""},{"dropping-particle":"","family":"Rasheed","given":"F. N.","non-dropping-particle":"","parse-names":false,"suffix":""},{"dropping-particle":"","family":"Jawla","given":"M. F.B.","non-dropping-particle":"","parse-names":false,"suffix":""},{"dropping-particle":"","family":"Hall","given":"A. J.","non-dropping-particle":"","parse-names":false,"suffix":""},{"dropping-particle":"","family":"Jansen","given":"L. A.M.","non-dropping-particle":"","parse-names":false,"suffix":""},{"dropping-particle":"","family":"Montesano","given":"R.","non-dropping-particle":"","parse-names":false,"suffix":""}],"container-title":"The Lancet","id":"ITEM-1","issue":"8757","issued":{"date-parts":[["1991","6","29"]]},"page":"1602","title":"In-utero exposure to aflatoxin in West Africa","type":"article-journal","volume":"337"},"uris":["http://www.mendeley.com/documents/?uuid=718537a8-f8fa-30c4-8ea0-67aaef7db842"]}],"mendeley":{"formattedCitation":"&lt;sup&gt;[100]&lt;/sup&gt;","plainTextFormattedCitation":"[100]","previouslyFormattedCitation":"&lt;sup&gt;[99]&lt;/sup&gt;"},"properties":{"noteIndex":0},"schema":"https://github.com/citation-style-language/schema/raw/master/csl-citation.json"}</w:instrText>
      </w:r>
      <w:r w:rsidR="008B17B3" w:rsidRPr="001F1399">
        <w:rPr>
          <w:rFonts w:ascii="Book Antiqua" w:hAnsi="Book Antiqua"/>
          <w:sz w:val="24"/>
          <w:szCs w:val="24"/>
          <w:vertAlign w:val="superscript"/>
          <w:lang w:val="en-US"/>
        </w:rPr>
        <w:fldChar w:fldCharType="separate"/>
      </w:r>
      <w:r w:rsidR="00B1214D" w:rsidRPr="001F1399">
        <w:rPr>
          <w:rFonts w:ascii="Book Antiqua" w:hAnsi="Book Antiqua"/>
          <w:noProof/>
          <w:sz w:val="24"/>
          <w:szCs w:val="24"/>
          <w:vertAlign w:val="superscript"/>
          <w:lang w:val="en-US"/>
        </w:rPr>
        <w:t>[100]</w:t>
      </w:r>
      <w:r w:rsidR="008B17B3" w:rsidRPr="001F1399">
        <w:rPr>
          <w:rFonts w:ascii="Book Antiqua" w:hAnsi="Book Antiqua"/>
          <w:sz w:val="24"/>
          <w:szCs w:val="24"/>
          <w:lang w:val="en-US"/>
        </w:rPr>
        <w:fldChar w:fldCharType="end"/>
      </w:r>
      <w:r w:rsidR="008B17B3" w:rsidRPr="001F1399">
        <w:rPr>
          <w:rFonts w:ascii="Book Antiqua" w:hAnsi="Book Antiqua"/>
          <w:sz w:val="24"/>
          <w:szCs w:val="24"/>
          <w:lang w:val="en-US"/>
        </w:rPr>
        <w:t xml:space="preserve">. </w:t>
      </w:r>
      <w:r w:rsidR="008B17B3" w:rsidRPr="001F1399">
        <w:rPr>
          <w:rFonts w:ascii="Book Antiqua" w:hAnsi="Book Antiqua"/>
          <w:color w:val="000000"/>
          <w:sz w:val="24"/>
          <w:szCs w:val="24"/>
          <w:shd w:val="clear" w:color="auto" w:fill="FFFFFF"/>
          <w:lang w:val="en-US"/>
        </w:rPr>
        <w:t>This vulnerable population is probably at a greater risk from carcinogenic environmental toxins because of high absorption rate, poor elimination capacity, rapid cell proliferation, and immature repairing mechanisms</w:t>
      </w:r>
      <w:r w:rsidR="008B17B3" w:rsidRPr="001F1399">
        <w:rPr>
          <w:rFonts w:ascii="Book Antiqua" w:hAnsi="Book Antiqua"/>
          <w:color w:val="000000"/>
          <w:sz w:val="24"/>
          <w:szCs w:val="24"/>
          <w:shd w:val="clear" w:color="auto" w:fill="FFFFFF"/>
          <w:lang w:val="en-US"/>
        </w:rPr>
        <w:fldChar w:fldCharType="begin" w:fldLock="1"/>
      </w:r>
      <w:r w:rsidR="00B1214D" w:rsidRPr="001F1399">
        <w:rPr>
          <w:rFonts w:ascii="Book Antiqua" w:hAnsi="Book Antiqua"/>
          <w:color w:val="000000"/>
          <w:sz w:val="24"/>
          <w:szCs w:val="24"/>
          <w:shd w:val="clear" w:color="auto" w:fill="FFFFFF"/>
          <w:lang w:val="en-US"/>
        </w:rPr>
        <w:instrText>ADDIN CSL_CITATION {"citationItems":[{"id":"ITEM-1","itemData":{"DOI":"10.3390/toxins8040087","ISSN":"2072-6651","PMID":"27023600","abstract":"Increasing evidence has demonstrated that in utero exposure to environmental chemicals may interfere with fetal development and increase the risk of disease and cancer development later in life. Ochratoxin A (OTA) has been proven to induce diverse toxic effects including teratogenicity, carcinogenicity, immunotoxicity and potential endocrine disruption. Due to the continuous and widespread occurrence of OTA as a potential contaminant of staple foods, there is increasing concern of in utero exposure of fetus to this mycotoxin. In this study, maternal-fetal risk assessment of OTA during pregnancy was conducted using the benchmark dose approach for genotoxic carcinogens. The daily intake of OTA for Egyptian pregnant women was estimated based on their serum OTA level using the refined Klaassen equation for pregnancy. Fetal exposure level was also estimated based on the maternal data. Comparison between the estimated daily exposure and the negligible cancer risk intake (NCRI), and the calculation of margin of exposure (MOE) implicated that OTA exposure from dietary intake would be of low health concern for this general subpopulation of Egyptian women. This subpopulation of pregnant women was generally estimated not to be in high-risk for toxicity induced by OTA.","author":[{"dropping-particle":"","family":"Woo","given":"Chit","non-dropping-particle":"","parse-names":false,"suffix":""},{"dropping-particle":"","family":"El-Nezami","given":"Hani","non-dropping-particle":"","parse-names":false,"suffix":""}],"container-title":"Toxins","id":"ITEM-1","issue":"4","issued":{"date-parts":[["2016","3","23"]]},"page":"87","publisher":"MDPI AG","title":"Maternal-Fetal Cancer Risk Assessment of Ochratoxin A during Pregnancy","type":"article-journal","volume":"8"},"uris":["http://www.mendeley.com/documents/?uuid=b53c83c1-dced-357e-aa81-fd640f313eb2"]}],"mendeley":{"formattedCitation":"&lt;sup&gt;[101]&lt;/sup&gt;","plainTextFormattedCitation":"[101]","previouslyFormattedCitation":"&lt;sup&gt;[100]&lt;/sup&gt;"},"properties":{"noteIndex":0},"schema":"https://github.com/citation-style-language/schema/raw/master/csl-citation.json"}</w:instrText>
      </w:r>
      <w:r w:rsidR="008B17B3" w:rsidRPr="001F1399">
        <w:rPr>
          <w:rFonts w:ascii="Book Antiqua" w:hAnsi="Book Antiqua"/>
          <w:color w:val="000000"/>
          <w:sz w:val="24"/>
          <w:szCs w:val="24"/>
          <w:shd w:val="clear" w:color="auto" w:fill="FFFFFF"/>
          <w:lang w:val="en-US"/>
        </w:rPr>
        <w:fldChar w:fldCharType="separate"/>
      </w:r>
      <w:r w:rsidR="00B1214D" w:rsidRPr="001F1399">
        <w:rPr>
          <w:rFonts w:ascii="Book Antiqua" w:hAnsi="Book Antiqua"/>
          <w:noProof/>
          <w:color w:val="000000"/>
          <w:sz w:val="24"/>
          <w:szCs w:val="24"/>
          <w:shd w:val="clear" w:color="auto" w:fill="FFFFFF"/>
          <w:vertAlign w:val="superscript"/>
          <w:lang w:val="en-US"/>
        </w:rPr>
        <w:t>[101]</w:t>
      </w:r>
      <w:r w:rsidR="008B17B3" w:rsidRPr="001F1399">
        <w:rPr>
          <w:rFonts w:ascii="Book Antiqua" w:hAnsi="Book Antiqua"/>
          <w:color w:val="000000"/>
          <w:sz w:val="24"/>
          <w:szCs w:val="24"/>
          <w:shd w:val="clear" w:color="auto" w:fill="FFFFFF"/>
          <w:lang w:val="en-US"/>
        </w:rPr>
        <w:fldChar w:fldCharType="end"/>
      </w:r>
      <w:r w:rsidR="008B17B3" w:rsidRPr="001F1399">
        <w:rPr>
          <w:rFonts w:ascii="Book Antiqua" w:hAnsi="Book Antiqua"/>
          <w:color w:val="000000"/>
          <w:sz w:val="24"/>
          <w:szCs w:val="24"/>
          <w:shd w:val="clear" w:color="auto" w:fill="FFFFFF"/>
          <w:lang w:val="en-US"/>
        </w:rPr>
        <w:t>.</w:t>
      </w:r>
      <w:r w:rsidR="008B17B3" w:rsidRPr="001F1399">
        <w:rPr>
          <w:rFonts w:ascii="Book Antiqua" w:hAnsi="Book Antiqua"/>
          <w:sz w:val="24"/>
          <w:szCs w:val="24"/>
          <w:lang w:val="en-US"/>
        </w:rPr>
        <w:t xml:space="preserve"> Few studies are carried out on the effect of mycotoxins on the fetus during gestation. Moreover, an occupational exposure to mycotoxins in grain induces labor at an early stage of pregnancy</w:t>
      </w:r>
      <w:r w:rsidR="008B17B3" w:rsidRPr="001F1399">
        <w:rPr>
          <w:rFonts w:ascii="Book Antiqua" w:hAnsi="Book Antiqua"/>
          <w:sz w:val="24"/>
          <w:szCs w:val="24"/>
          <w:lang w:val="en-US"/>
        </w:rPr>
        <w:fldChar w:fldCharType="begin" w:fldLock="1"/>
      </w:r>
      <w:r w:rsidR="00B1214D" w:rsidRPr="001F1399">
        <w:rPr>
          <w:rFonts w:ascii="Book Antiqua" w:hAnsi="Book Antiqua"/>
          <w:sz w:val="24"/>
          <w:szCs w:val="24"/>
          <w:lang w:val="en-US"/>
        </w:rPr>
        <w:instrText>ADDIN CSL_CITATION {"citationItems":[{"id":"ITEM-1","itemData":{"DOI":"10.1093/oxfordjournals.aje.a009274","ISSN":"0002-9262","PMID":"9270412","author":[{"dropping-particle":"","family":"Kristensen","given":"P.","non-dropping-particle":"","parse-names":false,"suffix":""},{"dropping-particle":"","family":"Irgens","given":"L. M.","non-dropping-particle":"","parse-names":false,"suffix":""},{"dropping-particle":"","family":"Anderson","given":"A.","non-dropping-particle":"","parse-names":false,"suffix":""},{"dropping-particle":"","family":"Bye","given":"A. S.","non-dropping-particle":"","parse-names":false,"suffix":""},{"dropping-particle":"","family":"Sundheim","given":"L.","non-dropping-particle":"","parse-names":false,"suffix":""}],"container-title":"American Journal of Epidemiology","id":"ITEM-1","issue":"4","issued":{"date-parts":[["1997","8","15"]]},"page":"329-338","title":"Gestational Age, Birth Weight, and Perinatal Death among Births to Norwegian Farmers, 1967-1991","type":"article-journal","volume":"146"},"uris":["http://www.mendeley.com/documents/?uuid=ffba676f-3879-3af2-a86f-66baeb385020"]}],"mendeley":{"formattedCitation":"&lt;sup&gt;[102]&lt;/sup&gt;","plainTextFormattedCitation":"[102]","previouslyFormattedCitation":"&lt;sup&gt;[101]&lt;/sup&gt;"},"properties":{"noteIndex":0},"schema":"https://github.com/citation-style-language/schema/raw/master/csl-citation.json"}</w:instrText>
      </w:r>
      <w:r w:rsidR="008B17B3"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lang w:val="en-US"/>
        </w:rPr>
        <w:t>[102]</w:t>
      </w:r>
      <w:r w:rsidR="008B17B3" w:rsidRPr="001F1399">
        <w:rPr>
          <w:rFonts w:ascii="Book Antiqua" w:hAnsi="Book Antiqua"/>
          <w:sz w:val="24"/>
          <w:szCs w:val="24"/>
          <w:lang w:val="en-US"/>
        </w:rPr>
        <w:fldChar w:fldCharType="end"/>
      </w:r>
      <w:r w:rsidR="008B17B3" w:rsidRPr="001F1399">
        <w:rPr>
          <w:rFonts w:ascii="Book Antiqua" w:hAnsi="Book Antiqua"/>
          <w:sz w:val="24"/>
          <w:szCs w:val="24"/>
          <w:lang w:val="en-US"/>
        </w:rPr>
        <w:t>.</w:t>
      </w:r>
    </w:p>
    <w:p w14:paraId="059651CF" w14:textId="08FC3507" w:rsidR="55E386A1" w:rsidRPr="001F1399" w:rsidRDefault="008B17B3" w:rsidP="002974FA">
      <w:pPr>
        <w:pStyle w:val="paragraph"/>
        <w:adjustRightInd w:val="0"/>
        <w:snapToGrid w:val="0"/>
        <w:spacing w:before="0" w:beforeAutospacing="0" w:after="0" w:afterAutospacing="0" w:line="360" w:lineRule="auto"/>
        <w:ind w:firstLineChars="100" w:firstLine="240"/>
        <w:jc w:val="both"/>
        <w:textAlignment w:val="baseline"/>
        <w:rPr>
          <w:rFonts w:ascii="Book Antiqua" w:eastAsia="Calibri" w:hAnsi="Book Antiqua" w:cs="Calibri"/>
        </w:rPr>
      </w:pPr>
      <w:r w:rsidRPr="001F1399">
        <w:rPr>
          <w:rFonts w:ascii="Book Antiqua" w:hAnsi="Book Antiqua" w:cs="Calibri"/>
          <w:lang w:val="en-US"/>
        </w:rPr>
        <w:t xml:space="preserve">Only one human study investigated </w:t>
      </w:r>
      <w:r w:rsidR="00F4775A" w:rsidRPr="001F1399">
        <w:rPr>
          <w:rFonts w:ascii="Book Antiqua" w:hAnsi="Book Antiqua" w:cs="Calibri"/>
          <w:lang w:val="en-US"/>
        </w:rPr>
        <w:t>AF</w:t>
      </w:r>
      <w:r w:rsidRPr="001F1399">
        <w:rPr>
          <w:rFonts w:ascii="Book Antiqua" w:hAnsi="Book Antiqua" w:cs="Calibri"/>
          <w:lang w:val="en-US"/>
        </w:rPr>
        <w:t xml:space="preserve"> exposure and prematurity, but animal studies suggest </w:t>
      </w:r>
      <w:r w:rsidR="003445B4" w:rsidRPr="001F1399">
        <w:rPr>
          <w:rFonts w:ascii="Book Antiqua" w:hAnsi="Book Antiqua" w:cs="Calibri"/>
          <w:lang w:val="en-US"/>
        </w:rPr>
        <w:t>AF</w:t>
      </w:r>
      <w:r w:rsidRPr="001F1399">
        <w:rPr>
          <w:rFonts w:ascii="Book Antiqua" w:hAnsi="Book Antiqua" w:cs="Calibri"/>
          <w:lang w:val="en-US"/>
        </w:rPr>
        <w:t xml:space="preserve"> exposure may increase risk for prematurity and pregnancy loss. The fetus could be affected by maternal </w:t>
      </w:r>
      <w:r w:rsidR="003445B4" w:rsidRPr="001F1399">
        <w:rPr>
          <w:rFonts w:ascii="Book Antiqua" w:hAnsi="Book Antiqua" w:cs="Calibri"/>
          <w:lang w:val="en-US"/>
        </w:rPr>
        <w:t>AF</w:t>
      </w:r>
      <w:r w:rsidRPr="001F1399">
        <w:rPr>
          <w:rFonts w:ascii="Book Antiqua" w:hAnsi="Book Antiqua" w:cs="Calibri"/>
          <w:lang w:val="en-US"/>
        </w:rPr>
        <w:t xml:space="preserve"> exposure through direct toxicity as well as indirect toxicity, </w:t>
      </w:r>
      <w:r w:rsidRPr="001F1399">
        <w:rPr>
          <w:rFonts w:ascii="Book Antiqua" w:hAnsi="Book Antiqua" w:cs="Calibri"/>
          <w:i/>
          <w:iCs/>
          <w:lang w:val="en-US"/>
        </w:rPr>
        <w:t>via</w:t>
      </w:r>
      <w:r w:rsidRPr="001F1399">
        <w:rPr>
          <w:rFonts w:ascii="Book Antiqua" w:hAnsi="Book Antiqua" w:cs="Calibri"/>
          <w:lang w:val="en-US"/>
        </w:rPr>
        <w:t xml:space="preserve"> maternal systemic inflammation, impaired placental growth, or elevation of placental cytokines. The cytotoxic and systemic effects of </w:t>
      </w:r>
      <w:r w:rsidR="003445B4" w:rsidRPr="001F1399">
        <w:rPr>
          <w:rFonts w:ascii="Book Antiqua" w:hAnsi="Book Antiqua" w:cs="Calibri"/>
          <w:lang w:val="en-US"/>
        </w:rPr>
        <w:t>AF</w:t>
      </w:r>
      <w:r w:rsidRPr="001F1399">
        <w:rPr>
          <w:rFonts w:ascii="Book Antiqua" w:hAnsi="Book Antiqua" w:cs="Calibri"/>
          <w:lang w:val="en-US"/>
        </w:rPr>
        <w:t xml:space="preserve"> could plausibly mediate maternal anemia, intrauterine growth restriction, fetal loss, and preterm birth</w:t>
      </w:r>
      <w:r w:rsidRPr="001F1399">
        <w:rPr>
          <w:rFonts w:ascii="Book Antiqua" w:hAnsi="Book Antiqua" w:cs="Calibri"/>
          <w:lang w:val="en-US"/>
        </w:rPr>
        <w:fldChar w:fldCharType="begin" w:fldLock="1"/>
      </w:r>
      <w:r w:rsidR="00B1214D" w:rsidRPr="001F1399">
        <w:rPr>
          <w:rFonts w:ascii="Book Antiqua" w:hAnsi="Book Antiqua" w:cs="Calibri"/>
          <w:lang w:val="en-US"/>
        </w:rPr>
        <w:instrText>ADDIN CSL_CITATION {"citationItems":[{"id":"ITEM-1","itemData":{"DOI":"10.4269/ajtmh.16-0730","ISSN":"00029637","PMID":"28500823","abstract":"Pregnant women and their developing fetuses are vulnerable to multiple environmental insults, including exposure to aflatoxin, a mycotoxin that may contaminate as much as 25% of the world food supply. We reviewed and integrated findings from studies of aflatoxin exposure during pregnancy and evaluated potential links to adverse pregnancy outcomes. We identified 27 studies (10 human cross-sectional studies and 17 animal studies) assessing the relationship between aflatoxin exposure and adverse birth outcomes or anemia. Findings suggest that aflatoxin exposure during pregnancy may impair fetal growth. Only one human study investigated aflatoxin exposure and prematurity, and no studies investigated its relationship with pregnancy loss, but animal studies suggest aflatoxin exposure may increase risk for prematurity and pregnancy loss. The fetus could be affected by maternal aflatoxin exposure through direct toxicity as well as indirect toxicity, via maternal systemic inflammation, impaired placental growth, or elevation of placental cytokines. The cytotoxic and systemic effects of aflatoxin could plausibly mediate maternal anemia, intrauterine growth restriction, fetal loss, and preterm birth. Given the widespread exposure to this toxin in developing countries, longitudinal studies in pregnant women are needed to provide stronger evidence for the role of aflatoxin in adverse pregnancy outcomes, and to explore biological mechanisms. Potential pathways for intervention to reduce aflatoxin exposure are urgently needed, and this might reduce the global burden of stillbirth, preterm birth, and low birthweight.","author":[{"dropping-particle":"","family":"Smith","given":"Laura E.","non-dropping-particle":"","parse-names":false,"suffix":""},{"dropping-particle":"","family":"Prendergast","given":"Andrew J.","non-dropping-particle":"","parse-names":false,"suffix":""},{"dropping-particle":"","family":"Turner","given":"Paul C.","non-dropping-particle":"","parse-names":false,"suffix":""},{"dropping-particle":"","family":"Humphrey","given":"Jean H.","non-dropping-particle":"","parse-names":false,"suffix":""},{"dropping-particle":"","family":"Stoltzfus","given":"Rebecca J.","non-dropping-particle":"","parse-names":false,"suffix":""}],"container-title":"American Journal of Tropical Medicine and Hygiene","id":"ITEM-1","issue":"4","issued":{"date-parts":[["2017"]]},"page":"770-776","title":"Aflatoxin exposure during pregnancy, maternal anemia, and adverse birth outcomes","type":"article-journal","volume":"96"},"uris":["http://www.mendeley.com/documents/?uuid=35d68fac-c74d-48e4-ad6b-384acc77e4e1"]}],"mendeley":{"formattedCitation":"&lt;sup&gt;[103]&lt;/sup&gt;","plainTextFormattedCitation":"[103]","previouslyFormattedCitation":"&lt;sup&gt;[102]&lt;/sup&gt;"},"properties":{"noteIndex":0},"schema":"https://github.com/citation-style-language/schema/raw/master/csl-citation.json"}</w:instrText>
      </w:r>
      <w:r w:rsidRPr="001F1399">
        <w:rPr>
          <w:rFonts w:ascii="Book Antiqua" w:hAnsi="Book Antiqua" w:cs="Calibri"/>
          <w:lang w:val="en-US"/>
        </w:rPr>
        <w:fldChar w:fldCharType="separate"/>
      </w:r>
      <w:r w:rsidR="00B1214D" w:rsidRPr="001F1399">
        <w:rPr>
          <w:rFonts w:ascii="Book Antiqua" w:hAnsi="Book Antiqua" w:cs="Calibri"/>
          <w:noProof/>
          <w:vertAlign w:val="superscript"/>
          <w:lang w:val="en-US"/>
        </w:rPr>
        <w:t>[103]</w:t>
      </w:r>
      <w:r w:rsidRPr="001F1399">
        <w:rPr>
          <w:rFonts w:ascii="Book Antiqua" w:hAnsi="Book Antiqua" w:cs="Calibri"/>
          <w:lang w:val="en-US"/>
        </w:rPr>
        <w:fldChar w:fldCharType="end"/>
      </w:r>
      <w:r w:rsidRPr="001F1399">
        <w:rPr>
          <w:rFonts w:ascii="Book Antiqua" w:hAnsi="Book Antiqua" w:cs="Calibri"/>
          <w:lang w:val="en-US"/>
        </w:rPr>
        <w:t xml:space="preserve">. </w:t>
      </w:r>
      <w:r w:rsidR="55E386A1" w:rsidRPr="001F1399">
        <w:rPr>
          <w:rFonts w:ascii="Book Antiqua" w:eastAsia="Calibri" w:hAnsi="Book Antiqua" w:cs="Calibri"/>
          <w:lang w:val="en-GB"/>
        </w:rPr>
        <w:t xml:space="preserve">A study realised on </w:t>
      </w:r>
      <w:r w:rsidR="00CD5495" w:rsidRPr="001F1399">
        <w:rPr>
          <w:rFonts w:ascii="Book Antiqua" w:eastAsia="Calibri" w:hAnsi="Book Antiqua" w:cs="Calibri"/>
          <w:lang w:val="en-GB"/>
        </w:rPr>
        <w:t xml:space="preserve">a specific </w:t>
      </w:r>
      <w:r w:rsidR="55E386A1" w:rsidRPr="001F1399">
        <w:rPr>
          <w:rFonts w:ascii="Book Antiqua" w:eastAsia="Calibri" w:hAnsi="Book Antiqua" w:cs="Calibri"/>
          <w:lang w:val="en-GB"/>
        </w:rPr>
        <w:t xml:space="preserve">Human population submitted to </w:t>
      </w:r>
      <w:r w:rsidR="003445B4" w:rsidRPr="001F1399">
        <w:rPr>
          <w:rFonts w:ascii="Book Antiqua" w:eastAsia="Calibri" w:hAnsi="Book Antiqua" w:cs="Calibri"/>
          <w:lang w:val="en-GB"/>
        </w:rPr>
        <w:t>AF</w:t>
      </w:r>
      <w:r w:rsidR="55E386A1" w:rsidRPr="001F1399">
        <w:rPr>
          <w:rFonts w:ascii="Book Antiqua" w:eastAsia="Calibri" w:hAnsi="Book Antiqua" w:cs="Calibri"/>
          <w:lang w:val="en-GB"/>
        </w:rPr>
        <w:t xml:space="preserve"> exposition</w:t>
      </w:r>
      <w:r w:rsidR="261D4E59" w:rsidRPr="001F1399">
        <w:rPr>
          <w:rFonts w:ascii="Book Antiqua" w:eastAsia="Calibri" w:hAnsi="Book Antiqua" w:cs="Calibri"/>
          <w:lang w:val="en-GB"/>
        </w:rPr>
        <w:t xml:space="preserve"> show</w:t>
      </w:r>
      <w:r w:rsidR="00A8029D" w:rsidRPr="001F1399">
        <w:rPr>
          <w:rFonts w:ascii="Book Antiqua" w:eastAsia="Calibri" w:hAnsi="Book Antiqua" w:cs="Calibri"/>
          <w:lang w:val="en-GB"/>
        </w:rPr>
        <w:t>ed</w:t>
      </w:r>
      <w:r w:rsidR="261D4E59" w:rsidRPr="001F1399">
        <w:rPr>
          <w:rFonts w:ascii="Book Antiqua" w:eastAsia="Calibri" w:hAnsi="Book Antiqua" w:cs="Calibri"/>
          <w:lang w:val="en-GB"/>
        </w:rPr>
        <w:t xml:space="preserve"> perturbation on epige</w:t>
      </w:r>
      <w:r w:rsidR="003F045F" w:rsidRPr="001F1399">
        <w:rPr>
          <w:rFonts w:ascii="Book Antiqua" w:eastAsia="Calibri" w:hAnsi="Book Antiqua" w:cs="Calibri"/>
          <w:lang w:val="en-GB"/>
        </w:rPr>
        <w:t>netic mod</w:t>
      </w:r>
      <w:r w:rsidR="261D4E59" w:rsidRPr="001F1399">
        <w:rPr>
          <w:rFonts w:ascii="Book Antiqua" w:eastAsia="Calibri" w:hAnsi="Book Antiqua" w:cs="Calibri"/>
          <w:lang w:val="en-GB"/>
        </w:rPr>
        <w:t xml:space="preserve">ifications. Precisely, </w:t>
      </w:r>
      <w:r w:rsidR="55E386A1" w:rsidRPr="001F1399">
        <w:rPr>
          <w:rFonts w:ascii="Book Antiqua" w:eastAsia="Calibri" w:hAnsi="Book Antiqua" w:cs="Calibri"/>
          <w:lang w:val="en-GB"/>
        </w:rPr>
        <w:t>it has been show</w:t>
      </w:r>
      <w:r w:rsidR="003F045F" w:rsidRPr="001F1399">
        <w:rPr>
          <w:rFonts w:ascii="Book Antiqua" w:eastAsia="Calibri" w:hAnsi="Book Antiqua" w:cs="Calibri"/>
          <w:lang w:val="en-GB"/>
        </w:rPr>
        <w:t>n</w:t>
      </w:r>
      <w:r w:rsidR="55E386A1" w:rsidRPr="001F1399">
        <w:rPr>
          <w:rFonts w:ascii="Book Antiqua" w:eastAsia="Calibri" w:hAnsi="Book Antiqua" w:cs="Calibri"/>
          <w:lang w:val="en-GB"/>
        </w:rPr>
        <w:t xml:space="preserve"> a correlation between </w:t>
      </w:r>
      <w:r w:rsidR="00E81BC5" w:rsidRPr="001F1399">
        <w:rPr>
          <w:rFonts w:ascii="Book Antiqua" w:eastAsia="Calibri" w:hAnsi="Book Antiqua" w:cs="Calibri"/>
          <w:lang w:val="en-GB"/>
        </w:rPr>
        <w:t xml:space="preserve">AF </w:t>
      </w:r>
      <w:r w:rsidR="55E386A1" w:rsidRPr="001F1399">
        <w:rPr>
          <w:rFonts w:ascii="Book Antiqua" w:eastAsia="Calibri" w:hAnsi="Book Antiqua" w:cs="Calibri"/>
          <w:lang w:val="en-GB"/>
        </w:rPr>
        <w:t>rate in mother during gestation</w:t>
      </w:r>
      <w:r w:rsidR="5261F9F6" w:rsidRPr="001F1399">
        <w:rPr>
          <w:rFonts w:ascii="Book Antiqua" w:eastAsia="Calibri" w:hAnsi="Book Antiqua" w:cs="Calibri"/>
          <w:lang w:val="en-GB"/>
        </w:rPr>
        <w:t xml:space="preserve"> and a differential methylation </w:t>
      </w:r>
      <w:r w:rsidR="003F045F" w:rsidRPr="001F1399">
        <w:rPr>
          <w:rFonts w:ascii="Book Antiqua" w:eastAsia="Calibri" w:hAnsi="Book Antiqua" w:cs="Calibri"/>
          <w:lang w:val="en-GB"/>
        </w:rPr>
        <w:t>pattern</w:t>
      </w:r>
      <w:r w:rsidR="5261F9F6" w:rsidRPr="001F1399">
        <w:rPr>
          <w:rFonts w:ascii="Book Antiqua" w:eastAsia="Calibri" w:hAnsi="Book Antiqua" w:cs="Calibri"/>
          <w:lang w:val="en-GB"/>
        </w:rPr>
        <w:t xml:space="preserve"> of many genes in child after birth</w:t>
      </w:r>
      <w:r w:rsidR="00CD5495" w:rsidRPr="001F1399">
        <w:rPr>
          <w:rFonts w:ascii="Book Antiqua" w:eastAsia="Calibri" w:hAnsi="Book Antiqua" w:cs="Calibri"/>
          <w:lang w:val="en-GB"/>
        </w:rPr>
        <w:t>,</w:t>
      </w:r>
      <w:r w:rsidR="5261F9F6" w:rsidRPr="001F1399">
        <w:rPr>
          <w:rFonts w:ascii="Book Antiqua" w:eastAsia="Calibri" w:hAnsi="Book Antiqua" w:cs="Calibri"/>
          <w:lang w:val="en-GB"/>
        </w:rPr>
        <w:t xml:space="preserve"> </w:t>
      </w:r>
      <w:r w:rsidR="003F045F" w:rsidRPr="001F1399">
        <w:rPr>
          <w:rFonts w:ascii="Book Antiqua" w:eastAsia="Calibri" w:hAnsi="Book Antiqua" w:cs="Calibri"/>
          <w:lang w:val="en-GB"/>
        </w:rPr>
        <w:t>susceptible</w:t>
      </w:r>
      <w:r w:rsidR="5261F9F6" w:rsidRPr="001F1399">
        <w:rPr>
          <w:rFonts w:ascii="Book Antiqua" w:eastAsia="Calibri" w:hAnsi="Book Antiqua" w:cs="Calibri"/>
          <w:lang w:val="en-GB"/>
        </w:rPr>
        <w:t xml:space="preserve"> to affect gene expression</w:t>
      </w:r>
      <w:r w:rsidR="00A8029D" w:rsidRPr="001F1399">
        <w:rPr>
          <w:rFonts w:ascii="Book Antiqua" w:eastAsia="Calibri" w:hAnsi="Book Antiqua" w:cs="Calibri"/>
          <w:lang w:val="en-GB"/>
        </w:rPr>
        <w:fldChar w:fldCharType="begin" w:fldLock="1"/>
      </w:r>
      <w:r w:rsidR="00B1214D" w:rsidRPr="001F1399">
        <w:rPr>
          <w:rFonts w:ascii="Book Antiqua" w:eastAsia="Calibri" w:hAnsi="Book Antiqua" w:cs="Calibri"/>
          <w:lang w:val="en-GB"/>
        </w:rPr>
        <w:instrText>ADDIN CSL_CITATION {"citationItems":[{"id":"ITEM-1","itemData":{"DOI":"10.1093/ije/dyv027","ISSN":"0300-5771","PMID":"25855716","abstract":"Background: Exposure to environmental toxins during embryonic development may lead to epigenetic changes that influence disease risk in later life. Aflatoxin is a contaminant of staple foods in sub-Saharan Africa, is a known human liver carcinogen and has been associated with stunting in infants. Methods: We have measured aflatoxin exposure in 115 pregnant women in The Gambia and examined the DNA methylation status of white blood cells from their infants at 2-8 months old (mean 3.6±0.9). Aflatoxin exposure in women was assessed using an ELISA method to measure aflatoxin albumin (AF-alb) adducts in plasma taken at 1-16 weeks of pregnancy. Genome-wide DNA methylation of infant white blood cells was measured using the Illumina Infinium HumanMethylation450beadchip. Results: AF-alb levels ranged from 3.9 to 458.4 pg/mg albumin. We found that aflatoxin exposure in the motherswas associated to DNAmethylation in their infants for 71 CpG sites (false discovery rate&lt;0.05), with an average effect size of 1.7% change in methylation. Aflatoxin-associated differential methylationwas observed in growth factor genes such as FGF12 and IGF1, and immune-related genes such as CCL28, TLR2 and TGFBI. Moreover, one aflatoxin-associated methylation region (corresponding to themiR-4520b locus)was identified. Conclusions: This study shows that maternal exposure to aflatoxin during the early stages of pregnancy is associated with differential DNA methylation patterns of infants, including in genes related to growth and immune function. This reinforces the need for interventions to reduce aflatoxin exposure, especially during critical periods of fetal and infant development.","author":[{"dropping-particle":"","family":"Hernandez-Vargas","given":"Hector","non-dropping-particle":"","parse-names":false,"suffix":""},{"dropping-particle":"","family":"Castelino","given":"Jovita","non-dropping-particle":"","parse-names":false,"suffix":""},{"dropping-particle":"","family":"Silver","given":"Matt J.","non-dropping-particle":"","parse-names":false,"suffix":""},{"dropping-particle":"","family":"Dominguez-Salas","given":"Paula","non-dropping-particle":"","parse-names":false,"suffix":""},{"dropping-particle":"","family":"Cros","given":"Marie-Pierre","non-dropping-particle":"","parse-names":false,"suffix":""},{"dropping-particle":"","family":"Durand","given":"Geoffroy","non-dropping-particle":"","parse-names":false,"suffix":""},{"dropping-particle":"Le","family":"Calvez-Kelm","given":"Florence","non-dropping-particle":"","parse-names":false,"suffix":""},{"dropping-particle":"","family":"Prentice","given":"Andrew M.","non-dropping-particle":"","parse-names":false,"suffix":""},{"dropping-particle":"","family":"Wild","given":"Christopher P.","non-dropping-particle":"","parse-names":false,"suffix":""},{"dropping-particle":"","family":"Moore","given":"Sophie E.","non-dropping-particle":"","parse-names":false,"suffix":""},{"dropping-particle":"","family":"Hennig","given":"Branwen J.","non-dropping-particle":"","parse-names":false,"suffix":""},{"dropping-particle":"","family":"Herceg","given":"Zdenko","non-dropping-particle":"","parse-names":false,"suffix":""},{"dropping-particle":"","family":"Gong","given":"Yun Yun","non-dropping-particle":"","parse-names":false,"suffix":""},{"dropping-particle":"","family":"Routledge","given":"Michael N.","non-dropping-particle":"","parse-names":false,"suffix":""}],"container-title":"International Journal of Epidemiology","id":"ITEM-1","issue":"4","issued":{"date-parts":[["2015","8","1"]]},"page":"1238-1248","publisher":"Oxford University Press","title":"Exposure to aflatoxin B 1 in utero is associated with DNA methylation in white blood cells of infants in The Gambia","type":"article-journal","volume":"44"},"uris":["http://www.mendeley.com/documents/?uuid=5c6fa8d5-8654-3ac9-a1a0-7bd4f0599d0e"]}],"mendeley":{"formattedCitation":"&lt;sup&gt;[104]&lt;/sup&gt;","plainTextFormattedCitation":"[104]","previouslyFormattedCitation":"&lt;sup&gt;[103]&lt;/sup&gt;"},"properties":{"noteIndex":0},"schema":"https://github.com/citation-style-language/schema/raw/master/csl-citation.json"}</w:instrText>
      </w:r>
      <w:r w:rsidR="00A8029D" w:rsidRPr="001F1399">
        <w:rPr>
          <w:rFonts w:ascii="Book Antiqua" w:eastAsia="Calibri" w:hAnsi="Book Antiqua" w:cs="Calibri"/>
          <w:lang w:val="en-GB"/>
        </w:rPr>
        <w:fldChar w:fldCharType="separate"/>
      </w:r>
      <w:r w:rsidR="00B1214D" w:rsidRPr="001F1399">
        <w:rPr>
          <w:rFonts w:ascii="Book Antiqua" w:eastAsia="Calibri" w:hAnsi="Book Antiqua" w:cs="Calibri"/>
          <w:noProof/>
          <w:vertAlign w:val="superscript"/>
          <w:lang w:val="en-GB"/>
        </w:rPr>
        <w:t>[104]</w:t>
      </w:r>
      <w:r w:rsidR="00A8029D" w:rsidRPr="001F1399">
        <w:rPr>
          <w:rFonts w:ascii="Book Antiqua" w:eastAsia="Calibri" w:hAnsi="Book Antiqua" w:cs="Calibri"/>
          <w:lang w:val="en-GB"/>
        </w:rPr>
        <w:fldChar w:fldCharType="end"/>
      </w:r>
      <w:r w:rsidR="00BD2F07" w:rsidRPr="001F1399">
        <w:rPr>
          <w:rFonts w:ascii="Book Antiqua" w:eastAsia="Calibri" w:hAnsi="Book Antiqua" w:cs="Calibri"/>
          <w:lang w:val="en-GB"/>
        </w:rPr>
        <w:t>.</w:t>
      </w:r>
      <w:r w:rsidR="00440D32" w:rsidRPr="001F1399">
        <w:rPr>
          <w:rFonts w:ascii="Book Antiqua" w:eastAsia="Calibri" w:hAnsi="Book Antiqua" w:cs="Calibri"/>
          <w:lang w:val="en-GB"/>
        </w:rPr>
        <w:t xml:space="preserve"> </w:t>
      </w:r>
      <w:r w:rsidR="00226543" w:rsidRPr="001F1399">
        <w:rPr>
          <w:rFonts w:ascii="Book Antiqua" w:eastAsia="Calibri" w:hAnsi="Book Antiqua" w:cs="Calibri"/>
          <w:lang w:val="en-GB"/>
        </w:rPr>
        <w:t>Indeed</w:t>
      </w:r>
      <w:r w:rsidR="00A8029D" w:rsidRPr="001F1399">
        <w:rPr>
          <w:rFonts w:ascii="Book Antiqua" w:eastAsia="Calibri" w:hAnsi="Book Antiqua" w:cs="Calibri"/>
          <w:lang w:val="en-GB"/>
        </w:rPr>
        <w:t>,</w:t>
      </w:r>
      <w:r w:rsidR="00226543" w:rsidRPr="001F1399">
        <w:rPr>
          <w:rFonts w:ascii="Book Antiqua" w:eastAsia="Calibri" w:hAnsi="Book Antiqua" w:cs="Calibri"/>
          <w:lang w:val="en-GB"/>
        </w:rPr>
        <w:t xml:space="preserve"> </w:t>
      </w:r>
      <w:r w:rsidR="00A8029D" w:rsidRPr="001F1399">
        <w:rPr>
          <w:rFonts w:ascii="Book Antiqua" w:eastAsia="Calibri" w:hAnsi="Book Antiqua" w:cs="Calibri"/>
          <w:lang w:val="en-GB"/>
        </w:rPr>
        <w:t>another</w:t>
      </w:r>
      <w:r w:rsidR="00226543" w:rsidRPr="001F1399">
        <w:rPr>
          <w:rFonts w:ascii="Book Antiqua" w:eastAsia="Calibri" w:hAnsi="Book Antiqua" w:cs="Calibri"/>
          <w:lang w:val="en-GB"/>
        </w:rPr>
        <w:t xml:space="preserve"> study on cells from the digestive tract show</w:t>
      </w:r>
      <w:r w:rsidR="00A8029D" w:rsidRPr="001F1399">
        <w:rPr>
          <w:rFonts w:ascii="Book Antiqua" w:eastAsia="Calibri" w:hAnsi="Book Antiqua" w:cs="Calibri"/>
          <w:lang w:val="en-GB"/>
        </w:rPr>
        <w:t>ed</w:t>
      </w:r>
      <w:r w:rsidR="00226543" w:rsidRPr="001F1399">
        <w:rPr>
          <w:rFonts w:ascii="Book Antiqua" w:eastAsia="Calibri" w:hAnsi="Book Antiqua" w:cs="Calibri"/>
          <w:lang w:val="en-GB"/>
        </w:rPr>
        <w:t xml:space="preserve"> that </w:t>
      </w:r>
      <w:r w:rsidR="00BE2479" w:rsidRPr="001F1399">
        <w:rPr>
          <w:rFonts w:ascii="Book Antiqua" w:eastAsia="Calibri" w:hAnsi="Book Antiqua" w:cs="Calibri"/>
          <w:lang w:val="en-GB"/>
        </w:rPr>
        <w:t>exposition to another mycotoxin fumonisin B1 alter</w:t>
      </w:r>
      <w:r w:rsidR="00A8029D" w:rsidRPr="001F1399">
        <w:rPr>
          <w:rFonts w:ascii="Book Antiqua" w:eastAsia="Calibri" w:hAnsi="Book Antiqua" w:cs="Calibri"/>
          <w:lang w:val="en-GB"/>
        </w:rPr>
        <w:t>ed</w:t>
      </w:r>
      <w:r w:rsidR="00BE2479" w:rsidRPr="001F1399">
        <w:rPr>
          <w:rFonts w:ascii="Book Antiqua" w:eastAsia="Calibri" w:hAnsi="Book Antiqua" w:cs="Calibri"/>
          <w:lang w:val="en-GB"/>
        </w:rPr>
        <w:t xml:space="preserve"> methylation of gene promotors, showing that this mechanism is </w:t>
      </w:r>
      <w:r w:rsidR="00A8029D" w:rsidRPr="001F1399">
        <w:rPr>
          <w:rFonts w:ascii="Book Antiqua" w:eastAsia="Calibri" w:hAnsi="Book Antiqua" w:cs="Calibri"/>
          <w:lang w:val="en-GB"/>
        </w:rPr>
        <w:t>possibly</w:t>
      </w:r>
      <w:r w:rsidR="00BE2479" w:rsidRPr="001F1399">
        <w:rPr>
          <w:rFonts w:ascii="Book Antiqua" w:eastAsia="Calibri" w:hAnsi="Book Antiqua" w:cs="Calibri"/>
          <w:lang w:val="en-GB"/>
        </w:rPr>
        <w:t xml:space="preserve"> general</w:t>
      </w:r>
      <w:r w:rsidR="00A8029D" w:rsidRPr="001F1399">
        <w:rPr>
          <w:rFonts w:ascii="Book Antiqua" w:eastAsia="Calibri" w:hAnsi="Book Antiqua" w:cs="Calibri"/>
          <w:lang w:val="en-GB"/>
        </w:rPr>
        <w:fldChar w:fldCharType="begin" w:fldLock="1"/>
      </w:r>
      <w:r w:rsidR="00B1214D" w:rsidRPr="001F1399">
        <w:rPr>
          <w:rFonts w:ascii="Book Antiqua" w:eastAsia="Calibri" w:hAnsi="Book Antiqua" w:cs="Calibri"/>
          <w:lang w:val="en-GB"/>
        </w:rPr>
        <w:instrText>ADDIN CSL_CITATION {"citationItems":[{"id":"ITEM-1","itemData":{"DOI":"10.3109/13880209.2014.976714","ISSN":"1388-0209","PMID":"25858139","abstract":"Context: Fumonisin B1 (FB1) is a mycotoxin produced by Fusarium verticillioides (Sacc.) Nirenberg (Nectriaceae) mold that contaminates maize and other agricultural products. Although the effects of FB1 on sphingolipid metabolism are clear, little is known about early molecular changes associated with FB1 carcinogenicity. Objective: Alteration on DNA methylation, as an early event in non-genotoxic carcinogenesis, may play an important role in the mechanism of FB1 toxiciy. Materials and methods: Dose-related effects of FB1 (1-50 μM for 24 h) on global DNA methylation by using high-performance liquid chromatography with UV-diode array detection (HPLC-UV/DAD) and CpG promoter methylation by methylation-specific PCR (MSP) were performed in rat liver (Clone 9) and rat kidney (NRK-52E) epithelial cells. Results: Cell viability reduction is 39% and 34% by the XTT test and LDH release in the growth medium is 32% and 26% at 200 μM of FB1 treatment in Clone 9 and NRK-52E cells, respectively. No significant dose-related effects of FB1 on global DNA methylation which ranged from 4 to 5% were observed in both cells compared with contro</w:instrText>
      </w:r>
      <w:r w:rsidR="00B1214D" w:rsidRPr="001F1399">
        <w:rPr>
          <w:rFonts w:ascii="Book Antiqua" w:eastAsia="Calibri" w:hAnsi="Book Antiqua" w:cs="Calibri"/>
          <w:lang w:val="en-US"/>
        </w:rPr>
        <w:instrText>ls. Promote</w:instrText>
      </w:r>
      <w:r w:rsidR="00B1214D" w:rsidRPr="001F1399">
        <w:rPr>
          <w:rFonts w:ascii="Book Antiqua" w:eastAsia="Calibri" w:hAnsi="Book Antiqua" w:cs="Calibri"/>
        </w:rPr>
        <w:instrText xml:space="preserve">r regions of c-myc gene were methylated (&gt;33%) at 10 and 50 </w:instrText>
      </w:r>
      <w:r w:rsidR="00B1214D" w:rsidRPr="001F1399">
        <w:rPr>
          <w:rFonts w:ascii="Book Antiqua" w:eastAsia="Calibri" w:hAnsi="Book Antiqua" w:cs="Calibri"/>
          <w:lang w:val="en-GB"/>
        </w:rPr>
        <w:instrText>μ</w:instrText>
      </w:r>
      <w:r w:rsidR="00B1214D" w:rsidRPr="001F1399">
        <w:rPr>
          <w:rFonts w:ascii="Book Antiqua" w:eastAsia="Calibri" w:hAnsi="Book Antiqua" w:cs="Calibri"/>
        </w:rPr>
        <w:instrText xml:space="preserve">M of FB1 treatment in Clone 9 cells while it was unmethylated in NRK-52E cells. Promoter regions of p15 gene were unmethylated while VHL gene were found to be methylated (&gt;33%) at 10, 25, and 50 </w:instrText>
      </w:r>
      <w:r w:rsidR="00B1214D" w:rsidRPr="001F1399">
        <w:rPr>
          <w:rFonts w:ascii="Book Antiqua" w:eastAsia="Calibri" w:hAnsi="Book Antiqua" w:cs="Calibri"/>
          <w:lang w:val="en-GB"/>
        </w:rPr>
        <w:instrText>μ</w:instrText>
      </w:r>
      <w:r w:rsidR="00B1214D" w:rsidRPr="001F1399">
        <w:rPr>
          <w:rFonts w:ascii="Book Antiqua" w:eastAsia="Calibri" w:hAnsi="Book Antiqua" w:cs="Calibri"/>
        </w:rPr>
        <w:instrText xml:space="preserve">M and 10 and 50 </w:instrText>
      </w:r>
      <w:r w:rsidR="00B1214D" w:rsidRPr="001F1399">
        <w:rPr>
          <w:rFonts w:ascii="Book Antiqua" w:eastAsia="Calibri" w:hAnsi="Book Antiqua" w:cs="Calibri"/>
          <w:lang w:val="en-GB"/>
        </w:rPr>
        <w:instrText>μ</w:instrText>
      </w:r>
      <w:r w:rsidR="00B1214D" w:rsidRPr="001F1399">
        <w:rPr>
          <w:rFonts w:ascii="Book Antiqua" w:eastAsia="Calibri" w:hAnsi="Book Antiqua" w:cs="Calibri"/>
        </w:rPr>
        <w:instrText>M of FB1 treatment in Clone 9 and NRK-52E cells, respectively. Discussion and conclusion: Alteration in DNA methylation might play an important role in the toxicity of FB1 in risk assessment process.","author":[{"dropping-particle":"","family":"Demirel","given":"Goksun","non-dropping-particle":"","parse-names":false,"suffix":""},{"dropping-particle":"","family":"Alpertunga","given":"Buket","non-dropping-particle":"","parse-names":false,"suffix":""},{"dropping-particle":"","family":"Ozden","given":"Sibel","non-dropping-particle":"","parse-names":false,"suffix":""}],"container-title":"Pharmaceutical Biology","id":"ITEM-1","issue":"9","issued":{"date-parts":[["2015","9","2"]]},"page":"1302-1310","publisher":"Taylor and Francis Ltd","title":"Role of fumonisin B1 on DNA methylation changes in rat kidney and liver cells","type":"article-journal","volume":"53"},"uris":["http://www.mendeley.com/documents/?uuid=c163a713-5465-3f4a-887d-ce6047e4a2c4"]}],"mendeley":{"formattedCitation":"&lt;sup&gt;[105]&lt;/sup&gt;","plainTextFormattedCitation":"[105]","previouslyFormattedCitation":"&lt;sup&gt;[104]&lt;/sup&gt;"},"properties":{"noteIndex":0},"schema":"https://github.com/citation-style-language/schema/raw/master/csl-citation.json"}</w:instrText>
      </w:r>
      <w:r w:rsidR="00A8029D" w:rsidRPr="001F1399">
        <w:rPr>
          <w:rFonts w:ascii="Book Antiqua" w:eastAsia="Calibri" w:hAnsi="Book Antiqua" w:cs="Calibri"/>
          <w:lang w:val="en-GB"/>
        </w:rPr>
        <w:fldChar w:fldCharType="separate"/>
      </w:r>
      <w:r w:rsidR="00B1214D" w:rsidRPr="001F1399">
        <w:rPr>
          <w:rFonts w:ascii="Book Antiqua" w:eastAsia="Calibri" w:hAnsi="Book Antiqua" w:cs="Calibri"/>
          <w:noProof/>
          <w:vertAlign w:val="superscript"/>
        </w:rPr>
        <w:t>[105]</w:t>
      </w:r>
      <w:r w:rsidR="00A8029D" w:rsidRPr="001F1399">
        <w:rPr>
          <w:rFonts w:ascii="Book Antiqua" w:eastAsia="Calibri" w:hAnsi="Book Antiqua" w:cs="Calibri"/>
          <w:lang w:val="en-GB"/>
        </w:rPr>
        <w:fldChar w:fldCharType="end"/>
      </w:r>
      <w:r w:rsidR="00A8029D" w:rsidRPr="001F1399">
        <w:rPr>
          <w:rFonts w:ascii="Book Antiqua" w:eastAsia="Calibri" w:hAnsi="Book Antiqua" w:cs="Calibri"/>
        </w:rPr>
        <w:t>.</w:t>
      </w:r>
    </w:p>
    <w:p w14:paraId="455E1A2A" w14:textId="1B2793BC" w:rsidR="008B17B3" w:rsidRPr="001F1399" w:rsidRDefault="008B17B3" w:rsidP="002974FA">
      <w:pPr>
        <w:adjustRightInd w:val="0"/>
        <w:snapToGrid w:val="0"/>
        <w:spacing w:after="0" w:line="360" w:lineRule="auto"/>
        <w:ind w:firstLineChars="100" w:firstLine="240"/>
        <w:jc w:val="both"/>
        <w:rPr>
          <w:rFonts w:ascii="Book Antiqua" w:hAnsi="Book Antiqua"/>
          <w:sz w:val="24"/>
          <w:szCs w:val="24"/>
          <w:lang w:val="en-US"/>
        </w:rPr>
      </w:pPr>
      <w:r w:rsidRPr="001F1399">
        <w:rPr>
          <w:rFonts w:ascii="Book Antiqua" w:hAnsi="Book Antiqua"/>
          <w:sz w:val="24"/>
          <w:szCs w:val="24"/>
        </w:rPr>
        <w:t xml:space="preserve">Wangikar </w:t>
      </w:r>
      <w:r w:rsidRPr="001F1399">
        <w:rPr>
          <w:rFonts w:ascii="Book Antiqua" w:hAnsi="Book Antiqua"/>
          <w:i/>
          <w:sz w:val="24"/>
          <w:szCs w:val="24"/>
        </w:rPr>
        <w:t>et al</w:t>
      </w:r>
      <w:r w:rsidR="003F4907" w:rsidRPr="001F1399">
        <w:rPr>
          <w:rFonts w:ascii="Book Antiqua" w:hAnsi="Book Antiqua"/>
          <w:sz w:val="24"/>
          <w:szCs w:val="24"/>
          <w:lang w:val="en-US"/>
        </w:rPr>
        <w:fldChar w:fldCharType="begin" w:fldLock="1"/>
      </w:r>
      <w:r w:rsidR="00B1214D" w:rsidRPr="001F1399">
        <w:rPr>
          <w:rFonts w:ascii="Book Antiqua" w:hAnsi="Book Antiqua"/>
          <w:sz w:val="24"/>
          <w:szCs w:val="24"/>
        </w:rPr>
        <w:instrText>ADDIN CSL_CITATION {"citationItems":[{"id":"ITEM-1","itemData":{"DOI":"10.1002/bdrb.20021","ISSN":"15429733","PMID":"15617020","abstract":"Ochratoxin A (OA) and Aflatoxin B1 (AFB1), the food borne mycotoxins are produced by several fungal species of the genera Aspergillus and Penicillium. To determine the teratogenic effects, these mycotoxins were administered orally either individually or in combination to the pregnant Wistar rats on days 6-15 of gestation. OA and AFB1 were dissolved in corn oil and different doses of OA (0.125, 0.25, 0.50, and 0.75mg/kg), AFB1 (0.125, 0.25, 0.50, and 1.00 mg/kg), and a combination of OA+AFB1 (0.125+0.125; 0.25+0.50; 0.50+0.25 mg/kg) were given by gastric intubation to rats. During dosing period, the body weight and body weight gains significantly decreased at a higher dosage, in both individual and combined treatments. In all the combination treatments, the percent implants resorbed, fetal body weights, and crownrump lengths were comparable to those of controls and with the individual mycotoxin treatment. The number of dead fetuses was significantly increased in the high OA combination (OA+AFB 1 0.50+0.25) group as compared with the other two combinations. OA and AFB1 alone and in combination caused various gross, skeletal, and visceral anomalies. The occurrence was considerably less pronounced in fetuses of AFB1 and combination groups as compared with those of OA group fetuses. The exencephaly, incomplete closure of skull, wavy and fused ribs, agenesis of the ischium bone, and enlarged renal pelvis, recorded in OA treatment and ear abnormality and incomplete ossification of skull bones observed in AFB1 when given individually, were not seen in combination groups. However, new manifestations, such as gastroschisis and syndactyly were observed and the incidence of cardiac defects was increased in fetuses due to the combined treatment. The results of the present study indicated that there is some interaction between these mycotoxins that resulted in reduced teratogenic activity of OA in the presence of AFB1. Apparently, new manifestations observed in combination treatment points to the potential threat of teratogenicity in terms of public health hazards. © 2004 Wiley-Liss, Inc.","author":[{"dropping-particle":"","family":"Wangikar","given":"P. B.","non-dropping-particle":"","parse-names":false,"suffix":""},{"dropping-particle":"","family":"Dwivedi","given":"P.","non-dropping-particle":"","parse-names":false,"suffix":""},{"dropping-particle":"","family":"Sinha","given":"Neeraj","non-dropping-particle":"","parse-names":false,"suffix":""}],"container-title":"Birth Defects Research Part B - Developmental and Reproductive Toxicology","id":"ITEM-1","issue":"6","issued":{"date-parts":[["2004","12"]]},"page":"343-351","title":"Effect in rats of simultaneous prenatal exposure to ochratoxin A and aflatoxin B1. I. Maternal toxicity and fetal malformations","type":"article-journal","volume":"71"},"uris":["http://www.mendeley.com/documents/?uuid=4b6f3d76-57fa-3e5a-8327-4b1a8b8ce8a3"]}],"mendeley":{"formattedCitation":"&lt;sup&gt;[106]&lt;/sup&gt;","plainTextFormattedCitation":"[106]","previouslyFormattedCitation":"&lt;sup&gt;[105]&lt;/sup&gt;"},"properties":{"noteIndex":0},"schema":"https://github.com/citation-style-language/schema/raw/master/csl-citation.json"}</w:instrText>
      </w:r>
      <w:r w:rsidR="003F4907"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rPr>
        <w:t>[106]</w:t>
      </w:r>
      <w:r w:rsidR="003F4907" w:rsidRPr="001F1399">
        <w:rPr>
          <w:rFonts w:ascii="Book Antiqua" w:hAnsi="Book Antiqua"/>
          <w:sz w:val="24"/>
          <w:szCs w:val="24"/>
          <w:lang w:val="en-US"/>
        </w:rPr>
        <w:fldChar w:fldCharType="end"/>
      </w:r>
      <w:r w:rsidRPr="001F1399">
        <w:rPr>
          <w:rFonts w:ascii="Book Antiqua" w:hAnsi="Book Antiqua"/>
          <w:sz w:val="24"/>
          <w:szCs w:val="24"/>
        </w:rPr>
        <w:t xml:space="preserve">, 2014 studied the effect of OTA and </w:t>
      </w:r>
      <w:r w:rsidR="00E81BC5" w:rsidRPr="001F1399">
        <w:rPr>
          <w:rFonts w:ascii="Book Antiqua" w:hAnsi="Book Antiqua"/>
          <w:sz w:val="24"/>
          <w:szCs w:val="24"/>
        </w:rPr>
        <w:t>aflatoxin B1 (</w:t>
      </w:r>
      <w:r w:rsidRPr="001F1399">
        <w:rPr>
          <w:rFonts w:ascii="Book Antiqua" w:hAnsi="Book Antiqua"/>
          <w:sz w:val="24"/>
          <w:szCs w:val="24"/>
        </w:rPr>
        <w:t>AFB</w:t>
      </w:r>
      <w:r w:rsidRPr="001F1399">
        <w:rPr>
          <w:rFonts w:ascii="Book Antiqua" w:hAnsi="Book Antiqua"/>
          <w:sz w:val="24"/>
          <w:szCs w:val="24"/>
          <w:vertAlign w:val="subscript"/>
        </w:rPr>
        <w:t>1</w:t>
      </w:r>
      <w:r w:rsidR="00E81BC5" w:rsidRPr="001F1399">
        <w:rPr>
          <w:rFonts w:ascii="Book Antiqua" w:hAnsi="Book Antiqua"/>
          <w:sz w:val="24"/>
          <w:szCs w:val="24"/>
        </w:rPr>
        <w:t>)</w:t>
      </w:r>
      <w:r w:rsidRPr="001F1399">
        <w:rPr>
          <w:rFonts w:ascii="Book Antiqua" w:hAnsi="Book Antiqua"/>
          <w:sz w:val="24"/>
          <w:szCs w:val="24"/>
        </w:rPr>
        <w:t xml:space="preserve"> mycotoxins administered orally to pregnant rats, revealing that these mycotoxins caused visceral anomalies such as gastroschisis. </w:t>
      </w:r>
      <w:r w:rsidRPr="001F1399">
        <w:rPr>
          <w:rFonts w:ascii="Book Antiqua" w:hAnsi="Book Antiqua"/>
          <w:sz w:val="24"/>
          <w:szCs w:val="24"/>
          <w:lang w:val="en-US"/>
        </w:rPr>
        <w:t xml:space="preserve">Arora </w:t>
      </w:r>
      <w:r w:rsidRPr="001F1399">
        <w:rPr>
          <w:rFonts w:ascii="Book Antiqua" w:hAnsi="Book Antiqua"/>
          <w:i/>
          <w:sz w:val="24"/>
          <w:szCs w:val="24"/>
          <w:lang w:val="en-US"/>
        </w:rPr>
        <w:t>et al</w:t>
      </w:r>
      <w:r w:rsidR="003F4907" w:rsidRPr="001F1399">
        <w:rPr>
          <w:rFonts w:ascii="Book Antiqua" w:hAnsi="Book Antiqua"/>
          <w:sz w:val="24"/>
          <w:szCs w:val="24"/>
          <w:lang w:val="en-US"/>
        </w:rPr>
        <w:fldChar w:fldCharType="begin" w:fldLock="1"/>
      </w:r>
      <w:r w:rsidR="00B1214D" w:rsidRPr="001F1399">
        <w:rPr>
          <w:rFonts w:ascii="Book Antiqua" w:hAnsi="Book Antiqua"/>
          <w:sz w:val="24"/>
          <w:szCs w:val="24"/>
          <w:lang w:val="en-US"/>
        </w:rPr>
        <w:instrText>ADDIN CSL_CITATION {"citationItems":[{"id":"ITEM-1","itemData":{"DOI":"10.1111/j.1600-0773.1978.tb02265.x","ISSN":"00016683","PMID":"716944","author":[{"dropping-particle":"","family":"Arora","given":"R. G.","non-dropping-particle":"","parse-names":false,"suffix":""},{"dropping-particle":"","family":"Appelgren","given":"L.-E.","non-dropping-particle":"","parse-names":false,"suffix":""},{"dropping-particle":"","family":"Bergman","given":"A.","non-dropping-particle":"","parse-names":false,"suffix":""}],"container-title":"Acta Pharmacologica et Toxicologica","id":"ITEM-1","issue":"4","issued":{"date-parts":[["2009","3","13"]]},"page":"273-279","title":"Distribution of [14C]-Labelled Aflatoxin B1 in Mice","type":"article-journal","volume":"43"},"uris":["http://www.mendeley.com/documents/?uuid=7886327a-f900-3e1d-8b95-447945572d99"]}],"mendeley":{"formattedCitation":"&lt;sup&gt;[107]&lt;/sup&gt;","plainTextFormattedCitation":"[107]","previouslyFormattedCitation":"&lt;sup&gt;[106]&lt;/sup&gt;"},"properties":{"noteIndex":0},"schema":"https://github.com/citation-style-language/schema/raw/master/csl-citation.json"}</w:instrText>
      </w:r>
      <w:r w:rsidR="003F4907"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lang w:val="en-US"/>
        </w:rPr>
        <w:t>[107]</w:t>
      </w:r>
      <w:r w:rsidR="003F4907" w:rsidRPr="001F1399">
        <w:rPr>
          <w:rFonts w:ascii="Book Antiqua" w:hAnsi="Book Antiqua"/>
          <w:sz w:val="24"/>
          <w:szCs w:val="24"/>
          <w:lang w:val="en-US"/>
        </w:rPr>
        <w:fldChar w:fldCharType="end"/>
      </w:r>
      <w:r w:rsidRPr="001F1399">
        <w:rPr>
          <w:rFonts w:ascii="Book Antiqua" w:hAnsi="Book Antiqua"/>
          <w:sz w:val="24"/>
          <w:szCs w:val="24"/>
          <w:lang w:val="en-US"/>
        </w:rPr>
        <w:t>, reported that a single dose of AFB</w:t>
      </w:r>
      <w:r w:rsidRPr="001F1399">
        <w:rPr>
          <w:rFonts w:ascii="Book Antiqua" w:hAnsi="Book Antiqua"/>
          <w:sz w:val="24"/>
          <w:szCs w:val="24"/>
          <w:vertAlign w:val="subscript"/>
          <w:lang w:val="en-US"/>
        </w:rPr>
        <w:t>1</w:t>
      </w:r>
      <w:r w:rsidRPr="001F1399">
        <w:rPr>
          <w:rFonts w:ascii="Book Antiqua" w:hAnsi="Book Antiqua"/>
          <w:sz w:val="24"/>
          <w:szCs w:val="24"/>
          <w:lang w:val="en-US"/>
        </w:rPr>
        <w:t xml:space="preserve"> given in a pregnant female by the stomach tube caused protrusion of intestines after exposure </w:t>
      </w:r>
      <w:r w:rsidRPr="001F1399">
        <w:rPr>
          <w:rFonts w:ascii="Book Antiqua" w:hAnsi="Book Antiqua"/>
          <w:sz w:val="24"/>
          <w:szCs w:val="24"/>
          <w:lang w:val="en-US"/>
        </w:rPr>
        <w:lastRenderedPageBreak/>
        <w:t xml:space="preserve">on gestation day 8. </w:t>
      </w:r>
      <w:r w:rsidRPr="001F1399">
        <w:rPr>
          <w:rFonts w:ascii="Book Antiqua" w:hAnsi="Book Antiqua"/>
          <w:color w:val="000000"/>
          <w:sz w:val="24"/>
          <w:szCs w:val="24"/>
          <w:shd w:val="clear" w:color="auto" w:fill="FFFFFF"/>
          <w:lang w:val="en-US"/>
        </w:rPr>
        <w:t>Treatment of pregnant rats with AFB</w:t>
      </w:r>
      <w:r w:rsidRPr="001F1399">
        <w:rPr>
          <w:rFonts w:ascii="Book Antiqua" w:hAnsi="Book Antiqua"/>
          <w:color w:val="000000"/>
          <w:sz w:val="24"/>
          <w:szCs w:val="24"/>
          <w:shd w:val="clear" w:color="auto" w:fill="FFFFFF"/>
          <w:vertAlign w:val="subscript"/>
          <w:lang w:val="en-US"/>
        </w:rPr>
        <w:t>1</w:t>
      </w:r>
      <w:r w:rsidR="001D64E8" w:rsidRPr="001F1399">
        <w:rPr>
          <w:rFonts w:ascii="Book Antiqua" w:hAnsi="Book Antiqua"/>
          <w:color w:val="000000"/>
          <w:sz w:val="24"/>
          <w:szCs w:val="24"/>
          <w:shd w:val="clear" w:color="auto" w:fill="FFFFFF"/>
          <w:lang w:val="en-US"/>
        </w:rPr>
        <w:t xml:space="preserve"> </w:t>
      </w:r>
      <w:r w:rsidRPr="001F1399">
        <w:rPr>
          <w:rFonts w:ascii="Book Antiqua" w:hAnsi="Book Antiqua"/>
          <w:color w:val="000000"/>
          <w:sz w:val="24"/>
          <w:szCs w:val="24"/>
          <w:shd w:val="clear" w:color="auto" w:fill="FFFFFF"/>
          <w:lang w:val="en-US"/>
        </w:rPr>
        <w:t xml:space="preserve">resulted in the formation of benign and malignant tumors in the liver, stomach, intestine, endocrine organs, and the central and peripheral nervous system in the offspring. </w:t>
      </w:r>
    </w:p>
    <w:p w14:paraId="313C89E0" w14:textId="66C09FF3" w:rsidR="008B17B3" w:rsidRPr="001F1399" w:rsidRDefault="005D5A36" w:rsidP="002974FA">
      <w:pPr>
        <w:pStyle w:val="paragraph"/>
        <w:adjustRightInd w:val="0"/>
        <w:snapToGrid w:val="0"/>
        <w:spacing w:before="0" w:beforeAutospacing="0" w:after="0" w:afterAutospacing="0" w:line="360" w:lineRule="auto"/>
        <w:ind w:firstLineChars="100" w:firstLine="240"/>
        <w:jc w:val="both"/>
        <w:rPr>
          <w:rFonts w:ascii="Book Antiqua" w:hAnsi="Book Antiqua" w:cs="Calibri"/>
          <w:lang w:val="en-US"/>
        </w:rPr>
      </w:pPr>
      <w:r w:rsidRPr="001F1399">
        <w:rPr>
          <w:rFonts w:ascii="Book Antiqua" w:hAnsi="Book Antiqua" w:cs="Calibri"/>
          <w:lang w:val="en-US"/>
        </w:rPr>
        <w:t>ZE</w:t>
      </w:r>
      <w:r w:rsidR="008B17B3" w:rsidRPr="001F1399">
        <w:rPr>
          <w:rFonts w:ascii="Book Antiqua" w:hAnsi="Book Antiqua" w:cs="Calibri"/>
          <w:lang w:val="en-US"/>
        </w:rPr>
        <w:t xml:space="preserve">, an estrogenic mycotoxin produced by </w:t>
      </w:r>
      <w:r w:rsidR="008B17B3" w:rsidRPr="001F1399">
        <w:rPr>
          <w:rFonts w:ascii="Book Antiqua" w:hAnsi="Book Antiqua" w:cs="Calibri"/>
          <w:i/>
          <w:iCs/>
          <w:lang w:val="en-US"/>
        </w:rPr>
        <w:t>Fusarium graminearum</w:t>
      </w:r>
      <w:r w:rsidR="008B17B3" w:rsidRPr="001F1399">
        <w:rPr>
          <w:rFonts w:ascii="Book Antiqua" w:hAnsi="Book Antiqua" w:cs="Calibri"/>
          <w:lang w:val="en-US"/>
        </w:rPr>
        <w:t xml:space="preserve"> or </w:t>
      </w:r>
      <w:r w:rsidR="008B17B3" w:rsidRPr="001F1399">
        <w:rPr>
          <w:rFonts w:ascii="Book Antiqua" w:hAnsi="Book Antiqua" w:cs="Calibri"/>
          <w:i/>
          <w:iCs/>
          <w:lang w:val="en-US"/>
        </w:rPr>
        <w:t>F. roseum</w:t>
      </w:r>
      <w:r w:rsidR="008B17B3" w:rsidRPr="001F1399">
        <w:rPr>
          <w:rFonts w:ascii="Book Antiqua" w:hAnsi="Book Antiqua" w:cs="Calibri"/>
          <w:lang w:val="en-US"/>
        </w:rPr>
        <w:t xml:space="preserve">, is one of the most common contaminants of cereal grains world-wide. The objective of the study from Collins and colleagues was to determine the effects of ZE on </w:t>
      </w:r>
      <w:r w:rsidR="008B17B3" w:rsidRPr="001F1399">
        <w:rPr>
          <w:rFonts w:ascii="Book Antiqua" w:hAnsi="Book Antiqua" w:cs="Calibri"/>
          <w:i/>
          <w:lang w:val="en-US"/>
        </w:rPr>
        <w:t>in utero</w:t>
      </w:r>
      <w:r w:rsidR="008B17B3" w:rsidRPr="001F1399">
        <w:rPr>
          <w:rFonts w:ascii="Book Antiqua" w:hAnsi="Book Antiqua" w:cs="Calibri"/>
          <w:lang w:val="en-US"/>
        </w:rPr>
        <w:t xml:space="preserve"> development of rats</w:t>
      </w:r>
      <w:r w:rsidR="008B17B3" w:rsidRPr="001F1399">
        <w:rPr>
          <w:rFonts w:ascii="Book Antiqua" w:hAnsi="Book Antiqua" w:cs="Calibri"/>
          <w:lang w:val="en-US"/>
        </w:rPr>
        <w:fldChar w:fldCharType="begin" w:fldLock="1"/>
      </w:r>
      <w:r w:rsidR="00B1214D" w:rsidRPr="001F1399">
        <w:rPr>
          <w:rFonts w:ascii="Book Antiqua" w:hAnsi="Book Antiqua" w:cs="Calibri"/>
          <w:lang w:val="en-US"/>
        </w:rPr>
        <w:instrText>ADDIN CSL_CITATION {"citationItems":[{"id":"ITEM-1","itemData":{"DOI":"10.1016/j.fct.2006.04.015","ISSN":"02786915","PMID":"16797818","author":[{"dropping-particle":"","family":"Collins","given":"Thomas F.X.","non-dropping-particle":"","parse-names":false,"suffix":""},{"dropping-particle":"","family":"Sprando","given":"Robert L.","non-dropping-particle":"","parse-names":false,"suffix":""},{"dropping-particle":"","family":"Black","given":"Thomas N.","non-dropping-particle":"","parse-names":false,"suffix":""},{"dropping-particle":"","family":"Olejnik","given":"Nicholas","non-dropping-particle":"","parse-names":false,"suffix":""},{"dropping-particle":"","family":"Eppley","given":"Robert M.","non-dropping-particle":"","parse-names":false,"suffix":""},{"dropping-particle":"","family":"Alam","given":"Hamida Z.","non-dropping-particle":"","parse-names":false,"suffix":""},{"dropping-particle":"","family":"Rorie","given":"James","non-dropping-particle":"","parse-names":false,"suffix":""},{"dropping-particle":"","family":"Ruggles","given":"Dennis I.","non-dropping-particle":"","parse-names":false,"suffix":""}],"container-title":"Food and Chemical Toxicology","id":"ITEM-1","issue":"9","issued":{"date-parts":[["2006","9"]]},"page":"1455-1465","title":"Effects of zearalenone on in utero development in rats","type":"article-journal","volume":"44"},"uris":["http://www.mendeley.com/documents/?uuid=9cf78e93-9367-4436-b178-5efbc0b85e1d"]}],"mendeley":{"formattedCitation":"&lt;sup&gt;[108]&lt;/sup&gt;","plainTextFormattedCitation":"[108]","previouslyFormattedCitation":"&lt;sup&gt;[107]&lt;/sup&gt;"},"properties":{"noteIndex":0},"schema":"https://github.com/citation-style-language/schema/raw/master/csl-citation.json"}</w:instrText>
      </w:r>
      <w:r w:rsidR="008B17B3" w:rsidRPr="001F1399">
        <w:rPr>
          <w:rFonts w:ascii="Book Antiqua" w:hAnsi="Book Antiqua" w:cs="Calibri"/>
          <w:lang w:val="en-US"/>
        </w:rPr>
        <w:fldChar w:fldCharType="separate"/>
      </w:r>
      <w:r w:rsidR="00B1214D" w:rsidRPr="001F1399">
        <w:rPr>
          <w:rFonts w:ascii="Book Antiqua" w:hAnsi="Book Antiqua" w:cs="Calibri"/>
          <w:noProof/>
          <w:vertAlign w:val="superscript"/>
          <w:lang w:val="en-US"/>
        </w:rPr>
        <w:t>[108]</w:t>
      </w:r>
      <w:r w:rsidR="008B17B3" w:rsidRPr="001F1399">
        <w:rPr>
          <w:rFonts w:ascii="Book Antiqua" w:hAnsi="Book Antiqua" w:cs="Calibri"/>
          <w:lang w:val="en-US"/>
        </w:rPr>
        <w:fldChar w:fldCharType="end"/>
      </w:r>
      <w:r w:rsidR="008B17B3" w:rsidRPr="001F1399">
        <w:rPr>
          <w:rFonts w:ascii="Book Antiqua" w:hAnsi="Book Antiqua" w:cs="Calibri"/>
          <w:lang w:val="en-US"/>
        </w:rPr>
        <w:t xml:space="preserve">. Pregnant female Charles River Sprague-Dawley rats were gavaged once daily with ZE (in corn oil) at doses of 0, 1, 2, 4, or 8 mg/kg body weight on GD 6-19. In summary, ZE was maternally toxic and fetotoxic but not teratogenic. </w:t>
      </w:r>
    </w:p>
    <w:p w14:paraId="1CBA4139" w14:textId="77777777" w:rsidR="008B17B3" w:rsidRPr="001F1399" w:rsidRDefault="008B17B3" w:rsidP="002974FA">
      <w:pPr>
        <w:pStyle w:val="paragraph"/>
        <w:adjustRightInd w:val="0"/>
        <w:snapToGrid w:val="0"/>
        <w:spacing w:before="0" w:beforeAutospacing="0" w:after="0" w:afterAutospacing="0" w:line="360" w:lineRule="auto"/>
        <w:jc w:val="both"/>
        <w:textAlignment w:val="baseline"/>
        <w:rPr>
          <w:rFonts w:ascii="Book Antiqua" w:hAnsi="Book Antiqua" w:cs="Calibri"/>
          <w:lang w:val="en-US"/>
        </w:rPr>
      </w:pPr>
    </w:p>
    <w:p w14:paraId="38128A3E" w14:textId="1D0C8859" w:rsidR="00AE1243" w:rsidRPr="001F1399" w:rsidRDefault="00AE1243" w:rsidP="002974FA">
      <w:pPr>
        <w:pStyle w:val="paragraph"/>
        <w:adjustRightInd w:val="0"/>
        <w:snapToGrid w:val="0"/>
        <w:spacing w:before="0" w:beforeAutospacing="0" w:after="0" w:afterAutospacing="0" w:line="360" w:lineRule="auto"/>
        <w:jc w:val="both"/>
        <w:textAlignment w:val="baseline"/>
        <w:rPr>
          <w:rStyle w:val="eop"/>
          <w:rFonts w:ascii="Book Antiqua" w:hAnsi="Book Antiqua" w:cs="Calibri"/>
          <w:b/>
          <w:i/>
          <w:lang w:val="en-US"/>
        </w:rPr>
      </w:pPr>
      <w:r w:rsidRPr="001F1399">
        <w:rPr>
          <w:rStyle w:val="normaltextrun"/>
          <w:rFonts w:ascii="Book Antiqua" w:hAnsi="Book Antiqua" w:cs="Calibri"/>
          <w:b/>
          <w:i/>
          <w:lang w:val="en-US"/>
        </w:rPr>
        <w:t xml:space="preserve">Fetal exposure to </w:t>
      </w:r>
      <w:r w:rsidR="00886558" w:rsidRPr="001F1399">
        <w:rPr>
          <w:rStyle w:val="normaltextrun"/>
          <w:rFonts w:ascii="Book Antiqua" w:hAnsi="Book Antiqua" w:cs="Calibri"/>
          <w:b/>
          <w:i/>
          <w:lang w:val="en-US"/>
        </w:rPr>
        <w:t xml:space="preserve">other </w:t>
      </w:r>
      <w:r w:rsidRPr="001F1399">
        <w:rPr>
          <w:rStyle w:val="normaltextrun"/>
          <w:rFonts w:ascii="Book Antiqua" w:hAnsi="Book Antiqua" w:cs="Calibri"/>
          <w:b/>
          <w:i/>
          <w:lang w:val="en-US"/>
        </w:rPr>
        <w:t>organic pollutants</w:t>
      </w:r>
      <w:r w:rsidRPr="001F1399">
        <w:rPr>
          <w:rStyle w:val="eop"/>
          <w:rFonts w:ascii="Book Antiqua" w:hAnsi="Book Antiqua" w:cs="Calibri"/>
          <w:b/>
          <w:i/>
          <w:lang w:val="en-US"/>
        </w:rPr>
        <w:t> </w:t>
      </w:r>
    </w:p>
    <w:p w14:paraId="7D32D644" w14:textId="0AC6549C" w:rsidR="0057128A" w:rsidRPr="001F1399" w:rsidRDefault="0057128A" w:rsidP="002974FA">
      <w:pPr>
        <w:pStyle w:val="paragraph"/>
        <w:adjustRightInd w:val="0"/>
        <w:snapToGrid w:val="0"/>
        <w:spacing w:before="0" w:beforeAutospacing="0" w:after="0" w:afterAutospacing="0" w:line="360" w:lineRule="auto"/>
        <w:jc w:val="both"/>
        <w:textAlignment w:val="baseline"/>
        <w:rPr>
          <w:rFonts w:ascii="Book Antiqua" w:hAnsi="Book Antiqua" w:cs="Calibri"/>
          <w:lang w:val="en-US"/>
        </w:rPr>
      </w:pPr>
      <w:r w:rsidRPr="001F1399">
        <w:rPr>
          <w:rFonts w:ascii="Book Antiqua" w:hAnsi="Book Antiqua" w:cs="Calibri"/>
          <w:lang w:val="en-US"/>
        </w:rPr>
        <w:t xml:space="preserve">Bisphenol A (BPA) is an organic compound in the aromatic family, used primarily in the manufacture of plastics and resins. </w:t>
      </w:r>
      <w:r w:rsidR="00EE0C4E" w:rsidRPr="001F1399">
        <w:rPr>
          <w:rFonts w:ascii="Book Antiqua" w:hAnsi="Book Antiqua" w:cs="Calibri"/>
          <w:lang w:val="en-US"/>
        </w:rPr>
        <w:t xml:space="preserve">It </w:t>
      </w:r>
      <w:r w:rsidRPr="001F1399">
        <w:rPr>
          <w:rFonts w:ascii="Book Antiqua" w:hAnsi="Book Antiqua" w:cs="Calibri"/>
          <w:lang w:val="en-US"/>
        </w:rPr>
        <w:t xml:space="preserve">is pointed out as a risk factor in development of food allergy and food intolerance, two adverse food reactions increasing worldwide. Menard </w:t>
      </w:r>
      <w:r w:rsidR="003F4907" w:rsidRPr="001F1399">
        <w:rPr>
          <w:rFonts w:ascii="Book Antiqua" w:hAnsi="Book Antiqua" w:cs="Calibri"/>
          <w:i/>
          <w:iCs/>
          <w:lang w:val="en-US"/>
        </w:rPr>
        <w:t>et al</w:t>
      </w:r>
      <w:r w:rsidR="00886558" w:rsidRPr="001F1399">
        <w:rPr>
          <w:rFonts w:ascii="Book Antiqua" w:hAnsi="Book Antiqua" w:cs="Calibri"/>
          <w:lang w:val="en-US"/>
        </w:rPr>
        <w:fldChar w:fldCharType="begin" w:fldLock="1"/>
      </w:r>
      <w:r w:rsidR="00B1214D" w:rsidRPr="001F1399">
        <w:rPr>
          <w:rFonts w:ascii="Book Antiqua" w:hAnsi="Book Antiqua" w:cs="Calibri"/>
          <w:lang w:val="en-US"/>
        </w:rPr>
        <w:instrText>ADDIN CSL_CITATION {"citationItems":[{"id":"ITEM-1","itemData":{"DOI":"10.1096/fj.14-255380","ISSN":"0892-6638","PMID":"25085925","author":[{"dropping-particle":"","family":"Menard","given":"Sandrine","non-dropping-particle":"","parse-names":false,"suffix":""},{"dropping-particle":"","family":"Guzylack-Piriou","given":"Laurence","non-dropping-particle":"","parse-names":false,"suffix":""},{"dropping-particle":"","family":"Leveque","given":"Mathilde","non-dropping-particle":"","parse-names":false,"suffix":""},{"dropping-particle":"","family":"Braniste","given":"Viorica","non-dropping-particle":"","parse-names":false,"suffix":""},{"dropping-particle":"","family":"Lencina","given":"Corinne","non-dropping-particle":"","parse-names":false,"suffix":""},{"dropping-particle":"","family":"Naturel","given":"Manon","non-dropping-particle":"","parse-names":false,"suffix":""},{"dropping-particle":"","family":"Moussa","given":"Lara","non-dropping-particle":"","parse-names":false,"suffix":""},{"dropping-particle":"","family":"Sekkal","given":"Soraya","non-dropping-particle":"","parse-names":false,"suffix":""},{"dropping-particle":"","family":"Harkat","given":"Cherryl","non-dropping-particle":"","parse-names":false,"suffix":""},{"dropping-particle":"","family":"Gaultier","given":"Eric","non-dropping-particle":"","parse-names":false,"suffix":""},{"dropping-particle":"","family":"Theodorou","given":"Vassilia","non-dropping-particle":"","parse-names":false,"suffix":""},{"dropping-particle":"","family":"Houdeau","given":"Eric","non-dropping-particle":"","parse-names":false,"suffix":""}],"container-title":"The FASEB Journal","id":"ITEM-1","issue":"11","issued":{"date-parts":[["2014","11"]]},"page":"4893-4900","title":"Food intolerance at adulthood after perinatal exposure to the endocrine disruptor bisphenol A","type":"article-journal","volume":"28"},"uris":["http://www.mendeley.com/documents/?uuid=fff26c7a-0403-4044-b42b-62a7d837b755"]}],"mendeley":{"formattedCitation":"&lt;sup&gt;[109]&lt;/sup&gt;","plainTextFormattedCitation":"[109]","previouslyFormattedCitation":"&lt;sup&gt;[108]&lt;/sup&gt;"},"properties":{"noteIndex":0},"schema":"https://github.com/citation-style-language/schema/raw/master/csl-citation.json"}</w:instrText>
      </w:r>
      <w:r w:rsidR="00886558" w:rsidRPr="001F1399">
        <w:rPr>
          <w:rFonts w:ascii="Book Antiqua" w:hAnsi="Book Antiqua" w:cs="Calibri"/>
          <w:lang w:val="en-US"/>
        </w:rPr>
        <w:fldChar w:fldCharType="separate"/>
      </w:r>
      <w:r w:rsidR="00B1214D" w:rsidRPr="001F1399">
        <w:rPr>
          <w:rFonts w:ascii="Book Antiqua" w:hAnsi="Book Antiqua" w:cs="Calibri"/>
          <w:noProof/>
          <w:vertAlign w:val="superscript"/>
          <w:lang w:val="en-US"/>
        </w:rPr>
        <w:t>[109]</w:t>
      </w:r>
      <w:r w:rsidR="00886558" w:rsidRPr="001F1399">
        <w:rPr>
          <w:rFonts w:ascii="Book Antiqua" w:hAnsi="Book Antiqua" w:cs="Calibri"/>
          <w:lang w:val="en-US"/>
        </w:rPr>
        <w:fldChar w:fldCharType="end"/>
      </w:r>
      <w:r w:rsidRPr="001F1399">
        <w:rPr>
          <w:rFonts w:ascii="Book Antiqua" w:hAnsi="Book Antiqua" w:cs="Calibri"/>
          <w:lang w:val="en-US"/>
        </w:rPr>
        <w:t xml:space="preserve"> evaluated the consequences of perinatal</w:t>
      </w:r>
      <w:r w:rsidR="00B84A6A" w:rsidRPr="001F1399">
        <w:rPr>
          <w:rFonts w:ascii="Book Antiqua" w:hAnsi="Book Antiqua" w:cs="Calibri"/>
          <w:lang w:val="en-US"/>
        </w:rPr>
        <w:t xml:space="preserve"> (end of gravity to weaning)</w:t>
      </w:r>
      <w:r w:rsidRPr="001F1399">
        <w:rPr>
          <w:rFonts w:ascii="Book Antiqua" w:hAnsi="Book Antiqua" w:cs="Calibri"/>
          <w:lang w:val="en-US"/>
        </w:rPr>
        <w:t xml:space="preserve"> exposure to low doses of BPA on immune-specific response to the food antigen </w:t>
      </w:r>
      <w:bookmarkStart w:id="10" w:name="OLE_LINK1"/>
      <w:bookmarkStart w:id="11" w:name="OLE_LINK2"/>
      <w:r w:rsidRPr="001F1399">
        <w:rPr>
          <w:rFonts w:ascii="Book Antiqua" w:hAnsi="Book Antiqua" w:cs="Calibri"/>
          <w:lang w:val="en-US"/>
        </w:rPr>
        <w:t>ovalbumin</w:t>
      </w:r>
      <w:bookmarkEnd w:id="10"/>
      <w:bookmarkEnd w:id="11"/>
      <w:r w:rsidRPr="001F1399">
        <w:rPr>
          <w:rFonts w:ascii="Book Antiqua" w:hAnsi="Book Antiqua" w:cs="Calibri"/>
          <w:lang w:val="en-US"/>
        </w:rPr>
        <w:t xml:space="preserve"> (OVA) at adulthood. When BPA-treated OVA-tolerized rats were orally challenged with OVA, colonic inflammation occurred, with neutrophil infiltration, increased IFNγ, and decreased TGFβ. They show that perinatal exposure to BPA altered oral tolerance and immunization to dietary antigens (OVA). In summary, the naive immune system of neonate is vulnerable to low doses of BPA that trigger food intolerance later in life. </w:t>
      </w:r>
    </w:p>
    <w:p w14:paraId="2B2A4FD9" w14:textId="7393F4E7" w:rsidR="00566B5B" w:rsidRPr="001F1399" w:rsidRDefault="00322E8A" w:rsidP="002974FA">
      <w:pPr>
        <w:autoSpaceDE w:val="0"/>
        <w:autoSpaceDN w:val="0"/>
        <w:adjustRightInd w:val="0"/>
        <w:snapToGrid w:val="0"/>
        <w:spacing w:after="0" w:line="360" w:lineRule="auto"/>
        <w:ind w:firstLineChars="100" w:firstLine="240"/>
        <w:jc w:val="both"/>
        <w:rPr>
          <w:rFonts w:ascii="Book Antiqua" w:hAnsi="Book Antiqua" w:cs="Calibri"/>
          <w:sz w:val="24"/>
          <w:szCs w:val="24"/>
          <w:lang w:val="en-US"/>
        </w:rPr>
      </w:pPr>
      <w:r w:rsidRPr="001F1399">
        <w:rPr>
          <w:rFonts w:ascii="Book Antiqua" w:hAnsi="Book Antiqua" w:cstheme="minorHAnsi"/>
          <w:sz w:val="24"/>
          <w:szCs w:val="24"/>
          <w:lang w:val="en-US"/>
        </w:rPr>
        <w:t>POP</w:t>
      </w:r>
      <w:r w:rsidR="0056199A" w:rsidRPr="001F1399">
        <w:rPr>
          <w:rFonts w:ascii="Book Antiqua" w:hAnsi="Book Antiqua" w:cstheme="minorHAnsi"/>
          <w:sz w:val="24"/>
          <w:szCs w:val="24"/>
          <w:lang w:val="en-US"/>
        </w:rPr>
        <w:t>s</w:t>
      </w:r>
      <w:r w:rsidR="00D97747" w:rsidRPr="001F1399">
        <w:rPr>
          <w:rFonts w:ascii="Book Antiqua" w:hAnsi="Book Antiqua" w:cstheme="minorHAnsi"/>
          <w:sz w:val="24"/>
          <w:szCs w:val="24"/>
          <w:lang w:val="en-US"/>
        </w:rPr>
        <w:t xml:space="preserve"> are highly resistant chemicals, including dioxins, furans, polychlorinated biphenyls and </w:t>
      </w:r>
      <w:r w:rsidR="005D5A36" w:rsidRPr="001F1399">
        <w:rPr>
          <w:rFonts w:ascii="Book Antiqua" w:hAnsi="Book Antiqua" w:cstheme="minorHAnsi"/>
          <w:sz w:val="24"/>
          <w:szCs w:val="24"/>
          <w:lang w:val="en-US"/>
        </w:rPr>
        <w:t>OCP</w:t>
      </w:r>
      <w:r w:rsidR="00D97747" w:rsidRPr="001F1399">
        <w:rPr>
          <w:rFonts w:ascii="Book Antiqua" w:hAnsi="Book Antiqua" w:cstheme="minorHAnsi"/>
          <w:sz w:val="24"/>
          <w:szCs w:val="24"/>
          <w:lang w:val="en-US"/>
        </w:rPr>
        <w:t>s, created by industrial activities and found in food with the highest levels found in fatty fish</w:t>
      </w:r>
      <w:r w:rsidR="00D97747" w:rsidRPr="001F1399">
        <w:rPr>
          <w:rFonts w:ascii="Book Antiqua" w:hAnsi="Book Antiqua" w:cstheme="minorHAnsi"/>
          <w:sz w:val="24"/>
          <w:szCs w:val="24"/>
          <w:lang w:val="en-US"/>
        </w:rPr>
        <w:fldChar w:fldCharType="begin" w:fldLock="1"/>
      </w:r>
      <w:r w:rsidR="00B1214D" w:rsidRPr="001F1399">
        <w:rPr>
          <w:rFonts w:ascii="Book Antiqua" w:hAnsi="Book Antiqua" w:cstheme="minorHAnsi"/>
          <w:sz w:val="24"/>
          <w:szCs w:val="24"/>
          <w:lang w:val="en-US"/>
        </w:rPr>
        <w:instrText>ADDIN CSL_CITATION {"citationItems":[{"id":"ITEM-1","itemData":{"DOI":"10.1289/ehp.0901347","ISSN":"0091-6765","author":[{"dropping-particle":"","family":"Schecter","given":"Arnold","non-dropping-particle":"","parse-names":false,"suffix":""},{"dropping-particle":"","family":"Colacino","given":"Justin","non-dropping-particle":"","parse-names":false,"suffix":""},{"dropping-particle":"","family":"Haffner","given":"Darrah","non-dropping-particle":"","parse-names":false,"suffix":""},{"dropping-particle":"","family":"Patel","given":"Keyur","non-dropping-particle":"","parse-names":false,"suffix":""},{"dropping-particle":"","family":"Opel","given":"Matthias","non-dropping-particle":"","parse-names":false,"suffix":""},{"dropping-particle":"","family":"Päpke","given":"Olaf","non-dropping-particle":"","parse-names":false,"suffix":""},{"dropping-particle":"","family":"Birnbaum","given":"Linda","non-dropping-particle":"","parse-names":false,"suffix":""}],"container-title":"Environmental Health Perspectives","id":"ITEM-1","issue":"6","issued":{"date-parts":[["2010","6"]]},"page":"796-802","title":"Perfluorinated Compounds, Polychlorinated Biphenyls, and Organochlorine Pesticide Contamination in Composite Food Samples from Dallas, Texas, USA","type":"article-journal","volume":"118"},"uris":["http://www.mendeley.com/documents/?uuid=9751072b-7aa5-4fc2-9623-fa608ea9d1d4"]}],"mendeley":{"formattedCitation":"&lt;sup&gt;[73]&lt;/sup&gt;","plainTextFormattedCitation":"[73]","previouslyFormattedCitation":"&lt;sup&gt;[72]&lt;/sup&gt;"},"properties":{"noteIndex":0},"schema":"https://github.com/citation-style-language/schema/raw/master/csl-citation.json"}</w:instrText>
      </w:r>
      <w:r w:rsidR="00D97747" w:rsidRPr="001F1399">
        <w:rPr>
          <w:rFonts w:ascii="Book Antiqua" w:hAnsi="Book Antiqua" w:cstheme="minorHAnsi"/>
          <w:sz w:val="24"/>
          <w:szCs w:val="24"/>
          <w:lang w:val="en-US"/>
        </w:rPr>
        <w:fldChar w:fldCharType="separate"/>
      </w:r>
      <w:r w:rsidR="00B1214D" w:rsidRPr="001F1399">
        <w:rPr>
          <w:rFonts w:ascii="Book Antiqua" w:hAnsi="Book Antiqua" w:cstheme="minorHAnsi"/>
          <w:noProof/>
          <w:sz w:val="24"/>
          <w:szCs w:val="24"/>
          <w:vertAlign w:val="superscript"/>
          <w:lang w:val="en-US"/>
        </w:rPr>
        <w:t>[73]</w:t>
      </w:r>
      <w:r w:rsidR="00D97747" w:rsidRPr="001F1399">
        <w:rPr>
          <w:rFonts w:ascii="Book Antiqua" w:hAnsi="Book Antiqua" w:cstheme="minorHAnsi"/>
          <w:sz w:val="24"/>
          <w:szCs w:val="24"/>
          <w:lang w:val="en-US"/>
        </w:rPr>
        <w:fldChar w:fldCharType="end"/>
      </w:r>
      <w:r w:rsidR="00D97747" w:rsidRPr="001F1399">
        <w:rPr>
          <w:rFonts w:ascii="Book Antiqua" w:hAnsi="Book Antiqua" w:cstheme="minorHAnsi"/>
          <w:sz w:val="24"/>
          <w:szCs w:val="24"/>
          <w:lang w:val="en-US"/>
        </w:rPr>
        <w:t>. These highly toxic compounds have been found to cross the placenta and to be excreted in breast milk</w:t>
      </w:r>
      <w:r w:rsidR="00D97747" w:rsidRPr="001F1399">
        <w:rPr>
          <w:rFonts w:ascii="Book Antiqua" w:hAnsi="Book Antiqua" w:cstheme="minorHAnsi"/>
          <w:sz w:val="24"/>
          <w:szCs w:val="24"/>
          <w:lang w:val="en-US"/>
        </w:rPr>
        <w:fldChar w:fldCharType="begin" w:fldLock="1"/>
      </w:r>
      <w:r w:rsidR="00B1214D" w:rsidRPr="001F1399">
        <w:rPr>
          <w:rFonts w:ascii="Book Antiqua" w:hAnsi="Book Antiqua" w:cstheme="minorHAnsi"/>
          <w:sz w:val="24"/>
          <w:szCs w:val="24"/>
          <w:lang w:val="en-US"/>
        </w:rPr>
        <w:instrText>ADDIN CSL_CITATION {"citationItems":[{"id":"ITEM-1","itemData":{"DOI":"10.1021/es101184f","ISSN":"0013-936X","PMID":"20722423","author":[{"dropping-particle":"","family":"Fromme","given":"Hermann","non-dropping-particle":"","parse-names":false,"suffix":""},{"dropping-particle":"","family":"Mosch","given":"Christine","non-dropping-particle":"","parse-names":false,"suffix":""},{"dropping-particle":"","family":"Morovitz","given":"Maria","non-dropping-particle":"","parse-names":false,"suffix":""},{"dropping-particle":"","family":"Alba-Alejandre","given":"Irene","non-dropping-particle":"","parse-names":false,"suffix":""},{"dropping-particle":"","family":"Boehmer","given":"Sigrun","non-dropping-particle":"","parse-names":false,"suffix":""},{"dropping-particle":"","family":"Kiranoglu","given":"Mandy","non-dropping-particle":"","parse-names":false,"suffix":""},{"dropping-particle":"","family":"Faber","given":"Fabienne","non-dropping-particle":"","parse-names":false,"suffix":""},{"dropping-particle":"","family":"Hannibal","given":"Iris","non-dropping-particle":"","parse-names":false,"suffix":""},{"dropping-particle":"","family":"Genzel-Boroviczény","given":"Orsolya","non-dropping-particle":"","parse-names":false,"suffix":""},{"dropping-particle":"","family":"Koletzko","given":"Berthold","non-dropping-particle":"","parse-names":false,"suffix":""},{"dropping-particle":"","family":"Vo</w:instrText>
      </w:r>
      <w:r w:rsidR="00B1214D" w:rsidRPr="001F1399">
        <w:rPr>
          <w:rFonts w:ascii="Times New Roman" w:hAnsi="Times New Roman" w:cs="Times New Roman"/>
          <w:sz w:val="24"/>
          <w:szCs w:val="24"/>
          <w:lang w:val="en-US"/>
        </w:rPr>
        <w:instrText>̈</w:instrText>
      </w:r>
      <w:r w:rsidR="00B1214D" w:rsidRPr="001F1399">
        <w:rPr>
          <w:rFonts w:ascii="Book Antiqua" w:hAnsi="Book Antiqua" w:cstheme="minorHAnsi"/>
          <w:sz w:val="24"/>
          <w:szCs w:val="24"/>
          <w:lang w:val="en-US"/>
        </w:rPr>
        <w:instrText>lkel","given":"Wolfgang","non-dropping-particle":"","parse-names":false,"suffix":""}],"container-title":"Environmental Science &amp; Technology","id":"ITEM-1","issue":"18","issued":{"date-parts":[["2010","9","15"]]},"page":"7123-7129","title":"Pre- and Postnatal Exposure to Perfluorinated Compounds (PFCs)","type":"article-journal","volume":"44"},"uris":["http://www.mendeley.com/documents/?uuid=51cbd35a-eb18-4ee3-acfb-2bb7d379636f"]}],"mendeley":{"formattedCitation":"&lt;sup&gt;[110]&lt;/sup&gt;","plainTextFormattedCitation":"[110]","previouslyFormattedCitation":"&lt;sup&gt;[109]&lt;/sup&gt;"},"properties":{"noteIndex":0},"schema":"https://github.com/citation-style-language/schema/raw/master/csl-citation.json"}</w:instrText>
      </w:r>
      <w:r w:rsidR="00D97747" w:rsidRPr="001F1399">
        <w:rPr>
          <w:rFonts w:ascii="Book Antiqua" w:hAnsi="Book Antiqua" w:cstheme="minorHAnsi"/>
          <w:sz w:val="24"/>
          <w:szCs w:val="24"/>
          <w:lang w:val="en-US"/>
        </w:rPr>
        <w:fldChar w:fldCharType="separate"/>
      </w:r>
      <w:r w:rsidR="00B1214D" w:rsidRPr="001F1399">
        <w:rPr>
          <w:rFonts w:ascii="Book Antiqua" w:hAnsi="Book Antiqua" w:cstheme="minorHAnsi"/>
          <w:noProof/>
          <w:sz w:val="24"/>
          <w:szCs w:val="24"/>
          <w:vertAlign w:val="superscript"/>
          <w:lang w:val="en-US"/>
        </w:rPr>
        <w:t>[110]</w:t>
      </w:r>
      <w:r w:rsidR="00D97747" w:rsidRPr="001F1399">
        <w:rPr>
          <w:rFonts w:ascii="Book Antiqua" w:hAnsi="Book Antiqua" w:cstheme="minorHAnsi"/>
          <w:sz w:val="24"/>
          <w:szCs w:val="24"/>
          <w:lang w:val="en-US"/>
        </w:rPr>
        <w:fldChar w:fldCharType="end"/>
      </w:r>
      <w:r w:rsidR="00002F02" w:rsidRPr="001F1399">
        <w:rPr>
          <w:rFonts w:ascii="Book Antiqua" w:hAnsi="Book Antiqua" w:cstheme="minorHAnsi"/>
          <w:sz w:val="24"/>
          <w:szCs w:val="24"/>
          <w:lang w:val="en-US"/>
        </w:rPr>
        <w:t xml:space="preserve">. Early life exposure to POPs is associated with developmental immunotoxicity and neurodevelopmental disorders like autism spectrum disorders </w:t>
      </w:r>
      <w:r w:rsidR="00207BCD" w:rsidRPr="001F1399">
        <w:rPr>
          <w:rFonts w:ascii="Book Antiqua" w:hAnsi="Book Antiqua" w:cstheme="minorHAnsi"/>
          <w:sz w:val="24"/>
          <w:szCs w:val="24"/>
          <w:lang w:val="en-US"/>
        </w:rPr>
        <w:t>(for review see Di</w:t>
      </w:r>
      <w:r w:rsidR="00387AB8" w:rsidRPr="001F1399">
        <w:rPr>
          <w:rFonts w:ascii="Book Antiqua" w:hAnsi="Book Antiqua" w:cstheme="minorHAnsi"/>
          <w:sz w:val="24"/>
          <w:szCs w:val="24"/>
          <w:lang w:val="en-US"/>
        </w:rPr>
        <w:t>e</w:t>
      </w:r>
      <w:r w:rsidR="00207BCD" w:rsidRPr="001F1399">
        <w:rPr>
          <w:rFonts w:ascii="Book Antiqua" w:hAnsi="Book Antiqua" w:cstheme="minorHAnsi"/>
          <w:sz w:val="24"/>
          <w:szCs w:val="24"/>
          <w:lang w:val="en-US"/>
        </w:rPr>
        <w:t xml:space="preserve">tert </w:t>
      </w:r>
      <w:r w:rsidR="005D5A36" w:rsidRPr="001F1399">
        <w:rPr>
          <w:rFonts w:ascii="Book Antiqua" w:hAnsi="Book Antiqua" w:cstheme="minorHAnsi"/>
          <w:i/>
          <w:iCs/>
          <w:sz w:val="24"/>
          <w:szCs w:val="24"/>
          <w:lang w:val="en-US"/>
        </w:rPr>
        <w:t>et al</w:t>
      </w:r>
      <w:r w:rsidR="00D20FF5" w:rsidRPr="001F1399">
        <w:rPr>
          <w:rFonts w:ascii="Book Antiqua" w:hAnsi="Book Antiqua" w:cstheme="minorHAnsi"/>
          <w:sz w:val="24"/>
          <w:szCs w:val="24"/>
          <w:lang w:val="en-US"/>
        </w:rPr>
        <w:fldChar w:fldCharType="begin" w:fldLock="1"/>
      </w:r>
      <w:r w:rsidR="00B1214D" w:rsidRPr="001F1399">
        <w:rPr>
          <w:rFonts w:ascii="Book Antiqua" w:hAnsi="Book Antiqua" w:cstheme="minorHAnsi"/>
          <w:sz w:val="24"/>
          <w:szCs w:val="24"/>
          <w:lang w:val="en-US"/>
        </w:rPr>
        <w:instrText>ADDIN CSL_CITATION {"citationItems":[{"id":"ITEM-1","itemData":{"DOI":"10.1080/10937400802370923","ISSN":"1093-7404","PMID":"18821424","author":[{"dropping-particle":"","family":"Dietert","given":"Rodney R.","non-dropping-particle":"","parse-names":false,"suffix":""},{"dropping-particle":"","family":"Dietert","given":"Janice M.","non-dropping-particle":"","parse-names":false,"suffix":""}],"container-title":"Journal of Toxicology and Environmental Health, Part B","id":"ITEM-1","issue":"8","issued":{"date-parts":[["2008","10","2"]]},"page":"660-680","title":"Potential for Early-Life Immune Insult Including Developmental Immunotoxicity in Autism and Autism Spectrum Disorders: Focus on Critical Windows of Immune Vulnerability","type":"article-journal","volume":"11"},"uris":["http://www.mendeley.com/documents/?uuid=a896770d-7ee4-47eb-80c1-dbd51c79e29b"]}],"mendeley":{"formattedCitation":"&lt;sup&gt;[111]&lt;/sup&gt;","plainTextFormattedCitation":"[111]","previouslyFormattedCitation":"&lt;sup&gt;[110]&lt;/sup&gt;"},"properties":{"noteIndex":0},"schema":"https://github.com/citation-style-language/schema/raw/master/csl-citation.json"}</w:instrText>
      </w:r>
      <w:r w:rsidR="00D20FF5" w:rsidRPr="001F1399">
        <w:rPr>
          <w:rFonts w:ascii="Book Antiqua" w:hAnsi="Book Antiqua" w:cstheme="minorHAnsi"/>
          <w:sz w:val="24"/>
          <w:szCs w:val="24"/>
          <w:lang w:val="en-US"/>
        </w:rPr>
        <w:fldChar w:fldCharType="separate"/>
      </w:r>
      <w:r w:rsidR="00B1214D" w:rsidRPr="001F1399">
        <w:rPr>
          <w:rFonts w:ascii="Book Antiqua" w:hAnsi="Book Antiqua" w:cstheme="minorHAnsi"/>
          <w:noProof/>
          <w:sz w:val="24"/>
          <w:szCs w:val="24"/>
          <w:vertAlign w:val="superscript"/>
          <w:lang w:val="en-US"/>
        </w:rPr>
        <w:t>[111]</w:t>
      </w:r>
      <w:r w:rsidR="00D20FF5" w:rsidRPr="001F1399">
        <w:rPr>
          <w:rFonts w:ascii="Book Antiqua" w:hAnsi="Book Antiqua" w:cstheme="minorHAnsi"/>
          <w:sz w:val="24"/>
          <w:szCs w:val="24"/>
          <w:lang w:val="en-US"/>
        </w:rPr>
        <w:fldChar w:fldCharType="end"/>
      </w:r>
      <w:r w:rsidR="005C3C9C" w:rsidRPr="001F1399">
        <w:rPr>
          <w:rFonts w:ascii="Book Antiqua" w:hAnsi="Book Antiqua" w:cstheme="minorHAnsi"/>
          <w:sz w:val="24"/>
          <w:szCs w:val="24"/>
          <w:lang w:val="en-US"/>
        </w:rPr>
        <w:t xml:space="preserve">). </w:t>
      </w:r>
      <w:r w:rsidR="002879D4" w:rsidRPr="001F1399">
        <w:rPr>
          <w:rFonts w:ascii="Book Antiqua" w:hAnsi="Book Antiqua" w:cstheme="minorHAnsi"/>
          <w:sz w:val="24"/>
          <w:szCs w:val="24"/>
          <w:lang w:val="en-US"/>
        </w:rPr>
        <w:t xml:space="preserve">This complex interaction between </w:t>
      </w:r>
      <w:r w:rsidR="00BA3A29" w:rsidRPr="001F1399">
        <w:rPr>
          <w:rFonts w:ascii="Book Antiqua" w:hAnsi="Book Antiqua" w:cstheme="minorHAnsi"/>
          <w:sz w:val="24"/>
          <w:szCs w:val="24"/>
          <w:lang w:val="en-US"/>
        </w:rPr>
        <w:t xml:space="preserve">the immune system, environmental pollutants and </w:t>
      </w:r>
      <w:r w:rsidR="00ED4432" w:rsidRPr="001F1399">
        <w:rPr>
          <w:rFonts w:ascii="Book Antiqua" w:hAnsi="Book Antiqua" w:cstheme="minorHAnsi"/>
          <w:sz w:val="24"/>
          <w:szCs w:val="24"/>
          <w:lang w:val="en-US"/>
        </w:rPr>
        <w:t>neurodevelopment</w:t>
      </w:r>
      <w:r w:rsidR="00BA3A29" w:rsidRPr="001F1399">
        <w:rPr>
          <w:rFonts w:ascii="Book Antiqua" w:hAnsi="Book Antiqua" w:cstheme="minorHAnsi"/>
          <w:sz w:val="24"/>
          <w:szCs w:val="24"/>
          <w:lang w:val="en-US"/>
        </w:rPr>
        <w:t xml:space="preserve"> has been </w:t>
      </w:r>
      <w:r w:rsidR="00ED4432" w:rsidRPr="001F1399">
        <w:rPr>
          <w:rFonts w:ascii="Book Antiqua" w:hAnsi="Book Antiqua" w:cstheme="minorHAnsi"/>
          <w:sz w:val="24"/>
          <w:szCs w:val="24"/>
          <w:lang w:val="en-US"/>
        </w:rPr>
        <w:t>des</w:t>
      </w:r>
      <w:r w:rsidR="00681EDC" w:rsidRPr="001F1399">
        <w:rPr>
          <w:rFonts w:ascii="Book Antiqua" w:hAnsi="Book Antiqua" w:cstheme="minorHAnsi"/>
          <w:sz w:val="24"/>
          <w:szCs w:val="24"/>
          <w:lang w:val="en-US"/>
        </w:rPr>
        <w:t>c</w:t>
      </w:r>
      <w:r w:rsidR="00ED4432" w:rsidRPr="001F1399">
        <w:rPr>
          <w:rFonts w:ascii="Book Antiqua" w:hAnsi="Book Antiqua" w:cstheme="minorHAnsi"/>
          <w:sz w:val="24"/>
          <w:szCs w:val="24"/>
          <w:lang w:val="en-US"/>
        </w:rPr>
        <w:t>ri</w:t>
      </w:r>
      <w:r w:rsidR="00681EDC" w:rsidRPr="001F1399">
        <w:rPr>
          <w:rFonts w:ascii="Book Antiqua" w:hAnsi="Book Antiqua" w:cstheme="minorHAnsi"/>
          <w:sz w:val="24"/>
          <w:szCs w:val="24"/>
          <w:lang w:val="en-US"/>
        </w:rPr>
        <w:t>b</w:t>
      </w:r>
      <w:r w:rsidR="00ED4432" w:rsidRPr="001F1399">
        <w:rPr>
          <w:rFonts w:ascii="Book Antiqua" w:hAnsi="Book Antiqua" w:cstheme="minorHAnsi"/>
          <w:sz w:val="24"/>
          <w:szCs w:val="24"/>
          <w:lang w:val="en-US"/>
        </w:rPr>
        <w:t xml:space="preserve">ed by </w:t>
      </w:r>
      <w:r w:rsidR="00FE41F9" w:rsidRPr="001F1399">
        <w:rPr>
          <w:rFonts w:ascii="Book Antiqua" w:hAnsi="Book Antiqua" w:cstheme="minorHAnsi"/>
          <w:sz w:val="24"/>
          <w:szCs w:val="24"/>
          <w:lang w:val="en-US"/>
        </w:rPr>
        <w:t xml:space="preserve">different authors </w:t>
      </w:r>
      <w:r w:rsidR="00283ADA" w:rsidRPr="001F1399">
        <w:rPr>
          <w:rFonts w:ascii="Book Antiqua" w:hAnsi="Book Antiqua" w:cstheme="minorHAnsi"/>
          <w:sz w:val="24"/>
          <w:szCs w:val="24"/>
          <w:lang w:val="en-US"/>
        </w:rPr>
        <w:t>although the e</w:t>
      </w:r>
      <w:r w:rsidR="0022560F" w:rsidRPr="001F1399">
        <w:rPr>
          <w:rFonts w:ascii="Book Antiqua" w:hAnsi="Book Antiqua" w:cstheme="minorHAnsi"/>
          <w:sz w:val="24"/>
          <w:szCs w:val="24"/>
          <w:lang w:val="en-US"/>
        </w:rPr>
        <w:t>xac</w:t>
      </w:r>
      <w:r w:rsidR="00283ADA" w:rsidRPr="001F1399">
        <w:rPr>
          <w:rFonts w:ascii="Book Antiqua" w:hAnsi="Book Antiqua" w:cstheme="minorHAnsi"/>
          <w:sz w:val="24"/>
          <w:szCs w:val="24"/>
          <w:lang w:val="en-US"/>
        </w:rPr>
        <w:t>t mechanisms are still not well understood</w:t>
      </w:r>
      <w:r w:rsidR="00C2365A" w:rsidRPr="001F1399">
        <w:rPr>
          <w:rFonts w:ascii="Book Antiqua" w:hAnsi="Book Antiqua" w:cstheme="minorHAnsi"/>
          <w:sz w:val="24"/>
          <w:szCs w:val="24"/>
          <w:lang w:val="en-US"/>
        </w:rPr>
        <w:fldChar w:fldCharType="begin" w:fldLock="1"/>
      </w:r>
      <w:r w:rsidR="00B1214D" w:rsidRPr="001F1399">
        <w:rPr>
          <w:rFonts w:ascii="Book Antiqua" w:hAnsi="Book Antiqua" w:cstheme="minorHAnsi"/>
          <w:sz w:val="24"/>
          <w:szCs w:val="24"/>
          <w:lang w:val="en-US"/>
        </w:rPr>
        <w:instrText>ADDIN CSL_CITATION {"citationItems":[{"id":"ITEM-1","itemData":{"DOI":"10.1186/1476-069X-9-51","ISSN":"1476-069X","PMID":"20731829","author":[{"dropping-particle":"","family":"Park","given":"Hye-Youn","non-dropping-particle":"","parse-names":false,"suffix":""},{"dropping-particle":"","family":"Hertz-Picciotto","given":"Irva","non-dropping-particle":"","parse-names":false,"suffix":""},{"dropping-particle":"","family":"Sovcikova","given":"Eva","non-dropping-particle":"","parse-names":false,"suffix":""},{"dropping-particle":"","family":"Kocan","given":"Anton","non-dropping-particle":"","parse-names":false,"suffix":""},{"dropping-particle":"","family":"Drobna","given":"Beata","non-dropping-particle":"","parse-names":false,"suffix":""},{"dropping-particle":"","family":"Trnovec","given":"Tomas","non-dropping-particle":"","parse-names":false,"suffix":""}],"container-title":"Environmental Health","id":"ITEM-1","issue":"1","issued":{"date-parts":[["2010","12","23"]]},"page":"51","title":"Neurodevelopmental toxicity of prenatal polychlorinated biphenyls (PCBs) by chemical structure and activity: a birth cohort study","type":"article-journal","volume":"9"},"uris":["http://www.mendeley.com/documents/?uuid=1d7c76f6-e38a-49d6-8e3c-af0972d339b3"]}],"mendeley":{"formattedCitation":"&lt;sup&gt;[112]&lt;/sup&gt;","plainTextFormattedCitation":"[112]","previouslyFormattedCitation":"&lt;sup&gt;[111]&lt;/sup&gt;"},"properties":{"noteIndex":0},"schema":"https://github.com/citation-style-language/schema/raw/master/csl-citation.json"}</w:instrText>
      </w:r>
      <w:r w:rsidR="00C2365A" w:rsidRPr="001F1399">
        <w:rPr>
          <w:rFonts w:ascii="Book Antiqua" w:hAnsi="Book Antiqua" w:cstheme="minorHAnsi"/>
          <w:sz w:val="24"/>
          <w:szCs w:val="24"/>
          <w:lang w:val="en-US"/>
        </w:rPr>
        <w:fldChar w:fldCharType="separate"/>
      </w:r>
      <w:r w:rsidR="00B1214D" w:rsidRPr="001F1399">
        <w:rPr>
          <w:rFonts w:ascii="Book Antiqua" w:hAnsi="Book Antiqua" w:cstheme="minorHAnsi"/>
          <w:noProof/>
          <w:sz w:val="24"/>
          <w:szCs w:val="24"/>
          <w:vertAlign w:val="superscript"/>
          <w:lang w:val="en-US"/>
        </w:rPr>
        <w:t>[112]</w:t>
      </w:r>
      <w:r w:rsidR="00C2365A" w:rsidRPr="001F1399">
        <w:rPr>
          <w:rFonts w:ascii="Book Antiqua" w:hAnsi="Book Antiqua" w:cstheme="minorHAnsi"/>
          <w:sz w:val="24"/>
          <w:szCs w:val="24"/>
          <w:lang w:val="en-US"/>
        </w:rPr>
        <w:fldChar w:fldCharType="end"/>
      </w:r>
      <w:r w:rsidR="00C2365A" w:rsidRPr="001F1399">
        <w:rPr>
          <w:rFonts w:ascii="Book Antiqua" w:hAnsi="Book Antiqua" w:cstheme="minorHAnsi"/>
          <w:sz w:val="24"/>
          <w:szCs w:val="24"/>
          <w:lang w:val="en-US"/>
        </w:rPr>
        <w:t>. However, p</w:t>
      </w:r>
      <w:r w:rsidR="00EC31B4" w:rsidRPr="001F1399">
        <w:rPr>
          <w:rFonts w:ascii="Book Antiqua" w:hAnsi="Book Antiqua" w:cstheme="minorHAnsi"/>
          <w:sz w:val="24"/>
          <w:szCs w:val="24"/>
          <w:lang w:val="en-US"/>
        </w:rPr>
        <w:t xml:space="preserve">renatal </w:t>
      </w:r>
      <w:r w:rsidR="00DA0568" w:rsidRPr="001F1399">
        <w:rPr>
          <w:rFonts w:ascii="Book Antiqua" w:hAnsi="Book Antiqua" w:cstheme="minorHAnsi"/>
          <w:sz w:val="24"/>
          <w:szCs w:val="24"/>
          <w:lang w:val="en-US"/>
        </w:rPr>
        <w:t xml:space="preserve">and postnatal </w:t>
      </w:r>
      <w:r w:rsidR="00EC31B4" w:rsidRPr="001F1399">
        <w:rPr>
          <w:rFonts w:ascii="Book Antiqua" w:hAnsi="Book Antiqua" w:cstheme="minorHAnsi"/>
          <w:sz w:val="24"/>
          <w:szCs w:val="24"/>
          <w:lang w:val="en-US"/>
        </w:rPr>
        <w:t xml:space="preserve">exposure to POPs </w:t>
      </w:r>
      <w:r w:rsidR="00DA0568" w:rsidRPr="001F1399">
        <w:rPr>
          <w:rFonts w:ascii="Book Antiqua" w:hAnsi="Book Antiqua" w:cstheme="minorHAnsi"/>
          <w:sz w:val="24"/>
          <w:szCs w:val="24"/>
          <w:lang w:val="en-US"/>
        </w:rPr>
        <w:t>are</w:t>
      </w:r>
      <w:r w:rsidR="00EC31B4" w:rsidRPr="001F1399">
        <w:rPr>
          <w:rFonts w:ascii="Book Antiqua" w:hAnsi="Book Antiqua" w:cstheme="minorHAnsi"/>
          <w:sz w:val="24"/>
          <w:szCs w:val="24"/>
          <w:lang w:val="en-US"/>
        </w:rPr>
        <w:t xml:space="preserve"> clearly </w:t>
      </w:r>
      <w:r w:rsidR="00EC31B4" w:rsidRPr="001F1399">
        <w:rPr>
          <w:rFonts w:ascii="Book Antiqua" w:hAnsi="Book Antiqua" w:cstheme="minorHAnsi"/>
          <w:sz w:val="24"/>
          <w:szCs w:val="24"/>
          <w:lang w:val="en-US"/>
        </w:rPr>
        <w:lastRenderedPageBreak/>
        <w:t>associated with brain damage</w:t>
      </w:r>
      <w:r w:rsidR="00DA0568" w:rsidRPr="001F1399">
        <w:rPr>
          <w:rFonts w:ascii="Book Antiqua" w:hAnsi="Book Antiqua" w:cstheme="minorHAnsi"/>
          <w:sz w:val="24"/>
          <w:szCs w:val="24"/>
          <w:lang w:val="en-US"/>
        </w:rPr>
        <w:fldChar w:fldCharType="begin" w:fldLock="1"/>
      </w:r>
      <w:r w:rsidR="00B1214D" w:rsidRPr="001F1399">
        <w:rPr>
          <w:rFonts w:ascii="Book Antiqua" w:hAnsi="Book Antiqua" w:cstheme="minorHAnsi"/>
          <w:sz w:val="24"/>
          <w:szCs w:val="24"/>
          <w:lang w:val="en-US"/>
        </w:rPr>
        <w:instrText>ADDIN CSL_CITATION {"citationItems":[{"id":"ITEM-1","itemData":{"DOI":"10.1136/jech.55.8.537","ISSN":"0143005X","PMID":"11449010","author":[{"dropping-particle":"","family":"Ribas-Fito","given":"N","non-dropping-particle":"","parse-names":false,"suffix":""}],"container-title":"Journal of Epidemiology &amp; Community Health","id":"ITEM-1","issue":"8","issued":{"date-parts":[["2001","8","1"]]},"page":"537-546","title":"Polychlorinated biphenyls (PCBs) and neurological development in children: a systematic review","type":"article-journal","volume":"55"},"uris":["http://www.mendeley.com/documents/?uuid=53d0d694-927a-4081-ab7d-64bf28f28a6e"]},{"id":"ITEM-2","itemData":{"DOI":"10.1016/S0140-6736(01)06654-5","ISSN":"01406736","PMID":"11716887","author":[{"dropping-particle":"","family":"Walkowiak","given":"Jens","non-dropping-particle":"","parse-names":false,"suffix":""},{"dropping-particle":"","family":"Wiener","given":"Jörg-A","non-dropping-particle":"","parse-names":false,"suffix":""},{"dropping-particle":"","family":"Fastabend","given":"Annemarie","non-dropping-particle":"","parse-names":false,"suffix":""},{"dropping-particle":"","family":"Heinzow","given":"Birger","non-dropping-particle":"","parse-names":false,"suffix":""},{"dropping-particle":"","family":"Krämer","given":"Ursula","non-dropping-particle":"","parse-names":false,"suffix":""},{"dropping-particle":"","family":"Schmidt","given":"Eberhard","non-dropping-particle":"","parse-names":false,"suffix":""},{"dropping-particle":"","family":"Steingrüber","given":"Hans-J","non-dropping-particle":"","parse-names":false,"suffix":""},{"dropping-particle":"","family":"Wundram","given":"Sabine","non-dropping-particle":"","parse-names":false,"suffix":""},{"dropping-particle":"","family":"Winneke","given":"Gerhard","non-dropping-particle":"","parse-names":false,"suffix":""}],"container-title":"The Lancet","id":"ITEM-2","issue":"9293","issued":{"date-parts":[["2001","11"]]},"page":"1602-1607","title":"Environmental exposure to polychlorinated biphenyls and quality of the home environment: effects on psychodevelopment in early childhood","type":"article-journal","volume":"358"},"uris":["http://www.mendeley.com/documents/?uuid=c0471b7e-d87c-44ec-8c83-a61691dfcd8c"]}],"mendeley":{"formattedCitation":"&lt;sup&gt;[113,114]&lt;/sup&gt;","plainTextFormattedCitation":"[113,114]","previouslyFormattedCitation":"&lt;sup&gt;[112,113]&lt;/sup&gt;"},"properties":{"noteIndex":0},"schema":"https://github.com/citation-style-language/schema/raw/master/csl-citation.json"}</w:instrText>
      </w:r>
      <w:r w:rsidR="00DA0568" w:rsidRPr="001F1399">
        <w:rPr>
          <w:rFonts w:ascii="Book Antiqua" w:hAnsi="Book Antiqua" w:cstheme="minorHAnsi"/>
          <w:sz w:val="24"/>
          <w:szCs w:val="24"/>
          <w:lang w:val="en-US"/>
        </w:rPr>
        <w:fldChar w:fldCharType="separate"/>
      </w:r>
      <w:r w:rsidR="00B1214D" w:rsidRPr="001F1399">
        <w:rPr>
          <w:rFonts w:ascii="Book Antiqua" w:hAnsi="Book Antiqua" w:cstheme="minorHAnsi"/>
          <w:noProof/>
          <w:sz w:val="24"/>
          <w:szCs w:val="24"/>
          <w:vertAlign w:val="superscript"/>
          <w:lang w:val="en-US"/>
        </w:rPr>
        <w:t>[113,114]</w:t>
      </w:r>
      <w:r w:rsidR="00DA0568" w:rsidRPr="001F1399">
        <w:rPr>
          <w:rFonts w:ascii="Book Antiqua" w:hAnsi="Book Antiqua" w:cstheme="minorHAnsi"/>
          <w:sz w:val="24"/>
          <w:szCs w:val="24"/>
          <w:lang w:val="en-US"/>
        </w:rPr>
        <w:fldChar w:fldCharType="end"/>
      </w:r>
      <w:r w:rsidR="00DA0568" w:rsidRPr="001F1399">
        <w:rPr>
          <w:rFonts w:ascii="Book Antiqua" w:hAnsi="Book Antiqua" w:cstheme="minorHAnsi"/>
          <w:sz w:val="24"/>
          <w:szCs w:val="24"/>
          <w:lang w:val="en-US"/>
        </w:rPr>
        <w:t xml:space="preserve">. </w:t>
      </w:r>
      <w:r w:rsidR="00566B5B" w:rsidRPr="001F1399">
        <w:rPr>
          <w:rFonts w:ascii="Book Antiqua" w:hAnsi="Book Antiqua" w:cs="Calibri"/>
          <w:sz w:val="24"/>
          <w:szCs w:val="24"/>
          <w:lang w:val="en-US"/>
        </w:rPr>
        <w:t>At last, most of POPs and particularly tetrachlorodibenzofluranes, polychlorinated b</w:t>
      </w:r>
      <w:r w:rsidR="00944E7A" w:rsidRPr="001F1399">
        <w:rPr>
          <w:rFonts w:ascii="Book Antiqua" w:hAnsi="Book Antiqua" w:cs="Calibri"/>
          <w:sz w:val="24"/>
          <w:szCs w:val="24"/>
          <w:lang w:val="en-US"/>
        </w:rPr>
        <w:t>is</w:t>
      </w:r>
      <w:r w:rsidR="00566B5B" w:rsidRPr="001F1399">
        <w:rPr>
          <w:rFonts w:ascii="Book Antiqua" w:hAnsi="Book Antiqua" w:cs="Calibri"/>
          <w:sz w:val="24"/>
          <w:szCs w:val="24"/>
          <w:lang w:val="en-US"/>
        </w:rPr>
        <w:t xml:space="preserve">phenyls (PCBs) or chlorothalonil, another </w:t>
      </w:r>
      <w:r w:rsidR="005D5A36" w:rsidRPr="001F1399">
        <w:rPr>
          <w:rFonts w:ascii="Book Antiqua" w:hAnsi="Book Antiqua" w:cs="Calibri"/>
          <w:sz w:val="24"/>
          <w:szCs w:val="24"/>
          <w:lang w:val="en-US"/>
        </w:rPr>
        <w:t>OCP</w:t>
      </w:r>
      <w:r w:rsidR="00566B5B" w:rsidRPr="001F1399">
        <w:rPr>
          <w:rFonts w:ascii="Book Antiqua" w:hAnsi="Book Antiqua" w:cs="Calibri"/>
          <w:sz w:val="24"/>
          <w:szCs w:val="24"/>
          <w:lang w:val="en-US"/>
        </w:rPr>
        <w:t>, has been described to have strong incidence on gut microbiota composition</w:t>
      </w:r>
      <w:r w:rsidR="00944E7A" w:rsidRPr="001F1399">
        <w:rPr>
          <w:rFonts w:ascii="Book Antiqua" w:hAnsi="Book Antiqua" w:cs="Calibri"/>
          <w:sz w:val="24"/>
          <w:szCs w:val="24"/>
          <w:lang w:val="en-US"/>
        </w:rPr>
        <w:fldChar w:fldCharType="begin" w:fldLock="1"/>
      </w:r>
      <w:r w:rsidR="00B1214D" w:rsidRPr="001F1399">
        <w:rPr>
          <w:rFonts w:ascii="Book Antiqua" w:hAnsi="Book Antiqua" w:cs="Calibri"/>
          <w:sz w:val="24"/>
          <w:szCs w:val="24"/>
          <w:lang w:val="en-US"/>
        </w:rPr>
        <w:instrText>ADDIN CSL_CITATION {"citationItems":[{"id":"ITEM-1","itemData":{"DOI":"10.1038/npjbiofilms.2016.3","ISSN":"2055-5008","PMID":"28726854","abstract":"Exposure to environmental chemicals has been linked to various health disorders, including obesity, type 2 diabetes, cancer and dysregulation of the immune and reproductive systems, whereas the gastrointestinal microbiota critically contributes to a variety of host metabolic and immune functions. We aimed to evaluate the bidirectional relationship between gut bacteria and environmental pollutants and to assess the toxicological relevance of the bacteria-xenobiotic interplay for the host. We examined studies using isolated bacteria, faecal or caecal suspensions-germ-free or antibiotic-Treated animals-As well as animals reassociated with a microbiota exposed to environmental chemicals. The literature indicates that gut microbes have an extensive capacity to metabolise environmental chemicals that can be classified in five core enzymatic families (azoreductases, nitroreductases, β-glucuronidases, sulfatases and β-lyases) unequivocally involved in the metabolism of 430 environmental contaminants. There is clear evidence that bacteria-dependent metabolism of pollutants modulates the toxicity for the host. Conversely, environmental contaminants from various chemical families have been shown to alter the composition and/or the metabolic activity of the gastrointestinal bacteria, which may be an important factor contributing to shape an individual's microbiotype. The physiological consequences of these alterations have not been studied in details but pollutant-induced alterations of the gut bacteria are likely to contribute to their toxicity. In conclusion, there is a body of evidence suggesting that gut microbiota are a major, yet underestimated element that must be considered to fully evaluate the toxicity of environmental contaminants.","author":[{"dropping-particle":"","family":"Claus","given":"Sandrine P.","non-dropping-particle":"","parse-names":false,"suffix":""},{"dropping-particle":"","family":"Guillou","given":"Hervé","non-dropping-particle":"","parse-names":false,"suffix":""},{"dropping-particle":"","family":"Ellero-Simatos","given":"Sandrine","non-dropping-particle":"","parse-names":false,"suffix":""}],"container-title":"npj Biofilms and Microbiomes","id":"ITEM-1","issue":"1","issued":{"date-parts":[["2016","11","4"]]},"page":"16003","publisher":"Nature Publishing Group","title":"The gut microbiota: a major player in the toxicity of environmental pollutants?","type":"article-journal","volume":"2"},"uris":["http://www.mendeley.com/documents/?uuid=a3835cc4-5170-4e64-bd7b-29855b883c0c"]}],"mendeley":{"formattedCitation":"&lt;sup&gt;[115]&lt;/sup&gt;","plainTextFormattedCitation":"[115]","previouslyFormattedCitation":"&lt;sup&gt;[114]&lt;/sup&gt;"},"properties":{"noteIndex":0},"schema":"https://github.com/citation-style-language/schema/raw/master/csl-citation.json"}</w:instrText>
      </w:r>
      <w:r w:rsidR="00944E7A" w:rsidRPr="001F1399">
        <w:rPr>
          <w:rFonts w:ascii="Book Antiqua" w:hAnsi="Book Antiqua" w:cs="Calibri"/>
          <w:sz w:val="24"/>
          <w:szCs w:val="24"/>
          <w:lang w:val="en-US"/>
        </w:rPr>
        <w:fldChar w:fldCharType="separate"/>
      </w:r>
      <w:r w:rsidR="00B1214D" w:rsidRPr="001F1399">
        <w:rPr>
          <w:rFonts w:ascii="Book Antiqua" w:hAnsi="Book Antiqua" w:cs="Calibri"/>
          <w:noProof/>
          <w:sz w:val="24"/>
          <w:szCs w:val="24"/>
          <w:vertAlign w:val="superscript"/>
          <w:lang w:val="en-US"/>
        </w:rPr>
        <w:t>[115]</w:t>
      </w:r>
      <w:r w:rsidR="00944E7A" w:rsidRPr="001F1399">
        <w:rPr>
          <w:rFonts w:ascii="Book Antiqua" w:hAnsi="Book Antiqua" w:cs="Calibri"/>
          <w:sz w:val="24"/>
          <w:szCs w:val="24"/>
          <w:lang w:val="en-US"/>
        </w:rPr>
        <w:fldChar w:fldCharType="end"/>
      </w:r>
      <w:r w:rsidR="000F7537" w:rsidRPr="001F1399">
        <w:rPr>
          <w:rFonts w:ascii="Book Antiqua" w:hAnsi="Book Antiqua" w:cs="Calibri"/>
          <w:sz w:val="24"/>
          <w:szCs w:val="24"/>
          <w:lang w:val="en-US"/>
        </w:rPr>
        <w:t xml:space="preserve"> but this has still to be confirmed in infants.</w:t>
      </w:r>
    </w:p>
    <w:p w14:paraId="1883369B" w14:textId="77777777" w:rsidR="00050560" w:rsidRPr="001F1399" w:rsidRDefault="00050560" w:rsidP="002974FA">
      <w:pPr>
        <w:pStyle w:val="paragraph"/>
        <w:adjustRightInd w:val="0"/>
        <w:snapToGrid w:val="0"/>
        <w:spacing w:before="0" w:beforeAutospacing="0" w:after="0" w:afterAutospacing="0" w:line="360" w:lineRule="auto"/>
        <w:jc w:val="both"/>
        <w:textAlignment w:val="baseline"/>
        <w:rPr>
          <w:rFonts w:ascii="Book Antiqua" w:hAnsi="Book Antiqua" w:cstheme="minorHAnsi"/>
          <w:lang w:val="en-US"/>
        </w:rPr>
      </w:pPr>
    </w:p>
    <w:p w14:paraId="27F3C18E" w14:textId="44113F00" w:rsidR="007B26D2" w:rsidRPr="001F1399" w:rsidRDefault="007B26D2" w:rsidP="002974FA">
      <w:pPr>
        <w:pStyle w:val="paragraph"/>
        <w:adjustRightInd w:val="0"/>
        <w:snapToGrid w:val="0"/>
        <w:spacing w:before="0" w:beforeAutospacing="0" w:after="0" w:afterAutospacing="0" w:line="360" w:lineRule="auto"/>
        <w:jc w:val="both"/>
        <w:textAlignment w:val="baseline"/>
        <w:rPr>
          <w:rStyle w:val="eop"/>
          <w:rFonts w:ascii="Book Antiqua" w:hAnsi="Book Antiqua" w:cs="Calibri"/>
          <w:b/>
          <w:i/>
          <w:lang w:val="en-US"/>
        </w:rPr>
      </w:pPr>
      <w:r w:rsidRPr="001F1399">
        <w:rPr>
          <w:rStyle w:val="normaltextrun"/>
          <w:rFonts w:ascii="Book Antiqua" w:hAnsi="Book Antiqua" w:cs="Calibri"/>
          <w:b/>
          <w:i/>
          <w:lang w:val="en-US"/>
        </w:rPr>
        <w:t>Fetal exposure to heavy metals</w:t>
      </w:r>
      <w:r w:rsidRPr="001F1399">
        <w:rPr>
          <w:rStyle w:val="eop"/>
          <w:rFonts w:ascii="Book Antiqua" w:hAnsi="Book Antiqua" w:cs="Calibri"/>
          <w:b/>
          <w:i/>
          <w:lang w:val="en-US"/>
        </w:rPr>
        <w:t> </w:t>
      </w:r>
    </w:p>
    <w:p w14:paraId="33A1815E" w14:textId="512F09A5" w:rsidR="00D67FD1" w:rsidRPr="001F1399" w:rsidRDefault="006A4633" w:rsidP="002974FA">
      <w:pPr>
        <w:pStyle w:val="paragraph"/>
        <w:adjustRightInd w:val="0"/>
        <w:snapToGrid w:val="0"/>
        <w:spacing w:before="0" w:beforeAutospacing="0" w:after="0" w:afterAutospacing="0" w:line="360" w:lineRule="auto"/>
        <w:jc w:val="both"/>
        <w:textAlignment w:val="baseline"/>
        <w:rPr>
          <w:rFonts w:ascii="Book Antiqua" w:hAnsi="Book Antiqua" w:cstheme="minorBidi"/>
          <w:lang w:val="en-GB"/>
        </w:rPr>
      </w:pPr>
      <w:r w:rsidRPr="001F1399">
        <w:rPr>
          <w:rFonts w:ascii="Book Antiqua" w:hAnsi="Book Antiqua" w:cstheme="minorBidi"/>
          <w:lang w:val="en-GB"/>
        </w:rPr>
        <w:t>For the general population, th</w:t>
      </w:r>
      <w:r w:rsidR="00035BDE" w:rsidRPr="001F1399">
        <w:rPr>
          <w:rFonts w:ascii="Book Antiqua" w:hAnsi="Book Antiqua" w:cstheme="minorBidi"/>
          <w:lang w:val="en-GB"/>
        </w:rPr>
        <w:t xml:space="preserve">e most common source of exposure to toxic heavy metals </w:t>
      </w:r>
      <w:r w:rsidRPr="001F1399">
        <w:rPr>
          <w:rFonts w:ascii="Book Antiqua" w:hAnsi="Book Antiqua" w:cstheme="minorBidi"/>
          <w:lang w:val="en-GB"/>
        </w:rPr>
        <w:t xml:space="preserve">are through the air and dietary intake. Due to their high vulnerability, pregnant women and infants are even more concerned than any other by exposure to them since their effect on health are major. </w:t>
      </w:r>
      <w:r w:rsidR="002337A4" w:rsidRPr="001F1399">
        <w:rPr>
          <w:rFonts w:ascii="Book Antiqua" w:hAnsi="Book Antiqua" w:cstheme="minorBidi"/>
          <w:lang w:val="en-GB"/>
        </w:rPr>
        <w:t>Mercurials are global environmental pollutants deriving from natural processes and anthropogenic activities. Most human exposure to mercury occurs through the intake of fish, shellfish, and sea mammals contaminated with methylmercury</w:t>
      </w:r>
      <w:r w:rsidR="00DE3340" w:rsidRPr="001F1399">
        <w:rPr>
          <w:rFonts w:ascii="Book Antiqua" w:hAnsi="Book Antiqua" w:cstheme="minorBidi"/>
          <w:lang w:val="en-GB"/>
        </w:rPr>
        <w:t xml:space="preserve"> (MeHg)</w:t>
      </w:r>
      <w:r w:rsidR="008422F1" w:rsidRPr="001F1399">
        <w:rPr>
          <w:rFonts w:ascii="Book Antiqua" w:hAnsi="Book Antiqua"/>
        </w:rPr>
        <w:fldChar w:fldCharType="begin" w:fldLock="1"/>
      </w:r>
      <w:r w:rsidR="00B1214D" w:rsidRPr="001F1399">
        <w:rPr>
          <w:rFonts w:ascii="Book Antiqua" w:hAnsi="Book Antiqua" w:cstheme="minorHAnsi"/>
          <w:lang w:val="en-GB"/>
        </w:rPr>
        <w:instrText>ADDIN CSL_CITATION {"citationItems":[{"id":"ITEM-1","itemData":{"DOI":"10.1146/annurev-arplant-043015-112301","ISSN":"1543-5008","PMID":"27128467","author":[{"dropping-particle":"","family":"Clemens","given":"Stephan","non-dropping-particle":"","parse-names":false,"suffix":""},{"dropping-particle":"","family":"Ma","given":"Jian Feng","non-dropping-particle":"","parse-names":false,"suffix":""}],"container-title":"Annual Review of Plant Biology","id":"ITEM-1","issue":"1","issued":{"date-parts":[["2016","4","29"]]},"page":"489-512","title":"Toxic Heavy Metal and Metalloid Accumulation in Crop Plants and Foods","type":"article-journal","volume":"67"},"uris":["http://www.mendeley.com/documents/?uuid=1eb49a8b-691b-4ed5-9639-4464731709c1"]}],"mendeley":{"formattedCitation":"&lt;sup&gt;[116]&lt;/sup&gt;","plainTextFormattedCitation":"[116]","previouslyFormattedCitation":"&lt;sup&gt;[115]&lt;/sup&gt;"},"properties":{"noteIndex":0},"schema":"https://github.com/citation-style-language/schema/raw/master/csl-citation.json"}</w:instrText>
      </w:r>
      <w:r w:rsidR="008422F1" w:rsidRPr="001F1399">
        <w:rPr>
          <w:rFonts w:ascii="Book Antiqua" w:hAnsi="Book Antiqua" w:cstheme="minorHAnsi"/>
          <w:lang w:val="en-GB"/>
        </w:rPr>
        <w:fldChar w:fldCharType="separate"/>
      </w:r>
      <w:r w:rsidR="00B1214D" w:rsidRPr="001F1399">
        <w:rPr>
          <w:rFonts w:ascii="Book Antiqua" w:hAnsi="Book Antiqua" w:cstheme="minorBidi"/>
          <w:noProof/>
          <w:vertAlign w:val="superscript"/>
          <w:lang w:val="en-GB"/>
        </w:rPr>
        <w:t>[116]</w:t>
      </w:r>
      <w:r w:rsidR="008422F1" w:rsidRPr="001F1399">
        <w:rPr>
          <w:rFonts w:ascii="Book Antiqua" w:hAnsi="Book Antiqua"/>
        </w:rPr>
        <w:fldChar w:fldCharType="end"/>
      </w:r>
      <w:r w:rsidR="002337A4" w:rsidRPr="001F1399">
        <w:rPr>
          <w:rFonts w:ascii="Book Antiqua" w:hAnsi="Book Antiqua" w:cstheme="minorBidi"/>
          <w:lang w:val="en-GB"/>
        </w:rPr>
        <w:t xml:space="preserve">. The neurotoxic hazard posed by </w:t>
      </w:r>
      <w:r w:rsidR="005D5A36" w:rsidRPr="001F1399">
        <w:rPr>
          <w:rFonts w:ascii="Book Antiqua" w:hAnsi="Book Antiqua" w:cstheme="minorBidi"/>
          <w:lang w:val="en-GB"/>
        </w:rPr>
        <w:t>MeHg</w:t>
      </w:r>
      <w:r w:rsidR="002337A4" w:rsidRPr="001F1399">
        <w:rPr>
          <w:rFonts w:ascii="Book Antiqua" w:hAnsi="Book Antiqua" w:cstheme="minorBidi"/>
          <w:lang w:val="en-GB"/>
        </w:rPr>
        <w:t xml:space="preserve"> to humans and the unique susceptibility of the developing brain have been well documented following the mass poisonings occurring in Japan and Iraq. Why the </w:t>
      </w:r>
      <w:r w:rsidR="00167299" w:rsidRPr="001F1399">
        <w:rPr>
          <w:rFonts w:ascii="Book Antiqua" w:hAnsi="Book Antiqua" w:cstheme="minorBidi"/>
          <w:lang w:val="en-GB"/>
        </w:rPr>
        <w:t>foetus</w:t>
      </w:r>
      <w:r w:rsidR="002337A4" w:rsidRPr="001F1399">
        <w:rPr>
          <w:rFonts w:ascii="Book Antiqua" w:hAnsi="Book Antiqua" w:cstheme="minorBidi"/>
          <w:lang w:val="en-GB"/>
        </w:rPr>
        <w:t xml:space="preserve"> displays different neuropathological effects and a higher sensitivity to </w:t>
      </w:r>
      <w:r w:rsidR="005D5A36" w:rsidRPr="001F1399">
        <w:rPr>
          <w:rFonts w:ascii="Book Antiqua" w:hAnsi="Book Antiqua" w:cstheme="minorBidi"/>
          <w:lang w:val="en-GB"/>
        </w:rPr>
        <w:t>MeHg</w:t>
      </w:r>
      <w:r w:rsidR="002337A4" w:rsidRPr="001F1399">
        <w:rPr>
          <w:rFonts w:ascii="Book Antiqua" w:hAnsi="Book Antiqua" w:cstheme="minorBidi"/>
          <w:lang w:val="en-GB"/>
        </w:rPr>
        <w:t xml:space="preserve"> relative to the adult is still unknown. Depending on the degree of </w:t>
      </w:r>
      <w:r w:rsidR="002337A4" w:rsidRPr="001F1399">
        <w:rPr>
          <w:rFonts w:ascii="Book Antiqua" w:hAnsi="Book Antiqua" w:cstheme="minorBidi"/>
          <w:i/>
          <w:iCs/>
          <w:lang w:val="en-GB"/>
        </w:rPr>
        <w:t>in utero</w:t>
      </w:r>
      <w:r w:rsidR="002337A4" w:rsidRPr="001F1399">
        <w:rPr>
          <w:rFonts w:ascii="Book Antiqua" w:hAnsi="Book Antiqua" w:cstheme="minorBidi"/>
          <w:lang w:val="en-GB"/>
        </w:rPr>
        <w:t xml:space="preserve"> exposure, </w:t>
      </w:r>
      <w:r w:rsidR="005D5A36" w:rsidRPr="001F1399">
        <w:rPr>
          <w:rFonts w:ascii="Book Antiqua" w:hAnsi="Book Antiqua" w:cstheme="minorBidi"/>
          <w:lang w:val="en-GB"/>
        </w:rPr>
        <w:t>MeHg</w:t>
      </w:r>
      <w:r w:rsidR="002337A4" w:rsidRPr="001F1399">
        <w:rPr>
          <w:rFonts w:ascii="Book Antiqua" w:hAnsi="Book Antiqua" w:cstheme="minorBidi"/>
          <w:lang w:val="en-GB"/>
        </w:rPr>
        <w:t xml:space="preserve"> may result in effects ranging from </w:t>
      </w:r>
      <w:r w:rsidR="00167299" w:rsidRPr="001F1399">
        <w:rPr>
          <w:rFonts w:ascii="Book Antiqua" w:hAnsi="Book Antiqua" w:cstheme="minorBidi"/>
          <w:lang w:val="en-GB"/>
        </w:rPr>
        <w:t>foetal</w:t>
      </w:r>
      <w:r w:rsidR="002337A4" w:rsidRPr="001F1399">
        <w:rPr>
          <w:rFonts w:ascii="Book Antiqua" w:hAnsi="Book Antiqua" w:cstheme="minorBidi"/>
          <w:lang w:val="en-GB"/>
        </w:rPr>
        <w:t xml:space="preserve"> death to subtle neurodevelopmental delays. On the basis of epidemiological studies performed in populations having moderate chronic </w:t>
      </w:r>
      <w:r w:rsidR="005D5A36" w:rsidRPr="001F1399">
        <w:rPr>
          <w:rFonts w:ascii="Book Antiqua" w:hAnsi="Book Antiqua" w:cstheme="minorBidi"/>
          <w:lang w:val="en-GB"/>
        </w:rPr>
        <w:t>MeHg</w:t>
      </w:r>
      <w:r w:rsidR="002337A4" w:rsidRPr="001F1399">
        <w:rPr>
          <w:rFonts w:ascii="Book Antiqua" w:hAnsi="Book Antiqua" w:cstheme="minorBidi"/>
          <w:lang w:val="en-GB"/>
        </w:rPr>
        <w:t xml:space="preserve"> exposure, no definitive consensus has been reached to date on the safety level of maternal exposure during pregnancy</w:t>
      </w:r>
      <w:r w:rsidR="00E16F82" w:rsidRPr="001F1399">
        <w:rPr>
          <w:rFonts w:ascii="Book Antiqua" w:hAnsi="Book Antiqua"/>
        </w:rPr>
        <w:fldChar w:fldCharType="begin" w:fldLock="1"/>
      </w:r>
      <w:r w:rsidR="00B1214D" w:rsidRPr="001F1399">
        <w:rPr>
          <w:rFonts w:ascii="Book Antiqua" w:hAnsi="Book Antiqua" w:cstheme="minorBidi"/>
          <w:lang w:val="en-GB"/>
        </w:rPr>
        <w:instrText>ADDIN CSL_CITATION {"citationItems":[{"id":"ITEM-1","itemData":{"DOI":"10.1515/REVEH.2003.18.1.19","ISSN":"2191-0308","PMID":"12875509","abstract":"Mercurials are global environmental pollutants deriving from natural processes and anthropogenic activities. Most human exposure to mercury occurs through the intake of fish, shellfish, and sea mammals contaminated with methylmercury. Methylmercury is bioaccumulated and biomagnified in the aquatic food chain and reaches its highest levels in top predatory fish. The neurotoxic hazard posed by methylmercury to humans and the unique susceptibility of the developing brain have been well documented following the mass poisonings occurring in Japan and Iraq. Adult cases of methylmercury poisoning are characterized by the delayed onset of symptoms and by the focal degeneration of neurons in selected brain regions (for example, cerebral cortex and cerebellum). Why the fetus displays different neuropathological effects and a higher sensitivity to methylmercury relative to the adult is still unknown. Depending on the degree of in utero exposure, methylmercury may result in effects ranging from fetal death to subtle neurodevelopmental delays. On the basis of epidemiological studies performed in populations having moderate chronic methylmercury exposure, no definitive consensus has been reached to date on the safety level of maternal exposure during pregnancy. Among the multiple mechanisms believed to contribute to methylmercury neurotoxicity, methylmercury-induced microtubule alterations, oxidative damage, impairment of calcium homeostasis, and the potentiation of glutamatergic neurotransmission are presented in this review.","author":[{"dropping-particle":"","family":"Castoldi","given":"Anna F.","non-dropping-particle":"","parse-names":false,"suffix":""},{"dropping-particle":"","family":"Coccini","given":"Teresa","non-dropping-particle":"","parse-names":false,"suffix":""},{"dropping-particle":"","family":"Manzo","given":"Luigi","non-dropping-particle":"","parse-names":false,"suffix":""}],"container-title":"Reviews on Environmental Health","id":"ITEM-1","issue":"1","issued":{"date-parts":[["2003","1"]]},"page":"19-31","title":"Neurotoxic and Molecular Effects of Methylmercury in Humans","type":"article-journal","volume":"18"},"uris":["http://www.mendeley.com/documents/?uuid=ceb4916e-2d25-4003-bc8c-4b935394f103"]}],"mendeley":{"formattedCitation":"&lt;sup&gt;[117]&lt;/sup&gt;","plainTextFormattedCitation":"[117]","previouslyFormattedCitation":"&lt;sup&gt;[116]&lt;/sup&gt;"},"properties":{"noteIndex":0},"schema":"https://github.com/citation-style-language/schema/raw/master/csl-citation.json"}</w:instrText>
      </w:r>
      <w:r w:rsidR="00E16F82" w:rsidRPr="001F1399">
        <w:rPr>
          <w:rFonts w:ascii="Book Antiqua" w:hAnsi="Book Antiqua" w:cstheme="minorBidi"/>
          <w:lang w:val="en-GB"/>
        </w:rPr>
        <w:fldChar w:fldCharType="separate"/>
      </w:r>
      <w:r w:rsidR="00B1214D" w:rsidRPr="001F1399">
        <w:rPr>
          <w:rFonts w:ascii="Book Antiqua" w:hAnsi="Book Antiqua" w:cstheme="minorBidi"/>
          <w:noProof/>
          <w:vertAlign w:val="superscript"/>
          <w:lang w:val="en-GB"/>
        </w:rPr>
        <w:t>[117]</w:t>
      </w:r>
      <w:r w:rsidR="00E16F82" w:rsidRPr="001F1399">
        <w:rPr>
          <w:rFonts w:ascii="Book Antiqua" w:hAnsi="Book Antiqua"/>
        </w:rPr>
        <w:fldChar w:fldCharType="end"/>
      </w:r>
      <w:r w:rsidR="005D3D89" w:rsidRPr="001F1399">
        <w:rPr>
          <w:rFonts w:ascii="Book Antiqua" w:hAnsi="Book Antiqua" w:cstheme="minorBidi"/>
          <w:lang w:val="en-GB"/>
        </w:rPr>
        <w:t xml:space="preserve">. </w:t>
      </w:r>
      <w:r w:rsidR="00F5657D" w:rsidRPr="001F1399">
        <w:rPr>
          <w:rFonts w:ascii="Book Antiqua" w:hAnsi="Book Antiqua" w:cstheme="minorBidi"/>
          <w:lang w:val="en-GB"/>
        </w:rPr>
        <w:t>I</w:t>
      </w:r>
      <w:r w:rsidR="00541809" w:rsidRPr="001F1399">
        <w:rPr>
          <w:rFonts w:ascii="Book Antiqua" w:hAnsi="Book Antiqua" w:cstheme="minorBidi"/>
          <w:lang w:val="en-GB"/>
        </w:rPr>
        <w:t>n the study</w:t>
      </w:r>
      <w:r w:rsidR="00F5657D" w:rsidRPr="001F1399">
        <w:rPr>
          <w:rFonts w:ascii="Book Antiqua" w:hAnsi="Book Antiqua" w:cstheme="minorBidi"/>
          <w:lang w:val="en-GB"/>
        </w:rPr>
        <w:t xml:space="preserve"> from Cambier </w:t>
      </w:r>
      <w:r w:rsidR="005D5A36" w:rsidRPr="001F1399">
        <w:rPr>
          <w:rFonts w:ascii="Book Antiqua" w:hAnsi="Book Antiqua" w:cstheme="minorBidi"/>
          <w:i/>
          <w:iCs/>
          <w:lang w:val="en-GB"/>
        </w:rPr>
        <w:t>et al</w:t>
      </w:r>
      <w:r w:rsidR="00E16F82" w:rsidRPr="001F1399">
        <w:rPr>
          <w:rFonts w:ascii="Book Antiqua" w:hAnsi="Book Antiqua"/>
        </w:rPr>
        <w:fldChar w:fldCharType="begin" w:fldLock="1"/>
      </w:r>
      <w:r w:rsidR="00B1214D" w:rsidRPr="001F1399">
        <w:rPr>
          <w:rFonts w:ascii="Book Antiqua" w:hAnsi="Book Antiqua" w:cstheme="minorBidi"/>
          <w:lang w:val="en-GB"/>
        </w:rPr>
        <w:instrText>ADDIN CSL_CITATION {"citationItems":[{"id":"ITEM-1","itemData":{"DOI":"10.1016/j.fct.2018.09.066","ISSN":"02786915","PMID":"30273633","author":[{"dropping-particle":"","family":"Cambier","given":"Sébastien","non-dropping-particle":"","parse-names":false,"suffix":""},{"dropping-particle":"","family":"Fujimura","given":"Masatake","non-dropping-particle":"","parse-names":false,"suffix":""},{"dropping-particle":"","family":"Bourdineaud","given":"Jean-Paul","non-dropping-particle":"","parse-names":false,"suffix":""}],"container-title":"Food and Chemical Toxicology","id":"ITEM-1","issued":{"date-parts":[["2018","12"]]},"page":"11-20","title":"A likely placental barrier against methylmercury in pregnant rats exposed to fish-containing diets","type":"article-journal","volume":"122"},"uris":["http://www.mendeley.com/documents/?uuid=bcf2dcf0-f362-455f-acb8-29cc5833b9a0"]}],"mendeley":{"formattedCitation":"&lt;sup&gt;[118]&lt;/sup&gt;","plainTextFormattedCitation":"[118]","previouslyFormattedCitation":"&lt;sup&gt;[117]&lt;/sup&gt;"},"properties":{"noteIndex":0},"schema":"https://github.com/citation-style-language/schema/raw/master/csl-citation.json"}</w:instrText>
      </w:r>
      <w:r w:rsidR="00E16F82" w:rsidRPr="001F1399">
        <w:rPr>
          <w:rFonts w:ascii="Book Antiqua" w:hAnsi="Book Antiqua" w:cstheme="minorBidi"/>
          <w:lang w:val="en-GB"/>
        </w:rPr>
        <w:fldChar w:fldCharType="separate"/>
      </w:r>
      <w:r w:rsidR="00B1214D" w:rsidRPr="001F1399">
        <w:rPr>
          <w:rFonts w:ascii="Book Antiqua" w:hAnsi="Book Antiqua" w:cstheme="minorBidi"/>
          <w:noProof/>
          <w:vertAlign w:val="superscript"/>
          <w:lang w:val="en-GB"/>
        </w:rPr>
        <w:t>[118]</w:t>
      </w:r>
      <w:r w:rsidR="00E16F82" w:rsidRPr="001F1399">
        <w:rPr>
          <w:rFonts w:ascii="Book Antiqua" w:hAnsi="Book Antiqua"/>
        </w:rPr>
        <w:fldChar w:fldCharType="end"/>
      </w:r>
      <w:r w:rsidR="00541809" w:rsidRPr="001F1399">
        <w:rPr>
          <w:rFonts w:ascii="Book Antiqua" w:hAnsi="Book Antiqua" w:cstheme="minorBidi"/>
          <w:lang w:val="en-GB"/>
        </w:rPr>
        <w:t>, pregnant rat mothers were contaminated with environmentally relevant doses of 36 and 76</w:t>
      </w:r>
      <w:r w:rsidR="00E81BC5" w:rsidRPr="001F1399">
        <w:rPr>
          <w:rFonts w:ascii="Book Antiqua" w:hAnsi="Book Antiqua" w:cstheme="minorBidi"/>
          <w:lang w:val="en-GB"/>
        </w:rPr>
        <w:t xml:space="preserve"> </w:t>
      </w:r>
      <w:r w:rsidR="00541809" w:rsidRPr="001F1399">
        <w:rPr>
          <w:rFonts w:ascii="Book Antiqua" w:hAnsi="Book Antiqua" w:cstheme="minorBidi"/>
          <w:lang w:val="en-GB"/>
        </w:rPr>
        <w:t>ng MeHg/g of food using diets containing naturally mercury-containing fish. Newborn</w:t>
      </w:r>
      <w:r w:rsidR="00A674CA" w:rsidRPr="001F1399">
        <w:rPr>
          <w:rFonts w:ascii="Book Antiqua" w:hAnsi="Book Antiqua" w:cstheme="minorBidi"/>
          <w:lang w:val="en-GB"/>
        </w:rPr>
        <w:t>s</w:t>
      </w:r>
      <w:r w:rsidR="00541809" w:rsidRPr="001F1399">
        <w:rPr>
          <w:rFonts w:ascii="Book Antiqua" w:hAnsi="Book Antiqua" w:cstheme="minorBidi"/>
          <w:lang w:val="en-GB"/>
        </w:rPr>
        <w:t xml:space="preserve"> were protected against Hg exposure by the placental barrier since in newborns from mothers fed the diet containing 76</w:t>
      </w:r>
      <w:r w:rsidR="00E81BC5" w:rsidRPr="001F1399">
        <w:rPr>
          <w:rFonts w:ascii="Book Antiqua" w:hAnsi="Book Antiqua" w:cstheme="minorBidi"/>
          <w:lang w:val="en-GB"/>
        </w:rPr>
        <w:t xml:space="preserve"> </w:t>
      </w:r>
      <w:r w:rsidR="00541809" w:rsidRPr="001F1399">
        <w:rPr>
          <w:rFonts w:ascii="Book Antiqua" w:hAnsi="Book Antiqua" w:cstheme="minorBidi"/>
          <w:lang w:val="en-GB"/>
        </w:rPr>
        <w:t>ng MeHg/g of food, the concentrations of Hg in brain, kidney, liver and skeletal muscles represented 12, 3, 21 and 18% of those of their mother's tissues, respectively. These results suggest the existence, at least in rats, of a threshold level in terms of MeHg exposure above which the placental barrier collapses.</w:t>
      </w:r>
      <w:r w:rsidR="00555303" w:rsidRPr="001F1399">
        <w:rPr>
          <w:rFonts w:ascii="Book Antiqua" w:hAnsi="Book Antiqua" w:cstheme="minorBidi"/>
          <w:lang w:val="en-GB"/>
        </w:rPr>
        <w:t xml:space="preserve"> In </w:t>
      </w:r>
      <w:r w:rsidR="00C55222" w:rsidRPr="001F1399">
        <w:rPr>
          <w:rFonts w:ascii="Book Antiqua" w:hAnsi="Book Antiqua" w:cstheme="minorBidi"/>
          <w:lang w:val="en-GB"/>
        </w:rPr>
        <w:t>behavioural</w:t>
      </w:r>
      <w:r w:rsidR="00555303" w:rsidRPr="001F1399">
        <w:rPr>
          <w:rFonts w:ascii="Book Antiqua" w:hAnsi="Book Antiqua" w:cstheme="minorBidi"/>
          <w:lang w:val="en-GB"/>
        </w:rPr>
        <w:t xml:space="preserve"> tests performed at 5 and 6 wk of age, MeHg-exposed rats showed a significant deficit in motor coordination in the rotarod test and a learning disability in the passive avoidance response test, compared with controls. Histopathologically, focal </w:t>
      </w:r>
      <w:r w:rsidR="00555303" w:rsidRPr="001F1399">
        <w:rPr>
          <w:rFonts w:ascii="Book Antiqua" w:hAnsi="Book Antiqua" w:cstheme="minorBidi"/>
          <w:lang w:val="en-GB"/>
        </w:rPr>
        <w:lastRenderedPageBreak/>
        <w:t>cerebellar dysplasia, including the heterotopic location of Purkinje cells and granule cells, was observed. These abnormalities may be induced by the effect of highly accumulated MeHg in the brain during the gestation period</w:t>
      </w:r>
      <w:r w:rsidR="00E16F82" w:rsidRPr="001F1399">
        <w:rPr>
          <w:rFonts w:ascii="Book Antiqua" w:hAnsi="Book Antiqua"/>
        </w:rPr>
        <w:fldChar w:fldCharType="begin" w:fldLock="1"/>
      </w:r>
      <w:r w:rsidR="00B1214D" w:rsidRPr="001F1399">
        <w:rPr>
          <w:rFonts w:ascii="Book Antiqua" w:hAnsi="Book Antiqua" w:cstheme="minorBidi"/>
          <w:lang w:val="en-GB"/>
        </w:rPr>
        <w:instrText>ADDIN CSL_CITATION {"citationItems":[{"id":"ITEM-1","itemData":{"DOI":"10.1016/S0006-8993(02)02964-5","ISSN":"00068993","PMID":"12213299","author":[{"dropping-particle":"","family":"Sakamoto","given":"Mineshi","non-dropping-particle":"","parse-names":false,"suffix":""},{"dropping-particle":"","family":"Kakita","given":"Akiyoshi","non-dropping-particle":"","parse-names":false,"suffix":""},{"dropping-particle":"","family":"Wakabayashi","given":"Koichi","non-dropping-particle":"","parse-names":false,"suffix":""},{"dropping-particle":"","family":"Takahashi","given":"Hitoshi","non-dropping-particle":"","parse-names":false,"suffix":""},{"dropping-particle":"","family":"Nakano","given":"Atsuhiro","non-dropping-particle":"","parse-names":false,"suffix":""},{"dropping-particle":"","family":"Akagi","given":"Hirokatsu","non-dropping-particle":"","parse-names":false,"suffix":""}],"container-title":"Brain Research","id":"ITEM-1","issue":"1-2","issued":{"date-parts":[["2002","9"]]},"page":"51-59","title":"Evaluation of changes in methylmercury accumulation in the developing rat brain and its effects: a study with consecutive and moderate dose exposure throughout gestation and lactation periods","type":"article-journal","volume":"949"},"uris":["http://www.mendeley.com/documents/?uuid=4c770631-bb23-428c-92a1-f07c55a45168"]}],"mendeley":{"formattedCitation":"&lt;sup&gt;[119]&lt;/sup&gt;","plainTextFormattedCitation":"[119]","previouslyFormattedCitation":"&lt;sup&gt;[118]&lt;/sup&gt;"},"properties":{"noteIndex":0},"schema":"https://github.com/citation-style-language/schema/raw/master/csl-citation.json"}</w:instrText>
      </w:r>
      <w:r w:rsidR="00E16F82" w:rsidRPr="001F1399">
        <w:rPr>
          <w:rFonts w:ascii="Book Antiqua" w:hAnsi="Book Antiqua" w:cstheme="minorBidi"/>
          <w:lang w:val="en-GB"/>
        </w:rPr>
        <w:fldChar w:fldCharType="separate"/>
      </w:r>
      <w:r w:rsidR="00B1214D" w:rsidRPr="001F1399">
        <w:rPr>
          <w:rFonts w:ascii="Book Antiqua" w:hAnsi="Book Antiqua" w:cstheme="minorBidi"/>
          <w:noProof/>
          <w:vertAlign w:val="superscript"/>
          <w:lang w:val="en-GB"/>
        </w:rPr>
        <w:t>[119]</w:t>
      </w:r>
      <w:r w:rsidR="00E16F82" w:rsidRPr="001F1399">
        <w:rPr>
          <w:rFonts w:ascii="Book Antiqua" w:hAnsi="Book Antiqua"/>
        </w:rPr>
        <w:fldChar w:fldCharType="end"/>
      </w:r>
      <w:r w:rsidR="00555303" w:rsidRPr="001F1399">
        <w:rPr>
          <w:rFonts w:ascii="Book Antiqua" w:hAnsi="Book Antiqua" w:cstheme="minorBidi"/>
          <w:lang w:val="en-GB"/>
        </w:rPr>
        <w:t xml:space="preserve">. </w:t>
      </w:r>
      <w:r w:rsidR="000E11BC" w:rsidRPr="001F1399">
        <w:rPr>
          <w:rFonts w:ascii="Book Antiqua" w:hAnsi="Book Antiqua" w:cstheme="minorBidi"/>
          <w:lang w:val="en-GB"/>
        </w:rPr>
        <w:t xml:space="preserve">As shown above, </w:t>
      </w:r>
      <w:r w:rsidR="00A674CA" w:rsidRPr="001F1399">
        <w:rPr>
          <w:rFonts w:ascii="Book Antiqua" w:hAnsi="Book Antiqua" w:cstheme="minorBidi"/>
          <w:lang w:val="en-GB"/>
        </w:rPr>
        <w:t>foetuses are</w:t>
      </w:r>
      <w:r w:rsidR="000E11BC" w:rsidRPr="001F1399">
        <w:rPr>
          <w:rFonts w:ascii="Book Antiqua" w:hAnsi="Book Antiqua" w:cstheme="minorBidi"/>
          <w:lang w:val="en-GB"/>
        </w:rPr>
        <w:t xml:space="preserve"> particularly sensitive to MeHg exposure and adverse effects on infant development have been associated with levels of exposure that result in few, if any, signs of maternal clinical illness or toxicity. High levels of prenatal exposure in humans result in neurobehavioral effects such as cerebral palsy and severe mental retardation. Prenatal exposure to MeHg in communities with chronic low-level exposure is related to decreased birth</w:t>
      </w:r>
      <w:r w:rsidR="00B36A0D" w:rsidRPr="001F1399">
        <w:rPr>
          <w:rFonts w:ascii="Book Antiqua" w:hAnsi="Book Antiqua" w:cstheme="minorBidi"/>
          <w:lang w:val="en-GB"/>
        </w:rPr>
        <w:t xml:space="preserve"> </w:t>
      </w:r>
      <w:r w:rsidR="000E11BC" w:rsidRPr="001F1399">
        <w:rPr>
          <w:rFonts w:ascii="Book Antiqua" w:hAnsi="Book Antiqua" w:cstheme="minorBidi"/>
          <w:lang w:val="en-GB"/>
        </w:rPr>
        <w:t>weight and early sensorimotor dysfunction such as delayed onset of walking</w:t>
      </w:r>
      <w:r w:rsidR="00E16F82" w:rsidRPr="001F1399">
        <w:rPr>
          <w:rFonts w:ascii="Book Antiqua" w:hAnsi="Book Antiqua"/>
        </w:rPr>
        <w:fldChar w:fldCharType="begin" w:fldLock="1"/>
      </w:r>
      <w:r w:rsidR="00B1214D" w:rsidRPr="001F1399">
        <w:rPr>
          <w:rFonts w:ascii="Book Antiqua" w:hAnsi="Book Antiqua" w:cstheme="minorBidi"/>
          <w:lang w:val="en-GB"/>
        </w:rPr>
        <w:instrText>ADDIN CSL_CITATION {"citationItems":[{"id":"ITEM-1","itemData":{"DOI":"10.1289/ehp.95103s6135","ISSN":"0091-6765","PMID":"8549462","author":[{"dropping-particle":"","family":"Gilbert","given":"S G","non-dropping-particle":"","parse-names":false,"suffix":""},{"dropping-particle":"","family":"Grant-Webster","given":"K S","non-dropping-particle":"","parse-names":false,"suffix":""}],"container-title":"Environmental Health Perspectives","id":"ITEM-1","issue":"suppl 6","issued":{"date-parts":[["1995","9"]]},"page":"135-142","title":"Neurobehavioral effects of developmental methylmercury exposure.","type":"article-journal","volume":"103"},"uris":["http://www.mendeley.com/documents/?uuid=8d40a39e-360f-4a3a-a777-9f5323623fa4"]}],"mendeley":{"formattedCitation":"&lt;sup&gt;[120]&lt;/sup&gt;","plainTextFormattedCitation":"[120]","previouslyFormattedCitation":"&lt;sup&gt;[119]&lt;/sup&gt;"},"properties":{"noteIndex":0},"schema":"https://github.com/citation-style-language/schema/raw/master/csl-citation.json"}</w:instrText>
      </w:r>
      <w:r w:rsidR="00E16F82" w:rsidRPr="001F1399">
        <w:rPr>
          <w:rFonts w:ascii="Book Antiqua" w:hAnsi="Book Antiqua" w:cstheme="minorBidi"/>
          <w:lang w:val="en-GB"/>
        </w:rPr>
        <w:fldChar w:fldCharType="separate"/>
      </w:r>
      <w:r w:rsidR="00B1214D" w:rsidRPr="001F1399">
        <w:rPr>
          <w:rFonts w:ascii="Book Antiqua" w:hAnsi="Book Antiqua" w:cstheme="minorBidi"/>
          <w:noProof/>
          <w:vertAlign w:val="superscript"/>
          <w:lang w:val="en-GB"/>
        </w:rPr>
        <w:t>[120]</w:t>
      </w:r>
      <w:r w:rsidR="00E16F82" w:rsidRPr="001F1399">
        <w:rPr>
          <w:rFonts w:ascii="Book Antiqua" w:hAnsi="Book Antiqua"/>
        </w:rPr>
        <w:fldChar w:fldCharType="end"/>
      </w:r>
      <w:r w:rsidR="00E16F82" w:rsidRPr="001F1399">
        <w:rPr>
          <w:rFonts w:ascii="Book Antiqua" w:hAnsi="Book Antiqua" w:cstheme="minorBidi"/>
          <w:lang w:val="en-GB"/>
        </w:rPr>
        <w:t xml:space="preserve">. </w:t>
      </w:r>
      <w:r w:rsidR="00E16F82" w:rsidRPr="001F1399">
        <w:rPr>
          <w:rFonts w:ascii="Book Antiqua" w:eastAsia="Calibri" w:hAnsi="Book Antiqua" w:cs="Calibri"/>
          <w:lang w:val="en-US"/>
        </w:rPr>
        <w:t>Moreover, late pregnancy exposure to mercury intensified the toxic effects of lead contamination on infant neurodevelopment at 6 mo of age</w:t>
      </w:r>
      <w:r w:rsidR="00C059E3" w:rsidRPr="001F1399">
        <w:rPr>
          <w:rFonts w:ascii="Book Antiqua" w:hAnsi="Book Antiqua"/>
        </w:rPr>
        <w:fldChar w:fldCharType="begin" w:fldLock="1"/>
      </w:r>
      <w:r w:rsidR="00B1214D" w:rsidRPr="001F1399">
        <w:rPr>
          <w:rFonts w:ascii="Book Antiqua" w:eastAsia="Calibri" w:hAnsi="Book Antiqua" w:cs="Calibri"/>
          <w:lang w:val="en-US"/>
        </w:rPr>
        <w:instrText>ADDIN CSL_CITATION {"citationItems":[{"id":"ITEM-1","itemData":{"DOI":"10.1016/j.envres.2020.109122","ISSN":"00139351","PMID":"32069757","abstract":"Background: Exposure to mixture of neurotoxic metals such as lead, mercury and cadmium occurs at a specific point of time. When exposed to metal mixtures, one metal may act as an agonist or antagonist to another metal. Thus, it is important to study the effects of exposure to a combination of metals on children's development using advance statistical methods. Objectives: In this study, we explored the effects of prenatal metal exposure including lead, mercury and cadmium in early pregnancy (12–20 weeks), late pregnancy (&gt;28 weeks), and at birth on neurodevelopment of infants at 6 months of age. Methods: We included 523 eligible mother-child pairs from the mothers and children environmental health (MOCEH) study, a prospective birth cohort study in Korea. We used linear regression, Bayesian kernel machine regression (BKMR) and generalized additive models (GAM), to evaluate the effects of exposure to metal mixtures on neurodevelopment of infants aged 6 months. The Korean version of Bayley scale of infant and toddler development-II was used to measure the child's neurodevelopment. Results: Linear regression models showed a significant negative effect of lead exposure during late pregnancy on the mental development index (MDI) [β = -2.51 (−4.92, −0.10)] scores of infants aged 6 months following co-exposure to mercury. Further, linear regression analysis showed a significant interaction between late pregnancy lead and mercury concentrations. BKMR analysis showed similar results as those obtained in linear regression models. These results were also replicated in the GAM. Stratification analysis showed that greater than 50 percentile concentration of mercury in late pregnancy potentiated the adverse effects of lead in late pregnancy on MDI [β = −4.33 (−7.66, −1.00)] and psychomotor development index (PDI) [β = −5.30 (−9.13, −1.46)] at 6 months of age. Prenatal cadmium exposure did not show a significant association with MDI and PDI at 6 months in the linear regression or BKMR analysis. Conclusion: Based on all the statistical methods used, we demonstrated the effect of combined exposure to metals on the neurodevelopment of infants aged 6 months, with significant interaction between lead and mercury.","author":[{"dropping-particle":"","family":"Shah-Kulkarni","given":"Surabhi","non-dropping-particle":"","parse-names":false,"suffix":""},{"dropping-particle":"","family":"Lee","given":"Seulbi","non-dropping-particle":"","parse-names":false,"suffix":""},{"dropping-particle":"","family":"Jeong","given":"Kyoung Sook","non-dropping-particle":"","parse-names":false,"suffix":""},{"dropping-particle":"","family":"Hong","given":"Yun-Chul","non-dropping-particle":"","parse-names":false,"suffix":""},{"dropping-particle":"","family":"Park","given":"Hyesook","non-dropping-particle":"","parse-names":false,"suffix":""},{"dropping-particle":"","family":"Ha","given":"Mina","non-dropping-particle":"","parse-names":false,"suffix":""},{"dropping-particle":"","family":"Kim","given":"Yangho","non-dropping-particle":"","parse-names":false,"suffix":""},{"dropping-particle":"","family":"Ha","given":"Eun-Hee","non-dropping-particle":"","parse-names":false,"suffix":""}],"container-title":"Environmental Research","id":"ITEM-1","issued":{"date-parts":[["2020","1"]]},"page":"109122","title":"Prenatal exposure to mixtures of heavy metals and neurodevelopment in infants at 6 months","type":"article-journal"},"uris":["http://www.mendeley.com/documents/?uuid=da69b475-f79e-3a9d-8347-cb41af465dce"]}],"mendeley":{"formattedCitation":"&lt;sup&gt;[121]&lt;/sup&gt;","plainTextFormattedCitation":"[121]","previouslyFormattedCitation":"&lt;sup&gt;[120]&lt;/sup&gt;"},"properties":{"noteIndex":0},"schema":"https://github.com/citation-style-language/schema/raw/master/csl-citation.json"}</w:instrText>
      </w:r>
      <w:r w:rsidR="00C059E3" w:rsidRPr="001F1399">
        <w:rPr>
          <w:rFonts w:ascii="Book Antiqua" w:eastAsia="Calibri" w:hAnsi="Book Antiqua" w:cs="Calibri"/>
          <w:lang w:val="en-US"/>
        </w:rPr>
        <w:fldChar w:fldCharType="separate"/>
      </w:r>
      <w:r w:rsidR="00B1214D" w:rsidRPr="001F1399">
        <w:rPr>
          <w:rFonts w:ascii="Book Antiqua" w:eastAsia="Calibri" w:hAnsi="Book Antiqua" w:cs="Calibri"/>
          <w:noProof/>
          <w:vertAlign w:val="superscript"/>
          <w:lang w:val="en-US"/>
        </w:rPr>
        <w:t>[121]</w:t>
      </w:r>
      <w:r w:rsidR="00C059E3" w:rsidRPr="001F1399">
        <w:rPr>
          <w:rFonts w:ascii="Book Antiqua" w:hAnsi="Book Antiqua"/>
        </w:rPr>
        <w:fldChar w:fldCharType="end"/>
      </w:r>
      <w:r w:rsidR="00E16F82" w:rsidRPr="001F1399">
        <w:rPr>
          <w:rFonts w:ascii="Book Antiqua" w:hAnsi="Book Antiqua" w:cstheme="minorBidi"/>
          <w:lang w:val="en-GB"/>
        </w:rPr>
        <w:t xml:space="preserve">. </w:t>
      </w:r>
      <w:r w:rsidR="00DE3340" w:rsidRPr="001F1399">
        <w:rPr>
          <w:rFonts w:ascii="Book Antiqua" w:hAnsi="Book Antiqua" w:cstheme="minorBidi"/>
          <w:lang w:val="en-GB"/>
        </w:rPr>
        <w:t>Cadmium is known to have endocrine disrupting activities</w:t>
      </w:r>
      <w:r w:rsidR="00DE3340" w:rsidRPr="001F1399">
        <w:rPr>
          <w:rFonts w:ascii="Book Antiqua" w:hAnsi="Book Antiqua"/>
        </w:rPr>
        <w:fldChar w:fldCharType="begin" w:fldLock="1"/>
      </w:r>
      <w:r w:rsidR="00B1214D" w:rsidRPr="001F1399">
        <w:rPr>
          <w:rFonts w:ascii="Book Antiqua" w:hAnsi="Book Antiqua" w:cstheme="minorHAnsi"/>
          <w:lang w:val="en-GB"/>
        </w:rPr>
        <w:instrText>ADDIN CSL_CITATION {"citationItems":[{"id":"ITEM-1","itemData":{"DOI":"10.1186/s12940-017-0332-3","ISSN":"1476069X","PMID":"29078782","abstract":"Background: Pregnant women are exposed to a mixture of endocrine disrupting chemicals (EDCs). Gestational EDC exposures may be associated with changes in fetal growth that elevates the risk for poor health later in life, but few studies have examined the health effects of simultaneous exposure to multiple chemicals. This study aimed to examine the association of gestational exposure to five chemical classes of potential EDCs: phthalates and bisphenol A, perfluoroalkyl substances (PFAS), polychlorinated biphenyls (PCBs), polybrominated diphenyl ethers (PBDEs), and organochlorine pesticides (OCPs) with infant birth weight. Methods: Using data from the Health Outcomes and Measures of Environment (HOME) Study, we examined 272 pregnant women enrolled between 2003-2006. EDC concentrations were quantified in blood and urine samples collected at 16 and 26 weeks gestation. We used Bayesian Hierarchical Linear Models (BHLM) to examine the associations between newborn birth weight and 53 EDCs, 2 organochlorine pesticides (OPPs) and 2 heavy metals. Results: For a 10-fold increase in chemical concentration, the mean differences in birth weights (95% credible intervals (CI)) were 1 g (-20, 23) for phthalates, -11 g (-52, 34) for PFAS, 0.2 g (-9, 10) for PCBs, -4 g (-30, 22) for PBDEs, and 7 g (-25, 40) for OCPs. Conclusion: Gestational exposure to phthalates, PFAS, PCBs, PBDEs, OCPs or OPPs had null or small associations with birth weight. Gestational OPP, Pb, and PFAS exposures were most strongly associated with lower birth weight.","author":[{"dropping-particle":"","family":"Woods","given":"Meghan M.","non-dropping-particle":"","parse-names":false,"suffix":""},{"dropping-particle":"","family":"Lanphear","given":"Bruce P.","non-dropping-particle":"","parse-names":false,"suffix":""},{"dropping-particle":"","family":"Braun","given":"Joseph M.","non-dropping-particle":"","parse-names":false,"suffix":""},{"dropping-particle":"","family":"McCandless","given":"Lawrence C.","non-dropping-particle":"","parse-names":false,"suffix":""}],"container-title":"Environmental Health: A Global Access Science Source","id":"ITEM-1","issue":"1","issued":{"date-parts":[["2017"]]},"page":"1-12","title":"Gestational exposure to endocrine disrupting chemicals in relation to infant birth weight: A Bayesian analysis of the HOME Study","type":"article-journal","volume":"16"},"uris":["http://www.mendeley.com/documents/?uuid=9e3429fa-0180-4682-9c5e-a5ee17a30ee9"]}],"mendeley":{"formattedCitation":"&lt;sup&gt;[122]&lt;/sup&gt;","plainTextFormattedCitation":"[122]","previouslyFormattedCitation":"&lt;sup&gt;[121]&lt;/sup&gt;"},"properties":{"noteIndex":0},"schema":"https://github.com/citation-style-language/schema/raw/master/csl-citation.json"}</w:instrText>
      </w:r>
      <w:r w:rsidR="00DE3340" w:rsidRPr="001F1399">
        <w:rPr>
          <w:rFonts w:ascii="Book Antiqua" w:hAnsi="Book Antiqua" w:cstheme="minorHAnsi"/>
          <w:lang w:val="en-GB"/>
        </w:rPr>
        <w:fldChar w:fldCharType="separate"/>
      </w:r>
      <w:r w:rsidR="00B1214D" w:rsidRPr="001F1399">
        <w:rPr>
          <w:rFonts w:ascii="Book Antiqua" w:hAnsi="Book Antiqua" w:cstheme="minorBidi"/>
          <w:noProof/>
          <w:vertAlign w:val="superscript"/>
          <w:lang w:val="en-GB"/>
        </w:rPr>
        <w:t>[122]</w:t>
      </w:r>
      <w:r w:rsidR="00DE3340" w:rsidRPr="001F1399">
        <w:rPr>
          <w:rFonts w:ascii="Book Antiqua" w:hAnsi="Book Antiqua"/>
        </w:rPr>
        <w:fldChar w:fldCharType="end"/>
      </w:r>
      <w:r w:rsidR="00DE3340" w:rsidRPr="001F1399">
        <w:rPr>
          <w:rFonts w:ascii="Book Antiqua" w:hAnsi="Book Antiqua" w:cstheme="minorBidi"/>
          <w:lang w:val="en-GB"/>
        </w:rPr>
        <w:t xml:space="preserve">. </w:t>
      </w:r>
      <w:r w:rsidR="00DE3340" w:rsidRPr="001F1399">
        <w:rPr>
          <w:rFonts w:ascii="Book Antiqua" w:hAnsi="Book Antiqua" w:cstheme="minorBidi"/>
          <w:i/>
          <w:lang w:val="en-GB"/>
        </w:rPr>
        <w:t>In utero</w:t>
      </w:r>
      <w:r w:rsidR="00DE3340" w:rsidRPr="001F1399">
        <w:rPr>
          <w:rFonts w:ascii="Book Antiqua" w:hAnsi="Book Antiqua" w:cstheme="minorBidi"/>
          <w:lang w:val="en-GB"/>
        </w:rPr>
        <w:t xml:space="preserve"> cadmium exposure in human has been associated to modification in methylation of genes associated to lipid metabolism and bone mineralisation</w:t>
      </w:r>
      <w:r w:rsidR="00DE3340" w:rsidRPr="001F1399">
        <w:rPr>
          <w:rFonts w:ascii="Book Antiqua" w:hAnsi="Book Antiqua" w:cstheme="minorBidi"/>
          <w:lang w:val="en-GB"/>
        </w:rPr>
        <w:fldChar w:fldCharType="begin" w:fldLock="1"/>
      </w:r>
      <w:r w:rsidR="00B1214D" w:rsidRPr="001F1399">
        <w:rPr>
          <w:rFonts w:ascii="Book Antiqua" w:hAnsi="Book Antiqua" w:cstheme="minorBidi"/>
          <w:lang w:val="en-GB"/>
        </w:rPr>
        <w:instrText>ADDIN CSL_CITATION {"citationItems":[{"id":"ITEM-1","itemData":{"DOI":"10.1016/j.taap.2009.04.020","ISSN":"0041008X","PMID":"19409405","author":[{"dropping-particle":"","family":"Järup","given":"Lars","non-dropping-particle":"","parse-names":false,"suffix":""},{"dropping-particle":"","family":"Åkesson","given":"Agneta","non-dropping-particle":"","parse-names":false,"suffix":""}],"container-title":"Toxicology and Applied Pharmacology","id":"ITEM-1","issue":"3","issued":{"date-parts":[["2009","8","1"]]},"page":"201-208","title":"Current status of cadmium as an environmental health problem","type":"article-journal","volume":"238"},"uris":["http://www.mendeley.com/documents/?uuid=a1c0a012-1f84-4681-87ce-f6e8dcb565e5"]}],"mendeley":{"formattedCitation":"&lt;sup&gt;[123]&lt;/sup&gt;","plainTextFormattedCitation":"[123]","previouslyFormattedCitation":"&lt;sup&gt;[122]&lt;/sup&gt;"},"properties":{"noteIndex":0},"schema":"https://github.com/citation-style-language/schema/raw/master/csl-citation.json"}</w:instrText>
      </w:r>
      <w:r w:rsidR="00DE3340" w:rsidRPr="001F1399">
        <w:rPr>
          <w:rFonts w:ascii="Book Antiqua" w:hAnsi="Book Antiqua" w:cstheme="minorBidi"/>
          <w:lang w:val="en-GB"/>
        </w:rPr>
        <w:fldChar w:fldCharType="separate"/>
      </w:r>
      <w:r w:rsidR="00B1214D" w:rsidRPr="001F1399">
        <w:rPr>
          <w:rFonts w:ascii="Book Antiqua" w:hAnsi="Book Antiqua" w:cstheme="minorBidi"/>
          <w:noProof/>
          <w:vertAlign w:val="superscript"/>
          <w:lang w:val="en-GB"/>
        </w:rPr>
        <w:t>[123]</w:t>
      </w:r>
      <w:r w:rsidR="00DE3340" w:rsidRPr="001F1399">
        <w:rPr>
          <w:rFonts w:ascii="Book Antiqua" w:hAnsi="Book Antiqua" w:cstheme="minorBidi"/>
          <w:lang w:val="en-GB"/>
        </w:rPr>
        <w:fldChar w:fldCharType="end"/>
      </w:r>
      <w:r w:rsidR="00DE3340" w:rsidRPr="001F1399">
        <w:rPr>
          <w:rFonts w:ascii="Book Antiqua" w:hAnsi="Book Antiqua" w:cstheme="minorBidi"/>
          <w:lang w:val="en-GB"/>
        </w:rPr>
        <w:t>. As a result, one car program increased systemic fat accumulation and increased incidence of bone fractures and osteoporosis later in life</w:t>
      </w:r>
      <w:r w:rsidR="00DE3340" w:rsidRPr="001F1399">
        <w:rPr>
          <w:rFonts w:ascii="Book Antiqua" w:hAnsi="Book Antiqua" w:cstheme="minorBidi"/>
          <w:lang w:val="en-GB"/>
        </w:rPr>
        <w:fldChar w:fldCharType="begin" w:fldLock="1"/>
      </w:r>
      <w:r w:rsidR="00B1214D" w:rsidRPr="001F1399">
        <w:rPr>
          <w:rFonts w:ascii="Book Antiqua" w:hAnsi="Book Antiqua" w:cstheme="minorBidi"/>
          <w:lang w:val="en-GB"/>
        </w:rPr>
        <w:instrText>ADDIN CSL_CITATION {"citationItems":[{"id":"ITEM-1","itemData":{"DOI":"10.1016/j.taap.2009.04.020","ISSN":"0041008X","PMID":"19409405","author":[{"dropping-particle":"","family":"Järup","given":"Lars","non-dropping-particle":"","parse-names":false,"suffix":""},{"dropping-particle":"","family":"Åkesson","given":"Agneta","non-dropping-particle":"","parse-names":false,"suffix":""}],"container-title":"Toxicology and Applied Pharmacology","id":"ITEM-1","issue":"3","issued":{"date-parts":[["2009","8","1"]]},"page":"201-208","title":"Current status of cadmium as an environmental health problem","type":"article-journal","volume":"238"},"uris":["http://www.mendeley.com/documents/?uuid=a1c0a012-1f84-4681-87ce-f6e8dcb565e5"]}],"mendeley":{"formattedCitation":"&lt;sup&gt;[123]&lt;/sup&gt;","plainTextFormattedCitation":"[123]","previouslyFormattedCitation":"&lt;sup&gt;[122]&lt;/sup&gt;"},"properties":{"noteIndex":0},"schema":"https://github.com/citation-style-language/schema/raw/master/csl-citation.json"}</w:instrText>
      </w:r>
      <w:r w:rsidR="00DE3340" w:rsidRPr="001F1399">
        <w:rPr>
          <w:rFonts w:ascii="Book Antiqua" w:hAnsi="Book Antiqua" w:cstheme="minorBidi"/>
          <w:lang w:val="en-GB"/>
        </w:rPr>
        <w:fldChar w:fldCharType="separate"/>
      </w:r>
      <w:r w:rsidR="00B1214D" w:rsidRPr="001F1399">
        <w:rPr>
          <w:rFonts w:ascii="Book Antiqua" w:hAnsi="Book Antiqua" w:cstheme="minorBidi"/>
          <w:noProof/>
          <w:vertAlign w:val="superscript"/>
          <w:lang w:val="en-GB"/>
        </w:rPr>
        <w:t>[123]</w:t>
      </w:r>
      <w:r w:rsidR="00DE3340" w:rsidRPr="001F1399">
        <w:rPr>
          <w:rFonts w:ascii="Book Antiqua" w:hAnsi="Book Antiqua" w:cstheme="minorBidi"/>
          <w:lang w:val="en-GB"/>
        </w:rPr>
        <w:fldChar w:fldCharType="end"/>
      </w:r>
      <w:r w:rsidR="00DE3340" w:rsidRPr="001F1399">
        <w:rPr>
          <w:rFonts w:ascii="Book Antiqua" w:hAnsi="Book Antiqua" w:cstheme="minorBidi"/>
          <w:lang w:val="en-GB"/>
        </w:rPr>
        <w:t>. Arsenic is a potent toxicant and carcinogen and can be found in a large variety of food including fish and rice</w:t>
      </w:r>
      <w:r w:rsidR="00DE3340" w:rsidRPr="001F1399">
        <w:rPr>
          <w:rFonts w:ascii="Book Antiqua" w:hAnsi="Book Antiqua"/>
        </w:rPr>
        <w:fldChar w:fldCharType="begin" w:fldLock="1"/>
      </w:r>
      <w:r w:rsidR="00B1214D" w:rsidRPr="001F1399">
        <w:rPr>
          <w:rFonts w:ascii="Book Antiqua" w:hAnsi="Book Antiqua" w:cstheme="minorHAnsi"/>
          <w:lang w:val="en-GB"/>
        </w:rPr>
        <w:instrText>ADDIN CSL_CITATION {"citationItems":[{"id":"ITEM-1","itemData":{"DOI":"10.1289/ehp.1510209","ISSN":"0091-6765","PMID":"26587579","author":[{"dropping-particle":"","family":"Carlin","given":"Danielle J.","non-dropping-particle":"","parse-names":false,"suffix":""},{"dropping-particle":"","family":"Naujokas","given":"Marisa F.","non-dropping-particle":"","parse-names":false,"suffix":""},{"dropping-particle":"","family":"Bradham","given":"Karen D.","non-dropping-particle":"","parse-names":false,"suffix":""},{"dropping-particle":"","family":"Cowden","given":"John","non-dropping-particle":"","parse-names":false,"suffix":""},{"dropping-particle":"","family":"Heacock","given":"Michelle","non-dropping-particle":"","parse-names":false,"suffix":""},{"dropping-particle":"","family":"Henry","given":"Heather F.","non-dropping-particle":"","parse-names":false,"suffix":""},{"dropping-particle":"","family":"Lee","given":"Janice S.","non-dropping-particle":"","parse-names":false,"suffix":""},{"dropping-particle":"","family":"Thomas","given":"David J.","non-dropping-particle":"","parse-names":false,"suffix":""},{"dropping-particle":"","family":"Thompson","given":"Claudia","non-dropping-particle":"","parse-names":false,"suffix":""},{"dropping-particle":"","family":"Tokar","given":"Erik J.","non-dropping-particle":"","parse-names":false,"suffix":""},{"dropping-particle":"","family":"Waalkes","given":"Michael P.","non-dropping-particle":"","parse-names":false,"suffix":""},{"dropping-particle":"","family":"Birnbaum","given":"Linda S.","non-dropping-particle":"","parse-names":false,"suffix":""},{"dropping-particle":"","family":"Suk","given":"William A.","non-dropping-particle":"","parse-names":false,"suffix":""}],"container-title":"Environmental Health Perspectives","id":"ITEM-1","issue":"7","issued":{"date-parts":[["2016","7"]]},"page":"890-899","title":"Arsenic and Environmental Health: State of the Science and Future Research Opportunities","type":"article-journal","volume":"124"},"uris":["http://www.mendeley.com/documents/?uuid=d974078f-ca03-422d-9408-3f6c3f9b06ed"]}],"mendeley":{"formattedCitation":"&lt;sup&gt;[124]&lt;/sup&gt;","plainTextFormattedCitation":"[124]","previouslyFormattedCitation":"&lt;sup&gt;[123]&lt;/sup&gt;"},"properties":{"noteIndex":0},"schema":"https://github.com/citation-style-language/schema/raw/master/csl-citation.json"}</w:instrText>
      </w:r>
      <w:r w:rsidR="00DE3340" w:rsidRPr="001F1399">
        <w:rPr>
          <w:rFonts w:ascii="Book Antiqua" w:hAnsi="Book Antiqua" w:cstheme="minorHAnsi"/>
          <w:lang w:val="en-GB"/>
        </w:rPr>
        <w:fldChar w:fldCharType="separate"/>
      </w:r>
      <w:r w:rsidR="00B1214D" w:rsidRPr="001F1399">
        <w:rPr>
          <w:rFonts w:ascii="Book Antiqua" w:hAnsi="Book Antiqua" w:cstheme="minorBidi"/>
          <w:noProof/>
          <w:vertAlign w:val="superscript"/>
          <w:lang w:val="en-GB"/>
        </w:rPr>
        <w:t>[124]</w:t>
      </w:r>
      <w:r w:rsidR="00DE3340" w:rsidRPr="001F1399">
        <w:rPr>
          <w:rFonts w:ascii="Book Antiqua" w:hAnsi="Book Antiqua"/>
        </w:rPr>
        <w:fldChar w:fldCharType="end"/>
      </w:r>
      <w:r w:rsidR="00DE3340" w:rsidRPr="001F1399">
        <w:rPr>
          <w:rFonts w:ascii="Book Antiqua" w:hAnsi="Book Antiqua" w:cstheme="minorBidi"/>
          <w:lang w:val="en-GB"/>
        </w:rPr>
        <w:t>.</w:t>
      </w:r>
      <w:r w:rsidR="00106F5D" w:rsidRPr="001F1399">
        <w:rPr>
          <w:rFonts w:ascii="Book Antiqua" w:hAnsi="Book Antiqua" w:cstheme="minorBidi"/>
          <w:lang w:val="en-GB"/>
        </w:rPr>
        <w:t xml:space="preserve"> A clinical</w:t>
      </w:r>
      <w:r w:rsidR="00D67FD1" w:rsidRPr="001F1399">
        <w:rPr>
          <w:rFonts w:ascii="Book Antiqua" w:hAnsi="Book Antiqua" w:cstheme="minorBidi"/>
          <w:lang w:val="en-GB"/>
        </w:rPr>
        <w:t xml:space="preserve"> study</w:t>
      </w:r>
      <w:r w:rsidR="00106F5D" w:rsidRPr="001F1399">
        <w:rPr>
          <w:rFonts w:ascii="Book Antiqua" w:hAnsi="Book Antiqua" w:cstheme="minorBidi"/>
          <w:lang w:val="en-GB"/>
        </w:rPr>
        <w:t>,</w:t>
      </w:r>
      <w:r w:rsidR="00D67FD1" w:rsidRPr="001F1399">
        <w:rPr>
          <w:rFonts w:ascii="Book Antiqua" w:hAnsi="Book Antiqua" w:cstheme="minorBidi"/>
          <w:lang w:val="en-GB"/>
        </w:rPr>
        <w:t xml:space="preserve"> </w:t>
      </w:r>
      <w:r w:rsidR="00106F5D" w:rsidRPr="001F1399">
        <w:rPr>
          <w:rFonts w:ascii="Book Antiqua" w:hAnsi="Book Antiqua" w:cstheme="minorBidi"/>
          <w:lang w:val="en-GB"/>
        </w:rPr>
        <w:t xml:space="preserve">based on blood cord samples, </w:t>
      </w:r>
      <w:r w:rsidR="00D67FD1" w:rsidRPr="001F1399">
        <w:rPr>
          <w:rFonts w:ascii="Book Antiqua" w:hAnsi="Book Antiqua" w:cstheme="minorBidi"/>
          <w:lang w:val="en-GB"/>
        </w:rPr>
        <w:t xml:space="preserve">revealed that exposure of pregnant women to arsenic was responsible for </w:t>
      </w:r>
      <w:r w:rsidR="00106F5D" w:rsidRPr="001F1399">
        <w:rPr>
          <w:rFonts w:ascii="Book Antiqua" w:hAnsi="Book Antiqua" w:cstheme="minorBidi"/>
          <w:lang w:val="en-GB"/>
        </w:rPr>
        <w:t xml:space="preserve">the </w:t>
      </w:r>
      <w:r w:rsidR="00D67FD1" w:rsidRPr="001F1399">
        <w:rPr>
          <w:rFonts w:ascii="Book Antiqua" w:hAnsi="Book Antiqua" w:cstheme="minorBidi"/>
          <w:lang w:val="en-GB"/>
        </w:rPr>
        <w:t xml:space="preserve">increased expression of 12 miRNA </w:t>
      </w:r>
      <w:r w:rsidR="00D67FD1" w:rsidRPr="001F1399">
        <w:rPr>
          <w:rFonts w:ascii="Book Antiqua" w:eastAsia="Calibri" w:hAnsi="Book Antiqua" w:cs="Calibri"/>
          <w:lang w:val="en-US"/>
        </w:rPr>
        <w:t>predicted to be involved in regulation of signaling pathways commonly deregulated in cancer and diabetes mellitus</w:t>
      </w:r>
      <w:r w:rsidR="00620DB5" w:rsidRPr="001F1399">
        <w:rPr>
          <w:rFonts w:ascii="Book Antiqua" w:hAnsi="Book Antiqua" w:cstheme="minorBidi"/>
          <w:lang w:val="en-GB"/>
        </w:rPr>
        <w:fldChar w:fldCharType="begin" w:fldLock="1"/>
      </w:r>
      <w:r w:rsidR="00B1214D" w:rsidRPr="001F1399">
        <w:rPr>
          <w:rFonts w:ascii="Book Antiqua" w:hAnsi="Book Antiqua" w:cstheme="minorBidi"/>
          <w:lang w:val="en-GB"/>
        </w:rPr>
        <w:instrText>ADDIN CSL_CITATION {"citationItems":[{"id":"ITEM-1","itemData":{"DOI":"10.1002/em.21842","ISSN":"08936692","PMID":"24327377","abstract":"The Biomarkers of Exposure to ARsenic (BEAR) pregnancy cohort in Gómez Palacio, Mexico was recently established to better understand the impacts of prenatal exposure to inorganic arsenic (iAs). In this study, we examined a subset (n=40) of newborn cord blood samples for microRNA (miRNA) expression changes associated with in utero arsenic exposure. Levels of iAs in maternal drinking water (DW-iAs) and maternal urine were assessed. Levels of DW-iAs ranged from below detectable values to 236 μg/L (mean=51.7 μg/L). Total arsenic in maternal urine (U-tAs) was defined as the sum of iAs and its monomethylated and dimethylated metabolites (MMAs and DMAs, respectively) and ranged from 6.2 to 319.7 μg/L (mean=64.5 μg/L). Genome-wide miRNA expression analysis of cord blood revealed 12 miRNAs with increasing expression associated with U-tAs. Transcriptional targets of the miRNAs were computationally predicted and subsequently assessed using transcriptional profiling. Pathway analysis demonstrated that the U-tAs-associated miRNAs are involved in signaling pathways related to known health outcomes of iAs exposure including cancer and diabetes mellitus. Immune response-related mRNAs were also identified with decreased expression levels associated with U-tAs, and predicted to be mediated in part by the arsenic-responsive miRNAs. Results of this study highlight miRNAs as novel responders to prenatal arsenic exposure that may contribute to associated immune response perturbations. © 2013 Wiley Periodicals, Inc.","author":[{"dropping-particle":"","family":"Rager","given":"Julia E.","non-dropping-particle":"","parse-names":false,"suffix":""},{"dropping-particle":"","family":"Bailey","given":"Kathryn A.","non-dropping-particle":"","parse-names":false,"suffix":""},{"dropping-particle":"","family":"Smeester","given":"Lisa","non-dropping-particle":"","parse-names":false,"suffix":""},{"dropping-particle":"","family":"Miller","given":"Sloane K.","non-dropping-particle":"","parse-names":false,"suffix":""},{"dropping-particle":"","family":"Parker","given":"Joel S.","non-dropping-particle":"","parse-names":false,"suffix":""},{"dropping-particle":"","family":"Laine","given":"Jessica E.","non-dropping-particle":"","parse-names":false,"suffix":""},{"dropping-particle":"","family":"Drobná","given":"Zuzana","non-dropping-particle":"","parse-names":false,"suffix":""},{"dropping-particle":"","family":"Currier","given":"Jenna","non-dropping-particle":"","parse-names":false,"suffix":""},{"dropping-particle":"","family":"Douillet","given":"Christelle","non-dropping-particle":"","parse-names":false,"suffix":""},{"dropping-particle":"","family":"Olshan","given":"Andrew F.","non-dropping-particle":"","parse-names":false,"suffix":""},{"dropping-particle":"","family":"Rubio-Andrade","given":"Marisela","non-dropping-particle":"","parse-names":false,"suffix":""},{"dropping-particle":"","family":"Stýblo","given":"Miroslav","non-dropping-particle":"","parse-names":false,"suffix":""},{"dropping-particle":"","family":"García-Vargas","given":"Gonzalo","non-dropping-particle":"","parse-names":false,"suffix":""},{"dropping-particle":"","family":"Fry","given":"Rebecca C.","non-dropping-particle":"","parse-names":false,"suffix":""}],"container-title":"Environmental and Molecular Mutagenesis","id":"ITEM-1","issue":"3","issued":{"date-parts":[["2014","4"]]},"page":"196-208","title":"Prenatal arsenic exposure and the epigenome: Altered microRNAs associated with innate and adaptive immune signaling in newborn cord blood","type":"article-journal","volume":"55"},"uris":["http://www.mendeley.com/documents/?uuid=1c820c6f-121e-37d1-8620-d79078d9c408"]}],"mendeley":{"formattedCitation":"&lt;sup&gt;[125]&lt;/sup&gt;","plainTextFormattedCitation":"[125]","previouslyFormattedCitation":"&lt;sup&gt;[124]&lt;/sup&gt;"},"properties":{"noteIndex":0},"schema":"https://github.com/citation-style-language/schema/raw/master/csl-citation.json"}</w:instrText>
      </w:r>
      <w:r w:rsidR="00620DB5" w:rsidRPr="001F1399">
        <w:rPr>
          <w:rFonts w:ascii="Book Antiqua" w:hAnsi="Book Antiqua" w:cstheme="minorBidi"/>
          <w:lang w:val="en-GB"/>
        </w:rPr>
        <w:fldChar w:fldCharType="separate"/>
      </w:r>
      <w:r w:rsidR="00B1214D" w:rsidRPr="001F1399">
        <w:rPr>
          <w:rFonts w:ascii="Book Antiqua" w:hAnsi="Book Antiqua" w:cstheme="minorBidi"/>
          <w:noProof/>
          <w:vertAlign w:val="superscript"/>
          <w:lang w:val="en-GB"/>
        </w:rPr>
        <w:t>[125]</w:t>
      </w:r>
      <w:r w:rsidR="00620DB5" w:rsidRPr="001F1399">
        <w:rPr>
          <w:rFonts w:ascii="Book Antiqua" w:hAnsi="Book Antiqua" w:cstheme="minorBidi"/>
          <w:lang w:val="en-GB"/>
        </w:rPr>
        <w:fldChar w:fldCharType="end"/>
      </w:r>
      <w:r w:rsidR="00D67FD1" w:rsidRPr="001F1399">
        <w:rPr>
          <w:rFonts w:ascii="Book Antiqua" w:hAnsi="Book Antiqua" w:cstheme="minorBidi"/>
          <w:lang w:val="en-GB"/>
        </w:rPr>
        <w:t xml:space="preserve">. </w:t>
      </w:r>
      <w:r w:rsidR="00620DB5" w:rsidRPr="001F1399">
        <w:rPr>
          <w:rFonts w:ascii="Book Antiqua" w:hAnsi="Book Antiqua" w:cstheme="minorBidi"/>
          <w:lang w:val="en-GB"/>
        </w:rPr>
        <w:t xml:space="preserve">This study </w:t>
      </w:r>
      <w:r w:rsidR="00B77D5D" w:rsidRPr="001F1399">
        <w:rPr>
          <w:rFonts w:ascii="Book Antiqua" w:hAnsi="Book Antiqua" w:cstheme="minorBidi"/>
          <w:lang w:val="en-GB"/>
        </w:rPr>
        <w:t xml:space="preserve">thus </w:t>
      </w:r>
      <w:r w:rsidR="00620DB5" w:rsidRPr="001F1399">
        <w:rPr>
          <w:rFonts w:ascii="Book Antiqua" w:hAnsi="Book Antiqua" w:cstheme="minorBidi"/>
          <w:lang w:val="en-GB"/>
        </w:rPr>
        <w:t>confirm</w:t>
      </w:r>
      <w:r w:rsidR="00B77D5D" w:rsidRPr="001F1399">
        <w:rPr>
          <w:rFonts w:ascii="Book Antiqua" w:hAnsi="Book Antiqua" w:cstheme="minorBidi"/>
          <w:lang w:val="en-GB"/>
        </w:rPr>
        <w:t>ed</w:t>
      </w:r>
      <w:r w:rsidR="00620DB5" w:rsidRPr="001F1399">
        <w:rPr>
          <w:rFonts w:ascii="Book Antiqua" w:hAnsi="Book Antiqua" w:cstheme="minorBidi"/>
          <w:lang w:val="en-GB"/>
        </w:rPr>
        <w:t xml:space="preserve"> the</w:t>
      </w:r>
      <w:r w:rsidR="00620DB5" w:rsidRPr="001F1399">
        <w:rPr>
          <w:rFonts w:ascii="Book Antiqua" w:eastAsia="Calibri" w:hAnsi="Book Antiqua" w:cs="Calibri"/>
          <w:lang w:val="en-US"/>
        </w:rPr>
        <w:t xml:space="preserve"> deregulation of miRNA expression following arsenic fetal exposure and partly explains </w:t>
      </w:r>
      <w:r w:rsidR="00B77D5D" w:rsidRPr="001F1399">
        <w:rPr>
          <w:rFonts w:ascii="Book Antiqua" w:eastAsia="Calibri" w:hAnsi="Book Antiqua" w:cs="Calibri"/>
          <w:lang w:val="en-US"/>
        </w:rPr>
        <w:t xml:space="preserve">how </w:t>
      </w:r>
      <w:r w:rsidR="00620DB5" w:rsidRPr="001F1399">
        <w:rPr>
          <w:rFonts w:ascii="Book Antiqua" w:eastAsia="Calibri" w:hAnsi="Book Antiqua" w:cs="Calibri"/>
          <w:lang w:val="en-US"/>
        </w:rPr>
        <w:t>arsenic contribut</w:t>
      </w:r>
      <w:r w:rsidR="00B77D5D" w:rsidRPr="001F1399">
        <w:rPr>
          <w:rFonts w:ascii="Book Antiqua" w:eastAsia="Calibri" w:hAnsi="Book Antiqua" w:cs="Calibri"/>
          <w:lang w:val="en-US"/>
        </w:rPr>
        <w:t>es</w:t>
      </w:r>
      <w:r w:rsidR="00620DB5" w:rsidRPr="001F1399">
        <w:rPr>
          <w:rFonts w:ascii="Book Antiqua" w:eastAsia="Calibri" w:hAnsi="Book Antiqua" w:cs="Calibri"/>
          <w:lang w:val="en-US"/>
        </w:rPr>
        <w:t xml:space="preserve"> to the development of these diseases.</w:t>
      </w:r>
    </w:p>
    <w:p w14:paraId="3D3745F4" w14:textId="08DF5CC1" w:rsidR="007B26D2" w:rsidRPr="001F1399" w:rsidRDefault="00DE3340" w:rsidP="002974FA">
      <w:pPr>
        <w:pStyle w:val="paragraph"/>
        <w:adjustRightInd w:val="0"/>
        <w:snapToGrid w:val="0"/>
        <w:spacing w:before="0" w:beforeAutospacing="0" w:after="0" w:afterAutospacing="0" w:line="360" w:lineRule="auto"/>
        <w:ind w:firstLineChars="100" w:firstLine="240"/>
        <w:jc w:val="both"/>
        <w:textAlignment w:val="baseline"/>
        <w:rPr>
          <w:rFonts w:ascii="Book Antiqua" w:eastAsia="Calibri" w:hAnsi="Book Antiqua" w:cs="Calibri"/>
          <w:lang w:val="en-US"/>
        </w:rPr>
      </w:pPr>
      <w:r w:rsidRPr="001F1399">
        <w:rPr>
          <w:rFonts w:ascii="Book Antiqua" w:hAnsi="Book Antiqua" w:cstheme="minorBidi"/>
          <w:lang w:val="en-GB"/>
        </w:rPr>
        <w:t>Children from Faroe Island born from apparently healthy mothers who ate mercury contaminated fish during pregnancy showed altered neuronal connections evidenced by decreased scores on attentiveness and memory</w:t>
      </w:r>
      <w:r w:rsidRPr="001F1399">
        <w:rPr>
          <w:rFonts w:ascii="Book Antiqua" w:hAnsi="Book Antiqua"/>
        </w:rPr>
        <w:fldChar w:fldCharType="begin" w:fldLock="1"/>
      </w:r>
      <w:r w:rsidR="00B1214D" w:rsidRPr="001F1399">
        <w:rPr>
          <w:rFonts w:ascii="Book Antiqua" w:hAnsi="Book Antiqua" w:cstheme="minorHAnsi"/>
          <w:lang w:val="en-GB"/>
        </w:rPr>
        <w:instrText>ADDIN CSL_CITATION {"citationItems":[{"id":"ITEM-1","itemData":{"DOI":"10.1016/S0892-0362(97)00097-4","ISSN":"08920362","PMID":"9392777","author":[{"dropping-particle":"","family":"Grandjean","given":"Philippe","non-dropping-particle":"","parse-names":false,"suffix":""},{"dropping-particle":"","family":"Weihe","given":"Pal","non-dropping-particle":"","parse-names":false,"suffix":""},{"dropping-particle":"","family":"White","given":"Roberta F","non-dropping-particle":"","parse-names":false,"suffix":""},{"dropping-particle":"","family":"Debes","given":"Frodi","non-dropping-particle":"","parse-names":false,"suffix":""},{"dropping-particle":"","family":"Araki","given":"Shunichi","non-dropping-particle":"","parse-names":false,"suffix":""},{"dropping-particle":"","family":"Yokoyama","given":"Kazuhito","non-dropping-particle":"","parse-names":false,"suffix":""},{"dropping-particle":"","family":"Murata","given":"Katsuyuki","non-dropping-particle":"","parse-names":false,"suffix":""},{"dropping-particle":"","family":"Sorensen","given":"Nicolina","non-dropping-particle":"","parse-names":false,"suffix":""},{"dropping-particle":"","family":"Dahl","given":"Rasmus","non-dropping-particle":"","parse-names":false,"suffix":""},{"dropping-particle":"","family":"Jorgensen","given":"Poul J","non-dropping-particle":"","parse-names":false,"suffix":""}],"container-title":"Neurotoxicology and Teratology","id":"ITEM-1","issue":"6","issued":{"date-parts":[["1997","11"]]},"page":"417-428","title":"Cognitive Deficit in 7-Year-Old Children with Prenatal Exposure to Methylmercury","type":"article-journal","volume":"19"},"uris":["http://www.mendeley.com/documents/?uuid=1c9bcf94-b513-46c8-be37-3de6c7883119"]}],"mendeley":{"formattedCitation":"&lt;sup&gt;[126]&lt;/sup&gt;","plainTextFormattedCitation":"[126]","previouslyFormattedCitation":"&lt;sup&gt;[125]&lt;/sup&gt;"},"properties":{"noteIndex":0},"schema":"https://github.com/citation-style-language/schema/raw/master/csl-citation.json"}</w:instrText>
      </w:r>
      <w:r w:rsidRPr="001F1399">
        <w:rPr>
          <w:rFonts w:ascii="Book Antiqua" w:hAnsi="Book Antiqua" w:cstheme="minorHAnsi"/>
          <w:lang w:val="en-GB"/>
        </w:rPr>
        <w:fldChar w:fldCharType="separate"/>
      </w:r>
      <w:r w:rsidR="00B1214D" w:rsidRPr="001F1399">
        <w:rPr>
          <w:rFonts w:ascii="Book Antiqua" w:hAnsi="Book Antiqua" w:cstheme="minorBidi"/>
          <w:noProof/>
          <w:vertAlign w:val="superscript"/>
          <w:lang w:val="en-GB"/>
        </w:rPr>
        <w:t>[126]</w:t>
      </w:r>
      <w:r w:rsidRPr="001F1399">
        <w:rPr>
          <w:rFonts w:ascii="Book Antiqua" w:hAnsi="Book Antiqua"/>
        </w:rPr>
        <w:fldChar w:fldCharType="end"/>
      </w:r>
      <w:r w:rsidRPr="001F1399">
        <w:rPr>
          <w:rFonts w:ascii="Book Antiqua" w:hAnsi="Book Antiqua" w:cstheme="minorBidi"/>
          <w:lang w:val="en-GB"/>
        </w:rPr>
        <w:t>. Lead exposure may cause increased risk of pregnancy hypertension and miscarriage</w:t>
      </w:r>
      <w:r w:rsidRPr="001F1399">
        <w:rPr>
          <w:rFonts w:ascii="Book Antiqua" w:hAnsi="Book Antiqua"/>
        </w:rPr>
        <w:fldChar w:fldCharType="begin" w:fldLock="1"/>
      </w:r>
      <w:r w:rsidR="00B1214D" w:rsidRPr="001F1399">
        <w:rPr>
          <w:rFonts w:ascii="Book Antiqua" w:hAnsi="Book Antiqua" w:cstheme="minorHAnsi"/>
          <w:lang w:val="en-GB"/>
        </w:rPr>
        <w:instrText>ADDIN CSL_CITATION {"citationItems":[{"id":"ITEM-1","itemData":{"DOI":"10.1289/ehp.0800488","ISSN":"0091-6765","PMID":"20019901","author":[{"dropping-particle":"","family":"Yazbeck","given":"Chadi","non-dropping-particle":"","parse-names":false,"suffix":""},{"dropping-particle":"","family":"Thiebaugeorges","given":"Olivier","non-dropping-particle":"","parse-names":false,"suffix":""},{"dropping-particle":"","family":"Moreau","given":"Thierry","non-dropping-particle":"","parse-names":false,"suffix":""},{"dropping-particle":"","family":"Goua","given":"Valérie","non-dropping-particle":"","parse-names":false,"suffix":""},{"dropping-particle":"","family":"Debotte","given":"Ginette","non-dropping-particle":"","parse-names":false,"suffix":""},{"dropping-particle":"","family":"Sahuquillo","given":"Josiane","non-dropping-particle":"","parse-names":false,"suffix":""},{"dropping-particle":"","family":"Forhan","given":"Anne","non-dropping-particle":"","parse-names":false,"suffix":""},{"dropping-particle":"","family":"Foliguet","given":"Bernard","non-dropping-particle":"","parse-names":false,"suffix":""},{"dropping-particle":"","family":"Magnin","given":"Guillaume","non-dropping-particle":"","parse-names":false,"suffix":""},{"dropping-particle":"","family":"Slama","given":"Rémy","non-dropping-particle":"","parse-names":false,"suffix":""},{"dropping-particle":"","family":"Charles","given":"Marie-Aline","non-dropping-particle":"","parse-names":false,"suffix":""},{"dropping-particle":"","family":"Huel","given":"Guy","non-dropping-particle":"","parse-names":false,"suffix":""}],"container-title":"Environmental Health Perspectives","id":"ITEM-1","issue":"10","issued":{"date-parts":[["2009","10"]]},"page":"1526-1530","title":"Maternal Blood Lead Levels and the Risk of Pregnancy-Induced Hypertension: The EDEN Cohort Study","type":"article-journal","volume":"117"},"uris":["http://www.mendeley.com/documents/?uuid=d2270fdd-3317-4226-b6bc-321d8603b0aa"]}],"mendeley":{"formattedCitation":"&lt;sup&gt;[127]&lt;/sup&gt;","plainTextFormattedCitation":"[127]","previouslyFormattedCitation":"&lt;sup&gt;[126]&lt;/sup&gt;"},"properties":{"noteIndex":0},"schema":"https://github.com/citation-style-language/schema/raw/master/csl-citation.json"}</w:instrText>
      </w:r>
      <w:r w:rsidRPr="001F1399">
        <w:rPr>
          <w:rFonts w:ascii="Book Antiqua" w:hAnsi="Book Antiqua" w:cstheme="minorHAnsi"/>
          <w:lang w:val="en-GB"/>
        </w:rPr>
        <w:fldChar w:fldCharType="separate"/>
      </w:r>
      <w:r w:rsidR="00B1214D" w:rsidRPr="001F1399">
        <w:rPr>
          <w:rFonts w:ascii="Book Antiqua" w:hAnsi="Book Antiqua" w:cstheme="minorBidi"/>
          <w:noProof/>
          <w:vertAlign w:val="superscript"/>
          <w:lang w:val="en-GB"/>
        </w:rPr>
        <w:t>[127]</w:t>
      </w:r>
      <w:r w:rsidRPr="001F1399">
        <w:rPr>
          <w:rFonts w:ascii="Book Antiqua" w:hAnsi="Book Antiqua"/>
        </w:rPr>
        <w:fldChar w:fldCharType="end"/>
      </w:r>
      <w:r w:rsidRPr="001F1399">
        <w:rPr>
          <w:rFonts w:ascii="Book Antiqua" w:hAnsi="Book Antiqua" w:cstheme="minorBidi"/>
          <w:lang w:val="en-GB"/>
        </w:rPr>
        <w:t xml:space="preserve">. Arsenic, lead and </w:t>
      </w:r>
      <w:r w:rsidR="005D5A36" w:rsidRPr="001F1399">
        <w:rPr>
          <w:rFonts w:ascii="Book Antiqua" w:hAnsi="Book Antiqua" w:cstheme="minorBidi"/>
          <w:lang w:val="en-GB"/>
        </w:rPr>
        <w:t>MeHg</w:t>
      </w:r>
      <w:r w:rsidRPr="001F1399">
        <w:rPr>
          <w:rFonts w:ascii="Book Antiqua" w:hAnsi="Book Antiqua" w:cstheme="minorBidi"/>
          <w:lang w:val="en-GB"/>
        </w:rPr>
        <w:t xml:space="preserve"> have been associated with reduced length of gestation or preterm birth</w:t>
      </w:r>
      <w:r w:rsidRPr="001F1399">
        <w:rPr>
          <w:rFonts w:ascii="Book Antiqua" w:hAnsi="Book Antiqua"/>
        </w:rPr>
        <w:fldChar w:fldCharType="begin" w:fldLock="1"/>
      </w:r>
      <w:r w:rsidR="00B1214D" w:rsidRPr="001F1399">
        <w:rPr>
          <w:rFonts w:ascii="Book Antiqua" w:hAnsi="Book Antiqua" w:cstheme="minorHAnsi"/>
          <w:lang w:val="en-GB"/>
        </w:rPr>
        <w:instrText>ADDIN CSL_CITATION {"citationItems":[{"id":"ITEM-1","itemData":{"DOI":"10.3390/ijerph8030698","ISSN":"1660-4601","PMID":"21556174","author":[{"dropping-particle":"","family":"Miranda","given":"Marie Lynn","non-dropping-particle":"","parse-names":false,"suffix":""},{"dropping-particle":"","family":"Edwards","given":"Sharon","non-dropping-particle":"","parse-names":false,"suffix":""},{"dropping-particle":"","family":"Maxson","given":"Pamela J.","non-dropping-particle":"","parse-names":false,"suffix":""}],"container-title":"International Journal of Environmental Research and Public Health","id":"ITEM-1","issue":"3","issued":{"date-parts":[["2011","3","1"]]},"page":"698-712","title":"Mercury Levels in an Urban Pregnant Population in Durham County, North Carolina","type":"article-journal","volume":"8"},"uris":["http://www.mendeley.com/documents/?uuid=96039c9f-d483-48bb-b57f-8d3314255730"]},{"id":"ITEM-2","itemData":{"DOI":"10.1093/aje/kwm025","ISSN":"0002-9262","PMID":"17351293","author":[{"dropping-particle":"","family":"Rahman","given":"A.","non-dropping-particle":"","parse-names":false,"suffix":""},{"dropping-particle":"","family":"Vahter","given":"M.","non-dropping-particle":"","parse-names":false,"suffix":""},{"dropping-particle":"","family":"Ekstrom","given":"E.-C.","non-dropping-particle":"","parse-names":false,"suffix":""},{"dropping-particle":"","family":"Rahman","given":"M.","non-dropping-particle":"","parse-names":false,"suffix":""},{"dropping-particle":"","family":"Golam Mustafa","given":"A. H. M.","non-dropping-particle":"","parse-names":false,"suffix":""},{"dropping-particle":"","family":"Wahed","given":"M. A.","non-dropping-particle":"","parse-names":false,"suffix":""},{"dropping-particle":"","family":"Yunus","given":"M.","non-dropping-particle":"","parse-names":false,"suffix":""},{"dropping-particle":"","family":"Persson","given":"L.-A.","non-dropping-particle":"","parse-names":false,"suffix":""}],"container-title":"American Journal of Epidemiology","id":"ITEM-2","issue":"12","issued":{"date-parts":[["2007","3","10"]]},"page":"1389-1396","title":"Association of Arsenic Exposure during Pregnancy with Fetal Loss and Infant Death: A Cohort Study in Bangladesh","type":"article-journal","volume":"165"},"uris":["http://www.mendeley.com/documents/?uuid=b8934b9e-ce26-4d81-9c80-83450dc992a8"]},{"id":"ITEM-3","itemData":{"DOI":"10.1136/oem.2009.050419","ISSN":"1351-0711","PMID":"23639909","author":[{"dropping-particle":"","family":"Vigeh","given":"M.","non-dropping-particle":"","parse-names":false,"suffix":""},{"dropping-particle":"","family":"Yokoyama","given":"K.","non-dropping-particle":"","parse-names":false,"suffix":""},{"dropping-particle":"","family":"Seyedaghamiri","given":"Z.","non-dropping-particle":"","parse-names":false,"suffix":""},{"dropping-particle":"","family":"Shinohara","given":"A.","non-dropping-particle":"","parse-names":false,"suffix":""},{"dropping-particle":"","family":"Matsukawa","given":"T.","non-dropping-particle":"","parse-names":false,"suffix":""},{"dropping-particle":"","family":"Chiba","given":"M.","non-dropping-particle":"","parse-names":false,"suffix":""},{"dropping-particle":"","family":"Yunesian","given":"M.","non-dropping-particle":"","parse-names":false,"suffix":""}],"container-title":"Occupational and Environmental Medicine","id":"ITEM-3","issue":"3","issued":{"date-parts":[["2011","3","1"]]},"page":"231-234","title":"Blood lead at currently acceptable levels may cause preterm labour","type":"article-journal","volume":"68"},"uris":["http://www.mendeley.com/documents/?uuid=2a6ac6fe-d7b1-40a5-8cf6-77b35ca04f64"]},{"id":"ITEM-4","itemData":{"DOI":"10.1289/ehp.0800488","ISSN":"0091-6765","PMID":"20019901","author":[{"dropping-particle":"","family":"Yazbeck","given":"Chadi","non-dropping-particle":"","parse-names":false,"suffix":""},{"dropping-particle":"","family":"Thiebaugeorges","given":"Olivier","non-dropping-particle":"","parse-names":false,"suffix":""},{"dropping-particle":"","family":"Moreau","given":"Thierry","non-dropping-particle":"","parse-names":false,"suffix":""},{"dropping-particle":"","family":"Goua","given":"Valérie","non-dropping-particle":"","parse-names":false,"suffix":""},{"dropping-particle":"","family":"Debotte","given":"Ginette","non-dropping-particle":"","parse-names":false,"suffix":""},{"dropping-particle":"","family":"Sahuquillo","given":"Josiane","non-dropping-particle":"","parse-names":false,"suffix":""},{"dropping-particle":"","family":"Forhan","given":"Anne","non-dropping-particle":"","parse-names":false,"suffix":""},{"dropping-particle":"","family":"Foliguet","given":"Bernard","non-dropping-particle":"","parse-names":false,"suffix":""},{"dropping-particle":"","family":"Magnin","given":"Guillaume","non-dropping-particle":"","parse-names":false,"suffix":""},{"dropping-particle":"","family":"Slama","given":"Rémy","non-dropping-particle":"","parse-names":false,"suffix":""},{"dropping-particle":"","family":"Charles","given":"Marie-Aline","non-dropping-particle":"","parse-names":false,"suffix":""},{"dropping-particle":"","family":"Huel","given":"Guy","non-dropping-particle":"","parse-names":false,"suffix":""}],"container-title":"Environmental Health Perspectives","id":"ITEM-4","issue":"10","issued":{"date-parts":[["2009","10"]]},"page":"1526-1530","title":"Maternal Blood Lead Levels and the Risk of Pregnancy-Induced Hypertension: The EDEN Cohort Study","type":"article-journal","volume":"117"},"uris":["http://www.mendeley.com/documents/?uuid=d2270fdd-3317-4226-b6bc-321d8603b0aa"]}],"mendeley":{"formattedCitation":"&lt;sup&gt;[127–130]&lt;/sup&gt;"},"properties":{"noteIndex":0},"schema":"https://github.com/citation-style-language/schema/raw/master/csl-citation.json"}</w:instrText>
      </w:r>
      <w:r w:rsidRPr="001F1399">
        <w:rPr>
          <w:rFonts w:ascii="Book Antiqua" w:hAnsi="Book Antiqua" w:cstheme="minorHAnsi"/>
          <w:lang w:val="en-GB"/>
        </w:rPr>
        <w:fldChar w:fldCharType="separate"/>
      </w:r>
      <w:r w:rsidR="00B1214D" w:rsidRPr="001F1399">
        <w:rPr>
          <w:rFonts w:ascii="Book Antiqua" w:hAnsi="Book Antiqua" w:cstheme="minorBidi"/>
          <w:noProof/>
          <w:vertAlign w:val="superscript"/>
          <w:lang w:val="en-GB"/>
        </w:rPr>
        <w:t>[127–130]</w:t>
      </w:r>
      <w:r w:rsidRPr="001F1399">
        <w:rPr>
          <w:rFonts w:ascii="Book Antiqua" w:hAnsi="Book Antiqua"/>
        </w:rPr>
        <w:fldChar w:fldCharType="end"/>
      </w:r>
      <w:r w:rsidRPr="001F1399">
        <w:rPr>
          <w:rFonts w:ascii="Book Antiqua" w:hAnsi="Book Antiqua" w:cstheme="minorBidi"/>
          <w:lang w:val="en-GB"/>
        </w:rPr>
        <w:t xml:space="preserve">. A French group has reported results from cross studies of women before pregnancy and during the third trimester. They evidenced that exposure before pregnancy was higher than in the last trimester. The reason of this difference seems to partly relies partly on the increase of body weight that was not compensated by parallel increase in food </w:t>
      </w:r>
      <w:r w:rsidRPr="001F1399">
        <w:rPr>
          <w:rFonts w:ascii="Book Antiqua" w:hAnsi="Book Antiqua" w:cstheme="minorBidi"/>
          <w:lang w:val="en-GB"/>
        </w:rPr>
        <w:lastRenderedPageBreak/>
        <w:t>intake</w:t>
      </w:r>
      <w:r w:rsidRPr="001F1399">
        <w:rPr>
          <w:rFonts w:ascii="Book Antiqua" w:hAnsi="Book Antiqua"/>
        </w:rPr>
        <w:fldChar w:fldCharType="begin" w:fldLock="1"/>
      </w:r>
      <w:r w:rsidR="00B1214D" w:rsidRPr="001F1399">
        <w:rPr>
          <w:rFonts w:ascii="Book Antiqua" w:hAnsi="Book Antiqua" w:cstheme="minorHAnsi"/>
          <w:lang w:val="en-GB"/>
        </w:rPr>
        <w:instrText>ADDIN CSL_CITATION {"citationItems":[{"id":"ITEM-1","itemData":{"DOI":"10.1016/j.scitotenv.2013.03.100","ISSN":"00489697","PMID":"23639909","abstract":"During pregnancy, the fetus is exposed to contaminants from its mother's diet. This work provides an assessment of the dietary exposure of pregnant women to inorganic contaminants (aluminum, mercury, lead, inorganic arsenic, cobalt), polychlorodibenzodioxins, polychlorodibenzofurans, dioxin-like and non-dioxin-like polychlorobiphenyls (DL-PCBs, NDL-PCBs), polybromodiphenyl ethers (PBDEs), perfluoroalkyl acids, mycotoxins (zearalenone, patulin, trichothecenes), and heat-generated compounds (acrylamide and polycyclic aromatic hydrocarbons).Consumption data of 2002 pregnant women aged 18 to 45 from the EDEN cohort study were combined with contamination data from the second French total diet study to assess the exposure before pregnancy (n=1861) and during the third trimester of pregnancy (n=1775). Exposure was also assessed considering the season during which the third trimester of pregnancy occurred.Significant changes in consumptions during pregnancy and between seasons were associated with differences in exposures for some substances.Some contaminant exposures appeared to be of health concern. Margins of exposure to acrylamide (635 to 1094 for mean), inorganic arsenic, lead, and BDE-99 (≤100) were too low to exclude all risks. For NDL-PCBs, T-2 and HT-2 toxins, and deoxynivalenol, significant exceedings of toxicological reference values were found before pregnancy, but there was no significant exceeding in the third trimester. © 2013 Elsevier B.V.","author":[{"dropping-particle":"","family":"Chan-Hon-Tong","given":"Anne","non-dropping-particle":"","parse-names":false,"suffix":""},{"dropping-particle":"","family":"Charles","given":"Marie Aline","non-dropping-particle":"","parse-names":false,"suffix":""},{"dropping-particle":"","family":"Forhan","given":"Anne","non-dropping-particle":"","parse-names":false,"suffix":""},{"dropping-particle":"","family":"Heude","given":"Barbara","non-dropping-particle":"","parse-names":false,"suffix":""},{"dropping-particle":"","family":"Sirot","given":"Véronique","non-dropping-particle":"","parse-names":false,"suffix":""}],"container-title":"Science of the Total Environment","id":"ITEM-1","issued":{"date-parts":[["2013"]]},"page":"27-35","title":"Exposure to food contaminants during pregnancy","type":"article-journal","volume":"458-460"},"uris":["http://www.mendeley.com/documents/?uuid=b63dee8d-babf-4abc-9f31-0fc87080cf04"]}],"mendeley":{"formattedCitation":"&lt;sup&gt;[131]&lt;/sup&gt;","plainTextFormattedCitation":"[131]","previouslyFormattedCitation":"&lt;sup&gt;[130]&lt;/sup&gt;"},"properties":{"noteIndex":0},"schema":"https://github.com/citation-style-language/schema/raw/master/csl-citation.json"}</w:instrText>
      </w:r>
      <w:r w:rsidRPr="001F1399">
        <w:rPr>
          <w:rFonts w:ascii="Book Antiqua" w:hAnsi="Book Antiqua" w:cstheme="minorHAnsi"/>
          <w:lang w:val="en-GB"/>
        </w:rPr>
        <w:fldChar w:fldCharType="separate"/>
      </w:r>
      <w:r w:rsidR="00B1214D" w:rsidRPr="001F1399">
        <w:rPr>
          <w:rFonts w:ascii="Book Antiqua" w:hAnsi="Book Antiqua" w:cstheme="minorBidi"/>
          <w:noProof/>
          <w:vertAlign w:val="superscript"/>
          <w:lang w:val="en-GB"/>
        </w:rPr>
        <w:t>[131]</w:t>
      </w:r>
      <w:r w:rsidRPr="001F1399">
        <w:rPr>
          <w:rFonts w:ascii="Book Antiqua" w:hAnsi="Book Antiqua"/>
        </w:rPr>
        <w:fldChar w:fldCharType="end"/>
      </w:r>
      <w:r w:rsidRPr="001F1399">
        <w:rPr>
          <w:rFonts w:ascii="Book Antiqua" w:hAnsi="Book Antiqua" w:cstheme="minorBidi"/>
          <w:lang w:val="en-GB"/>
        </w:rPr>
        <w:t>. This was one of the first study in France revealing the level of dietary exposure to food contaminants for the foetus and how it is affected by changes of food intake during pregnancy and seasonal variation. Dairy consumption is associated with lower mercury and lead levels in both pregnant women and children. Lead absorption is enhanced under calcium deficiency whereas lead can interfere with the cycle of calcium homeostasis and function</w:t>
      </w:r>
      <w:r w:rsidRPr="001F1399">
        <w:rPr>
          <w:rFonts w:ascii="Book Antiqua" w:hAnsi="Book Antiqua"/>
        </w:rPr>
        <w:fldChar w:fldCharType="begin" w:fldLock="1"/>
      </w:r>
      <w:r w:rsidR="00B1214D" w:rsidRPr="001F1399">
        <w:rPr>
          <w:rFonts w:ascii="Book Antiqua" w:hAnsi="Book Antiqua" w:cstheme="minorHAnsi"/>
          <w:lang w:val="en-GB"/>
        </w:rPr>
        <w:instrText>ADDIN CSL_CITATION {"citationItems":[{"id":"ITEM-1","itemData":{"DOI":"10.1016/j.scitotenv.2004.03.017","ISSN":"00489697","PMID":"15325155","author":[{"dropping-particle":"","family":"Kwong","given":"W","non-dropping-particle":"","parse-names":false,"suffix":""},{"dropping-particle":"","family":"Friello","given":"P","non-dropping-particle":"","parse-names":false,"suffix":""},{"dropping-particle":"","family":"Semba","given":"R","non-dropping-particle":"","parse-names":false,"suffix":""}],"container-title":"Science of The Total Environment","id":"ITEM-1","issue":"1-3","issued":{"date-parts":[["2004","9","1"]]},"page":"21-37","title":"Interactions between iron deficiency and lead poisoning: epidemiology and pathogenesis","type":"article-journal","volume":"330"},"uris":["http://www.mendeley.com/documents/?uuid=3dc7c487-491a-47a6-881f-0735ad21be3d"]},{"id":"ITEM-2","itemData":{"DOI":"10.1007/s12011-017-1141-9","ISSN":"0163-4984","PMID":"28861860","author":[{"dropping-particle":"","family":"Talpur","given":"Sehrish","non-dropping-particle":"","parse-names":false,"suffix":""},{"dropping-particle":"","family":"Afridi","given":"Hassan I.","non-dropping-particle":"","parse-names":false,"suffix":""},{"dropping-particle":"","family":"Kazi","given":"Tasneem G.","non-dropping-particle":"","parse-names":false,"suffix":""},{"dropping-particle":"","family":"Talpur","given":"Farah Naz","non-dropping-particle":"","parse-names":false,"suffix":""}],"container-title":"Biological Trace Element Research","id":"ITEM-2","issue":"2","issued":{"date-parts":[["2018","6"]]},"page":"209-217","title":"Interaction of Lead with Calcium, Iron, and Zinc in the Biological Samples of Malnourished Children","type":"article-journal","volume":"183"},"uris":["http://www.mendeley.com/documents/?uuid=16008ca6-a25f-4f24-9a8d-26043e65b88a"]}],"mendeley":{"formattedCitation":"&lt;sup&gt;[132,133]&lt;/sup&gt;","plainTextFormattedCitation":"[132,133]","previouslyFormattedCitation":"&lt;sup&gt;[131,132]&lt;/sup&gt;"},"properties":{"noteIndex":0},"schema":"https://github.com/citation-style-language/schema/raw/master/csl-citation.json"}</w:instrText>
      </w:r>
      <w:r w:rsidRPr="001F1399">
        <w:rPr>
          <w:rFonts w:ascii="Book Antiqua" w:hAnsi="Book Antiqua" w:cstheme="minorHAnsi"/>
          <w:lang w:val="en-GB"/>
        </w:rPr>
        <w:fldChar w:fldCharType="separate"/>
      </w:r>
      <w:r w:rsidR="00B1214D" w:rsidRPr="001F1399">
        <w:rPr>
          <w:rFonts w:ascii="Book Antiqua" w:hAnsi="Book Antiqua" w:cstheme="minorBidi"/>
          <w:noProof/>
          <w:vertAlign w:val="superscript"/>
          <w:lang w:val="en-GB"/>
        </w:rPr>
        <w:t>[132,133]</w:t>
      </w:r>
      <w:r w:rsidRPr="001F1399">
        <w:rPr>
          <w:rFonts w:ascii="Book Antiqua" w:hAnsi="Book Antiqua"/>
        </w:rPr>
        <w:fldChar w:fldCharType="end"/>
      </w:r>
      <w:r w:rsidRPr="001F1399">
        <w:rPr>
          <w:rFonts w:ascii="Book Antiqua" w:hAnsi="Book Antiqua" w:cstheme="minorBidi"/>
          <w:lang w:val="en-GB"/>
        </w:rPr>
        <w:t>. This explains why high dairy intake, meaning high calcium intake, might reduce lead absorption and its related neurotoxic effects</w:t>
      </w:r>
      <w:r w:rsidRPr="001F1399">
        <w:rPr>
          <w:rFonts w:ascii="Book Antiqua" w:hAnsi="Book Antiqua"/>
        </w:rPr>
        <w:fldChar w:fldCharType="begin" w:fldLock="1"/>
      </w:r>
      <w:r w:rsidR="00B1214D" w:rsidRPr="001F1399">
        <w:rPr>
          <w:rFonts w:ascii="Book Antiqua" w:hAnsi="Book Antiqua" w:cstheme="minorHAnsi"/>
          <w:lang w:val="en-GB"/>
        </w:rPr>
        <w:instrText>ADDIN CSL_CITATION {"citationItems":[{"id":"ITEM-1","itemData":{"DOI":"10.1007/s12011-016-0913-y","ISSN":"0163-4984","PMID":"27988825","author":[{"dropping-particle":"","family":"Gomes","given":"Willian Robert","non-dropping-particle":"","parse-names":false,"suffix":""},{"dropping-particle":"","family":"Devóz","given":"Paula Pícoli","non-dropping-particle":"","parse-names":false,"suffix":""},{"dropping-particle":"","family":"Araújo","given":"Marília Ladeira","non-dropping-particle":"","parse-names":false,"suffix":""},{"dropping-particle":"","family":"Batista","given":"Bruno Lemos","non-dropping-particle":"","parse-names":false,"suffix":""},{"dropping-particle":"","family":"Barbosa","given":"Fernando","non-dropping-particle":"","parse-names":false,"suffix":""},{"dropping-particle":"","family":"Barcelos","given":"Gustavo Rafael Mazzaron","non-dropping-particle":"","parse-names":false,"suffix":""}],"container-title":"Biological Trace Element Research","id":"ITEM-1","issue":"1","issued":{"date-parts":[["2017","7","17"]]},"page":"29-35","title":"Milk and Dairy Products Intake Is Associated with Low Levels of Lead (Pb) in Workers highly Exposed to the Metal","type":"article-journal","volume":"178"},"uris":["http://www.mendeley.com/documents/?uuid=c74c04b5-d86f-48fd-933e-771caaa8d660"]}],"mendeley":{"formattedCitation":"&lt;sup&gt;[134]&lt;/sup&gt;","plainTextFormattedCitation":"[134]","previouslyFormattedCitation":"&lt;sup&gt;[133]&lt;/sup&gt;"},"properties":{"noteIndex":0},"schema":"https://github.com/citation-style-language/schema/raw/master/csl-citation.json"}</w:instrText>
      </w:r>
      <w:r w:rsidRPr="001F1399">
        <w:rPr>
          <w:rFonts w:ascii="Book Antiqua" w:hAnsi="Book Antiqua" w:cstheme="minorHAnsi"/>
          <w:lang w:val="en-GB"/>
        </w:rPr>
        <w:fldChar w:fldCharType="separate"/>
      </w:r>
      <w:r w:rsidR="00B1214D" w:rsidRPr="001F1399">
        <w:rPr>
          <w:rFonts w:ascii="Book Antiqua" w:hAnsi="Book Antiqua" w:cstheme="minorBidi"/>
          <w:noProof/>
          <w:vertAlign w:val="superscript"/>
          <w:lang w:val="en-GB"/>
        </w:rPr>
        <w:t>[134]</w:t>
      </w:r>
      <w:r w:rsidRPr="001F1399">
        <w:rPr>
          <w:rFonts w:ascii="Book Antiqua" w:hAnsi="Book Antiqua"/>
        </w:rPr>
        <w:fldChar w:fldCharType="end"/>
      </w:r>
      <w:r w:rsidRPr="001F1399">
        <w:rPr>
          <w:rFonts w:ascii="Book Antiqua" w:hAnsi="Book Antiqua" w:cstheme="minorBidi"/>
          <w:lang w:val="en-GB"/>
        </w:rPr>
        <w:t xml:space="preserve">. </w:t>
      </w:r>
      <w:r w:rsidR="00E16F82" w:rsidRPr="001F1399">
        <w:rPr>
          <w:rFonts w:ascii="Book Antiqua" w:hAnsi="Book Antiqua" w:cstheme="minorBidi"/>
          <w:lang w:val="en-GB"/>
        </w:rPr>
        <w:t xml:space="preserve">So far, very few studies evaluated joint exposure to heavy metals. </w:t>
      </w:r>
      <w:r w:rsidRPr="001F1399">
        <w:rPr>
          <w:rFonts w:ascii="Book Antiqua" w:hAnsi="Book Antiqua" w:cstheme="minorBidi"/>
          <w:lang w:val="en-GB"/>
        </w:rPr>
        <w:t>To our knowledge, only o</w:t>
      </w:r>
      <w:r w:rsidR="00E16F82" w:rsidRPr="001F1399">
        <w:rPr>
          <w:rFonts w:ascii="Book Antiqua" w:hAnsi="Book Antiqua" w:cstheme="minorBidi"/>
          <w:lang w:val="en-GB"/>
        </w:rPr>
        <w:t xml:space="preserve">ne recent work illustrated that </w:t>
      </w:r>
      <w:r w:rsidR="00E16F82" w:rsidRPr="001F1399">
        <w:rPr>
          <w:rFonts w:ascii="Book Antiqua" w:hAnsi="Book Antiqua"/>
          <w:lang w:val="en-GB"/>
        </w:rPr>
        <w:t>j</w:t>
      </w:r>
      <w:r w:rsidR="1EFD163B" w:rsidRPr="001F1399">
        <w:rPr>
          <w:rFonts w:ascii="Book Antiqua" w:eastAsia="Calibri" w:hAnsi="Book Antiqua" w:cs="Calibri"/>
          <w:lang w:val="en-US"/>
        </w:rPr>
        <w:t>oint exposure to lead and mercury in late pregnancy negatively affected the neurodevelopment of infants aged 6 mo</w:t>
      </w:r>
      <w:r w:rsidR="00B778ED" w:rsidRPr="001F1399">
        <w:rPr>
          <w:rFonts w:ascii="Book Antiqua" w:eastAsia="Calibri" w:hAnsi="Book Antiqua" w:cs="Calibri"/>
          <w:lang w:val="en-US"/>
        </w:rPr>
        <w:fldChar w:fldCharType="begin" w:fldLock="1"/>
      </w:r>
      <w:r w:rsidR="00B1214D" w:rsidRPr="001F1399">
        <w:rPr>
          <w:rFonts w:ascii="Book Antiqua" w:eastAsia="Calibri" w:hAnsi="Book Antiqua" w:cs="Calibri"/>
          <w:lang w:val="en-US"/>
        </w:rPr>
        <w:instrText>ADDIN CSL_CITATION {"citationItems":[{"id":"ITEM-1","itemData":{"DOI":"10.1016/j.envres.2020.109122","ISSN":"00139351","PMID":"32069757","abstract":"Background: Exposure to mixture of neurotoxic metals such as lead, mercury and cadmium occurs at a specific point of time. When exposed to metal mixtures, one metal may act as an agonist or antagonist to another metal. Thus, it is important to study the effects of exposure to a combination of metals on children's development using advance statistical methods. Objectives: In this study, we explored the effects of prenatal metal exposure including lead, mercury and cadmium in early pregnancy (12–20 weeks), late pregnancy (&gt;28 weeks), and at birth on neurodevelopment of infants at 6 months of age. Methods: We included 523 eligible mother-child pairs from the mothers and children environmental health (MOCEH) study, a prospective birth cohort study in Korea. We used linear regression, Bayesian kernel machine regression (BKMR) and generalized additive models (GAM), to evaluate the effects of exposure to metal mixtures on neurodevelopment of infants aged 6 months. The Korean version of Bayley scale of infant and toddler development-II was used to measure the child's neurodevelopment. Results: Linear regression models showed a significant negative effect of lead exposure during late pregnancy on the mental development index (MDI) [β = -2.51 (−4.92, −0.10)] scores of infants aged 6 months following co-exposure to mercury. Further, linear regression analysis showed a significant interaction between late pregnancy lead and mercury concentrations. BKMR analysis showed similar results as those obtained in linear regression models. These results were also replicated in the GAM. Stratification analysis showed that greater than 50 percentile concentration of mercury in late pregnancy potentiated the adverse effects of lead in late pregnancy on MDI [β = −4.33 (−7.66, −1.00)] and psychomotor development index (PDI) [β = −5.30 (−9.13, −1.46)] at 6 months of age. Prenatal cadmium exposure did not show a significant association with MDI and PDI at 6 months in the linear regression or BKMR analysis. Conclusion: Based on all the statistical methods used, we demonstrated the effect of combined exposure to metals on the neurodevelopment of infants aged 6 months, with significant interaction between lead and mercury.","author":[{"dropping-particle":"","family":"Shah-Kulkarni","given":"Surabhi","non-dropping-particle":"","parse-names":false,"suffix":""},{"dropping-particle":"","family":"Lee","given":"Seulbi","non-dropping-particle":"","parse-names":false,"suffix":""},{"dropping-particle":"","family":"Jeong","given":"Kyoung Sook","non-dropping-particle":"","parse-names":false,"suffix":""},{"dropping-particle":"","family":"Hong","given":"Yun-Chul","non-dropping-particle":"","parse-names":false,"suffix":""},{"dropping-particle":"","family":"Park","given":"Hyesook","non-dropping-particle":"","parse-names":false,"suffix":""},{"dropping-particle":"","family":"Ha","given":"Mina","non-dropping-particle":"","parse-names":false,"suffix":""},{"dropping-particle":"","family":"Kim","given":"Yangho","non-dropping-particle":"","parse-names":false,"suffix":""},{"dropping-particle":"","family":"Ha","given":"Eun-Hee","non-dropping-particle":"","parse-names":false,"suffix":""}],"container-title":"Environmental Research","id":"ITEM-1","issued":{"date-parts":[["2020","1"]]},"page":"109122","title":"Prenatal exposure to mixtures of heavy metals and neurodevelopment in infants at 6 months","type":"article-journal"},"uris":["http://www.mendeley.com/documents/?uuid=da69b475-f79e-3a9d-8347-cb41af465dce"]}],"mendeley":{"formattedCitation":"&lt;sup&gt;[121]&lt;/sup&gt;","plainTextFormattedCitation":"[121]","previouslyFormattedCitation":"&lt;sup&gt;[120]&lt;/sup&gt;"},"properties":{"noteIndex":0},"schema":"https://github.com/citation-style-language/schema/raw/master/csl-citation.json"}</w:instrText>
      </w:r>
      <w:r w:rsidR="00B778ED" w:rsidRPr="001F1399">
        <w:rPr>
          <w:rFonts w:ascii="Book Antiqua" w:eastAsia="Calibri" w:hAnsi="Book Antiqua" w:cs="Calibri"/>
          <w:lang w:val="en-US"/>
        </w:rPr>
        <w:fldChar w:fldCharType="separate"/>
      </w:r>
      <w:r w:rsidR="00B1214D" w:rsidRPr="001F1399">
        <w:rPr>
          <w:rFonts w:ascii="Book Antiqua" w:eastAsia="Calibri" w:hAnsi="Book Antiqua" w:cs="Calibri"/>
          <w:noProof/>
          <w:vertAlign w:val="superscript"/>
          <w:lang w:val="en-US"/>
        </w:rPr>
        <w:t>[121]</w:t>
      </w:r>
      <w:r w:rsidR="00B778ED" w:rsidRPr="001F1399">
        <w:rPr>
          <w:rFonts w:ascii="Book Antiqua" w:eastAsia="Calibri" w:hAnsi="Book Antiqua" w:cs="Calibri"/>
          <w:lang w:val="en-US"/>
        </w:rPr>
        <w:fldChar w:fldCharType="end"/>
      </w:r>
      <w:r w:rsidR="3E738692" w:rsidRPr="001F1399">
        <w:rPr>
          <w:rFonts w:ascii="Book Antiqua" w:eastAsia="Calibri" w:hAnsi="Book Antiqua" w:cs="Calibri"/>
          <w:lang w:val="en-US"/>
        </w:rPr>
        <w:t>.</w:t>
      </w:r>
    </w:p>
    <w:p w14:paraId="0448560F" w14:textId="77777777" w:rsidR="00B36A0D" w:rsidRPr="001F1399" w:rsidRDefault="00B36A0D" w:rsidP="002974FA">
      <w:pPr>
        <w:pStyle w:val="paragraph"/>
        <w:adjustRightInd w:val="0"/>
        <w:snapToGrid w:val="0"/>
        <w:spacing w:before="0" w:beforeAutospacing="0" w:after="0" w:afterAutospacing="0" w:line="360" w:lineRule="auto"/>
        <w:ind w:firstLine="705"/>
        <w:jc w:val="both"/>
        <w:textAlignment w:val="baseline"/>
        <w:rPr>
          <w:rStyle w:val="normaltextrun"/>
          <w:rFonts w:ascii="Book Antiqua" w:hAnsi="Book Antiqua" w:cs="Calibri"/>
          <w:bCs/>
          <w:i/>
          <w:color w:val="7030A0"/>
          <w:lang w:val="en-US"/>
        </w:rPr>
      </w:pPr>
    </w:p>
    <w:p w14:paraId="3F549B45" w14:textId="7621AC90" w:rsidR="007B26D2" w:rsidRPr="001F1399" w:rsidRDefault="007B26D2" w:rsidP="002974FA">
      <w:pPr>
        <w:pStyle w:val="paragraph"/>
        <w:adjustRightInd w:val="0"/>
        <w:snapToGrid w:val="0"/>
        <w:spacing w:before="0" w:beforeAutospacing="0" w:after="0" w:afterAutospacing="0" w:line="360" w:lineRule="auto"/>
        <w:jc w:val="both"/>
        <w:textAlignment w:val="baseline"/>
        <w:rPr>
          <w:rStyle w:val="eop"/>
          <w:rFonts w:ascii="Book Antiqua" w:hAnsi="Book Antiqua" w:cs="Calibri"/>
          <w:b/>
          <w:i/>
          <w:lang w:val="en-US"/>
        </w:rPr>
      </w:pPr>
      <w:r w:rsidRPr="001F1399">
        <w:rPr>
          <w:rStyle w:val="normaltextrun"/>
          <w:rFonts w:ascii="Book Antiqua" w:hAnsi="Book Antiqua" w:cs="Calibri"/>
          <w:b/>
          <w:i/>
          <w:lang w:val="en-US"/>
        </w:rPr>
        <w:t>Fetal exposure to M</w:t>
      </w:r>
      <w:r w:rsidR="002D7306" w:rsidRPr="001F1399">
        <w:rPr>
          <w:rStyle w:val="eop"/>
          <w:rFonts w:ascii="Book Antiqua" w:hAnsi="Book Antiqua" w:cs="Calibri"/>
          <w:b/>
          <w:i/>
          <w:lang w:val="en-US"/>
        </w:rPr>
        <w:t>RPs</w:t>
      </w:r>
    </w:p>
    <w:p w14:paraId="31A08F07" w14:textId="39735794" w:rsidR="00642D13" w:rsidRPr="001F1399" w:rsidRDefault="007164C8" w:rsidP="002974FA">
      <w:pPr>
        <w:pStyle w:val="paragraph"/>
        <w:adjustRightInd w:val="0"/>
        <w:snapToGrid w:val="0"/>
        <w:spacing w:before="0" w:beforeAutospacing="0" w:after="0" w:afterAutospacing="0" w:line="360" w:lineRule="auto"/>
        <w:jc w:val="both"/>
        <w:textAlignment w:val="baseline"/>
        <w:rPr>
          <w:rStyle w:val="eop"/>
          <w:rFonts w:ascii="Book Antiqua" w:hAnsi="Book Antiqua" w:cs="Calibri"/>
          <w:lang w:val="en-US"/>
        </w:rPr>
      </w:pPr>
      <w:r w:rsidRPr="001F1399">
        <w:rPr>
          <w:rStyle w:val="eop"/>
          <w:rFonts w:ascii="Book Antiqua" w:hAnsi="Book Antiqua" w:cs="Calibri"/>
          <w:lang w:val="en-US"/>
        </w:rPr>
        <w:t xml:space="preserve">Since the first human discovered the fire, </w:t>
      </w:r>
      <w:r w:rsidR="00E953CD" w:rsidRPr="001F1399">
        <w:rPr>
          <w:rStyle w:val="eop"/>
          <w:rFonts w:ascii="Book Antiqua" w:hAnsi="Book Antiqua" w:cs="Calibri"/>
          <w:lang w:val="en-US"/>
        </w:rPr>
        <w:t>our food habits evolved a lo</w:t>
      </w:r>
      <w:r w:rsidR="00017783" w:rsidRPr="001F1399">
        <w:rPr>
          <w:rStyle w:val="eop"/>
          <w:rFonts w:ascii="Book Antiqua" w:hAnsi="Book Antiqua" w:cs="Calibri"/>
          <w:lang w:val="en-US"/>
        </w:rPr>
        <w:t>t and this evolution increased markedly this pas</w:t>
      </w:r>
      <w:r w:rsidR="00804C05" w:rsidRPr="001F1399">
        <w:rPr>
          <w:rStyle w:val="eop"/>
          <w:rFonts w:ascii="Book Antiqua" w:hAnsi="Book Antiqua" w:cs="Calibri"/>
          <w:lang w:val="en-US"/>
        </w:rPr>
        <w:t>t</w:t>
      </w:r>
      <w:r w:rsidR="00017783" w:rsidRPr="001F1399">
        <w:rPr>
          <w:rStyle w:val="eop"/>
          <w:rFonts w:ascii="Book Antiqua" w:hAnsi="Book Antiqua" w:cs="Calibri"/>
          <w:lang w:val="en-US"/>
        </w:rPr>
        <w:t xml:space="preserve"> century </w:t>
      </w:r>
      <w:r w:rsidR="00DE3B8B" w:rsidRPr="001F1399">
        <w:rPr>
          <w:rStyle w:val="eop"/>
          <w:rFonts w:ascii="Book Antiqua" w:hAnsi="Book Antiqua" w:cs="Calibri"/>
          <w:lang w:val="en-US"/>
        </w:rPr>
        <w:t>in para</w:t>
      </w:r>
      <w:r w:rsidR="00A97E9C" w:rsidRPr="001F1399">
        <w:rPr>
          <w:rStyle w:val="eop"/>
          <w:rFonts w:ascii="Book Antiqua" w:hAnsi="Book Antiqua" w:cs="Calibri"/>
          <w:lang w:val="en-US"/>
        </w:rPr>
        <w:t>lle</w:t>
      </w:r>
      <w:r w:rsidR="00804C05" w:rsidRPr="001F1399">
        <w:rPr>
          <w:rStyle w:val="eop"/>
          <w:rFonts w:ascii="Book Antiqua" w:hAnsi="Book Antiqua" w:cs="Calibri"/>
          <w:lang w:val="en-US"/>
        </w:rPr>
        <w:t xml:space="preserve">l with deep modification of our way of life especially </w:t>
      </w:r>
      <w:r w:rsidR="00255FD0" w:rsidRPr="001F1399">
        <w:rPr>
          <w:rStyle w:val="eop"/>
          <w:rFonts w:ascii="Book Antiqua" w:hAnsi="Book Antiqua" w:cs="Calibri"/>
          <w:lang w:val="en-US"/>
        </w:rPr>
        <w:t xml:space="preserve">in </w:t>
      </w:r>
      <w:r w:rsidR="00F80518" w:rsidRPr="001F1399">
        <w:rPr>
          <w:rStyle w:val="eop"/>
          <w:rFonts w:ascii="Book Antiqua" w:hAnsi="Book Antiqua" w:cs="Calibri"/>
          <w:lang w:val="en-US"/>
        </w:rPr>
        <w:t>northern modernized countries.</w:t>
      </w:r>
      <w:r w:rsidR="00E95763" w:rsidRPr="001F1399">
        <w:rPr>
          <w:rStyle w:val="eop"/>
          <w:rFonts w:ascii="Book Antiqua" w:hAnsi="Book Antiqua" w:cs="Calibri"/>
          <w:lang w:val="en-US"/>
        </w:rPr>
        <w:t xml:space="preserve"> </w:t>
      </w:r>
      <w:r w:rsidR="000B0247" w:rsidRPr="001F1399">
        <w:rPr>
          <w:rStyle w:val="eop"/>
          <w:rFonts w:ascii="Book Antiqua" w:hAnsi="Book Antiqua" w:cs="Calibri"/>
          <w:lang w:val="en-US"/>
        </w:rPr>
        <w:t>Food cooking became necessary to improve food nutritional</w:t>
      </w:r>
      <w:r w:rsidR="00332286" w:rsidRPr="001F1399">
        <w:rPr>
          <w:rStyle w:val="eop"/>
          <w:rFonts w:ascii="Book Antiqua" w:hAnsi="Book Antiqua" w:cs="Calibri"/>
          <w:lang w:val="en-US"/>
        </w:rPr>
        <w:t xml:space="preserve"> and or</w:t>
      </w:r>
      <w:r w:rsidR="00866825" w:rsidRPr="001F1399">
        <w:rPr>
          <w:rStyle w:val="eop"/>
          <w:rFonts w:ascii="Book Antiqua" w:hAnsi="Book Antiqua" w:cs="Calibri"/>
          <w:lang w:val="en-US"/>
        </w:rPr>
        <w:t>ga</w:t>
      </w:r>
      <w:r w:rsidR="00332286" w:rsidRPr="001F1399">
        <w:rPr>
          <w:rStyle w:val="eop"/>
          <w:rFonts w:ascii="Book Antiqua" w:hAnsi="Book Antiqua" w:cs="Calibri"/>
          <w:lang w:val="en-US"/>
        </w:rPr>
        <w:t>noleptic</w:t>
      </w:r>
      <w:r w:rsidR="000B0247" w:rsidRPr="001F1399">
        <w:rPr>
          <w:rStyle w:val="eop"/>
          <w:rFonts w:ascii="Book Antiqua" w:hAnsi="Book Antiqua" w:cs="Calibri"/>
          <w:lang w:val="en-US"/>
        </w:rPr>
        <w:t xml:space="preserve"> qualities, </w:t>
      </w:r>
      <w:r w:rsidR="00332286" w:rsidRPr="001F1399">
        <w:rPr>
          <w:rStyle w:val="eop"/>
          <w:rFonts w:ascii="Book Antiqua" w:hAnsi="Book Antiqua" w:cs="Calibri"/>
          <w:lang w:val="en-US"/>
        </w:rPr>
        <w:t xml:space="preserve">hygiene but also facilitates its storage </w:t>
      </w:r>
      <w:r w:rsidR="00940769" w:rsidRPr="001F1399">
        <w:rPr>
          <w:rStyle w:val="eop"/>
          <w:rFonts w:ascii="Book Antiqua" w:hAnsi="Book Antiqua" w:cs="Calibri"/>
          <w:lang w:val="en-US"/>
        </w:rPr>
        <w:t>on a longer period. However</w:t>
      </w:r>
      <w:r w:rsidR="00B963EF" w:rsidRPr="001F1399">
        <w:rPr>
          <w:rStyle w:val="eop"/>
          <w:rFonts w:ascii="Book Antiqua" w:hAnsi="Book Antiqua" w:cs="Calibri"/>
          <w:lang w:val="en-US"/>
        </w:rPr>
        <w:t>, th</w:t>
      </w:r>
      <w:r w:rsidR="00866825" w:rsidRPr="001F1399">
        <w:rPr>
          <w:rStyle w:val="eop"/>
          <w:rFonts w:ascii="Book Antiqua" w:hAnsi="Book Antiqua" w:cs="Calibri"/>
          <w:lang w:val="en-US"/>
        </w:rPr>
        <w:t>is transformation process comes with the appearance of new compounds among which M</w:t>
      </w:r>
      <w:r w:rsidR="002D7306" w:rsidRPr="001F1399">
        <w:rPr>
          <w:rStyle w:val="eop"/>
          <w:rFonts w:ascii="Book Antiqua" w:hAnsi="Book Antiqua" w:cs="Calibri"/>
          <w:lang w:val="en-US"/>
        </w:rPr>
        <w:t>RP</w:t>
      </w:r>
      <w:r w:rsidR="005D5A36" w:rsidRPr="001F1399">
        <w:rPr>
          <w:rStyle w:val="eop"/>
          <w:rFonts w:ascii="Book Antiqua" w:hAnsi="Book Antiqua" w:cs="Calibri"/>
          <w:lang w:val="en-US"/>
        </w:rPr>
        <w:t>s</w:t>
      </w:r>
      <w:r w:rsidR="00866825" w:rsidRPr="001F1399">
        <w:rPr>
          <w:rStyle w:val="eop"/>
          <w:rFonts w:ascii="Book Antiqua" w:hAnsi="Book Antiqua" w:cs="Calibri"/>
          <w:lang w:val="en-US"/>
        </w:rPr>
        <w:t xml:space="preserve">. This </w:t>
      </w:r>
      <w:r w:rsidR="00803F1B" w:rsidRPr="001F1399">
        <w:rPr>
          <w:rStyle w:val="eop"/>
          <w:rFonts w:ascii="Book Antiqua" w:hAnsi="Book Antiqua" w:cs="Calibri"/>
          <w:lang w:val="en-US"/>
        </w:rPr>
        <w:t xml:space="preserve">wide set of </w:t>
      </w:r>
      <w:r w:rsidR="00BE2ADB" w:rsidRPr="001F1399">
        <w:rPr>
          <w:rStyle w:val="eop"/>
          <w:rFonts w:ascii="Book Antiqua" w:hAnsi="Book Antiqua" w:cs="Calibri"/>
          <w:lang w:val="en-US"/>
        </w:rPr>
        <w:t xml:space="preserve">molecules </w:t>
      </w:r>
      <w:r w:rsidR="002425D3" w:rsidRPr="001F1399">
        <w:rPr>
          <w:rStyle w:val="eop"/>
          <w:rFonts w:ascii="Book Antiqua" w:hAnsi="Book Antiqua" w:cs="Calibri"/>
          <w:lang w:val="en-US"/>
        </w:rPr>
        <w:t xml:space="preserve">appears through cooking and results from the </w:t>
      </w:r>
      <w:r w:rsidR="00B1381F" w:rsidRPr="001F1399">
        <w:rPr>
          <w:rStyle w:val="eop"/>
          <w:rFonts w:ascii="Book Antiqua" w:hAnsi="Book Antiqua" w:cs="Calibri"/>
          <w:lang w:val="en-US"/>
        </w:rPr>
        <w:t xml:space="preserve">reaction between </w:t>
      </w:r>
      <w:r w:rsidR="006160D1" w:rsidRPr="001F1399">
        <w:rPr>
          <w:rStyle w:val="eop"/>
          <w:rFonts w:ascii="Book Antiqua" w:hAnsi="Book Antiqua" w:cs="Calibri"/>
          <w:lang w:val="en-US"/>
        </w:rPr>
        <w:t xml:space="preserve">the carbonyl group of </w:t>
      </w:r>
      <w:r w:rsidR="00B1381F" w:rsidRPr="001F1399">
        <w:rPr>
          <w:rStyle w:val="eop"/>
          <w:rFonts w:ascii="Book Antiqua" w:hAnsi="Book Antiqua" w:cs="Calibri"/>
          <w:lang w:val="en-US"/>
        </w:rPr>
        <w:t xml:space="preserve">a reduced sugar and </w:t>
      </w:r>
      <w:r w:rsidR="006160D1" w:rsidRPr="001F1399">
        <w:rPr>
          <w:rStyle w:val="eop"/>
          <w:rFonts w:ascii="Book Antiqua" w:hAnsi="Book Antiqua" w:cs="Calibri"/>
          <w:lang w:val="en-US"/>
        </w:rPr>
        <w:t>a free amin</w:t>
      </w:r>
      <w:r w:rsidR="00873E9B" w:rsidRPr="001F1399">
        <w:rPr>
          <w:rStyle w:val="eop"/>
          <w:rFonts w:ascii="Book Antiqua" w:hAnsi="Book Antiqua" w:cs="Calibri"/>
          <w:lang w:val="en-US"/>
        </w:rPr>
        <w:t>e</w:t>
      </w:r>
      <w:r w:rsidR="006160D1" w:rsidRPr="001F1399">
        <w:rPr>
          <w:rStyle w:val="eop"/>
          <w:rFonts w:ascii="Book Antiqua" w:hAnsi="Book Antiqua" w:cs="Calibri"/>
          <w:lang w:val="en-US"/>
        </w:rPr>
        <w:t xml:space="preserve"> group of amino acid</w:t>
      </w:r>
      <w:r w:rsidR="009305DE" w:rsidRPr="001F1399">
        <w:rPr>
          <w:rStyle w:val="eop"/>
          <w:rFonts w:ascii="Book Antiqua" w:hAnsi="Book Antiqua" w:cs="Calibri"/>
          <w:lang w:val="en-US"/>
        </w:rPr>
        <w:t xml:space="preserve">, typically </w:t>
      </w:r>
      <w:r w:rsidR="00176C7F" w:rsidRPr="001F1399">
        <w:rPr>
          <w:rStyle w:val="eop"/>
          <w:rFonts w:ascii="Book Antiqua" w:hAnsi="Book Antiqua" w:cs="Calibri"/>
          <w:lang w:val="en-US"/>
        </w:rPr>
        <w:t xml:space="preserve">the </w:t>
      </w:r>
      <w:r w:rsidR="002D7306" w:rsidRPr="001F1399">
        <w:rPr>
          <w:rStyle w:val="eop"/>
          <w:rFonts w:ascii="Book Antiqua" w:hAnsi="Book Antiqua" w:cs="Calibri"/>
          <w:lang w:val="en-US"/>
        </w:rPr>
        <w:t>ε</w:t>
      </w:r>
      <w:r w:rsidR="00176C7F" w:rsidRPr="001F1399">
        <w:rPr>
          <w:rStyle w:val="eop"/>
          <w:rFonts w:ascii="Book Antiqua" w:hAnsi="Book Antiqua" w:cs="Calibri"/>
          <w:lang w:val="en-US"/>
        </w:rPr>
        <w:t>-amino group</w:t>
      </w:r>
      <w:r w:rsidR="00F33D26" w:rsidRPr="001F1399">
        <w:rPr>
          <w:rStyle w:val="eop"/>
          <w:rFonts w:ascii="Book Antiqua" w:hAnsi="Book Antiqua" w:cs="Calibri"/>
          <w:lang w:val="en-US"/>
        </w:rPr>
        <w:t xml:space="preserve"> of lysin</w:t>
      </w:r>
      <w:r w:rsidR="00873E9B" w:rsidRPr="001F1399">
        <w:rPr>
          <w:rStyle w:val="eop"/>
          <w:rFonts w:ascii="Book Antiqua" w:hAnsi="Book Antiqua" w:cs="Calibri"/>
          <w:lang w:val="en-US"/>
        </w:rPr>
        <w:t>e residues in proteins.</w:t>
      </w:r>
      <w:r w:rsidR="009305DE" w:rsidRPr="001F1399">
        <w:rPr>
          <w:rStyle w:val="eop"/>
          <w:rFonts w:ascii="Book Antiqua" w:hAnsi="Book Antiqua" w:cs="Calibri"/>
          <w:lang w:val="en-US"/>
        </w:rPr>
        <w:t xml:space="preserve"> </w:t>
      </w:r>
      <w:r w:rsidR="00883CE5" w:rsidRPr="001F1399">
        <w:rPr>
          <w:rStyle w:val="eop"/>
          <w:rFonts w:ascii="Book Antiqua" w:hAnsi="Book Antiqua" w:cs="Calibri"/>
          <w:lang w:val="en-US"/>
        </w:rPr>
        <w:t>Th</w:t>
      </w:r>
      <w:r w:rsidR="006E0470" w:rsidRPr="001F1399">
        <w:rPr>
          <w:rStyle w:val="eop"/>
          <w:rFonts w:ascii="Book Antiqua" w:hAnsi="Book Antiqua" w:cs="Calibri"/>
          <w:lang w:val="en-US"/>
        </w:rPr>
        <w:t>is initial reaction give</w:t>
      </w:r>
      <w:r w:rsidR="002723F7" w:rsidRPr="001F1399">
        <w:rPr>
          <w:rStyle w:val="eop"/>
          <w:rFonts w:ascii="Book Antiqua" w:hAnsi="Book Antiqua" w:cs="Calibri"/>
          <w:lang w:val="en-US"/>
        </w:rPr>
        <w:t>s</w:t>
      </w:r>
      <w:r w:rsidR="006E0470" w:rsidRPr="001F1399">
        <w:rPr>
          <w:rStyle w:val="eop"/>
          <w:rFonts w:ascii="Book Antiqua" w:hAnsi="Book Antiqua" w:cs="Calibri"/>
          <w:lang w:val="en-US"/>
        </w:rPr>
        <w:t xml:space="preserve"> then the rise to a large bunch of molecules </w:t>
      </w:r>
      <w:r w:rsidR="00E85379" w:rsidRPr="001F1399">
        <w:rPr>
          <w:rStyle w:val="eop"/>
          <w:rFonts w:ascii="Book Antiqua" w:hAnsi="Book Antiqua" w:cs="Calibri"/>
          <w:lang w:val="en-US"/>
        </w:rPr>
        <w:t xml:space="preserve">through multiple rearrangements at the origin of </w:t>
      </w:r>
      <w:r w:rsidR="00084345" w:rsidRPr="001F1399">
        <w:rPr>
          <w:rStyle w:val="eop"/>
          <w:rFonts w:ascii="Book Antiqua" w:hAnsi="Book Antiqua" w:cs="Calibri"/>
          <w:lang w:val="en-US"/>
        </w:rPr>
        <w:t xml:space="preserve">the taste of cooked food, the brownish to grilled color of food. However, </w:t>
      </w:r>
      <w:r w:rsidR="002D7306" w:rsidRPr="001F1399">
        <w:rPr>
          <w:rStyle w:val="eop"/>
          <w:rFonts w:ascii="Book Antiqua" w:hAnsi="Book Antiqua" w:cs="Calibri"/>
          <w:lang w:val="en-US"/>
        </w:rPr>
        <w:t>advanced glycation end-products</w:t>
      </w:r>
      <w:r w:rsidR="00084345" w:rsidRPr="001F1399">
        <w:rPr>
          <w:rStyle w:val="eop"/>
          <w:rFonts w:ascii="Book Antiqua" w:hAnsi="Book Antiqua" w:cs="Calibri"/>
          <w:lang w:val="en-US"/>
        </w:rPr>
        <w:t xml:space="preserve"> (AGEs)</w:t>
      </w:r>
      <w:r w:rsidR="007B59FC" w:rsidRPr="001F1399">
        <w:rPr>
          <w:rStyle w:val="eop"/>
          <w:rFonts w:ascii="Book Antiqua" w:hAnsi="Book Antiqua" w:cs="Calibri"/>
          <w:lang w:val="en-US"/>
        </w:rPr>
        <w:t>, acrylamide</w:t>
      </w:r>
      <w:r w:rsidR="00D961A2" w:rsidRPr="001F1399">
        <w:rPr>
          <w:rStyle w:val="eop"/>
          <w:rFonts w:ascii="Book Antiqua" w:hAnsi="Book Antiqua" w:cs="Calibri"/>
          <w:lang w:val="en-US"/>
        </w:rPr>
        <w:t xml:space="preserve"> or heterocyclic amine</w:t>
      </w:r>
      <w:r w:rsidR="00084345" w:rsidRPr="001F1399">
        <w:rPr>
          <w:rStyle w:val="eop"/>
          <w:rFonts w:ascii="Book Antiqua" w:hAnsi="Book Antiqua" w:cs="Calibri"/>
          <w:lang w:val="en-US"/>
        </w:rPr>
        <w:t xml:space="preserve"> </w:t>
      </w:r>
      <w:r w:rsidR="00B36A0D" w:rsidRPr="001F1399">
        <w:rPr>
          <w:rStyle w:val="eop"/>
          <w:rFonts w:ascii="Book Antiqua" w:hAnsi="Book Antiqua" w:cs="Calibri"/>
          <w:lang w:val="en-US"/>
        </w:rPr>
        <w:t xml:space="preserve">belonging to glycotoxins </w:t>
      </w:r>
      <w:r w:rsidR="00084345" w:rsidRPr="001F1399">
        <w:rPr>
          <w:rStyle w:val="eop"/>
          <w:rFonts w:ascii="Book Antiqua" w:hAnsi="Book Antiqua" w:cs="Calibri"/>
          <w:lang w:val="en-US"/>
        </w:rPr>
        <w:t xml:space="preserve">may also have </w:t>
      </w:r>
      <w:r w:rsidR="000D0385" w:rsidRPr="001F1399">
        <w:rPr>
          <w:rStyle w:val="eop"/>
          <w:rFonts w:ascii="Book Antiqua" w:hAnsi="Book Antiqua" w:cs="Calibri"/>
          <w:lang w:val="en-US"/>
        </w:rPr>
        <w:t xml:space="preserve">negative </w:t>
      </w:r>
      <w:r w:rsidR="00A15AC5" w:rsidRPr="001F1399">
        <w:rPr>
          <w:rStyle w:val="eop"/>
          <w:rFonts w:ascii="Book Antiqua" w:hAnsi="Book Antiqua" w:cs="Calibri"/>
          <w:lang w:val="en-US"/>
        </w:rPr>
        <w:t>effects on health</w:t>
      </w:r>
      <w:r w:rsidR="00E5767E" w:rsidRPr="001F1399">
        <w:rPr>
          <w:rStyle w:val="eop"/>
          <w:rFonts w:ascii="Book Antiqua" w:hAnsi="Book Antiqua" w:cs="Calibri"/>
          <w:lang w:val="en-US"/>
        </w:rPr>
        <w:fldChar w:fldCharType="begin" w:fldLock="1"/>
      </w:r>
      <w:r w:rsidR="00B1214D" w:rsidRPr="001F1399">
        <w:rPr>
          <w:rStyle w:val="eop"/>
          <w:rFonts w:ascii="Book Antiqua" w:hAnsi="Book Antiqua" w:cs="Calibri"/>
          <w:lang w:val="en-US"/>
        </w:rPr>
        <w:instrText>ADDIN CSL_CITATION {"citationItems":[{"id":"ITEM-1","itemData":{"DOI":"Proceedings Paper","ISBN":"1212-1800","ISSN":"12121800","author":[{"dropping-particle":"","family":"Ames","given":"Jennifer M.","non-dropping-particle":"","parse-names":false,"suffix":""}],"container-title":"Czech Journal of Food Science","id":"ITEM-1","issued":{"date-parts":[["2009"]]},"page":"S66-S69","title":"Dietary Maillard Reaction Products: Implications for Human Health and Disease","type":"article-journal","volume":"27"},"uris":["http://www.mendeley.com/documents/?uuid=5f3de39d-8641-41cb-97f9-e9d955986f5b"]}],"mendeley":{"formattedCitation":"&lt;sup&gt;[135]&lt;/sup&gt;","plainTextFormattedCitation":"[135]","previouslyFormattedCitation":"&lt;sup&gt;[134]&lt;/sup&gt;"},"properties":{"noteIndex":0},"schema":"https://github.com/citation-style-language/schema/raw/master/csl-citation.json"}</w:instrText>
      </w:r>
      <w:r w:rsidR="00E5767E" w:rsidRPr="001F1399">
        <w:rPr>
          <w:rStyle w:val="eop"/>
          <w:rFonts w:ascii="Book Antiqua" w:hAnsi="Book Antiqua" w:cs="Calibri"/>
          <w:lang w:val="en-US"/>
        </w:rPr>
        <w:fldChar w:fldCharType="separate"/>
      </w:r>
      <w:r w:rsidR="00B1214D" w:rsidRPr="001F1399">
        <w:rPr>
          <w:rStyle w:val="eop"/>
          <w:rFonts w:ascii="Book Antiqua" w:hAnsi="Book Antiqua" w:cs="Calibri"/>
          <w:noProof/>
          <w:vertAlign w:val="superscript"/>
          <w:lang w:val="en-US"/>
        </w:rPr>
        <w:t>[135]</w:t>
      </w:r>
      <w:r w:rsidR="00E5767E" w:rsidRPr="001F1399">
        <w:rPr>
          <w:rStyle w:val="eop"/>
          <w:rFonts w:ascii="Book Antiqua" w:hAnsi="Book Antiqua" w:cs="Calibri"/>
          <w:lang w:val="en-US"/>
        </w:rPr>
        <w:fldChar w:fldCharType="end"/>
      </w:r>
      <w:r w:rsidR="00A15AC5" w:rsidRPr="001F1399">
        <w:rPr>
          <w:rStyle w:val="eop"/>
          <w:rFonts w:ascii="Book Antiqua" w:hAnsi="Book Antiqua" w:cs="Calibri"/>
          <w:lang w:val="en-US"/>
        </w:rPr>
        <w:t>.</w:t>
      </w:r>
      <w:r w:rsidR="002723F7" w:rsidRPr="001F1399">
        <w:rPr>
          <w:rStyle w:val="eop"/>
          <w:rFonts w:ascii="Book Antiqua" w:hAnsi="Book Antiqua" w:cs="Calibri"/>
          <w:lang w:val="en-US"/>
        </w:rPr>
        <w:t xml:space="preserve"> </w:t>
      </w:r>
      <w:r w:rsidR="00A50089" w:rsidRPr="001F1399">
        <w:rPr>
          <w:rStyle w:val="eop"/>
          <w:rFonts w:ascii="Book Antiqua" w:hAnsi="Book Antiqua" w:cs="Calibri"/>
          <w:lang w:val="en-US"/>
        </w:rPr>
        <w:t xml:space="preserve">Dietary AGEs </w:t>
      </w:r>
      <w:r w:rsidR="00C544C7" w:rsidRPr="001F1399">
        <w:rPr>
          <w:rStyle w:val="eop"/>
          <w:rFonts w:ascii="Book Antiqua" w:hAnsi="Book Antiqua" w:cs="Calibri"/>
          <w:lang w:val="en-US"/>
        </w:rPr>
        <w:t>get absorbed through the small intestine and their blood concentration increases lifelong and further exacerbates their endogenous production</w:t>
      </w:r>
      <w:r w:rsidR="00C544C7" w:rsidRPr="001F1399">
        <w:rPr>
          <w:rStyle w:val="eop"/>
          <w:rFonts w:ascii="Book Antiqua" w:hAnsi="Book Antiqua" w:cs="Calibri"/>
          <w:lang w:val="en-US"/>
        </w:rPr>
        <w:fldChar w:fldCharType="begin" w:fldLock="1"/>
      </w:r>
      <w:r w:rsidR="00B1214D" w:rsidRPr="001F1399">
        <w:rPr>
          <w:rStyle w:val="eop"/>
          <w:rFonts w:ascii="Book Antiqua" w:hAnsi="Book Antiqua" w:cs="Calibri"/>
          <w:lang w:val="en-US"/>
        </w:rPr>
        <w:instrText>ADDIN CSL_CITATION {"citationItems":[{"id":"ITEM-1","itemData":{"DOI":"10.1073/pnas.94.12.6474","ISSN":"0027-8424","PMID":"9177242","author":[{"dropping-particle":"","family":"Koschinsky","given":"T.","non-dropping-particle":"","parse-names":false,"suffix":""},{"dropping-particle":"","family":"He","given":"C.-J.","non-dropping-particle":"","parse-names":false,"suffix":""},{"dropping-particle":"","family":"Mitsuhashi","given":"T.","non-dropping-particle":"","parse-names":false,"suffix":""},{"dropping-particle":"","family":"Bucala","given":"R.","non-dropping-particle":"","parse-names":false,"suffix":""},{"dropping-particle":"","family":"Liu","given":"C.","non-dropping-particle":"","parse-names":false,"suffix":""},{"dropping-particle":"","family":"Buenting","given":"C.","non-dropping-particle":"","parse-names":false,"suffix":""},{"dropping-particle":"","family":"Heitmann","given":"K.","non-dropping-particle":"","parse-names":false,"suffix":""},{"dropping-particle":"","family":"Vlassara","given":"H.","non-dropping-particle":"","parse-names":false,"suffix":""}],"container-title":"Proceedings of the National Academy of Sciences","id":"ITEM-1","issue":"12","issued":{"date-parts":[["1997","6","10"]]},"page":"6474-6479","title":"Orally absorbed reactive glycation products (glycotoxins): An environmental risk factor in diabetic nephropathy","type":"article-journal","volume":"94"},"uris":["http://www.mendeley.com/documents/?uuid=efba55c5-7214-47af-8f0b-9148cf890dff"]}],"mendeley":{"formattedCitation":"&lt;sup&gt;[136]&lt;/sup&gt;","plainTextFormattedCitation":"[136]","previouslyFormattedCitation":"&lt;sup&gt;[135]&lt;/sup&gt;"},"properties":{"noteIndex":0},"schema":"https://github.com/citation-style-language/schema/raw/master/csl-citation.json"}</w:instrText>
      </w:r>
      <w:r w:rsidR="00C544C7" w:rsidRPr="001F1399">
        <w:rPr>
          <w:rStyle w:val="eop"/>
          <w:rFonts w:ascii="Book Antiqua" w:hAnsi="Book Antiqua" w:cs="Calibri"/>
          <w:lang w:val="en-US"/>
        </w:rPr>
        <w:fldChar w:fldCharType="separate"/>
      </w:r>
      <w:r w:rsidR="00B1214D" w:rsidRPr="001F1399">
        <w:rPr>
          <w:rStyle w:val="eop"/>
          <w:rFonts w:ascii="Book Antiqua" w:hAnsi="Book Antiqua" w:cs="Calibri"/>
          <w:noProof/>
          <w:vertAlign w:val="superscript"/>
          <w:lang w:val="en-US"/>
        </w:rPr>
        <w:t>[136]</w:t>
      </w:r>
      <w:r w:rsidR="00C544C7" w:rsidRPr="001F1399">
        <w:rPr>
          <w:rStyle w:val="eop"/>
          <w:rFonts w:ascii="Book Antiqua" w:hAnsi="Book Antiqua" w:cs="Calibri"/>
          <w:lang w:val="en-US"/>
        </w:rPr>
        <w:fldChar w:fldCharType="end"/>
      </w:r>
      <w:r w:rsidR="00C544C7" w:rsidRPr="001F1399">
        <w:rPr>
          <w:rStyle w:val="eop"/>
          <w:rFonts w:ascii="Book Antiqua" w:hAnsi="Book Antiqua" w:cs="Calibri"/>
          <w:lang w:val="en-US"/>
        </w:rPr>
        <w:t xml:space="preserve">. </w:t>
      </w:r>
      <w:r w:rsidR="003E77AB" w:rsidRPr="001F1399">
        <w:rPr>
          <w:rStyle w:val="eop"/>
          <w:rFonts w:ascii="Book Antiqua" w:hAnsi="Book Antiqua" w:cs="Calibri"/>
          <w:lang w:val="en-US"/>
        </w:rPr>
        <w:t>Exposure to high AGEs during fetal development could lead to inflammatory states at young age such as juvenile diabetes</w:t>
      </w:r>
      <w:r w:rsidR="00B25B54" w:rsidRPr="001F1399">
        <w:rPr>
          <w:rStyle w:val="eop"/>
          <w:rFonts w:ascii="Book Antiqua" w:hAnsi="Book Antiqua" w:cs="Calibri"/>
          <w:lang w:val="en-US"/>
        </w:rPr>
        <w:fldChar w:fldCharType="begin" w:fldLock="1"/>
      </w:r>
      <w:r w:rsidR="00B1214D" w:rsidRPr="001F1399">
        <w:rPr>
          <w:rStyle w:val="eop"/>
          <w:rFonts w:ascii="Book Antiqua" w:hAnsi="Book Antiqua" w:cs="Calibri"/>
          <w:lang w:val="en-US"/>
        </w:rPr>
        <w:instrText>ADDIN CSL_CITATION {"citationItems":[{"id":"ITEM-1","itemData":{"DOI":"10.2337/dc10-1058","ISSN":"0149-5992","PMID":"20628088","author":[{"dropping-particle":"","family":"Mericq","given":"V.","non-dropping-particle":"","parse-names":false,"suffix":""},{"dropping-particle":"","family":"Piccardo","given":"C.","non-dropping-particle":"","parse-names":false,"suffix":""},{"dropping-particle":"","family":"Cai","given":"W.","non-dropping-particle":"","parse-names":false,"suffix":""},{"dropping-particle":"","family":"Chen","given":"X.","non-dropping-particle":"","parse-names":false,"suffix":""},{"dropping-particle":"","family":"Zhu","given":"L.","non-dropping-particle":"","parse-names":false,"suffix":""},{"dropping-particle":"","family":"Striker","given":"G. E.","non-dropping-particle":"","parse-names":false,"suffix":""},{"dropping-particle":"","family":"Vlassara","given":"H.","non-dropping-particle":"","parse-names":false,"suffix":""},{"dropping-particle":"","family":"Uribarri","given":"J.","non-dropping-particle":"","parse-names":false,"suffix":""}],"container-title":"Diabetes Care","id":"ITEM-1","issue":"10","issued":{"date-parts":[["2010","10","1"]]},"page":"2232-2237","title":"Maternally Transmitted and Food-Derived Glycotoxins: A factor preconditioning the young to diabetes?","type":"article-journal","volume":"33"},"uris":["http://www.mendeley.com/documents/?uuid=eb4e1efd-7b04-420d-86a9-d6b3cc40f7bd"]}],"mendeley":{"formattedCitation":"&lt;sup&gt;[137]&lt;/sup&gt;","plainTextFormattedCitation":"[137]","previouslyFormattedCitation":"&lt;sup&gt;[136]&lt;/sup&gt;"},"properties":{"noteIndex":0},"schema":"https://github.com/citation-style-language/schema/raw/master/csl-citation.json"}</w:instrText>
      </w:r>
      <w:r w:rsidR="00B25B54" w:rsidRPr="001F1399">
        <w:rPr>
          <w:rStyle w:val="eop"/>
          <w:rFonts w:ascii="Book Antiqua" w:hAnsi="Book Antiqua" w:cs="Calibri"/>
          <w:lang w:val="en-US"/>
        </w:rPr>
        <w:fldChar w:fldCharType="separate"/>
      </w:r>
      <w:r w:rsidR="00B1214D" w:rsidRPr="001F1399">
        <w:rPr>
          <w:rStyle w:val="eop"/>
          <w:rFonts w:ascii="Book Antiqua" w:hAnsi="Book Antiqua" w:cs="Calibri"/>
          <w:noProof/>
          <w:vertAlign w:val="superscript"/>
          <w:lang w:val="en-US"/>
        </w:rPr>
        <w:t>[137]</w:t>
      </w:r>
      <w:r w:rsidR="00B25B54" w:rsidRPr="001F1399">
        <w:rPr>
          <w:rStyle w:val="eop"/>
          <w:rFonts w:ascii="Book Antiqua" w:hAnsi="Book Antiqua" w:cs="Calibri"/>
          <w:lang w:val="en-US"/>
        </w:rPr>
        <w:fldChar w:fldCharType="end"/>
      </w:r>
      <w:r w:rsidR="003E77AB" w:rsidRPr="001F1399">
        <w:rPr>
          <w:rStyle w:val="eop"/>
          <w:rFonts w:ascii="Book Antiqua" w:hAnsi="Book Antiqua" w:cs="Calibri"/>
          <w:lang w:val="en-US"/>
        </w:rPr>
        <w:t xml:space="preserve">. </w:t>
      </w:r>
      <w:r w:rsidR="002723F7" w:rsidRPr="001F1399">
        <w:rPr>
          <w:rStyle w:val="eop"/>
          <w:rFonts w:ascii="Book Antiqua" w:hAnsi="Book Antiqua" w:cs="Calibri"/>
          <w:lang w:val="en-US"/>
        </w:rPr>
        <w:t xml:space="preserve">In rodents as well as human, consumption of AGEs rich diet (AGE-RD) negatively affects glucose homeostasis and favors the appearance of free radicals. </w:t>
      </w:r>
      <w:r w:rsidR="003F4907" w:rsidRPr="001F1399">
        <w:rPr>
          <w:rFonts w:ascii="Book Antiqua" w:hAnsi="Book Antiqua"/>
          <w:bCs/>
          <w:lang w:val="en-US"/>
        </w:rPr>
        <w:t xml:space="preserve">Csongová </w:t>
      </w:r>
      <w:r w:rsidR="003E77AB" w:rsidRPr="001F1399">
        <w:rPr>
          <w:rStyle w:val="eop"/>
          <w:rFonts w:ascii="Book Antiqua" w:hAnsi="Book Antiqua" w:cs="Calibri"/>
          <w:i/>
          <w:iCs/>
          <w:lang w:val="en-US"/>
        </w:rPr>
        <w:t>et al</w:t>
      </w:r>
      <w:r w:rsidR="003F4907" w:rsidRPr="001F1399">
        <w:rPr>
          <w:rStyle w:val="eop"/>
          <w:rFonts w:ascii="Book Antiqua" w:hAnsi="Book Antiqua" w:cs="Calibri"/>
          <w:lang w:val="en-US"/>
        </w:rPr>
        <w:fldChar w:fldCharType="begin" w:fldLock="1"/>
      </w:r>
      <w:r w:rsidR="00B1214D" w:rsidRPr="001F1399">
        <w:rPr>
          <w:rStyle w:val="eop"/>
          <w:rFonts w:ascii="Book Antiqua" w:hAnsi="Book Antiqua" w:cs="Calibri"/>
          <w:lang w:val="en-US"/>
        </w:rPr>
        <w:instrText>ADDIN CSL_CITATION {"citationItems":[{"id":"ITEM-1","itemData":{"DOI":"10.1039/C8FO00183A","ISSN":"2042-6496","PMID":"29877548","abstract":"A maternal AGE-rich diet during pregnancy affects the early neuromotor development of offspring consuming a standard diet, and the metabolic status of male progeny.","author":[{"dropping-particle":"","family":"Csongová","given":"Melinda","non-dropping-particle":"","parse-names":false,"suffix":""},{"dropping-particle":"","family":"Gurecká","given":"Radana","non-dropping-particle":"","parse-names":false,"suffix":""},{"dropping-particle":"","family":"Koborová","given":"Ivana","non-dropping-particle":"","parse-names":false,"suffix":""},{"dropping-particle":"","family":"Celec","given":"Peter","non-dropping-particle":"","parse-names":false,"suffix":""},{"dropping-particle":"","family":"Domonkos","given":"Emese","non-dropping-particle":"","parse-names":false,"suffix":""},{"dropping-particle":"","family":"Uličná","given":"Oľga","non-dropping-particle":"","parse-names":false,"suffix":""},{"dropping-particle":"","family":"Somoza","given":"Veronika","non-dropping-particle":"","parse-names":false,"suffix":""},{"dropping-particle":"","family":"Šebeková","given":"Katarína","non-dropping-particle":"","parse-names":false,"suffix":""}],"container-title":"Food &amp; Function","id":"ITEM-1","issue":"6","issued":{"date-parts":[["2018"]]},"page":"3432-3446","title":"The effects of a maternal advanced glycation end product-rich diet on somatic features, reflex ontogeny and metabolic parameters of offspring mice","type":"article-journal","volume":"9"},"uris":["http://www.mendeley.com/documents/?uuid=e7b0568d-2910-470c-bc78-00897a0c21e6"]}],"mendeley":{"formattedCitation":"&lt;sup&gt;[138]&lt;/sup&gt;","plainTextFormattedCitation":"[138]","previouslyFormattedCitation":"&lt;sup&gt;[137]&lt;/sup&gt;"},"properties":{"noteIndex":0},"schema":"https://github.com/citation-style-language/schema/raw/master/csl-citation.json"}</w:instrText>
      </w:r>
      <w:r w:rsidR="003F4907" w:rsidRPr="001F1399">
        <w:rPr>
          <w:rStyle w:val="eop"/>
          <w:rFonts w:ascii="Book Antiqua" w:hAnsi="Book Antiqua" w:cs="Calibri"/>
          <w:lang w:val="en-US"/>
        </w:rPr>
        <w:fldChar w:fldCharType="separate"/>
      </w:r>
      <w:r w:rsidR="00B1214D" w:rsidRPr="001F1399">
        <w:rPr>
          <w:rStyle w:val="eop"/>
          <w:rFonts w:ascii="Book Antiqua" w:hAnsi="Book Antiqua" w:cs="Calibri"/>
          <w:noProof/>
          <w:vertAlign w:val="superscript"/>
          <w:lang w:val="en-US"/>
        </w:rPr>
        <w:t>[138]</w:t>
      </w:r>
      <w:r w:rsidR="003F4907" w:rsidRPr="001F1399">
        <w:rPr>
          <w:rStyle w:val="eop"/>
          <w:rFonts w:ascii="Book Antiqua" w:hAnsi="Book Antiqua" w:cs="Calibri"/>
          <w:lang w:val="en-US"/>
        </w:rPr>
        <w:fldChar w:fldCharType="end"/>
      </w:r>
      <w:r w:rsidR="003E77AB" w:rsidRPr="001F1399">
        <w:rPr>
          <w:rStyle w:val="eop"/>
          <w:rFonts w:ascii="Book Antiqua" w:hAnsi="Book Antiqua" w:cs="Calibri"/>
          <w:lang w:val="en-US"/>
        </w:rPr>
        <w:t>,</w:t>
      </w:r>
      <w:r w:rsidR="002723F7" w:rsidRPr="001F1399">
        <w:rPr>
          <w:rStyle w:val="eop"/>
          <w:rFonts w:ascii="Book Antiqua" w:hAnsi="Book Antiqua" w:cs="Calibri"/>
          <w:lang w:val="en-US"/>
        </w:rPr>
        <w:t xml:space="preserve"> recently evidenced that AGE-RD consumption during pregnancy might accelerate the maturation of reflexes in their offspring. Furthermore, they showed that this diet would </w:t>
      </w:r>
      <w:r w:rsidR="002723F7" w:rsidRPr="001F1399">
        <w:rPr>
          <w:rStyle w:val="eop"/>
          <w:rFonts w:ascii="Book Antiqua" w:hAnsi="Book Antiqua" w:cs="Calibri"/>
          <w:lang w:val="en-US"/>
        </w:rPr>
        <w:lastRenderedPageBreak/>
        <w:t>predispose the male progeny to weight gain and affect their glucose metabolism</w:t>
      </w:r>
      <w:r w:rsidR="002723F7" w:rsidRPr="001F1399">
        <w:rPr>
          <w:rStyle w:val="eop"/>
          <w:rFonts w:ascii="Book Antiqua" w:hAnsi="Book Antiqua" w:cs="Calibri"/>
          <w:lang w:val="en-US"/>
        </w:rPr>
        <w:fldChar w:fldCharType="begin" w:fldLock="1"/>
      </w:r>
      <w:r w:rsidR="00B1214D" w:rsidRPr="001F1399">
        <w:rPr>
          <w:rStyle w:val="eop"/>
          <w:rFonts w:ascii="Book Antiqua" w:hAnsi="Book Antiqua" w:cs="Calibri"/>
          <w:lang w:val="en-US"/>
        </w:rPr>
        <w:instrText>ADDIN CSL_CITATION {"citationItems":[{"id":"ITEM-1","itemData":{"DOI":"10.1039/C8FO00183A","ISSN":"2042-6496","PMID":"29877548","abstract":"A maternal AGE-rich diet during pregnancy affects the early neuromotor development of offspring consuming a standard diet, and the metabolic status of male progeny.","author":[{"dropping-particle":"","family":"Csongová","given":"Melinda","non-dropping-particle":"","parse-names":false,"suffix":""},{"dropping-particle":"","family":"Gurecká","given":"Radana","non-dropping-particle":"","parse-names":false,"suffix":""},{"dropping-particle":"","family":"Koborová","given":"Ivana","non-dropping-particle":"","parse-names":false,"suffix":""},{"dropping-particle":"","family":"Celec","given":"Peter","non-dropping-particle":"","parse-names":false,"suffix":""},{"dropping-particle":"","family":"Domonkos","given":"Emese","non-dropping-particle":"","parse-names":false,"suffix":""},{"dropping-particle":"","family":"Uličná","given":"Oľga","non-dropping-particle":"","parse-names":false,"suffix":""},{"dropping-particle":"","family":"Somoza","given":"Veronika","non-dropping-particle":"","parse-names":false,"suffix":""},{"dropping-particle":"","family":"Šebeková","given":"Katarína","non-dropping-particle":"","parse-names":false,"suffix":""}],"container-title":"Food &amp; Function","id":"ITEM-1","issue":"6","issued":{"date-parts":[["2018"]]},"page":"3432-3446","title":"The effects of a maternal advanced glycation end product-rich diet on somatic features, reflex ontogeny and metabolic parameters of offspring mice","type":"article-journal","volume":"9"},"uris":["http://www.mendeley.com/documents/?uuid=e7b0568d-2910-470c-bc78-00897a0c21e6"]}],"mendeley":{"formattedCitation":"&lt;sup&gt;[138]&lt;/sup&gt;","plainTextFormattedCitation":"[138]","previouslyFormattedCitation":"&lt;sup&gt;[137]&lt;/sup&gt;"},"properties":{"noteIndex":0},"schema":"https://github.com/citation-style-language/schema/raw/master/csl-citation.json"}</w:instrText>
      </w:r>
      <w:r w:rsidR="002723F7" w:rsidRPr="001F1399">
        <w:rPr>
          <w:rStyle w:val="eop"/>
          <w:rFonts w:ascii="Book Antiqua" w:hAnsi="Book Antiqua" w:cs="Calibri"/>
          <w:lang w:val="en-US"/>
        </w:rPr>
        <w:fldChar w:fldCharType="separate"/>
      </w:r>
      <w:r w:rsidR="00B1214D" w:rsidRPr="001F1399">
        <w:rPr>
          <w:rStyle w:val="eop"/>
          <w:rFonts w:ascii="Book Antiqua" w:hAnsi="Book Antiqua" w:cs="Calibri"/>
          <w:noProof/>
          <w:vertAlign w:val="superscript"/>
          <w:lang w:val="en-US"/>
        </w:rPr>
        <w:t>[138]</w:t>
      </w:r>
      <w:r w:rsidR="002723F7" w:rsidRPr="001F1399">
        <w:rPr>
          <w:rStyle w:val="eop"/>
          <w:rFonts w:ascii="Book Antiqua" w:hAnsi="Book Antiqua" w:cs="Calibri"/>
          <w:lang w:val="en-US"/>
        </w:rPr>
        <w:fldChar w:fldCharType="end"/>
      </w:r>
      <w:r w:rsidR="002723F7" w:rsidRPr="001F1399">
        <w:rPr>
          <w:rStyle w:val="eop"/>
          <w:rFonts w:ascii="Book Antiqua" w:hAnsi="Book Antiqua" w:cs="Calibri"/>
          <w:lang w:val="en-US"/>
        </w:rPr>
        <w:t>. Unfortunately, the study did not indicate any impact on the digestive tract. Literature describes that endogenously produced AGEs are able to interact with the receptor for advanced glycation end products (RAGE) leading to pro</w:t>
      </w:r>
      <w:r w:rsidR="003E10CF" w:rsidRPr="001F1399">
        <w:rPr>
          <w:rStyle w:val="eop"/>
          <w:rFonts w:ascii="Book Antiqua" w:hAnsi="Book Antiqua" w:cs="Calibri"/>
          <w:lang w:val="en-US"/>
        </w:rPr>
        <w:t>l</w:t>
      </w:r>
      <w:r w:rsidR="002723F7" w:rsidRPr="001F1399">
        <w:rPr>
          <w:rStyle w:val="eop"/>
          <w:rFonts w:ascii="Book Antiqua" w:hAnsi="Book Antiqua" w:cs="Calibri"/>
          <w:lang w:val="en-US"/>
        </w:rPr>
        <w:t>onged activation of nuclear factor kappa B (NF-</w:t>
      </w:r>
      <w:r w:rsidR="002D7306" w:rsidRPr="001F1399">
        <w:rPr>
          <w:rStyle w:val="eop"/>
          <w:rFonts w:ascii="Book Antiqua" w:hAnsi="Book Antiqua" w:cs="Calibri"/>
          <w:lang w:val="en-US"/>
        </w:rPr>
        <w:t>κ</w:t>
      </w:r>
      <w:r w:rsidR="002723F7" w:rsidRPr="001F1399">
        <w:rPr>
          <w:rStyle w:val="eop"/>
          <w:rFonts w:ascii="Book Antiqua" w:hAnsi="Book Antiqua" w:cs="Calibri"/>
          <w:lang w:val="en-US"/>
        </w:rPr>
        <w:t xml:space="preserve">B) </w:t>
      </w:r>
      <w:r w:rsidR="003E10CF" w:rsidRPr="001F1399">
        <w:rPr>
          <w:rStyle w:val="eop"/>
          <w:rFonts w:ascii="Book Antiqua" w:hAnsi="Book Antiqua" w:cs="Calibri"/>
          <w:lang w:val="en-US"/>
        </w:rPr>
        <w:t>which result in the transcription of pro-inflammatory cytokines, including T</w:t>
      </w:r>
      <w:r w:rsidR="001E14D0" w:rsidRPr="001F1399">
        <w:rPr>
          <w:rStyle w:val="eop"/>
          <w:rFonts w:ascii="Book Antiqua" w:hAnsi="Book Antiqua" w:cs="Calibri"/>
          <w:lang w:val="en-US"/>
        </w:rPr>
        <w:t>N</w:t>
      </w:r>
      <w:r w:rsidR="003E10CF" w:rsidRPr="001F1399">
        <w:rPr>
          <w:rStyle w:val="eop"/>
          <w:rFonts w:ascii="Book Antiqua" w:hAnsi="Book Antiqua" w:cs="Calibri"/>
          <w:lang w:val="en-US"/>
        </w:rPr>
        <w:t>F</w:t>
      </w:r>
      <w:r w:rsidR="002D7306" w:rsidRPr="001F1399">
        <w:rPr>
          <w:rStyle w:val="eop"/>
          <w:rFonts w:ascii="Book Antiqua" w:hAnsi="Book Antiqua" w:cs="Calibri"/>
          <w:lang w:val="en-US"/>
        </w:rPr>
        <w:t>α</w:t>
      </w:r>
      <w:r w:rsidR="003E10CF" w:rsidRPr="001F1399">
        <w:rPr>
          <w:rStyle w:val="eop"/>
          <w:rFonts w:ascii="Book Antiqua" w:hAnsi="Book Antiqua" w:cs="Calibri"/>
          <w:lang w:val="en-US"/>
        </w:rPr>
        <w:fldChar w:fldCharType="begin" w:fldLock="1"/>
      </w:r>
      <w:r w:rsidR="00B1214D" w:rsidRPr="001F1399">
        <w:rPr>
          <w:rStyle w:val="eop"/>
          <w:rFonts w:ascii="Book Antiqua" w:hAnsi="Book Antiqua" w:cs="Calibri"/>
          <w:lang w:val="en-US"/>
        </w:rPr>
        <w:instrText>ADDIN CSL_CITATION {"citationItems":[{"id":"ITEM-1","itemData":{"DOI":"10.1016/j.jada.2004.05.214","ISSN":"00028223","PMID":"15281050","author":[{"dropping-particle":"","family":"Goldberg","given":"Teresia","non-dropping-particle":"","parse-names":false,"suffix":""},{"dropping-particle":"","family":"Cai","given":"Weijing","non-dropping-particle":"","parse-names":false,"suffix":""},{"dropping-particle":"","family":"Peppa","given":"Melpomeni","non-dropping-particle":"","parse-names":false,"suffix":""},{"dropping-particle":"","family":"Dardaine","given":"Veronique","non-dropping-particle":"","parse-names":false,"suffix":""},{"dropping-particle":"","family":"Baliga","given":"Bantwal Suresh","non-dropping-particle":"","parse-names":false,"suffix":""},{"dropping-particle":"","family":"Uribarri","given":"Jaime","non-dropping-particle":"","parse-names":false,"suffix":""},{"dropping-particle":"","family":"Vlassara","given":"Helen","non-dropping-particle":"","parse-names":false,"suffix":""}],"container-title":"Journal of the American Dietetic Association","id":"ITEM-1","issue":"8","issued":{"date-parts":[["2004","8"]]},"page":"1287-1291","title":"Advanced glycoxidation end products in commonly consumed foods","type":"article-journal","volume":"104"},"uris":["http://www.mendeley.com/documents/?uuid=385143a2-d3c6-4778-b3c2-8d031d5bf560"]},{"id":"ITEM-2","itemData":{"DOI":"10.1016/S0140-6736(05)17789-7","ISSN":"01406736","PMID":"15664230","author":[{"dropping-particle":"","family":"Nahas","given":"A Meguid","non-dropping-particle":"El","parse-names":false,"suffix":""},{"dropping-particle":"","family":"Bello","given":"Aminu K","non-dropping-particle":"","parse-names":false,"suffix":""}],"container-title":"The Lancet","id":"ITEM-2","issue":"9456","issued":{"date-parts":[["2005","1"]]},"page":"331-340","title":"Chronic kidney disease: the global challenge","type":"article-journal","volume":"365"},"uris":["http://www.mendeley.com/documents/?uuid=70fefb32-8bcc-4918-a4a9-b339bf9ffb3a"]}],"mendeley":{"formattedCitation":"&lt;sup&gt;[139,140]&lt;/sup&gt;","plainTextFormattedCitation":"[139,140]","previouslyFormattedCitation":"&lt;sup&gt;[138,139]&lt;/sup&gt;"},"properties":{"noteIndex":0},"schema":"https://github.com/citation-style-language/schema/raw/master/csl-citation.json"}</w:instrText>
      </w:r>
      <w:r w:rsidR="003E10CF" w:rsidRPr="001F1399">
        <w:rPr>
          <w:rStyle w:val="eop"/>
          <w:rFonts w:ascii="Book Antiqua" w:hAnsi="Book Antiqua" w:cs="Calibri"/>
          <w:lang w:val="en-US"/>
        </w:rPr>
        <w:fldChar w:fldCharType="separate"/>
      </w:r>
      <w:r w:rsidR="00B1214D" w:rsidRPr="001F1399">
        <w:rPr>
          <w:rStyle w:val="eop"/>
          <w:rFonts w:ascii="Book Antiqua" w:hAnsi="Book Antiqua" w:cs="Calibri"/>
          <w:noProof/>
          <w:vertAlign w:val="superscript"/>
          <w:lang w:val="en-US"/>
        </w:rPr>
        <w:t>[139,140]</w:t>
      </w:r>
      <w:r w:rsidR="003E10CF" w:rsidRPr="001F1399">
        <w:rPr>
          <w:rStyle w:val="eop"/>
          <w:rFonts w:ascii="Book Antiqua" w:hAnsi="Book Antiqua" w:cs="Calibri"/>
          <w:lang w:val="en-US"/>
        </w:rPr>
        <w:fldChar w:fldCharType="end"/>
      </w:r>
      <w:r w:rsidR="003E10CF" w:rsidRPr="001F1399">
        <w:rPr>
          <w:rStyle w:val="eop"/>
          <w:rFonts w:ascii="Book Antiqua" w:hAnsi="Book Antiqua" w:cs="Calibri"/>
          <w:lang w:val="en-US"/>
        </w:rPr>
        <w:t>. Then, restricting AGE intake could be beneficial in reducing levels of some inflammatory markers, helping to limit the risks of developing later in life the progression of chronic conditions</w:t>
      </w:r>
      <w:r w:rsidR="00E5767E" w:rsidRPr="001F1399">
        <w:rPr>
          <w:rStyle w:val="eop"/>
          <w:rFonts w:ascii="Book Antiqua" w:hAnsi="Book Antiqua" w:cs="Calibri"/>
          <w:lang w:val="en-US"/>
        </w:rPr>
        <w:fldChar w:fldCharType="begin" w:fldLock="1"/>
      </w:r>
      <w:r w:rsidR="00B1214D" w:rsidRPr="001F1399">
        <w:rPr>
          <w:rStyle w:val="eop"/>
          <w:rFonts w:ascii="Book Antiqua" w:hAnsi="Book Antiqua" w:cs="Calibri"/>
          <w:lang w:val="en-US"/>
        </w:rPr>
        <w:instrText>ADDIN CSL_CITATION {"citationItems":[{"id":"ITEM-1","itemData":{"DOI":"10.1016/S1043-2760(00)00272-1","ISSN":"10432760","PMID":"10878750","author":[{"dropping-particle":"","family":"Moller","given":"David E","non-dropping-particle":"","parse-names":false,"suffix":""}],"container-title":"Trends in Endocrinology &amp; Metabolism","id":"ITEM-1","issue":"6","issued":{"date-parts":[["2000","8"]]},"page":"212-217","title":"Potential Role of TNF-α in the Pathogenesis of Insulin Resistance and Type 2 Diabetes","type":"article-journal","volume":"11"},"uris":["http://www.mendeley.com/documents/?uuid=c28474e7-a8ce-43d2-84b6-7ce43ba81195"]}],"mendeley":{"formattedCitation":"&lt;sup&gt;[141]&lt;/sup&gt;","plainTextFormattedCitation":"[141]","previouslyFormattedCitation":"&lt;sup&gt;[140]&lt;/sup&gt;"},"properties":{"noteIndex":0},"schema":"https://github.com/citation-style-language/schema/raw/master/csl-citation.json"}</w:instrText>
      </w:r>
      <w:r w:rsidR="00E5767E" w:rsidRPr="001F1399">
        <w:rPr>
          <w:rStyle w:val="eop"/>
          <w:rFonts w:ascii="Book Antiqua" w:hAnsi="Book Antiqua" w:cs="Calibri"/>
          <w:lang w:val="en-US"/>
        </w:rPr>
        <w:fldChar w:fldCharType="separate"/>
      </w:r>
      <w:r w:rsidR="00B1214D" w:rsidRPr="001F1399">
        <w:rPr>
          <w:rStyle w:val="eop"/>
          <w:rFonts w:ascii="Book Antiqua" w:hAnsi="Book Antiqua" w:cs="Calibri"/>
          <w:noProof/>
          <w:vertAlign w:val="superscript"/>
          <w:lang w:val="en-US"/>
        </w:rPr>
        <w:t>[141]</w:t>
      </w:r>
      <w:r w:rsidR="00E5767E" w:rsidRPr="001F1399">
        <w:rPr>
          <w:rStyle w:val="eop"/>
          <w:rFonts w:ascii="Book Antiqua" w:hAnsi="Book Antiqua" w:cs="Calibri"/>
          <w:lang w:val="en-US"/>
        </w:rPr>
        <w:fldChar w:fldCharType="end"/>
      </w:r>
      <w:r w:rsidR="003E10CF" w:rsidRPr="001F1399">
        <w:rPr>
          <w:rStyle w:val="eop"/>
          <w:rFonts w:ascii="Book Antiqua" w:hAnsi="Book Antiqua" w:cs="Calibri"/>
          <w:lang w:val="en-US"/>
        </w:rPr>
        <w:t xml:space="preserve">. </w:t>
      </w:r>
      <w:r w:rsidR="001E14D0" w:rsidRPr="001F1399">
        <w:rPr>
          <w:rStyle w:val="eop"/>
          <w:rFonts w:ascii="Book Antiqua" w:hAnsi="Book Antiqua" w:cs="Calibri"/>
          <w:lang w:val="en-US"/>
        </w:rPr>
        <w:t>Two longitudinal studies have shown a relationship between maternal acrylamide exposure and lower birth weight or higher risk of having a small baby for gestational age</w:t>
      </w:r>
      <w:r w:rsidR="001E14D0" w:rsidRPr="001F1399">
        <w:rPr>
          <w:rStyle w:val="eop"/>
          <w:rFonts w:ascii="Book Antiqua" w:hAnsi="Book Antiqua" w:cs="Calibri"/>
          <w:lang w:val="en-US"/>
        </w:rPr>
        <w:fldChar w:fldCharType="begin" w:fldLock="1"/>
      </w:r>
      <w:r w:rsidR="00B1214D" w:rsidRPr="001F1399">
        <w:rPr>
          <w:rStyle w:val="eop"/>
          <w:rFonts w:ascii="Book Antiqua" w:hAnsi="Book Antiqua" w:cs="Calibri"/>
          <w:lang w:val="en-US"/>
        </w:rPr>
        <w:instrText>ADDIN CSL_CITATION {"citationItems":[{"id":"ITEM-1","itemData":{"DOI":"10.1289/ehp.1205396","ISSN":"0091-6765","PMID":"23204292","abstract":"Background: Acrylamide has shown developmental and reproductive toxicity in animals, as well as neurotoxic effects in humans with occupational exposures. Because it is widespread in food and can pass through the human placenta, concerns have been raised about potential developmental effects of dietary exposures in humans. Objectives: We assessed associations of prenatal exposure to dietary acrylamide with small for gestational age (SGA) and birth weight. Methods: This study included 50,651 women in the Norwegian Mother and Child Cohort Study (MoBa). Acrylamide exposure assessment was based on intake estimates obtained from a food frequency questionnaire (FFQ), which were compared with hemoglobin (Hb) adduct measurements reflecting acrylamide exposure in a subset of samples (n = 79). Data on infant birth weight and gestational age were obtained from the Medical Birth Registry of Norway. Multivariable regression was used to estimate associations between prenatal acrylamide and birth outcomes. Results: Acrylamide intake during pregnancy was negatively associated with fetal growth. When women in the highest quartile of acrylamide intake were compared with women in the lowest quartile, the multivariable-adjusted odds ratio (OR) for SGA was 1.11 (95% CI: 1.02, 1.21) and the coefficient for birth weight was -25.7 g (95% CI: -35.9, -15.4). Results were similar after excluding mothers who smoked during pregnancy. Maternal acrylamide- and glycidamide-Hb adduct levels were correlated with estimated dietary acrylamide intakes (Spearman correlations = 0.24; 95% CI: 0.02, 0.44; and 0.48; 95% CI: 0.29, 0.63, respectively). Conclusions: Lowering dietary acrylamide intake during pregnancy may improve fetal growth.","author":[{"dropping-particle":"","family":"Duarte-Salles","given":"Talita","non-dropping-particle":"","parse-names":false,"suffix":""},{"dropping-particle":"","family":"Stedingk","given":"Hans","non-dropping-particle":"von","parse-names":false,"suffix":""},{"dropping-particle":"","family":"Granum","given":"Berit","non-dropping-particle":"","parse-names":false,"suffix":""},{"dropping-particle":"","family":"Gützkow","given":"Kristine B.","non-dropping-particle":"","parse-names":false,"suffix":""},{"dropping-particle":"","family":"Rydberg","given":"Per","non-dropping-particle":"","parse-names":false,"suffix":""},{"dropping-particle":"","family":"Törnqvist","given":"Margareta","non-dropping-particle":"","parse-names":false,"suffix":""},{"dropping-particle":"","family":"Mendez","given":"Michelle A.","non-dropping-particle":"","parse-names":false,"suffix":""},{"dropping-particle":"","family":"Brunborg","given":"Gunnar","non-dropping-particle":"","parse-names":false,"suffix":""},{"dropping-particle":"","family":"Brantsæter","given":"Anne Lise","non-dropping-particle":"","parse-names":false,"suffix":""},{"dropping-particle":"","family":"Meltzer","given":"Helle Margrete","non-dropping-particle":"","parse-names":false,"suffix":""},{"dropping-particle":"","family":"Alexander","given":"Jan","non-dropping-particle":"","parse-names":false,"suffix":""},{"dropping-particle":"","family":"Haugen","given":"Margaretha","non-dropping-particle":"","parse-names":false,"suffix":""}],"container-title":"Environmental Health Perspectives","id":"ITEM-1","issue":"3","issued":{"date-parts":[["2013","3"]]},"page":"374-379","title":"Dietary Acrylamide Intake during Pregnancy and Fetal Growth—Results from the Norwegian Mother and Child Cohort Study (MoBa)","type":"article-journal","volume":"121"},"uris":["http://www.mendeley.com/documents/?uuid=51608be1-b43d-3702-b1d9-c199b064554c"]},{"id":"ITEM-2","itemData":{"DOI":"10.1289/ehp.1205327","ISSN":"0091-6765","PMID":"23092936","abstract":"Background: Acrylamide is a common dietary exposure that crosses the human placenta. It is classified as a probable human carcinogen, and developmental toxicity has been observed in rodents. oBjectives: We examined the associations between prenatal exposure to acrylamide and birth out- comes in a prospective European mother–child study. Methods: Hemoglobin (Hb) adducts of acrylamide and its metabolite glycidamide were measured in cord blood (reflecting cumulated exposure in the last months of pregnancy) from 1,101 singleton pregnant women recruited in Denmark, England, Greece, Norway, and Spain during 2006–2010. Maternal diet was estimated through food-frequency questionnaires. results: Both acrylamide and glycidamide Hb adducts were associated with a statistically significant reduction in birth weight and head circumference. The estimated difference in birth weight for infants in the highest versus lowest quartile of acrylamide Hb adduct levels after adjusting for gestational age and country was –132 g (95% CI: –207, –56); the corresponding difference for head circumference was –0.33 cm (95% CI: –0.61, –0.06). Findings were similar in infants of nonsmokers, were consis- tent across countries, and remained after adjustment for factors associated with reduced birth weight. Maternal consumption of foods rich in acrylamide, such as fried potatoes, was associated with cord blood acrylamide adduct levels and with reduced birth weight. conclusions: Dietary exposure to acrylamide was associated with reduced birth weight and head circumference. Consumption of specific foods during pregnancy was associated with higher acrylamide exposure in utero. If confirmed, these findings suggest that dietary intake of acrylamide should be reduced among pregnant women.","author":[{"dropping-particle":"","family":"Pedersen","given":"Marie","non-dropping-particle":"","parse-names":false,"suffix":""},{"dropping-particle":"","family":"Stedingk","given":"Hans","non-dropping-particle":"von","parse-names":false,"suffix":""},{"dropping-particle":"","family":"Botsivali","given":"Maria","non-dropping-particle":"","parse-names":false,"suffix":""},{"dropping-particle":"","family":"Agramunt","given":"Silvia","non-dropping-particle":"","parse-names":false,"suffix":""},{"dropping-particle":"","family":"Alexander","given":"Jan","non-dropping-particle":"","parse-names":false,"suffix":""},{"dropping-particle":"","family":"Brunborg","given":"Gunnar","non-dropping-particle":"","parse-names":false,"suffix":""},{"dropping-particle":"","family":"Chatzi","given":"Leda","non-dropping-particle":"","parse-names":false,"suffix":""},{"dropping-particle":"","family":"Fleming","given":"Sarah","non-dropping-particle":"","parse-names":false,"suffix":""},{"dropping-particle":"","family":"Fthenou","given":"Eleni","non-dropping-particle":"","parse-names":false,"suffix":""},{"dropping-particle":"","family":"Granum","given":"Berit","non-dropping-particle":"","parse-names":false,"suffix":""},{"dropping-particle":"","family":"Gutzkow","given":"Kristine B","non-dropping-particle":"","parse-names":false,"suffix":""},{"dropping-particle":"","family":"Hardie","given":"Laura J","non-dropping-particle":"","parse-names":false,"suffix":""},{"dropping-particle":"","family":"Knudsen","given":"Lisbeth E","non-dropping-particle":"","parse-names":false,"suffix":""},{"dropping-particle":"","family":"Kyrtopoulos","given":"Soterios A","non-dropping-particle":"","parse-names":false,"suffix":""},{"dropping-particle":"","family":"Mendez","given":"Michelle A","non-dropping-particle":"","parse-names":false,"suffix":""},{"dropping-particle":"","family":"Merlo","given":"Domenico F","non-dropping-particle":"","parse-names":false,"suffix":""},{"dropping-particle":"","family":"Nielsen","given":"Jeanette K.","non-dropping-particle":"","parse-names":false,"suffix":""},{"dropping-particle":"","family":"Rydberg","given":"Per","non-dropping-particle":"","parse-names":false,"suffix":""},{"dropping-particle":"","family":"Segerbäck","given":"Dan","non-dropping-particle":"","parse-names":false,"suffix":""},{"dropping-particle":"","family":"Sunyer","given":"Jordi","non-dropping-particle":"","parse-names":false,"suffix":""},{"dropping-particle":"","family":"Wright","given":"John","non-dropping-particle":"","parse-names":false,"suffix":""},{"dropping-particle":"","family":"Törnqvist","given":"Margareta","non-dropping-particle":"","parse-names":false,"suffix":""},{"dropping-particle":"","family":"Kleinjans","given":"Jos C","non-dropping-particle":"","parse-names":false,"suffix":""},{"dropping-particle":"","family":"Kogevinas","given":"Manolis","non-dropping-particle":"","parse-names":false,"suffix":""}],"container-title":"Environmental Health Perspectives","id":"ITEM-2","issue":"12","issued":{"date-parts":[["2012","12"]]},"page":"1739-1745","title":"Birth Weight, Head Circumference, and Prenatal Exposure to Acrylamide from Maternal Diet: The European Prospective Mother–Child Study (NewGeneris)","type":"article-journal","volume":"120"},"uris":["http://www.mendeley.com/documents/?uuid=0a49eac8-4896-3291-983d-efc79949f882"]}],"mendeley":{"formattedCitation":"&lt;sup&gt;[142,143]&lt;/sup&gt;","plainTextFormattedCitation":"[142,143]","previouslyFormattedCitation":"&lt;sup&gt;[141,142]&lt;/sup&gt;"},"properties":{"noteIndex":0},"schema":"https://github.com/citation-style-language/schema/raw/master/csl-citation.json"}</w:instrText>
      </w:r>
      <w:r w:rsidR="001E14D0" w:rsidRPr="001F1399">
        <w:rPr>
          <w:rStyle w:val="eop"/>
          <w:rFonts w:ascii="Book Antiqua" w:hAnsi="Book Antiqua" w:cs="Calibri"/>
          <w:lang w:val="en-US"/>
        </w:rPr>
        <w:fldChar w:fldCharType="separate"/>
      </w:r>
      <w:r w:rsidR="00B1214D" w:rsidRPr="001F1399">
        <w:rPr>
          <w:rStyle w:val="eop"/>
          <w:rFonts w:ascii="Book Antiqua" w:hAnsi="Book Antiqua" w:cs="Calibri"/>
          <w:noProof/>
          <w:vertAlign w:val="superscript"/>
          <w:lang w:val="en-US"/>
        </w:rPr>
        <w:t>[142,143]</w:t>
      </w:r>
      <w:r w:rsidR="001E14D0" w:rsidRPr="001F1399">
        <w:rPr>
          <w:rStyle w:val="eop"/>
          <w:rFonts w:ascii="Book Antiqua" w:hAnsi="Book Antiqua" w:cs="Calibri"/>
          <w:lang w:val="en-US"/>
        </w:rPr>
        <w:fldChar w:fldCharType="end"/>
      </w:r>
      <w:r w:rsidR="001E14D0" w:rsidRPr="001F1399">
        <w:rPr>
          <w:rStyle w:val="eop"/>
          <w:rFonts w:ascii="Book Antiqua" w:hAnsi="Book Antiqua" w:cs="Calibri"/>
          <w:lang w:val="en-US"/>
        </w:rPr>
        <w:t xml:space="preserve">. </w:t>
      </w:r>
      <w:r w:rsidR="00FB34AC" w:rsidRPr="001F1399">
        <w:rPr>
          <w:rStyle w:val="eop"/>
          <w:rFonts w:ascii="Book Antiqua" w:hAnsi="Book Antiqua" w:cs="Calibri"/>
          <w:lang w:val="en-US"/>
        </w:rPr>
        <w:t>Furthermore, increasing maternal exposure to dietary acrylamide during pregnancy was associated with higher prevalence of children being overweight/obese at 3,</w:t>
      </w:r>
      <w:r w:rsidR="00E81BC5" w:rsidRPr="001F1399">
        <w:rPr>
          <w:rStyle w:val="eop"/>
          <w:rFonts w:ascii="Book Antiqua" w:hAnsi="Book Antiqua" w:cs="Calibri"/>
          <w:lang w:val="en-US"/>
        </w:rPr>
        <w:t xml:space="preserve"> </w:t>
      </w:r>
      <w:r w:rsidR="00FB34AC" w:rsidRPr="001F1399">
        <w:rPr>
          <w:rStyle w:val="eop"/>
          <w:rFonts w:ascii="Book Antiqua" w:hAnsi="Book Antiqua" w:cs="Calibri"/>
          <w:lang w:val="en-US"/>
        </w:rPr>
        <w:t>5 and 8 years of age</w:t>
      </w:r>
      <w:r w:rsidR="003D6287" w:rsidRPr="001F1399">
        <w:rPr>
          <w:rStyle w:val="eop"/>
          <w:rFonts w:ascii="Book Antiqua" w:hAnsi="Book Antiqua" w:cs="Calibri"/>
          <w:lang w:val="en-US"/>
        </w:rPr>
        <w:fldChar w:fldCharType="begin" w:fldLock="1"/>
      </w:r>
      <w:r w:rsidR="00B1214D" w:rsidRPr="001F1399">
        <w:rPr>
          <w:rStyle w:val="eop"/>
          <w:rFonts w:ascii="Book Antiqua" w:hAnsi="Book Antiqua" w:cs="Calibri"/>
          <w:lang w:val="en-US"/>
        </w:rPr>
        <w:instrText>ADDIN CSL_CITATION {"citationItems":[{"id":"ITEM-1","itemData":{"DOI":"10.1016/j.envres.2016.05.019","ISSN":"00139351","PMID":"25460643","author":[{"dropping-particle":"","family":"Kadawathagedara","given":"M.","non-dropping-particle":"","parse-names":false,"suffix":""},{"dropping-particle":"","family":"Tong","given":"A. Chan Hon","non-dropping-particle":"","parse-names":false,"suffix":""},{"dropping-particle":"","family":"Heude","given":"B.","non-dropping-particle":"","parse-names":false,"suffix":""},{"dropping-particle":"","family":"Forhan","given":"A.","non-dropping-particle":"","parse-names":false,"suffix":""},{"dropping-particle":"","family":"Charles","given":"M.-A.","non-dropping-particle":"","parse-names":false,"suffix":""},{"dropping-particle":"","family":"Sirot","given":"V.","non-dropping-particle":"","parse-names":false,"suffix":""},{"dropping-particle":"","family":"Botton","given":"J.","non-dropping-particle":"","parse-names":false,"suffix":""},{"dropping-particle":"","family":"The EDEN mother-child cohort study group","given":"","non-dropping-particle":"","parse-names":false,"suffix":""}],"container-title":"Environmental Research","id":"ITEM-1","issued":{"date-parts":[["2016","8"]]},"page":"189-196","title":"Dietary acrylamide intake during pregnancy and anthropometry at birth in the French EDEN mother-child cohort study","type":"article-journal","volume":"149"},"uris":["http://www.mendeley.com/documents/?uuid=094efbcf-62a3-421e-8db7-1375252c1f93"]}],"mendeley":{"formattedCitation":"&lt;sup&gt;[144]&lt;/sup&gt;","plainTextFormattedCitation":"[144]","previouslyFormattedCitation":"&lt;sup&gt;[143]&lt;/sup&gt;"},"properties":{"noteIndex":0},"schema":"https://github.com/citation-style-language/schema/raw/master/csl-citation.json"}</w:instrText>
      </w:r>
      <w:r w:rsidR="003D6287" w:rsidRPr="001F1399">
        <w:rPr>
          <w:rStyle w:val="eop"/>
          <w:rFonts w:ascii="Book Antiqua" w:hAnsi="Book Antiqua" w:cs="Calibri"/>
          <w:lang w:val="en-US"/>
        </w:rPr>
        <w:fldChar w:fldCharType="separate"/>
      </w:r>
      <w:r w:rsidR="00B1214D" w:rsidRPr="001F1399">
        <w:rPr>
          <w:rStyle w:val="eop"/>
          <w:rFonts w:ascii="Book Antiqua" w:hAnsi="Book Antiqua" w:cs="Calibri"/>
          <w:noProof/>
          <w:vertAlign w:val="superscript"/>
          <w:lang w:val="en-US"/>
        </w:rPr>
        <w:t>[144]</w:t>
      </w:r>
      <w:r w:rsidR="003D6287" w:rsidRPr="001F1399">
        <w:rPr>
          <w:rStyle w:val="eop"/>
          <w:rFonts w:ascii="Book Antiqua" w:hAnsi="Book Antiqua" w:cs="Calibri"/>
          <w:lang w:val="en-US"/>
        </w:rPr>
        <w:fldChar w:fldCharType="end"/>
      </w:r>
      <w:r w:rsidR="003D6287" w:rsidRPr="001F1399">
        <w:rPr>
          <w:rStyle w:val="eop"/>
          <w:rFonts w:ascii="Book Antiqua" w:hAnsi="Book Antiqua" w:cs="Calibri"/>
          <w:lang w:val="en-US"/>
        </w:rPr>
        <w:t xml:space="preserve">. </w:t>
      </w:r>
      <w:r w:rsidR="001E14D0" w:rsidRPr="001F1399">
        <w:rPr>
          <w:rStyle w:val="eop"/>
          <w:rFonts w:ascii="Book Antiqua" w:hAnsi="Book Antiqua" w:cs="Calibri"/>
          <w:lang w:val="en-US"/>
        </w:rPr>
        <w:t>Food acry</w:t>
      </w:r>
      <w:r w:rsidR="00661497" w:rsidRPr="001F1399">
        <w:rPr>
          <w:rStyle w:val="eop"/>
          <w:rFonts w:ascii="Book Antiqua" w:hAnsi="Book Antiqua" w:cs="Calibri"/>
          <w:lang w:val="en-US"/>
        </w:rPr>
        <w:t>l</w:t>
      </w:r>
      <w:r w:rsidR="001E14D0" w:rsidRPr="001F1399">
        <w:rPr>
          <w:rStyle w:val="eop"/>
          <w:rFonts w:ascii="Book Antiqua" w:hAnsi="Book Antiqua" w:cs="Calibri"/>
          <w:lang w:val="en-US"/>
        </w:rPr>
        <w:t xml:space="preserve">amide, largely found in fried potatoes, breakfast cereals, </w:t>
      </w:r>
      <w:r w:rsidR="00661497" w:rsidRPr="001F1399">
        <w:rPr>
          <w:rStyle w:val="eop"/>
          <w:rFonts w:ascii="Book Antiqua" w:hAnsi="Book Antiqua" w:cs="Calibri"/>
          <w:lang w:val="en-US"/>
        </w:rPr>
        <w:t>biscuits and coffee is extensively absorbed from the gastrointestinal tract and after reaching the systemic circulation us rapidly distributed into the tissues. Acrylamide is recognized as a neurotoxicant</w:t>
      </w:r>
      <w:r w:rsidR="00661497" w:rsidRPr="001F1399">
        <w:rPr>
          <w:rStyle w:val="eop"/>
          <w:rFonts w:ascii="Book Antiqua" w:hAnsi="Book Antiqua" w:cs="Calibri"/>
          <w:lang w:val="en-US"/>
        </w:rPr>
        <w:fldChar w:fldCharType="begin" w:fldLock="1"/>
      </w:r>
      <w:r w:rsidR="00B1214D" w:rsidRPr="001F1399">
        <w:rPr>
          <w:rStyle w:val="eop"/>
          <w:rFonts w:ascii="Book Antiqua" w:hAnsi="Book Antiqua" w:cs="Calibri"/>
          <w:lang w:val="en-US"/>
        </w:rPr>
        <w:instrText>ADDIN CSL_CITATION {"citationItems":[{"id":"ITEM-1","itemData":{"DOI":"10.1016/j.ntt.2010.01.010","ISSN":"08920362","PMID":"20117204","author":[{"dropping-particle":"","family":"Ferguson","given":"Sherry A.","non-dropping-particle":"","parse-names":false,"suffix":""},{"dropping-particle":"","family":"Garey","given":"Joan","non-dropping-particle":"","parse-names":false,"suffix":""},{"dropping-particle":"","family":"Smith","given":"Melody E.","non-dropping-particle":"","parse-names":false,"suffix":""},{"dropping-particle":"","family":"Twaddle","given":"Nathan C.","non-dropping-particle":"","parse-names":false,"suffix":""},{"dropping-particle":"","family":"Doerge","given":"Daniel R.","non-dropping-particle":"","parse-names":false,"suffix":""},{"dropping-particle":"","family":"Paule","given":"Merle G.","non-dropping-particle":"","parse-names":false,"suffix":""}],"container-title":"Neurotoxicology and Teratology","id":"ITEM-1","issue":"3","issued":{"date-parts":[["2010","5"]]},"page":"373-382","title":"Preweaning behaviors, developmental landmarks, and acrylamide and glycidamide levels after pre- and postnatal acrylamide treatment in rats","type":"article-journal","volume":"32"},"uris":["http://www.mendeley.com/documents/?uuid=38ecf729-31b7-4fae-ab52-e77e4ca47a36"]}],"mendeley":{"formattedCitation":"&lt;sup&gt;[145]&lt;/sup&gt;","plainTextFormattedCitation":"[145]","previouslyFormattedCitation":"&lt;sup&gt;[144]&lt;/sup&gt;"},"properties":{"noteIndex":0},"schema":"https://github.com/citation-style-language/schema/raw/master/csl-citation.json"}</w:instrText>
      </w:r>
      <w:r w:rsidR="00661497" w:rsidRPr="001F1399">
        <w:rPr>
          <w:rStyle w:val="eop"/>
          <w:rFonts w:ascii="Book Antiqua" w:hAnsi="Book Antiqua" w:cs="Calibri"/>
          <w:lang w:val="en-US"/>
        </w:rPr>
        <w:fldChar w:fldCharType="separate"/>
      </w:r>
      <w:r w:rsidR="00B1214D" w:rsidRPr="001F1399">
        <w:rPr>
          <w:rStyle w:val="eop"/>
          <w:rFonts w:ascii="Book Antiqua" w:hAnsi="Book Antiqua" w:cs="Calibri"/>
          <w:noProof/>
          <w:vertAlign w:val="superscript"/>
          <w:lang w:val="en-US"/>
        </w:rPr>
        <w:t>[145]</w:t>
      </w:r>
      <w:r w:rsidR="00661497" w:rsidRPr="001F1399">
        <w:rPr>
          <w:rStyle w:val="eop"/>
          <w:rFonts w:ascii="Book Antiqua" w:hAnsi="Book Antiqua" w:cs="Calibri"/>
          <w:lang w:val="en-US"/>
        </w:rPr>
        <w:fldChar w:fldCharType="end"/>
      </w:r>
      <w:r w:rsidR="00661497" w:rsidRPr="001F1399">
        <w:rPr>
          <w:rStyle w:val="eop"/>
          <w:rFonts w:ascii="Book Antiqua" w:hAnsi="Book Antiqua" w:cs="Calibri"/>
          <w:lang w:val="en-US"/>
        </w:rPr>
        <w:t xml:space="preserve"> and can exert reproductive and developmental toxicity effects</w:t>
      </w:r>
      <w:r w:rsidR="00BB72E9" w:rsidRPr="001F1399">
        <w:rPr>
          <w:rStyle w:val="eop"/>
          <w:rFonts w:ascii="Book Antiqua" w:hAnsi="Book Antiqua" w:cs="Calibri"/>
          <w:lang w:val="en-US"/>
        </w:rPr>
        <w:fldChar w:fldCharType="begin" w:fldLock="1"/>
      </w:r>
      <w:r w:rsidR="00B1214D" w:rsidRPr="001F1399">
        <w:rPr>
          <w:rStyle w:val="eop"/>
          <w:rFonts w:ascii="Book Antiqua" w:hAnsi="Book Antiqua" w:cs="Calibri"/>
          <w:lang w:val="en-US"/>
        </w:rPr>
        <w:instrText>ADDIN CSL_CITATION {"citationItems":[{"id":"ITEM-1","itemData":{"DOI":"10.1177/0960327116686818","ISSN":"0960-3271","PMID":"28067054","author":[{"dropping-particle":"","family":"Yilmaz","given":"BO","non-dropping-particle":"","parse-names":false,"suffix":""},{"dropping-particle":"","family":"Yildizbayrak","given":"N","non-dropping-particle":"","parse-names":false,"suffix":""},{"dropping-particle":"","family":"Aydin","given":"Y","non-dropping-particle":"","parse-names":false,"suffix":""},{"dropping-particle":"","family":"Erkan","given":"M","non-dropping-particle":"","parse-names":false,"suffix":""}],"container-title":"Human &amp; Experimental Toxicology","id":"ITEM-1","issue":"12","issued":{"date-parts":[["2017","12","8"]]},"page":"1225-1235","title":"Evidence of acrylamide- and glycidamide-induced oxidative stress and apoptosis in Leydig and Sertoli cells","type":"article-journal","volume":"36"},"uris":["http://www.mendeley.com/documents/?uuid=7ecf3dcd-95e8-4a85-9891-1d36ee9ce1d8"]}],"mendeley":{"formattedCitation":"&lt;sup&gt;[146]&lt;/sup&gt;","plainTextFormattedCitation":"[146]","previouslyFormattedCitation":"&lt;sup&gt;[145]&lt;/sup&gt;"},"properties":{"noteIndex":0},"schema":"https://github.com/citation-style-language/schema/raw/master/csl-citation.json"}</w:instrText>
      </w:r>
      <w:r w:rsidR="00BB72E9" w:rsidRPr="001F1399">
        <w:rPr>
          <w:rStyle w:val="eop"/>
          <w:rFonts w:ascii="Book Antiqua" w:hAnsi="Book Antiqua" w:cs="Calibri"/>
          <w:lang w:val="en-US"/>
        </w:rPr>
        <w:fldChar w:fldCharType="separate"/>
      </w:r>
      <w:r w:rsidR="00B1214D" w:rsidRPr="001F1399">
        <w:rPr>
          <w:rStyle w:val="eop"/>
          <w:rFonts w:ascii="Book Antiqua" w:hAnsi="Book Antiqua" w:cs="Calibri"/>
          <w:noProof/>
          <w:vertAlign w:val="superscript"/>
          <w:lang w:val="en-US"/>
        </w:rPr>
        <w:t>[146]</w:t>
      </w:r>
      <w:r w:rsidR="00BB72E9" w:rsidRPr="001F1399">
        <w:rPr>
          <w:rStyle w:val="eop"/>
          <w:rFonts w:ascii="Book Antiqua" w:hAnsi="Book Antiqua" w:cs="Calibri"/>
          <w:lang w:val="en-US"/>
        </w:rPr>
        <w:fldChar w:fldCharType="end"/>
      </w:r>
      <w:r w:rsidR="00BB72E9" w:rsidRPr="001F1399">
        <w:rPr>
          <w:rStyle w:val="eop"/>
          <w:rFonts w:ascii="Book Antiqua" w:hAnsi="Book Antiqua" w:cs="Calibri"/>
          <w:lang w:val="en-US"/>
        </w:rPr>
        <w:t xml:space="preserve">. </w:t>
      </w:r>
      <w:r w:rsidR="000F0EC5" w:rsidRPr="001F1399">
        <w:rPr>
          <w:rStyle w:val="eop"/>
          <w:rFonts w:ascii="Book Antiqua" w:hAnsi="Book Antiqua" w:cs="Calibri"/>
          <w:lang w:val="en-US"/>
        </w:rPr>
        <w:t>This is rather critical since it has been estimated that 10</w:t>
      </w:r>
      <w:r w:rsidR="003F4907" w:rsidRPr="001F1399">
        <w:rPr>
          <w:rStyle w:val="eop"/>
          <w:rFonts w:ascii="Book Antiqua" w:hAnsi="Book Antiqua" w:cs="Calibri"/>
          <w:lang w:val="en-US"/>
        </w:rPr>
        <w:t>%</w:t>
      </w:r>
      <w:r w:rsidR="000F0EC5" w:rsidRPr="001F1399">
        <w:rPr>
          <w:rStyle w:val="eop"/>
          <w:rFonts w:ascii="Book Antiqua" w:hAnsi="Book Antiqua" w:cs="Calibri"/>
          <w:lang w:val="en-US"/>
        </w:rPr>
        <w:t>-50% of acrylamide passes the placental barrier</w:t>
      </w:r>
      <w:r w:rsidR="000F0EC5" w:rsidRPr="001F1399">
        <w:rPr>
          <w:rStyle w:val="eop"/>
          <w:rFonts w:ascii="Book Antiqua" w:hAnsi="Book Antiqua" w:cs="Calibri"/>
          <w:lang w:val="en-US"/>
        </w:rPr>
        <w:fldChar w:fldCharType="begin" w:fldLock="1"/>
      </w:r>
      <w:r w:rsidR="00B1214D" w:rsidRPr="001F1399">
        <w:rPr>
          <w:rStyle w:val="eop"/>
          <w:rFonts w:ascii="Book Antiqua" w:hAnsi="Book Antiqua" w:cs="Calibri"/>
          <w:lang w:val="en-US"/>
        </w:rPr>
        <w:instrText>ADDIN CSL_CITATION {"citationItems":[{"id":"ITEM-1","itemData":{"DOI":"10.1016/j.toxlet.2008.08.006","ISSN":"03784274","PMID":"18790027","author":[{"dropping-particle":"","family":"Annola","given":"K","non-dropping-particle":"","parse-names":false,"suffix":""},{"dropping-particle":"","family":"Karttunen","given":"V","non-dropping-particle":"","parse-names":false,"suffix":""},{"dropping-particle":"","family":"Keskirahkonen","given":"P","non-dropping-particle":"","parse-names":false,"suffix":""},{"dropping-particle":"","family":"Myllnyen","given":"P","non-dropping-particle":"","parse-names":false,"suffix":""},{"dropping-particle":"","family":"Segerback","given":"D","non-dropping-particle":"","parse-names":false,"suffix":""},{"dropping-particle":"","family":"Heinonen","given":"S","non-dropping-particle":"","parse-names":false,"suffix":""},{"dropping-particle":"","family":"Vahakangas","given":"K","non-dropping-particle":"","parse-names":false,"suffix":""}],"container-title":"Toxicology Letters","id":"ITEM-1","issue":"1-3","issued":{"date-parts":[["2008","11","10"]]},"page":"50-56","title":"Transplacental transfer of acrylamide and glycidamide are comparable to that of antipyrine in perfused human placenta","type":"article-journal","volume":"182"},"uris":["http://www.mendeley.com/documents/?uuid=efb93978-9c35-4744-a672-f0f40bbe0b88"]},{"id":"ITEM-2","itemData":{"DOI":"10.1159/000069715","ISSN":"0009-3157","PMID":"12673101","author":[{"dropping-particle":"","family":"Sörgel","given":"Fritz","non-dropping-particle":"","parse-names":false,"suffix":""},{"dropping-particle":"","family":"Weissenbacher","given":"Rainer","non-dropping-particle":"","parse-names":false,"suffix":""},{"dropping-particle":"","family":"Kinzig-Schippers","given":"Martina","non-dropping-particle":"","parse-names":false,"suffix":""},{"dropping-particle":"","family":"Hofmann","given":"Annette","non-dropping-particle":"","parse-names":false,"suffix":""},{"dropping-particle":"","family":"Illauer","given":"Michael","non-dropping-particle":"","parse-names":false,"suffix":""},{"dropping-particle":"","family":"Skott","given":"Andreas","non-dropping-particle":"","parse-names":false,"suffix":""},{"dropping-particle":"","family":"Landersdorfer","given":"Cornelia","non-dropping-particle":"","parse-names":false,"suffix":""}],"container-title":"Chemotherapy","id":"ITEM-2","issue":"6","issued":{"date-parts":[["2002"]]},"page":"267-274","title":"Acrylamide: Increased Concentrations in Homemade Food and First Evidence of Its Variable Absorption from Food, Variable Metabolism and Placental and Breast Milk Transfer in Humans","type":"article-journal","volume":"48"},"uris":["http://www.mendeley.com/documents/?uuid=7403c2c9-6c96-434c-bb39-b7e707458e07"]}],"mendeley":{"formattedCitation":"&lt;sup&gt;[147,148]&lt;/sup&gt;","plainTextFormattedCitation":"[147,148]","previouslyFormattedCitation":"&lt;sup&gt;[146,147]&lt;/sup&gt;"},"properties":{"noteIndex":0},"schema":"https://github.com/citation-style-language/schema/raw/master/csl-citation.json"}</w:instrText>
      </w:r>
      <w:r w:rsidR="000F0EC5" w:rsidRPr="001F1399">
        <w:rPr>
          <w:rStyle w:val="eop"/>
          <w:rFonts w:ascii="Book Antiqua" w:hAnsi="Book Antiqua" w:cs="Calibri"/>
          <w:lang w:val="en-US"/>
        </w:rPr>
        <w:fldChar w:fldCharType="separate"/>
      </w:r>
      <w:r w:rsidR="00B1214D" w:rsidRPr="001F1399">
        <w:rPr>
          <w:rStyle w:val="eop"/>
          <w:rFonts w:ascii="Book Antiqua" w:hAnsi="Book Antiqua" w:cs="Calibri"/>
          <w:noProof/>
          <w:vertAlign w:val="superscript"/>
          <w:lang w:val="en-US"/>
        </w:rPr>
        <w:t>[147,148]</w:t>
      </w:r>
      <w:r w:rsidR="000F0EC5" w:rsidRPr="001F1399">
        <w:rPr>
          <w:rStyle w:val="eop"/>
          <w:rFonts w:ascii="Book Antiqua" w:hAnsi="Book Antiqua" w:cs="Calibri"/>
          <w:lang w:val="en-US"/>
        </w:rPr>
        <w:fldChar w:fldCharType="end"/>
      </w:r>
      <w:r w:rsidR="000F0EC5" w:rsidRPr="001F1399">
        <w:rPr>
          <w:rStyle w:val="eop"/>
          <w:rFonts w:ascii="Book Antiqua" w:hAnsi="Book Antiqua" w:cs="Calibri"/>
          <w:lang w:val="en-US"/>
        </w:rPr>
        <w:t>.</w:t>
      </w:r>
      <w:r w:rsidR="00770ECE" w:rsidRPr="001F1399">
        <w:rPr>
          <w:rStyle w:val="eop"/>
          <w:rFonts w:ascii="Book Antiqua" w:hAnsi="Book Antiqua" w:cs="Calibri"/>
          <w:lang w:val="en-US"/>
        </w:rPr>
        <w:t xml:space="preserve"> Hormonal and endocrine effect of acrylamide is equivocal. Acrylamide modifies thyroid activity since it has been reported that </w:t>
      </w:r>
      <w:r w:rsidR="002C33DF" w:rsidRPr="001F1399">
        <w:rPr>
          <w:rStyle w:val="eop"/>
          <w:rFonts w:ascii="Book Antiqua" w:hAnsi="Book Antiqua" w:cs="Calibri"/>
          <w:lang w:val="en-US"/>
        </w:rPr>
        <w:t>urinary acrylamide metabolites were negatively associated with free thyroxine</w:t>
      </w:r>
      <w:r w:rsidR="002C33DF" w:rsidRPr="001F1399">
        <w:rPr>
          <w:rStyle w:val="eop"/>
          <w:rFonts w:ascii="Book Antiqua" w:hAnsi="Book Antiqua" w:cs="Calibri"/>
          <w:lang w:val="en-US"/>
        </w:rPr>
        <w:fldChar w:fldCharType="begin" w:fldLock="1"/>
      </w:r>
      <w:r w:rsidR="00B1214D" w:rsidRPr="001F1399">
        <w:rPr>
          <w:rStyle w:val="eop"/>
          <w:rFonts w:ascii="Book Antiqua" w:hAnsi="Book Antiqua" w:cs="Calibri"/>
          <w:lang w:val="en-US"/>
        </w:rPr>
        <w:instrText>ADDIN CSL_CITATION {"citationItems":[{"id":"ITEM-1","itemData":{"DOI":"10.1016/j.envres.2014.08.043","ISSN":"00139351","PMID":"25460643","author":[{"dropping-particle":"","family":"Lin","given":"Chien-Yu","non-dropping-particle":"","parse-names":false,"suffix":""},{"dropping-particle":"","family":"Lin","given":"Lian-Yu","non-dropping-particle":"","parse-names":false,"suffix":""},{"dropping-particle":"","family":"Chen","given":"Yu-Chuan","non-dropping-particle":"","parse-names":false,"suffix":""},{"dropping-particle":"","family":"Wen","given":"Li-Li","non-dropping-particle":"","parse-names":false,"suffix":""},{"dropping-particle":"","family":"Chien","given":"Kuo-Liong","non-dropping-particle":"","parse-names":false,"suffix":""},{"dropping-particle":"","family":"Sung","given":"Fung-Chang","non-dropping-particle":"","parse-names":false,"suffix":""},{"dropping-particle":"","family":"Chen","given":"Pau-Chung","non-dropping-particle":"","parse-names":false,"suffix":""},{"dropping-particle":"","family":"Su","given":"Ta-Chen","non-dropping-particle":"","parse-names":false,"suffix":""}],"container-title":"Environmental Research","id":"ITEM-1","issued":{"date-parts":[["2015","1"]]},"page":"246-252","title":"Association between measurements of thyroid function and the acrylamide metabolite N-Acetyl-S-(propionamide)-cysteine in adolescents and young adults","type":"article-journal","volume":"136"},"uris":["http://www.mendeley.com/documents/?uuid=18f45ab1-88ae-4274-bed1-eff6d5380c09"]}],"mendeley":{"formattedCitation":"&lt;sup&gt;[149]&lt;/sup&gt;","plainTextFormattedCitation":"[149]","previouslyFormattedCitation":"&lt;sup&gt;[148]&lt;/sup&gt;"},"properties":{"noteIndex":0},"schema":"https://github.com/citation-style-language/schema/raw/master/csl-citation.json"}</w:instrText>
      </w:r>
      <w:r w:rsidR="002C33DF" w:rsidRPr="001F1399">
        <w:rPr>
          <w:rStyle w:val="eop"/>
          <w:rFonts w:ascii="Book Antiqua" w:hAnsi="Book Antiqua" w:cs="Calibri"/>
          <w:lang w:val="en-US"/>
        </w:rPr>
        <w:fldChar w:fldCharType="separate"/>
      </w:r>
      <w:r w:rsidR="00B1214D" w:rsidRPr="001F1399">
        <w:rPr>
          <w:rStyle w:val="eop"/>
          <w:rFonts w:ascii="Book Antiqua" w:hAnsi="Book Antiqua" w:cs="Calibri"/>
          <w:noProof/>
          <w:vertAlign w:val="superscript"/>
          <w:lang w:val="en-US"/>
        </w:rPr>
        <w:t>[149]</w:t>
      </w:r>
      <w:r w:rsidR="002C33DF" w:rsidRPr="001F1399">
        <w:rPr>
          <w:rStyle w:val="eop"/>
          <w:rFonts w:ascii="Book Antiqua" w:hAnsi="Book Antiqua" w:cs="Calibri"/>
          <w:lang w:val="en-US"/>
        </w:rPr>
        <w:fldChar w:fldCharType="end"/>
      </w:r>
      <w:r w:rsidR="002C33DF" w:rsidRPr="001F1399">
        <w:rPr>
          <w:rStyle w:val="eop"/>
          <w:rFonts w:ascii="Book Antiqua" w:hAnsi="Book Antiqua" w:cs="Calibri"/>
          <w:lang w:val="en-US"/>
        </w:rPr>
        <w:t xml:space="preserve"> in adolescents and young adults. Fetal thyroid function might as well have an impact on fetal growth</w:t>
      </w:r>
      <w:r w:rsidR="004A6407" w:rsidRPr="001F1399">
        <w:rPr>
          <w:rStyle w:val="eop"/>
          <w:rFonts w:ascii="Book Antiqua" w:hAnsi="Book Antiqua" w:cs="Calibri"/>
          <w:lang w:val="en-US"/>
        </w:rPr>
        <w:fldChar w:fldCharType="begin" w:fldLock="1"/>
      </w:r>
      <w:r w:rsidR="00B1214D" w:rsidRPr="001F1399">
        <w:rPr>
          <w:rStyle w:val="eop"/>
          <w:rFonts w:ascii="Book Antiqua" w:hAnsi="Book Antiqua" w:cs="Calibri"/>
          <w:lang w:val="en-US"/>
        </w:rPr>
        <w:instrText>ADDIN CSL_CITATION {"citationItems":[{"id":"ITEM-1","itemData":{"DOI":"10.1210/jc.2010-2814","ISSN":"0021-972X","PMID":"21411545","author":[{"dropping-particle":"","family":"Shields","given":"Beverley M.","non-dropping-particle":"","parse-names":false,"suffix":""},{"dropping-particle":"","family":"Knight","given":"Beatrice A.","non-dropping-particle":"","parse-names":false,"suffix":""},{"dropping-particle":"","family":"Hill","given":"Anita","non-dropping-particle":"","parse-names":false,"suffix":""},{"dropping-particle":"","family":"Hattersley","given":"Andrew T.","non-dropping-particle":"","parse-names":false,"suffix":""},{"dropping-particle":"","family":"Vaidya","given":"Bijay","non-dropping-particle":"","parse-names":false,"suffix":""}],"container-title":"The Journal of Clinical Endocrinology &amp; Metabolism","id":"ITEM-1","issue":"6","issued":{"date-parts":[["2011","6"]]},"page":"E934-E938","title":"Fetal Thyroid Hormone Level at Birth Is Associated with Fetal Growth","type":"article-journal","volume":"96"},"uris":["http://www.mendeley.com/documents/?uuid=c9ad1719-0b46-4b4c-91a3-7da26ff1ce9d"]}],"mendeley":{"formattedCitation":"&lt;sup&gt;[150]&lt;/sup&gt;","plainTextFormattedCitation":"[150]","previouslyFormattedCitation":"&lt;sup&gt;[149]&lt;/sup&gt;"},"properties":{"noteIndex":0},"schema":"https://github.com/citation-style-language/schema/raw/master/csl-citation.json"}</w:instrText>
      </w:r>
      <w:r w:rsidR="004A6407" w:rsidRPr="001F1399">
        <w:rPr>
          <w:rStyle w:val="eop"/>
          <w:rFonts w:ascii="Book Antiqua" w:hAnsi="Book Antiqua" w:cs="Calibri"/>
          <w:lang w:val="en-US"/>
        </w:rPr>
        <w:fldChar w:fldCharType="separate"/>
      </w:r>
      <w:r w:rsidR="00B1214D" w:rsidRPr="001F1399">
        <w:rPr>
          <w:rStyle w:val="eop"/>
          <w:rFonts w:ascii="Book Antiqua" w:hAnsi="Book Antiqua" w:cs="Calibri"/>
          <w:noProof/>
          <w:vertAlign w:val="superscript"/>
          <w:lang w:val="en-US"/>
        </w:rPr>
        <w:t>[150]</w:t>
      </w:r>
      <w:r w:rsidR="004A6407" w:rsidRPr="001F1399">
        <w:rPr>
          <w:rStyle w:val="eop"/>
          <w:rFonts w:ascii="Book Antiqua" w:hAnsi="Book Antiqua" w:cs="Calibri"/>
          <w:lang w:val="en-US"/>
        </w:rPr>
        <w:fldChar w:fldCharType="end"/>
      </w:r>
      <w:r w:rsidR="002C33DF" w:rsidRPr="001F1399">
        <w:rPr>
          <w:rStyle w:val="eop"/>
          <w:rFonts w:ascii="Book Antiqua" w:hAnsi="Book Antiqua" w:cs="Calibri"/>
          <w:lang w:val="en-US"/>
        </w:rPr>
        <w:t xml:space="preserve"> since thyroid hormones are essential for optimal growth</w:t>
      </w:r>
      <w:r w:rsidR="004A6407" w:rsidRPr="001F1399">
        <w:rPr>
          <w:rStyle w:val="eop"/>
          <w:rFonts w:ascii="Book Antiqua" w:hAnsi="Book Antiqua" w:cs="Calibri"/>
          <w:lang w:val="en-US"/>
        </w:rPr>
        <w:t>. This could partly explain growth retardation observed in acrylamide exposed children.</w:t>
      </w:r>
      <w:r w:rsidR="00E00FCF" w:rsidRPr="001F1399">
        <w:rPr>
          <w:rStyle w:val="eop"/>
          <w:rFonts w:ascii="Book Antiqua" w:hAnsi="Book Antiqua" w:cs="Calibri"/>
          <w:bCs/>
          <w:lang w:val="en-US"/>
        </w:rPr>
        <w:t xml:space="preserve"> </w:t>
      </w:r>
      <w:r w:rsidR="003F4907" w:rsidRPr="001F1399">
        <w:rPr>
          <w:rFonts w:ascii="Book Antiqua" w:hAnsi="Book Antiqua"/>
          <w:bCs/>
          <w:lang w:val="en-US"/>
        </w:rPr>
        <w:t>Diamanti-Kandarakis</w:t>
      </w:r>
      <w:r w:rsidR="003F4907" w:rsidRPr="001F1399">
        <w:rPr>
          <w:rFonts w:ascii="Book Antiqua" w:hAnsi="Book Antiqua"/>
          <w:bCs/>
          <w:color w:val="000000"/>
          <w:shd w:val="clear" w:color="auto" w:fill="FFFFFF"/>
          <w:lang w:val="en-US"/>
        </w:rPr>
        <w:t xml:space="preserve"> </w:t>
      </w:r>
      <w:r w:rsidR="00642D13" w:rsidRPr="001F1399">
        <w:rPr>
          <w:rFonts w:ascii="Book Antiqua" w:hAnsi="Book Antiqua"/>
          <w:i/>
          <w:iCs/>
          <w:color w:val="000000"/>
          <w:shd w:val="clear" w:color="auto" w:fill="FFFFFF"/>
          <w:lang w:val="en-US"/>
        </w:rPr>
        <w:t>et al</w:t>
      </w:r>
      <w:r w:rsidR="003F4907" w:rsidRPr="001F1399">
        <w:rPr>
          <w:rFonts w:ascii="Book Antiqua" w:hAnsi="Book Antiqua"/>
          <w:color w:val="000000"/>
          <w:shd w:val="clear" w:color="auto" w:fill="FFFFFF"/>
          <w:lang w:val="en-US"/>
        </w:rPr>
        <w:fldChar w:fldCharType="begin" w:fldLock="1"/>
      </w:r>
      <w:r w:rsidR="00B1214D" w:rsidRPr="001F1399">
        <w:rPr>
          <w:rFonts w:ascii="Book Antiqua" w:hAnsi="Book Antiqua"/>
          <w:color w:val="000000"/>
          <w:shd w:val="clear" w:color="auto" w:fill="FFFFFF"/>
          <w:lang w:val="en-US"/>
        </w:rPr>
        <w:instrText>ADDIN CSL_CITATION {"citationItems":[{"id":"ITEM-1","itemData":{"DOI":"10.1007/s00109-007-0246-6","ISSN":"0946-2716","PMID":"17694292","author":[{"dropping-particle":"","family":"Diamanti-Kandarakis","given":"Evanthia","non-dropping-particle":"","parse-names":false,"suffix":""},{"dropping-particle":"","family":"Piperi","given":"Christina","non-dropping-particle":"","parse-names":false,"suffix":""},{"dropping-particle":"","family":"Korkolopoulou","given":"Penelope","non-dropping-particle":"","parse-names":false,"suffix":""},{"dropping-particle":"","family":"Kandaraki","given":"Eleni","non-dropping-particle":"","parse-names":false,"suffix":""},{"dropping-particle":"","family":"Levidou","given":"Georgia","non-dropping-particle":"","parse-names":false,"suffix":""},{"dropping-particle":"","family":"Papalois","given":"Apostolos","non-dropping-particle":"","parse-names":false,"suffix":""},{"dropping-particle":"","family":"Patsouris","given":"Efstratios","non-dropping-particle":"","parse-names":false,"suffix":""},{"dropping-particle":"","family":"Papavassiliou","given":"Athanasios G.","non-dropping-particle":"","parse-names":false,"suffix":""}],"container-title":"Journal of Molecular Medicine","id":"ITEM-1","issue":"12","issued":{"date-parts":[["2007","12","11"]]},"page":"1413-1420","title":"Accumulation of dietary glycotoxins in the reproductive system of normal female rats","type":"article-journal","volume":"85"},"uris":["http://www.mendeley.com/documents/?uuid=a3d26d4f-cdb7-4dda-acde-7d902baf367b"]}],"mendeley":{"formattedCitation":"&lt;sup&gt;[151]&lt;/sup&gt;","plainTextFormattedCitation":"[151]","previouslyFormattedCitation":"&lt;sup&gt;[150]&lt;/sup&gt;"},"properties":{"noteIndex":0},"schema":"https://github.com/citation-style-language/schema/raw/master/csl-citation.json"}</w:instrText>
      </w:r>
      <w:r w:rsidR="003F4907" w:rsidRPr="001F1399">
        <w:rPr>
          <w:rFonts w:ascii="Book Antiqua" w:hAnsi="Book Antiqua"/>
          <w:color w:val="000000"/>
          <w:shd w:val="clear" w:color="auto" w:fill="FFFFFF"/>
          <w:lang w:val="en-US"/>
        </w:rPr>
        <w:fldChar w:fldCharType="separate"/>
      </w:r>
      <w:r w:rsidR="00B1214D" w:rsidRPr="001F1399">
        <w:rPr>
          <w:rFonts w:ascii="Book Antiqua" w:hAnsi="Book Antiqua"/>
          <w:noProof/>
          <w:color w:val="000000"/>
          <w:shd w:val="clear" w:color="auto" w:fill="FFFFFF"/>
          <w:vertAlign w:val="superscript"/>
          <w:lang w:val="en-US"/>
        </w:rPr>
        <w:t>[151]</w:t>
      </w:r>
      <w:r w:rsidR="003F4907" w:rsidRPr="001F1399">
        <w:rPr>
          <w:rFonts w:ascii="Book Antiqua" w:hAnsi="Book Antiqua"/>
          <w:color w:val="000000"/>
          <w:shd w:val="clear" w:color="auto" w:fill="FFFFFF"/>
          <w:lang w:val="en-US"/>
        </w:rPr>
        <w:fldChar w:fldCharType="end"/>
      </w:r>
      <w:r w:rsidR="00642D13" w:rsidRPr="001F1399">
        <w:rPr>
          <w:rFonts w:ascii="Book Antiqua" w:hAnsi="Book Antiqua"/>
          <w:color w:val="000000"/>
          <w:shd w:val="clear" w:color="auto" w:fill="FFFFFF"/>
          <w:lang w:val="en-US"/>
        </w:rPr>
        <w:t xml:space="preserve"> showed that exposure of dietary AGEs affects metabolic and hormonal functions of female rats. </w:t>
      </w:r>
      <w:r w:rsidR="00DB0AB8" w:rsidRPr="001F1399">
        <w:rPr>
          <w:rFonts w:ascii="Book Antiqua" w:hAnsi="Book Antiqua"/>
          <w:color w:val="000000"/>
          <w:shd w:val="clear" w:color="auto" w:fill="FFFFFF"/>
          <w:lang w:val="en-US"/>
        </w:rPr>
        <w:t xml:space="preserve">Six months exposure to </w:t>
      </w:r>
      <w:r w:rsidR="00642D13" w:rsidRPr="001F1399">
        <w:rPr>
          <w:rFonts w:ascii="Book Antiqua" w:hAnsi="Book Antiqua"/>
          <w:color w:val="000000"/>
          <w:shd w:val="clear" w:color="auto" w:fill="FFFFFF"/>
          <w:lang w:val="en-US"/>
        </w:rPr>
        <w:t>high</w:t>
      </w:r>
      <w:r w:rsidR="00DB0AB8" w:rsidRPr="001F1399">
        <w:rPr>
          <w:rFonts w:ascii="Book Antiqua" w:hAnsi="Book Antiqua"/>
          <w:color w:val="000000"/>
          <w:shd w:val="clear" w:color="auto" w:fill="FFFFFF"/>
          <w:lang w:val="en-US"/>
        </w:rPr>
        <w:t>ly heated rodents chow rich in A</w:t>
      </w:r>
      <w:r w:rsidR="00642D13" w:rsidRPr="001F1399">
        <w:rPr>
          <w:rFonts w:ascii="Book Antiqua" w:hAnsi="Book Antiqua"/>
          <w:color w:val="000000"/>
          <w:shd w:val="clear" w:color="auto" w:fill="FFFFFF"/>
          <w:lang w:val="en-US"/>
        </w:rPr>
        <w:t>GE increased</w:t>
      </w:r>
      <w:r w:rsidR="003F4907" w:rsidRPr="001F1399">
        <w:rPr>
          <w:rFonts w:ascii="Book Antiqua" w:hAnsi="Book Antiqua"/>
          <w:color w:val="000000"/>
          <w:shd w:val="clear" w:color="auto" w:fill="FFFFFF"/>
          <w:lang w:val="en-US"/>
        </w:rPr>
        <w:t>:</w:t>
      </w:r>
      <w:r w:rsidR="00642D13" w:rsidRPr="001F1399">
        <w:rPr>
          <w:rFonts w:ascii="Book Antiqua" w:hAnsi="Book Antiqua"/>
          <w:color w:val="000000"/>
          <w:shd w:val="clear" w:color="auto" w:fill="FFFFFF"/>
          <w:lang w:val="en-US"/>
        </w:rPr>
        <w:t xml:space="preserve"> </w:t>
      </w:r>
      <w:r w:rsidR="003F4907" w:rsidRPr="001F1399">
        <w:rPr>
          <w:rFonts w:ascii="Book Antiqua" w:hAnsi="Book Antiqua"/>
          <w:color w:val="000000"/>
          <w:shd w:val="clear" w:color="auto" w:fill="FFFFFF"/>
          <w:lang w:val="en-US"/>
        </w:rPr>
        <w:t>(1</w:t>
      </w:r>
      <w:r w:rsidR="00DB0AB8" w:rsidRPr="001F1399">
        <w:rPr>
          <w:rFonts w:ascii="Book Antiqua" w:hAnsi="Book Antiqua"/>
          <w:color w:val="000000"/>
          <w:shd w:val="clear" w:color="auto" w:fill="FFFFFF"/>
          <w:lang w:val="en-US"/>
        </w:rPr>
        <w:t xml:space="preserve">) </w:t>
      </w:r>
      <w:r w:rsidR="00642D13" w:rsidRPr="001F1399">
        <w:rPr>
          <w:rFonts w:ascii="Book Antiqua" w:hAnsi="Book Antiqua"/>
          <w:color w:val="000000"/>
          <w:shd w:val="clear" w:color="auto" w:fill="FFFFFF"/>
          <w:lang w:val="en-US"/>
        </w:rPr>
        <w:t>deposition of AGEs</w:t>
      </w:r>
      <w:r w:rsidR="00DB0AB8" w:rsidRPr="001F1399">
        <w:rPr>
          <w:rFonts w:ascii="Book Antiqua" w:hAnsi="Book Antiqua"/>
          <w:color w:val="000000"/>
          <w:shd w:val="clear" w:color="auto" w:fill="FFFFFF"/>
          <w:lang w:val="en-US"/>
        </w:rPr>
        <w:t xml:space="preserve"> in tissues</w:t>
      </w:r>
      <w:r w:rsidR="003F4907" w:rsidRPr="001F1399">
        <w:rPr>
          <w:rFonts w:ascii="Book Antiqua" w:hAnsi="Book Antiqua"/>
          <w:color w:val="000000"/>
          <w:shd w:val="clear" w:color="auto" w:fill="FFFFFF"/>
          <w:lang w:val="en-US"/>
        </w:rPr>
        <w:t>;</w:t>
      </w:r>
      <w:r w:rsidR="00642D13" w:rsidRPr="001F1399">
        <w:rPr>
          <w:rFonts w:ascii="Book Antiqua" w:hAnsi="Book Antiqua"/>
          <w:color w:val="000000"/>
          <w:shd w:val="clear" w:color="auto" w:fill="FFFFFF"/>
          <w:lang w:val="en-US"/>
        </w:rPr>
        <w:t xml:space="preserve"> </w:t>
      </w:r>
      <w:r w:rsidR="003F4907" w:rsidRPr="001F1399">
        <w:rPr>
          <w:rFonts w:ascii="Book Antiqua" w:hAnsi="Book Antiqua"/>
          <w:color w:val="000000"/>
          <w:shd w:val="clear" w:color="auto" w:fill="FFFFFF"/>
          <w:lang w:val="en-US"/>
        </w:rPr>
        <w:t>(3</w:t>
      </w:r>
      <w:r w:rsidR="00DB0AB8" w:rsidRPr="001F1399">
        <w:rPr>
          <w:rFonts w:ascii="Book Antiqua" w:hAnsi="Book Antiqua"/>
          <w:color w:val="000000"/>
          <w:shd w:val="clear" w:color="auto" w:fill="FFFFFF"/>
          <w:lang w:val="en-US"/>
        </w:rPr>
        <w:t xml:space="preserve">) expression of </w:t>
      </w:r>
      <w:r w:rsidR="00642D13" w:rsidRPr="001F1399">
        <w:rPr>
          <w:rFonts w:ascii="Book Antiqua" w:hAnsi="Book Antiqua"/>
          <w:color w:val="000000"/>
          <w:shd w:val="clear" w:color="auto" w:fill="FFFFFF"/>
          <w:lang w:val="en-US"/>
        </w:rPr>
        <w:t>RAGE</w:t>
      </w:r>
      <w:r w:rsidR="003F4907" w:rsidRPr="001F1399">
        <w:rPr>
          <w:rFonts w:ascii="Book Antiqua" w:hAnsi="Book Antiqua"/>
          <w:color w:val="000000"/>
          <w:shd w:val="clear" w:color="auto" w:fill="FFFFFF"/>
          <w:lang w:val="en-US"/>
        </w:rPr>
        <w:t xml:space="preserve">; </w:t>
      </w:r>
      <w:r w:rsidR="00642D13" w:rsidRPr="001F1399">
        <w:rPr>
          <w:rFonts w:ascii="Book Antiqua" w:hAnsi="Book Antiqua"/>
          <w:color w:val="000000"/>
          <w:shd w:val="clear" w:color="auto" w:fill="FFFFFF"/>
          <w:lang w:val="en-US"/>
        </w:rPr>
        <w:t xml:space="preserve">and </w:t>
      </w:r>
      <w:r w:rsidR="003F4907" w:rsidRPr="001F1399">
        <w:rPr>
          <w:rFonts w:ascii="Book Antiqua" w:hAnsi="Book Antiqua"/>
          <w:color w:val="000000"/>
          <w:shd w:val="clear" w:color="auto" w:fill="FFFFFF"/>
          <w:lang w:val="en-US"/>
        </w:rPr>
        <w:t>(3</w:t>
      </w:r>
      <w:r w:rsidR="00DB0AB8" w:rsidRPr="001F1399">
        <w:rPr>
          <w:rFonts w:ascii="Book Antiqua" w:hAnsi="Book Antiqua"/>
          <w:color w:val="000000"/>
          <w:shd w:val="clear" w:color="auto" w:fill="FFFFFF"/>
          <w:lang w:val="en-US"/>
        </w:rPr>
        <w:t xml:space="preserve">) </w:t>
      </w:r>
      <w:r w:rsidR="00642D13" w:rsidRPr="001F1399">
        <w:rPr>
          <w:rFonts w:ascii="Book Antiqua" w:hAnsi="Book Antiqua"/>
          <w:color w:val="000000"/>
          <w:shd w:val="clear" w:color="auto" w:fill="FFFFFF"/>
          <w:lang w:val="en-US"/>
        </w:rPr>
        <w:t>elevated plasma testosterone levels in theca cells of</w:t>
      </w:r>
      <w:r w:rsidR="00DB0AB8" w:rsidRPr="001F1399">
        <w:rPr>
          <w:rFonts w:ascii="Book Antiqua" w:hAnsi="Book Antiqua"/>
          <w:color w:val="000000"/>
          <w:shd w:val="clear" w:color="auto" w:fill="FFFFFF"/>
          <w:lang w:val="en-US"/>
        </w:rPr>
        <w:t xml:space="preserve"> </w:t>
      </w:r>
      <w:r w:rsidR="00642D13" w:rsidRPr="001F1399">
        <w:rPr>
          <w:rFonts w:ascii="Book Antiqua" w:hAnsi="Book Antiqua"/>
          <w:color w:val="000000"/>
          <w:shd w:val="clear" w:color="auto" w:fill="FFFFFF"/>
          <w:lang w:val="en-US"/>
        </w:rPr>
        <w:t>ovaries</w:t>
      </w:r>
      <w:r w:rsidR="00DB0AB8" w:rsidRPr="001F1399">
        <w:rPr>
          <w:rFonts w:ascii="Book Antiqua" w:hAnsi="Book Antiqua"/>
          <w:color w:val="000000"/>
          <w:shd w:val="clear" w:color="auto" w:fill="FFFFFF"/>
          <w:lang w:val="en-US"/>
        </w:rPr>
        <w:t>.</w:t>
      </w:r>
      <w:r w:rsidR="00642D13" w:rsidRPr="001F1399">
        <w:rPr>
          <w:rFonts w:ascii="Book Antiqua" w:hAnsi="Book Antiqua"/>
          <w:color w:val="000000"/>
          <w:shd w:val="clear" w:color="auto" w:fill="FFFFFF"/>
          <w:lang w:val="en-US"/>
        </w:rPr>
        <w:t xml:space="preserve"> </w:t>
      </w:r>
      <w:r w:rsidR="00DB0AB8" w:rsidRPr="001F1399">
        <w:rPr>
          <w:rFonts w:ascii="Book Antiqua" w:hAnsi="Book Antiqua"/>
          <w:color w:val="000000"/>
          <w:shd w:val="clear" w:color="auto" w:fill="FFFFFF"/>
          <w:lang w:val="en-US"/>
        </w:rPr>
        <w:t xml:space="preserve">Furthermore, </w:t>
      </w:r>
      <w:r w:rsidR="00642D13" w:rsidRPr="001F1399">
        <w:rPr>
          <w:rFonts w:ascii="Book Antiqua" w:hAnsi="Book Antiqua"/>
          <w:color w:val="000000"/>
          <w:shd w:val="clear" w:color="auto" w:fill="FFFFFF"/>
          <w:lang w:val="en-US"/>
        </w:rPr>
        <w:t xml:space="preserve">female </w:t>
      </w:r>
      <w:r w:rsidR="00C40773" w:rsidRPr="001F1399">
        <w:rPr>
          <w:rFonts w:ascii="Book Antiqua" w:hAnsi="Book Antiqua"/>
          <w:color w:val="000000"/>
          <w:shd w:val="clear" w:color="auto" w:fill="FFFFFF"/>
          <w:lang w:val="en-US"/>
        </w:rPr>
        <w:t>W</w:t>
      </w:r>
      <w:r w:rsidR="00642D13" w:rsidRPr="001F1399">
        <w:rPr>
          <w:rFonts w:ascii="Book Antiqua" w:hAnsi="Book Antiqua"/>
          <w:color w:val="000000"/>
          <w:shd w:val="clear" w:color="auto" w:fill="FFFFFF"/>
          <w:lang w:val="en-US"/>
        </w:rPr>
        <w:t>istar rats fed high-AGE diet had</w:t>
      </w:r>
      <w:r w:rsidR="00E00FCF" w:rsidRPr="001F1399">
        <w:rPr>
          <w:rFonts w:ascii="Book Antiqua" w:hAnsi="Book Antiqua"/>
          <w:color w:val="000000"/>
          <w:shd w:val="clear" w:color="auto" w:fill="FFFFFF"/>
          <w:lang w:val="en-US"/>
        </w:rPr>
        <w:t xml:space="preserve"> </w:t>
      </w:r>
      <w:r w:rsidR="00642D13" w:rsidRPr="001F1399">
        <w:rPr>
          <w:rFonts w:ascii="Book Antiqua" w:hAnsi="Book Antiqua"/>
          <w:color w:val="000000"/>
          <w:shd w:val="clear" w:color="auto" w:fill="FFFFFF"/>
          <w:lang w:val="en-US"/>
        </w:rPr>
        <w:t>declined levels of estradiol and progesterone. These female sex</w:t>
      </w:r>
      <w:r w:rsidR="00E00FCF" w:rsidRPr="001F1399">
        <w:rPr>
          <w:rFonts w:ascii="Book Antiqua" w:hAnsi="Book Antiqua"/>
          <w:color w:val="000000"/>
          <w:shd w:val="clear" w:color="auto" w:fill="FFFFFF"/>
          <w:lang w:val="en-US"/>
        </w:rPr>
        <w:t xml:space="preserve"> </w:t>
      </w:r>
      <w:r w:rsidR="00642D13" w:rsidRPr="001F1399">
        <w:rPr>
          <w:rFonts w:ascii="Book Antiqua" w:hAnsi="Book Antiqua"/>
          <w:color w:val="000000"/>
          <w:shd w:val="clear" w:color="auto" w:fill="FFFFFF"/>
          <w:lang w:val="en-US"/>
        </w:rPr>
        <w:t>hormones are crucial for implanting the fertilized egg in the uterus,</w:t>
      </w:r>
      <w:r w:rsidR="00E00FCF" w:rsidRPr="001F1399">
        <w:rPr>
          <w:rFonts w:ascii="Book Antiqua" w:hAnsi="Book Antiqua"/>
          <w:color w:val="000000"/>
          <w:shd w:val="clear" w:color="auto" w:fill="FFFFFF"/>
          <w:lang w:val="en-US"/>
        </w:rPr>
        <w:t xml:space="preserve"> </w:t>
      </w:r>
      <w:r w:rsidR="00642D13" w:rsidRPr="001F1399">
        <w:rPr>
          <w:rFonts w:ascii="Book Antiqua" w:hAnsi="Book Antiqua"/>
          <w:color w:val="000000"/>
          <w:shd w:val="clear" w:color="auto" w:fill="FFFFFF"/>
          <w:lang w:val="en-US"/>
        </w:rPr>
        <w:t>maintaining pregnancy and also to regulate the estrous and menstrual</w:t>
      </w:r>
      <w:r w:rsidR="00E00FCF" w:rsidRPr="001F1399">
        <w:rPr>
          <w:rFonts w:ascii="Book Antiqua" w:hAnsi="Book Antiqua"/>
          <w:color w:val="000000"/>
          <w:shd w:val="clear" w:color="auto" w:fill="FFFFFF"/>
          <w:lang w:val="en-US"/>
        </w:rPr>
        <w:t xml:space="preserve"> </w:t>
      </w:r>
      <w:r w:rsidR="00642D13" w:rsidRPr="001F1399">
        <w:rPr>
          <w:rFonts w:ascii="Book Antiqua" w:hAnsi="Book Antiqua"/>
          <w:color w:val="000000"/>
          <w:shd w:val="clear" w:color="auto" w:fill="FFFFFF"/>
          <w:lang w:val="en-US"/>
        </w:rPr>
        <w:t>cycles</w:t>
      </w:r>
      <w:r w:rsidR="00E00FCF" w:rsidRPr="001F1399">
        <w:rPr>
          <w:rFonts w:ascii="Book Antiqua" w:hAnsi="Book Antiqua"/>
          <w:color w:val="000000"/>
          <w:shd w:val="clear" w:color="auto" w:fill="FFFFFF"/>
          <w:lang w:val="en-US"/>
        </w:rPr>
        <w:fldChar w:fldCharType="begin" w:fldLock="1"/>
      </w:r>
      <w:r w:rsidR="00B1214D" w:rsidRPr="001F1399">
        <w:rPr>
          <w:rFonts w:ascii="Book Antiqua" w:hAnsi="Book Antiqua"/>
          <w:color w:val="000000"/>
          <w:shd w:val="clear" w:color="auto" w:fill="FFFFFF"/>
          <w:lang w:val="en-US"/>
        </w:rPr>
        <w:instrText>ADDIN CSL_CITATION {"citationItems":[{"id":"ITEM-1","itemData":{"DOI":"10.1007/s00109-007-0246-6","ISSN":"0946-2716","PMID":"17694292","author":[{"dropping-particle":"","family":"Diamanti-Kandarakis","given":"Evanthia","non-dropping-particle":"","parse-names":false,"suffix":""},{"dropping-particle":"","family":"Piperi","given":"Christina","non-dropping-particle":"","parse-names":false,"suffix":""},{"dropping-particle":"","family":"Korkolopoulou","given":"Penelope","non-dropping-particle":"","parse-names":false,"suffix":""},{"dropping-particle":"","family":"Kandaraki","given":"Eleni","non-dropping-particle":"","parse-names":false,"suffix":""},{"dropping-particle":"","family":"Levidou","given":"Georgia","non-dropping-particle":"","parse-names":false,"suffix":""},{"dropping-particle":"","family":"Papalois","given":"Apostolos","non-dropping-particle":"","parse-names":false,"suffix":""},{"dropping-particle":"","family":"Patsouris","given":"Efstratios","non-dropping-particle":"","parse-names":false,"suffix":""},{"dropping-particle":"","family":"Papavassiliou","given":"Athanasios G.","non-dropping-particle":"","parse-names":false,"suffix":""}],"container-title":"Journal of Molecular Medicine","id":"ITEM-1","issue":"12","issued":{"date-parts":[["2007","12","11"]]},"page":"1413-1420","title":"Accumulation of dietary glycotoxins in the reproductive system of normal female rats","type":"article-journal","volume":"85"},"uris":["http://www.mendeley.com/documents/?uuid=a3d26d4f-cdb7-4dda-acde-7d902baf367b"]}],"mendeley":{"formattedCitation":"&lt;sup&gt;[151]&lt;/sup&gt;","plainTextFormattedCitation":"[151]","previouslyFormattedCitation":"&lt;sup&gt;[150]&lt;/sup&gt;"},"properties":{"noteIndex":0},"schema":"https://github.com/citation-style-language/schema/raw/master/csl-citation.json"}</w:instrText>
      </w:r>
      <w:r w:rsidR="00E00FCF" w:rsidRPr="001F1399">
        <w:rPr>
          <w:rFonts w:ascii="Book Antiqua" w:hAnsi="Book Antiqua"/>
          <w:color w:val="000000"/>
          <w:shd w:val="clear" w:color="auto" w:fill="FFFFFF"/>
          <w:lang w:val="en-US"/>
        </w:rPr>
        <w:fldChar w:fldCharType="separate"/>
      </w:r>
      <w:r w:rsidR="00B1214D" w:rsidRPr="001F1399">
        <w:rPr>
          <w:rFonts w:ascii="Book Antiqua" w:hAnsi="Book Antiqua"/>
          <w:noProof/>
          <w:color w:val="000000"/>
          <w:shd w:val="clear" w:color="auto" w:fill="FFFFFF"/>
          <w:vertAlign w:val="superscript"/>
          <w:lang w:val="en-US"/>
        </w:rPr>
        <w:t>[151]</w:t>
      </w:r>
      <w:r w:rsidR="00E00FCF" w:rsidRPr="001F1399">
        <w:rPr>
          <w:rFonts w:ascii="Book Antiqua" w:hAnsi="Book Antiqua"/>
          <w:color w:val="000000"/>
          <w:shd w:val="clear" w:color="auto" w:fill="FFFFFF"/>
          <w:lang w:val="en-US"/>
        </w:rPr>
        <w:fldChar w:fldCharType="end"/>
      </w:r>
      <w:r w:rsidR="00642D13" w:rsidRPr="001F1399">
        <w:rPr>
          <w:rFonts w:ascii="Book Antiqua" w:hAnsi="Book Antiqua"/>
          <w:color w:val="000000"/>
          <w:shd w:val="clear" w:color="auto" w:fill="FFFFFF"/>
          <w:lang w:val="en-US"/>
        </w:rPr>
        <w:t xml:space="preserve">. </w:t>
      </w:r>
      <w:r w:rsidR="00E00FCF" w:rsidRPr="001F1399">
        <w:rPr>
          <w:rFonts w:ascii="Book Antiqua" w:hAnsi="Book Antiqua"/>
          <w:color w:val="000000"/>
          <w:shd w:val="clear" w:color="auto" w:fill="FFFFFF"/>
          <w:lang w:val="en-US"/>
        </w:rPr>
        <w:t xml:space="preserve">Such effects may then have severe repercussions onto the developing fetus. It has been evidenced that </w:t>
      </w:r>
      <w:r w:rsidR="00642D13" w:rsidRPr="001F1399">
        <w:rPr>
          <w:rFonts w:ascii="Book Antiqua" w:hAnsi="Book Antiqua"/>
          <w:color w:val="000000"/>
          <w:shd w:val="clear" w:color="auto" w:fill="FFFFFF"/>
          <w:lang w:val="en-US"/>
        </w:rPr>
        <w:t xml:space="preserve">peripheral blood </w:t>
      </w:r>
      <w:r w:rsidR="00642D13" w:rsidRPr="001F1399">
        <w:rPr>
          <w:rFonts w:ascii="Book Antiqua" w:hAnsi="Book Antiqua"/>
          <w:color w:val="000000"/>
          <w:shd w:val="clear" w:color="auto" w:fill="FFFFFF"/>
          <w:lang w:val="en-US"/>
        </w:rPr>
        <w:lastRenderedPageBreak/>
        <w:t>mononuclear cells of rats isolated</w:t>
      </w:r>
      <w:r w:rsidR="00E00FCF" w:rsidRPr="001F1399">
        <w:rPr>
          <w:rFonts w:ascii="Book Antiqua" w:hAnsi="Book Antiqua"/>
          <w:color w:val="000000"/>
          <w:shd w:val="clear" w:color="auto" w:fill="FFFFFF"/>
          <w:lang w:val="en-US"/>
        </w:rPr>
        <w:t xml:space="preserve"> </w:t>
      </w:r>
      <w:r w:rsidR="00642D13" w:rsidRPr="001F1399">
        <w:rPr>
          <w:rFonts w:ascii="Book Antiqua" w:hAnsi="Book Antiqua"/>
          <w:color w:val="000000"/>
          <w:shd w:val="clear" w:color="auto" w:fill="FFFFFF"/>
          <w:lang w:val="en-US"/>
        </w:rPr>
        <w:t xml:space="preserve">from high-AGE diet-fed </w:t>
      </w:r>
      <w:r w:rsidR="00E00FCF" w:rsidRPr="001F1399">
        <w:rPr>
          <w:rFonts w:ascii="Book Antiqua" w:hAnsi="Book Antiqua"/>
          <w:color w:val="000000"/>
          <w:shd w:val="clear" w:color="auto" w:fill="FFFFFF"/>
          <w:lang w:val="en-US"/>
        </w:rPr>
        <w:t xml:space="preserve">female </w:t>
      </w:r>
      <w:r w:rsidR="00642D13" w:rsidRPr="001F1399">
        <w:rPr>
          <w:rFonts w:ascii="Book Antiqua" w:hAnsi="Book Antiqua"/>
          <w:color w:val="000000"/>
          <w:shd w:val="clear" w:color="auto" w:fill="FFFFFF"/>
          <w:lang w:val="en-US"/>
        </w:rPr>
        <w:t xml:space="preserve">rats in </w:t>
      </w:r>
      <w:r w:rsidR="00E00FCF" w:rsidRPr="001F1399">
        <w:rPr>
          <w:rFonts w:ascii="Book Antiqua" w:hAnsi="Book Antiqua"/>
          <w:color w:val="000000"/>
          <w:shd w:val="clear" w:color="auto" w:fill="FFFFFF"/>
          <w:lang w:val="en-US"/>
        </w:rPr>
        <w:t>had</w:t>
      </w:r>
      <w:r w:rsidR="00642D13" w:rsidRPr="001F1399">
        <w:rPr>
          <w:rFonts w:ascii="Book Antiqua" w:hAnsi="Book Antiqua"/>
          <w:color w:val="000000"/>
          <w:shd w:val="clear" w:color="auto" w:fill="FFFFFF"/>
          <w:lang w:val="en-US"/>
        </w:rPr>
        <w:t xml:space="preserve"> increased expression of RAGE</w:t>
      </w:r>
      <w:r w:rsidR="00E00FCF" w:rsidRPr="001F1399">
        <w:rPr>
          <w:rFonts w:ascii="Book Antiqua" w:hAnsi="Book Antiqua"/>
          <w:color w:val="000000"/>
          <w:shd w:val="clear" w:color="auto" w:fill="FFFFFF"/>
          <w:lang w:val="en-US"/>
        </w:rPr>
        <w:t>, the AGEs receptor associated with the proinflammatory pathways</w:t>
      </w:r>
      <w:r w:rsidR="00E00FCF" w:rsidRPr="001F1399">
        <w:rPr>
          <w:rFonts w:ascii="Book Antiqua" w:hAnsi="Book Antiqua"/>
          <w:color w:val="000000"/>
          <w:shd w:val="clear" w:color="auto" w:fill="FFFFFF"/>
          <w:lang w:val="en-US"/>
        </w:rPr>
        <w:fldChar w:fldCharType="begin" w:fldLock="1"/>
      </w:r>
      <w:r w:rsidR="00B1214D" w:rsidRPr="001F1399">
        <w:rPr>
          <w:rFonts w:ascii="Book Antiqua" w:hAnsi="Book Antiqua"/>
          <w:color w:val="000000"/>
          <w:shd w:val="clear" w:color="auto" w:fill="FFFFFF"/>
          <w:lang w:val="en-US"/>
        </w:rPr>
        <w:instrText>ADDIN CSL_CITATION {"citationItems":[{"id":"ITEM-1","itemData":{"DOI":"10.1530/JOE-13-0175","ISSN":"0022-0795","PMID":"23823020","abstract":"The levels of advanced glycation end products (AGEs) are increased under conditions of impaired glucose metabolism and/or oxidative stress, promoting insulin resistance and other endocrine abnormalities. AGEs play a major role in the pathogenesis of several diseases such as diabetes, atherosclerosis, polycystic ovary syndrome and Alzheimer's disease, contributing to progressive ageing. Receptor-based clearance of AGEs by the receptor for AGE (RAGE) and/or the macrophage scavenger receptor A (SR-A) is considered as a main factor for the regulation of the concentration of AGEs under these conditions. This study aimed to investigate the expression of RAGE (AGER) and SR-A (MSR1) under high/low-dietary AGE conditions in vivo and their potential contribution to the metabolic and sex hormonal profile of female rats. Female Wistar rats were fed a low-AGE or high-AGE diet for 3 months. Serum samples were collected at baseline and at the completion of the 3-month period for the measurements of metabolic and hormonal parameters. Peripheral blood mononuclear cells (PBMCs) were isolated for the determination of the expression of RAGE and SR-A. The high-AGE diet-fed rats exhibited increased glucose, insulin and testosterone levels as well as decreased oestradiol and progesterone levels compared with the low-AGE diet-fed ones, thus indicating a metabolic and hormonal dysregulation attributed to high-AGE dietary exposure. The expression of RAGE was significantly down-regulated in the PBMCs of the high-AGE diet-fed rats ( P =0.041), and it was correlated negatively with insulin and testosterone levels and positively with progesterone levels. The expression of SR-A was also decreased in the high-AGE diet-fed rats to marginal significance. Decreased monocytic expression of scavenger receptors such as RAGE and SR-A may result in a higher deposition of AGEs in peripheral endocrine tissues, thus promoting endocrine-related abnormalities and diseases.","author":[{"dropping-particle":"","family":"Chatzigeorgiou","given":"Antonios","non-dropping-particle":"","parse-names":false,"suffix":""},{"dropping-particle":"","family":"Kandaraki","given":"Eleni","non-dropping-particle":"","parse-names":false,"suffix":""},{"dropping-particle":"","family":"Piperi","given":"Christina","non-dropping-particle":"","parse-names":false,"suffix":""},{"dropping-particle":"","family":"Livadas","given":"Sarantis","non-dropping-particle":"","parse-names":false,"suffix":""},{"dropping-particle":"","family":"Papavassiliou","given":"Athanasios G","non-dropping-particle":"","parse-names":false,"suffix":""},{"dropping-particle":"","family":"Koutsilieris","given":"Michael","non-dropping-particle":"","parse-names":false,"suffix":""},{"dropping-particle":"","family":"Papalois","given":"Apostolos","non-dropping-particle":"","parse-names":false,"suffix":""},{"dropping-particle":"","family":"Diamanti-Kandarakis","given":"Evanthia","non-dropping-particle":"","parse-names":false,"suffix":""}],"container-title":"Journal of Endocrinology","id":"ITEM-1","issue":"3","issued":{"date-parts":[["2013","9"]]},"page":"331-337","title":"Dietary glycotoxins affect scavenger receptor expression and the hormonal profile of female rats","type":"article-journal","volume":"218"},"uris":["http://www.mendeley.com/documents/?uuid=8977b0c2-ee56-4b9a-971e-e0333b82a1e3"]},{"id":"ITEM-2","itemData":{"DOI":"10.3390/nu8030125","ISSN":"2072-6643","PMID":"26938557","abstract":"Dietary advanced glycation end-products (AGEs) form during heating and processing of food products and are widely prevalent in the modern Western diet. Recent systematic reviews indicate that consumption of dietary AGEs may promote inflammation, oxidative stress and insulin resistance. Experimental evidence indicates that dietary AGEs may also induce renal damage, however, this outcome has not been considered in previous systematic reviews. The -purpose of this review was to examine the effect of consumption of a high AGE diet on biomarkers of chronic disease, including chronic kidney disease (CKD), in human randomized controlled trials (RCTs). Six databases (SCOPUS, CINHAL, EMBASE, Medline, Biological abstracts and Web of Science) were searched for randomised controlled dietary trials that compared high AGE intake to low AGE intake in adults with and without obesity, diabetes or CKD. Twelve dietary AGE interventions were identified with a total of 293 participants. A high AGE diet increased circulating tumour necrosis factor-alpha and AGEs in all populations. A high AGE diet increased 8-isoprostanes in healthy adults, and vascular cell adhesion molecule-1 (VCAM-1) in patients with diabetes. Markers of CKD were not widely assessed. The evidence presented indicates that a high AGE diet may contribute to risk factors associated with chronic disease, such as inflammation and oxidative stress, however, due to a lack of high quality randomised trials, more research is required.","author":[{"dropping-particle":"","family":"Clarke","given":"Rachel","non-dropping-particle":"","parse-names":false,"suffix":""},{"dropping-particle":"","family":"Dordevic","given":"Aimee","non-dropping-particle":"","parse-names":false,"suffix":""},{"dropping-particle":"","family":"Tan","given":"Sih","non-dropping-particle":"","parse-names":false,"suffix":""},{"dropping-particle":"","family":"Ryan","given":"Lisa","non-dropping-particle":"","parse-names":false,"suffix":""},{"dropping-particle":"","family":"Coughlan","given":"Melinda","non-dropping-particle":"","parse-names":false,"suffix":""}],"container-title":"Nutrients","id":"ITEM-2","issue":"3","issued":{"date-parts":[["2016","3","1"]]},"page":"125","title":"Dietary Advanced Glycation End Products and Risk Factors for Chronic Disease: A Systematic Review of Randomised Controlled Trials","type":"article-journal","volume":"8"},"uris":["http://www.mendeley.com/documents/?uuid=774f6ca7-6b5a-4906-af3e-c64844ce91a1"]}],"mendeley":{"formattedCitation":"&lt;sup&gt;[152,153]&lt;/sup&gt;","plainTextFormattedCitation":"[152,153]","previouslyFormattedCitation":"&lt;sup&gt;[151,152]&lt;/sup&gt;"},"properties":{"noteIndex":0},"schema":"https://github.com/citation-style-language/schema/raw/master/csl-citation.json"}</w:instrText>
      </w:r>
      <w:r w:rsidR="00E00FCF" w:rsidRPr="001F1399">
        <w:rPr>
          <w:rFonts w:ascii="Book Antiqua" w:hAnsi="Book Antiqua"/>
          <w:color w:val="000000"/>
          <w:shd w:val="clear" w:color="auto" w:fill="FFFFFF"/>
          <w:lang w:val="en-US"/>
        </w:rPr>
        <w:fldChar w:fldCharType="separate"/>
      </w:r>
      <w:r w:rsidR="00B1214D" w:rsidRPr="001F1399">
        <w:rPr>
          <w:rFonts w:ascii="Book Antiqua" w:hAnsi="Book Antiqua"/>
          <w:noProof/>
          <w:color w:val="000000"/>
          <w:shd w:val="clear" w:color="auto" w:fill="FFFFFF"/>
          <w:vertAlign w:val="superscript"/>
          <w:lang w:val="en-US"/>
        </w:rPr>
        <w:t>[152,153]</w:t>
      </w:r>
      <w:r w:rsidR="00E00FCF" w:rsidRPr="001F1399">
        <w:rPr>
          <w:rFonts w:ascii="Book Antiqua" w:hAnsi="Book Antiqua"/>
          <w:color w:val="000000"/>
          <w:shd w:val="clear" w:color="auto" w:fill="FFFFFF"/>
          <w:lang w:val="en-US"/>
        </w:rPr>
        <w:fldChar w:fldCharType="end"/>
      </w:r>
      <w:r w:rsidR="00E00FCF" w:rsidRPr="001F1399">
        <w:rPr>
          <w:rFonts w:ascii="Book Antiqua" w:hAnsi="Book Antiqua"/>
          <w:color w:val="000000"/>
          <w:shd w:val="clear" w:color="auto" w:fill="FFFFFF"/>
          <w:lang w:val="en-US"/>
        </w:rPr>
        <w:t>. This might be a mechanism also stimulated in the developing child which could contribute to alteration of the programming function.</w:t>
      </w:r>
    </w:p>
    <w:p w14:paraId="3C8C532C" w14:textId="77777777" w:rsidR="002723F7" w:rsidRPr="001F1399" w:rsidRDefault="002723F7" w:rsidP="002974FA">
      <w:pPr>
        <w:pStyle w:val="paragraph"/>
        <w:adjustRightInd w:val="0"/>
        <w:snapToGrid w:val="0"/>
        <w:spacing w:before="0" w:beforeAutospacing="0" w:after="0" w:afterAutospacing="0" w:line="360" w:lineRule="auto"/>
        <w:jc w:val="both"/>
        <w:textAlignment w:val="baseline"/>
        <w:rPr>
          <w:rStyle w:val="eop"/>
          <w:rFonts w:ascii="Book Antiqua" w:hAnsi="Book Antiqua" w:cs="Calibri"/>
          <w:lang w:val="en-US"/>
        </w:rPr>
      </w:pPr>
    </w:p>
    <w:p w14:paraId="28571870" w14:textId="053E4D2D" w:rsidR="00CD4A5A" w:rsidRPr="001F1399" w:rsidRDefault="003F4907" w:rsidP="002974FA">
      <w:pPr>
        <w:pStyle w:val="paragraph"/>
        <w:adjustRightInd w:val="0"/>
        <w:snapToGrid w:val="0"/>
        <w:spacing w:before="0" w:beforeAutospacing="0" w:after="0" w:afterAutospacing="0" w:line="360" w:lineRule="auto"/>
        <w:jc w:val="both"/>
        <w:textAlignment w:val="baseline"/>
        <w:rPr>
          <w:rStyle w:val="eop"/>
          <w:rFonts w:ascii="Book Antiqua" w:hAnsi="Book Antiqua" w:cs="Calibri"/>
          <w:b/>
          <w:iCs/>
          <w:u w:val="single"/>
          <w:lang w:val="en-US"/>
        </w:rPr>
      </w:pPr>
      <w:r w:rsidRPr="001F1399">
        <w:rPr>
          <w:rStyle w:val="normaltextrun"/>
          <w:rFonts w:ascii="Book Antiqua" w:hAnsi="Book Antiqua" w:cs="Calibri"/>
          <w:b/>
          <w:iCs/>
          <w:u w:val="single"/>
          <w:lang w:val="en-US"/>
        </w:rPr>
        <w:t xml:space="preserve">ROLE OF </w:t>
      </w:r>
      <w:r w:rsidRPr="001F1399">
        <w:rPr>
          <w:rStyle w:val="spellingerror"/>
          <w:rFonts w:ascii="Book Antiqua" w:hAnsi="Book Antiqua" w:cs="Calibri"/>
          <w:b/>
          <w:iCs/>
          <w:u w:val="single"/>
          <w:lang w:val="en-US"/>
        </w:rPr>
        <w:t>FOOD</w:t>
      </w:r>
      <w:r w:rsidRPr="001F1399">
        <w:rPr>
          <w:rStyle w:val="normaltextrun"/>
          <w:rFonts w:ascii="Book Antiqua" w:hAnsi="Book Antiqua" w:cs="Calibri"/>
          <w:b/>
          <w:iCs/>
          <w:u w:val="single"/>
          <w:lang w:val="en-US"/>
        </w:rPr>
        <w:t xml:space="preserve"> CONTAMINANTS ON INFANT AND </w:t>
      </w:r>
      <w:r w:rsidRPr="001F1399">
        <w:rPr>
          <w:rStyle w:val="spellingerror"/>
          <w:rFonts w:ascii="Book Antiqua" w:hAnsi="Book Antiqua" w:cs="Calibri"/>
          <w:b/>
          <w:iCs/>
          <w:u w:val="single"/>
          <w:lang w:val="en-US"/>
        </w:rPr>
        <w:t>CHILD</w:t>
      </w:r>
      <w:r w:rsidRPr="001F1399">
        <w:rPr>
          <w:rStyle w:val="eop"/>
          <w:rFonts w:ascii="Book Antiqua" w:hAnsi="Book Antiqua" w:cs="Calibri"/>
          <w:b/>
          <w:iCs/>
          <w:u w:val="single"/>
          <w:lang w:val="en-US"/>
        </w:rPr>
        <w:t xml:space="preserve"> DEVELOPMENT AND MATURATION</w:t>
      </w:r>
    </w:p>
    <w:p w14:paraId="097F31ED" w14:textId="1DE2FA53" w:rsidR="00BA5ABA" w:rsidRPr="001F1399" w:rsidRDefault="00BA5ABA" w:rsidP="002974FA">
      <w:pPr>
        <w:pStyle w:val="paragraph"/>
        <w:adjustRightInd w:val="0"/>
        <w:snapToGrid w:val="0"/>
        <w:spacing w:before="0" w:beforeAutospacing="0" w:after="0" w:afterAutospacing="0" w:line="360" w:lineRule="auto"/>
        <w:jc w:val="both"/>
        <w:textAlignment w:val="baseline"/>
        <w:rPr>
          <w:rFonts w:ascii="Book Antiqua" w:hAnsi="Book Antiqua" w:cstheme="minorHAnsi"/>
          <w:lang w:val="en-US"/>
        </w:rPr>
      </w:pPr>
      <w:r w:rsidRPr="001F1399">
        <w:rPr>
          <w:rFonts w:ascii="Book Antiqua" w:hAnsi="Book Antiqua" w:cstheme="minorHAnsi"/>
          <w:lang w:val="en-US"/>
        </w:rPr>
        <w:t xml:space="preserve">While fetal exposure to food contaminants may strongly condition developmental programming, one cannot exclude the postnatal exposure to these contaminants as an important factor contributing to modification of this programming. Disruption of the developing gut and of the establishing cross communication between the brain and the gut by food contaminants may lead to a reduced capacity to settle local and systemic neuro-immuno-endocrine functions and an increased risk to develop neurological and inflammatory disorders. </w:t>
      </w:r>
      <w:r w:rsidR="006E510E" w:rsidRPr="001F1399">
        <w:rPr>
          <w:rFonts w:ascii="Book Antiqua" w:hAnsi="Book Antiqua" w:cstheme="minorHAnsi"/>
          <w:lang w:val="en-US"/>
        </w:rPr>
        <w:t xml:space="preserve">Indeed, strong or novel evolutionary challenges may be at the origin of disruption of normal signaling pathways explaining the appearance soon or late of these disorders. </w:t>
      </w:r>
      <w:r w:rsidRPr="001F1399">
        <w:rPr>
          <w:rFonts w:ascii="Book Antiqua" w:hAnsi="Book Antiqua" w:cstheme="minorHAnsi"/>
          <w:lang w:val="en-US"/>
        </w:rPr>
        <w:t>However, while more and more studies evidence the consequences of maternal exposure during pregnancy on the fetus and the infant</w:t>
      </w:r>
      <w:r w:rsidR="003D3868" w:rsidRPr="001F1399">
        <w:rPr>
          <w:rFonts w:ascii="Book Antiqua" w:hAnsi="Book Antiqua" w:cstheme="minorHAnsi"/>
          <w:lang w:val="en-US"/>
        </w:rPr>
        <w:t>/</w:t>
      </w:r>
      <w:r w:rsidRPr="001F1399">
        <w:rPr>
          <w:rFonts w:ascii="Book Antiqua" w:hAnsi="Book Antiqua" w:cstheme="minorHAnsi"/>
          <w:lang w:val="en-US"/>
        </w:rPr>
        <w:t>child, very few studies focused on the direct exposure of the baby and the infant to food contaminants.</w:t>
      </w:r>
      <w:r w:rsidR="00140762" w:rsidRPr="001F1399">
        <w:rPr>
          <w:rFonts w:ascii="Book Antiqua" w:hAnsi="Book Antiqua" w:cstheme="minorHAnsi"/>
          <w:lang w:val="en-US"/>
        </w:rPr>
        <w:t xml:space="preserve"> This will be important to figure out all these effects since infants and children are very vulnerable to food contaminants since they consume high amounts of food in comparison with their weight, have a higher metabolic rate and thus get a higher exposure to them by contrast to adults.</w:t>
      </w:r>
      <w:r w:rsidRPr="001F1399">
        <w:rPr>
          <w:rFonts w:ascii="Book Antiqua" w:hAnsi="Book Antiqua" w:cstheme="minorHAnsi"/>
          <w:lang w:val="en-US"/>
        </w:rPr>
        <w:t xml:space="preserve"> In this part of the review, we will summarize the actual state of the art</w:t>
      </w:r>
      <w:r w:rsidR="00BE6713" w:rsidRPr="001F1399">
        <w:rPr>
          <w:rFonts w:ascii="Book Antiqua" w:hAnsi="Book Antiqua" w:cstheme="minorHAnsi"/>
          <w:lang w:val="en-US"/>
        </w:rPr>
        <w:t xml:space="preserve">, </w:t>
      </w:r>
      <w:r w:rsidR="002A6752" w:rsidRPr="001F1399">
        <w:rPr>
          <w:rFonts w:ascii="Book Antiqua" w:hAnsi="Book Antiqua" w:cstheme="minorHAnsi"/>
          <w:lang w:val="en-US"/>
        </w:rPr>
        <w:t>considering</w:t>
      </w:r>
      <w:r w:rsidR="003D3868" w:rsidRPr="001F1399">
        <w:rPr>
          <w:rFonts w:ascii="Book Antiqua" w:hAnsi="Book Antiqua" w:cstheme="minorHAnsi"/>
          <w:lang w:val="en-US"/>
        </w:rPr>
        <w:t xml:space="preserve"> that most of the below cited studies will often be related to gut microbiota settlement but there are very few works related to neurotoxicity of food contaminants on juvenile individuals.</w:t>
      </w:r>
    </w:p>
    <w:p w14:paraId="5A180422" w14:textId="77777777" w:rsidR="003E6F2D" w:rsidRPr="001F1399" w:rsidRDefault="003E6F2D" w:rsidP="002974FA">
      <w:pPr>
        <w:pStyle w:val="paragraph"/>
        <w:adjustRightInd w:val="0"/>
        <w:snapToGrid w:val="0"/>
        <w:spacing w:before="0" w:beforeAutospacing="0" w:after="0" w:afterAutospacing="0" w:line="360" w:lineRule="auto"/>
        <w:jc w:val="both"/>
        <w:textAlignment w:val="baseline"/>
        <w:rPr>
          <w:rStyle w:val="normaltextrun"/>
          <w:rFonts w:ascii="Book Antiqua" w:hAnsi="Book Antiqua" w:cs="Calibri"/>
          <w:bCs/>
          <w:i/>
          <w:color w:val="7030A0"/>
          <w:lang w:val="en-US"/>
        </w:rPr>
      </w:pPr>
    </w:p>
    <w:p w14:paraId="05D8458A" w14:textId="61CAB903" w:rsidR="004F05A9" w:rsidRPr="001F1399" w:rsidRDefault="003E6F2D" w:rsidP="002974FA">
      <w:pPr>
        <w:pStyle w:val="paragraph"/>
        <w:adjustRightInd w:val="0"/>
        <w:snapToGrid w:val="0"/>
        <w:spacing w:before="0" w:beforeAutospacing="0" w:after="0" w:afterAutospacing="0" w:line="360" w:lineRule="auto"/>
        <w:jc w:val="both"/>
        <w:textAlignment w:val="baseline"/>
        <w:rPr>
          <w:rFonts w:ascii="Book Antiqua" w:hAnsi="Book Antiqua" w:cs="Segoe UI"/>
          <w:b/>
          <w:i/>
          <w:lang w:val="en-US"/>
        </w:rPr>
      </w:pPr>
      <w:r w:rsidRPr="001F1399">
        <w:rPr>
          <w:rStyle w:val="normaltextrun"/>
          <w:rFonts w:ascii="Book Antiqua" w:hAnsi="Book Antiqua" w:cs="Calibri"/>
          <w:b/>
          <w:i/>
          <w:lang w:val="en-US"/>
        </w:rPr>
        <w:t xml:space="preserve">Postnatal exposure </w:t>
      </w:r>
      <w:r w:rsidR="0056731F" w:rsidRPr="001F1399">
        <w:rPr>
          <w:rStyle w:val="normaltextrun"/>
          <w:rFonts w:ascii="Book Antiqua" w:hAnsi="Book Antiqua" w:cs="Calibri"/>
          <w:b/>
          <w:i/>
          <w:lang w:val="en-US"/>
        </w:rPr>
        <w:t xml:space="preserve">to </w:t>
      </w:r>
      <w:r w:rsidRPr="001F1399">
        <w:rPr>
          <w:rStyle w:val="normaltextrun"/>
          <w:rFonts w:ascii="Book Antiqua" w:hAnsi="Book Antiqua" w:cs="Calibri"/>
          <w:b/>
          <w:i/>
          <w:lang w:val="en-US"/>
        </w:rPr>
        <w:t>antibiotics</w:t>
      </w:r>
    </w:p>
    <w:p w14:paraId="02B10BBE" w14:textId="6C128096" w:rsidR="00051496" w:rsidRPr="001F1399" w:rsidRDefault="00835575" w:rsidP="002974FA">
      <w:pPr>
        <w:pStyle w:val="paragraph"/>
        <w:adjustRightInd w:val="0"/>
        <w:snapToGrid w:val="0"/>
        <w:spacing w:before="0" w:beforeAutospacing="0" w:after="0" w:afterAutospacing="0" w:line="360" w:lineRule="auto"/>
        <w:jc w:val="both"/>
        <w:textAlignment w:val="baseline"/>
        <w:rPr>
          <w:rFonts w:ascii="Book Antiqua" w:hAnsi="Book Antiqua" w:cs="Segoe UI"/>
          <w:lang w:val="en-US"/>
        </w:rPr>
      </w:pPr>
      <w:r w:rsidRPr="001F1399">
        <w:rPr>
          <w:rFonts w:ascii="Book Antiqua" w:hAnsi="Book Antiqua" w:cs="Segoe UI"/>
          <w:lang w:val="en-US"/>
        </w:rPr>
        <w:t>Pharmaceutical products among which laxatives</w:t>
      </w:r>
      <w:r w:rsidRPr="001F1399">
        <w:rPr>
          <w:rFonts w:ascii="Book Antiqua" w:hAnsi="Book Antiqua" w:cs="Segoe UI"/>
          <w:lang w:val="en-US"/>
        </w:rPr>
        <w:fldChar w:fldCharType="begin" w:fldLock="1"/>
      </w:r>
      <w:r w:rsidR="00B1214D" w:rsidRPr="001F1399">
        <w:rPr>
          <w:rFonts w:ascii="Book Antiqua" w:hAnsi="Book Antiqua" w:cs="Segoe UI"/>
          <w:lang w:val="en-US"/>
        </w:rPr>
        <w:instrText>ADDIN CSL_CITATION {"citationItems":[{"id":"ITEM-1","itemData":{"DOI":"10.1126/science.aad3503","ISSN":"0036-8075","PMID":"27126039","author":[{"dropping-particle":"","family":"Falony","given":"Gwen","non-dropping-particle":"","parse-names":false,"suffix":""},{"dropping-particle":"","family":"Joossens","given":"Marie","non-dropping-particle":"","parse-names":false,"suffix":""},{"dropping-particle":"","family":"Vieira-Silva","given":"Sara","non-dropping-particle":"","parse-names":false,"suffix":""},{"dropping-particle":"","family":"Wang","given":"Jun","non-dropping-particle":"","parse-names":false,"suffix":""},{"dropping-particle":"","family":"Darzi","given":"Youssef","non-dropping-particle":"","parse-names":false,"suffix":""},{"dropping-particle":"","family":"Faust","given":"Karoline","non-dropping-particle":"","parse-names":false,"suffix":""},{"dropping-particle":"","family":"Kurilshikov","given":"Alexander","non-dropping-particle":"","parse-names":false,"suffix":""},{"dropping-particle":"","family":"Bonder","given":"Marc Jan","non-dropping-particle":"","parse-names":false,"suffix":""},{"dropping-particle":"","family":"Valles-Colomer","given":"Mireia","non-dropping-particle":"","parse-names":false,"suffix":""},{"dropping-particle":"","family":"Vandeputte","given":"Doris","non-dropping-particle":"","parse-names":false,"suffix":""},{"dropping-particle":"","family":"Tito","given":"Raul Y.","non-dropping-particle":"","parse-names":false,"suffix":""},{"dropping-particle":"","family":"Chaffron","given":"Samuel","non-dropping-particle":"","parse-names":false,"suffix":""},{"dropping-particle":"","family":"Rymenans","given":"Leen","non-dropping-particle":"","parse-names":false,"suffix":""},{"dropping-particle":"","family":"Verspecht","given":"Chloë","non-dropping-particle":"","parse-names":false,"suffix":""},{"dropping-particle":"","family":"Sutter","given":"Lise","non-dropping-particle":"De","parse-names":false,"suffix":""},{"dropping-particle":"","family":"Lima-Mendez","given":"Gipsi","non-dropping-particle":"","parse-names":false,"suffix":""},{"dropping-particle":"","family":"D’hoe","given":"Kevin","non-dropping-particle":"","parse-names":false,"suffix":""},{"dropping-particle":"","family":"Jonckheere","given":"Karl","non-dropping-particle":"","parse-names":false,"suffix":""},{"dropping-particle":"","family":"Homola","given":"Daniel","non-dropping-particle":"","parse-names":false,"suffix":""},{"dropping-particle":"","family":"Garcia","given":"Roberto","non-dropping-particle":"","parse-names":false,"suffix":""},{"dropping-particle":"","family":"Tigchelaar","given":"Ettje F.","non-dropping-particle":"","parse-names":false,"suffix":""},{"dropping-particle":"","family":"Eeckhaudt","given":"Linda","non-dropping-particle":"","parse-names":false,"suffix":""},{"dropping-particle":"","family":"Fu","given":"Jingyuan","non-dropping-particle":"","parse-names":false,"suffix":""},{"dropping-particle":"","family":"Henckaerts","given":"Liesbet","non-dropping-particle":"","parse-names":false,"suffix":""},{"dropping-particle":"","family":"Zhernakova","given":"Alexandra","non-dropping-particle":"","parse-names":false,"suffix":""},{"dropping-particle":"","family":"Wijmenga","given":"Cisca","non-dropping-particle":"","parse-names":false,"suffix":""},{"dropping-particle":"","family":"Raes","given":"Jeroen","non-dropping-particle":"","parse-names":false,"suffix":""}],"container-title":"Science","id":"ITEM-1","issue":"6285","issued":{"date-parts":[["2016","4","29"]]},"page":"560-564","title":"Population-level analysis of gut microbiome variation","type":"article-journal","volume":"352"},"uris":["http://www.mendeley.com/documents/?uuid=f1ac1b64-82ed-482a-bc48-d6c587e51688"]}],"mendeley":{"formattedCitation":"&lt;sup&gt;[154]&lt;/sup&gt;","plainTextFormattedCitation":"[154]","previouslyFormattedCitation":"&lt;sup&gt;[153]&lt;/sup&gt;"},"properties":{"noteIndex":0},"schema":"https://github.com/citation-style-language/schema/raw/master/csl-citation.json"}</w:instrText>
      </w:r>
      <w:r w:rsidRPr="001F1399">
        <w:rPr>
          <w:rFonts w:ascii="Book Antiqua" w:hAnsi="Book Antiqua" w:cs="Segoe UI"/>
          <w:lang w:val="en-US"/>
        </w:rPr>
        <w:fldChar w:fldCharType="separate"/>
      </w:r>
      <w:r w:rsidR="00B1214D" w:rsidRPr="001F1399">
        <w:rPr>
          <w:rFonts w:ascii="Book Antiqua" w:hAnsi="Book Antiqua" w:cs="Segoe UI"/>
          <w:noProof/>
          <w:vertAlign w:val="superscript"/>
          <w:lang w:val="en-US"/>
        </w:rPr>
        <w:t>[154]</w:t>
      </w:r>
      <w:r w:rsidRPr="001F1399">
        <w:rPr>
          <w:rFonts w:ascii="Book Antiqua" w:hAnsi="Book Antiqua" w:cs="Segoe UI"/>
          <w:lang w:val="en-US"/>
        </w:rPr>
        <w:fldChar w:fldCharType="end"/>
      </w:r>
      <w:r w:rsidRPr="001F1399">
        <w:rPr>
          <w:rFonts w:ascii="Book Antiqua" w:hAnsi="Book Antiqua" w:cs="Segoe UI"/>
          <w:lang w:val="en-US"/>
        </w:rPr>
        <w:t xml:space="preserve"> or antibiotics</w:t>
      </w:r>
      <w:r w:rsidRPr="001F1399">
        <w:rPr>
          <w:rFonts w:ascii="Book Antiqua" w:hAnsi="Book Antiqua" w:cs="Segoe UI"/>
          <w:lang w:val="en-US"/>
        </w:rPr>
        <w:fldChar w:fldCharType="begin" w:fldLock="1"/>
      </w:r>
      <w:r w:rsidR="00B1214D" w:rsidRPr="001F1399">
        <w:rPr>
          <w:rFonts w:ascii="Book Antiqua" w:hAnsi="Book Antiqua" w:cs="Segoe UI"/>
          <w:lang w:val="en-US"/>
        </w:rPr>
        <w:instrText>ADDIN CSL_CITATION {"citationItems":[{"id":"ITEM-1","itemData":{"DOI":"10.1099/mic.0.040618-0","ISSN":"1350-0872","PMID":"20705661","author":[{"dropping-particle":"","family":"Jernberg","given":"C.","non-dropping-particle":"","parse-names":false,"suffix":""},{"dropping-particle":"","family":"Lofmark","given":"S.","non-dropping-particle":"","parse-names":false,"suffix":""},{"dropping-particle":"","family":"Edlund","given":"C.","non-dropping-particle":"","parse-names":false,"suffix":""},{"dropping-particle":"","family":"Jansson","given":"J. K.","non-dropping-particle":"","parse-names":false,"suffix":""}],"container-title":"Microbiology","id":"ITEM-1","issue":"11","issued":{"date-parts":[["2010","11","1"]]},"page":"3216-3223","title":"Long-term impacts of antibiotic exposure on the human intestinal microbiota","type":"article-journal","volume":"156"},"uris":["http://www.mendeley.com/documents/?uuid=c39d5a0c-b432-4362-b517-1a1de24ce035"]}],"mendeley":{"formattedCitation":"&lt;sup&gt;[155]&lt;/sup&gt;","plainTextFormattedCitation":"[155]","previouslyFormattedCitation":"&lt;sup&gt;[154]&lt;/sup&gt;"},"properties":{"noteIndex":0},"schema":"https://github.com/citation-style-language/schema/raw/master/csl-citation.json"}</w:instrText>
      </w:r>
      <w:r w:rsidRPr="001F1399">
        <w:rPr>
          <w:rFonts w:ascii="Book Antiqua" w:hAnsi="Book Antiqua" w:cs="Segoe UI"/>
          <w:lang w:val="en-US"/>
        </w:rPr>
        <w:fldChar w:fldCharType="separate"/>
      </w:r>
      <w:r w:rsidR="00B1214D" w:rsidRPr="001F1399">
        <w:rPr>
          <w:rFonts w:ascii="Book Antiqua" w:hAnsi="Book Antiqua" w:cs="Segoe UI"/>
          <w:noProof/>
          <w:vertAlign w:val="superscript"/>
          <w:lang w:val="en-US"/>
        </w:rPr>
        <w:t>[155]</w:t>
      </w:r>
      <w:r w:rsidRPr="001F1399">
        <w:rPr>
          <w:rFonts w:ascii="Book Antiqua" w:hAnsi="Book Antiqua" w:cs="Segoe UI"/>
          <w:lang w:val="en-US"/>
        </w:rPr>
        <w:fldChar w:fldCharType="end"/>
      </w:r>
      <w:r w:rsidRPr="001F1399">
        <w:rPr>
          <w:rFonts w:ascii="Book Antiqua" w:hAnsi="Book Antiqua" w:cs="Segoe UI"/>
          <w:lang w:val="en-US"/>
        </w:rPr>
        <w:t xml:space="preserve"> have a major influence on the gut microbiota activity and may have repercussions on the settlement of local and systemic interactions with the neuro-immuno-endocrine functions. </w:t>
      </w:r>
      <w:r w:rsidR="00E55794" w:rsidRPr="001F1399">
        <w:rPr>
          <w:rFonts w:ascii="Book Antiqua" w:hAnsi="Book Antiqua" w:cs="Segoe UI"/>
          <w:lang w:val="en-US"/>
        </w:rPr>
        <w:t xml:space="preserve">Disrupting the overall </w:t>
      </w:r>
      <w:r w:rsidR="00D47A40" w:rsidRPr="001F1399">
        <w:rPr>
          <w:rFonts w:ascii="Book Antiqua" w:hAnsi="Book Antiqua" w:cs="Segoe UI"/>
          <w:lang w:val="en-US"/>
        </w:rPr>
        <w:t>eubiosis</w:t>
      </w:r>
      <w:r w:rsidR="00E55794" w:rsidRPr="001F1399">
        <w:rPr>
          <w:rFonts w:ascii="Book Antiqua" w:hAnsi="Book Antiqua" w:cs="Segoe UI"/>
          <w:lang w:val="en-US"/>
        </w:rPr>
        <w:t xml:space="preserve"> </w:t>
      </w:r>
      <w:r w:rsidR="00D47A40" w:rsidRPr="001F1399">
        <w:rPr>
          <w:rFonts w:ascii="Book Antiqua" w:hAnsi="Book Antiqua" w:cs="Segoe UI"/>
          <w:lang w:val="en-US"/>
        </w:rPr>
        <w:t xml:space="preserve">results in shift of </w:t>
      </w:r>
      <w:r w:rsidR="00E55794" w:rsidRPr="001F1399">
        <w:rPr>
          <w:rFonts w:ascii="Book Antiqua" w:hAnsi="Book Antiqua" w:cs="Segoe UI"/>
          <w:lang w:val="en-US"/>
        </w:rPr>
        <w:t>abundance of resident gut bacteria</w:t>
      </w:r>
      <w:r w:rsidR="00D47A40" w:rsidRPr="001F1399">
        <w:rPr>
          <w:rFonts w:ascii="Book Antiqua" w:hAnsi="Book Antiqua" w:cs="Segoe UI"/>
          <w:lang w:val="en-US"/>
        </w:rPr>
        <w:t xml:space="preserve"> and predisposes the child to certain inflammatory or functional disorders</w:t>
      </w:r>
      <w:r w:rsidRPr="001F1399">
        <w:rPr>
          <w:rFonts w:ascii="Book Antiqua" w:hAnsi="Book Antiqua" w:cs="Segoe UI"/>
          <w:lang w:val="en-US"/>
        </w:rPr>
        <w:fldChar w:fldCharType="begin" w:fldLock="1"/>
      </w:r>
      <w:r w:rsidR="00B1214D" w:rsidRPr="001F1399">
        <w:rPr>
          <w:rFonts w:ascii="Book Antiqua" w:hAnsi="Book Antiqua" w:cs="Segoe UI"/>
          <w:lang w:val="en-US"/>
        </w:rPr>
        <w:instrText>ADDIN CSL_CITATION {"citationItems":[{"id":"ITEM-1","itemData":{"DOI":"10.3920/BM2010.0007","ISSN":"1876-2883","PMID":"21831766","author":[{"dropping-particle":"","family":"Mitsou","given":"E.","non-dropping-particle":"","parse-names":false,"suffix":""},{"dropping-particle":"","family":"Kirtzalidou","given":"E.","non-dropping-particle":"","parse-names":false,"suffix":""},{"dropping-particle":"","family":"Pramateftaki","given":"P.","non-dropping-particle":"","parse-names":false,"suffix":""},{"dropping-particle":"","family":"Kyriacou","given":"A.","non-dropping-particle":"","parse-names":false,"suffix":""}],"container-title":"Beneficial Microbes","id":"ITEM-1","issue":"3","issued":{"date-parts":[["2010","9"]]},"page":"297-306","title":"Antibiotic resistance in faecal microbiota of Greek healthy infants","type":"article-journal","volume":"1"},"uris":["http://www.mendeley.com/documents/?uuid=cf028600-87d6-44bb-a440-6ce9a44031f2"]}],"mendeley":{"formattedCitation":"&lt;sup&gt;[156]&lt;/sup&gt;","plainTextFormattedCitation":"[156]","previouslyFormattedCitation":"&lt;sup&gt;[155]&lt;/sup&gt;"},"properties":{"noteIndex":0},"schema":"https://github.com/citation-style-language/schema/raw/master/csl-citation.json"}</w:instrText>
      </w:r>
      <w:r w:rsidRPr="001F1399">
        <w:rPr>
          <w:rFonts w:ascii="Book Antiqua" w:hAnsi="Book Antiqua" w:cs="Segoe UI"/>
          <w:lang w:val="en-US"/>
        </w:rPr>
        <w:fldChar w:fldCharType="separate"/>
      </w:r>
      <w:r w:rsidR="00B1214D" w:rsidRPr="001F1399">
        <w:rPr>
          <w:rFonts w:ascii="Book Antiqua" w:hAnsi="Book Antiqua" w:cs="Segoe UI"/>
          <w:noProof/>
          <w:vertAlign w:val="superscript"/>
          <w:lang w:val="en-US"/>
        </w:rPr>
        <w:t>[156]</w:t>
      </w:r>
      <w:r w:rsidRPr="001F1399">
        <w:rPr>
          <w:rFonts w:ascii="Book Antiqua" w:hAnsi="Book Antiqua" w:cs="Segoe UI"/>
          <w:lang w:val="en-US"/>
        </w:rPr>
        <w:fldChar w:fldCharType="end"/>
      </w:r>
      <w:r w:rsidR="00D47A40" w:rsidRPr="001F1399">
        <w:rPr>
          <w:rFonts w:ascii="Book Antiqua" w:hAnsi="Book Antiqua" w:cs="Segoe UI"/>
          <w:lang w:val="en-US"/>
        </w:rPr>
        <w:t xml:space="preserve">. Use of </w:t>
      </w:r>
      <w:r w:rsidR="00D47A40" w:rsidRPr="001F1399">
        <w:rPr>
          <w:rFonts w:ascii="Book Antiqua" w:hAnsi="Book Antiqua" w:cs="Segoe UI"/>
          <w:lang w:val="en-US"/>
        </w:rPr>
        <w:lastRenderedPageBreak/>
        <w:t>antibiotics during the postnatal period may severely alter this fragile settling ecosystem especially when they are given very early and for long periods of time</w:t>
      </w:r>
      <w:r w:rsidRPr="001F1399">
        <w:rPr>
          <w:rFonts w:ascii="Book Antiqua" w:hAnsi="Book Antiqua" w:cs="Segoe UI"/>
          <w:lang w:val="en-US"/>
        </w:rPr>
        <w:fldChar w:fldCharType="begin" w:fldLock="1"/>
      </w:r>
      <w:r w:rsidR="00B1214D" w:rsidRPr="001F1399">
        <w:rPr>
          <w:rFonts w:ascii="Book Antiqua" w:hAnsi="Book Antiqua" w:cs="Segoe UI"/>
          <w:lang w:val="en-US"/>
        </w:rPr>
        <w:instrText>ADDIN CSL_CITATION {"citationItems":[{"id":"ITEM-1","itemData":{"DOI":"10.1128/AAC.00789-12","ISSN":"0066-4804","PMID":"22948872","abstract":"The infant gut microbiota undergoes dramatic changes during the first 2 years of life. The acquisition and development of this population can be influenced by numerous factors, and antibiotic treatment has been suggested as one of the most significant. Despite this, however, there have been relatively few studies which have investigated the short-term recovery of the infant gut microbiota following antibiotic treatment. The aim of this study was to use high-throughput sequencing (employing both 16S rRNA and rpoB -specific primers) and quantitative PCR to compare the gut microbiota of nine infants who underwent parenteral antibiotic treatment with ampicillin and gentamicin (within 48 h of birth), 4 and 8 weeks after the conclusion of treatment, relative to that of nine matched healthy controls. The investigation revealed that the gut microbiota of the antibiotic-treated infants had significantly higher proportions of Proteobacteria ( P = 0.0049) and significantly lower proportions of Actinobacteria ( P = 0.00001) (and the associated genus Bifidobacterium [ P = 0.0132]) as well as the genus Lactobacillus ( P = 0.0182) than the untreated controls 4 weeks after the cessation of treatment. By week 8, the Proteobacteria levels remained significantly higher in the treated infants ( P = 0.0049), but the Actinobacteria , Bifidobacterium , and Lactobacillus levels had recovered and were similar to those in the control samples. Despite this recovery of total Bifidobacterium numbers, rpoB -targeted pyrosequencing revealed that the number of different Bifidobacterium species present in the antibiotic-treated infants was reduced. It is thus apparent that the combined use of ampicillin and gentamicin in early life can have significant effects on the evolution of the infant gut microbiota, the long-term health implications of which remain unknown.","author":[{"dropping-particle":"","family":"Fouhy","given":"Fiona","non-dropping-particle":"","parse-names":false,"suffix":""},{"dropping-particle":"","family":"Guinane","given":"Caitriona M.","non-dropping-particle":"","parse-names":false,"suffix":""},{"dropping-particle":"","family":"Hussey","given":"Seamus","non-dropping-particle":"","parse-names":false,"suffix":""},{"dropping-particle":"","family":"Wall","given":"Rebecca","non-dropping-particle":"","parse-names":false,"suffix":""},{"dropping-particle":"","family":"Ryan","given":"C. Anthony","non-dropping-particle":"","parse-names":false,"suffix":""},{"dropping-particle":"","family":"Dempsey","given":"Eugene M.","non-dropping-particle":"","parse-names":false,"suffix":""},{"dropping-particle":"","family":"Murphy","given":"Brendan","non-dropping-particle":"","parse-names":false,"suffix":""},{"dropping-particle":"","family":"Ross","given":"R. Paul","non-dropping-particle":"","parse-names":false,"suffix":""},{"dropping-particle":"","family":"Fitzgerald","given":"Gerald F.","non-dropping-particle":"","parse-names":false,"suffix":""},{"dropping-particle":"","family":"Stanton","given":"Catherine","non-dropping-particle":"","parse-names":false,"suffix":""},{"dropping-particle":"","family":"Cotter","given":"Paul D.","non-dropping-particle":"","parse-names":false,"suffix":""}],"container-title":"Antimicrobial Agents and Chemotherapy","id":"ITEM-1","issue":"11","issued":{"date-parts":[["2012","11"]]},"page":"5811-5820","title":"High-Throughput Sequencing Reveals the Incomplete, Short-Term Recovery of Infant Gut Microbiota following Parenteral Antibiotic Treatment with Ampicillin and Gentamicin","type":"article-journal","volume":"56"},"uris":["http://www.mendeley.com/documents/?uuid=755d1897-87ed-4095-8376-a95601055be9"]}],"mendeley":{"formattedCitation":"&lt;sup&gt;[157]&lt;/sup&gt;","plainTextFormattedCitation":"[157]","previouslyFormattedCitation":"&lt;sup&gt;[156]&lt;/sup&gt;"},"properties":{"noteIndex":0},"schema":"https://github.com/citation-style-language/schema/raw/master/csl-citation.json"}</w:instrText>
      </w:r>
      <w:r w:rsidRPr="001F1399">
        <w:rPr>
          <w:rFonts w:ascii="Book Antiqua" w:hAnsi="Book Antiqua" w:cs="Segoe UI"/>
          <w:lang w:val="en-US"/>
        </w:rPr>
        <w:fldChar w:fldCharType="separate"/>
      </w:r>
      <w:r w:rsidR="00B1214D" w:rsidRPr="001F1399">
        <w:rPr>
          <w:rFonts w:ascii="Book Antiqua" w:hAnsi="Book Antiqua" w:cs="Segoe UI"/>
          <w:noProof/>
          <w:vertAlign w:val="superscript"/>
          <w:lang w:val="en-US"/>
        </w:rPr>
        <w:t>[157]</w:t>
      </w:r>
      <w:r w:rsidRPr="001F1399">
        <w:rPr>
          <w:rFonts w:ascii="Book Antiqua" w:hAnsi="Book Antiqua" w:cs="Segoe UI"/>
          <w:lang w:val="en-US"/>
        </w:rPr>
        <w:fldChar w:fldCharType="end"/>
      </w:r>
      <w:r w:rsidR="00C82F92" w:rsidRPr="001F1399">
        <w:rPr>
          <w:rFonts w:ascii="Book Antiqua" w:hAnsi="Book Antiqua" w:cs="Segoe UI"/>
          <w:lang w:val="en-US"/>
        </w:rPr>
        <w:t>. This disrupted profile associated to a decreased microbial activity will be conditions favoring the settlement of enteric pathogens</w:t>
      </w:r>
      <w:r w:rsidRPr="001F1399">
        <w:rPr>
          <w:rFonts w:ascii="Book Antiqua" w:hAnsi="Book Antiqua" w:cs="Segoe UI"/>
          <w:lang w:val="en-US"/>
        </w:rPr>
        <w:fldChar w:fldCharType="begin" w:fldLock="1"/>
      </w:r>
      <w:r w:rsidR="00B1214D" w:rsidRPr="001F1399">
        <w:rPr>
          <w:rFonts w:ascii="Book Antiqua" w:hAnsi="Book Antiqua" w:cs="Segoe UI"/>
          <w:lang w:val="en-US"/>
        </w:rPr>
        <w:instrText>ADDIN CSL_CITATION {"citationItems":[{"id":"ITEM-1","itemData":{"DOI":"10.1371/journal.pbio.0060280","ISSN":"1545-7885","PMID":"19018661","author":[{"dropping-particle":"","family":"Dethlefsen","given":"Les","non-dropping-particle":"","parse-names":false,"suffix":""},{"dropping-particle":"","family":"Huse","given":"Sue","non-dropping-particle":"","parse-names":false,"suffix":""},{"dropping-particle":"","family":"Sogin","given":"Mitchell L","non-dropping-particle":"","parse-names":false,"suffix":""},{"dropping-particle":"","family":"Relman","given":"David A","non-dropping-particle":"","parse-names":false,"suffix":""}],"container-title":"PLoS Biology","editor":[{"dropping-particle":"","family":"Eisen","given":"Jonathan A","non-dropping-particle":"","parse-names":false,"suffix":""}],"id":"ITEM-1","issue":"11","issued":{"date-parts":[["2008","11","18"]]},"page":"e280","title":"The Pervasive Effects of an Antibiotic on the Human Gut Microbiota, as Revealed by Deep 16S rRNA Sequencing","type":"article-journal","volume":"6"},"uris":["http://www.mendeley.com/documents/?uuid=79d1d199-3704-4422-b3fb-99621639d3bf"]},{"id":"ITEM-2","itemData":{"DOI":"10.1128/JCM.01507-10","ISSN":"0095-1137","PMID":"21177896","author":[{"dropping-particle":"","family":"Rousseau","given":"C.","non-dropping-particle":"","parse-names":false,"suffix":""},{"dropping-particle":"","family":"Levenez","given":"F.","non-dropping-particle":"","parse-names":false,"suffix":""},{"dropping-particle":"","family":"Fouqueray","given":"C.","non-dropping-particle":"","parse-names":false,"suffix":""},{"dropping-particle":"","family":"Dore","given":"J.","non-dropping-particle":"","parse-names":false,"suffix":""},{"dropping-particle":"","family":"Collignon","given":"A.","non-dropping-particle":"","parse-names":false,"suffix":""},{"dropping-particle":"","family":"Lepage","given":"P.","non-dropping-particle":"","parse-names":false,"suffix":""}],"container-title":"Journal of Clinical Microbiology","id":"ITEM-2","issue":"3","issued":{"date-parts":[["2011","3","1"]]},"page":"858-865","title":"Clostridium difficile Colonization in Early Infancy Is Accompanied by Changes in Intestinal Microbiota Composition","type":"article-journal","volume":"49"},"uris":["http://www.mendeley.com/documents/?uuid=73e30cc2-5357-435b-b363-e8495b1e7c4d"]}],"mendeley":{"formattedCitation":"&lt;sup&gt;[158,159]&lt;/sup&gt;","plainTextFormattedCitation":"[158,159]","previouslyFormattedCitation":"&lt;sup&gt;[157,158]&lt;/sup&gt;"},"properties":{"noteIndex":0},"schema":"https://github.com/citation-style-language/schema/raw/master/csl-citation.json"}</w:instrText>
      </w:r>
      <w:r w:rsidRPr="001F1399">
        <w:rPr>
          <w:rFonts w:ascii="Book Antiqua" w:hAnsi="Book Antiqua" w:cs="Segoe UI"/>
          <w:lang w:val="en-US"/>
        </w:rPr>
        <w:fldChar w:fldCharType="separate"/>
      </w:r>
      <w:r w:rsidR="00B1214D" w:rsidRPr="001F1399">
        <w:rPr>
          <w:rFonts w:ascii="Book Antiqua" w:hAnsi="Book Antiqua" w:cs="Segoe UI"/>
          <w:noProof/>
          <w:vertAlign w:val="superscript"/>
          <w:lang w:val="en-US"/>
        </w:rPr>
        <w:t>[158,159]</w:t>
      </w:r>
      <w:r w:rsidRPr="001F1399">
        <w:rPr>
          <w:rFonts w:ascii="Book Antiqua" w:hAnsi="Book Antiqua" w:cs="Segoe UI"/>
          <w:lang w:val="en-US"/>
        </w:rPr>
        <w:fldChar w:fldCharType="end"/>
      </w:r>
      <w:r w:rsidR="00C82F92" w:rsidRPr="001F1399">
        <w:rPr>
          <w:rFonts w:ascii="Book Antiqua" w:hAnsi="Book Antiqua" w:cs="Segoe UI"/>
          <w:lang w:val="en-US"/>
        </w:rPr>
        <w:t xml:space="preserve">. This has been associated with long term disruption with intestinal barrier function but will also impact the growth of dominant bacteria </w:t>
      </w:r>
      <w:r w:rsidR="00964E9E" w:rsidRPr="001F1399">
        <w:rPr>
          <w:rFonts w:ascii="Book Antiqua" w:hAnsi="Book Antiqua" w:cs="Segoe UI"/>
          <w:lang w:val="en-US"/>
        </w:rPr>
        <w:t>in the human gut</w:t>
      </w:r>
      <w:r w:rsidRPr="001F1399">
        <w:rPr>
          <w:rFonts w:ascii="Book Antiqua" w:hAnsi="Book Antiqua" w:cs="Segoe UI"/>
          <w:lang w:val="en-US"/>
        </w:rPr>
        <w:fldChar w:fldCharType="begin" w:fldLock="1"/>
      </w:r>
      <w:r w:rsidR="00B1214D" w:rsidRPr="001F1399">
        <w:rPr>
          <w:rFonts w:ascii="Book Antiqua" w:hAnsi="Book Antiqua" w:cs="Segoe UI"/>
          <w:lang w:val="en-US"/>
        </w:rPr>
        <w:instrText>ADDIN CSL_CITATION {"citationItems":[{"id":"ITEM-1","itemData":{"DOI":"10.1128/AAC.00789-12","ISSN":"0066-4804","PMID":"22948872","abstract":"The infant gut microbiota undergoes dramatic changes during the first 2 years of life. The acquisition and development of this population can be influenced by numerous factors, and antibiotic treatment has been suggested as one of the most significant. Despite this, however, there have been relatively few studies which have investigated the short-term recovery of the infant gut microbiota following antibiotic treatment. The aim of this study was to use high-throughput sequencing (employing both 16S rRNA and rpoB -specific primers) and quantitative PCR to compare the gut microbiota of nine infants who underwent parenteral antibiotic treatment with ampicillin and gentamicin (within 48 h of birth), 4 and 8 weeks after the conclusion of treatment, relative to that of nine matched healthy controls. The investigation revealed that the gut microbiota of the antibiotic-treated infants had significantly higher proportions of Proteobacteria ( P = 0.0049) and significantly lower proportions of Actinobacteria ( P = 0.00001) (and the associated genus Bifidobacterium [ P = 0.0132]) as well as the genus Lactobacillus ( P = 0.0182) than the untreated controls 4 weeks after the cessation of treatment. By week 8, the Proteobacteria levels remained significantly higher in the treated infants ( P = 0.0049), but the Actinobacteria , Bifidobacterium , and Lactobacillus levels had recovered and were similar to those in the control samples. Despite this recovery of total Bifidobacterium numbers, rpoB -targeted pyrosequencing revealed that the number of different Bifidobacterium species present in the antibiotic-treated infants was reduced. It is thus apparent that the combined use of ampicillin and gentamicin in early life can have significant effects on the evolution of the infant gut microbiota, the long-term health implications of which remain unknown.","author":[{"dropping-particle":"","family":"Fouhy","given":"Fiona","non-dropping-particle":"","parse-names":false,"suffix":""},{"dropping-particle":"","family":"Guinane","given":"Caitriona M.","non-dropping-particle":"","parse-names":false,"suffix":""},{"dropping-particle":"","family":"Hussey","given":"Seamus","non-dropping-particle":"","parse-names":false,"suffix":""},{"dropping-particle":"","family":"Wall","given":"Rebecca","non-dropping-particle":"","parse-names":false,"suffix":""},{"dropping-particle":"","family":"Ryan","given":"C. Anthony","non-dropping-particle":"","parse-names":false,"suffix":""},{"dropping-particle":"","family":"Dempsey","given":"Eugene M.","non-dropping-particle":"","parse-names":false,"suffix":""},{"dropping-particle":"","family":"Murphy","given":"Brendan","non-dropping-particle":"","parse-names":false,"suffix":""},{"dropping-particle":"","family":"Ross","given":"R. Paul","non-dropping-particle":"","parse-names":false,"suffix":""},{"dropping-particle":"","family":"Fitzgerald","given":"Gerald F.","non-dropping-particle":"","parse-names":false,"suffix":""},{"dropping-particle":"","family":"Stanton","given":"Catherine","non-dropping-particle":"","parse-names":false,"suffix":""},{"dropping-particle":"","family":"Cotter","given":"Paul D.","non-dropping-particle":"","parse-names":false,"suffix":""}],"container-title":"Antimicrobial Agents and Chemotherapy","id":"ITEM-1","issue":"11","issued":{"date-parts":[["2012","11"]]},"page":"5811-5820","title":"High-Throughput Sequencing Reveals the Incomplete, Short-Term Recovery of Infant Gut Microbiota following Parenteral Antibiotic Treatment with Ampicillin and Gentamicin","type":"article-journal","volume":"56"},"uris":["http://www.mendeley.com/documents/?uuid=755d1897-87ed-4095-8376-a95601055be9"]}],"mendeley":{"formattedCitation":"&lt;sup&gt;[157]&lt;/sup&gt;","plainTextFormattedCitation":"[157]","previouslyFormattedCitation":"&lt;sup&gt;[156]&lt;/sup&gt;"},"properties":{"noteIndex":0},"schema":"https://github.com/citation-style-language/schema/raw/master/csl-citation.json"}</w:instrText>
      </w:r>
      <w:r w:rsidRPr="001F1399">
        <w:rPr>
          <w:rFonts w:ascii="Book Antiqua" w:hAnsi="Book Antiqua" w:cs="Segoe UI"/>
          <w:lang w:val="en-US"/>
        </w:rPr>
        <w:fldChar w:fldCharType="separate"/>
      </w:r>
      <w:r w:rsidR="00B1214D" w:rsidRPr="001F1399">
        <w:rPr>
          <w:rFonts w:ascii="Book Antiqua" w:hAnsi="Book Antiqua" w:cs="Segoe UI"/>
          <w:noProof/>
          <w:vertAlign w:val="superscript"/>
          <w:lang w:val="en-US"/>
        </w:rPr>
        <w:t>[157]</w:t>
      </w:r>
      <w:r w:rsidRPr="001F1399">
        <w:rPr>
          <w:rFonts w:ascii="Book Antiqua" w:hAnsi="Book Antiqua" w:cs="Segoe UI"/>
          <w:lang w:val="en-US"/>
        </w:rPr>
        <w:fldChar w:fldCharType="end"/>
      </w:r>
      <w:r w:rsidR="00964E9E" w:rsidRPr="001F1399">
        <w:rPr>
          <w:rFonts w:ascii="Book Antiqua" w:hAnsi="Book Antiqua" w:cs="Segoe UI"/>
          <w:lang w:val="en-US"/>
        </w:rPr>
        <w:t>, confirming that antibiotic exposure in early life car render the infant susceptible to numerous diseases later in life</w:t>
      </w:r>
      <w:r w:rsidRPr="001F1399">
        <w:rPr>
          <w:rFonts w:ascii="Book Antiqua" w:hAnsi="Book Antiqua" w:cs="Segoe UI"/>
          <w:lang w:val="en-US"/>
        </w:rPr>
        <w:fldChar w:fldCharType="begin" w:fldLock="1"/>
      </w:r>
      <w:r w:rsidR="00B1214D" w:rsidRPr="001F1399">
        <w:rPr>
          <w:rFonts w:ascii="Book Antiqua" w:hAnsi="Book Antiqua" w:cs="Segoe UI"/>
          <w:lang w:val="en-US"/>
        </w:rPr>
        <w:instrText>ADDIN CSL_CITATION {"citationItems":[{"id":"ITEM-1","itemData":{"DOI":"10.1542/peds.2005-2824","ISSN":"0031-4005","PMID":"16882802","author":[{"dropping-particle":"","family":"Penders","given":"J.","non-dropping-particle":"","parse-names":false,"suffix":""},{"dropping-particle":"","family":"Thijs","given":"C.","non-dropping-particle":"","parse-names":false,"suffix":""},{"dropping-particle":"","family":"Vink","given":"C.","non-dropping-particle":"","parse-names":false,"suffix":""},{"dropping-particle":"","family":"Stelma","given":"F. F.","non-dropping-particle":"","parse-names":false,"suffix":""},{"dropping-particle":"","family":"Snijders","given":"B.","non-dropping-particle":"","parse-names":false,"suffix":""},{"dropping-particle":"","family":"Kummeling","given":"I.","non-dropping-particle":"","parse-names":false,"suffix":""},{"dropping-particle":"","family":"Brandt","given":"P. A.","non-dropping-particle":"van den","parse-names":false,"suffix":""},{"dropping-particle":"","family":"Stobberingh","given":"E. E.","non-dropping-particle":"","parse-names":false,"suffix":""}],"container-title":"PEDIATRICS","id":"ITEM-1","issue":"2","issued":{"date-parts":[["2006","8","1"]]},"page":"511-521","title":"Factors Influencing the Composition of the Intestinal Microbiota in Early Infancy","type":"article-journal","volume":"118"},"uris":["http://www.mendeley.com/documents/?uuid=0f35f88e-e987-4dfb-ac31-38b5663d10e0"]},{"id":"ITEM-2","itemData":{"DOI":"10.1038/nature11400","ISSN":"0028-0836","PMID":"22914093","author":[{"dropping-particle":"","family":"Cho","given":"Ilseung","non-dropping-particle":"","parse-names":false,"suffix":""},{"dropping-particle":"","family":"Yamanishi","given":"Shingo","non-dropping-particle":"","parse-names":false,"suffix":""},{"dropping-particle":"","family":"Cox","given":"Laura","non-dropping-particle":"","parse-names":false,"suffix":""},{"dropping-particle":"","family":"Methé","given":"Barbara A.","non-dropping-particle":"","parse-names":false,"suffix":""},{"dropping-particle":"","family":"Zavadil","given":"Jiri","non-dropping-particle":"","parse-names":false,"suffix":""},{"dropping-particle":"","family":"Li","given":"Kelvin","non-dropping-particle":"","parse-names":false,"suffix":""},{"dropping-particle":"","family":"Gao","given":"Zhan","non-dropping-particle":"","parse-names":false,"suffix":""},{"dropping-particle":"","family":"Mahana","given":"Douglas","non-dropping-particle":"","parse-names":false,"suffix":""},{"dropping-particle":"","family":"Raju","given":"Kartik","non-dropping-particle":"","parse-names":false,"suffix":""},{"dropping-particle":"","family":"Teitler","given":"Isabel","non-dropping-particle":"","parse-names":false,"suffix":""},{"dropping-particle":"","family":"Li","given":"Huilin","non-dropping-particle":"","parse-names":false,"suffix":""},{"dropping-particle":"V.","family":"Alekseyenko","given":"Alexander","non-dropping-particle":"","parse-names":false,"suffix":""},{"dropping-particle":"","family":"Blaser","given":"Martin J.","non-dropping-particle":"","parse-names":false,"suffix":""}],"container-title":"Nature","id":"ITEM-2","issue":"7413","issued":{"date-parts":[["2012","8","22"]]},"page":"621-626","title":"Antibiotics in early life alter the murine colonic microbiome and adiposity","type":"article-journal","volume":"488"},"uris":["http://www.mendeley.com/documents/?uuid=f00f58f9-6d33-49a0-b6cf-0981b2fa18a6"]}],"mendeley":{"formattedCitation":"&lt;sup&gt;[160,161]&lt;/sup&gt;","plainTextFormattedCitation":"[160,161]","previouslyFormattedCitation":"&lt;sup&gt;[159,160]&lt;/sup&gt;"},"properties":{"noteIndex":0},"schema":"https://github.com/citation-style-language/schema/raw/master/csl-citation.json"}</w:instrText>
      </w:r>
      <w:r w:rsidRPr="001F1399">
        <w:rPr>
          <w:rFonts w:ascii="Book Antiqua" w:hAnsi="Book Antiqua" w:cs="Segoe UI"/>
          <w:lang w:val="en-US"/>
        </w:rPr>
        <w:fldChar w:fldCharType="separate"/>
      </w:r>
      <w:r w:rsidR="00B1214D" w:rsidRPr="001F1399">
        <w:rPr>
          <w:rFonts w:ascii="Book Antiqua" w:hAnsi="Book Antiqua" w:cs="Segoe UI"/>
          <w:noProof/>
          <w:vertAlign w:val="superscript"/>
          <w:lang w:val="en-US"/>
        </w:rPr>
        <w:t>[160,161]</w:t>
      </w:r>
      <w:r w:rsidRPr="001F1399">
        <w:rPr>
          <w:rFonts w:ascii="Book Antiqua" w:hAnsi="Book Antiqua" w:cs="Segoe UI"/>
          <w:lang w:val="en-US"/>
        </w:rPr>
        <w:fldChar w:fldCharType="end"/>
      </w:r>
      <w:r w:rsidR="00964E9E" w:rsidRPr="001F1399">
        <w:rPr>
          <w:rFonts w:ascii="Book Antiqua" w:hAnsi="Book Antiqua" w:cs="Segoe UI"/>
          <w:lang w:val="en-US"/>
        </w:rPr>
        <w:t xml:space="preserve">. </w:t>
      </w:r>
      <w:r w:rsidR="00CE2FAE" w:rsidRPr="001F1399">
        <w:rPr>
          <w:rFonts w:ascii="Book Antiqua" w:hAnsi="Book Antiqua" w:cs="Segoe UI"/>
          <w:lang w:val="en-US"/>
        </w:rPr>
        <w:t>The perturbation of composition and biodiversity of the gut microbiota is often associated to an increase of Proteobacteria because of a higher content of antimicrobial resistance genes in this phylum</w:t>
      </w:r>
      <w:r w:rsidRPr="001F1399">
        <w:rPr>
          <w:rFonts w:ascii="Book Antiqua" w:hAnsi="Book Antiqua" w:cs="Segoe UI"/>
          <w:lang w:val="en-US"/>
        </w:rPr>
        <w:fldChar w:fldCharType="begin" w:fldLock="1"/>
      </w:r>
      <w:r w:rsidR="00B1214D" w:rsidRPr="001F1399">
        <w:rPr>
          <w:rFonts w:ascii="Book Antiqua" w:hAnsi="Book Antiqua" w:cs="Segoe UI"/>
          <w:lang w:val="en-US"/>
        </w:rPr>
        <w:instrText>ADDIN CSL_CITATION {"citationItems":[{"id":"ITEM-1","itemData":{"DOI":"10.1126/science.aad9378.How","ISSN":"1095-9203","PMID":"27126036","abstract":"Microbial colonization of mucosal tissues during infancy plays an instrumental role in the development and education of the host mammalian immune system. These early-life events can have long-standing consequences: facilitating tolerance to environmental exposures or contributing to the development of disease in later life, including inflammatory bowel disease, allergy, and asthma. Recent studies have begun to define a critical period during early development in which disruption of optimal host-commensal interactions can lead to persistent and in some cases irreversible defects in the development and training of specific immune subsets. Here, we discuss the role of early-life education of the immune system during this \"window of opportunity,\" when microbial colonization has a potentially critical impact on human health and disease.","author":[{"dropping-particle":"","family":"Gensollen","given":"Thomas","non-dropping-particle":"","parse-names":false,"suffix":""},{"dropping-particle":"","family":"Iyer","given":"Shankar S","non-dropping-particle":"","parse-names":false,"suffix":""},{"dropping-particle":"","family":"Kasper","given":"Dennis L","non-dropping-particle":"","parse-names":false,"suffix":""},{"dropping-particle":"","family":"Blumberg","given":"Richard S","non-dropping-particle":"","parse-names":false,"suffix":""},{"dropping-particle":"","family":"Medical","given":"Harvard","non-dropping-particle":"","parse-names":false,"suffix":""}],"container-title":"Science (New York, N.Y.)","id":"ITEM-1","issue":"6285","issued":{"date-parts":[["2016"]]},"page":"539-544","title":"How colonization by microbiota in early life shapes the immune 1. Gensollen T, Iyer SS, Kasper DL, Blumberg RS, Medical H. How colonization by microbiota in early life shapes the immune system. Science. 2016;352(6285):539-544. doi:10.1126/science.aad9378.","type":"article-journal","volume":"352"},"uris":["http://www.mendeley.com/documents/?uuid=df74cfdc-8396-40bd-8017-55f801830850"]}],"mendeley":{"formattedCitation":"&lt;sup&gt;[162]&lt;/sup&gt;","plainTextFormattedCitation":"[162]","previouslyFormattedCitation":"&lt;sup&gt;[161]&lt;/sup&gt;"},"properties":{"noteIndex":0},"schema":"https://github.com/citation-style-language/schema/raw/master/csl-citation.json"}</w:instrText>
      </w:r>
      <w:r w:rsidRPr="001F1399">
        <w:rPr>
          <w:rFonts w:ascii="Book Antiqua" w:hAnsi="Book Antiqua" w:cs="Segoe UI"/>
          <w:lang w:val="en-US"/>
        </w:rPr>
        <w:fldChar w:fldCharType="separate"/>
      </w:r>
      <w:r w:rsidR="00B1214D" w:rsidRPr="001F1399">
        <w:rPr>
          <w:rFonts w:ascii="Book Antiqua" w:hAnsi="Book Antiqua" w:cs="Segoe UI"/>
          <w:noProof/>
          <w:vertAlign w:val="superscript"/>
          <w:lang w:val="en-US"/>
        </w:rPr>
        <w:t>[162]</w:t>
      </w:r>
      <w:r w:rsidRPr="001F1399">
        <w:rPr>
          <w:rFonts w:ascii="Book Antiqua" w:hAnsi="Book Antiqua" w:cs="Segoe UI"/>
          <w:lang w:val="en-US"/>
        </w:rPr>
        <w:fldChar w:fldCharType="end"/>
      </w:r>
      <w:r w:rsidR="006712D9" w:rsidRPr="001F1399">
        <w:rPr>
          <w:rFonts w:ascii="Book Antiqua" w:hAnsi="Book Antiqua" w:cs="Segoe UI"/>
          <w:lang w:val="en-US"/>
        </w:rPr>
        <w:t xml:space="preserve"> and the disruption of our microbiota caused by antibiotics favors the development of</w:t>
      </w:r>
      <w:r w:rsidR="4DBC9907" w:rsidRPr="001F1399">
        <w:rPr>
          <w:rFonts w:ascii="Book Antiqua" w:hAnsi="Book Antiqua" w:cs="Segoe UI"/>
          <w:lang w:val="en-US"/>
        </w:rPr>
        <w:t xml:space="preserve"> </w:t>
      </w:r>
      <w:r w:rsidR="4DBC9907" w:rsidRPr="001F1399">
        <w:rPr>
          <w:rFonts w:ascii="Book Antiqua" w:eastAsia="Calibri" w:hAnsi="Book Antiqua" w:cs="Calibri"/>
          <w:lang w:val="en-US"/>
        </w:rPr>
        <w:t>non-communicable chronic diseases</w:t>
      </w:r>
      <w:r w:rsidR="006712D9" w:rsidRPr="001F1399">
        <w:rPr>
          <w:rFonts w:ascii="Book Antiqua" w:hAnsi="Book Antiqua" w:cs="Segoe UI"/>
          <w:lang w:val="en-US"/>
        </w:rPr>
        <w:t xml:space="preserve"> </w:t>
      </w:r>
      <w:r w:rsidR="20C6DBC8" w:rsidRPr="001F1399">
        <w:rPr>
          <w:rFonts w:ascii="Book Antiqua" w:hAnsi="Book Antiqua" w:cs="Segoe UI"/>
          <w:lang w:val="en-US"/>
        </w:rPr>
        <w:t>(</w:t>
      </w:r>
      <w:r w:rsidR="006712D9" w:rsidRPr="001F1399">
        <w:rPr>
          <w:rFonts w:ascii="Book Antiqua" w:hAnsi="Book Antiqua" w:cs="Segoe UI"/>
          <w:lang w:val="en-US"/>
        </w:rPr>
        <w:t>N</w:t>
      </w:r>
      <w:r w:rsidR="00B778ED" w:rsidRPr="001F1399">
        <w:rPr>
          <w:rFonts w:ascii="Book Antiqua" w:hAnsi="Book Antiqua" w:cs="Segoe UI"/>
          <w:lang w:val="en-US"/>
        </w:rPr>
        <w:t>C</w:t>
      </w:r>
      <w:r w:rsidR="006712D9" w:rsidRPr="001F1399">
        <w:rPr>
          <w:rFonts w:ascii="Book Antiqua" w:hAnsi="Book Antiqua" w:cs="Segoe UI"/>
          <w:lang w:val="en-US"/>
        </w:rPr>
        <w:t>CDs</w:t>
      </w:r>
      <w:r w:rsidR="23824162" w:rsidRPr="001F1399">
        <w:rPr>
          <w:rFonts w:ascii="Book Antiqua" w:hAnsi="Book Antiqua" w:cs="Segoe UI"/>
          <w:lang w:val="en-US"/>
        </w:rPr>
        <w:t>)</w:t>
      </w:r>
      <w:r w:rsidR="006712D9" w:rsidRPr="001F1399">
        <w:rPr>
          <w:rFonts w:ascii="Book Antiqua" w:hAnsi="Book Antiqua" w:cs="Segoe UI"/>
          <w:lang w:val="en-US"/>
        </w:rPr>
        <w:t xml:space="preserve"> characteristic of dysbiosis</w:t>
      </w:r>
      <w:r w:rsidR="00CE2FAE" w:rsidRPr="001F1399">
        <w:rPr>
          <w:rFonts w:ascii="Book Antiqua" w:hAnsi="Book Antiqua" w:cs="Segoe UI"/>
          <w:lang w:val="en-US"/>
        </w:rPr>
        <w:t>.</w:t>
      </w:r>
      <w:r w:rsidR="006712D9" w:rsidRPr="001F1399">
        <w:rPr>
          <w:rFonts w:ascii="Book Antiqua" w:hAnsi="Book Antiqua" w:cs="Segoe UI"/>
          <w:lang w:val="en-US"/>
        </w:rPr>
        <w:t xml:space="preserve"> At last, the alteration of the microbiota composition observed in infants treated with antibiotics was close to the one of children from mothers treated with antibiotics before delivery, with consequences late in life</w:t>
      </w:r>
      <w:r w:rsidRPr="001F1399">
        <w:rPr>
          <w:rFonts w:ascii="Book Antiqua" w:hAnsi="Book Antiqua" w:cs="Segoe UI"/>
          <w:lang w:val="en-US"/>
        </w:rPr>
        <w:fldChar w:fldCharType="begin" w:fldLock="1"/>
      </w:r>
      <w:r w:rsidR="00B1214D" w:rsidRPr="001F1399">
        <w:rPr>
          <w:rFonts w:ascii="Book Antiqua" w:hAnsi="Book Antiqua" w:cs="Segoe UI"/>
          <w:lang w:val="en-US"/>
        </w:rPr>
        <w:instrText>ADDIN CSL_CITATION {"citationItems":[{"id":"ITEM-1","itemData":{"DOI":"10.1111/j.1574-695X.2009.00553.x","ISSN":"09288244","PMID":"19385995","author":[{"dropping-particle":"","family":"Tanaka","given":"Shigemitsu","non-dropping-particle":"","parse-names":false,"suffix":""},{"dropping-particle":"","family":"Kobayashi","given":"Takako","non-dropping-particle":"","parse-names":false,"suffix":""},{"dropping-particle":"","family":"Songjinda","given":"Prapa","non-dropping-particle":"","parse-names":false,"suffix":""},{"dropping-particle":"","family":"Tateyama","given":"Atsushi","non-dropping-particle":"","parse-names":false,"suffix":""},{"dropping-particle":"","family":"Tsubouchi","given":"Mina","non-dropping-particle":"","parse-names":false,"suffix":""},{"dropping-particle":"","family":"Kiyohara","given":"Chikako","non-dropping-particle":"","parse-names":false,"suffix":""},{"dropping-particle":"","family":"Shirakawa","given":"Taro","non-dropping-particle":"","parse-names":false,"suffix":""},{"dropping-particle":"","family":"Sonomoto","given":"Kenji","non-dropping-particle":"","parse-names":false,"suffix":""},{"dropping-particle":"","family":"Nakayama","given":"Jiro","non-dropping-particle":"","parse-names":false,"suffix":""}],"container-title":"FEMS Immunology &amp; Medical Microbiology","id":"ITEM-1","issue":"1","issued":{"date-parts":[["2009","6"]]},"page":"80-87","title":"Influence of antibiotic exposure in the early postnatal period on the development of intestinal microbiota","type":"article-journal","volume":"56"},"uris":["http://www.mendeley.com/documents/?uuid=ebe40558-f3b0-4c81-9545-6a30d2ddabff"]}],"mendeley":{"formattedCitation":"&lt;sup&gt;[163]&lt;/sup&gt;","plainTextFormattedCitation":"[163]","previouslyFormattedCitation":"&lt;sup&gt;[162]&lt;/sup&gt;"},"properties":{"noteIndex":0},"schema":"https://github.com/citation-style-language/schema/raw/master/csl-citation.json"}</w:instrText>
      </w:r>
      <w:r w:rsidRPr="001F1399">
        <w:rPr>
          <w:rFonts w:ascii="Book Antiqua" w:hAnsi="Book Antiqua" w:cs="Segoe UI"/>
          <w:lang w:val="en-US"/>
        </w:rPr>
        <w:fldChar w:fldCharType="separate"/>
      </w:r>
      <w:r w:rsidR="00B1214D" w:rsidRPr="001F1399">
        <w:rPr>
          <w:rFonts w:ascii="Book Antiqua" w:hAnsi="Book Antiqua" w:cs="Segoe UI"/>
          <w:noProof/>
          <w:vertAlign w:val="superscript"/>
          <w:lang w:val="en-US"/>
        </w:rPr>
        <w:t>[163]</w:t>
      </w:r>
      <w:r w:rsidRPr="001F1399">
        <w:rPr>
          <w:rFonts w:ascii="Book Antiqua" w:hAnsi="Book Antiqua" w:cs="Segoe UI"/>
          <w:lang w:val="en-US"/>
        </w:rPr>
        <w:fldChar w:fldCharType="end"/>
      </w:r>
      <w:r w:rsidR="008339B3" w:rsidRPr="001F1399">
        <w:rPr>
          <w:rFonts w:ascii="Book Antiqua" w:hAnsi="Book Antiqua" w:cs="Segoe UI"/>
          <w:lang w:val="en-US"/>
        </w:rPr>
        <w:t>.</w:t>
      </w:r>
      <w:r w:rsidR="00051496" w:rsidRPr="001F1399">
        <w:rPr>
          <w:rFonts w:ascii="Book Antiqua" w:hAnsi="Book Antiqua" w:cs="Segoe UI"/>
          <w:lang w:val="en-US"/>
        </w:rPr>
        <w:t xml:space="preserve"> Moreover, antibiotics treatment ha</w:t>
      </w:r>
      <w:r w:rsidR="000C7305" w:rsidRPr="001F1399">
        <w:rPr>
          <w:rFonts w:ascii="Book Antiqua" w:hAnsi="Book Antiqua" w:cs="Segoe UI"/>
          <w:lang w:val="en-US"/>
        </w:rPr>
        <w:t>s</w:t>
      </w:r>
      <w:r w:rsidR="00051496" w:rsidRPr="001F1399">
        <w:rPr>
          <w:rFonts w:ascii="Book Antiqua" w:hAnsi="Book Antiqua" w:cs="Segoe UI"/>
          <w:lang w:val="en-US"/>
        </w:rPr>
        <w:t xml:space="preserve"> the main disadvantages of enriching our microbiota with antibiotics resistant genes which might become later on a problem towards the gut homeostasis. Furthermore, disrupting microbiota settlement will also disrupt its overall metabolizing activity which concerns its ability to transform food contaminants and limit their impact on our health (for review see Flandroy </w:t>
      </w:r>
      <w:r w:rsidR="000A6ED0" w:rsidRPr="001F1399">
        <w:rPr>
          <w:rFonts w:ascii="Book Antiqua" w:hAnsi="Book Antiqua" w:cs="Segoe UI"/>
          <w:i/>
          <w:iCs/>
          <w:lang w:val="en-US"/>
        </w:rPr>
        <w:t>et al</w:t>
      </w:r>
      <w:r w:rsidRPr="001F1399">
        <w:rPr>
          <w:rFonts w:ascii="Book Antiqua" w:hAnsi="Book Antiqua" w:cs="Segoe UI"/>
          <w:lang w:val="en-US"/>
        </w:rPr>
        <w:fldChar w:fldCharType="begin" w:fldLock="1"/>
      </w:r>
      <w:r w:rsidR="00B1214D" w:rsidRPr="001F1399">
        <w:rPr>
          <w:rFonts w:ascii="Book Antiqua" w:hAnsi="Book Antiqua" w:cs="Segoe UI"/>
          <w:lang w:val="en-US"/>
        </w:rPr>
        <w:instrText>ADDIN CSL_CITATION {"citationItems":[{"id":"ITEM-1","itemData":{"DOI":"10.1016/j.scitotenv.2018.01.288","ISSN":"00489697","PMID":"29426121","abstract":"Plants, animals and humans, are colonized by microorganisms (microbiota) and transiently exposed to countless others. The microbiota affects the development and function of essentially all organ systems, and contributes to adaptation and evolution, while protecting against pathogenic microorganisms and toxins. Genetics and lifestyle factors, including diet, antibiotics and other drugs, and exposure to the natural environment, affect the composition of the microbiota, which influences host health through modulation of interrelated physiological systems. These include immune system development and regulation, metabolic and endocrine pathways, brain function and epigenetic modification of the genome. Importantly, parental microbiotas have transgenerational impacts on the health of progeny. Humans, animals and plants share similar relationships with microbes. Research paradigms from humans and other mammals, amphibians, insects, planktonic crustaceans and plants demonstrate the influence of environmental microbial ecosystems on the microbiota and health of organisms, and indicate links between environmental and internal microbial diversity and good health. Therefore, overlapping compositions, and interconnected roles of microbes in human, animal and plant health should be considered within the broader context of terrestrial and aquatic microbial ecosystems that are challenged by the human lifestyle and by agricultural and industrial activities. Here, we propose research priorities and organizational, educational and administrative measures that will help to identify safe microbe-associated health-promoting modalities and practices. In the spirit of an expanding version of “One health” that includes environmental health and its relation to human cultures and habits (EcoHealth), we urge that the lifestyle-microbiota-human health nexus be taken into account in societal decision making.","author":[{"dropping-particle":"","family":"Flandroy","given":"Lucette","non-dropping-particle":"","parse-names":false,"suffix":""},{"dropping-particle":"","family":"Poutahidis","given":"Theofilos","non-dropping-particle":"","parse-names":false,"suffix":""},{"dropping-particle":"","family":"Berg","given":"Gabriele","non-dropping-particle":"","parse-names":false,"suffix":""},{"dropping-particle":"","family":"Clarke","given":"Gerard","non-dropping-particle":"","parse-names":false,"suffix":""},{"dropping-particle":"","family":"Dao","given":"Maria-Carlota","non-dropping-particle":"","parse-names":false,"suffix":""},{"dropping-particle":"","family":"Decaestecker","given":"Ellen","non-dropping-particle":"","parse-names":false,"suffix":""},{"dropping-particle":"","family":"Furman","given":"Eeva","non-dropping-particle":"","parse-names":false,"suffix":""},{"dropping-particle":"","family":"Haahtela","given":"Tari","non-dropping-particle":"","parse-names":false,"suffix":""},{"dropping-particle":"","family":"Massart","given":"Sébastien","non-dropping-particle":"","parse-names":false,"suffix":""},{"dropping-particle":"","family":"Plovier","given":"Hubert","non-dropping-particle":"","parse-names":false,"suffix":""},{"dropping-particle":"","family":"Sanz","given":"Yolanda","non-dropping-particle":"","parse-names":false,"suffix":""},{"dropping-particle":"","family":"Rook","given":"Graham","non-dropping-particle":"","parse-names":false,"suffix":""}],"container-title":"Science of The Total Environment","id":"ITEM-1","issued":{"date-parts":[["2018","6"]]},"page":"1018-1038","title":"The impact of human activities and lifestyles on the interlinked microbiota and health of humans and of ecosystems","type":"article-journal","volume":"627"},"uris":["http://www.mendeley.com/documents/?uuid=ed93afaf-89aa-4b09-81d2-b7c79b83e260"]}],"mendeley":{"formattedCitation":"&lt;sup&gt;[164]&lt;/sup&gt;","plainTextFormattedCitation":"[164]","previouslyFormattedCitation":"&lt;sup&gt;[163]&lt;/sup&gt;"},"properties":{"noteIndex":0},"schema":"https://github.com/citation-style-language/schema/raw/master/csl-citation.json"}</w:instrText>
      </w:r>
      <w:r w:rsidRPr="001F1399">
        <w:rPr>
          <w:rFonts w:ascii="Book Antiqua" w:hAnsi="Book Antiqua" w:cs="Segoe UI"/>
          <w:lang w:val="en-US"/>
        </w:rPr>
        <w:fldChar w:fldCharType="separate"/>
      </w:r>
      <w:r w:rsidR="00B1214D" w:rsidRPr="001F1399">
        <w:rPr>
          <w:rFonts w:ascii="Book Antiqua" w:hAnsi="Book Antiqua" w:cs="Segoe UI"/>
          <w:noProof/>
          <w:vertAlign w:val="superscript"/>
          <w:lang w:val="en-US"/>
        </w:rPr>
        <w:t>[164]</w:t>
      </w:r>
      <w:r w:rsidRPr="001F1399">
        <w:rPr>
          <w:rFonts w:ascii="Book Antiqua" w:hAnsi="Book Antiqua" w:cs="Segoe UI"/>
          <w:lang w:val="en-US"/>
        </w:rPr>
        <w:fldChar w:fldCharType="end"/>
      </w:r>
      <w:r w:rsidR="00051496" w:rsidRPr="001F1399">
        <w:rPr>
          <w:rFonts w:ascii="Book Antiqua" w:hAnsi="Book Antiqua" w:cs="Segoe UI"/>
          <w:lang w:val="en-US"/>
        </w:rPr>
        <w:t>).</w:t>
      </w:r>
      <w:r w:rsidR="003D3868" w:rsidRPr="001F1399">
        <w:rPr>
          <w:rFonts w:ascii="Book Antiqua" w:hAnsi="Book Antiqua" w:cs="Segoe UI"/>
          <w:lang w:val="en-US"/>
        </w:rPr>
        <w:t xml:space="preserve"> On top of this, although the use of antibiotics might be very important to prevent sepsis in preterm or newborn infants, they might, under some circumstances, interfere with neurotransmitters receptors and particularly those of gamma-amino butyric acid</w:t>
      </w:r>
      <w:r w:rsidRPr="001F1399">
        <w:rPr>
          <w:rFonts w:ascii="Book Antiqua" w:hAnsi="Book Antiqua" w:cs="Segoe UI"/>
          <w:lang w:val="en-US"/>
        </w:rPr>
        <w:fldChar w:fldCharType="begin" w:fldLock="1"/>
      </w:r>
      <w:r w:rsidR="00B1214D" w:rsidRPr="001F1399">
        <w:rPr>
          <w:rFonts w:ascii="Book Antiqua" w:hAnsi="Book Antiqua" w:cs="Segoe UI"/>
          <w:lang w:val="en-US"/>
        </w:rPr>
        <w:instrText>ADDIN CSL_CITATION {"citationItems":[{"id":"ITEM-1","itemData":{"DOI":"10.1093/jac/45.1.5","ISSN":"0305-7453","PMID":"10629006","author":[{"dropping-particle":"","family":"Norrby","given":"S. R.","non-dropping-particle":"","parse-names":false,"suffix":""}],"container-title":"Journal of Antimicrobial Chemotherapy","id":"ITEM-1","issue":"1","issued":{"date-parts":[["2000"]]},"page":"5-7","title":"Neurotoxicity of carbapenem antibiotics: consequences for their use in bacterial meningitis","type":"article-journal","volume":"45"},"uris":["http://www.mendeley.com/documents/?uuid=f7a479cf-868e-48fa-8e97-004c4196d8c3"]}],"mendeley":{"formattedCitation":"&lt;sup&gt;[165]&lt;/sup&gt;","plainTextFormattedCitation":"[165]","previouslyFormattedCitation":"&lt;sup&gt;[164]&lt;/sup&gt;"},"properties":{"noteIndex":0},"schema":"https://github.com/citation-style-language/schema/raw/master/csl-citation.json"}</w:instrText>
      </w:r>
      <w:r w:rsidRPr="001F1399">
        <w:rPr>
          <w:rFonts w:ascii="Book Antiqua" w:hAnsi="Book Antiqua" w:cs="Segoe UI"/>
          <w:lang w:val="en-US"/>
        </w:rPr>
        <w:fldChar w:fldCharType="separate"/>
      </w:r>
      <w:r w:rsidR="00B1214D" w:rsidRPr="001F1399">
        <w:rPr>
          <w:rFonts w:ascii="Book Antiqua" w:hAnsi="Book Antiqua" w:cs="Segoe UI"/>
          <w:noProof/>
          <w:vertAlign w:val="superscript"/>
          <w:lang w:val="en-US"/>
        </w:rPr>
        <w:t>[165]</w:t>
      </w:r>
      <w:r w:rsidRPr="001F1399">
        <w:rPr>
          <w:rFonts w:ascii="Book Antiqua" w:hAnsi="Book Antiqua" w:cs="Segoe UI"/>
          <w:lang w:val="en-US"/>
        </w:rPr>
        <w:fldChar w:fldCharType="end"/>
      </w:r>
      <w:r w:rsidR="005E1BAE" w:rsidRPr="001F1399">
        <w:rPr>
          <w:rFonts w:ascii="Book Antiqua" w:hAnsi="Book Antiqua" w:cs="Segoe UI"/>
          <w:lang w:val="en-US"/>
        </w:rPr>
        <w:t xml:space="preserve"> </w:t>
      </w:r>
      <w:r w:rsidR="003D3868" w:rsidRPr="001F1399">
        <w:rPr>
          <w:rFonts w:ascii="Book Antiqua" w:hAnsi="Book Antiqua" w:cs="Segoe UI"/>
          <w:lang w:val="en-US"/>
        </w:rPr>
        <w:t xml:space="preserve">or </w:t>
      </w:r>
      <w:r w:rsidR="00407C0E" w:rsidRPr="001F1399">
        <w:rPr>
          <w:rFonts w:ascii="Book Antiqua" w:hAnsi="Book Antiqua" w:cs="Segoe UI"/>
          <w:lang w:val="en-US"/>
        </w:rPr>
        <w:t xml:space="preserve">of </w:t>
      </w:r>
      <w:r w:rsidR="003D3868" w:rsidRPr="001F1399">
        <w:rPr>
          <w:rFonts w:ascii="Book Antiqua" w:hAnsi="Book Antiqua" w:cs="Segoe UI"/>
          <w:lang w:val="en-US"/>
        </w:rPr>
        <w:t>serotonin</w:t>
      </w:r>
      <w:r w:rsidR="00E86C0E" w:rsidRPr="001F1399">
        <w:rPr>
          <w:rFonts w:ascii="Book Antiqua" w:hAnsi="Book Antiqua" w:cs="Segoe UI"/>
          <w:lang w:val="en-US"/>
        </w:rPr>
        <w:fldChar w:fldCharType="begin" w:fldLock="1"/>
      </w:r>
      <w:r w:rsidR="00B1214D" w:rsidRPr="001F1399">
        <w:rPr>
          <w:rFonts w:ascii="Book Antiqua" w:hAnsi="Book Antiqua" w:cs="Segoe UI"/>
          <w:lang w:val="en-US"/>
        </w:rPr>
        <w:instrText>ADDIN CSL_CITATION {"citationItems":[{"id":"ITEM-1","itemData":{"DOI":"10.1186/s12967-016-1105-4","ISBN":"1296701611","ISSN":"1479-5876","PMID":"28086815","abstract":"Background: The gastrointestinal motility is affected by gut microbiota and the relationship between them has become a hot topic. However, mechanisms of microbiota in regulating motility have not been well defined. We thus investigated the effect of microbiota depletion by antibiotics on gastrointestinal motility, colonic serotonin levels, and bile acids metabolism. Methods: After 4 weeks with antibiotics treatments, gastrointestinal and colon transit, defecation frequency, water content, and other fecal parameters were measured and analyzed in both wild-type and antibiotics-treated mice, respectively. Contractility of smooth muscle, serotonin levels, and bile acids levels in wild-type and antibiotics-treated mice were also analyzed. Results: After antibiotics treatment, the richness and diversity of intestinal microbiota decreased significantly, and the fecal of mice had less output (P &lt; 0.01), more water content (P &lt; 0.01), and longer pellet length (P &lt; 0.01). Antibiotics treatment in mice also resulted in delayed gastrointestinal and colonic motility (P &lt; 0.05), and inhibition of phasic contractions of longitudinal muscle from isolated proximal colon (P &lt; 0.01). In antibiotics-treated mice, serotonin, tryptophan hydroxylase 1, and secondary bile acids levels were decreased. Conclusion: Gut microbiota play an important role in the regulation of intestinal bile acids and serotonin metabolism, which could probably contribute to the association between gut microbiota and gastrointestinal motility as intermediates.","author":[{"dropping-particle":"","family":"Ge","given":"Xiaolong","non-dropping-particle":"","parse-names":false,"suffix":""},{"dropping-particle":"","family":"Ding","given":"Chao","non-dropping-particle":"","parse-names":false,"suffix":""},{"dropping-particle":"","family":"Zhao","given":"Wei","non-dropping-particle":"","parse-names":false,"suffix":""},{"dropping-particle":"","family":"Xu","given":"Lizhi","non-dropping-particle":"","parse-names":false,"suffix":""},{"dropping-particle":"","family":"Tian","given":"Hongliang","non-dropping-particle":"","parse-names":false,"suffix":""},{"dropping-particle":"","family":"Gong","given":"Jianfeng","non-dropping-particle":"","parse-names":false,"suffix":""},{"dropping-particle":"","family":"Zhu","given":"Minsheng","non-dropping-particle":"","parse-names":false,"suffix":""},{"dropping-particle":"","family":"Li","given":"Jieshou","non-dropping-particle":"","parse-names":false,"suffix":""},{"dropping-particle":"","family":"Li","given":"Ning","non-dropping-particle":"","parse-names":false,"suffix":""}],"container-title":"Journal of Translational Medicine","id":"ITEM-1","issue":"1","issued":{"date-parts":[["2017","12","13"]]},"page":"13","title":"Antibiotics-induced depletion of mice microbiota induces changes in host serotonin biosynthesis and intestinal motility","type":"article-journal","volume":"15"},"uris":["http://www.mendeley.com/documents/?uuid=0c98b8cd-d284-4b5f-a8d6-32402b1047e9"]}],"mendeley":{"formattedCitation":"&lt;sup&gt;[166]&lt;/sup&gt;","plainTextFormattedCitation":"[166]","previouslyFormattedCitation":"&lt;sup&gt;[165]&lt;/sup&gt;"},"properties":{"noteIndex":0},"schema":"https://github.com/citation-style-language/schema/raw/master/csl-citation.json"}</w:instrText>
      </w:r>
      <w:r w:rsidR="00E86C0E" w:rsidRPr="001F1399">
        <w:rPr>
          <w:rFonts w:ascii="Book Antiqua" w:hAnsi="Book Antiqua" w:cs="Segoe UI"/>
          <w:lang w:val="en-US"/>
        </w:rPr>
        <w:fldChar w:fldCharType="separate"/>
      </w:r>
      <w:r w:rsidR="00B1214D" w:rsidRPr="001F1399">
        <w:rPr>
          <w:rFonts w:ascii="Book Antiqua" w:hAnsi="Book Antiqua" w:cs="Segoe UI"/>
          <w:noProof/>
          <w:vertAlign w:val="superscript"/>
          <w:lang w:val="en-US"/>
        </w:rPr>
        <w:t>[166]</w:t>
      </w:r>
      <w:r w:rsidR="00E86C0E" w:rsidRPr="001F1399">
        <w:rPr>
          <w:rFonts w:ascii="Book Antiqua" w:hAnsi="Book Antiqua" w:cs="Segoe UI"/>
          <w:lang w:val="en-US"/>
        </w:rPr>
        <w:fldChar w:fldCharType="end"/>
      </w:r>
      <w:r w:rsidR="003D3868" w:rsidRPr="001F1399">
        <w:rPr>
          <w:rFonts w:ascii="Book Antiqua" w:hAnsi="Book Antiqua" w:cs="Segoe UI"/>
          <w:lang w:val="en-US"/>
        </w:rPr>
        <w:t xml:space="preserve">, compromising correct </w:t>
      </w:r>
      <w:r w:rsidR="003609D3" w:rsidRPr="001F1399">
        <w:rPr>
          <w:rFonts w:ascii="Book Antiqua" w:hAnsi="Book Antiqua" w:cs="Segoe UI"/>
          <w:lang w:val="en-US"/>
        </w:rPr>
        <w:t xml:space="preserve">central and peripheral </w:t>
      </w:r>
      <w:r w:rsidR="003D3868" w:rsidRPr="001F1399">
        <w:rPr>
          <w:rFonts w:ascii="Book Antiqua" w:hAnsi="Book Antiqua" w:cs="Segoe UI"/>
          <w:lang w:val="en-US"/>
        </w:rPr>
        <w:t>neuronal circuitry which may under prolonged exposure, have serious consequences</w:t>
      </w:r>
      <w:r w:rsidRPr="001F1399">
        <w:rPr>
          <w:rFonts w:ascii="Book Antiqua" w:hAnsi="Book Antiqua" w:cs="Segoe UI"/>
          <w:lang w:val="en-US"/>
        </w:rPr>
        <w:fldChar w:fldCharType="begin" w:fldLock="1"/>
      </w:r>
      <w:r w:rsidR="00B1214D" w:rsidRPr="001F1399">
        <w:rPr>
          <w:rFonts w:ascii="Book Antiqua" w:hAnsi="Book Antiqua" w:cs="Segoe UI"/>
          <w:lang w:val="en-US"/>
        </w:rPr>
        <w:instrText>ADDIN CSL_CITATION {"citationItems":[{"id":"ITEM-1","itemData":{"DOI":"10.1007/s11908-014-0448-3","ISSN":"15343146","PMID":"25348743","abstract":"Antibiotic neurotoxicity is rare but can cause significant morbidity when it occurs. The risk of antibiotic neurotoxicity appears to be highest in patients who are older, have impaired renal function, or have preexisting neurologic conditions. This review describes the clinical features of the most common antibiotic toxicities affecting the nervous system: seizures, encephalopathy, optic neuropathy, peripheral neuropathy, and exacerbation of myasthenia gravis.","author":[{"dropping-particle":"","family":"Bhattacharyya","given":"Shamik","non-dropping-particle":"","parse-names":false,"suffix":""},{"dropping-particle":"","family":"Darby","given":"Ryan","non-dropping-particle":"","parse-names":false,"suffix":""},{"dropping-particle":"","family":"Berkowitz","given":"Aaron L.","non-dropping-particle":"","parse-names":false,"suffix":""}],"container-title":"Current Infectious Disease Reports","id":"ITEM-1","issue":"12","issued":{"date-parts":[["2014"]]},"page":"1-6","title":"Antibiotic-Induced Neurotoxicity","type":"article-journal","volume":"16"},"uris":["http://www.mendeley.com/documents/?uuid=7d0e344e-17f4-4dd2-93c2-d33bcc30032d"]}],"mendeley":{"formattedCitation":"&lt;sup&gt;[167]&lt;/sup&gt;","plainTextFormattedCitation":"[167]","previouslyFormattedCitation":"&lt;sup&gt;[166]&lt;/sup&gt;"},"properties":{"noteIndex":0},"schema":"https://github.com/citation-style-language/schema/raw/master/csl-citation.json"}</w:instrText>
      </w:r>
      <w:r w:rsidRPr="001F1399">
        <w:rPr>
          <w:rFonts w:ascii="Book Antiqua" w:hAnsi="Book Antiqua" w:cs="Segoe UI"/>
          <w:lang w:val="en-US"/>
        </w:rPr>
        <w:fldChar w:fldCharType="separate"/>
      </w:r>
      <w:r w:rsidR="00B1214D" w:rsidRPr="001F1399">
        <w:rPr>
          <w:rFonts w:ascii="Book Antiqua" w:hAnsi="Book Antiqua" w:cs="Segoe UI"/>
          <w:noProof/>
          <w:vertAlign w:val="superscript"/>
          <w:lang w:val="en-US"/>
        </w:rPr>
        <w:t>[167]</w:t>
      </w:r>
      <w:r w:rsidRPr="001F1399">
        <w:rPr>
          <w:rFonts w:ascii="Book Antiqua" w:hAnsi="Book Antiqua" w:cs="Segoe UI"/>
          <w:lang w:val="en-US"/>
        </w:rPr>
        <w:fldChar w:fldCharType="end"/>
      </w:r>
      <w:r w:rsidR="003D3868" w:rsidRPr="001F1399">
        <w:rPr>
          <w:rFonts w:ascii="Book Antiqua" w:hAnsi="Book Antiqua" w:cs="Segoe UI"/>
          <w:lang w:val="en-US"/>
        </w:rPr>
        <w:t>. These toxicological effects have been evidenced for amoxicillin in juvenile rats</w:t>
      </w:r>
      <w:r w:rsidRPr="001F1399">
        <w:rPr>
          <w:rFonts w:ascii="Book Antiqua" w:hAnsi="Book Antiqua" w:cs="Segoe UI"/>
          <w:lang w:val="en-US"/>
        </w:rPr>
        <w:fldChar w:fldCharType="begin" w:fldLock="1"/>
      </w:r>
      <w:r w:rsidR="00B1214D" w:rsidRPr="001F1399">
        <w:rPr>
          <w:rFonts w:ascii="Book Antiqua" w:hAnsi="Book Antiqua" w:cs="Segoe UI"/>
          <w:lang w:val="en-US"/>
        </w:rPr>
        <w:instrText>ADDIN CSL_CITATION {"citationItems":[{"id":"ITEM-1","itemData":{"DOI":"10.1177/0960327115607948","ISSN":"14770903","PMID":"26429924","abstract":"Amoxicillin (AMX) is one of the most commonly prescribed antibiotics for children, and childhood is the period to have the highest risk for toxicity cases including drug-induced adverse reactions. Some neurological adverse effects (anxiety, hyperactivity, confusion, convulsions, and behavioral changes) have been reported related to AMX treatment. In the present study, we aimed to determine the neurotoxic effects of AMX administration at clinically relevant doses in female juvenile rats. AMX was administered in single oral daily doses of 25 and 50 mg/kg for 14 days. According to our results, while AMX administration caused a significant increase in the immobility time of animals, swimming time of these animals significantly decreased. AMX administration significantly reduced the onset of pentylenetetrazole-induced convulsions. The serotonin levels of brain tissues in the AMX-administered groups were decreased significantly, which is thought to be related to depression. The glutamate levels in brain tissues increased significantly in AMX-administered groups, which is thought to be related to convulsion. Otherwise, superoxide dismutase and catalase activities were significantly decreased in brain tissues of AMX-administered groups. In conclusion, AMX administration triggered depression and shortened the time of the appearance of first seizure in juvenile rats. Also, altered brain neurotransmitter levels and increased oxidative stress observed in our study were thought to be the possible underlying mechanisms of AMX-induced neurotoxicity.","author":[{"dropping-particle":"","family":"Atli","given":"O.","non-dropping-particle":"","parse-names":false,"suffix":""},{"dropping-particle":"","family":"Demir-Ozkay","given":"U.","non-dropping-particle":"","parse-names":false,"suffix":""},{"dropping-particle":"","family":"Ilgin","given":"S.","non-dropping-particle":"","parse-names":false,"suffix":""},{"dropping-particle":"","family":"Aydin","given":"T. H.","non-dropping-particle":"","parse-names":false,"suffix":""},{"dropping-particle":"","family":"Akbulut","given":"E. N.","non-dropping-particle":"","parse-names":false,"suffix":""},{"dropping-particle":"","family":"Sener","given":"E.","non-dropping-particle":"","parse-names":false,"suffix":""}],"container-title":"Human and Experimental Toxicology","id":"ITEM-1","issue":"8","issued":{"date-parts":[["2016"]]},"page":"866-876","title":"Evidence for neurotoxicity associated with amoxicillin in juvenile rats","type":"article-journal","volume":"35"},"uris":["http://www.mendeley.com/documents/?uuid=02b5e114-9a59-4bd8-8cb1-428a8a921ac1"]}],"mendeley":{"formattedCitation":"&lt;sup&gt;[168]&lt;/sup&gt;","plainTextFormattedCitation":"[168]","previouslyFormattedCitation":"&lt;sup&gt;[167]&lt;/sup&gt;"},"properties":{"noteIndex":0},"schema":"https://github.com/citation-style-language/schema/raw/master/csl-citation.json"}</w:instrText>
      </w:r>
      <w:r w:rsidRPr="001F1399">
        <w:rPr>
          <w:rFonts w:ascii="Book Antiqua" w:hAnsi="Book Antiqua" w:cs="Segoe UI"/>
          <w:lang w:val="en-US"/>
        </w:rPr>
        <w:fldChar w:fldCharType="separate"/>
      </w:r>
      <w:r w:rsidR="00B1214D" w:rsidRPr="001F1399">
        <w:rPr>
          <w:rFonts w:ascii="Book Antiqua" w:hAnsi="Book Antiqua" w:cs="Segoe UI"/>
          <w:noProof/>
          <w:vertAlign w:val="superscript"/>
          <w:lang w:val="en-US"/>
        </w:rPr>
        <w:t>[168]</w:t>
      </w:r>
      <w:r w:rsidRPr="001F1399">
        <w:rPr>
          <w:rFonts w:ascii="Book Antiqua" w:hAnsi="Book Antiqua" w:cs="Segoe UI"/>
          <w:lang w:val="en-US"/>
        </w:rPr>
        <w:fldChar w:fldCharType="end"/>
      </w:r>
      <w:r w:rsidR="003D3868" w:rsidRPr="001F1399">
        <w:rPr>
          <w:rFonts w:ascii="Book Antiqua" w:hAnsi="Book Antiqua" w:cs="Segoe UI"/>
          <w:lang w:val="en-US"/>
        </w:rPr>
        <w:t>.</w:t>
      </w:r>
    </w:p>
    <w:p w14:paraId="03C777BC" w14:textId="1C5B7C59" w:rsidR="00403E1D" w:rsidRPr="001F1399" w:rsidRDefault="00E85401" w:rsidP="002974FA">
      <w:pPr>
        <w:pStyle w:val="paragraph"/>
        <w:adjustRightInd w:val="0"/>
        <w:snapToGrid w:val="0"/>
        <w:spacing w:before="0" w:beforeAutospacing="0" w:after="0" w:afterAutospacing="0" w:line="360" w:lineRule="auto"/>
        <w:ind w:firstLineChars="100" w:firstLine="240"/>
        <w:jc w:val="both"/>
        <w:textAlignment w:val="baseline"/>
        <w:rPr>
          <w:rFonts w:ascii="Book Antiqua" w:hAnsi="Book Antiqua" w:cs="Segoe UI"/>
          <w:lang w:val="en-US"/>
        </w:rPr>
      </w:pPr>
      <w:r w:rsidRPr="001F1399">
        <w:rPr>
          <w:rFonts w:ascii="Book Antiqua" w:hAnsi="Book Antiqua" w:cs="Segoe UI"/>
          <w:lang w:val="en-US"/>
        </w:rPr>
        <w:t>Rotavirus infection is a very common cause of gastroenteritis</w:t>
      </w:r>
      <w:r w:rsidR="00AD49EC" w:rsidRPr="001F1399">
        <w:rPr>
          <w:rFonts w:ascii="Book Antiqua" w:hAnsi="Book Antiqua" w:cs="Segoe UI"/>
          <w:lang w:val="en-US"/>
        </w:rPr>
        <w:t xml:space="preserve"> since it targets mainly the </w:t>
      </w:r>
      <w:r w:rsidR="002D7306" w:rsidRPr="001F1399">
        <w:rPr>
          <w:rFonts w:ascii="Book Antiqua" w:hAnsi="Book Antiqua" w:cs="Segoe UI"/>
          <w:lang w:val="en-US"/>
        </w:rPr>
        <w:t xml:space="preserve">gastrointestinal </w:t>
      </w:r>
      <w:r w:rsidR="00AD49EC" w:rsidRPr="001F1399">
        <w:rPr>
          <w:rFonts w:ascii="Book Antiqua" w:hAnsi="Book Antiqua" w:cs="Segoe UI"/>
          <w:lang w:val="en-US"/>
        </w:rPr>
        <w:t xml:space="preserve">tract. </w:t>
      </w:r>
      <w:r w:rsidR="00763E98" w:rsidRPr="001F1399">
        <w:rPr>
          <w:rFonts w:ascii="Book Antiqua" w:hAnsi="Book Antiqua" w:cs="Segoe UI"/>
          <w:lang w:val="en-US"/>
        </w:rPr>
        <w:t xml:space="preserve">In animals several observations are </w:t>
      </w:r>
      <w:r w:rsidR="00715428" w:rsidRPr="001F1399">
        <w:rPr>
          <w:rFonts w:ascii="Book Antiqua" w:hAnsi="Book Antiqua" w:cs="Segoe UI"/>
          <w:lang w:val="en-US"/>
        </w:rPr>
        <w:t>concordant</w:t>
      </w:r>
      <w:r w:rsidR="00763E98" w:rsidRPr="001F1399">
        <w:rPr>
          <w:rFonts w:ascii="Book Antiqua" w:hAnsi="Book Antiqua" w:cs="Segoe UI"/>
          <w:lang w:val="en-US"/>
        </w:rPr>
        <w:t>: rotavirus infection decreases intestinal enzymes activities in both piglets</w:t>
      </w:r>
      <w:r w:rsidR="000B7CDB" w:rsidRPr="001F1399">
        <w:rPr>
          <w:rFonts w:ascii="Book Antiqua" w:hAnsi="Book Antiqua" w:cs="Segoe UI"/>
          <w:lang w:val="en-US"/>
        </w:rPr>
        <w:fldChar w:fldCharType="begin" w:fldLock="1"/>
      </w:r>
      <w:r w:rsidR="00B1214D" w:rsidRPr="001F1399">
        <w:rPr>
          <w:rFonts w:ascii="Book Antiqua" w:hAnsi="Book Antiqua" w:cs="Segoe UI"/>
          <w:lang w:val="en-US"/>
        </w:rPr>
        <w:instrText>ADDIN CSL_CITATION {"citationItems":[{"id":"ITEM-1","itemData":{"PMID":"217794","author":[{"dropping-particle":"","family":"Shepherd","given":"R W","non-dropping-particle":"","parse-names":false,"suffix":""},{"dropping-particle":"","family":"Butler","given":"D G","non-dropping-particle":"","parse-names":false,"suffix":""},{"dropping-particle":"","family":"Cutz","given":"E","non-dropping-particle":"","parse-names":false,"suffix":""},{"dropping-particle":"","family":"Gall","given":"D G","non-dropping-particle":"","parse-names":false,"suffix":""},{"dropping-particle":"","family":"Hamilton","given":"J R","non-dropping-particle":"","parse-names":false,"suffix":""}],"container-title":"Gastroenterology","id":"ITEM-1","issue":"4","issued":{"date-parts":[["1979"]]},"page":"770–777","title":"The mucosal lesion in viral enteritis. Extent and dynamics of the epithelial response to virus invasion in transmissible gastroenteritis of piglets","type":"article-journal","volume":"76"},"uris":["http://www.mendeley.com/documents/?uuid=cc0c1969-9b8d-4724-9719-2bc6f81c9161"]}],"mendeley":{"formattedCitation":"&lt;sup&gt;[169]&lt;/sup&gt;","plainTextFormattedCitation":"[169]","previouslyFormattedCitation":"&lt;sup&gt;[168]&lt;/sup&gt;"},"properties":{"noteIndex":0},"schema":"https://github.com/citation-style-language/schema/raw/master/csl-citation.json"}</w:instrText>
      </w:r>
      <w:r w:rsidR="000B7CDB" w:rsidRPr="001F1399">
        <w:rPr>
          <w:rFonts w:ascii="Book Antiqua" w:hAnsi="Book Antiqua" w:cs="Segoe UI"/>
          <w:lang w:val="en-US"/>
        </w:rPr>
        <w:fldChar w:fldCharType="separate"/>
      </w:r>
      <w:r w:rsidR="00B1214D" w:rsidRPr="001F1399">
        <w:rPr>
          <w:rFonts w:ascii="Book Antiqua" w:hAnsi="Book Antiqua" w:cs="Segoe UI"/>
          <w:noProof/>
          <w:vertAlign w:val="superscript"/>
          <w:lang w:val="en-US"/>
        </w:rPr>
        <w:t>[169]</w:t>
      </w:r>
      <w:r w:rsidR="000B7CDB" w:rsidRPr="001F1399">
        <w:rPr>
          <w:rFonts w:ascii="Book Antiqua" w:hAnsi="Book Antiqua" w:cs="Segoe UI"/>
          <w:lang w:val="en-US"/>
        </w:rPr>
        <w:fldChar w:fldCharType="end"/>
      </w:r>
      <w:r w:rsidR="00763E98" w:rsidRPr="001F1399">
        <w:rPr>
          <w:rFonts w:ascii="Book Antiqua" w:hAnsi="Book Antiqua" w:cs="Segoe UI"/>
          <w:lang w:val="en-US"/>
        </w:rPr>
        <w:t xml:space="preserve"> and young mice</w:t>
      </w:r>
      <w:r w:rsidR="000B7CDB" w:rsidRPr="001F1399">
        <w:rPr>
          <w:rFonts w:ascii="Book Antiqua" w:hAnsi="Book Antiqua" w:cs="Segoe UI"/>
          <w:lang w:val="en-US"/>
        </w:rPr>
        <w:fldChar w:fldCharType="begin" w:fldLock="1"/>
      </w:r>
      <w:r w:rsidR="00B1214D" w:rsidRPr="001F1399">
        <w:rPr>
          <w:rFonts w:ascii="Book Antiqua" w:hAnsi="Book Antiqua" w:cs="Segoe UI"/>
          <w:lang w:val="en-US"/>
        </w:rPr>
        <w:instrText>ADDIN CSL_CITATION {"citationItems":[{"id":"ITEM-1","itemData":{"DOI":"10.1097/00005176-198803000-00017","ISSN":"0277-2116","PMID":"2895174","author":[{"dropping-particle":"","family":"Collins","given":"J.","non-dropping-particle":"","parse-names":false,"suffix":""},{"dropping-particle":"","family":"Starkey","given":"W. G.","non-dropping-particle":"","parse-names":false,"suffix":""},{"dropping-particle":"","family":"Wallis","given":"T. S.","non-dropping-particle":"","parse-names":false,"suffix":""},{"dropping-particle":"","family":"Clarke","given":"G. J.","non-dropping-particle":"","parse-names":false,"suffix":""},{"dropping-particle":"","family":"Worton","given":"K. J.","non-dropping-particle":"","parse-names":false,"suffix":""},{"dropping-particle":"","family":"Spencer","given":"A. J.","non-dropping-particle":"","parse-names":false,"suffix":""},{"dropping-particle":"","family":"Haddon","given":"S. J.","non-dropping-particle":"","parse-names":false,"suffix":""},{"dropping-particle":"","family":"Osborne","given":"M. P.","non-dropping-particle":"","parse-names":false,"suffix":""},{"dropping-particle":"","family":"Candy","given":"D. C. A.","non-dropping-particle":"","parse-names":false,"suffix":""},{"dropping-particle":"","family":"Stephen","given":"J.","non-dropping-particle":"","parse-names":false,"suffix":""}],"container-title":"Journal of Pediatric Gastroenterology and Nutrition","id":"ITEM-1","issue":"2","issued":{"date-parts":[["1988","3"]]},"page":"264-272","title":"Intestinal Enzyme Profiles in Normal and Rotavirus-Infected Mice","type":"article-journal","volume":"7"},"uris":["http://www.mendeley.com/documents/?uuid=4ef2f4e8-10cd-4098-9263-35fedcca581c"]},{"id":"ITEM-2","itemData":{"DOI":"10.1046/j.1440-1746.1999.01948.x","ISSN":"08159319","PMID":"10482428","author":[{"dropping-particle":"","family":"Katyal","given":"Ranjan","non-dropping-particle":"","parse-names":false,"suffix":""},{"dropping-particle":"V","family":"Rana","given":"Satyawati","non-dropping-particle":"","parse-names":false,"suffix":""},{"dropping-particle":"","family":"Vaiphei","given":"Kim","non-dropping-particle":"","parse-names":false,"suffix":""},{"dropping-particle":"","family":"Ohja","given":"Sudarshan","non-dropping-particle":"","parse-names":false,"suffix":""},{"dropping-particle":"","family":"Singh","given":"Kartar","non-dropping-particle":"","parse-names":false,"suffix":""},{"dropping-particle":"","family":"Singh","given":"Virendra","non-dropping-particle":"","parse-names":false,"suffix":""}],"container-title":"Journal of Gastroenterology and Hepatology","id":"ITEM-2","issue":"8","issued":{"date-parts":[["1999","8"]]},"page":"779-784","title":"Effect of rotavirus infection on small gut pathophysiology in a mouse model","type":"article-journal","volume":"14"},"uris":["http://www.mendeley.com/documents/?uuid=306bbb1a-08f7-4a78-aaad-eab0b1302cae"]}],"mendeley":{"formattedCitation":"&lt;sup&gt;[170,171]&lt;/sup&gt;","plainTextFormattedCitation":"[170,171]","previouslyFormattedCitation":"&lt;sup&gt;[169,170]&lt;/sup&gt;"},"properties":{"noteIndex":0},"schema":"https://github.com/citation-style-language/schema/raw/master/csl-citation.json"}</w:instrText>
      </w:r>
      <w:r w:rsidR="000B7CDB" w:rsidRPr="001F1399">
        <w:rPr>
          <w:rFonts w:ascii="Book Antiqua" w:hAnsi="Book Antiqua" w:cs="Segoe UI"/>
          <w:lang w:val="en-US"/>
        </w:rPr>
        <w:fldChar w:fldCharType="separate"/>
      </w:r>
      <w:r w:rsidR="00B1214D" w:rsidRPr="001F1399">
        <w:rPr>
          <w:rFonts w:ascii="Book Antiqua" w:hAnsi="Book Antiqua" w:cs="Segoe UI"/>
          <w:noProof/>
          <w:vertAlign w:val="superscript"/>
          <w:lang w:val="en-US"/>
        </w:rPr>
        <w:t>[170,171]</w:t>
      </w:r>
      <w:r w:rsidR="000B7CDB" w:rsidRPr="001F1399">
        <w:rPr>
          <w:rFonts w:ascii="Book Antiqua" w:hAnsi="Book Antiqua" w:cs="Segoe UI"/>
          <w:lang w:val="en-US"/>
        </w:rPr>
        <w:fldChar w:fldCharType="end"/>
      </w:r>
      <w:r w:rsidR="00763E98" w:rsidRPr="001F1399">
        <w:rPr>
          <w:rFonts w:ascii="Book Antiqua" w:hAnsi="Book Antiqua" w:cs="Segoe UI"/>
          <w:lang w:val="en-US"/>
        </w:rPr>
        <w:t>. In rabbits, it impairs epithelial homeostasis but altering the intestinal brush</w:t>
      </w:r>
      <w:r w:rsidR="00D47A40" w:rsidRPr="001F1399">
        <w:rPr>
          <w:rFonts w:ascii="Book Antiqua" w:hAnsi="Book Antiqua" w:cs="Segoe UI"/>
          <w:lang w:val="en-US"/>
        </w:rPr>
        <w:t xml:space="preserve"> </w:t>
      </w:r>
      <w:r w:rsidR="00763E98" w:rsidRPr="001F1399">
        <w:rPr>
          <w:rFonts w:ascii="Book Antiqua" w:hAnsi="Book Antiqua" w:cs="Segoe UI"/>
          <w:lang w:val="en-US"/>
        </w:rPr>
        <w:t>border membrane</w:t>
      </w:r>
      <w:r w:rsidR="000B7CDB" w:rsidRPr="001F1399">
        <w:rPr>
          <w:rFonts w:ascii="Book Antiqua" w:hAnsi="Book Antiqua" w:cs="Segoe UI"/>
          <w:lang w:val="en-US"/>
        </w:rPr>
        <w:fldChar w:fldCharType="begin" w:fldLock="1"/>
      </w:r>
      <w:r w:rsidR="00B1214D" w:rsidRPr="001F1399">
        <w:rPr>
          <w:rFonts w:ascii="Book Antiqua" w:hAnsi="Book Antiqua" w:cs="Segoe UI"/>
          <w:lang w:val="en-US"/>
        </w:rPr>
        <w:instrText>ADDIN CSL_CITATION {"citationItems":[{"id":"ITEM-1","itemData":{"DOI":"10.1152/ajpgi.2000.279.3.G587","ISSN":"0193-1857","PMID":"10960359","abstract":"The mechanism of rotavirus diarrhea was investigated by infecting young, specific pathogen-free, New Zealand rabbits with a lapine rotavirus, strain La/RR510. With 4-wk-old animals, virus shedding into the intestinal lumen peaked at 72 h postinfection (hpi), and a mild, watery diarrhea appeared at 124 hpi. No intestinal lesions were seen up to 144 hpi, indicating that diarrhea does not follow mucosal damage but can precede it, as if cell dysfunction were the cause, not the consequence, of the histological lesions. Kinetic analyses with brush-border membrane vesicles isolated from infected rabbits revealed strong inhibition of both Na + -d-glucose (SGLT1) and Na + -l-leucine symport activities. For both symporters, only maximum velocity decreased with time. The density of phlorizin-binding sites and SGLT1 protein antigen in the membrane remained unaffected, indicating that the virus effect on this symporter is direct. Because SGLT1 supports water reabsorption under physiological conditions, the mechanism of rotavirus diarrhea may involve a generalized inhibition of Na + -solute symport systems, hence, of water reabsorption. Massive water loss through the intestine may eventually overwhelm the capacity of the organ for water reabsorption, thereby helping the diarrhea to get established.","author":[{"dropping-particle":"","family":"Halaihel","given":"Nabil","non-dropping-particle":"","parse-names":false,"suffix":""},{"dropping-particle":"","family":"Liévin","given":"Vanessa","non-dropping-particle":"","parse-names":false,"suffix":""},{"dropping-particle":"","family":"Alvarado","given":"Francisco","non-dropping-particle":"","parse-names":false,"suffix":""},{"dropping-particle":"","family":"Vasseur","given":"Monique","non-dropping-particle":"","parse-names":false,"suffix":""}],"container-title":"American Journal of Physiology-Gastrointestinal and Liver Physiology","id":"ITEM-1","issue":"3","issued":{"date-parts":[["2000","9","1"]]},"page":"G587-G596","title":"Rotavirus infection impairs intestinal brush-border membrane Na + -solute cotransport activities in young rabbits","type":"article-journal","volume":"279"},"uris":["http://www.mendeley.com/documents/?uuid=0f9c0ccd-e973-4f59-832e-5e51fbaee081"]}],"mendeley":{"formattedCitation":"&lt;sup&gt;[172]&lt;/sup&gt;","plainTextFormattedCitation":"[172]","previouslyFormattedCitation":"&lt;sup&gt;[171]&lt;/sup&gt;"},"properties":{"noteIndex":0},"schema":"https://github.com/citation-style-language/schema/raw/master/csl-citation.json"}</w:instrText>
      </w:r>
      <w:r w:rsidR="000B7CDB" w:rsidRPr="001F1399">
        <w:rPr>
          <w:rFonts w:ascii="Book Antiqua" w:hAnsi="Book Antiqua" w:cs="Segoe UI"/>
          <w:lang w:val="en-US"/>
        </w:rPr>
        <w:fldChar w:fldCharType="separate"/>
      </w:r>
      <w:r w:rsidR="00B1214D" w:rsidRPr="001F1399">
        <w:rPr>
          <w:rFonts w:ascii="Book Antiqua" w:hAnsi="Book Antiqua" w:cs="Segoe UI"/>
          <w:noProof/>
          <w:vertAlign w:val="superscript"/>
          <w:lang w:val="en-US"/>
        </w:rPr>
        <w:t>[172]</w:t>
      </w:r>
      <w:r w:rsidR="000B7CDB" w:rsidRPr="001F1399">
        <w:rPr>
          <w:rFonts w:ascii="Book Antiqua" w:hAnsi="Book Antiqua" w:cs="Segoe UI"/>
          <w:lang w:val="en-US"/>
        </w:rPr>
        <w:fldChar w:fldCharType="end"/>
      </w:r>
      <w:r w:rsidR="00763E98" w:rsidRPr="001F1399">
        <w:rPr>
          <w:rFonts w:ascii="Book Antiqua" w:hAnsi="Book Antiqua" w:cs="Segoe UI"/>
          <w:lang w:val="en-US"/>
        </w:rPr>
        <w:t xml:space="preserve">. </w:t>
      </w:r>
      <w:r w:rsidR="000B7CDB" w:rsidRPr="001F1399">
        <w:rPr>
          <w:rFonts w:ascii="Book Antiqua" w:hAnsi="Book Antiqua" w:cs="Segoe UI"/>
          <w:lang w:val="en-US"/>
        </w:rPr>
        <w:t>Rotavirus infection in children results in the occurrence of a flat mucosa with total virus atrophy</w:t>
      </w:r>
      <w:r w:rsidR="000B7CDB" w:rsidRPr="001F1399">
        <w:rPr>
          <w:rFonts w:ascii="Book Antiqua" w:hAnsi="Book Antiqua" w:cs="Segoe UI"/>
          <w:lang w:val="en-US"/>
        </w:rPr>
        <w:fldChar w:fldCharType="begin" w:fldLock="1"/>
      </w:r>
      <w:r w:rsidR="00B1214D" w:rsidRPr="001F1399">
        <w:rPr>
          <w:rFonts w:ascii="Book Antiqua" w:hAnsi="Book Antiqua" w:cs="Segoe UI"/>
          <w:lang w:val="en-US"/>
        </w:rPr>
        <w:instrText>ADDIN CSL_CITATION {"citationItems":[{"id":"ITEM-1","itemData":{"DOI":"10.1016/s0140-6736(73)92867-5","ISSN":"01406736","PMID":"4127639","author":[{"dropping-particle":"","family":"Bishop","given":"RuthF.","non-dropping-particle":"","parse-names":false,"suffix":""},{"dropping-particle":"","family":"Davidson","given":"G.P.","non-dropping-particle":"","parse-names":false,"suffix":""},{"dropping-particle":"","family":"Holmes","given":"I.H.","non-dropping-particle":"","parse-names":false,"suffix":""},{"dropping-particle":"","family":"Ruck","given":"B.J.","non-dropping-particle":"","parse-names":false,"suffix":""}],"container-title":"The Lancet","id":"ITEM-1","issue":"7841","issued":{"date-parts":[["1973","12"]]},"page":"1281-1283","title":"Virus Parcicles in Epithelial cells of duodenal mucosa from children with acute non-bacterial gastroenteritis","type":"article-journal","volume":"302"},"uris":["http://www.mendeley.com/documents/?uuid=cbce085f-4786-49a9-8be2-da659663983b"]}],"mendeley":{"formattedCitation":"&lt;sup&gt;[173]&lt;/sup&gt;","plainTextFormattedCitation":"[173]","previouslyFormattedCitation":"&lt;sup&gt;[172]&lt;/sup&gt;"},"properties":{"noteIndex":0},"schema":"https://github.com/citation-style-language/schema/raw/master/csl-citation.json"}</w:instrText>
      </w:r>
      <w:r w:rsidR="000B7CDB" w:rsidRPr="001F1399">
        <w:rPr>
          <w:rFonts w:ascii="Book Antiqua" w:hAnsi="Book Antiqua" w:cs="Segoe UI"/>
          <w:lang w:val="en-US"/>
        </w:rPr>
        <w:fldChar w:fldCharType="separate"/>
      </w:r>
      <w:r w:rsidR="00B1214D" w:rsidRPr="001F1399">
        <w:rPr>
          <w:rFonts w:ascii="Book Antiqua" w:hAnsi="Book Antiqua" w:cs="Segoe UI"/>
          <w:noProof/>
          <w:vertAlign w:val="superscript"/>
          <w:lang w:val="en-US"/>
        </w:rPr>
        <w:t>[173]</w:t>
      </w:r>
      <w:r w:rsidR="000B7CDB" w:rsidRPr="001F1399">
        <w:rPr>
          <w:rFonts w:ascii="Book Antiqua" w:hAnsi="Book Antiqua" w:cs="Segoe UI"/>
          <w:lang w:val="en-US"/>
        </w:rPr>
        <w:fldChar w:fldCharType="end"/>
      </w:r>
      <w:r w:rsidR="000B7CDB" w:rsidRPr="001F1399">
        <w:rPr>
          <w:rFonts w:ascii="Book Antiqua" w:hAnsi="Book Antiqua" w:cs="Segoe UI"/>
          <w:lang w:val="en-US"/>
        </w:rPr>
        <w:t xml:space="preserve">. </w:t>
      </w:r>
      <w:r w:rsidR="00DB1879" w:rsidRPr="001F1399">
        <w:rPr>
          <w:rFonts w:ascii="Book Antiqua" w:hAnsi="Book Antiqua" w:cs="Segoe UI"/>
          <w:lang w:val="en-US"/>
        </w:rPr>
        <w:t xml:space="preserve">Exposition during early life to environmental </w:t>
      </w:r>
      <w:r w:rsidR="00DB1879" w:rsidRPr="001F1399">
        <w:rPr>
          <w:rFonts w:ascii="Book Antiqua" w:hAnsi="Book Antiqua" w:cs="Segoe UI"/>
          <w:lang w:val="en-US"/>
        </w:rPr>
        <w:lastRenderedPageBreak/>
        <w:t>microorganisms strongly affects protein expression at the brush border since it clearly stimulates TLR5 and TLR9 gene expressions of exposed new born mice</w:t>
      </w:r>
      <w:r w:rsidR="00DB1879" w:rsidRPr="001F1399">
        <w:rPr>
          <w:rFonts w:ascii="Book Antiqua" w:hAnsi="Book Antiqua" w:cs="Segoe UI"/>
          <w:lang w:val="en-US"/>
        </w:rPr>
        <w:fldChar w:fldCharType="begin" w:fldLock="1"/>
      </w:r>
      <w:r w:rsidR="00B1214D" w:rsidRPr="001F1399">
        <w:rPr>
          <w:rFonts w:ascii="Book Antiqua" w:hAnsi="Book Antiqua" w:cs="Segoe UI"/>
          <w:lang w:val="en-US"/>
        </w:rPr>
        <w:instrText>ADDIN CSL_CITATION {"citationItems":[{"id":"ITEM-1","itemData":{"DOI":"10.1017/S2040174412000712","ISBN":"6176321972","ISSN":"2040-1744","PMID":"1000000221","abstract":"The human fetus lives in a germ-free intrauterine environment and enters the outside world containing microorganisms from several sources, resulting in gut colonization. Full-term, vaginally born infants are completely colonized with a diverse array of bacterial families in clusters (Phyla) and species (&gt;1000) by the first year of life. Colonizing bacteria communicating with the gut epithelium and underlying lymphoid tissues (‘bacterial–epithelial crosstalk’) result in a functional immune phenotype and no expression of disease (immune homeostasis). Appropriate colonization is influenced by the prebiotic effect of breast milk oligosaccharides. Adequate colonization results in an innate and adaptive mucosal immune phenotype via communication between molecular patterns on colonizing bacteria and pattern-recognition receptors (e.g., toll-like receptors) on epithelial and lymphoid cells. This ontogeny affects the immune system's capacity to develop oral tolerance to innocuous bacteria and benign antigens. Inadequate intestinal colonization with premature delivery, delivery by Cesarean section and excessive use of perinatal antibiotics results in the absence of adequate bacterial–epithelial crosstalk and an increased incidence of immune-mediated diseases [e.g., asthma, allergy in general and necrotizing enterocolitis (NEC)]. Fortunately, infants with inadequate intestinal colonization can be restored to a bacterial balance with the intake of probiotics. This has been shown to prevent debilitating diseases such as NEC. Thus, understanding the role of gut microbiota in programming of the immune phenotype may be important in preventing disease expression in later childhood and adulthood.","author":[{"dropping-particle":"","family":"Weng","given":"M.","non-dropping-particle":"","parse-names":false,"suffix":""},{"dropping-particle":"","family":"Walker","given":"W. A.","non-dropping-particle":"","parse-names":false,"suffix":""}],"container-title":"Journal of Developmental Origins of Health and Disease","id":"ITEM-1","issue":"3","issued":{"date-parts":[["2013","6","8"]]},"page":"203-214","title":"The role of gut microbiota in programming the immune phenotype","type":"article-journal","volume":"4"},"uris":["http://www.mendeley.com/documents/?uuid=40aa87cd-c115-486e-8503-857be8731232"]}],"mendeley":{"formattedCitation":"&lt;sup&gt;[174]&lt;/sup&gt;","plainTextFormattedCitation":"[174]","previouslyFormattedCitation":"&lt;sup&gt;[173]&lt;/sup&gt;"},"properties":{"noteIndex":0},"schema":"https://github.com/citation-style-language/schema/raw/master/csl-citation.json"}</w:instrText>
      </w:r>
      <w:r w:rsidR="00DB1879" w:rsidRPr="001F1399">
        <w:rPr>
          <w:rFonts w:ascii="Book Antiqua" w:hAnsi="Book Antiqua" w:cs="Segoe UI"/>
          <w:lang w:val="en-US"/>
        </w:rPr>
        <w:fldChar w:fldCharType="separate"/>
      </w:r>
      <w:r w:rsidR="00B1214D" w:rsidRPr="001F1399">
        <w:rPr>
          <w:rFonts w:ascii="Book Antiqua" w:hAnsi="Book Antiqua" w:cs="Segoe UI"/>
          <w:noProof/>
          <w:vertAlign w:val="superscript"/>
          <w:lang w:val="en-US"/>
        </w:rPr>
        <w:t>[174]</w:t>
      </w:r>
      <w:r w:rsidR="00DB1879" w:rsidRPr="001F1399">
        <w:rPr>
          <w:rFonts w:ascii="Book Antiqua" w:hAnsi="Book Antiqua" w:cs="Segoe UI"/>
          <w:lang w:val="en-US"/>
        </w:rPr>
        <w:fldChar w:fldCharType="end"/>
      </w:r>
      <w:r w:rsidR="00DB1879" w:rsidRPr="001F1399">
        <w:rPr>
          <w:rFonts w:ascii="Book Antiqua" w:hAnsi="Book Antiqua" w:cs="Segoe UI"/>
          <w:lang w:val="en-US"/>
        </w:rPr>
        <w:t xml:space="preserve">. This mismatch at birth will fragilize the maturation of the intestinal epithelium. </w:t>
      </w:r>
    </w:p>
    <w:p w14:paraId="0AD4AF4A" w14:textId="77777777" w:rsidR="00403E1D" w:rsidRPr="001F1399" w:rsidRDefault="00403E1D" w:rsidP="002974FA">
      <w:pPr>
        <w:pStyle w:val="paragraph"/>
        <w:adjustRightInd w:val="0"/>
        <w:snapToGrid w:val="0"/>
        <w:spacing w:before="0" w:beforeAutospacing="0" w:after="0" w:afterAutospacing="0" w:line="360" w:lineRule="auto"/>
        <w:jc w:val="both"/>
        <w:textAlignment w:val="baseline"/>
        <w:rPr>
          <w:rFonts w:ascii="Book Antiqua" w:hAnsi="Book Antiqua" w:cs="Segoe UI"/>
          <w:lang w:val="en-US"/>
        </w:rPr>
      </w:pPr>
    </w:p>
    <w:p w14:paraId="149E136A" w14:textId="41185E9E" w:rsidR="00D51788" w:rsidRPr="001F1399" w:rsidRDefault="00D51788" w:rsidP="002974FA">
      <w:pPr>
        <w:pStyle w:val="paragraph"/>
        <w:adjustRightInd w:val="0"/>
        <w:snapToGrid w:val="0"/>
        <w:spacing w:before="0" w:beforeAutospacing="0" w:after="0" w:afterAutospacing="0" w:line="360" w:lineRule="auto"/>
        <w:jc w:val="both"/>
        <w:textAlignment w:val="baseline"/>
        <w:rPr>
          <w:rFonts w:ascii="Book Antiqua" w:hAnsi="Book Antiqua" w:cs="Segoe UI"/>
          <w:b/>
          <w:i/>
          <w:lang w:val="en-US"/>
        </w:rPr>
      </w:pPr>
      <w:r w:rsidRPr="001F1399">
        <w:rPr>
          <w:rStyle w:val="normaltextrun"/>
          <w:rFonts w:ascii="Book Antiqua" w:hAnsi="Book Antiqua" w:cs="Calibri"/>
          <w:b/>
          <w:i/>
          <w:lang w:val="en-US"/>
        </w:rPr>
        <w:t>Postnatal exposure to pesticides</w:t>
      </w:r>
    </w:p>
    <w:p w14:paraId="1B208A98" w14:textId="60D0DC7E" w:rsidR="1EFD163B" w:rsidRPr="001F1399" w:rsidRDefault="1EFD163B" w:rsidP="002974FA">
      <w:pPr>
        <w:pStyle w:val="paragraph"/>
        <w:adjustRightInd w:val="0"/>
        <w:snapToGrid w:val="0"/>
        <w:spacing w:before="0" w:beforeAutospacing="0" w:after="0" w:afterAutospacing="0" w:line="360" w:lineRule="auto"/>
        <w:jc w:val="both"/>
        <w:rPr>
          <w:rFonts w:ascii="Book Antiqua" w:hAnsi="Book Antiqua" w:cstheme="minorBidi"/>
          <w:lang w:val="en-US"/>
        </w:rPr>
      </w:pPr>
      <w:r w:rsidRPr="001F1399">
        <w:rPr>
          <w:rFonts w:ascii="Book Antiqua" w:hAnsi="Book Antiqua" w:cstheme="minorBidi"/>
          <w:lang w:val="en-US"/>
        </w:rPr>
        <w:t>There is growing evidence from animal studies suggesting that early life exposure to toxic stress may magnify the effects of environmental chemical exposure on neurodevelopment</w:t>
      </w:r>
      <w:r w:rsidR="001F319C" w:rsidRPr="001F1399">
        <w:rPr>
          <w:rFonts w:ascii="Book Antiqua" w:hAnsi="Book Antiqua" w:cstheme="minorBidi"/>
          <w:lang w:val="en-US"/>
        </w:rPr>
        <w:fldChar w:fldCharType="begin" w:fldLock="1"/>
      </w:r>
      <w:r w:rsidR="00B1214D" w:rsidRPr="001F1399">
        <w:rPr>
          <w:rFonts w:ascii="Book Antiqua" w:hAnsi="Book Antiqua" w:cstheme="minorBidi"/>
          <w:lang w:val="en-US"/>
        </w:rPr>
        <w:instrText>ADDIN CSL_CITATION {"citationItems":[{"id":"ITEM-1","itemData":{"DOI":"10.1016/j.neuro.2008.04.005","ISSN":"0161813X","PMID":"18501967","abstract":"Socioeconomic status (SES) is usually considered to be a potential confounder of the association between lead exposure and children's neurodevelopment, but experimental and epidemiological data suggest that SES might also modify lead neurotoxicity. The basis of this effect modification is uncertain, but might include differences among SES strata in co-exposures to other neurotoxicants, genetic susceptibilities, environmental enrichment, and stress. The role of SES in the causal nexus is likely to include other dimensions, however. It conveys information about lead exposure opportunities as well as about predictors of child outcome that are correlated with but causally independent of lead. Failure to distinguish these aspects of SES will lead to an underestimate of lead's contribution, and might even result in attributing to SES health effects that should be attributed to lead. Conventional models, which treat SES and SES-related factors solely as potential confounders, do not capture the possibility that a child's early lead exposure alters the behaviors that the child elicits from others. Failure to model lead's contribution to such time-varying covariates will also tend to bias estimates of lead neurotoxicity toward the null. On a trans-generational level, low SES might be a proxy for vulnerability to lead. To estimate the burden of lead-associated neurotoxicity on a population level, we need to apply analytical approaches that model a child's development and its context as a complex system of interdependent relationships that change over time. © 2008 Elsevier Inc. All rights reserved.","author":[{"dropping-particle":"","family":"Bellinger","given":"David C.","non-dropping-particle":"","parse-names":false,"suffix":""}],"container-title":"NeuroToxicology","id":"ITEM-1","issue":"5","issued":{"date-parts":[["2008","9"]]},"page":"828-832","title":"Lead neurotoxicity and socioeconomic status: Conceptual and analytical issues","type":"article-journal","volume":"29"},"uris":["http://www.mendeley.com/documents/?uuid=36552a5b-1a73-314a-9c49-f1074ae2068d"]}],"mendeley":{"formattedCitation":"&lt;sup&gt;[175]&lt;/sup&gt;","plainTextFormattedCitation":"[175]","previouslyFormattedCitation":"&lt;sup&gt;[174]&lt;/sup&gt;"},"properties":{"noteIndex":0},"schema":"https://github.com/citation-style-language/schema/raw/master/csl-citation.json"}</w:instrText>
      </w:r>
      <w:r w:rsidR="001F319C" w:rsidRPr="001F1399">
        <w:rPr>
          <w:rFonts w:ascii="Book Antiqua" w:hAnsi="Book Antiqua" w:cstheme="minorBidi"/>
          <w:lang w:val="en-US"/>
        </w:rPr>
        <w:fldChar w:fldCharType="separate"/>
      </w:r>
      <w:r w:rsidR="00B1214D" w:rsidRPr="001F1399">
        <w:rPr>
          <w:rFonts w:ascii="Book Antiqua" w:hAnsi="Book Antiqua" w:cstheme="minorBidi"/>
          <w:noProof/>
          <w:vertAlign w:val="superscript"/>
          <w:lang w:val="en-US"/>
        </w:rPr>
        <w:t>[175]</w:t>
      </w:r>
      <w:r w:rsidR="001F319C" w:rsidRPr="001F1399">
        <w:rPr>
          <w:rFonts w:ascii="Book Antiqua" w:hAnsi="Book Antiqua" w:cstheme="minorBidi"/>
          <w:lang w:val="en-US"/>
        </w:rPr>
        <w:fldChar w:fldCharType="end"/>
      </w:r>
      <w:r w:rsidR="001F319C" w:rsidRPr="001F1399">
        <w:rPr>
          <w:rFonts w:ascii="Book Antiqua" w:hAnsi="Book Antiqua" w:cstheme="minorBidi"/>
          <w:lang w:val="en-US"/>
        </w:rPr>
        <w:t>.</w:t>
      </w:r>
      <w:r w:rsidRPr="001F1399">
        <w:rPr>
          <w:rFonts w:ascii="Book Antiqua" w:hAnsi="Book Antiqua" w:cstheme="minorBidi"/>
          <w:lang w:val="en-US"/>
        </w:rPr>
        <w:t xml:space="preserve"> Air pollution and pesticides may affect growth during infancy or childhood, and they are associated with neurodevelopmental and behavioral problems</w:t>
      </w:r>
      <w:r w:rsidR="001F319C" w:rsidRPr="001F1399">
        <w:rPr>
          <w:rFonts w:ascii="Book Antiqua" w:hAnsi="Book Antiqua" w:cstheme="minorBidi"/>
          <w:lang w:val="en-US"/>
        </w:rPr>
        <w:fldChar w:fldCharType="begin" w:fldLock="1"/>
      </w:r>
      <w:r w:rsidR="00B1214D" w:rsidRPr="001F1399">
        <w:rPr>
          <w:rFonts w:ascii="Book Antiqua" w:hAnsi="Book Antiqua" w:cstheme="minorBidi"/>
          <w:lang w:val="en-US"/>
        </w:rPr>
        <w:instrText>ADDIN CSL_CITATION {"citationItems":[{"id":"ITEM-1","itemData":{"DOI":"10.1016/j.envres.2019.108754","ISSN":"10960953","PMID":"31563033","abstract":"The life style and child raising environment in Asia are quite different compared with Western countries. Besides, the children's environmental threats and difficulties in conducting studies could be different. To address children's environmental health in Asia area, the Birth Cohort Consortium of Asia (BiCCA) was co-established in 2011. We reviewed the mercury, polychlorinated biphenyls, perfluoroalkyl substances, phthalates, and environmental tobacco smoke in pervious based on birth cohort studies in Asia. The aim of this study was to summarize the traditional environmental pollution and the target subjects were also based on the birth cohort in Asia area. Environmental pollutants included air pollutants, pesticides focusing on organochlorine pesticides, diakylphosphates, and pyrethroid, and heavy metals including lead, arsenic, cadmium, manganese, vanadium, and thallium. Fetal growth and pregnancy outcomes, childhood growth and obesity, neurodevelopment and behavioral problems, and allergic disease and immune function were classified to elucidate the children's health effects. In total, 106 studies were selected in this study. The evidences showed air pollution or pesticides may affect growth during infancy or childhood, and associated with neurodevelopmental or behavioral problems. Prenatal exposure to lead or manganese was associated with neurodevelopmental or behavioral problems, while exposure to arsenic or cadmium may influence fetal growth. In addition to the harmonization and international collaboration of birth cohorts in Asia; however, understand the whole picture of exposure scenario and consider more discipline in the research are necessary.","author":[{"dropping-particle":"","family":"Tsai","given":"Meng Shan","non-dropping-particle":"","parse-names":false,"suffix":""},{"dropping-particle":"","family":"Chen","given":"Mei Huei","non-dropping-particle":"","parse-names":false,"suffix":""},{"dropping-particle":"","family":"Lin","given":"Ching Chun","non-dropping-particle":"","parse-names":false,"suffix":""},{"dropping-particle":"","family":"Liu","given":"Chen Yu","non-dropping-particle":"","parse-names":false,"suffix":""},{"dropping-particle":"","family":"Chen","given":"Pau Chung","non-dropping-particle":"","parse-names":false,"suffix":""}],"container-title":"Environmental Research","id":"ITEM-1","issued":{"date-parts":[["2019","12","1"]]},"publisher":"Academic Press Inc.","title":"Children's environmental health based on birth cohort studies of Asia (2) – air pollution, pesticides, and heavy metals","type":"article-journal","volume":"179"},"uris":["http://www.mendeley.com/documents/?uuid=d69e85ea-c8ce-3fe9-b872-77380b16b27e"]}],"mendeley":{"formattedCitation":"&lt;sup&gt;[176]&lt;/sup&gt;","plainTextFormattedCitation":"[176]","previouslyFormattedCitation":"&lt;sup&gt;[175]&lt;/sup&gt;"},"properties":{"noteIndex":0},"schema":"https://github.com/citation-style-language/schema/raw/master/csl-citation.json"}</w:instrText>
      </w:r>
      <w:r w:rsidR="001F319C" w:rsidRPr="001F1399">
        <w:rPr>
          <w:rFonts w:ascii="Book Antiqua" w:hAnsi="Book Antiqua" w:cstheme="minorBidi"/>
          <w:lang w:val="en-US"/>
        </w:rPr>
        <w:fldChar w:fldCharType="separate"/>
      </w:r>
      <w:r w:rsidR="00B1214D" w:rsidRPr="001F1399">
        <w:rPr>
          <w:rFonts w:ascii="Book Antiqua" w:hAnsi="Book Antiqua" w:cstheme="minorBidi"/>
          <w:noProof/>
          <w:vertAlign w:val="superscript"/>
          <w:lang w:val="en-US"/>
        </w:rPr>
        <w:t>[176]</w:t>
      </w:r>
      <w:r w:rsidR="001F319C" w:rsidRPr="001F1399">
        <w:rPr>
          <w:rFonts w:ascii="Book Antiqua" w:hAnsi="Book Antiqua" w:cstheme="minorBidi"/>
          <w:lang w:val="en-US"/>
        </w:rPr>
        <w:fldChar w:fldCharType="end"/>
      </w:r>
      <w:r w:rsidRPr="001F1399">
        <w:rPr>
          <w:rFonts w:ascii="Book Antiqua" w:hAnsi="Book Antiqua" w:cstheme="minorBidi"/>
          <w:lang w:val="en-US"/>
        </w:rPr>
        <w:t>.</w:t>
      </w:r>
    </w:p>
    <w:p w14:paraId="1B159590" w14:textId="4CEFC232" w:rsidR="1EFD163B" w:rsidRPr="001F1399" w:rsidRDefault="1EFD163B" w:rsidP="002974FA">
      <w:pPr>
        <w:pStyle w:val="paragraph"/>
        <w:adjustRightInd w:val="0"/>
        <w:snapToGrid w:val="0"/>
        <w:spacing w:before="0" w:beforeAutospacing="0" w:after="0" w:afterAutospacing="0" w:line="360" w:lineRule="auto"/>
        <w:ind w:firstLineChars="100" w:firstLine="240"/>
        <w:jc w:val="both"/>
        <w:rPr>
          <w:rFonts w:ascii="Book Antiqua" w:hAnsi="Book Antiqua" w:cstheme="minorBidi"/>
          <w:lang w:val="en-US"/>
        </w:rPr>
      </w:pPr>
      <w:r w:rsidRPr="001F1399">
        <w:rPr>
          <w:rFonts w:ascii="Book Antiqua" w:hAnsi="Book Antiqua" w:cstheme="minorBidi"/>
          <w:lang w:val="en-US"/>
        </w:rPr>
        <w:t>Organophosphates pesticide are neurotoxic at high doses and target the nervous system of chi</w:t>
      </w:r>
      <w:r w:rsidR="000C542F" w:rsidRPr="001F1399">
        <w:rPr>
          <w:rFonts w:ascii="Book Antiqua" w:hAnsi="Book Antiqua" w:cstheme="minorBidi"/>
          <w:lang w:val="en-US"/>
        </w:rPr>
        <w:t>l</w:t>
      </w:r>
      <w:r w:rsidRPr="001F1399">
        <w:rPr>
          <w:rFonts w:ascii="Book Antiqua" w:hAnsi="Book Antiqua" w:cstheme="minorBidi"/>
          <w:lang w:val="en-US"/>
        </w:rPr>
        <w:t xml:space="preserve">dren, and are associated with changes in neurotransmitters including serotonin, norepinephrine, acetylcholine, and dopamine. The associations of organophosphate pesticide and child IQ at 7 years old was noted by Stein </w:t>
      </w:r>
      <w:r w:rsidRPr="001F1399">
        <w:rPr>
          <w:rFonts w:ascii="Book Antiqua" w:hAnsi="Book Antiqua" w:cstheme="minorBidi"/>
          <w:i/>
          <w:iCs/>
          <w:lang w:val="en-US"/>
        </w:rPr>
        <w:t>et al</w:t>
      </w:r>
      <w:r w:rsidR="000A6ED0" w:rsidRPr="001F1399">
        <w:rPr>
          <w:rFonts w:ascii="Book Antiqua" w:hAnsi="Book Antiqua" w:cstheme="minorBidi"/>
          <w:lang w:val="en-US"/>
        </w:rPr>
        <w:fldChar w:fldCharType="begin" w:fldLock="1"/>
      </w:r>
      <w:r w:rsidR="00B1214D" w:rsidRPr="001F1399">
        <w:rPr>
          <w:rFonts w:ascii="Book Antiqua" w:hAnsi="Book Antiqua" w:cstheme="minorBidi"/>
          <w:lang w:val="en-US"/>
        </w:rPr>
        <w:instrText>ADDIN CSL_CITATION {"citationItems":[{"id":"ITEM-1","itemData":{"DOI":"10.1016/j.neuro.2016.07.010","ISSN":"18729711","PMID":"27474229","abstract":"Background Previous studies have observed an adverse association between prenatal exposure to organophosphate pesticide (OPs) and child cognition, but few studies consider the potential role of social stressors in modifying this relationship. Objective We seek to explore the potential role of early social adversities in modifying the relationship between OPs and child IQ in an agricultural Mexican American population. Methods Participants from the Center for the Health Assessment of Mothers and Children of Salinas (CHAMACOS) study, a prospective longitudinal pre-birth cohort study, include 329 singleton infants and their mothers followed from pregnancy through age 7. Dialkyl phosphate metabolite concentrations (DAPs), a biomarker of organophosphate pesticide exposure, were measured in maternal urine collected twice during pregnancy and averaged. Child cognitive ability was assessed at 7 years using the Wechsler Intelligence Scale for Children – Fourth Edition. Demographic characteristics and adversity information were collected during interviews and home visits at numerous time points from pregnancy until age 7. Results Among low-income Latina mothers and their children in the Salinas Valley, total adversity and specific domains of adversity including poor learning environment and adverse parent-child relationships were negatively associated with child cognition. Adverse associations between DAP concentrations and IQ were stronger in children experiencing greater adversity; these associations varied by child sex. For example, the association between prenatal OP exposure and Full-Scale IQ is potentiated among boys who experienced high adversity in the learning environment (β = −13.3; p-value &lt;0.01). Conclusions Greater total and domain-specific adversity modifies negative relationships between prenatal OP exposure and child IQ differently among male and female children. These findings emphasize the need to consider plausible interactive pathways between social adversities and environmental exposures.","author":[{"dropping-particle":"","family":"Stein","given":"Lauren J.","non-dropping-particle":"","parse-names":false,"suffix":""},{"dropping-particle":"","family":"Gunier","given":"Robert B.","non-dropping-particle":"","parse-names":false,"suffix":""},{"dropping-particle":"","family":"Harley","given":"Kim","non-dropping-particle":"","parse-names":false,"suffix":""},{"dropping-particle":"","family":"Kogut","given":"Katherine","non-dropping-particle":"","parse-names":false,"suffix":""},{"dropping-particle":"","family":"Bradman","given":"Asa","non-dropping-particle":"","parse-names":false,"suffix":""},{"dropping-particle":"","family":"Eskenazi","given":"Brenda","non-dropping-particle":"","parse-names":false,"suffix":""}],"container-title":"NeuroToxicology","id":"ITEM-1","issued":{"date-parts":[["2016","9","1"]]},"page":"180-187","publisher":"Elsevier B.V.","title":"Early childhood adversity potentiates the adverse association between prenatal organophosphate pesticide exposure and child IQ: The CHAMACOS cohort","type":"article-journal","volume":"56"},"uris":["http://www.mendeley.com/documents/?uuid=b1f31b28-8f14-3544-bcb4-d1d17310df81"]}],"mendeley":{"formattedCitation":"&lt;sup&gt;[177]&lt;/sup&gt;"},"properties":{"noteIndex":0},"schema":"https://github.com/citation-style-language/schema/raw/master/csl-citation.json"}</w:instrText>
      </w:r>
      <w:r w:rsidR="000A6ED0" w:rsidRPr="001F1399">
        <w:rPr>
          <w:rFonts w:ascii="Book Antiqua" w:hAnsi="Book Antiqua" w:cstheme="minorBidi"/>
          <w:lang w:val="en-US"/>
        </w:rPr>
        <w:fldChar w:fldCharType="separate"/>
      </w:r>
      <w:r w:rsidR="00B1214D" w:rsidRPr="001F1399">
        <w:rPr>
          <w:rFonts w:ascii="Book Antiqua" w:hAnsi="Book Antiqua" w:cstheme="minorBidi"/>
          <w:noProof/>
          <w:vertAlign w:val="superscript"/>
          <w:lang w:val="en-US"/>
        </w:rPr>
        <w:t>[177]</w:t>
      </w:r>
      <w:r w:rsidR="000A6ED0" w:rsidRPr="001F1399">
        <w:rPr>
          <w:rFonts w:ascii="Book Antiqua" w:hAnsi="Book Antiqua" w:cstheme="minorBidi"/>
          <w:lang w:val="en-US"/>
        </w:rPr>
        <w:fldChar w:fldCharType="end"/>
      </w:r>
      <w:r w:rsidRPr="001F1399">
        <w:rPr>
          <w:rFonts w:ascii="Book Antiqua" w:hAnsi="Book Antiqua" w:cstheme="minorBidi"/>
          <w:lang w:val="en-US"/>
        </w:rPr>
        <w:t xml:space="preserve"> in 2016 and was already observed</w:t>
      </w:r>
      <w:r w:rsidR="001F319C" w:rsidRPr="001F1399">
        <w:rPr>
          <w:rFonts w:ascii="Book Antiqua" w:hAnsi="Book Antiqua" w:cstheme="minorBidi"/>
          <w:lang w:val="en-US"/>
        </w:rPr>
        <w:fldChar w:fldCharType="begin" w:fldLock="1"/>
      </w:r>
      <w:r w:rsidR="00B1214D" w:rsidRPr="001F1399">
        <w:rPr>
          <w:rFonts w:ascii="Book Antiqua" w:hAnsi="Book Antiqua" w:cstheme="minorBidi"/>
          <w:lang w:val="en-US"/>
        </w:rPr>
        <w:instrText>ADDIN CSL_CITATION {"citationItems":[{"id":"ITEM-1","itemData":{"DOI":"10.1289/ehp.1003185","ISSN":"00916765","PMID":"21507776","abstract":"Context: Organophosphate (OP) pesticides are neurotoxic at high doses. Few studies have examined whether chronic exposure at lower levels could adversely affect children's cognitive development. Objective: We examined associations between prenatal and postnatal exposure to OP pesticides and cognitive abilities in school-age children. Methods: We conducted a birth cohort study (Center for the Health Assessment of Mothers and Children of Salinas study) among predominantly Latino farmworker families from an agricultural community in California. We assessed exposure to OP pesticides by measuring dialkyl phosphate (DAP) metabolites in urine collected during pregnancy and from children at 6 months and 1, 2, 3.5, and 5 years of age. We administered the Wechsler Intelligence Scale for Children, 4th edition, to 329 children 7 years of age. Analyses were adjusted for maternal education and intelligence, Home Observation for Measurement of the Environment score, and language of cognitive assessment. Results: Urinary DAP concentrations measured during the first and second half of pregnancy had similar relations to cognitive scores, so we used the average of concentrations measured during pregnancy in further analyses. Averaged maternal DAP concentrations were associated with poorer scores for Working Memory, Processing Speed, Verbal Comprehension, Perceptual Reasoning, and Full-Scale intelligence quotient (IQ). Children in the highest quintile of maternal DAP concentrations had an average deficit of 7.0 IQ points compared with those in the lowest quintile. However, children's urinary DAP concentrations were not consistently associated with cognitive scores. Conclusions: Prenatal but not postnatal urinary DAP concentrations were associated with poorer intellectual development in 7-year-old children. Maternal urinary DAP concentrations in the present study were higher but nonetheless within the range of levels measured in the general U.S. population.","author":[{"dropping-particle":"","family":"Bouchard","given":"Maryse F.","non-dropping-particle":"","parse-names":false,"suffix":""},{"dropping-particle":"","family":"Chevrier","given":"Jonathan","non-dropping-particle":"","parse-names":false,"suffix":""},{"dropping-particle":"","family":"Harley","given":"Kim G.","non-dropping-particle":"","parse-names":false,"suffix":""},{"dropping-particle":"","family":"Kogut","given":"Katherine","non-dropping-particle":"","parse-names":false,"suffix":""},{"dropping-particle":"","family":"Vedar","given":"Michelle","non-dropping-particle":"","parse-names":false,"suffix":""},{"dropping-particle":"","family":"Calderon","given":"Norma","non-dropping-particle":"","parse-names":false,"suffix":""},{"dropping-particle":"","family":"Trujillo","given":"Celina","non-dropping-particle":"","parse-names":false,"suffix":""},{"dropping-particle":"","family":"Johnson","given":"Caroline","non-dropping-particle":"","parse-names":false,"suffix":""},{"dropping-particle":"","family":"Bradman","given":"Asa","non-dropping-particle":"","parse-names":false,"suffix":""},{"dropping-particle":"","family":"Barr","given":"Dana Boyd","non-dropping-particle":"","parse-names":false,"suffix":""},{"dropping-particle":"","family":"Eskenazi","given":"Brenda","non-dropping-particle":"","parse-names":false,"suffix":""}],"container-title":"Environmental Health Perspectives","id":"ITEM-1","issue":"8","issued":{"date-parts":[["2011","8"]]},"page":"1189-1195","title":"Prenatal exposure to organophosphate pesticides and IQ in 7-year-old children","type":"article-journal","volume":"119"},"uris":["http://www.mendeley.com/documents/?uuid=28eed308-f927-3a15-8202-21aacb0cb175"]}],"mendeley":{"formattedCitation":"&lt;sup&gt;[178]&lt;/sup&gt;"},"properties":{"noteIndex":0},"schema":"https://github.com/citation-style-language/schema/raw/master/csl-citation.json"}</w:instrText>
      </w:r>
      <w:r w:rsidR="001F319C" w:rsidRPr="001F1399">
        <w:rPr>
          <w:rFonts w:ascii="Book Antiqua" w:hAnsi="Book Antiqua" w:cstheme="minorBidi"/>
          <w:lang w:val="en-US"/>
        </w:rPr>
        <w:fldChar w:fldCharType="separate"/>
      </w:r>
      <w:r w:rsidR="00B1214D" w:rsidRPr="001F1399">
        <w:rPr>
          <w:rFonts w:ascii="Book Antiqua" w:hAnsi="Book Antiqua" w:cstheme="minorBidi"/>
          <w:noProof/>
          <w:vertAlign w:val="superscript"/>
          <w:lang w:val="en-US"/>
        </w:rPr>
        <w:t>[178]</w:t>
      </w:r>
      <w:r w:rsidR="001F319C" w:rsidRPr="001F1399">
        <w:rPr>
          <w:rFonts w:ascii="Book Antiqua" w:hAnsi="Book Antiqua" w:cstheme="minorBidi"/>
          <w:lang w:val="en-US"/>
        </w:rPr>
        <w:fldChar w:fldCharType="end"/>
      </w:r>
      <w:r w:rsidRPr="001F1399">
        <w:rPr>
          <w:rFonts w:ascii="Book Antiqua" w:hAnsi="Book Antiqua" w:cstheme="minorBidi"/>
          <w:lang w:val="en-US"/>
        </w:rPr>
        <w:t xml:space="preserve"> are more important in children that also experience certain social adversities. Those who have the highest exposure to environmental toxicants are often the same populations and individuals who experience the greatest adversity. Children with high prenatal exposure to organophosphates who also experience specific early and persistent toxic stress may be at a greater risk for adverse cognitive development</w:t>
      </w:r>
      <w:r w:rsidR="001F319C" w:rsidRPr="001F1399">
        <w:rPr>
          <w:rFonts w:ascii="Book Antiqua" w:hAnsi="Book Antiqua" w:cstheme="minorBidi"/>
          <w:lang w:val="en-US"/>
        </w:rPr>
        <w:fldChar w:fldCharType="begin" w:fldLock="1"/>
      </w:r>
      <w:r w:rsidR="00B1214D" w:rsidRPr="001F1399">
        <w:rPr>
          <w:rFonts w:ascii="Book Antiqua" w:hAnsi="Book Antiqua" w:cstheme="minorBidi"/>
          <w:lang w:val="en-US"/>
        </w:rPr>
        <w:instrText>ADDIN CSL_CITATION {"citationItems":[{"id":"ITEM-1","itemData":{"DOI":"10.1016/j.neuro.2016.07.010","ISSN":"18729711","PMID":"27474229","abstract":"Background Previous studies have observed an adverse association between prenatal exposure to organophosphate pesticide (OPs) and child cognition, but few studies consider the potential role of social stressors in modifying this relationship. Objective We seek to explore the potential role of early social adversities in modifying the relationship between OPs and child IQ in an agricultural Mexican American population. Methods Participants from the Center for the Health Assessment of Mothers and Children of Salinas (CHAMACOS) study, a prospective longitudinal pre-birth cohort study, include 329 singleton infants and their mothers followed from pregnancy through age 7. Dialkyl phosphate metabolite concentrations (DAPs), a biomarker of organophosphate pesticide exposure, were measured in maternal urine collected twice during pregnancy and averaged. Child cognitive ability was assessed at 7 years using the Wechsler Intelligence Scale for Children – Fourth Edition. Demographic characteristics and adversity information were collected during interviews and home visits at numerous time points from pregnancy until age 7. Results Among low-income Latina mothers and their children in the Salinas Valley, total adversity and specific domains of adversity including poor learning environment and adverse parent-child relationships were negatively associated with child cognition. Adverse associations between DAP concentrations and IQ were stronger in children experiencing greater adversity; these associations varied by child sex. For example, the association between prenatal OP exposure and Full-Scale IQ is potentiated among boys who experienced high adversity in the learning environment (β = −13.3; p-value &lt;0.01). Conclusions Greater total and domain-specific adversity modifies negative relationships between prenatal OP exposure and child IQ differently among male and female children. These findings emphasize the need to consider plausible interactive pathways between social adversities and environmental exposures.","author":[{"dropping-particle":"","family":"Stein","given":"Lauren J.","non-dropping-particle":"","parse-names":false,"suffix":""},{"dropping-particle":"","family":"Gunier","given":"Robert B.","non-dropping-particle":"","parse-names":false,"suffix":""},{"dropping-particle":"","family":"Harley","given":"Kim","non-dropping-particle":"","parse-names":false,"suffix":""},{"dropping-particle":"","family":"Kogut","given":"Katherine","non-dropping-particle":"","parse-names":false,"suffix":""},{"dropping-particle":"","family":"Bradman","given":"Asa","non-dropping-particle":"","parse-names":false,"suffix":""},{"dropping-particle":"","family":"Eskenazi","given":"Brenda","non-dropping-particle":"","parse-names":false,"suffix":""}],"container-title":"NeuroToxicology","id":"ITEM-1","issued":{"date-parts":[["2016","9","1"]]},"page":"180-187","publisher":"Elsevier B.V.","title":"Early childhood adversity potentiates the adverse association between prenatal organophosphate pesticide exposure and child IQ: The CHAMACOS cohort","type":"article-journal","volume":"56"},"uris":["http://www.mendeley.com/documents/?uuid=b1f31b28-8f14-3544-bcb4-d1d17310df81"]}],"mendeley":{"formattedCitation":"&lt;sup&gt;[177]&lt;/sup&gt;"},"properties":{"noteIndex":0},"schema":"https://github.com/citation-style-language/schema/raw/master/csl-citation.json"}</w:instrText>
      </w:r>
      <w:r w:rsidR="001F319C" w:rsidRPr="001F1399">
        <w:rPr>
          <w:rFonts w:ascii="Book Antiqua" w:hAnsi="Book Antiqua" w:cstheme="minorBidi"/>
          <w:lang w:val="en-US"/>
        </w:rPr>
        <w:fldChar w:fldCharType="separate"/>
      </w:r>
      <w:r w:rsidR="00B1214D" w:rsidRPr="001F1399">
        <w:rPr>
          <w:rFonts w:ascii="Book Antiqua" w:hAnsi="Book Antiqua" w:cstheme="minorBidi"/>
          <w:noProof/>
          <w:vertAlign w:val="superscript"/>
          <w:lang w:val="en-US"/>
        </w:rPr>
        <w:t>[177]</w:t>
      </w:r>
      <w:r w:rsidR="001F319C" w:rsidRPr="001F1399">
        <w:rPr>
          <w:rFonts w:ascii="Book Antiqua" w:hAnsi="Book Antiqua" w:cstheme="minorBidi"/>
          <w:lang w:val="en-US"/>
        </w:rPr>
        <w:fldChar w:fldCharType="end"/>
      </w:r>
      <w:r w:rsidRPr="001F1399">
        <w:rPr>
          <w:rFonts w:ascii="Book Antiqua" w:hAnsi="Book Antiqua" w:cstheme="minorBidi"/>
          <w:lang w:val="en-US"/>
        </w:rPr>
        <w:t>.</w:t>
      </w:r>
      <w:r w:rsidR="000C542F" w:rsidRPr="001F1399">
        <w:rPr>
          <w:rFonts w:ascii="Book Antiqua" w:hAnsi="Book Antiqua" w:cstheme="minorBidi"/>
          <w:lang w:val="en-US"/>
        </w:rPr>
        <w:t xml:space="preserve"> However, postnatal organophosphates studies are not numerous and most of the results are inconsistent</w:t>
      </w:r>
      <w:r w:rsidR="000C542F" w:rsidRPr="001F1399">
        <w:rPr>
          <w:rFonts w:ascii="Book Antiqua" w:hAnsi="Book Antiqua" w:cstheme="minorBidi"/>
          <w:lang w:val="en-US"/>
        </w:rPr>
        <w:fldChar w:fldCharType="begin" w:fldLock="1"/>
      </w:r>
      <w:r w:rsidR="00B1214D" w:rsidRPr="001F1399">
        <w:rPr>
          <w:rFonts w:ascii="Book Antiqua" w:hAnsi="Book Antiqua" w:cstheme="minorBidi"/>
          <w:lang w:val="en-US"/>
        </w:rPr>
        <w:instrText>ADDIN CSL_CITATION {"citationItems":[{"id":"ITEM-1","itemData":{"DOI":"10.1016/j.toxlet.2013.11.019","ISSN":"03784274","PMID":"24291036","author":[{"dropping-particle":"","family":"González-Alzaga","given":"B.","non-dropping-particle":"","parse-names":false,"suffix":""},{"dropping-particle":"","family":"Lacasaña","given":"M.","non-dropping-particle":"","parse-names":false,"suffix":""},{"dropping-particle":"","family":"Aguilar-Garduño","given":"C.","non-dropping-particle":"","parse-names":false,"suffix":""},{"dropping-particle":"","family":"Rodríguez-Barranco","given":"M.","non-dropping-particle":"","parse-names":false,"suffix":""},{"dropping-particle":"","family":"Ballester","given":"F.","non-dropping-particle":"","parse-names":false,"suffix":""},{"dropping-particle":"","family":"Rebagliato","given":"M.","non-dropping-particle":"","parse-names":false,"suffix":""},{"dropping-particle":"","family":"Hernández","given":"A.F.","non-dropping-particle":"","parse-names":false,"suffix":""}],"container-title":"Toxicology Letters","id":"ITEM-1","issue":"2","issued":{"date-parts":[["2014","10"]]},"page":"104-121","title":"A systematic review of neurodevelopmental effects of prenatal and postnatal organophosphate pesticide exposure","type":"article-journal","volume":"230"},"uris":["http://www.mendeley.com/documents/?uuid=f541998f-9cf5-4506-a280-be4af445fa82"]}],"mendeley":{"formattedCitation":"&lt;sup&gt;[179]&lt;/sup&gt;","plainTextFormattedCitation":"[179]","previouslyFormattedCitation":"&lt;sup&gt;[178]&lt;/sup&gt;"},"properties":{"noteIndex":0},"schema":"https://github.com/citation-style-language/schema/raw/master/csl-citation.json"}</w:instrText>
      </w:r>
      <w:r w:rsidR="000C542F" w:rsidRPr="001F1399">
        <w:rPr>
          <w:rFonts w:ascii="Book Antiqua" w:hAnsi="Book Antiqua" w:cstheme="minorBidi"/>
          <w:lang w:val="en-US"/>
        </w:rPr>
        <w:fldChar w:fldCharType="separate"/>
      </w:r>
      <w:r w:rsidR="00B1214D" w:rsidRPr="001F1399">
        <w:rPr>
          <w:rFonts w:ascii="Book Antiqua" w:hAnsi="Book Antiqua" w:cstheme="minorBidi"/>
          <w:noProof/>
          <w:vertAlign w:val="superscript"/>
          <w:lang w:val="en-US"/>
        </w:rPr>
        <w:t>[179]</w:t>
      </w:r>
      <w:r w:rsidR="000C542F" w:rsidRPr="001F1399">
        <w:rPr>
          <w:rFonts w:ascii="Book Antiqua" w:hAnsi="Book Antiqua" w:cstheme="minorBidi"/>
          <w:lang w:val="en-US"/>
        </w:rPr>
        <w:fldChar w:fldCharType="end"/>
      </w:r>
      <w:r w:rsidR="000C542F" w:rsidRPr="001F1399">
        <w:rPr>
          <w:rFonts w:ascii="Book Antiqua" w:hAnsi="Book Antiqua" w:cstheme="minorBidi"/>
          <w:lang w:val="en-US"/>
        </w:rPr>
        <w:t xml:space="preserve">. </w:t>
      </w:r>
    </w:p>
    <w:p w14:paraId="6C177DB8" w14:textId="7A476DCC" w:rsidR="00DA786F" w:rsidRPr="001F1399" w:rsidRDefault="1EFD163B" w:rsidP="002974FA">
      <w:pPr>
        <w:adjustRightInd w:val="0"/>
        <w:snapToGrid w:val="0"/>
        <w:spacing w:after="0" w:line="360" w:lineRule="auto"/>
        <w:ind w:firstLineChars="100" w:firstLine="240"/>
        <w:jc w:val="both"/>
        <w:rPr>
          <w:rFonts w:ascii="Book Antiqua" w:eastAsia="Times New Roman" w:hAnsi="Book Antiqua" w:cs="Times New Roman"/>
          <w:color w:val="000000" w:themeColor="text1"/>
          <w:sz w:val="24"/>
          <w:szCs w:val="24"/>
          <w:lang w:val="en-US" w:eastAsia="fr-FR"/>
        </w:rPr>
      </w:pPr>
      <w:r w:rsidRPr="001F1399">
        <w:rPr>
          <w:rFonts w:ascii="Book Antiqua" w:eastAsia="Times New Roman" w:hAnsi="Book Antiqua" w:cs="Times New Roman"/>
          <w:color w:val="000000" w:themeColor="text1"/>
          <w:sz w:val="24"/>
          <w:szCs w:val="24"/>
          <w:lang w:val="en-US" w:eastAsia="fr-FR"/>
        </w:rPr>
        <w:t xml:space="preserve">Prolonged breastfeeding was associated with increased of </w:t>
      </w:r>
      <w:r w:rsidR="005D5A36" w:rsidRPr="001F1399">
        <w:rPr>
          <w:rFonts w:ascii="Book Antiqua" w:eastAsia="Times New Roman" w:hAnsi="Book Antiqua" w:cs="Times New Roman"/>
          <w:color w:val="000000" w:themeColor="text1"/>
          <w:sz w:val="24"/>
          <w:szCs w:val="24"/>
          <w:lang w:val="en-US" w:eastAsia="fr-FR"/>
        </w:rPr>
        <w:t>OCP</w:t>
      </w:r>
      <w:r w:rsidRPr="001F1399">
        <w:rPr>
          <w:rFonts w:ascii="Book Antiqua" w:eastAsia="Times New Roman" w:hAnsi="Book Antiqua" w:cs="Times New Roman"/>
          <w:color w:val="000000" w:themeColor="text1"/>
          <w:sz w:val="24"/>
          <w:szCs w:val="24"/>
          <w:lang w:val="en-US" w:eastAsia="fr-FR"/>
        </w:rPr>
        <w:t>s in Norwegian children blood samples</w:t>
      </w:r>
      <w:r w:rsidR="001F319C" w:rsidRPr="001F1399">
        <w:rPr>
          <w:rFonts w:ascii="Book Antiqua" w:eastAsia="Times New Roman" w:hAnsi="Book Antiqua" w:cs="Times New Roman"/>
          <w:color w:val="000000" w:themeColor="text1"/>
          <w:sz w:val="24"/>
          <w:szCs w:val="24"/>
          <w:lang w:val="en-US" w:eastAsia="fr-FR"/>
        </w:rPr>
        <w:fldChar w:fldCharType="begin" w:fldLock="1"/>
      </w:r>
      <w:r w:rsidR="00B1214D" w:rsidRPr="001F1399">
        <w:rPr>
          <w:rFonts w:ascii="Book Antiqua" w:eastAsia="Times New Roman" w:hAnsi="Book Antiqua" w:cs="Times New Roman"/>
          <w:color w:val="000000" w:themeColor="text1"/>
          <w:sz w:val="24"/>
          <w:szCs w:val="24"/>
          <w:lang w:val="en-US" w:eastAsia="fr-FR"/>
        </w:rPr>
        <w:instrText>ADDIN CSL_CITATION {"citationItems":[{"id":"ITEM-1","itemData":{"DOI":"10.1016/j.envres.2015.12.020","ISSN":"10960953","PMID":"26749444","abstract":"Background: Exposure to persistent organic pollutants (POPs) during prenatal and postnatal life has been extensively studied in relation to adverse health effects in children. Objectives: The aim was to identify determinants of the concentrations of polychlorinated biphenyls (PCBs), brominated flame retardants (polybrominated diphenyl ethers, PBDEs; polybrominated biphenyl, PBB), and organochlorine pesticides (OCPs) in blood samples from pregnant women and children in The Norwegian Mother and Child Cohort Study (MoBa). Methods: Blood samples were collected from two independent subsamples within MoBa; a group of women (n=96) enrolled in mid-pregnancy during the years 2002-2008 and a group of 3 year old children (n=99) participating during 2010-2011. PCB congeners (74, 99, 138, 153, 180, 170, 194, 209, 105, 114, 118, 156, 157, 167, and 189), brominated flame retardants (PBDE-28, 47, 99, 100, 153, 154, and PBB-153), as well as the OCPs hexachlorobenzene (HCB), oxychlordane, 4,4'dichlorodiphenyltrichloroethane (DDT), and 4,4'dichlorodiphenyldichloroethylene (DDE) were measured in both pregnant women and children. Results: Age, low parity, and low pre-pregnant BMI were the most important determinants of increased plasma concentrations of POPs in pregnant women. In 3 year old children, prolonged breastfeeding duration was a major determinant of increased POP concentrations. Estimated dietary exposure to PCBs during pregnancy was positively associated with plasma concentrations in 3 year old children, but not in pregnant women. Plasma concentrations were approximately 40% higher in children compared to pregnant women. Conclusions: Several factors associated with exposure and toxicokinetics, i.e. accumulation, excretion and transfer via breastmilk of POPs were the main predictors of POP levels in pregnant women and children. Diet, which is the main exposure source for these compounds in the general population, was found to predict PCB levels only among children. For the PBDEs, for which non-dietary sources are more important, toxicokinetic factors appeared to have less predictive impact.","author":[{"dropping-particle":"","family":"Caspersen","given":"Ida Henriette","non-dropping-particle":"","parse-names":false,"suffix":""},{"dropping-particle":"","family":"Kvalem","given":"Helen Engelstad","non-dropping-particle":"","parse-names":false,"suffix":""},{"dropping-particle":"","family":"Haugen","given":"Margaretha","non-dropping-particle":"","parse-names":false,"suffix":""},{"dropping-particle":"","family":"Brantsæter","given":"Anne Lise","non-dropping-particle":"","parse-names":false,"suffix":""},{"dropping-particle":"","family":"Meltzer","given":"Helle Margrete","non-dropping-particle":"","parse-names":false,"suffix":""},{"dropping-particle":"","family":"Alexander","given":"Jan","non-dropping-particle":"","parse-names":false,"suffix":""},{"dropping-particle":"","family":"Thomsen","given":"Cathrine","non-dropping-particle":"","parse-names":false,"suffix":""},{"dropping-particle":"","family":"Frøshaug","given":"May","non-dropping-particle":"","parse-names":false,"suffix":""},{"dropping-particle":"","family":"Bremnes","given":"Nanna Margrethe Bruun","non-dropping-particle":"","parse-names":false,"suffix":""},{"dropping-particle":"","family":"Broadwell","given":"Sharon Lynn","non-dropping-particle":"","parse-names":false,"suffix":""},{"dropping-particle":"","family":"Granum","given":"Berit","non-dropping-particle":"","parse-names":false,"suffix":""},{"dropping-particle":"","family":"Kogevinas","given":"Manolis","non-dropping-particle":"","parse-names":false,"suffix":""},{"dropping-particle":"","family":"Knutsen","given":"Helle Katrine","non-dropping-particle":"","parse-names":false,"suffix":""}],"container-title":"Environmental Research","id":"ITEM-1","issued":{"date-parts":[["2016","4","1"]]},"page":"136-144","publisher":"Academic Press Inc.","title":"Determinants of plasma PCB, brominated flame retardants, and organochlorine pesticides in pregnant women and 3 year old children in The Norwegian Mother and Child Cohort Study","type":"article-journal","volume":"146"},"uris":["http://www.mendeley.com/documents/?uuid=eb6ff064-4579-363b-bf99-84be17bc3ceb"]}],"mendeley":{"formattedCitation":"&lt;sup&gt;[180]&lt;/sup&gt;","plainTextFormattedCitation":"[180]","previouslyFormattedCitation":"&lt;sup&gt;[179]&lt;/sup&gt;"},"properties":{"noteIndex":0},"schema":"https://github.com/citation-style-language/schema/raw/master/csl-citation.json"}</w:instrText>
      </w:r>
      <w:r w:rsidR="001F319C" w:rsidRPr="001F1399">
        <w:rPr>
          <w:rFonts w:ascii="Book Antiqua" w:eastAsia="Times New Roman" w:hAnsi="Book Antiqua" w:cs="Times New Roman"/>
          <w:color w:val="000000" w:themeColor="text1"/>
          <w:sz w:val="24"/>
          <w:szCs w:val="24"/>
          <w:lang w:val="en-US" w:eastAsia="fr-FR"/>
        </w:rPr>
        <w:fldChar w:fldCharType="separate"/>
      </w:r>
      <w:r w:rsidR="00B1214D" w:rsidRPr="001F1399">
        <w:rPr>
          <w:rFonts w:ascii="Book Antiqua" w:eastAsia="Times New Roman" w:hAnsi="Book Antiqua" w:cs="Times New Roman"/>
          <w:noProof/>
          <w:color w:val="000000" w:themeColor="text1"/>
          <w:sz w:val="24"/>
          <w:szCs w:val="24"/>
          <w:vertAlign w:val="superscript"/>
          <w:lang w:val="en-US" w:eastAsia="fr-FR"/>
        </w:rPr>
        <w:t>[180]</w:t>
      </w:r>
      <w:r w:rsidR="001F319C" w:rsidRPr="001F1399">
        <w:rPr>
          <w:rFonts w:ascii="Book Antiqua" w:eastAsia="Times New Roman" w:hAnsi="Book Antiqua" w:cs="Times New Roman"/>
          <w:color w:val="000000" w:themeColor="text1"/>
          <w:sz w:val="24"/>
          <w:szCs w:val="24"/>
          <w:lang w:val="en-US" w:eastAsia="fr-FR"/>
        </w:rPr>
        <w:fldChar w:fldCharType="end"/>
      </w:r>
      <w:r w:rsidRPr="001F1399">
        <w:rPr>
          <w:rFonts w:ascii="Book Antiqua" w:eastAsia="Times New Roman" w:hAnsi="Book Antiqua" w:cs="Times New Roman"/>
          <w:color w:val="000000" w:themeColor="text1"/>
          <w:sz w:val="24"/>
          <w:szCs w:val="24"/>
          <w:lang w:val="en-US" w:eastAsia="fr-FR"/>
        </w:rPr>
        <w:t>.</w:t>
      </w:r>
      <w:r w:rsidR="000C542F" w:rsidRPr="001F1399">
        <w:rPr>
          <w:rFonts w:ascii="Book Antiqua" w:eastAsia="Times New Roman" w:hAnsi="Book Antiqua" w:cs="Times New Roman"/>
          <w:color w:val="000000" w:themeColor="text1"/>
          <w:sz w:val="24"/>
          <w:szCs w:val="24"/>
          <w:lang w:val="en-US" w:eastAsia="fr-FR"/>
        </w:rPr>
        <w:t xml:space="preserve"> In studies that measured the levels of DDE and PCBs, organochlorine compounds postnatally, authors reported a slower growth and a higher risk of endocrine function alteration in children</w:t>
      </w:r>
      <w:r w:rsidR="002F11FD" w:rsidRPr="001F1399">
        <w:rPr>
          <w:rFonts w:ascii="Book Antiqua" w:eastAsia="Times New Roman" w:hAnsi="Book Antiqua" w:cs="Times New Roman"/>
          <w:color w:val="000000" w:themeColor="text1"/>
          <w:sz w:val="24"/>
          <w:szCs w:val="24"/>
          <w:lang w:val="en-US" w:eastAsia="fr-FR"/>
        </w:rPr>
        <w:fldChar w:fldCharType="begin" w:fldLock="1"/>
      </w:r>
      <w:r w:rsidR="00B1214D" w:rsidRPr="001F1399">
        <w:rPr>
          <w:rFonts w:ascii="Book Antiqua" w:eastAsia="Times New Roman" w:hAnsi="Book Antiqua" w:cs="Times New Roman"/>
          <w:color w:val="000000" w:themeColor="text1"/>
          <w:sz w:val="24"/>
          <w:szCs w:val="24"/>
          <w:lang w:val="en-US" w:eastAsia="fr-FR"/>
        </w:rPr>
        <w:instrText>ADDIN CSL_CITATION {"citationItems":[{"id":"ITEM-1","itemData":{"DOI":"10.1093/aje/kwu212","ISSN":"14766256","PMID":"25255811","abstract":"Organochlorine pesticides (OCPs) have been linked to adult metabolic disorders; however, few studies have examined these associations in childhood. We prospectively evaluated the associations of baseline serum OCPs (hexachlorobenzene, β-hexachlorocyclohexane, and p,p′-dichlorodiphenyldichloroethylene) in Russian boys with subsequent repeated measurements of serum glucose, insulin, lipids, leptin, and calculated homeostatic model assessment of insulin resistance (IR). During 2003-2005, we enrolled 499 boys aged 8-9 years in a prospective cohort; 318 had baseline serum OCPs and serum biomarkers measured at ages 10-13 years. Multivariable generalized estimating equation and mediation regression models were used to examine associations and direct and indirect (via body mass index (BMI) (weight (kg)/height (m)2)) effects of prepubertal OCP tertiles and quintiles with biomarkers. In multivariable models, higher p,p′-dichlorodiphenyldichloroethylene (quintile 5 vs. quintile 1) was associated with lower leptin, with relative mean decreases of 61.8% (95% confidence interval: 48.4%, 71.7%) in models unadjusted for BMI and 22.2% (95% confidence interval: 7.1%, 34.9%) in models adjusted for BMI; the direct effect of p,p′-dichlorodiphenyldichloroethylene on leptin accounted for 27% of the total effect. IR prevalence was 6.6% at ages 12-13 years. Higher hexachlorobenzene (tertile 3 vs. tertile 1) was associated with higher odds of IR in models adjusted for BMI (odds ratio = 4.37, 95% confidence interval: 1.44, 13.28). These results suggest that childhood OCPs may be associated with IR and lower leptin.","author":[{"dropping-particle":"","family":"Burns","given":"Jane S.","non-dropping-particle":"","parse-names":false,"suffix":""},{"dropping-particle":"","family":"Williams","given":"Paige L.","non-dropping-particle":"","parse-names":false,"suffix":""},{"dropping-particle":"","family":"Korrick","given":"Susan A.","non-dropping-particle":"","parse-names":false,"suffix":""},{"dropping-particle":"","family":"Hauser","given":"Russ","non-dropping-particle":"","parse-names":false,"suffix":""},{"dropping-particle":"","family":"Sergeyev","given":"Oleg","non-dropping-particle":"","parse-names":false,"suffix":""},{"dropping-particle":"","family":"Revich","given":"Boris","non-dropping-particle":"","parse-names":false,"suffix":""},{"dropping-particle":"","family":"Lam","given":"Thuy","non-dropping-particle":"","parse-names":false,"suffix":""},{"dropping-particle":"","family":"Lee","given":"Mary M.","non-dropping-particle":"","parse-names":false,"suffix":""}],"container-title":"American Journal of Epidemiology","id":"ITEM-1","issue":"9","issued":{"date-parts":[["2014"]]},"page":"909-919","title":"Association between chlorinated pesticides in the serum of prepubertal russian boys and longitudinal biomarkers of metabolic function","type":"article-journal","volume":"180"},"uris":["http://www.mendeley.com/documents/?uuid=ed9942b4-8332-4f78-b97a-4986a8c708e6"]}],"mendeley":{"formattedCitation":"&lt;sup&gt;[181]&lt;/sup&gt;","plainTextFormattedCitation":"[181]","previouslyFormattedCitation":"&lt;sup&gt;[180]&lt;/sup&gt;"},"properties":{"noteIndex":0},"schema":"https://github.com/citation-style-language/schema/raw/master/csl-citation.json"}</w:instrText>
      </w:r>
      <w:r w:rsidR="002F11FD" w:rsidRPr="001F1399">
        <w:rPr>
          <w:rFonts w:ascii="Book Antiqua" w:eastAsia="Times New Roman" w:hAnsi="Book Antiqua" w:cs="Times New Roman"/>
          <w:color w:val="000000" w:themeColor="text1"/>
          <w:sz w:val="24"/>
          <w:szCs w:val="24"/>
          <w:lang w:val="en-US" w:eastAsia="fr-FR"/>
        </w:rPr>
        <w:fldChar w:fldCharType="separate"/>
      </w:r>
      <w:r w:rsidR="00B1214D" w:rsidRPr="001F1399">
        <w:rPr>
          <w:rFonts w:ascii="Book Antiqua" w:eastAsia="Times New Roman" w:hAnsi="Book Antiqua" w:cs="Times New Roman"/>
          <w:noProof/>
          <w:color w:val="000000" w:themeColor="text1"/>
          <w:sz w:val="24"/>
          <w:szCs w:val="24"/>
          <w:vertAlign w:val="superscript"/>
          <w:lang w:val="en-US" w:eastAsia="fr-FR"/>
        </w:rPr>
        <w:t>[181]</w:t>
      </w:r>
      <w:r w:rsidR="002F11FD" w:rsidRPr="001F1399">
        <w:rPr>
          <w:rFonts w:ascii="Book Antiqua" w:eastAsia="Times New Roman" w:hAnsi="Book Antiqua" w:cs="Times New Roman"/>
          <w:color w:val="000000" w:themeColor="text1"/>
          <w:sz w:val="24"/>
          <w:szCs w:val="24"/>
          <w:lang w:val="en-US" w:eastAsia="fr-FR"/>
        </w:rPr>
        <w:fldChar w:fldCharType="end"/>
      </w:r>
      <w:r w:rsidR="002F11FD" w:rsidRPr="001F1399">
        <w:rPr>
          <w:rFonts w:ascii="Book Antiqua" w:eastAsia="Times New Roman" w:hAnsi="Book Antiqua" w:cs="Times New Roman"/>
          <w:color w:val="000000" w:themeColor="text1"/>
          <w:sz w:val="24"/>
          <w:szCs w:val="24"/>
          <w:lang w:val="en-US" w:eastAsia="fr-FR"/>
        </w:rPr>
        <w:t>.</w:t>
      </w:r>
      <w:r w:rsidR="000C542F" w:rsidRPr="001F1399">
        <w:rPr>
          <w:rFonts w:ascii="Book Antiqua" w:eastAsia="Times New Roman" w:hAnsi="Book Antiqua" w:cs="Times New Roman"/>
          <w:color w:val="000000" w:themeColor="text1"/>
          <w:sz w:val="24"/>
          <w:szCs w:val="24"/>
          <w:lang w:val="en-US" w:eastAsia="fr-FR"/>
        </w:rPr>
        <w:t xml:space="preserve"> </w:t>
      </w:r>
    </w:p>
    <w:p w14:paraId="35093307" w14:textId="64DE4585" w:rsidR="1EFD163B" w:rsidRPr="001F1399" w:rsidRDefault="00DA786F" w:rsidP="002974FA">
      <w:pPr>
        <w:pStyle w:val="paragraph"/>
        <w:adjustRightInd w:val="0"/>
        <w:snapToGrid w:val="0"/>
        <w:spacing w:before="0" w:beforeAutospacing="0" w:after="0" w:afterAutospacing="0" w:line="360" w:lineRule="auto"/>
        <w:ind w:firstLineChars="100" w:firstLine="240"/>
        <w:jc w:val="both"/>
        <w:rPr>
          <w:rFonts w:ascii="Book Antiqua" w:hAnsi="Book Antiqua"/>
          <w:color w:val="000000" w:themeColor="text1"/>
          <w:lang w:val="en-US"/>
        </w:rPr>
      </w:pPr>
      <w:r w:rsidRPr="001F1399">
        <w:rPr>
          <w:rFonts w:ascii="Book Antiqua" w:hAnsi="Book Antiqua"/>
          <w:color w:val="000000" w:themeColor="text1"/>
          <w:lang w:val="en-US"/>
        </w:rPr>
        <w:t>Glyphosate is one of the agro</w:t>
      </w:r>
      <w:r w:rsidR="00A06483" w:rsidRPr="001F1399">
        <w:rPr>
          <w:rFonts w:ascii="Book Antiqua" w:hAnsi="Book Antiqua"/>
          <w:color w:val="000000" w:themeColor="text1"/>
          <w:lang w:val="en-US"/>
        </w:rPr>
        <w:t>-</w:t>
      </w:r>
      <w:r w:rsidRPr="001F1399">
        <w:rPr>
          <w:rFonts w:ascii="Book Antiqua" w:hAnsi="Book Antiqua"/>
          <w:color w:val="000000" w:themeColor="text1"/>
          <w:lang w:val="en-US"/>
        </w:rPr>
        <w:t>chemical which should also deserve a special attention in infants and children. In fact, this herbicide is inhibiting the shikimate pathway, which, when present in bacteria, controls the synthesis of aromatic compounds such as tyrosine or tryptophan</w:t>
      </w:r>
      <w:r w:rsidR="00DA431F" w:rsidRPr="001F1399">
        <w:rPr>
          <w:rFonts w:ascii="Book Antiqua" w:hAnsi="Book Antiqua"/>
          <w:color w:val="000000" w:themeColor="text1"/>
          <w:lang w:val="en-US"/>
        </w:rPr>
        <w:t>, key intermediaries in systemic effects of our microbiota</w:t>
      </w:r>
      <w:r w:rsidR="00285855" w:rsidRPr="001F1399">
        <w:rPr>
          <w:rFonts w:ascii="Book Antiqua" w:hAnsi="Book Antiqua"/>
          <w:color w:val="000000" w:themeColor="text1"/>
          <w:lang w:val="en-US"/>
        </w:rPr>
        <w:t xml:space="preserve"> (see the first section of this review)</w:t>
      </w:r>
      <w:r w:rsidR="002F11FD" w:rsidRPr="001F1399">
        <w:rPr>
          <w:rFonts w:ascii="Book Antiqua" w:hAnsi="Book Antiqua"/>
          <w:color w:val="000000" w:themeColor="text1"/>
          <w:lang w:val="en-US"/>
        </w:rPr>
        <w:fldChar w:fldCharType="begin" w:fldLock="1"/>
      </w:r>
      <w:r w:rsidR="00B1214D" w:rsidRPr="001F1399">
        <w:rPr>
          <w:rFonts w:ascii="Book Antiqua" w:hAnsi="Book Antiqua"/>
          <w:color w:val="000000" w:themeColor="text1"/>
          <w:lang w:val="en-US"/>
        </w:rPr>
        <w:instrText>ADDIN CSL_CITATION {"citationItems":[{"id":"ITEM-1","itemData":{"DOI":"10.1016/j.scitotenv.2018.01.288","ISSN":"00489697","PMID":"29426121","abstract":"Plants, animals and humans, are colonized by microorganisms (microbiota) and transiently exposed to countless others. The microbiota affects the development and function of essentially all organ systems, and contributes to adaptation and evolution, while protecting against pathogenic microorganisms and toxins. Genetics and lifestyle factors, including diet, antibiotics and other drugs, and exposure to the natural environment, affect the composition of the microbiota, which influences host health through modulation of interrelated physiological systems. These include immune system development and regulation, metabolic and endocrine pathways, brain function and epigenetic modification of the genome. Importantly, parental microbiotas have transgenerational impacts on the health of progeny. Humans, animals and plants share similar relationships with microbes. Research paradigms from humans and other mammals, amphibians, insects, planktonic crustaceans and plants demonstrate the influence of environmental microbial ecosystems on the microbiota and health of organisms, and indicate links between environmental and internal microbial diversity and good health. Therefore, overlapping compositions, and interconnected roles of microbes in human, animal and plant health should be considered within the broader context of terrestrial and aquatic microbial ecosystems that are challenged by the human lifestyle and by agricultural and industrial activities. Here, we propose research priorities and organizational, educational and administrative measures that will help to identify safe microbe-associated health-promoting modalities and practices. In the spirit of an expanding version of “One health” that includes environmental health and its relation to human cultures and habits (EcoHealth), we urge that the lifestyle-microbiota-human health nexus be taken into account in societal decision making.","author":[{"dropping-particle":"","family":"Flandroy","given":"Lucette","non-dropping-particle":"","parse-names":false,"suffix":""},{"dropping-particle":"","family":"Poutahidis","given":"Theofilos","non-dropping-particle":"","parse-names":false,"suffix":""},{"dropping-particle":"","family":"Berg","given":"Gabriele","non-dropping-particle":"","parse-names":false,"suffix":""},{"dropping-particle":"","family":"Clarke","given":"Gerard","non-dropping-particle":"","parse-names":false,"suffix":""},{"dropping-particle":"","family":"Dao","given":"Maria-Carlota","non-dropping-particle":"","parse-names":false,"suffix":""},{"dropping-particle":"","family":"Decaestecker","given":"Ellen","non-dropping-particle":"","parse-names":false,"suffix":""},{"dropping-particle":"","family":"Furman","given":"Eeva","non-dropping-particle":"","parse-names":false,"suffix":""},{"dropping-particle":"","family":"Haahtela","given":"Tari","non-dropping-particle":"","parse-names":false,"suffix":""},{"dropping-particle":"","family":"Massart","given":"Sébastien","non-dropping-particle":"","parse-names":false,"suffix":""},{"dropping-particle":"","family":"Plovier","given":"Hubert","non-dropping-particle":"","parse-names":false,"suffix":""},{"dropping-particle":"","family":"Sanz","given":"Yolanda","non-dropping-particle":"","parse-names":false,"suffix":""},{"dropping-particle":"","family":"Rook","given":"Graham","non-dropping-particle":"","parse-names":false,"suffix":""}],"container-title":"Science of The Total Environment","id":"ITEM-1","issued":{"date-parts":[["2018","6"]]},"page":"1018-1038","title":"The impact of human activities and lifestyles on the interlinked microbiota and health of humans and of ecosystems","type":"article-journal","volume":"627"},"uris":["http://www.mendeley.com/documents/?uuid=ed93afaf-89aa-4b09-81d2-b7c79b83e260"]}],"mendeley":{"formattedCitation":"&lt;sup&gt;[164]&lt;/sup&gt;","plainTextFormattedCitation":"[164]","previouslyFormattedCitation":"&lt;sup&gt;[163]&lt;/sup&gt;"},"properties":{"noteIndex":0},"schema":"https://github.com/citation-style-language/schema/raw/master/csl-citation.json"}</w:instrText>
      </w:r>
      <w:r w:rsidR="002F11FD" w:rsidRPr="001F1399">
        <w:rPr>
          <w:rFonts w:ascii="Book Antiqua" w:hAnsi="Book Antiqua"/>
          <w:color w:val="000000" w:themeColor="text1"/>
          <w:lang w:val="en-US"/>
        </w:rPr>
        <w:fldChar w:fldCharType="separate"/>
      </w:r>
      <w:r w:rsidR="00B1214D" w:rsidRPr="001F1399">
        <w:rPr>
          <w:rFonts w:ascii="Book Antiqua" w:hAnsi="Book Antiqua"/>
          <w:noProof/>
          <w:color w:val="000000" w:themeColor="text1"/>
          <w:vertAlign w:val="superscript"/>
          <w:lang w:val="en-US"/>
        </w:rPr>
        <w:t>[164]</w:t>
      </w:r>
      <w:r w:rsidR="002F11FD" w:rsidRPr="001F1399">
        <w:rPr>
          <w:rFonts w:ascii="Book Antiqua" w:hAnsi="Book Antiqua"/>
          <w:color w:val="000000" w:themeColor="text1"/>
          <w:lang w:val="en-US"/>
        </w:rPr>
        <w:fldChar w:fldCharType="end"/>
      </w:r>
      <w:r w:rsidRPr="001F1399">
        <w:rPr>
          <w:rFonts w:ascii="Book Antiqua" w:hAnsi="Book Antiqua"/>
          <w:color w:val="000000" w:themeColor="text1"/>
          <w:lang w:val="en-US"/>
        </w:rPr>
        <w:t xml:space="preserve">. </w:t>
      </w:r>
      <w:r w:rsidR="002F11FD" w:rsidRPr="001F1399">
        <w:rPr>
          <w:rFonts w:ascii="Book Antiqua" w:hAnsi="Book Antiqua"/>
          <w:color w:val="000000" w:themeColor="text1"/>
          <w:lang w:val="en-US"/>
        </w:rPr>
        <w:t xml:space="preserve">From now, there seems to be no direct effect of neonatal exposure to glyphosate on gut brain axis maturation. However, since it may alter uterus </w:t>
      </w:r>
      <w:r w:rsidR="002F11FD" w:rsidRPr="001F1399">
        <w:rPr>
          <w:rFonts w:ascii="Book Antiqua" w:hAnsi="Book Antiqua"/>
          <w:color w:val="000000" w:themeColor="text1"/>
          <w:lang w:val="en-US"/>
        </w:rPr>
        <w:lastRenderedPageBreak/>
        <w:t>development, one can’t exclude any alteration of the gut homeostasis</w:t>
      </w:r>
      <w:r w:rsidR="002F11FD" w:rsidRPr="001F1399">
        <w:rPr>
          <w:rFonts w:ascii="Book Antiqua" w:hAnsi="Book Antiqua"/>
          <w:color w:val="000000" w:themeColor="text1"/>
          <w:lang w:val="en-US"/>
        </w:rPr>
        <w:fldChar w:fldCharType="begin" w:fldLock="1"/>
      </w:r>
      <w:r w:rsidR="00B1214D" w:rsidRPr="001F1399">
        <w:rPr>
          <w:rFonts w:ascii="Book Antiqua" w:hAnsi="Book Antiqua"/>
          <w:color w:val="000000" w:themeColor="text1"/>
          <w:lang w:val="en-US"/>
        </w:rPr>
        <w:instrText>ADDIN CSL_CITATION {"citationItems":[{"id":"ITEM-1","itemData":{"DOI":"10.1016/j.tox.2016.06.004","ISSN":"18793185","PMID":"27287056","abstract":"Glyphosate-based herbicides (GBHs) are extensively used to control weeds on both cropland and non-cropland areas. No reports are available regarding the effects of GBHs exposure on uterine development. We evaluated if neonatal exposure to a GBH affects uterine morphology, proliferation and expression of proteins that regulate uterine organogenetic differentiation in rats. Female Wistar pups received saline solution (control, C) or a commercial formulation of glyphosate (GBH, 2 mg/kg) by sc injection every 48 h from postnatal day (PND) 1 to PND7. Rats were sacrificed on PND8 (neonatal period) and PND21 (prepubertal period) to evaluate acute and short-term effects, respectively. The uterine morphology was evaluated in hematoxylin and eosin stained sections. The epithelial and stromal immunophenotypes were established by assessing the expression of luminal epithelial protein (cytokeratin 8; CK8), basal epithelial proteins (p63 and pan cytokeratin CK1, 5, 10 and 14); and vimentin by immunohistochemistry (IHC). To investigate changes on proteins that regulate uterine organogenetic differentiation we evaluated the expression of estrogen receptor alpha (ERα), progesterone receptor (PR), Hoxa10 and Wnt7a by IHC. The GBH-exposed uteri showed morphological changes, characterized by an increase in the incidence of luminal epithelial hyperplasia (LEH) and an increase in the stromal and myometrial thickness. The epithelial cells showed a positive immunostaining for CK8, while the stromal cells for vimentin. GBH treatment increased cell proliferation in the luminal and stromal compartment on PND8, without changes on PND21. GBH treatment also altered the expression of proteins involved in uterine organogenetic differentiation. PR and Hoxa10 were deregulated both immediately and two weeks after the exposure. ERα was induced in the stromal compartment on PND8, and was downregulated in the luminal epithelial cells of gyphosate-exposed animals on PND21. GBH treatment also increased the expression of Wnt7a in the stromal and glandular epithelial cells on PND21. Neonatal exposure to GBH disrupts the postnatal uterine development at the neonatal and prepubertal period. All these changes may alter the functional differentiation of the uterus, affecting the female fertility and/or promoting the development of neoplasias.","author":[{"dropping-particle":"","family":"Guerrero Schimpf","given":"Marlise","non-dropping-particle":"","parse-names":false,"suffix":""},{"dropping-particle":"","family":"Milesi","given":"María M.","non-dropping-particle":"","parse-names":false,"suffix":""},{"dropping-particle":"","family":"Ingaramo","given":"Paola I.","non-dropping-particle":"","parse-names":false,"suffix":""},{"dropping-particle":"","family":"Luque","given":"Enrique H.","non-dropping-particle":"","parse-names":false,"suffix":""},{"dropping-particle":"","family":"Varayoud","given":"Jorgelina","non-dropping-particle":"","parse-names":false,"suffix":""}],"container-title":"Toxicology","id":"ITEM-1","issued":{"date-parts":[["2017"]]},"page":"2-14","title":"Neonatal exposure to a glyphosate based herbicide alters the development of the rat uterus","type":"article-journal","volume":"376"},"uris":["http://www.mendeley.com/documents/?uuid=df842b6c-269d-423f-b67a-08974de40a8d"]}],"mendeley":{"formattedCitation":"&lt;sup&gt;[182]&lt;/sup&gt;","plainTextFormattedCitation":"[182]","previouslyFormattedCitation":"&lt;sup&gt;[181]&lt;/sup&gt;"},"properties":{"noteIndex":0},"schema":"https://github.com/citation-style-language/schema/raw/master/csl-citation.json"}</w:instrText>
      </w:r>
      <w:r w:rsidR="002F11FD" w:rsidRPr="001F1399">
        <w:rPr>
          <w:rFonts w:ascii="Book Antiqua" w:hAnsi="Book Antiqua"/>
          <w:color w:val="000000" w:themeColor="text1"/>
          <w:lang w:val="en-US"/>
        </w:rPr>
        <w:fldChar w:fldCharType="separate"/>
      </w:r>
      <w:r w:rsidR="00B1214D" w:rsidRPr="001F1399">
        <w:rPr>
          <w:rFonts w:ascii="Book Antiqua" w:hAnsi="Book Antiqua"/>
          <w:noProof/>
          <w:color w:val="000000" w:themeColor="text1"/>
          <w:vertAlign w:val="superscript"/>
          <w:lang w:val="en-US"/>
        </w:rPr>
        <w:t>[182]</w:t>
      </w:r>
      <w:r w:rsidR="002F11FD" w:rsidRPr="001F1399">
        <w:rPr>
          <w:rFonts w:ascii="Book Antiqua" w:hAnsi="Book Antiqua"/>
          <w:color w:val="000000" w:themeColor="text1"/>
          <w:lang w:val="en-US"/>
        </w:rPr>
        <w:fldChar w:fldCharType="end"/>
      </w:r>
      <w:r w:rsidR="002F11FD" w:rsidRPr="001F1399">
        <w:rPr>
          <w:rFonts w:ascii="Book Antiqua" w:hAnsi="Book Antiqua"/>
          <w:color w:val="000000" w:themeColor="text1"/>
          <w:lang w:val="en-US"/>
        </w:rPr>
        <w:t>, since it has been evidenced that this herbicide could temporarily modify commensal bacterial community composition</w:t>
      </w:r>
      <w:r w:rsidR="002F11FD" w:rsidRPr="001F1399">
        <w:rPr>
          <w:rFonts w:ascii="Book Antiqua" w:hAnsi="Book Antiqua"/>
          <w:color w:val="000000" w:themeColor="text1"/>
          <w:lang w:val="en-US"/>
        </w:rPr>
        <w:fldChar w:fldCharType="begin" w:fldLock="1"/>
      </w:r>
      <w:r w:rsidR="00B1214D" w:rsidRPr="001F1399">
        <w:rPr>
          <w:rFonts w:ascii="Book Antiqua" w:hAnsi="Book Antiqua"/>
          <w:color w:val="000000" w:themeColor="text1"/>
          <w:lang w:val="en-US"/>
        </w:rPr>
        <w:instrText>ADDIN CSL_CITATION {"citationItems":[{"id":"ITEM-1","itemData":{"DOI":"10.1016/j.envpol.2017.10.016","ISSN":"02697491","PMID":"29096310","author":[{"dropping-particle":"","family":"Nielsen","given":"Lene Nørby","non-dropping-particle":"","parse-names":false,"suffix":""},{"dropping-particle":"","family":"Roager","given":"Henrik M.","non-dropping-particle":"","parse-names":false,"suffix":""},{"dropping-particle":"","family":"Casas","given":"Mònica Escolà","non-dropping-particle":"","parse-names":false,"suffix":""},{"dropping-particle":"","family":"Frandsen","given":"Henrik L.","non-dropping-particle":"","parse-names":false,"suffix":""},{"dropping-particle":"","family":"Gosewinkel","given":"Ulrich","non-dropping-particle":"","parse-names":false,"suffix":""},{"dropping-particle":"","family":"Bester","given":"Kai","non-dropping-particle":"","parse-names":false,"suffix":""},{"dropping-particle":"","family":"Licht","given":"Tine Rask","non-dropping-particle":"","parse-names":false,"suffix":""},{"dropping-particle":"","family":"Hendriksen","given":"Niels Bohse","non-dropping-particle":"","parse-names":false,"suffix":""},{"dropping-particle":"","family":"Bahl","given":"Martin Iain","non-dropping-particle":"","parse-names":false,"suffix":""}],"container-title":"Environmental Pollution","id":"ITEM-1","issued":{"date-parts":[["2018","2"]]},"page":"364-376","title":"Glyphosate has limited short-term effects on commensal bacterial community composition in the gut environment due to sufficient aromatic amino acid levels","type":"article-journal","volume":"233"},"uris":["http://www.mendeley.com/documents/?uuid=fcd26007-43b6-43fe-9f1f-ea76a6c89f14"]}],"mendeley":{"formattedCitation":"&lt;sup&gt;[183]&lt;/sup&gt;","plainTextFormattedCitation":"[183]","previouslyFormattedCitation":"&lt;sup&gt;[182]&lt;/sup&gt;"},"properties":{"noteIndex":0},"schema":"https://github.com/citation-style-language/schema/raw/master/csl-citation.json"}</w:instrText>
      </w:r>
      <w:r w:rsidR="002F11FD" w:rsidRPr="001F1399">
        <w:rPr>
          <w:rFonts w:ascii="Book Antiqua" w:hAnsi="Book Antiqua"/>
          <w:color w:val="000000" w:themeColor="text1"/>
          <w:lang w:val="en-US"/>
        </w:rPr>
        <w:fldChar w:fldCharType="separate"/>
      </w:r>
      <w:r w:rsidR="00B1214D" w:rsidRPr="001F1399">
        <w:rPr>
          <w:rFonts w:ascii="Book Antiqua" w:hAnsi="Book Antiqua"/>
          <w:noProof/>
          <w:color w:val="000000" w:themeColor="text1"/>
          <w:vertAlign w:val="superscript"/>
          <w:lang w:val="en-US"/>
        </w:rPr>
        <w:t>[183]</w:t>
      </w:r>
      <w:r w:rsidR="002F11FD" w:rsidRPr="001F1399">
        <w:rPr>
          <w:rFonts w:ascii="Book Antiqua" w:hAnsi="Book Antiqua"/>
          <w:color w:val="000000" w:themeColor="text1"/>
          <w:lang w:val="en-US"/>
        </w:rPr>
        <w:fldChar w:fldCharType="end"/>
      </w:r>
      <w:r w:rsidR="002F11FD" w:rsidRPr="001F1399">
        <w:rPr>
          <w:rFonts w:ascii="Book Antiqua" w:hAnsi="Book Antiqua"/>
          <w:color w:val="000000" w:themeColor="text1"/>
          <w:lang w:val="en-US"/>
        </w:rPr>
        <w:t>.</w:t>
      </w:r>
    </w:p>
    <w:p w14:paraId="46D24C36" w14:textId="77777777" w:rsidR="008537AA" w:rsidRPr="001F1399" w:rsidRDefault="008537AA" w:rsidP="002974FA">
      <w:pPr>
        <w:pStyle w:val="paragraph"/>
        <w:adjustRightInd w:val="0"/>
        <w:snapToGrid w:val="0"/>
        <w:spacing w:before="0" w:beforeAutospacing="0" w:after="0" w:afterAutospacing="0" w:line="360" w:lineRule="auto"/>
        <w:jc w:val="both"/>
        <w:rPr>
          <w:rFonts w:ascii="Book Antiqua" w:hAnsi="Book Antiqua" w:cstheme="minorBidi"/>
          <w:lang w:val="en-US"/>
        </w:rPr>
      </w:pPr>
    </w:p>
    <w:p w14:paraId="49054929" w14:textId="57EA2B10" w:rsidR="00702636" w:rsidRPr="001F1399" w:rsidRDefault="00702636" w:rsidP="002974FA">
      <w:pPr>
        <w:pStyle w:val="paragraph"/>
        <w:adjustRightInd w:val="0"/>
        <w:snapToGrid w:val="0"/>
        <w:spacing w:before="0" w:beforeAutospacing="0" w:after="0" w:afterAutospacing="0" w:line="360" w:lineRule="auto"/>
        <w:jc w:val="both"/>
        <w:textAlignment w:val="baseline"/>
        <w:rPr>
          <w:rFonts w:ascii="Book Antiqua" w:hAnsi="Book Antiqua" w:cs="Segoe UI"/>
          <w:b/>
          <w:i/>
          <w:lang w:val="en-US"/>
        </w:rPr>
      </w:pPr>
      <w:r w:rsidRPr="001F1399">
        <w:rPr>
          <w:rStyle w:val="normaltextrun"/>
          <w:rFonts w:ascii="Book Antiqua" w:hAnsi="Book Antiqua" w:cs="Calibri"/>
          <w:b/>
          <w:i/>
          <w:lang w:val="en-US"/>
        </w:rPr>
        <w:t>Postnatal exposure to mycotoxins</w:t>
      </w:r>
    </w:p>
    <w:p w14:paraId="6AD4932B" w14:textId="5DECD8A7" w:rsidR="00702636" w:rsidRPr="001F1399" w:rsidRDefault="00702636"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Infants and young children are more vulnerable to mycotoxins than adults, due to their constantly growing, poorly developed nervous, immune, reproductive, and digestive systems, high rate of metabolism, and restricted diet. Childhood exposure to mycotoxins, induced by the consumption of contaminated foods : breast milk</w:t>
      </w:r>
      <w:r w:rsidRPr="001F1399">
        <w:rPr>
          <w:rFonts w:ascii="Book Antiqua" w:hAnsi="Book Antiqua"/>
          <w:sz w:val="24"/>
          <w:szCs w:val="24"/>
          <w:lang w:val="en-US"/>
        </w:rPr>
        <w:fldChar w:fldCharType="begin" w:fldLock="1"/>
      </w:r>
      <w:r w:rsidR="00B1214D" w:rsidRPr="001F1399">
        <w:rPr>
          <w:rFonts w:ascii="Book Antiqua" w:hAnsi="Book Antiqua"/>
          <w:sz w:val="24"/>
          <w:szCs w:val="24"/>
          <w:lang w:val="en-US"/>
        </w:rPr>
        <w:instrText>ADDIN CSL_CITATION {"citationItems":[{"id":"ITEM-1","itemData":{"DOI":"10.1159/000365126","ISSN":"1421-9697","PMID":"25341872","abstract":"RESULTS: Ten studies were included; 8 focused on aflatoxin (AF), 2 on fumonisin (FB) and none on deoxynivalenol (DON) and zearalenone (ZEA). AF exposure prevalence reached 100% with levels at 40.4 pg/mg. AF was present in umbilical cords indicating that AF crosses the placenta. Maternal exposure levels were correlated with breast milk levels. The highest levels of serum AF (mean 32.8 pg/mg) were measured in Benin and Togo with 5.4% reaching levels higher than 200 pg/mg. At the end of weaning, children had similar prevalence and exposure levels as adults. RESULTS also indicated that infants with higher levels of maternal exposure had significantly lower height-for-age z-scores (HAZ scores), although there was no significant association between cord AF and infant HAZ scores or AF in cord blood and HAZ scores. Significantly higher mean maternal AF levels related to lower weight-for-age z-scores (WAZ scores) were reported, and infants with higher levels of maternal exposure had significantly lower WAZ scores that decreased over age. Cord AF levels had no effect on infant WAZ scores. One study investigated the association between FB and IYC growth and found that those with FB intakes greater than the provisional maximum tolerable daily intake were significantly shorter (1.3 cm) and lighter (328 g). No studies investigated the role of DON and ZEA. CONCLUSION: A limited number of epidemiological studies have been conducted, and available research indicates extreme exposures to AF. There are strong associations between AF exposure and stunting and wasting. However, more epidemiological research is urgently needed to understand the role of FB, DON and ZEA in IYC growth. INTRODUCTION: Infant and young child (IYC) growth impairment remains a public health problem in Africa partly because infants are exposed to staple foods (contaminated with mycotoxins) at an early age. Understanding the role of mycotoxins in IYC growth is vital, and this paper systematically reviews the available knowledge. METHODS: Studies were searched and included if they provided information on African IYC mycotoxin exposure rates and/or growth. Studies were excluded if subjects were older than 15 years, if they were animal studies or focusing on other mycotoxins. Relevant search words were included in search strings. Eight reviews were identified and reference lists scrutinised for additional studies.","author":[{"dropping-particle":"","family":"Lombard","given":"Martani J.","non-dropping-particle":"","parse-names":false,"suffix":""}],"container-title":"Annals of Nutrition and Metabolism","id":"ITEM-1","issue":"s2","issued":{"date-parts":[["2014"]]},"page":"42-52","title":"Mycotoxin Exposure and Infant and Young Child Growth in Africa: What Do We Know?","type":"article-journal","volume":"64"},"uris":["http://www.mendeley.com/documents/?uuid=5fa3fb5e-4d98-4deb-b846-af00028e9514"]}],"mendeley":{"formattedCitation":"&lt;sup&gt;[184]&lt;/sup&gt;","plainTextFormattedCitation":"[184]","previouslyFormattedCitation":"&lt;sup&gt;[183]&lt;/sup&gt;"},"properties":{"noteIndex":0},"schema":"https://github.com/citation-style-language/schema/raw/master/csl-citation.json"}</w:instrText>
      </w:r>
      <w:r w:rsidRPr="001F1399">
        <w:rPr>
          <w:rFonts w:ascii="Book Antiqua" w:hAnsi="Book Antiqua"/>
          <w:sz w:val="24"/>
          <w:szCs w:val="24"/>
          <w:vertAlign w:val="superscript"/>
          <w:lang w:val="en-US"/>
        </w:rPr>
        <w:fldChar w:fldCharType="separate"/>
      </w:r>
      <w:r w:rsidR="00B1214D" w:rsidRPr="001F1399">
        <w:rPr>
          <w:rFonts w:ascii="Book Antiqua" w:hAnsi="Book Antiqua"/>
          <w:noProof/>
          <w:sz w:val="24"/>
          <w:szCs w:val="24"/>
          <w:vertAlign w:val="superscript"/>
          <w:lang w:val="en-US"/>
        </w:rPr>
        <w:t>[184]</w:t>
      </w:r>
      <w:r w:rsidRPr="001F1399">
        <w:rPr>
          <w:rFonts w:ascii="Book Antiqua" w:hAnsi="Book Antiqua"/>
          <w:sz w:val="24"/>
          <w:szCs w:val="24"/>
          <w:lang w:val="en-US"/>
        </w:rPr>
        <w:fldChar w:fldCharType="end"/>
      </w:r>
      <w:r w:rsidRPr="001F1399">
        <w:rPr>
          <w:rFonts w:ascii="Book Antiqua" w:hAnsi="Book Antiqua"/>
          <w:sz w:val="24"/>
          <w:szCs w:val="24"/>
          <w:lang w:val="en-US"/>
        </w:rPr>
        <w:t xml:space="preserve">, </w:t>
      </w:r>
      <w:r w:rsidRPr="001F1399">
        <w:rPr>
          <w:rFonts w:ascii="Book Antiqua" w:hAnsi="Book Antiqua"/>
          <w:color w:val="000000"/>
          <w:sz w:val="24"/>
          <w:szCs w:val="24"/>
          <w:shd w:val="clear" w:color="auto" w:fill="FFFFFF"/>
          <w:lang w:val="en-US"/>
        </w:rPr>
        <w:t>infant formula</w:t>
      </w:r>
      <w:r w:rsidRPr="001F1399">
        <w:rPr>
          <w:rFonts w:ascii="Book Antiqua" w:hAnsi="Book Antiqua"/>
          <w:sz w:val="24"/>
          <w:szCs w:val="24"/>
          <w:lang w:val="en-US"/>
        </w:rPr>
        <w:t xml:space="preserve"> or complementary foods with cereal</w:t>
      </w:r>
      <w:r w:rsidRPr="001F1399">
        <w:rPr>
          <w:rFonts w:ascii="Book Antiqua" w:hAnsi="Book Antiqua"/>
          <w:sz w:val="24"/>
          <w:szCs w:val="24"/>
          <w:lang w:val="en-US"/>
        </w:rPr>
        <w:fldChar w:fldCharType="begin" w:fldLock="1"/>
      </w:r>
      <w:r w:rsidR="00B1214D" w:rsidRPr="001F1399">
        <w:rPr>
          <w:rFonts w:ascii="Book Antiqua" w:hAnsi="Book Antiqua"/>
          <w:sz w:val="24"/>
          <w:szCs w:val="24"/>
          <w:lang w:val="en-US"/>
        </w:rPr>
        <w:instrText>ADDIN CSL_CITATION {"citationItems":[{"id":"ITEM-1","itemData":{"DOI":"10.1016/j.fct.2015.08.023","ISSN":"02786915","PMID":"26327433","abstract":"Mycotoxins are secondary metabolites produced by fungi contaminating the food chain that are toxic to animals and humans. Children up to 12 years old are recognized as a potentially vulnerable subgroup with respect to consumption of these contaminants. Apart from having a higher exposure per kg body weight, they have a different physiology from that of adults. Therefore they may be more sensitive to neurotoxic, endocrine and immunological effects. For these reasons, a specific and up-to-date risk analysis for this category is of great interest. In this review, an accurate analysis of the main mycotoxins occurring in food intended for children (deoxynivalenol, aflatoxins, ochratoxins, patulin and fumonisins) is presented. In particular, known mechanisms of toxicity and levels of exposure and bioaccessibility in children are shown. In addition, recent discoveries about the strategies of mycotoxins managing are discussed.","author":[{"dropping-particle":"","family":"Raiola","given":"Assunta","non-dropping-particle":"","parse-names":false,"suffix":""},{"dropping-particle":"","family":"Tenore","given":"Gian Carlo","non-dropping-particle":"","parse-names":false,"suffix":""},{"dropping-particle":"","family":"Manyes","given":"Lara","non-dropping-particle":"","parse-names":false,"suffix":""},{"dropping-particle":"","family":"Meca","given":"Giuseppe","non-dropping-particle":"","parse-names":false,"suffix":""},{"dropping-particle":"","family":"Ritieni","given":"Alberto","non-dropping-particle":"","parse-names":false,"suffix":""}],"container-title":"Food and Chemical Toxicology","id":"ITEM-1","issued":{"date-parts":[["2015","10","1"]]},"page":"169-180","publisher":"Elsevier Ltd","title":"Risk analysis of main mycotoxins occurring in food for children: An overview","type":"article-journal","volume":"84"},"uris":["http://www.mendeley.com/documents/?uuid=f4704b07-1fb8-3b5d-8aa3-bdd8bb7bc6f1"]}],"mendeley":{"formattedCitation":"&lt;sup&gt;[185]&lt;/sup&gt;","plainTextFormattedCitation":"[185]","previouslyFormattedCitation":"&lt;sup&gt;[184]&lt;/sup&gt;"},"properties":{"noteIndex":0},"schema":"https://github.com/citation-style-language/schema/raw/master/csl-citation.json"}</w:instrText>
      </w:r>
      <w:r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lang w:val="en-US"/>
        </w:rPr>
        <w:t>[185]</w:t>
      </w:r>
      <w:r w:rsidRPr="001F1399">
        <w:rPr>
          <w:rFonts w:ascii="Book Antiqua" w:hAnsi="Book Antiqua"/>
          <w:sz w:val="24"/>
          <w:szCs w:val="24"/>
          <w:lang w:val="en-US"/>
        </w:rPr>
        <w:fldChar w:fldCharType="end"/>
      </w:r>
      <w:r w:rsidRPr="001F1399">
        <w:rPr>
          <w:rFonts w:ascii="Book Antiqua" w:hAnsi="Book Antiqua"/>
          <w:sz w:val="24"/>
          <w:szCs w:val="24"/>
          <w:lang w:val="en-US"/>
        </w:rPr>
        <w:t>, vegetables or nuts</w:t>
      </w:r>
      <w:r w:rsidRPr="001F1399">
        <w:rPr>
          <w:rFonts w:ascii="Book Antiqua" w:hAnsi="Book Antiqua"/>
          <w:sz w:val="24"/>
          <w:szCs w:val="24"/>
          <w:lang w:val="en-US"/>
        </w:rPr>
        <w:fldChar w:fldCharType="begin" w:fldLock="1"/>
      </w:r>
      <w:r w:rsidR="00B1214D" w:rsidRPr="001F1399">
        <w:rPr>
          <w:rFonts w:ascii="Book Antiqua" w:hAnsi="Book Antiqua"/>
          <w:sz w:val="24"/>
          <w:szCs w:val="24"/>
          <w:lang w:val="en-US"/>
        </w:rPr>
        <w:instrText>ADDIN CSL_CITATION {"citationItems":[{"id":"ITEM-1","itemData":{"DOI":"10.1080/026520399284235","ISSN":"0265-203X","PMID":"10435076","abstract":"Samples of organic cow's milk, conventional cow's milk, and cow's milk-based infant formulas were analysed for the occurrence of ochratoxin A by means of a HPLC method. The detection limit was 10 ng/l. Ochratoxin A was detected in 6 out of 40 conventional cow's milk samples (range 11-58 ng/l), and in 5 out of 47 organic milk samples (range 15-28 ng/l). No ochratoxin A was detected in any of the 20 infant formula samples. The ochratoxin A levels in cow's milk found in this investigation are sufficient to cause a higher intake of ochratoxin A than the suggested TDI of 5 ng/kg bw/day, e.g. in small children who consume large quantities of milk.","author":[{"dropping-particle":"","family":"Skaug","given":"Marit Aralt","non-dropping-particle":"","parse-names":false,"suffix":""}],"container-title":"Food Additives and Contaminants","id":"ITEM-1","issue":"2","issued":{"date-parts":[["1999","1"]]},"page":"75-78","title":"Analysis of Norwegian milk and infant formulas for ochratoxin A","type":"article-journal","volume":"16"},"uris":["http://www.mendeley.com/documents/?uuid=093619d6-f204-3ad5-87db-97b9cace3e0b"]},{"id":"ITEM-2","itemData":{"DOI":"10.1016/j.foodcont.2018.11.049","ISSN":"09567135","abstract":"This study compared mycotoxin levels in 53 household-formulated and 84 industrially-processed complementary foods, assessed co-exposure patterns from consumption of the contaminated foods by infants and young children (IYC) in two Nigerian states, and evaluated the influence of awareness and adopted processing practices at the household levels on toxin levels in the foods. About 42 and 93% of the industrial- and household-processed foods, respectively, were contaminated by mycotoxins. Aflatoxins, alternariol, citrinin and dihydrocitrinone levels were significantly higher in household-formulated foods while fumonisins were similarly higher in the industrially-processed foods. Of the household-formulated items, Tom bran contained higher aflatoxin levels leading to higher exposure (median: 641 ng/kg bw per day) and health risk (β-coefficient: 51.4; p = 0.01) in the IYC. Family cereal and ogi contained the highest levels of fumonisins in the industrial and household food categories, respectively, with the highest exposure estimated for IYC who consumed family cereal (median: 18 μg/kg bw per day). Aflatoxin exposures were higher in children aged 12–24 months compared to those below 12 months of age. About 69 and 75% of IYC who consumed family cereal and Tom bran, respectively, were co-exposed to mycotoxins resulting in commensurate risks of co-exposures. Overall, 47% of the IYC were co-exposed to 2–4 mycotoxins (aflatoxins, citrinin, fumonisins and ochratoxin A) with eight different co-exposure combinations. Only 33% of the respondents were aware of mycotoxins. Length of grain storage influenced food aflatoxin levels. Adequate risk management advice to concerned stakeholders for mycotoxin control in complementary foods in Nigeria is offered herein.","author":[{"dropping-particle":"","family":"Ojuri","given":"Oluwaseun T.","non-dropping-particle":"","parse-names":false,"suffix":""},{"dropping-particle":"","family":"Ezekiel","given":"Chibundu N.","non-dropping-particle":"","parse-names":false,"suffix":""},{"dropping-particle":"","family":"Eskola","given":"Mari K.","non-dropping-particle":"","parse-names":false,"suffix":""},{"dropping-particle":"","family":"Šarkanj","given":"Bojan","non-dropping-particle":"","parse-names":false,"suffix":""},{"dropping-particle":"","family":"Babalola","given":"Akinola D.","non-dropping-particle":"","parse-names":false,"suffix":""},{"dropping-particle":"","family":"Sulyok","given":"Michael","non-dropping-particle":"","parse-names":false,"suffix":""},{"dropping-particle":"","family":"Hajšlová","given":"Jana","non-dropping-particle":"","parse-names":false,"suffix":""},{"dropping-particle":"","family":"Elliott","given":"Christopher T.","non-dropping-particle":"","parse-names":false,"suffix":""},{"dropping-particle":"","family":"Krska","given":"Rudolf","non-dropping-particle":"","parse-names":false,"suffix":""}],"container-title":"Food Control","id":"ITEM-2","issued":{"date-parts":[["2019","4","1"]]},"page":"312-322","publisher":"Elsevier","title":"Mycotoxin co-exposures in infants and young children consuming household- and industrially-processed complementary foods in Nigeria and risk management advice","type":"article-journal","volume":"98"},"uris":["http://www.mendeley.com/documents/?uuid=8f2cf006-f307-4512-aef3-c159702d7550"]}],"mendeley":{"formattedCitation":"&lt;sup&gt;[186,187]&lt;/sup&gt;","plainTextFormattedCitation":"[186,187]","previouslyFormattedCitation":"&lt;sup&gt;[185,186]&lt;/sup&gt;"},"properties":{"noteIndex":0},"schema":"https://github.com/citation-style-language/schema/raw/master/csl-citation.json"}</w:instrText>
      </w:r>
      <w:r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lang w:val="en-US"/>
        </w:rPr>
        <w:t>[186,187]</w:t>
      </w:r>
      <w:r w:rsidRPr="001F1399">
        <w:rPr>
          <w:rFonts w:ascii="Book Antiqua" w:hAnsi="Book Antiqua"/>
          <w:sz w:val="24"/>
          <w:szCs w:val="24"/>
          <w:lang w:val="en-US"/>
        </w:rPr>
        <w:fldChar w:fldCharType="end"/>
      </w:r>
      <w:r w:rsidRPr="001F1399">
        <w:rPr>
          <w:rFonts w:ascii="Book Antiqua" w:hAnsi="Book Antiqua"/>
          <w:sz w:val="24"/>
          <w:szCs w:val="24"/>
          <w:lang w:val="en-US"/>
        </w:rPr>
        <w:t>. This has been associated with poor child growth and development</w:t>
      </w:r>
      <w:r w:rsidRPr="001F1399">
        <w:rPr>
          <w:rFonts w:ascii="Book Antiqua" w:hAnsi="Book Antiqua"/>
          <w:sz w:val="24"/>
          <w:szCs w:val="24"/>
          <w:lang w:val="en-US"/>
        </w:rPr>
        <w:fldChar w:fldCharType="begin" w:fldLock="1"/>
      </w:r>
      <w:r w:rsidR="00B1214D" w:rsidRPr="001F1399">
        <w:rPr>
          <w:rFonts w:ascii="Book Antiqua" w:hAnsi="Book Antiqua"/>
          <w:sz w:val="24"/>
          <w:szCs w:val="24"/>
          <w:lang w:val="en-US"/>
        </w:rPr>
        <w:instrText>ADDIN CSL_CITATION {"citationItems":[{"id":"ITEM-1","itemData":{"DOI":"10.1093/ije/dyg109","ISSN":"1464-3685","PMID":"12913029","abstract":"Background Dietary exposure to high levels of the fungal toxin, aflatoxin, occurs in West Africa, where long-term crop storage facilitates fungal growth.","author":[{"dropping-particle":"","family":"Gong","given":"YY","non-dropping-particle":"","parse-names":false,"suffix":""},{"dropping-particle":"","family":"Egal","given":"S","non-dropping-particle":"","parse-names":false,"suffix":""},{"dropping-particle":"","family":"Hounsa","given":"A","non-dropping-particle":"","parse-names":false,"suffix":""},{"dropping-particle":"","family":"Turner","given":"PC","non-dropping-particle":"","parse-names":false,"suffix":""},{"dropping-particle":"","family":"Hall","given":"AJ","non-dropping-particle":"","parse-names":false,"suffix":""},{"dropping-particle":"","family":"Cardwell","given":"KF","non-dropping-particle":"","parse-names":false,"suffix":""},{"dropping-particle":"","family":"Wild","given":"CP","non-dropping-particle":"","parse-names":false,"suffix":""}],"container-title":"International Journal of Epidemiology","id":"ITEM-1","issue":"4","issued":{"date-parts":[["2003","8"]]},"page":"556-562","title":"Determinants of aflatoxin exposure in young children from Benin and Togo, West Africa: the critical role of weaning","type":"article-journal","volume":"32"},"uris":["http://www.mendeley.com/documents/?uuid=ec01a0e6-2c28-3c4f-96d7-ac19b04ba273"]}],"mendeley":{"formattedCitation":"&lt;sup&gt;[188]&lt;/sup&gt;","plainTextFormattedCitation":"[188]","previouslyFormattedCitation":"&lt;sup&gt;[187]&lt;/sup&gt;"},"properties":{"noteIndex":0},"schema":"https://github.com/citation-style-language/schema/raw/master/csl-citation.json"}</w:instrText>
      </w:r>
      <w:r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lang w:val="en-US"/>
        </w:rPr>
        <w:t>[188]</w:t>
      </w:r>
      <w:r w:rsidRPr="001F1399">
        <w:rPr>
          <w:rFonts w:ascii="Book Antiqua" w:hAnsi="Book Antiqua"/>
          <w:sz w:val="24"/>
          <w:szCs w:val="24"/>
          <w:lang w:val="en-US"/>
        </w:rPr>
        <w:fldChar w:fldCharType="end"/>
      </w:r>
      <w:r w:rsidRPr="001F1399">
        <w:rPr>
          <w:rFonts w:ascii="Book Antiqua" w:hAnsi="Book Antiqua"/>
          <w:sz w:val="24"/>
          <w:szCs w:val="24"/>
          <w:lang w:val="en-US"/>
        </w:rPr>
        <w:t>, increased susceptibility to infections and many others effects like immune disorders</w:t>
      </w:r>
      <w:r w:rsidRPr="001F1399">
        <w:rPr>
          <w:rFonts w:ascii="Book Antiqua" w:hAnsi="Book Antiqua"/>
          <w:sz w:val="24"/>
          <w:szCs w:val="24"/>
          <w:lang w:val="en-US"/>
        </w:rPr>
        <w:fldChar w:fldCharType="begin" w:fldLock="1"/>
      </w:r>
      <w:r w:rsidR="00B1214D" w:rsidRPr="001F1399">
        <w:rPr>
          <w:rFonts w:ascii="Book Antiqua" w:hAnsi="Book Antiqua"/>
          <w:sz w:val="24"/>
          <w:szCs w:val="24"/>
          <w:lang w:val="en-US"/>
        </w:rPr>
        <w:instrText>ADDIN CSL_CITATION {"citationItems":[{"id":"ITEM-1","itemData":{"DOI":"10.1289/ehp.5753","ISSN":"0091-6765","PMID":"12573908","abstract":"Aflatoxins are immunotoxins that frequently contaminate staple foods in The Gambia and other parts of sub-Saharan Africa, resulting in high exposure throughout life. Impaired infant immune system development may be a key predictor of mortality from infectious disease. In this study we aimed to determined the effect of dietary aflatoxin exposure on a number of immune parameters in Gambian children. A cohort of 472 Gambian children 6-9 years of age was recruited. Serum aflatoxin-albumin (AF-alb) adducts were analyzed to provide a measure of exposure. Immune parameters included secretory IgA (sIgA) in saliva, cell-mediated immunity (CMI), determined using the CMI multitest where test antigens are applied to the skin, and antibody responses to both rabies and pneumococcal polysaccharide vaccines. Birth weight, current anthropometry, and micronutrient status were also recorded. AF-alb adducts were detected in 93% of the children (geometric mean level 22.3 pg./mg; range 5-456 pg/mg). AF-alb level was strongly influenced by month of sampling. In a multivariable analysis, sIgA was markedly lower in children with detectable. AF-alb compared with those with nondetectable levels [50.4 μg/mg protein (95% confidence interval [CI] 48.0-52.8) and 70.2 μg/mg protein (95% CI 61.1-79.2), respectively; p &lt; 0.0001]. Antibody response to one of four pneumococcal serotypes, but not rabies vaccine, was weakly associated with higher levels of AF-alb. There was no association between CMI responses to test antigens and AF-alb. These data confirm that children in rural Gambia are frequently exposed to high levels of aflatoxin. The study provides evidence that sIgA in saliva may be reduced because of dietary levels of aflatoxin exposure. Given the high burden of infection-related mortality in West Africa, further investigation of the immune effects of aflatoxin exposure in children is merited.","author":[{"dropping-particle":"","family":"Turner","given":"Paul C.","non-dropping-particle":"","parse-names":false,"suffix":""},{"dropping-particle":"","family":"Moore","given":"Sophie E.","non-dropping-particle":"","parse-names":false,"suffix":""},{"dropping-particle":"","family":"Hall","given":"Andrew J.","non-dropping-particle":"","parse-names":false,"suffix":""},{"dropping-particle":"","family":"Prentice","given":"Andrew M.","non-dropping-particle":"","parse-names":false,"suffix":""},{"dropping-particle":"","family":"Wild","given":"Christopher P.","non-dropping-particle":"","parse-names":false,"suffix":""}],"container-title":"Environmental Health Perspectives","id":"ITEM-1","issue":"2","issued":{"date-parts":[["2003","2","1"]]},"page":"217-220","title":"Modification of immune function through exposure to dietary aflatoxin in Gambian children.","type":"article-journal","volume":"111"},"uris":["http://www.mendeley.com/documents/?uuid=b23a975d-0129-36d9-bf30-7f90ba9334db"]}],"mendeley":{"formattedCitation":"&lt;sup&gt;[189]&lt;/sup&gt;","plainTextFormattedCitation":"[189]","previouslyFormattedCitation":"&lt;sup&gt;[188]&lt;/sup&gt;"},"properties":{"noteIndex":0},"schema":"https://github.com/citation-style-language/schema/raw/master/csl-citation.json"}</w:instrText>
      </w:r>
      <w:r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lang w:val="en-US"/>
        </w:rPr>
        <w:t>[189]</w:t>
      </w:r>
      <w:r w:rsidRPr="001F1399">
        <w:rPr>
          <w:rFonts w:ascii="Book Antiqua" w:hAnsi="Book Antiqua"/>
          <w:sz w:val="24"/>
          <w:szCs w:val="24"/>
          <w:lang w:val="en-US"/>
        </w:rPr>
        <w:fldChar w:fldCharType="end"/>
      </w:r>
      <w:r w:rsidRPr="001F1399">
        <w:rPr>
          <w:rFonts w:ascii="Book Antiqua" w:hAnsi="Book Antiqua"/>
          <w:sz w:val="24"/>
          <w:szCs w:val="24"/>
          <w:lang w:val="en-US"/>
        </w:rPr>
        <w:t>, tumors development</w:t>
      </w:r>
      <w:r w:rsidRPr="001F1399">
        <w:rPr>
          <w:rFonts w:ascii="Book Antiqua" w:hAnsi="Book Antiqua"/>
          <w:sz w:val="24"/>
          <w:szCs w:val="24"/>
          <w:lang w:val="en-US"/>
        </w:rPr>
        <w:fldChar w:fldCharType="begin" w:fldLock="1"/>
      </w:r>
      <w:r w:rsidR="00B1214D" w:rsidRPr="001F1399">
        <w:rPr>
          <w:rFonts w:ascii="Book Antiqua" w:hAnsi="Book Antiqua"/>
          <w:sz w:val="24"/>
          <w:szCs w:val="24"/>
          <w:lang w:val="en-US"/>
        </w:rPr>
        <w:instrText>ADDIN CSL_CITATION {"citationItems":[{"id":"ITEM-1","itemData":{"DOI":"10.1016/j.ijheh.2008.08.002","ISSN":"14384639","PMID":"18805056","abstract":"The occurrences of mycotoxins as food contaminants in different localities particularly in developing countries and the inevitable exposure of populations and children to these toxins with probable adverse outcomes need be scientifically and systematically assessed. Health risk assessment developed in the 1980s is separate from risk management, both with risk communication form the risk analysis framework adopted by the World Health Organization. The process contributes increasingly to policy development, public health decision making, the establishment of mycotoxin regulations and research planning. However, the exercise of the risk assessment structured approach is not simple and is faced up to lack of data, capable infrastructure facilities and need for trained personnel and resources. Furthermore, adopted methodologies need be developed focusing on child characteristics and health concerns. © 2008 Elsevier GmbH. All rights reserved.","author":[{"dropping-particle":"","family":"Sherif","given":"Sherif O.","non-dropping-particle":"","parse-names":false,"suffix":""},{"dropping-particle":"","family":"Salama","given":"Emad E.","non-dropping-particle":"","parse-names":false,"suffix":""},{"dropping-particle":"","family":"Abdel-Wahhab","given":"Mosaad A.","non-dropping-particle":"","parse-names":false,"suffix":""}],"container-title":"International Journal of Hygiene and Environmental Health","id":"ITEM-1","issue":"4","issued":{"date-parts":[["2009","7"]]},"page":"347-368","title":"Mycotoxins and child health: The need for health risk assessment","type":"article-journal","volume":"212"},"uris":["http://www.mendeley.com/documents/?uuid=5274a240-f7e0-4a51-b342-757bebcb40be"]}],"mendeley":{"formattedCitation":"&lt;sup&gt;[190]&lt;/sup&gt;","plainTextFormattedCitation":"[190]","previouslyFormattedCitation":"&lt;sup&gt;[189]&lt;/sup&gt;"},"properties":{"noteIndex":0},"schema":"https://github.com/citation-style-language/schema/raw/master/csl-citation.json"}</w:instrText>
      </w:r>
      <w:r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lang w:val="en-US"/>
        </w:rPr>
        <w:t>[190]</w:t>
      </w:r>
      <w:r w:rsidRPr="001F1399">
        <w:rPr>
          <w:rFonts w:ascii="Book Antiqua" w:hAnsi="Book Antiqua"/>
          <w:sz w:val="24"/>
          <w:szCs w:val="24"/>
          <w:lang w:val="en-US"/>
        </w:rPr>
        <w:fldChar w:fldCharType="end"/>
      </w:r>
      <w:r w:rsidRPr="001F1399">
        <w:rPr>
          <w:rFonts w:ascii="Book Antiqua" w:hAnsi="Book Antiqua"/>
          <w:sz w:val="24"/>
          <w:szCs w:val="24"/>
          <w:lang w:val="en-US"/>
        </w:rPr>
        <w:t>, precocious puberty</w:t>
      </w:r>
      <w:r w:rsidRPr="001F1399">
        <w:rPr>
          <w:rFonts w:ascii="Book Antiqua" w:hAnsi="Book Antiqua"/>
          <w:sz w:val="24"/>
          <w:szCs w:val="24"/>
          <w:lang w:val="en-US"/>
        </w:rPr>
        <w:fldChar w:fldCharType="begin" w:fldLock="1"/>
      </w:r>
      <w:r w:rsidR="00B1214D" w:rsidRPr="001F1399">
        <w:rPr>
          <w:rFonts w:ascii="Book Antiqua" w:hAnsi="Book Antiqua"/>
          <w:sz w:val="24"/>
          <w:szCs w:val="24"/>
          <w:lang w:val="en-US"/>
        </w:rPr>
        <w:instrText>ADDIN CSL_CITATION {"citationItems":[{"id":"ITEM-1","itemData":{"DOI":"10.1007/BF01054942","ISSN":"00904341","PMID":"3592752","abstract":"As part of an investigation into the cause of premature thelarche in Puerto Rico, the Centers for Disease Control (CDC) conducted various laboratory analyses to screen for estrogenic sources. Samples were obtained from case and control households, children, parents, and environmental sources. Serum samples were analyzed from parents and children and household water samples for chlorinated hydrocarbons and no results were found above normal. Using gas chromatography/ mass spectroscopy (GC/MS) procedures, serum was analyzed for zearalanol and its derivatives. Fifteen case samples especially collected from recently diagnosed cases and six controls were analyzed by a contract laboratory and 21 residual case samples previously collected for hormone determinations were analyzed by the CDC laboratory. Four case samples from the residual sample set were reported presumptively positive for zearalanol. Sufficient sera were not available for confirmation. All other serum samples were negative at the 10-20 ppb1 detection level for both laboratories. Analyses of 96 case samples for estradiol, follicle-stimulating hormone (FSH) and luteinizing hormone (LH) yielded values within the normal reference range. The rat uterine cytosol-receptor assay was used as nonspecific screen for estrogenic activity. Two different contract laboratories used this assay to analyze milk, meat, poultry, and water samples collected from the households and local markets. The reliability of this assay was dependent upon the type of sample matrix. No significant difference between case and control samples were found with this screening assay. © 1987 Springer-Verlag New York Inc.","author":[{"dropping-particle":"","family":"Hannon","given":"W. Harry","non-dropping-particle":"","parse-names":false,"suffix":""},{"dropping-particle":"","family":"Hill","given":"Robert H.","non-dropping-particle":"","parse-names":false,"suffix":""},{"dropping-particle":"","family":"Bernert","given":"John T.","non-dropping-particle":"","parse-names":false,"suffix":""},{"dropping-particle":"","family":"Haddock","given":"Lillian","non-dropping-particle":"","parse-names":false,"suffix":""},{"dropping-particle":"","family":"Lebron","given":"Gloria","non-dropping-particle":"","parse-names":false,"suffix":""},{"dropping-particle":"","family":"Cordero","given":"Jose F.","non-dropping-particle":"","parse-names":false,"suffix":""}],"container-title":"Archives of Environmental Contamination and Toxicology","id":"ITEM-1","issue":"3","issued":{"date-parts":[["1987","5"]]},"page":"255-262","publisher":"Springer-Verlag","title":"Premature thelarche in Puerto Rico: A search for environmental estrogenic contamination","type":"article-journal","volume":"16"},"uris":["http://www.mendeley.com/documents/?uuid=77e9719e-5808-3b38-a5e6-c2019d50e41f"]},{"id":"ITEM-2","itemData":{"DOI":"10.1056/NEJM198406283102612","ISSN":"0028-4793","PMID":"6233490","abstract":"To the Editor: In the past five years, thousands of children in Puerto Rico have been affected by premature telarche, premature pubarche, prepubertal gynecomastia, and precocious pseudopuberty.123 Preliminary studies performed by Dr. Alfred Bongiovanni have revealed considerable quantities of estrogens, as determined by the cytosol-receptor assay, in some poultry and meat. The exact nature of these estrogens has not been identified.4 We have isolated zearalenone in the blood of some of these patients (assay performed through the courtesy of Prof. Robert Morfin and the Thouvenot National Center of Scientific Research of the Faculté des Sciences, Brest, France). This is a. © 1984, Massachusetts Medical Society. All rights reserved.","author":[{"dropping-particle":"","family":"Sáenz de Rodríguez","given":"CA.","non-dropping-particle":"","parse-names":false,"suffix":""}],"container-title":"New England Journal of Medicine","id":"ITEM-2","issue":"26","issued":{"date-parts":[["1984","6","28"]]},"page":"1741-1742","title":"Environmental Hormone Contamination in Puerto Rico","type":"article-journal","volume":"310"},"uris":["http://www.mendeley.com/documents/?uuid=c0940d63-96b2-3d29-b0b4-56bfb21e8b54"]}],"mendeley":{"formattedCitation":"&lt;sup&gt;[191,192]&lt;/sup&gt;","plainTextFormattedCitation":"[191,192]","previouslyFormattedCitation":"&lt;sup&gt;[190,191]&lt;/sup&gt;"},"properties":{"noteIndex":0},"schema":"https://github.com/citation-style-language/schema/raw/master/csl-citation.json"}</w:instrText>
      </w:r>
      <w:r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lang w:val="en-US"/>
        </w:rPr>
        <w:t>[191,192]</w:t>
      </w:r>
      <w:r w:rsidRPr="001F1399">
        <w:rPr>
          <w:rFonts w:ascii="Book Antiqua" w:hAnsi="Book Antiqua"/>
          <w:sz w:val="24"/>
          <w:szCs w:val="24"/>
          <w:lang w:val="en-US"/>
        </w:rPr>
        <w:fldChar w:fldCharType="end"/>
      </w:r>
      <w:r w:rsidR="002974FA" w:rsidRPr="001F1399">
        <w:rPr>
          <w:rFonts w:ascii="Book Antiqua" w:hAnsi="Book Antiqua"/>
          <w:sz w:val="24"/>
          <w:szCs w:val="24"/>
          <w:lang w:val="en-US"/>
        </w:rPr>
        <w:t xml:space="preserve">, </w:t>
      </w:r>
      <w:r w:rsidR="002974FA" w:rsidRPr="001F1399">
        <w:rPr>
          <w:rFonts w:ascii="Book Antiqua" w:hAnsi="Book Antiqua"/>
          <w:i/>
          <w:iCs/>
          <w:sz w:val="24"/>
          <w:szCs w:val="24"/>
          <w:lang w:val="en-US"/>
        </w:rPr>
        <w:t>etc</w:t>
      </w:r>
      <w:r w:rsidR="002974FA" w:rsidRPr="001F1399">
        <w:rPr>
          <w:rFonts w:ascii="Book Antiqua" w:hAnsi="Book Antiqua"/>
          <w:sz w:val="24"/>
          <w:szCs w:val="24"/>
          <w:lang w:val="en-US"/>
        </w:rPr>
        <w:t>.</w:t>
      </w:r>
      <w:r w:rsidRPr="001F1399">
        <w:rPr>
          <w:rFonts w:ascii="Book Antiqua" w:hAnsi="Book Antiqua"/>
          <w:sz w:val="24"/>
          <w:szCs w:val="24"/>
          <w:lang w:val="en-US"/>
        </w:rPr>
        <w:t xml:space="preserve"> Assessment of health risks related to mycotoxins ingestion during childhood has been evaluated in the last years. The presence of mycotoxins in the intestinal fluid of a child could cause more significant damage to the intestinal enterocytes because of the reduced dimension of the intestinal epithelium compared to that of an adult. An outbreak in the children population of Kashmir Valley was associated with the consumption of naturally contaminated bread with a varying quantities of trichothecene mycotoxins</w:t>
      </w:r>
      <w:r w:rsidRPr="001F1399">
        <w:rPr>
          <w:rFonts w:ascii="Book Antiqua" w:hAnsi="Book Antiqua"/>
          <w:sz w:val="24"/>
          <w:szCs w:val="24"/>
          <w:lang w:val="en-US"/>
        </w:rPr>
        <w:fldChar w:fldCharType="begin" w:fldLock="1"/>
      </w:r>
      <w:r w:rsidR="00B1214D" w:rsidRPr="001F1399">
        <w:rPr>
          <w:rFonts w:ascii="Book Antiqua" w:hAnsi="Book Antiqua"/>
          <w:sz w:val="24"/>
          <w:szCs w:val="24"/>
          <w:lang w:val="en-US"/>
        </w:rPr>
        <w:instrText>ADDIN CSL_CITATION {"citationItems":[{"id":"ITEM-1","itemData":{"DOI":"10.1016/S0140-6736(89)91684-X","ISSN":"01406736","PMID":"2563012","abstract":"During June to September, 1987, there were reports that a considerable segment of the population of Kashmir Valley, India, were affected by a gastrointestinal disorder. Epidemiological investigations and laboratory based studies indicated that the outbreak was associated with the consumption of bread made from mould-damaged wheat. The disease was not age or sex specific. Evidence of mould damage of wheat consisted of the presence of moulds (such as Fusarium sp, Aspergillus sp), and varying quantities of trichothecene mycotoxins (such as deoxynivalenol, nivalenol, acetyldeoxynivalenol, T-2 toxin) in samples tested. The symptoms were reproduced in dogs fed extracts of contaminated samples. The finding that trichothecene mycotoxins, especially deoxynivalenol trichothecene, cause symptoms in man emphasises the need for a reappraisal of its safety limits in food. © 1989.","author":[{"dropping-particle":"V.","family":"Bhat","given":"Ramesh","non-dropping-particle":"","parse-names":false,"suffix":""},{"dropping-particle":"","family":"Ramakrishna","given":"Y.","non-dropping-particle":"","parse-names":false,"suffix":""},{"dropping-particle":"","family":"Beedu","given":"Sashidhar R.","non-dropping-particle":"","parse-names":false,"suffix":""},{"dropping-particle":"","family":"Munshi","given":"K. L.","non-dropping-particle":"","parse-names":false,"suffix":""}],"container-title":"The Lancet","id":"ITEM-1","issue":"8628","issued":{"date-parts":[["1989","1","7"]]},"page":"35-37","title":"Outbreak of Trichothecene mycotoxicosis associated with consumption of mould-damaged wheat products in Kashmir Valley, India","type":"article-journal","volume":"333"},"uris":["http://www.mendeley.com/documents/?uuid=57ea12e3-ff7e-3e6b-a52f-dc6383eca496"]}],"mendeley":{"formattedCitation":"&lt;sup&gt;[193]&lt;/sup&gt;","plainTextFormattedCitation":"[193]","previouslyFormattedCitation":"&lt;sup&gt;[192]&lt;/sup&gt;"},"properties":{"noteIndex":0},"schema":"https://github.com/citation-style-language/schema/raw/master/csl-citation.json"}</w:instrText>
      </w:r>
      <w:r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lang w:val="en-US"/>
        </w:rPr>
        <w:t>[193]</w:t>
      </w:r>
      <w:r w:rsidRPr="001F1399">
        <w:rPr>
          <w:rFonts w:ascii="Book Antiqua" w:hAnsi="Book Antiqua"/>
          <w:sz w:val="24"/>
          <w:szCs w:val="24"/>
          <w:lang w:val="en-US"/>
        </w:rPr>
        <w:fldChar w:fldCharType="end"/>
      </w:r>
      <w:r w:rsidRPr="001F1399">
        <w:rPr>
          <w:rFonts w:ascii="Book Antiqua" w:hAnsi="Book Antiqua"/>
          <w:sz w:val="24"/>
          <w:szCs w:val="24"/>
          <w:lang w:val="en-US"/>
        </w:rPr>
        <w:t>. Symptoms of gastrointestinal illness appeared 15 min to 1 h after consuming.</w:t>
      </w:r>
      <w:r w:rsidR="00F4775A" w:rsidRPr="001F1399">
        <w:rPr>
          <w:rFonts w:ascii="Book Antiqua" w:hAnsi="Book Antiqua"/>
          <w:sz w:val="24"/>
          <w:szCs w:val="24"/>
          <w:lang w:val="en-US"/>
        </w:rPr>
        <w:t xml:space="preserve"> </w:t>
      </w:r>
      <w:r w:rsidRPr="001F1399">
        <w:rPr>
          <w:rFonts w:ascii="Book Antiqua" w:hAnsi="Book Antiqua"/>
          <w:sz w:val="24"/>
          <w:szCs w:val="24"/>
          <w:lang w:val="en-US"/>
        </w:rPr>
        <w:t>DON belonging to these trichothecenes</w:t>
      </w:r>
      <w:r w:rsidR="5071B113" w:rsidRPr="001F1399">
        <w:rPr>
          <w:rFonts w:ascii="Book Antiqua" w:hAnsi="Book Antiqua"/>
          <w:sz w:val="24"/>
          <w:szCs w:val="24"/>
          <w:lang w:val="en-US"/>
        </w:rPr>
        <w:t>,</w:t>
      </w:r>
      <w:r w:rsidRPr="001F1399">
        <w:rPr>
          <w:rFonts w:ascii="Book Antiqua" w:hAnsi="Book Antiqua"/>
          <w:sz w:val="24"/>
          <w:szCs w:val="24"/>
          <w:lang w:val="en-US"/>
        </w:rPr>
        <w:t xml:space="preserve"> can act on the viability and the proliferation of immune cells. This event then inhibits proteins biosynthesis that preventing cytokine production</w:t>
      </w:r>
      <w:r w:rsidRPr="001F1399">
        <w:rPr>
          <w:rFonts w:ascii="Book Antiqua" w:hAnsi="Book Antiqua"/>
          <w:sz w:val="24"/>
          <w:szCs w:val="24"/>
          <w:lang w:val="en-US"/>
        </w:rPr>
        <w:fldChar w:fldCharType="begin" w:fldLock="1"/>
      </w:r>
      <w:r w:rsidR="00B1214D" w:rsidRPr="001F1399">
        <w:rPr>
          <w:rFonts w:ascii="Book Antiqua" w:hAnsi="Book Antiqua"/>
          <w:sz w:val="24"/>
          <w:szCs w:val="24"/>
          <w:lang w:val="en-US"/>
        </w:rPr>
        <w:instrText>ADDIN CSL_CITATION {"citationItems":[{"id":"ITEM-1","itemData":{"author":[{"dropping-particle":"","family":"Desjardins","given":"AE","non-dropping-particle":"","parse-names":false,"suffix":""}],"container-title":"Fusarium mycotoxins: Genetic chemistry and biology","edition":"APS Press","id":"ITEM-1","issued":{"date-parts":[["2006"]]},"page":"53-54","publisher-place":"Saint Paul, Minnesota","title":"Mechanisms of actions of trichothecenes","type":"chapter"},"uris":["http://www.mendeley.com/documents/?uuid=294bc5eb-d3a2-43c1-9a24-f51680ec0870"]}],"mendeley":{"formattedCitation":"&lt;sup&gt;[194]&lt;/sup&gt;","plainTextFormattedCitation":"[194]","previouslyFormattedCitation":"&lt;sup&gt;[193]&lt;/sup&gt;"},"properties":{"noteIndex":0},"schema":"https://github.com/citation-style-language/schema/raw/master/csl-citation.json"}</w:instrText>
      </w:r>
      <w:r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lang w:val="en-US"/>
        </w:rPr>
        <w:t>[194]</w:t>
      </w:r>
      <w:r w:rsidRPr="001F1399">
        <w:rPr>
          <w:rFonts w:ascii="Book Antiqua" w:hAnsi="Book Antiqua"/>
          <w:sz w:val="24"/>
          <w:szCs w:val="24"/>
          <w:lang w:val="en-US"/>
        </w:rPr>
        <w:fldChar w:fldCharType="end"/>
      </w:r>
      <w:r w:rsidRPr="001F1399">
        <w:rPr>
          <w:rFonts w:ascii="Book Antiqua" w:hAnsi="Book Antiqua"/>
          <w:sz w:val="24"/>
          <w:szCs w:val="24"/>
          <w:lang w:val="en-US"/>
        </w:rPr>
        <w:t>. The direct consequence of this event is a higher susceptibility to infection disease which is of peculiar importance on such vulnerable people that are babies and infants. Moreover, it was evidenced that DON was affecting the intestinal barrier function in chicken</w:t>
      </w:r>
      <w:r w:rsidRPr="001F1399">
        <w:rPr>
          <w:rFonts w:ascii="Book Antiqua" w:hAnsi="Book Antiqua"/>
          <w:sz w:val="24"/>
          <w:szCs w:val="24"/>
          <w:lang w:val="en-US"/>
        </w:rPr>
        <w:fldChar w:fldCharType="begin" w:fldLock="1"/>
      </w:r>
      <w:r w:rsidR="00B1214D" w:rsidRPr="001F1399">
        <w:rPr>
          <w:rFonts w:ascii="Book Antiqua" w:hAnsi="Book Antiqua"/>
          <w:sz w:val="24"/>
          <w:szCs w:val="24"/>
          <w:lang w:val="en-US"/>
        </w:rPr>
        <w:instrText>ADDIN CSL_CITATION {"citationItems":[{"id":"ITEM-1","itemData":{"DOI":"10.1637/8945-052809-Reg.1","ISSN":"0005-2086","PMID":"20408401","author":[{"dropping-particle":"","family":"Girgis","given":"G. N.","non-dropping-particle":"","parse-names":false,"suffix":""},{"dropping-particle":"","family":"Barta","given":"J. R.","non-dropping-particle":"","parse-names":false,"suffix":""},{"dropping-particle":"","family":"Brash","given":"M.","non-dropping-particle":"","parse-names":false,"suffix":""},{"dropping-particle":"","family":"Smith","given":"T. K.","non-dropping-particle":"","parse-names":false,"suffix":""}],"container-title":"Avian Diseases","id":"ITEM-1","issue":"1","issued":{"date-parts":[["2010","3"]]},"page":"67-73","title":"Morphologic Changes in the Intestine of Broiler Breeder Pullets Fed Diets Naturally Contaminated with Fusarium Mycotoxins With or Without Coccidial Challenge","type":"article-journal","volume":"54"},"uris":["http://www.mendeley.com/documents/?uuid=ec1f1e87-371b-49a2-8e93-d2594eb2a196"]}],"mendeley":{"formattedCitation":"&lt;sup&gt;[195]&lt;/sup&gt;","plainTextFormattedCitation":"[195]","previouslyFormattedCitation":"&lt;sup&gt;[194]&lt;/sup&gt;"},"properties":{"noteIndex":0},"schema":"https://github.com/citation-style-language/schema/raw/master/csl-citation.json"}</w:instrText>
      </w:r>
      <w:r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lang w:val="en-US"/>
        </w:rPr>
        <w:t>[195]</w:t>
      </w:r>
      <w:r w:rsidRPr="001F1399">
        <w:rPr>
          <w:rFonts w:ascii="Book Antiqua" w:hAnsi="Book Antiqua"/>
          <w:sz w:val="24"/>
          <w:szCs w:val="24"/>
          <w:lang w:val="en-US"/>
        </w:rPr>
        <w:fldChar w:fldCharType="end"/>
      </w:r>
      <w:r w:rsidRPr="001F1399">
        <w:rPr>
          <w:rFonts w:ascii="Book Antiqua" w:hAnsi="Book Antiqua"/>
          <w:sz w:val="24"/>
          <w:szCs w:val="24"/>
          <w:lang w:val="en-US"/>
        </w:rPr>
        <w:t>.</w:t>
      </w:r>
    </w:p>
    <w:p w14:paraId="781EBA53" w14:textId="6185F0C2" w:rsidR="00702636" w:rsidRPr="001F1399" w:rsidRDefault="005D5A36" w:rsidP="002974FA">
      <w:pPr>
        <w:adjustRightInd w:val="0"/>
        <w:snapToGrid w:val="0"/>
        <w:spacing w:after="0" w:line="360" w:lineRule="auto"/>
        <w:ind w:firstLineChars="100" w:firstLine="240"/>
        <w:jc w:val="both"/>
        <w:rPr>
          <w:rFonts w:ascii="Book Antiqua" w:hAnsi="Book Antiqua"/>
          <w:sz w:val="24"/>
          <w:szCs w:val="24"/>
          <w:lang w:val="en-US"/>
        </w:rPr>
      </w:pPr>
      <w:r w:rsidRPr="001F1399">
        <w:rPr>
          <w:rFonts w:ascii="Book Antiqua" w:hAnsi="Book Antiqua"/>
          <w:sz w:val="24"/>
          <w:szCs w:val="24"/>
          <w:lang w:val="en-US"/>
        </w:rPr>
        <w:t>AF</w:t>
      </w:r>
      <w:r w:rsidR="00702636" w:rsidRPr="001F1399">
        <w:rPr>
          <w:rFonts w:ascii="Book Antiqua" w:hAnsi="Book Antiqua"/>
          <w:sz w:val="24"/>
          <w:szCs w:val="24"/>
          <w:lang w:val="en-US"/>
        </w:rPr>
        <w:t xml:space="preserve"> may be generated by </w:t>
      </w:r>
      <w:r w:rsidR="00702636" w:rsidRPr="001F1399">
        <w:rPr>
          <w:rFonts w:ascii="Book Antiqua" w:hAnsi="Book Antiqua"/>
          <w:i/>
          <w:sz w:val="24"/>
          <w:szCs w:val="24"/>
          <w:lang w:val="en-US"/>
        </w:rPr>
        <w:t>Aspergillus</w:t>
      </w:r>
      <w:r w:rsidR="00702636" w:rsidRPr="001F1399">
        <w:rPr>
          <w:rFonts w:ascii="Book Antiqua" w:hAnsi="Book Antiqua"/>
          <w:sz w:val="24"/>
          <w:szCs w:val="24"/>
          <w:lang w:val="en-US"/>
        </w:rPr>
        <w:t xml:space="preserve"> </w:t>
      </w:r>
      <w:r w:rsidR="00702636" w:rsidRPr="001F1399">
        <w:rPr>
          <w:rFonts w:ascii="Book Antiqua" w:hAnsi="Book Antiqua"/>
          <w:i/>
          <w:iCs/>
          <w:sz w:val="24"/>
          <w:szCs w:val="24"/>
          <w:lang w:val="en-US"/>
        </w:rPr>
        <w:t>Fungi</w:t>
      </w:r>
      <w:r w:rsidR="00702636" w:rsidRPr="001F1399">
        <w:rPr>
          <w:rFonts w:ascii="Book Antiqua" w:hAnsi="Book Antiqua"/>
          <w:sz w:val="24"/>
          <w:szCs w:val="24"/>
          <w:lang w:val="en-US"/>
        </w:rPr>
        <w:t>. One of its metabolites, a 4-hydroxylated form, can be secreted in mammal milk after ingestion of the mycotoxin.</w:t>
      </w:r>
      <w:r w:rsidR="00061FC2" w:rsidRPr="001F1399">
        <w:rPr>
          <w:rFonts w:ascii="Book Antiqua" w:hAnsi="Book Antiqua"/>
          <w:sz w:val="24"/>
          <w:szCs w:val="24"/>
          <w:lang w:val="en-US"/>
        </w:rPr>
        <w:t xml:space="preserve"> </w:t>
      </w:r>
      <w:r w:rsidR="00702636" w:rsidRPr="001F1399">
        <w:rPr>
          <w:rFonts w:ascii="Book Antiqua" w:hAnsi="Book Antiqua"/>
          <w:sz w:val="24"/>
          <w:szCs w:val="24"/>
          <w:lang w:val="en-US"/>
        </w:rPr>
        <w:t xml:space="preserve">As for DON, </w:t>
      </w:r>
      <w:r w:rsidR="00F4775A" w:rsidRPr="001F1399">
        <w:rPr>
          <w:rFonts w:ascii="Book Antiqua" w:hAnsi="Book Antiqua"/>
          <w:sz w:val="24"/>
          <w:szCs w:val="24"/>
          <w:lang w:val="en-US"/>
        </w:rPr>
        <w:t>AF</w:t>
      </w:r>
      <w:r w:rsidR="00702636" w:rsidRPr="001F1399">
        <w:rPr>
          <w:rFonts w:ascii="Book Antiqua" w:hAnsi="Book Antiqua"/>
          <w:sz w:val="24"/>
          <w:szCs w:val="24"/>
          <w:lang w:val="en-US"/>
        </w:rPr>
        <w:t xml:space="preserve"> reduce anti-inflammatory cytokines IL-4 expression together with the increase of susceptibility to infection</w:t>
      </w:r>
      <w:r w:rsidR="00702636" w:rsidRPr="001F1399">
        <w:rPr>
          <w:rFonts w:ascii="Book Antiqua" w:hAnsi="Book Antiqua"/>
          <w:sz w:val="24"/>
          <w:szCs w:val="24"/>
          <w:lang w:val="en-US"/>
        </w:rPr>
        <w:fldChar w:fldCharType="begin" w:fldLock="1"/>
      </w:r>
      <w:r w:rsidR="00B1214D" w:rsidRPr="001F1399">
        <w:rPr>
          <w:rFonts w:ascii="Book Antiqua" w:hAnsi="Book Antiqua"/>
          <w:sz w:val="24"/>
          <w:szCs w:val="24"/>
          <w:lang w:val="en-US"/>
        </w:rPr>
        <w:instrText>ADDIN CSL_CITATION {"citationItems":[{"id":"ITEM-1","itemData":{"DOI":"10.1080/02724939992293","ISSN":"0272-4936","PMID":"9625935","author":[{"dropping-particle":"","family":"Hendrickse","given":"R. G.","non-dropping-particle":"","parse-names":false,"suffix":""}],"container-title":"Annals of Tropical Paediatrics","id":"ITEM-1","issue":"3","issued":{"date-parts":[["1999","9","13"]]},"page":"229-235","title":"Of sick turkeys, kwashiorkor, malaria, perinatal mortality, heroin addicts and food poisoning: research on the influence of aflatoxins on child health in the tropics","type":"article-journal","volume":"19"},"uris":["http://www.mendeley.com/documents/?uuid=444ba5e3-a2e7-4e04-ae21-f2646dcb9223"]}],"mendeley":{"formattedCitation":"&lt;sup&gt;[196]&lt;/sup&gt;","plainTextFormattedCitation":"[196]","previouslyFormattedCitation":"&lt;sup&gt;[195]&lt;/sup&gt;"},"properties":{"noteIndex":0},"schema":"https://github.com/citation-style-language/schema/raw/master/csl-citation.json"}</w:instrText>
      </w:r>
      <w:r w:rsidR="00702636"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lang w:val="en-US"/>
        </w:rPr>
        <w:t>[196]</w:t>
      </w:r>
      <w:r w:rsidR="00702636" w:rsidRPr="001F1399">
        <w:rPr>
          <w:rFonts w:ascii="Book Antiqua" w:hAnsi="Book Antiqua"/>
          <w:sz w:val="24"/>
          <w:szCs w:val="24"/>
          <w:lang w:val="en-US"/>
        </w:rPr>
        <w:fldChar w:fldCharType="end"/>
      </w:r>
      <w:r w:rsidR="00702636" w:rsidRPr="001F1399">
        <w:rPr>
          <w:rFonts w:ascii="Book Antiqua" w:hAnsi="Book Antiqua"/>
          <w:sz w:val="24"/>
          <w:szCs w:val="24"/>
          <w:lang w:val="en-US"/>
        </w:rPr>
        <w:t xml:space="preserve">. </w:t>
      </w:r>
    </w:p>
    <w:p w14:paraId="4DDEFCF6" w14:textId="3CE0184D" w:rsidR="00702636" w:rsidRPr="001F1399" w:rsidRDefault="00702636" w:rsidP="002974FA">
      <w:pPr>
        <w:adjustRightInd w:val="0"/>
        <w:snapToGrid w:val="0"/>
        <w:spacing w:after="0" w:line="360" w:lineRule="auto"/>
        <w:ind w:firstLineChars="100" w:firstLine="240"/>
        <w:jc w:val="both"/>
        <w:rPr>
          <w:rFonts w:ascii="Book Antiqua" w:hAnsi="Book Antiqua"/>
          <w:sz w:val="24"/>
          <w:szCs w:val="24"/>
          <w:lang w:val="en-US"/>
        </w:rPr>
      </w:pPr>
      <w:r w:rsidRPr="001F1399">
        <w:rPr>
          <w:rFonts w:ascii="Book Antiqua" w:hAnsi="Book Antiqua"/>
          <w:sz w:val="24"/>
          <w:szCs w:val="24"/>
          <w:lang w:val="en-US"/>
        </w:rPr>
        <w:t>Another outbreak of diarrhea in children in Sweden was related to consumption of fruit contaminated with PAT</w:t>
      </w:r>
      <w:r w:rsidRPr="001F1399">
        <w:rPr>
          <w:rFonts w:ascii="Book Antiqua" w:hAnsi="Book Antiqua"/>
          <w:sz w:val="24"/>
          <w:szCs w:val="24"/>
        </w:rPr>
        <w:fldChar w:fldCharType="begin" w:fldLock="1"/>
      </w:r>
      <w:r w:rsidR="00B1214D" w:rsidRPr="001F1399">
        <w:rPr>
          <w:rFonts w:ascii="Book Antiqua" w:hAnsi="Book Antiqua"/>
          <w:sz w:val="24"/>
          <w:szCs w:val="24"/>
          <w:lang w:val="en-US"/>
        </w:rPr>
        <w:instrText>ADDIN CSL_CITATION {"citationItems":[{"id":"ITEM-1","itemData":{"ISBN":"9788760146961 - 8760146966","author":[{"dropping-particle":"","family":"Berg","given":"T","non-dropping-particle":"","parse-names":false,"suffix":""},{"dropping-particle":"","family":"Rasmussen","given":"G","non-dropping-particle":"","parse-names":false,"suffix":""},{"dropping-particle":"","family":"Thorup","given":"I","non-dropping-particle":"","parse-names":false,"suffix":""}],"container-title":"National Food Agency of Denmark. Ministry of Health, Saborg","id":"ITEM-1","issued":{"date-parts":[["1995"]]},"publisher":"Søborg : National Food Agency of Health","publisher-place":"Danish","title":"Mycotoxins in Danish Foods","type":"book","volume":"Publicatio"},"uris":["http://www.mendeley.com/documents/?uuid=c32f2e3a-42d1-4645-9bdc-4a364d025635"]}],"mendeley":{"formattedCitation":"&lt;sup&gt;[197]&lt;/sup&gt;","plainTextFormattedCitation":"[197]","previouslyFormattedCitation":"&lt;sup&gt;[196]&lt;/sup&gt;"},"properties":{"noteIndex":0},"schema":"https://github.com/citation-style-language/schema/raw/master/csl-citation.json"}</w:instrText>
      </w:r>
      <w:r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lang w:val="en-US"/>
        </w:rPr>
        <w:t>[197]</w:t>
      </w:r>
      <w:r w:rsidRPr="001F1399">
        <w:rPr>
          <w:rFonts w:ascii="Book Antiqua" w:hAnsi="Book Antiqua"/>
          <w:sz w:val="24"/>
          <w:szCs w:val="24"/>
        </w:rPr>
        <w:fldChar w:fldCharType="end"/>
      </w:r>
      <w:r w:rsidRPr="001F1399">
        <w:rPr>
          <w:rFonts w:ascii="Book Antiqua" w:hAnsi="Book Antiqua"/>
          <w:sz w:val="24"/>
          <w:szCs w:val="24"/>
          <w:lang w:val="en-US"/>
        </w:rPr>
        <w:t xml:space="preserve">. Indeed, it was reported that consumption of high </w:t>
      </w:r>
      <w:r w:rsidRPr="001F1399">
        <w:rPr>
          <w:rFonts w:ascii="Book Antiqua" w:hAnsi="Book Antiqua"/>
          <w:sz w:val="24"/>
          <w:szCs w:val="24"/>
          <w:lang w:val="en-US"/>
        </w:rPr>
        <w:lastRenderedPageBreak/>
        <w:t>concentration of mycotoxins (DON and PAT) could cause gastroenteritis with vomiting in humans</w:t>
      </w:r>
      <w:r w:rsidRPr="001F1399">
        <w:rPr>
          <w:rFonts w:ascii="Book Antiqua" w:hAnsi="Book Antiqua"/>
          <w:sz w:val="24"/>
          <w:szCs w:val="24"/>
        </w:rPr>
        <w:fldChar w:fldCharType="begin" w:fldLock="1"/>
      </w:r>
      <w:r w:rsidR="00B1214D" w:rsidRPr="001F1399">
        <w:rPr>
          <w:rFonts w:ascii="Book Antiqua" w:hAnsi="Book Antiqua"/>
          <w:sz w:val="24"/>
          <w:szCs w:val="24"/>
          <w:lang w:val="en-US"/>
        </w:rPr>
        <w:instrText>ADDIN CSL_CITATION {"citationItems":[{"id":"ITEM-1","itemData":{"author":[{"dropping-particle":"","family":"FAO","given":"","non-dropping-particle":"","parse-names":false,"suffix":""}],"container-title":"Fifty-sixth meeting of the Joint FAO/WHO Expert Committee on Food Additives","editor":[{"dropping-particle":"","family":"(IPCS)","given":"International Programme on Chemical Safety","non-dropping-particle":"","parse-names":false,"suffix":""}],"id":"ITEM-1","issued":{"date-parts":[["2001"]]},"page":"712","publisher-place":"Geneva","title":"Safety evaluation of certain mycotoxins in food","type":"paper-conference"},"uris":["http://www.mendeley.com/documents/?uuid=c883dcfc-4d67-3670-81e6-07d88c8cdf9a"]},{"id":"ITEM-2","itemData":{"DOI":"10.1006/taap.2002.9417","ISSN":"0041008X","PMID":"12079430","abstract":"Patulin is a mycotoxin mainly found in apple and apple products. In addition to being toxic for animals, mutagenic, carcinogenic and teratogenic, patulin induces intestinal injuries, including epithelial cell degeneration, inflammation, ulceration, and hemorrhages. In a study of the cellular mechanisms associated with the intestinal toxicity of patulin, two human epithelial intestinal cell lines (HT-29-D4 and Caco-2-14) were exposed to the mycotoxin. Micromolar concentrations of patulin were found to induce a rapid and dramatic decrease of transepithelial resistance (TER) in both cell lines without major signs of toxicity as assessed by the LDH release assay. Since TER reflects the organization of tight junctions, these data indicate that patulin affected the barrier function of the intestinal epithelium. The inhibitory effect of patulin on TER was closely associated with its reactivity for SH groups: (i) cysteine and glutathione prevented the cells from patulin injury; (ii) patulin toxicity was potentiated by buthionine sulfoximine, a specific glutathione-depleting agent; (iii) treatment of the cells with N-ethylmaleimide, a compound known to react with SH groups, resulted in a marked decrease of TER. Moreover, the inhibitory effect of patulin on TER was mimicked and potentiated by phenylarsine oxide, a specific inhibitor of protein tyrosine phosphatase (PTP). This cellular enzyme is a key regulator of intestinal epithelial barrier function. The active site of PTP contains a cysteine residue (Cys215) that is essential for phosphatase activity. Sulfhydryl-reacting compounds such as acetaldehyde decrease TER through covalent modification of Cys215 of PTP. We propose that the toxicity of patulin for intestinal cells involves, among other potential mechanisms, an inactivation of the active site of PTP. © 2002 Elsevier Science (USA).","author":[{"dropping-particle":"","family":"Mahfoud","given":"Radhia","non-dropping-particle":"","parse-names":false,"suffix":""},{"dropping-particle":"","family":"Maresca","given":"Marc","non-dropping-particle":"","parse-names":false,"suffix":""},{"dropping-particle":"","family":"Garmy","given":"Nicolas","non-dropping-particle":"","parse-names":false,"suffix":""},{"dropping-particle":"","family":"Fantini","given":"Jacques","non-dropping-particle":"","parse-names":false,"suffix":""}],"container-title":"Toxicology and Applied Pharmacology","id":"ITEM-2","issue":"3","issued":{"date-parts":[["2002","6"]]},"page":"209-218","publisher":"Academic Press Inc.","title":"The Mycotoxin Patulin Alters the Barrier Function of the Intestinal Epithelium: Mechanism of Action of the Toxin and Protective Effects of Glutathione","type":"article-journal","volume":"181"},"uris":["http://www.mendeley.com/documents/?uuid=082f7f00-156b-3239-a019-06fc9e59717d"]}],"mendeley":{"formattedCitation":"&lt;sup&gt;[198,199]&lt;/sup&gt;","plainTextFormattedCitation":"[198,199]","previouslyFormattedCitation":"&lt;sup&gt;[197,198]&lt;/sup&gt;"},"properties":{"noteIndex":0},"schema":"https://github.com/citation-style-language/schema/raw/master/csl-citation.json"}</w:instrText>
      </w:r>
      <w:r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lang w:val="en-US"/>
        </w:rPr>
        <w:t>[198,199]</w:t>
      </w:r>
      <w:r w:rsidRPr="001F1399">
        <w:rPr>
          <w:rFonts w:ascii="Book Antiqua" w:hAnsi="Book Antiqua"/>
          <w:sz w:val="24"/>
          <w:szCs w:val="24"/>
        </w:rPr>
        <w:fldChar w:fldCharType="end"/>
      </w:r>
      <w:r w:rsidRPr="001F1399">
        <w:rPr>
          <w:rFonts w:ascii="Book Antiqua" w:hAnsi="Book Antiqua"/>
          <w:sz w:val="24"/>
          <w:szCs w:val="24"/>
          <w:lang w:val="en-US"/>
        </w:rPr>
        <w:t>.</w:t>
      </w:r>
      <w:r w:rsidR="000A6ED0" w:rsidRPr="001F1399">
        <w:rPr>
          <w:rFonts w:ascii="Book Antiqua" w:hAnsi="Book Antiqua"/>
          <w:sz w:val="24"/>
          <w:szCs w:val="24"/>
          <w:lang w:val="en-US"/>
        </w:rPr>
        <w:t xml:space="preserve"> </w:t>
      </w:r>
      <w:r w:rsidRPr="001F1399">
        <w:rPr>
          <w:rFonts w:ascii="Book Antiqua" w:hAnsi="Book Antiqua"/>
          <w:sz w:val="24"/>
          <w:szCs w:val="24"/>
          <w:lang w:val="en-US"/>
        </w:rPr>
        <w:t>PAT is cytotoxic to enterocytes, increase permeability across intestinal Caco-2 monolayers and alter ion transport in intact intestinal mucosae</w:t>
      </w:r>
      <w:r w:rsidRPr="001F1399">
        <w:rPr>
          <w:rFonts w:ascii="Book Antiqua" w:hAnsi="Book Antiqua"/>
          <w:sz w:val="24"/>
          <w:szCs w:val="24"/>
        </w:rPr>
        <w:fldChar w:fldCharType="begin" w:fldLock="1"/>
      </w:r>
      <w:r w:rsidR="00B1214D" w:rsidRPr="001F1399">
        <w:rPr>
          <w:rFonts w:ascii="Book Antiqua" w:hAnsi="Book Antiqua"/>
          <w:sz w:val="24"/>
          <w:szCs w:val="24"/>
          <w:lang w:val="en-US"/>
        </w:rPr>
        <w:instrText>ADDIN CSL_CITATION {"citationItems":[{"id":"ITEM-1","itemData":{"DOI":"10.1006/taap.2002.9417","ISSN":"0041008X","PMID":"12079430","abstract":"Patulin is a mycotoxin mainly found in apple and apple products. In addition to being toxic for animals, mutagenic, carcinogenic and teratogenic, patulin induces intestinal injuries, including epithelial cell degeneration, inflammation, ulceration, and hemorrhages. In a study of the cellular mechanisms associated with the intestinal toxicity of patulin, two human epithelial intestinal cell lines (HT-29-D4 and Caco-2-14) were exposed to the mycotoxin. Micromolar concentrations of patulin were found to induce a rapid and dramatic decrease of transepithelial resistance (TER) in both cell lines without major signs of toxicity as assessed by the LDH release assay. Since TER reflects the organization of tight junctions, these data indicate that patulin affected the barrier function of the intestinal epithelium. The inhibitory effect of patulin on TER was closely associated with its reactivity for SH groups: (i) cysteine and glutathione prevented the cells from patulin injury; (ii) patulin toxicity was potentiated by buthionine sulfoximine, a specific glutathione-depleting agent; (iii) treatment of the cells with N-ethylmaleimide, a compound known to react with SH groups, resulted in a marked decrease of TER. Moreover, the inhibitory effect of patulin on TER was mimicked and potentiated by phenylarsine oxide, a specific inhibitor of protein tyrosine phosphatase (PTP). This cellular enzyme is a key regulator of intestinal epithelial barrier function. The active site of PTP contains a cysteine residue (Cys215) that is essential for phosphatase activity. Sulfhydryl-reacting compounds such as acetaldehyde decrease TER through covalent modification of Cys215 of PTP. We propose that the toxicity of patulin for intestinal cells involves, among other potential mechanisms, an inactivation of the active site of PTP. © 2002 Elsevier Science (USA).","author":[{"dropping-particle":"","family":"Mahfoud","given":"Radhia","non-dropping-particle":"","parse-names":false,"suffix":""},{"dropping-particle":"","family":"Maresca","given":"Marc","non-dropping-particle":"","parse-names":false,"suffix":""},{"dropping-particle":"","family":"Garmy","given":"Nicolas","non-dropping-particle":"","parse-names":false,"suffix":""},{"dropping-particle":"","family":"Fantini","given":"Jacques","non-dropping-particle":"","parse-names":false,"suffix":""}],"container-title":"Toxicology and Applied Pharmacology","id":"ITEM-1","issue":"3","issued":{"date-parts":[["2002","6"]]},"page":"209-218","publisher":"Academic Press Inc.","title":"The Mycotoxin Patulin Alters the Barrier Function of the Intestinal Epithelium: Mechanism of Action of the Toxin and Protective Effects of Glutathione","type":"article-journal","volume":"181"},"uris":["http://www.mendeley.com/documents/?uuid=082f7f00-156b-3239-a019-06fc9e59717d"]},{"id":"ITEM-2","itemData":{"DOI":"10.1016/j.fct.2012.07.036","ISSN":"02786915","PMID":"22906760","abstract":"The gastrointestinal lumen is directly exposed to dietary contaminants, including patulin, a mycotoxin produced by moulds. Patulin is known to increase permeability across intestinal Caco-2 monolayers. This study aimed to determine the effect of patulin on permeability, ion transport and morphology in isolated rat colonic mucosae. Mucosal sheets were mounted in Ussing chambers and voltage clamped. Apical addition of patulin (100-500μM) rapidly reduced transepithelial electrical resistance (TEER) and increased permeability to [14C] mannitol (2.9-fold). Patulin also inhibited carbachol-induced electrogenic chloride secretion and histological evidence of mucosal damage was observed. To examine potential mechanisms of action of patulin on colonic epithelial cells, high-content analysis of Caco-2 cells was performed and this novel, quantitative fluorescence-based approach confirmed its cytotoxic effects. With regard to time course, the cytotoxicity determined by high content analysis took longer than the almost immediate reduction of electrical resistance in isolated mucosal sheets. These data indicate patulin is not only cytotoxic to enterocytes but also has the capacity to directly alter permeability and ion transport in intact intestinal mucosae. These data corroborate and extend findings in intestinal cell culture monolayers, and further suggest that safety limits on consumption of patulin may be warranted. © 2012 Elsevier Ltd.","author":[{"dropping-particle":"","family":"Mohan","given":"H.M.","non-dropping-particle":"","parse-names":false,"suffix":""},{"dropping-particle":"","family":"Collins","given":"D.","non-dropping-particle":"","parse-names":false,"suffix":""},{"dropping-particle":"","family":"Maher","given":"S.","non-dropping-particle":"","parse-names":false,"suffix":""},{"dropping-particle":"","family":"Walsh","given":"E.G.","non-dropping-particle":"","parse-names":false,"suffix":""},{"dropping-particle":"","family":"Winter","given":"D.C.","non-dropping-particle":"","parse-names":false,"suffix":""},{"dropping-particle":"","family":"O’Brien","given":"P.J.","non-dropping-particle":"","parse-names":false,"suffix":""},{"dropping-particle":"","family":"Brayden","given":"D.J.","non-dropping-particle":"","parse-names":false,"suffix":""},{"dropping-particle":"","family":"Baird","given":"A.W.","non-dropping-particle":"","parse-names":false,"suffix":""}],"container-title":"Food and Chemical Toxicology","id":"ITEM-2","issue":"11","issued":{"date-parts":[["2012","11"]]},"page":"4097-4102","title":"The mycotoxin patulin increases colonic epithelial permeability in vitro","type":"article-journal","volume":"50"},"uris":["http://www.mendeley.com/documents/?uuid=01e08aaa-4311-3882-a8d6-284cdcba4bb9"]}],"mendeley":{"formattedCitation":"&lt;sup&gt;[199,200]&lt;/sup&gt;","plainTextFormattedCitation":"[199,200]","previouslyFormattedCitation":"&lt;sup&gt;[198,199]&lt;/sup&gt;"},"properties":{"noteIndex":0},"schema":"https://github.com/citation-style-language/schema/raw/master/csl-citation.json"}</w:instrText>
      </w:r>
      <w:r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lang w:val="en-US"/>
        </w:rPr>
        <w:t>[199,200]</w:t>
      </w:r>
      <w:r w:rsidRPr="001F1399">
        <w:rPr>
          <w:rFonts w:ascii="Book Antiqua" w:hAnsi="Book Antiqua"/>
          <w:sz w:val="24"/>
          <w:szCs w:val="24"/>
        </w:rPr>
        <w:fldChar w:fldCharType="end"/>
      </w:r>
      <w:r w:rsidRPr="001F1399">
        <w:rPr>
          <w:rFonts w:ascii="Book Antiqua" w:hAnsi="Book Antiqua"/>
          <w:sz w:val="24"/>
          <w:szCs w:val="24"/>
          <w:lang w:val="en-US"/>
        </w:rPr>
        <w:t xml:space="preserve">. </w:t>
      </w:r>
      <w:r w:rsidRPr="001F1399">
        <w:rPr>
          <w:rFonts w:ascii="Book Antiqua" w:hAnsi="Book Antiqua"/>
          <w:i/>
          <w:sz w:val="24"/>
          <w:szCs w:val="24"/>
          <w:lang w:val="en-US"/>
        </w:rPr>
        <w:t>Fusarium</w:t>
      </w:r>
      <w:r w:rsidRPr="001F1399">
        <w:rPr>
          <w:rFonts w:ascii="Book Antiqua" w:hAnsi="Book Antiqua"/>
          <w:sz w:val="24"/>
          <w:szCs w:val="24"/>
          <w:lang w:val="en-US"/>
        </w:rPr>
        <w:t xml:space="preserve"> mycotoxins are quite frequently found in baby food in particular in the developing countries. Despite of efforts made to correct the heating process to limit or eliminate the mycotoxins from maize or soy-bean, it has been evidenced that this food transformation not only does not eliminate mycotoxins but rather help to generate many others thus presenting a higher risk for the consumer and particularly babies</w:t>
      </w:r>
      <w:r w:rsidRPr="001F1399">
        <w:rPr>
          <w:rFonts w:ascii="Book Antiqua" w:hAnsi="Book Antiqua"/>
          <w:sz w:val="24"/>
          <w:szCs w:val="24"/>
        </w:rPr>
        <w:fldChar w:fldCharType="begin" w:fldLock="1"/>
      </w:r>
      <w:r w:rsidR="00B1214D" w:rsidRPr="001F1399">
        <w:rPr>
          <w:rFonts w:ascii="Book Antiqua" w:hAnsi="Book Antiqua"/>
          <w:sz w:val="24"/>
          <w:szCs w:val="24"/>
          <w:lang w:val="en-US"/>
        </w:rPr>
        <w:instrText>ADDIN CSL_CITATION {"citationItems":[{"id":"ITEM-1","itemData":{"DOI":"10.1159/000365126","ISSN":"1421-9697","PMID":"25341872","abstract":"RESULTS: Ten studies were included; 8 focused on aflatoxin (AF), 2 on fumonisin (FB) and none on deoxynivalenol (DON) and zearalenone (ZEA). AF exposure prevalence reached 100% with levels at 40.4 pg/mg. AF was present in umbilical cords indicating that AF crosses the placenta. Maternal exposure levels were correlated with breast milk levels. The highest levels of serum AF (mean 32.8 pg/mg) were measured in Benin and Togo with 5.4% reaching levels higher than 200 pg/mg. At the end of weaning, children had similar prevalence and exposure levels as adults. RESULTS also indicated that infants with higher levels of maternal exposure had significantly lower height-for-age z-scores (HAZ scores), although there was no significant association between cord AF and infant HAZ scores or AF in cord blood and HAZ scores. Significantly higher mean maternal AF levels related to lower weight-for-age z-scores (WAZ scores) were reported, and infants with higher levels of maternal exposure had significantly lower WAZ scores that decreased over age. Cord AF levels had no effect on infant WAZ scores. One study investigated the association between FB and IYC growth and found that those with FB intakes greater than the provisional maximum tolerable daily intake were significantly shorter (1.3 cm) and lighter (328 g). No studies investigated the role of DON and ZEA. CONCLUSION: A limited number of epidemiological studies have been conducted, and available research indicates extreme exposures to AF. There are strong associations between AF exposure and stunting and wasting. However, more epidemiological research is urgently needed to understand the role of FB, DON and ZEA in IYC growth. INTRODUCTION: Infant and young child (IYC) growth impairment remains a public health problem in Africa partly because infants are exposed to staple foods (contaminated with mycotoxins) at an early age. Understanding the role of mycotoxins in IYC growth is vital, and this paper systematically reviews the available knowledge. METHODS: Studies were searched and included if they provided information on African IYC mycotoxin exposure rates and/or growth. Studies were excluded if subjects were older than 15 years, if they were animal studies or focusing on other mycotoxins. Relevant search words were included in search strings. Eight reviews were identified and reference lists scrutinised for additional studies.","author":[{"dropping-particle":"","family":"Lombard","given":"Martani J.","non-dropping-particle":"","parse-names":false,"suffix":""}],"container-title":"Annals of Nutrition and Metabolism","id":"ITEM-1","issue":"s2","issued":{"date-parts":[["2014"]]},"page":"42-52","title":"Mycotoxin Exposure and Infant and Young Child Growth in Africa: What Do We Know?","type":"article-journal","volume":"64"},"uris":["http://www.mendeley.com/documents/?uuid=5fa3fb5e-4d98-4deb-b846-af00028e9514"]}],"mendeley":{"formattedCitation":"&lt;sup&gt;[184]&lt;/sup&gt;","plainTextFormattedCitation":"[184]","previouslyFormattedCitation":"&lt;sup&gt;[183]&lt;/sup&gt;"},"properties":{"noteIndex":0},"schema":"https://github.com/citation-style-language/schema/raw/master/csl-citation.json"}</w:instrText>
      </w:r>
      <w:r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lang w:val="en-US"/>
        </w:rPr>
        <w:t>[184]</w:t>
      </w:r>
      <w:r w:rsidRPr="001F1399">
        <w:rPr>
          <w:rFonts w:ascii="Book Antiqua" w:hAnsi="Book Antiqua"/>
          <w:sz w:val="24"/>
          <w:szCs w:val="24"/>
        </w:rPr>
        <w:fldChar w:fldCharType="end"/>
      </w:r>
      <w:r w:rsidRPr="001F1399">
        <w:rPr>
          <w:rFonts w:ascii="Book Antiqua" w:hAnsi="Book Antiqua"/>
          <w:sz w:val="24"/>
          <w:szCs w:val="24"/>
          <w:lang w:val="en-US"/>
        </w:rPr>
        <w:t xml:space="preserve">. </w:t>
      </w:r>
    </w:p>
    <w:p w14:paraId="7E9B381D" w14:textId="3341563A" w:rsidR="00702636" w:rsidRPr="001F1399" w:rsidRDefault="00702636" w:rsidP="002974FA">
      <w:pPr>
        <w:adjustRightInd w:val="0"/>
        <w:snapToGrid w:val="0"/>
        <w:spacing w:after="0" w:line="360" w:lineRule="auto"/>
        <w:ind w:firstLineChars="100" w:firstLine="240"/>
        <w:jc w:val="both"/>
        <w:rPr>
          <w:rFonts w:ascii="Book Antiqua" w:hAnsi="Book Antiqua"/>
          <w:sz w:val="24"/>
          <w:szCs w:val="24"/>
          <w:lang w:val="en-US"/>
        </w:rPr>
      </w:pPr>
      <w:r w:rsidRPr="001F1399">
        <w:rPr>
          <w:rFonts w:ascii="Book Antiqua" w:hAnsi="Book Antiqua"/>
          <w:sz w:val="24"/>
          <w:szCs w:val="24"/>
          <w:lang w:val="en-US"/>
        </w:rPr>
        <w:t xml:space="preserve">Other groups of metabolites produced by some </w:t>
      </w:r>
      <w:r w:rsidRPr="001F1399">
        <w:rPr>
          <w:rFonts w:ascii="Book Antiqua" w:hAnsi="Book Antiqua"/>
          <w:i/>
          <w:iCs/>
          <w:sz w:val="24"/>
          <w:szCs w:val="24"/>
          <w:lang w:val="en-US"/>
        </w:rPr>
        <w:t>Aspergillus</w:t>
      </w:r>
      <w:r w:rsidRPr="001F1399">
        <w:rPr>
          <w:rFonts w:ascii="Book Antiqua" w:hAnsi="Book Antiqua"/>
          <w:sz w:val="24"/>
          <w:szCs w:val="24"/>
          <w:lang w:val="en-US"/>
        </w:rPr>
        <w:t xml:space="preserve"> or </w:t>
      </w:r>
      <w:r w:rsidRPr="001F1399">
        <w:rPr>
          <w:rFonts w:ascii="Book Antiqua" w:hAnsi="Book Antiqua"/>
          <w:i/>
          <w:iCs/>
          <w:sz w:val="24"/>
          <w:szCs w:val="24"/>
          <w:lang w:val="en-US"/>
        </w:rPr>
        <w:t>Penicillium</w:t>
      </w:r>
      <w:r w:rsidRPr="001F1399">
        <w:rPr>
          <w:rFonts w:ascii="Book Antiqua" w:hAnsi="Book Antiqua"/>
          <w:sz w:val="24"/>
          <w:szCs w:val="24"/>
          <w:lang w:val="en-US"/>
        </w:rPr>
        <w:t xml:space="preserve"> are Ochratoxins. However, from the actual knowledge, it seems not to have any consequence neither on the gut nor on the grain but rather on kidneys.</w:t>
      </w:r>
    </w:p>
    <w:p w14:paraId="4B303AD2" w14:textId="7F21BFE4" w:rsidR="00702636" w:rsidRPr="001F1399" w:rsidRDefault="00702636" w:rsidP="002974FA">
      <w:pPr>
        <w:adjustRightInd w:val="0"/>
        <w:snapToGrid w:val="0"/>
        <w:spacing w:after="0" w:line="360" w:lineRule="auto"/>
        <w:ind w:firstLineChars="100" w:firstLine="240"/>
        <w:jc w:val="both"/>
        <w:rPr>
          <w:rFonts w:ascii="Book Antiqua" w:hAnsi="Book Antiqua"/>
          <w:sz w:val="24"/>
          <w:szCs w:val="24"/>
          <w:lang w:val="en-US"/>
        </w:rPr>
      </w:pPr>
      <w:r w:rsidRPr="001F1399">
        <w:rPr>
          <w:rFonts w:ascii="Book Antiqua" w:hAnsi="Book Antiqua"/>
          <w:sz w:val="24"/>
          <w:szCs w:val="24"/>
          <w:lang w:val="en-US"/>
        </w:rPr>
        <w:t>At last, fumonisins, Fusarium mycotoxins, may also be found in baby and infant food. From the actual literature, it has not been so far determined that they are responsible for gut disease apart from a foodborne disease outbreak in India</w:t>
      </w:r>
      <w:r w:rsidRPr="001F1399">
        <w:rPr>
          <w:rFonts w:ascii="Book Antiqua" w:hAnsi="Book Antiqua"/>
          <w:sz w:val="24"/>
          <w:szCs w:val="24"/>
          <w:lang w:val="en-US"/>
        </w:rPr>
        <w:fldChar w:fldCharType="begin" w:fldLock="1"/>
      </w:r>
      <w:r w:rsidR="00B1214D" w:rsidRPr="001F1399">
        <w:rPr>
          <w:rFonts w:ascii="Book Antiqua" w:hAnsi="Book Antiqua"/>
          <w:sz w:val="24"/>
          <w:szCs w:val="24"/>
          <w:lang w:val="en-US"/>
        </w:rPr>
        <w:instrText>ADDIN CSL_CITATION {"citationItems":[{"id":"ITEM-1","itemData":{"DOI":"10.1016/S0140-6736(89)91684-X","ISSN":"01406736","PMID":"2563012","abstract":"During June to September, 1987, there were reports that a considerable segment of the population of Kashmir Valley, India, were affected by a gastrointestinal disorder. Epidemiological investigations and laboratory based studies indicated that the outbreak was associated with the consumption of bread made from mould-damaged wheat. The disease was not age or sex specific. Evidence of mould damage of wheat consisted of the presence of moulds (such as Fusarium sp, Aspergillus sp), and varying quantities of trichothecene mycotoxins (such as deoxynivalenol, nivalenol, acetyldeoxynivalenol, T-2 toxin) in samples tested. The symptoms were reproduced in dogs fed extracts of contaminated samples. The finding that trichothecene mycotoxins, especially deoxynivalenol trichothecene, cause symptoms in man emphasises the need for a reappraisal of its safety limits in food. © 1989.","author":[{"dropping-particle":"V.","family":"Bhat","given":"Ramesh","non-dropping-particle":"","parse-names":false,"suffix":""},{"dropping-particle":"","family":"Ramakrishna","given":"Y.","non-dropping-particle":"","parse-names":false,"suffix":""},{"dropping-particle":"","family":"Beedu","given":"Sashidhar R.","non-dropping-particle":"","parse-names":false,"suffix":""},{"dropping-particle":"","family":"Munshi","given":"K. L.","non-dropping-particle":"","parse-names":false,"suffix":""}],"container-title":"The Lancet","id":"ITEM-1","issue":"8628","issued":{"date-parts":[["1989","1","7"]]},"page":"35-37","title":"Outbreak of Trichothecene mycotoxicosis associated with consumption of mould-damaged wheat products in Kashmir Valley, India","type":"article-journal","volume":"333"},"uris":["http://www.mendeley.com/documents/?uuid=57ea12e3-ff7e-3e6b-a52f-dc6383eca496"]}],"mendeley":{"formattedCitation":"&lt;sup&gt;[193]&lt;/sup&gt;","plainTextFormattedCitation":"[193]","previouslyFormattedCitation":"&lt;sup&gt;[192]&lt;/sup&gt;"},"properties":{"noteIndex":0},"schema":"https://github.com/citation-style-language/schema/raw/master/csl-citation.json"}</w:instrText>
      </w:r>
      <w:r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lang w:val="en-US"/>
        </w:rPr>
        <w:t>[193]</w:t>
      </w:r>
      <w:r w:rsidRPr="001F1399">
        <w:rPr>
          <w:rFonts w:ascii="Book Antiqua" w:hAnsi="Book Antiqua"/>
          <w:sz w:val="24"/>
          <w:szCs w:val="24"/>
          <w:lang w:val="en-US"/>
        </w:rPr>
        <w:fldChar w:fldCharType="end"/>
      </w:r>
      <w:r w:rsidRPr="001F1399">
        <w:rPr>
          <w:rFonts w:ascii="Book Antiqua" w:hAnsi="Book Antiqua"/>
          <w:sz w:val="24"/>
          <w:szCs w:val="24"/>
          <w:lang w:val="en-US"/>
        </w:rPr>
        <w:t>. However, they seem to alter the settlement of the nervous system since they are associated to neural tube defects in the Mexico-Texan border</w:t>
      </w:r>
      <w:r w:rsidRPr="001F1399">
        <w:rPr>
          <w:rFonts w:ascii="Book Antiqua" w:hAnsi="Book Antiqua"/>
          <w:sz w:val="24"/>
          <w:szCs w:val="24"/>
          <w:lang w:val="en-US"/>
        </w:rPr>
        <w:fldChar w:fldCharType="begin" w:fldLock="1"/>
      </w:r>
      <w:r w:rsidR="00B1214D" w:rsidRPr="001F1399">
        <w:rPr>
          <w:rFonts w:ascii="Book Antiqua" w:hAnsi="Book Antiqua"/>
          <w:sz w:val="24"/>
          <w:szCs w:val="24"/>
          <w:lang w:val="en-US"/>
        </w:rPr>
        <w:instrText>ADDIN CSL_CITATION {"citationItems":[{"id":"ITEM-1","itemData":{"DOI":"10.1016/j.fct.2013.07.047","ISSN":"02786915","PMID":"23907020","author":[{"dropping-particle":"","family":"Marin","given":"S.","non-dropping-particle":"","parse-names":false,"suffix":""},{"dropping-particle":"","family":"Ramos","given":"A.J.","non-dropping-particle":"","parse-names":false,"suffix":""},{"dropping-particle":"","family":"Cano-Sancho","given":"G.","non-dropping-particle":"","parse-names":false,"suffix":""},{"dropping-particle":"","family":"Sanchis","given":"V.","non-dropping-particle":"","parse-names":false,"suffix":""}],"container-title":"Food and Chemical Toxicology","id":"ITEM-1","issued":{"date-parts":[["2013","10"]]},"page":"218-237","title":"Mycotoxins: Occurrence, toxicology, and exposure assessment","type":"article-journal","volume":"60"},"uris":["http://www.mendeley.com/documents/?uuid=9a25fdf4-b9a7-4ac2-85ad-b16f96f9989f"]}],"mendeley":{"formattedCitation":"&lt;sup&gt;[201]&lt;/sup&gt;","plainTextFormattedCitation":"[201]","previouslyFormattedCitation":"&lt;sup&gt;[200]&lt;/sup&gt;"},"properties":{"noteIndex":0},"schema":"https://github.com/citation-style-language/schema/raw/master/csl-citation.json"}</w:instrText>
      </w:r>
      <w:r w:rsidRPr="001F1399">
        <w:rPr>
          <w:rFonts w:ascii="Book Antiqua" w:hAnsi="Book Antiqua"/>
          <w:sz w:val="24"/>
          <w:szCs w:val="24"/>
          <w:lang w:val="en-US"/>
        </w:rPr>
        <w:fldChar w:fldCharType="separate"/>
      </w:r>
      <w:r w:rsidR="00B1214D" w:rsidRPr="001F1399">
        <w:rPr>
          <w:rFonts w:ascii="Book Antiqua" w:hAnsi="Book Antiqua"/>
          <w:noProof/>
          <w:sz w:val="24"/>
          <w:szCs w:val="24"/>
          <w:vertAlign w:val="superscript"/>
          <w:lang w:val="en-US"/>
        </w:rPr>
        <w:t>[201]</w:t>
      </w:r>
      <w:r w:rsidRPr="001F1399">
        <w:rPr>
          <w:rFonts w:ascii="Book Antiqua" w:hAnsi="Book Antiqua"/>
          <w:sz w:val="24"/>
          <w:szCs w:val="24"/>
          <w:lang w:val="en-US"/>
        </w:rPr>
        <w:fldChar w:fldCharType="end"/>
      </w:r>
      <w:r w:rsidRPr="001F1399">
        <w:rPr>
          <w:rFonts w:ascii="Book Antiqua" w:hAnsi="Book Antiqua"/>
          <w:sz w:val="24"/>
          <w:szCs w:val="24"/>
          <w:lang w:val="en-US"/>
        </w:rPr>
        <w:t xml:space="preserve">. </w:t>
      </w:r>
    </w:p>
    <w:p w14:paraId="144D555F" w14:textId="77777777" w:rsidR="00702636" w:rsidRPr="001F1399" w:rsidRDefault="00702636" w:rsidP="002974FA">
      <w:pPr>
        <w:pStyle w:val="paragraph"/>
        <w:adjustRightInd w:val="0"/>
        <w:snapToGrid w:val="0"/>
        <w:spacing w:before="0" w:beforeAutospacing="0" w:after="0" w:afterAutospacing="0" w:line="360" w:lineRule="auto"/>
        <w:ind w:left="705"/>
        <w:jc w:val="both"/>
        <w:textAlignment w:val="baseline"/>
        <w:rPr>
          <w:rStyle w:val="normaltextrun"/>
          <w:rFonts w:ascii="Book Antiqua" w:hAnsi="Book Antiqua" w:cs="Calibri"/>
          <w:i/>
          <w:iCs/>
          <w:color w:val="7030A0"/>
          <w:lang w:val="en-US"/>
        </w:rPr>
      </w:pPr>
    </w:p>
    <w:p w14:paraId="19EA52C7" w14:textId="02F0835C" w:rsidR="00D51788" w:rsidRPr="001F1399" w:rsidRDefault="00D51788" w:rsidP="002974FA">
      <w:pPr>
        <w:pStyle w:val="paragraph"/>
        <w:adjustRightInd w:val="0"/>
        <w:snapToGrid w:val="0"/>
        <w:spacing w:before="0" w:beforeAutospacing="0" w:after="0" w:afterAutospacing="0" w:line="360" w:lineRule="auto"/>
        <w:jc w:val="both"/>
        <w:textAlignment w:val="baseline"/>
        <w:rPr>
          <w:rFonts w:ascii="Book Antiqua" w:hAnsi="Book Antiqua" w:cs="Segoe UI"/>
          <w:b/>
          <w:i/>
          <w:lang w:val="en-US"/>
        </w:rPr>
      </w:pPr>
      <w:r w:rsidRPr="001F1399">
        <w:rPr>
          <w:rStyle w:val="normaltextrun"/>
          <w:rFonts w:ascii="Book Antiqua" w:hAnsi="Book Antiqua" w:cs="Calibri"/>
          <w:b/>
          <w:i/>
          <w:lang w:val="en-US"/>
        </w:rPr>
        <w:t xml:space="preserve">Postnatal exposure to </w:t>
      </w:r>
      <w:r w:rsidR="005C58CF" w:rsidRPr="001F1399">
        <w:rPr>
          <w:rStyle w:val="normaltextrun"/>
          <w:rFonts w:ascii="Book Antiqua" w:hAnsi="Book Antiqua" w:cs="Calibri"/>
          <w:b/>
          <w:i/>
          <w:lang w:val="en-US"/>
        </w:rPr>
        <w:t xml:space="preserve">other </w:t>
      </w:r>
      <w:r w:rsidRPr="001F1399">
        <w:rPr>
          <w:rStyle w:val="normaltextrun"/>
          <w:rFonts w:ascii="Book Antiqua" w:hAnsi="Book Antiqua" w:cs="Calibri"/>
          <w:b/>
          <w:i/>
          <w:lang w:val="en-US"/>
        </w:rPr>
        <w:t>organic pollutants</w:t>
      </w:r>
    </w:p>
    <w:p w14:paraId="01A2B0D8" w14:textId="67272676" w:rsidR="00DB2FE8" w:rsidRPr="001F1399" w:rsidRDefault="1EFD163B" w:rsidP="002974FA">
      <w:pPr>
        <w:pStyle w:val="paragraph"/>
        <w:adjustRightInd w:val="0"/>
        <w:snapToGrid w:val="0"/>
        <w:spacing w:before="0" w:beforeAutospacing="0" w:after="0" w:afterAutospacing="0" w:line="360" w:lineRule="auto"/>
        <w:jc w:val="both"/>
        <w:rPr>
          <w:rFonts w:ascii="Book Antiqua" w:hAnsi="Book Antiqua" w:cstheme="minorBidi"/>
          <w:lang w:val="en-US"/>
        </w:rPr>
      </w:pPr>
      <w:r w:rsidRPr="001F1399">
        <w:rPr>
          <w:rFonts w:ascii="Book Antiqua" w:hAnsi="Book Antiqua" w:cstheme="minorBidi"/>
          <w:lang w:val="en-US"/>
        </w:rPr>
        <w:t>Several POPs have been associated with increased children's behavior problems</w:t>
      </w:r>
      <w:r w:rsidR="001F319C" w:rsidRPr="001F1399">
        <w:rPr>
          <w:rFonts w:ascii="Book Antiqua" w:hAnsi="Book Antiqua" w:cstheme="minorBidi"/>
          <w:lang w:val="en-US"/>
        </w:rPr>
        <w:fldChar w:fldCharType="begin" w:fldLock="1"/>
      </w:r>
      <w:r w:rsidR="00B1214D" w:rsidRPr="001F1399">
        <w:rPr>
          <w:rFonts w:ascii="Book Antiqua" w:hAnsi="Book Antiqua" w:cstheme="minorBidi"/>
          <w:lang w:val="en-US"/>
        </w:rPr>
        <w:instrText>ADDIN CSL_CITATION {"citationItems":[{"id":"ITEM-1","itemData":{"DOI":"10.1016/j.scitotenv.2017.12.058","ISSN":"18791026","PMID":"29258038","abstract":"Exposure of the developing fetus and infants to toxic substances can cause serious lifelong health consequences. Several chemicals have been associated with adverse neurodevelopmental disorders in the early life stages of humans. However, most epidemiological studies have focused on a limited number of chemicals, and hence may exclude important chemicals from consideration or result in conclusions built on associations by chance. In the present study, we investigated the chemical exposure profile of the women, and associated these with the early neurodevelopmental performance of their offspring at 13–24 months of age. The chemicals assessed include four phthalates, bisphenol A, three heavy metals, 19 polychlorinated biphenyls (PCBs), 19 organochlorine pesticides, and 19 polybrominated diphenyl ethers, which were measured from urine, whole blood, serum, and/or breastmilk of the pregnant or lactating women. For neurodevelopmental performance, the Bayley Scales of Infant Development-II (BSID-II), Social Maturity Scale (SMS), and Child Behavior Checklist (CBCL) were measured from a total of 140 toddlers. Among the measured chemicals, monoethyl phthalate (MEP) in maternal urine was significantly associated with early mental, psychomotor, and social development. In addition, breast milk di-ethylhexyl phthalate (DEHP) metabolite and blood lead concentrations were inversely associated with mental and psychomotor development indices, respectively. Maternal blood PCB153, heavy metals, and urinary MEP levels were also higher among the children with behavioral problems, as indicated by the CBCL range. Taken together, maternal exposure to several EDCs such as PCBs and DEHP was associated with adverse neurodevelopmental performances among the children aged 1–2 years. Confirmation of these association in larger populations, as well as longer-term consequences of such exposure warrant further investigation.","author":[{"dropping-particle":"","family":"Kim","given":"Sunmi","non-dropping-particle":"","parse-names":false,"suffix":""},{"dropping-particle":"","family":"Eom","given":"Soyong","non-dropping-particle":"","parse-names":false,"suffix":""},{"dropping-particle":"","family":"Kim","given":"Hai Joong","non-dropping-particle":"","parse-names":false,"suffix":""},{"dropping-particle":"","family":"Lee","given":"Jeong Jae","non-dropping-particle":"","parse-names":false,"suffix":""},{"dropping-particle":"","family":"Choi","given":"Gyuyeon","non-dropping-particle":"","parse-names":false,"suffix":""},{"dropping-particle":"","family":"Choi","given":"Sooran","non-dropping-particle":"","parse-names":false,"suffix":""},{"dropping-particle":"","family":"Kim","given":"Sungjoo","non-dropping-particle":"","parse-names":false,"suffix":""},{"dropping-particle":"","family":"Kim","given":"Su Young","non-dropping-particle":"","parse-names":false,"suffix":""},{"dropping-particle":"","family":"Cho","given":"Geumjoon","non-dropping-particle":"","parse-names":false,"suffix":""},{"dropping-particle":"","family":"Kim","given":"Young Don","non-dropping-particle":"","parse-names":false,"suffix":""},{"dropping-particle":"","family":"Suh","given":"Eunsook","non-dropping-particle":"","parse-names":false,"suffix":""},{"dropping-particle":"","family":"Kim","given":"Sung Koo","non-dropping-particle":"","parse-names":false,"suffix":""},{"dropping-particle":"","family":"Kim","given":"Seunghyo","non-dropping-particle":"","parse-names":false,"suffix":""},{"dropping-particle":"","family":"Kim","given":"Gun Ha","non-dropping-particle":"","parse-names":false,"suffix":""},{"dropping-particle":"","family":"Moon","given":"Hyo Bang","non-dropping-particle":"","parse-names":false,"suffix":""},{"dropping-particle":"","family":"Park","given":"Jeongim","non-dropping-particle":"","parse-names":false,"suffix":""},{"dropping-particle":"","family":"Kim","given":"Sungkyoon","non-dropping-particle":"","parse-names":false,"suffix":""},{"dropping-particle":"","family":"Choi","given":"Kyungho","non-dropping-particle":"","parse-names":false,"suffix":""},{"dropping-particle":"","family":"Eun","given":"So Hee","non-dropping-particle":"","parse-names":false,"suffix":""}],"container-title":"Science of the Total Environment","id":"ITEM-1","issued":{"date-parts":[["2018","5","15"]]},"page":"377-384","publisher":"Elsevier B.V.","title":"Association between maternal exposure to major phthalates, heavy metals, and persistent organic pollutants, and the neurodevelopmental performances of their children at 1 to 2 years of age- CHECK cohort study","type":"article-journal","volume":"624"},"uris":["http://www.mendeley.com/documents/?uuid=46499722-25f6-3e78-99b3-64ea0fe346f5"]}],"mendeley":{"formattedCitation":"&lt;sup&gt;[202]&lt;/sup&gt;","plainTextFormattedCitation":"[202]","previouslyFormattedCitation":"&lt;sup&gt;[201]&lt;/sup&gt;"},"properties":{"noteIndex":0},"schema":"https://github.com/citation-style-language/schema/raw/master/csl-citation.json"}</w:instrText>
      </w:r>
      <w:r w:rsidR="001F319C" w:rsidRPr="001F1399">
        <w:rPr>
          <w:rFonts w:ascii="Book Antiqua" w:hAnsi="Book Antiqua" w:cstheme="minorBidi"/>
          <w:lang w:val="en-US"/>
        </w:rPr>
        <w:fldChar w:fldCharType="separate"/>
      </w:r>
      <w:r w:rsidR="00B1214D" w:rsidRPr="001F1399">
        <w:rPr>
          <w:rFonts w:ascii="Book Antiqua" w:hAnsi="Book Antiqua" w:cstheme="minorBidi"/>
          <w:noProof/>
          <w:vertAlign w:val="superscript"/>
          <w:lang w:val="en-US"/>
        </w:rPr>
        <w:t>[202]</w:t>
      </w:r>
      <w:r w:rsidR="001F319C" w:rsidRPr="001F1399">
        <w:rPr>
          <w:rFonts w:ascii="Book Antiqua" w:hAnsi="Book Antiqua" w:cstheme="minorBidi"/>
          <w:lang w:val="en-US"/>
        </w:rPr>
        <w:fldChar w:fldCharType="end"/>
      </w:r>
      <w:r w:rsidRPr="001F1399">
        <w:rPr>
          <w:rFonts w:ascii="Book Antiqua" w:hAnsi="Book Antiqua" w:cstheme="minorBidi"/>
          <w:lang w:val="en-US"/>
        </w:rPr>
        <w:t>.</w:t>
      </w:r>
      <w:r w:rsidR="00140762" w:rsidRPr="001F1399">
        <w:rPr>
          <w:rFonts w:ascii="Book Antiqua" w:hAnsi="Book Antiqua" w:cstheme="minorBidi"/>
          <w:lang w:val="en-US"/>
        </w:rPr>
        <w:t xml:space="preserve"> </w:t>
      </w:r>
      <w:r w:rsidR="00DB2FE8" w:rsidRPr="001F1399">
        <w:rPr>
          <w:rFonts w:ascii="Book Antiqua" w:hAnsi="Book Antiqua" w:cstheme="minorBidi"/>
          <w:lang w:val="en-US"/>
        </w:rPr>
        <w:t xml:space="preserve">Some studies have pointed out that </w:t>
      </w:r>
      <w:r w:rsidR="00DB2FE8" w:rsidRPr="001F1399">
        <w:rPr>
          <w:rFonts w:ascii="Book Antiqua" w:hAnsi="Book Antiqua"/>
          <w:color w:val="000000"/>
          <w:shd w:val="clear" w:color="auto" w:fill="FFFFFF"/>
          <w:lang w:val="en-US"/>
        </w:rPr>
        <w:t xml:space="preserve">exposition for 24 h to 5 pollutants </w:t>
      </w:r>
      <w:r w:rsidR="00061FC2" w:rsidRPr="001F1399">
        <w:rPr>
          <w:rFonts w:ascii="Book Antiqua" w:hAnsi="Book Antiqua"/>
          <w:color w:val="000000"/>
          <w:shd w:val="clear" w:color="auto" w:fill="FFFFFF"/>
          <w:lang w:val="en-US"/>
        </w:rPr>
        <w:t>[</w:t>
      </w:r>
      <w:r w:rsidR="00DB2FE8" w:rsidRPr="001F1399">
        <w:rPr>
          <w:rFonts w:ascii="Book Antiqua" w:hAnsi="Book Antiqua"/>
          <w:color w:val="000000"/>
          <w:shd w:val="clear" w:color="auto" w:fill="FFFFFF"/>
          <w:lang w:val="en-US"/>
        </w:rPr>
        <w:t xml:space="preserve">TCDD, deltamethrin, </w:t>
      </w:r>
      <w:r w:rsidR="00061FC2" w:rsidRPr="001F1399">
        <w:rPr>
          <w:rFonts w:ascii="Book Antiqua" w:eastAsia="Calibri" w:hAnsi="Book Antiqua" w:cs="Calibri"/>
          <w:lang w:val="en-US"/>
        </w:rPr>
        <w:t>hexabromocyclododecane</w:t>
      </w:r>
      <w:r w:rsidR="00DB2FE8" w:rsidRPr="001F1399">
        <w:rPr>
          <w:rFonts w:ascii="Book Antiqua" w:hAnsi="Book Antiqua"/>
          <w:color w:val="000000"/>
          <w:shd w:val="clear" w:color="auto" w:fill="FFFFFF"/>
          <w:lang w:val="en-US"/>
        </w:rPr>
        <w:t xml:space="preserve">, </w:t>
      </w:r>
      <w:r w:rsidR="00061FC2" w:rsidRPr="001F1399">
        <w:rPr>
          <w:rFonts w:ascii="Book Antiqua" w:hAnsi="Book Antiqua"/>
          <w:color w:val="000000"/>
          <w:shd w:val="clear" w:color="auto" w:fill="FFFFFF"/>
          <w:lang w:val="en-US"/>
        </w:rPr>
        <w:t>Benzo(a)Pyrene</w:t>
      </w:r>
      <w:r w:rsidR="00DB2FE8" w:rsidRPr="001F1399">
        <w:rPr>
          <w:rFonts w:ascii="Book Antiqua" w:hAnsi="Book Antiqua"/>
          <w:color w:val="000000"/>
          <w:shd w:val="clear" w:color="auto" w:fill="FFFFFF"/>
          <w:lang w:val="en-US"/>
        </w:rPr>
        <w:t xml:space="preserve"> and </w:t>
      </w:r>
      <w:r w:rsidR="00061FC2" w:rsidRPr="001F1399">
        <w:rPr>
          <w:rFonts w:ascii="Book Antiqua" w:hAnsi="Book Antiqua" w:cs="Calibri"/>
          <w:lang w:val="en-US"/>
        </w:rPr>
        <w:t>2-amino-1-methyl-6-phenylimidazo(4,5-b)pyridine</w:t>
      </w:r>
      <w:r w:rsidR="00061FC2" w:rsidRPr="001F1399">
        <w:rPr>
          <w:rFonts w:ascii="Book Antiqua" w:hAnsi="Book Antiqua"/>
          <w:color w:val="000000"/>
          <w:shd w:val="clear" w:color="auto" w:fill="FFFFFF"/>
          <w:lang w:val="en-US"/>
        </w:rPr>
        <w:t>]</w:t>
      </w:r>
      <w:r w:rsidR="00DB2FE8" w:rsidRPr="001F1399">
        <w:rPr>
          <w:rFonts w:ascii="Book Antiqua" w:hAnsi="Book Antiqua"/>
          <w:color w:val="000000"/>
          <w:shd w:val="clear" w:color="auto" w:fill="FFFFFF"/>
          <w:lang w:val="en-US"/>
        </w:rPr>
        <w:t xml:space="preserve"> and one mixture of pollutants polycyclic aromatic hydrocarbures (PAHs) significantly shifted the microbial volatile pattern, suggesting that the activity of the microbiota might have been affected</w:t>
      </w:r>
      <w:r w:rsidR="00DB2FE8" w:rsidRPr="001F1399">
        <w:rPr>
          <w:rFonts w:ascii="Book Antiqua" w:hAnsi="Book Antiqua"/>
        </w:rPr>
        <w:fldChar w:fldCharType="begin" w:fldLock="1"/>
      </w:r>
      <w:r w:rsidR="00B1214D" w:rsidRPr="001F1399">
        <w:rPr>
          <w:rFonts w:ascii="Book Antiqua" w:hAnsi="Book Antiqua"/>
          <w:color w:val="000000"/>
          <w:shd w:val="clear" w:color="auto" w:fill="FFFFFF"/>
          <w:lang w:val="en-US"/>
        </w:rPr>
        <w:instrText>ADDIN CSL_CITATION {"citationItems":[{"id":"ITEM-1","itemData":{"DOI":"10.1038/s41598-018-29376-9","ISSN":"2045-2322","PMID":"30030472","abstract":"Growing evidence indicates that the human gut microbiota interacts with xenobiotics, including persistent organic pollutants and foodborne chemicals. The toxicological relevance of the gut microbiota-pollutant interplay is of great concern since chemicals may disrupt gut microbiota functions, with a potential impairment of host homeostasis. Herein we report within batch fermentation systems the impact of food contaminants (polycyclic aromatic hydrocarbons, polychlorobiphenyls, brominated flame retardants, dioxins, pesticides and heterocyclic amines) on the human gut microbiota by metatranscriptome and volatolome i.e. “volatile organic compounds” analyses. Inflammatory host cell response caused by microbial metabolites following the pollutants-gut microbiota interaction, was evaluated on intestinal epithelial TC7 cells. Changes in the volatolome pattern analyzed via solid-phase microextraction coupled to gas chromatography-mass spectrometry mainly resulted in an imbalance in sulfur, phenolic and ester compounds. An increase in microbial gene expression related to lipid metabolism processes as well as the plasma membrane, periplasmic space, protein kinase activity and receptor activity was observed following dioxin, brominated flame retardant and heterocyclic amine exposure. Conversely, all food contaminants tested induced a decreased in microbial transcript levels related to ribosome, translation and nucleic acid binding. Finally, we demonstrated that gut microbiota metabolites resulting from pollutant disturbances may promote the establishment of a pro-inflammatory state in the gut, as stated with the release of cytokine IL-8 by intestinal epithelial cells.","author":[{"dropping-particle":"","family":"Defois","given":"Clémence","non-dropping-particle":"","parse-names":false,"suffix":""},{"dropping-particle":"","family":"Ratel","given":"Jérémy","non-dropping-particle":"","parse-names":false,"suffix":""},{"dropping-particle":"","family":"Garrait","given":"Ghislain","non-dropping-particle":"","parse-names":false,"suffix":""},{"dropping-particle":"","family":"Denis","given":"Sylvain","non-dropping-particle":"","parse-names":false,"suffix":""},{"dropping-particle":"","family":"Goff","given":"Olivier","non-dropping-particle":"Le","parse-names":false,"suffix":""},{"dropping-particle":"","family":"Talvas","given":"Jérémie","non-dropping-particle":"","parse-names":false,"suffix":""},{"dropping-particle":"","family":"Mosoni","given":"Pascale","non-dropping-particle":"","parse-names":false,"suffix":""},{"dropping-particle":"","family":"Engel","given":"Erwan","non-dropping-particle":"","parse-names":false,"suffix":""},{"dropping-particle":"","family":"Peyret","given":"Pierre","non-dropping-particle":"","parse-names":false,"suffix":""}],"container-title":"Scientific Reports","id":"ITEM-1","issue":"1","issued":{"date-parts":[["2018","12","20"]]},"page":"11006","title":"Food Chemicals Disrupt Human Gut Microbiota Activity And Impact Intestinal Homeostasis As Revealed By In Vitro Systems","type":"article-journal","volume":"8"},"uris":["http://www.mendeley.com/documents/?uuid=b79bdaba-bf9c-34e6-836c-7d989c57af19"]}],"mendeley":{"formattedCitation":"&lt;sup&gt;[203]&lt;/sup&gt;","plainTextFormattedCitation":"[203]","previouslyFormattedCitation":"&lt;sup&gt;[202]&lt;/sup&gt;"},"properties":{"noteIndex":0},"schema":"https://github.com/citation-style-language/schema/raw/master/csl-citation.json"}</w:instrText>
      </w:r>
      <w:r w:rsidR="00DB2FE8" w:rsidRPr="001F1399">
        <w:rPr>
          <w:rFonts w:ascii="Book Antiqua" w:hAnsi="Book Antiqua"/>
          <w:color w:val="000000"/>
          <w:shd w:val="clear" w:color="auto" w:fill="FFFFFF"/>
          <w:lang w:val="en-US"/>
        </w:rPr>
        <w:fldChar w:fldCharType="separate"/>
      </w:r>
      <w:r w:rsidR="00B1214D" w:rsidRPr="001F1399">
        <w:rPr>
          <w:rFonts w:ascii="Book Antiqua" w:hAnsi="Book Antiqua"/>
          <w:noProof/>
          <w:color w:val="000000"/>
          <w:shd w:val="clear" w:color="auto" w:fill="FFFFFF"/>
          <w:vertAlign w:val="superscript"/>
          <w:lang w:val="en-US"/>
        </w:rPr>
        <w:t>[203]</w:t>
      </w:r>
      <w:r w:rsidR="00DB2FE8" w:rsidRPr="001F1399">
        <w:rPr>
          <w:rFonts w:ascii="Book Antiqua" w:hAnsi="Book Antiqua"/>
        </w:rPr>
        <w:fldChar w:fldCharType="end"/>
      </w:r>
      <w:r w:rsidR="00DB2FE8" w:rsidRPr="001F1399">
        <w:rPr>
          <w:rFonts w:ascii="Book Antiqua" w:hAnsi="Book Antiqua"/>
          <w:color w:val="000000"/>
          <w:shd w:val="clear" w:color="auto" w:fill="FFFFFF"/>
          <w:lang w:val="en-US"/>
        </w:rPr>
        <w:t xml:space="preserve">. </w:t>
      </w:r>
      <w:r w:rsidR="003D3868" w:rsidRPr="001F1399">
        <w:rPr>
          <w:rFonts w:ascii="Book Antiqua" w:hAnsi="Book Antiqua"/>
          <w:color w:val="000000"/>
          <w:shd w:val="clear" w:color="auto" w:fill="FFFFFF"/>
          <w:lang w:val="en-US"/>
        </w:rPr>
        <w:t xml:space="preserve">Moreover, their direct or indirect consequences </w:t>
      </w:r>
      <w:r w:rsidR="003048F3" w:rsidRPr="001F1399">
        <w:rPr>
          <w:rFonts w:ascii="Book Antiqua" w:hAnsi="Book Antiqua"/>
          <w:color w:val="000000"/>
          <w:shd w:val="clear" w:color="auto" w:fill="FFFFFF"/>
          <w:lang w:val="en-US"/>
        </w:rPr>
        <w:t>on neuronal communication and network development has already been described</w:t>
      </w:r>
      <w:r w:rsidR="003048F3" w:rsidRPr="001F1399">
        <w:rPr>
          <w:rFonts w:ascii="Book Antiqua" w:hAnsi="Book Antiqua"/>
          <w:color w:val="000000"/>
          <w:shd w:val="clear" w:color="auto" w:fill="FFFFFF"/>
          <w:lang w:val="en-US"/>
        </w:rPr>
        <w:fldChar w:fldCharType="begin" w:fldLock="1"/>
      </w:r>
      <w:r w:rsidR="00B1214D" w:rsidRPr="001F1399">
        <w:rPr>
          <w:rFonts w:ascii="Book Antiqua" w:hAnsi="Book Antiqua"/>
          <w:color w:val="000000"/>
          <w:shd w:val="clear" w:color="auto" w:fill="FFFFFF"/>
          <w:lang w:val="en-US"/>
        </w:rPr>
        <w:instrText>ADDIN CSL_CITATION {"citationItems":[{"id":"ITEM-1","itemData":{"author":[{"dropping-particle":"","family":"Gascon","given":"Mireia","non-dropping-particle":"","parse-names":false,"suffix":""}],"id":"ITEM-1","issued":{"date-parts":[["2013"]]},"page":"9-15","title":"NeuroToxicology Full length article Evaluating the neurotoxic effects of lactational exposure to persistent organic pollutants ( POPs ) in Spanish children ´ s Ibarluzea","type":"article-journal","volume":"34"},"uris":["http://www.mendeley.com/documents/?uuid=b72cdf2c-c236-4b21-94bb-40a87e87fe06"]}],"mendeley":{"formattedCitation":"&lt;sup&gt;[204]&lt;/sup&gt;","plainTextFormattedCitation":"[204]","previouslyFormattedCitation":"&lt;sup&gt;[203]&lt;/sup&gt;"},"properties":{"noteIndex":0},"schema":"https://github.com/citation-style-language/schema/raw/master/csl-citation.json"}</w:instrText>
      </w:r>
      <w:r w:rsidR="003048F3" w:rsidRPr="001F1399">
        <w:rPr>
          <w:rFonts w:ascii="Book Antiqua" w:hAnsi="Book Antiqua"/>
          <w:color w:val="000000"/>
          <w:shd w:val="clear" w:color="auto" w:fill="FFFFFF"/>
          <w:lang w:val="en-US"/>
        </w:rPr>
        <w:fldChar w:fldCharType="separate"/>
      </w:r>
      <w:r w:rsidR="00B1214D" w:rsidRPr="001F1399">
        <w:rPr>
          <w:rFonts w:ascii="Book Antiqua" w:hAnsi="Book Antiqua"/>
          <w:noProof/>
          <w:color w:val="000000"/>
          <w:shd w:val="clear" w:color="auto" w:fill="FFFFFF"/>
          <w:vertAlign w:val="superscript"/>
          <w:lang w:val="en-US"/>
        </w:rPr>
        <w:t>[204]</w:t>
      </w:r>
      <w:r w:rsidR="003048F3" w:rsidRPr="001F1399">
        <w:rPr>
          <w:rFonts w:ascii="Book Antiqua" w:hAnsi="Book Antiqua"/>
          <w:color w:val="000000"/>
          <w:shd w:val="clear" w:color="auto" w:fill="FFFFFF"/>
          <w:lang w:val="en-US"/>
        </w:rPr>
        <w:fldChar w:fldCharType="end"/>
      </w:r>
      <w:r w:rsidR="003048F3" w:rsidRPr="001F1399">
        <w:rPr>
          <w:rFonts w:ascii="Book Antiqua" w:hAnsi="Book Antiqua"/>
          <w:color w:val="000000"/>
          <w:shd w:val="clear" w:color="auto" w:fill="FFFFFF"/>
          <w:lang w:val="en-US"/>
        </w:rPr>
        <w:t xml:space="preserve">. </w:t>
      </w:r>
      <w:r w:rsidR="00DB2FE8" w:rsidRPr="001F1399">
        <w:rPr>
          <w:rFonts w:ascii="Book Antiqua" w:hAnsi="Book Antiqua"/>
          <w:color w:val="000000"/>
          <w:shd w:val="clear" w:color="auto" w:fill="FFFFFF"/>
          <w:lang w:val="en-US"/>
        </w:rPr>
        <w:t xml:space="preserve">Taking </w:t>
      </w:r>
      <w:r w:rsidR="00920259" w:rsidRPr="001F1399">
        <w:rPr>
          <w:rFonts w:ascii="Book Antiqua" w:hAnsi="Book Antiqua"/>
          <w:color w:val="000000"/>
          <w:shd w:val="clear" w:color="auto" w:fill="FFFFFF"/>
          <w:lang w:val="en-US"/>
        </w:rPr>
        <w:t xml:space="preserve">all </w:t>
      </w:r>
      <w:r w:rsidR="00DB2FE8" w:rsidRPr="001F1399">
        <w:rPr>
          <w:rFonts w:ascii="Book Antiqua" w:hAnsi="Book Antiqua"/>
          <w:color w:val="000000"/>
          <w:shd w:val="clear" w:color="auto" w:fill="FFFFFF"/>
          <w:lang w:val="en-US"/>
        </w:rPr>
        <w:t>these information</w:t>
      </w:r>
      <w:r w:rsidR="00920259" w:rsidRPr="001F1399">
        <w:rPr>
          <w:rFonts w:ascii="Book Antiqua" w:hAnsi="Book Antiqua"/>
          <w:color w:val="000000"/>
          <w:shd w:val="clear" w:color="auto" w:fill="FFFFFF"/>
          <w:lang w:val="en-US"/>
        </w:rPr>
        <w:t>s</w:t>
      </w:r>
      <w:r w:rsidR="00DB2FE8" w:rsidRPr="001F1399">
        <w:rPr>
          <w:rFonts w:ascii="Book Antiqua" w:hAnsi="Book Antiqua"/>
          <w:color w:val="000000"/>
          <w:shd w:val="clear" w:color="auto" w:fill="FFFFFF"/>
          <w:lang w:val="en-US"/>
        </w:rPr>
        <w:t xml:space="preserve"> into account, one can’t exclude the possibility of misshaping the gut microbiota settlement in n</w:t>
      </w:r>
      <w:r w:rsidR="00920259" w:rsidRPr="001F1399">
        <w:rPr>
          <w:rFonts w:ascii="Book Antiqua" w:hAnsi="Book Antiqua"/>
          <w:color w:val="000000"/>
          <w:shd w:val="clear" w:color="auto" w:fill="FFFFFF"/>
          <w:lang w:val="en-US"/>
        </w:rPr>
        <w:t>e</w:t>
      </w:r>
      <w:r w:rsidR="00DB2FE8" w:rsidRPr="001F1399">
        <w:rPr>
          <w:rFonts w:ascii="Book Antiqua" w:hAnsi="Book Antiqua"/>
          <w:color w:val="000000"/>
          <w:shd w:val="clear" w:color="auto" w:fill="FFFFFF"/>
          <w:lang w:val="en-US"/>
        </w:rPr>
        <w:t>wborns and the sensible consequences on his/her health.</w:t>
      </w:r>
      <w:r w:rsidR="003048F3" w:rsidRPr="001F1399">
        <w:rPr>
          <w:rFonts w:ascii="Book Antiqua" w:hAnsi="Book Antiqua"/>
          <w:color w:val="000000"/>
          <w:shd w:val="clear" w:color="auto" w:fill="FFFFFF"/>
          <w:lang w:val="en-US"/>
        </w:rPr>
        <w:t xml:space="preserve"> POPs, PCBs, PAHs have been described as significantly altering the microbiota metabolism at the origin of the induction of a proinflammatory status of the gut</w:t>
      </w:r>
      <w:r w:rsidR="003048F3" w:rsidRPr="001F1399">
        <w:rPr>
          <w:rFonts w:ascii="Book Antiqua" w:hAnsi="Book Antiqua"/>
          <w:color w:val="000000"/>
          <w:shd w:val="clear" w:color="auto" w:fill="FFFFFF"/>
          <w:lang w:val="en-US"/>
        </w:rPr>
        <w:fldChar w:fldCharType="begin" w:fldLock="1"/>
      </w:r>
      <w:r w:rsidR="00B1214D" w:rsidRPr="001F1399">
        <w:rPr>
          <w:rFonts w:ascii="Book Antiqua" w:hAnsi="Book Antiqua"/>
          <w:color w:val="000000"/>
          <w:shd w:val="clear" w:color="auto" w:fill="FFFFFF"/>
          <w:lang w:val="en-US"/>
        </w:rPr>
        <w:instrText>ADDIN CSL_CITATION {"citationItems":[{"id":"ITEM-1","itemData":{"DOI":"10.1038/s41598-018-29376-9","ISSN":"2045-2322","PMID":"30030472","abstract":"Growing evidence indicates that the human gut microbiota interacts with xenobiotics, including persistent organic pollutants and foodborne chemicals. The toxicological relevance of the gut microbiota-pollutant interplay is of great concern since chemicals may disrupt gut microbiota functions, with a potential impairment of host homeostasis. Herein we report within batch fermentation systems the impact of food contaminants (polycyclic aromatic hydrocarbons, polychlorobiphenyls, brominated flame retardants, dioxins, pesticides and heterocyclic amines) on the human gut microbiota by metatranscriptome and volatolome i.e. “volatile organic compounds” analyses. Inflammatory host cell response caused by microbial metabolites following the pollutants-gut microbiota interaction, was evaluated on intestinal epithelial TC7 cells. Changes in the volatolome pattern analyzed via solid-phase microextraction coupled to gas chromatography-mass spectrometry mainly resulted in an imbalance in sulfur, phenolic and ester compounds. An increase in microbial gene expression related to lipid metabolism processes as well as the plasma membrane, periplasmic space, protein kinase activity and receptor activity was observed following dioxin, brominated flame retardant and heterocyclic amine exposure. Conversely, all food contaminants tested induced a decreased in microbial transcript levels related to ribosome, translation and nucleic acid binding. Finally, we demonstrated that gut microbiota metabolites resulting from pollutant disturbances may promote the establishment of a pro-inflammatory state in the gut, as stated with the release of cytokine IL-8 by intestinal epithelial cells.","author":[{"dropping-particle":"","family":"Defois","given":"Clémence","non-dropping-particle":"","parse-names":false,"suffix":""},{"dropping-particle":"","family":"Ratel","given":"Jérémy","non-dropping-particle":"","parse-names":false,"suffix":""},{"dropping-particle":"","family":"Garrait","given":"Ghislain","non-dropping-particle":"","parse-names":false,"suffix":""},{"dropping-particle":"","family":"Denis","given":"Sylvain","non-dropping-particle":"","parse-names":false,"suffix":""},{"dropping-particle":"","family":"Goff","given":"Olivier","non-dropping-particle":"Le","parse-names":false,"suffix":""},{"dropping-particle":"","family":"Talvas","given":"Jérémie","non-dropping-particle":"","parse-names":false,"suffix":""},{"dropping-particle":"","family":"Mosoni","given":"Pascale","non-dropping-particle":"","parse-names":false,"suffix":""},{"dropping-particle":"","family":"Engel","given":"Erwan","non-dropping-particle":"","parse-names":false,"suffix":""},{"dropping-particle":"","family":"Peyret","given":"Pierre","non-dropping-particle":"","parse-names":false,"suffix":""}],"container-title":"Scientific Reports","id":"ITEM-1","issue":"1","issued":{"date-parts":[["2018","12","20"]]},"page":"11006","title":"Food Chemicals Disrupt Human Gut Microbiota Activity And Impact Intestinal Homeostasis As Revealed By In Vitro Systems","type":"article-journal","volume":"8"},"uris":["http://www.mendeley.com/documents/?uuid=b79bdaba-bf9c-34e6-836c-7d989c57af19"]}],"mendeley":{"formattedCitation":"&lt;sup&gt;[203]&lt;/sup&gt;","plainTextFormattedCitation":"[203]","previouslyFormattedCitation":"&lt;sup&gt;[202]&lt;/sup&gt;"},"properties":{"noteIndex":0},"schema":"https://github.com/citation-style-language/schema/raw/master/csl-citation.json"}</w:instrText>
      </w:r>
      <w:r w:rsidR="003048F3" w:rsidRPr="001F1399">
        <w:rPr>
          <w:rFonts w:ascii="Book Antiqua" w:hAnsi="Book Antiqua"/>
          <w:color w:val="000000"/>
          <w:shd w:val="clear" w:color="auto" w:fill="FFFFFF"/>
          <w:lang w:val="en-US"/>
        </w:rPr>
        <w:fldChar w:fldCharType="separate"/>
      </w:r>
      <w:r w:rsidR="00B1214D" w:rsidRPr="001F1399">
        <w:rPr>
          <w:rFonts w:ascii="Book Antiqua" w:hAnsi="Book Antiqua"/>
          <w:noProof/>
          <w:color w:val="000000"/>
          <w:shd w:val="clear" w:color="auto" w:fill="FFFFFF"/>
          <w:vertAlign w:val="superscript"/>
          <w:lang w:val="en-US"/>
        </w:rPr>
        <w:t>[203]</w:t>
      </w:r>
      <w:r w:rsidR="003048F3" w:rsidRPr="001F1399">
        <w:rPr>
          <w:rFonts w:ascii="Book Antiqua" w:hAnsi="Book Antiqua"/>
          <w:color w:val="000000"/>
          <w:shd w:val="clear" w:color="auto" w:fill="FFFFFF"/>
          <w:lang w:val="en-US"/>
        </w:rPr>
        <w:fldChar w:fldCharType="end"/>
      </w:r>
      <w:r w:rsidR="003048F3" w:rsidRPr="001F1399">
        <w:rPr>
          <w:rFonts w:ascii="Book Antiqua" w:hAnsi="Book Antiqua"/>
          <w:color w:val="000000"/>
          <w:shd w:val="clear" w:color="auto" w:fill="FFFFFF"/>
          <w:lang w:val="en-US"/>
        </w:rPr>
        <w:t xml:space="preserve">. </w:t>
      </w:r>
      <w:r w:rsidR="00386A43" w:rsidRPr="001F1399">
        <w:rPr>
          <w:rFonts w:ascii="Book Antiqua" w:hAnsi="Book Antiqua"/>
          <w:color w:val="000000"/>
          <w:shd w:val="clear" w:color="auto" w:fill="FFFFFF"/>
          <w:lang w:val="en-US"/>
        </w:rPr>
        <w:t xml:space="preserve">2,3,7,8-tetrachlorodibenzofurane, a </w:t>
      </w:r>
      <w:r w:rsidR="00322E8A" w:rsidRPr="001F1399">
        <w:rPr>
          <w:rFonts w:ascii="Book Antiqua" w:hAnsi="Book Antiqua"/>
          <w:color w:val="000000"/>
          <w:shd w:val="clear" w:color="auto" w:fill="FFFFFF"/>
          <w:lang w:val="en-US"/>
        </w:rPr>
        <w:t>POP</w:t>
      </w:r>
      <w:r w:rsidR="00386A43" w:rsidRPr="001F1399">
        <w:rPr>
          <w:rFonts w:ascii="Book Antiqua" w:hAnsi="Book Antiqua"/>
          <w:color w:val="000000"/>
          <w:shd w:val="clear" w:color="auto" w:fill="FFFFFF"/>
          <w:lang w:val="en-US"/>
        </w:rPr>
        <w:t>, may shift the firmicutes/</w:t>
      </w:r>
      <w:r w:rsidR="00386A43" w:rsidRPr="001F1399">
        <w:rPr>
          <w:rFonts w:ascii="Book Antiqua" w:hAnsi="Book Antiqua"/>
          <w:i/>
          <w:iCs/>
          <w:color w:val="000000"/>
          <w:shd w:val="clear" w:color="auto" w:fill="FFFFFF"/>
          <w:lang w:val="en-US"/>
        </w:rPr>
        <w:t>Bacteroidetes</w:t>
      </w:r>
      <w:r w:rsidR="00386A43" w:rsidRPr="001F1399">
        <w:rPr>
          <w:rFonts w:ascii="Book Antiqua" w:hAnsi="Book Antiqua"/>
          <w:color w:val="000000"/>
          <w:shd w:val="clear" w:color="auto" w:fill="FFFFFF"/>
          <w:lang w:val="en-US"/>
        </w:rPr>
        <w:t xml:space="preserve"> ratio which is at the origin of alteration of bile acid </w:t>
      </w:r>
      <w:r w:rsidR="00386A43" w:rsidRPr="001F1399">
        <w:rPr>
          <w:rFonts w:ascii="Book Antiqua" w:hAnsi="Book Antiqua"/>
          <w:color w:val="000000"/>
          <w:shd w:val="clear" w:color="auto" w:fill="FFFFFF"/>
          <w:lang w:val="en-US"/>
        </w:rPr>
        <w:lastRenderedPageBreak/>
        <w:t>metabolism</w:t>
      </w:r>
      <w:r w:rsidR="00386A43" w:rsidRPr="001F1399">
        <w:rPr>
          <w:rFonts w:ascii="Book Antiqua" w:hAnsi="Book Antiqua"/>
          <w:color w:val="000000"/>
          <w:shd w:val="clear" w:color="auto" w:fill="FFFFFF"/>
          <w:lang w:val="en-US"/>
        </w:rPr>
        <w:fldChar w:fldCharType="begin" w:fldLock="1"/>
      </w:r>
      <w:r w:rsidR="00B1214D" w:rsidRPr="001F1399">
        <w:rPr>
          <w:rFonts w:ascii="Book Antiqua" w:hAnsi="Book Antiqua"/>
          <w:color w:val="000000"/>
          <w:shd w:val="clear" w:color="auto" w:fill="FFFFFF"/>
          <w:lang w:val="en-US"/>
        </w:rPr>
        <w:instrText>ADDIN CSL_CITATION {"citationItems":[{"id":"ITEM-1","itemData":{"DOI":"10.1038/npjbiofilms.2017.1","ISBN":"0171-8630","ISSN":"2055-5008","PMID":"12194761","abstract":"in natural composed of multiple bacte- rial species, filamentous algae, and fungi originally labeled KMB1, KMB2, KMB3 and KMB4 (for Kewalo Marine Lab Species 1 mM MgCl2, 200 µM deoxynucleotide triphosphate mix, 0.1 µM of each , 1X buffer","author":[{"dropping-particle":"","family":"Claus","given":"Sandrine P","non-dropping-particle":"","parse-names":false,"suffix":""},{"dropping-particle":"","family":"Guillou","given":"Hervé","non-dropping-particle":"","parse-names":false,"suffix":""},{"dropping-particle":"","family":"Ellero-Simatos","given":"Sandrine","non-dropping-particle":"","parse-names":false,"suffix":""}],"container-title":"npj Biofilms and Microbiomes","id":"ITEM-1","issue":"1","issued":{"date-parts":[["2017","6","22"]]},"page":"17001","title":"Erratum: The gut microbiota: a major player in the toxicity of environmental pollutants?","type":"article-journal","volume":"3"},"uris":["http://www.mendeley.com/documents/?uuid=4ae6f6f0-92da-4486-bbd7-43cdfb8d3cdc"]}],"mendeley":{"formattedCitation":"&lt;sup&gt;[205]&lt;/sup&gt;","plainTextFormattedCitation":"[205]","previouslyFormattedCitation":"&lt;sup&gt;[204]&lt;/sup&gt;"},"properties":{"noteIndex":0},"schema":"https://github.com/citation-style-language/schema/raw/master/csl-citation.json"}</w:instrText>
      </w:r>
      <w:r w:rsidR="00386A43" w:rsidRPr="001F1399">
        <w:rPr>
          <w:rFonts w:ascii="Book Antiqua" w:hAnsi="Book Antiqua"/>
          <w:color w:val="000000"/>
          <w:shd w:val="clear" w:color="auto" w:fill="FFFFFF"/>
          <w:lang w:val="en-US"/>
        </w:rPr>
        <w:fldChar w:fldCharType="separate"/>
      </w:r>
      <w:r w:rsidR="00B1214D" w:rsidRPr="001F1399">
        <w:rPr>
          <w:rFonts w:ascii="Book Antiqua" w:hAnsi="Book Antiqua"/>
          <w:noProof/>
          <w:color w:val="000000"/>
          <w:shd w:val="clear" w:color="auto" w:fill="FFFFFF"/>
          <w:vertAlign w:val="superscript"/>
          <w:lang w:val="en-US"/>
        </w:rPr>
        <w:t>[205]</w:t>
      </w:r>
      <w:r w:rsidR="00386A43" w:rsidRPr="001F1399">
        <w:rPr>
          <w:rFonts w:ascii="Book Antiqua" w:hAnsi="Book Antiqua"/>
          <w:color w:val="000000"/>
          <w:shd w:val="clear" w:color="auto" w:fill="FFFFFF"/>
          <w:lang w:val="en-US"/>
        </w:rPr>
        <w:fldChar w:fldCharType="end"/>
      </w:r>
      <w:r w:rsidR="00386A43" w:rsidRPr="001F1399">
        <w:rPr>
          <w:rFonts w:ascii="Book Antiqua" w:hAnsi="Book Antiqua"/>
          <w:color w:val="000000"/>
          <w:shd w:val="clear" w:color="auto" w:fill="FFFFFF"/>
          <w:lang w:val="en-US"/>
        </w:rPr>
        <w:t>. Furthermore, PAHs can be transformed by the gut microbiota to estrogenic metabolites</w:t>
      </w:r>
      <w:r w:rsidR="00386A43" w:rsidRPr="001F1399">
        <w:rPr>
          <w:rFonts w:ascii="Book Antiqua" w:hAnsi="Book Antiqua"/>
          <w:color w:val="000000"/>
          <w:shd w:val="clear" w:color="auto" w:fill="FFFFFF"/>
          <w:lang w:val="en-US"/>
        </w:rPr>
        <w:fldChar w:fldCharType="begin" w:fldLock="1"/>
      </w:r>
      <w:r w:rsidR="00B1214D" w:rsidRPr="001F1399">
        <w:rPr>
          <w:rFonts w:ascii="Book Antiqua" w:hAnsi="Book Antiqua"/>
          <w:color w:val="000000"/>
          <w:shd w:val="clear" w:color="auto" w:fill="FFFFFF"/>
          <w:lang w:val="en-US"/>
        </w:rPr>
        <w:instrText>ADDIN CSL_CITATION {"citationItems":[{"id":"ITEM-1","itemData":{"DOI":"10.1289/ehp.7259","ISSN":"00916765","PMID":"15626640","abstract":"Ingestion is an important exposure route for polycyclic aromatic hydrocarbons (PAHs) to enter human body. Although the formation of hazardous PAH metabolites by human biotransformation enzymes is welt documented, nothing is known about the PAH transformation potency of human intestinal microbiota. Using a gastrointestinal simulator, we show that human intestinal microbiota can also bioactivate PAHs, more in particular to estrogenic metabolites. PAH compounds are not estrogenic, and indeed, stomach and small intestine digestions of 62.5 nmol naphthalene, phenanthrene, pyrene, and benzo(a)pyrene showed no estrogenic effects in the human estrogen receptor bioassay. In contrast, colon digests of these PAH compounds displayed estrogenicity, equivalent to 0.31, 2.14, 2.70, and 1.48 nmol 17α-ethynylestradiol (EE2), respectively. Inactivating the colon microbiota eliminated these estrogenic, effects. Liquid chromatography-mass spectrometry analysis confirmed the microbial PAH transformation by the detection of PAH metabolites 1-hydroxypyrene and 7-hydroxybenzo(a)pyrene in colon digests of pyrene and benzo(a)pyrene. Furthermore, we show that colon digests of a PAH-contaminated soil (simulated ingestion dose of 5 g/day) displayed estrogenic activity equivalent to 0.58 nmol EE2, whereas stomach or small intestine digests did not. Although the matrix in which PAHs are ingested way result in lower exposure concentrations in the gut, out results imply that the PAH bioactivation potency of colon microbiota is not eliminated by the presence of soil. Moreover, because PAH toxicity is also linked to estrogenicity of the compounds, the PAH bioactivation potency of colon microbiota suggests that current risk assessment may underestimate the risk from ingested PAHs.","author":[{"dropping-particle":"","family":"Wiele","given":"Tom","non-dropping-particle":"Van de","parse-names":false,"suffix":""},{"dropping-particle":"","family":"Vanhaecke","given":"Lynn","non-dropping-particle":"","parse-names":false,"suffix":""},{"dropping-particle":"","family":"Boeckaert","given":"Charlotte","non-dropping-particle":"","parse-names":false,"suffix":""},{"dropping-particle":"","family":"Peru","given":"Kerry","non-dropping-particle":"","parse-names":false,"suffix":""},{"dropping-particle":"","family":"Headley","given":"John","non-dropping-particle":"","parse-names":false,"suffix":""},{"dropping-particle":"","family":"Verstraete","given":"Willy","non-dropping-particle":"","parse-names":false,"suffix":""},{"dropping-particle":"","family":"Siciliano","given":"Steven","non-dropping-particle":"","parse-names":false,"suffix":""}],"container-title":"Environmental Health Perspectives","id":"ITEM-1","issue":"1","issued":{"date-parts":[["2005"]]},"page":"6-10","title":"Human colon microbiota transform polycyclic aromatic hydrocarbons to estrogenic metabolites","type":"article-journal","volume":"113"},"uris":["http://www.mendeley.com/documents/?uuid=ac505479-f350-4074-a7f6-bab1e9cb52e8"]}],"mendeley":{"formattedCitation":"&lt;sup&gt;[206]&lt;/sup&gt;","plainTextFormattedCitation":"[206]","previouslyFormattedCitation":"&lt;sup&gt;[205]&lt;/sup&gt;"},"properties":{"noteIndex":0},"schema":"https://github.com/citation-style-language/schema/raw/master/csl-citation.json"}</w:instrText>
      </w:r>
      <w:r w:rsidR="00386A43" w:rsidRPr="001F1399">
        <w:rPr>
          <w:rFonts w:ascii="Book Antiqua" w:hAnsi="Book Antiqua"/>
          <w:color w:val="000000"/>
          <w:shd w:val="clear" w:color="auto" w:fill="FFFFFF"/>
          <w:lang w:val="en-US"/>
        </w:rPr>
        <w:fldChar w:fldCharType="separate"/>
      </w:r>
      <w:r w:rsidR="00B1214D" w:rsidRPr="001F1399">
        <w:rPr>
          <w:rFonts w:ascii="Book Antiqua" w:hAnsi="Book Antiqua"/>
          <w:noProof/>
          <w:color w:val="000000"/>
          <w:shd w:val="clear" w:color="auto" w:fill="FFFFFF"/>
          <w:vertAlign w:val="superscript"/>
          <w:lang w:val="en-US"/>
        </w:rPr>
        <w:t>[206]</w:t>
      </w:r>
      <w:r w:rsidR="00386A43" w:rsidRPr="001F1399">
        <w:rPr>
          <w:rFonts w:ascii="Book Antiqua" w:hAnsi="Book Antiqua"/>
          <w:color w:val="000000"/>
          <w:shd w:val="clear" w:color="auto" w:fill="FFFFFF"/>
          <w:lang w:val="en-US"/>
        </w:rPr>
        <w:fldChar w:fldCharType="end"/>
      </w:r>
      <w:r w:rsidR="00386A43" w:rsidRPr="001F1399">
        <w:rPr>
          <w:rFonts w:ascii="Book Antiqua" w:hAnsi="Book Antiqua"/>
          <w:color w:val="000000"/>
          <w:shd w:val="clear" w:color="auto" w:fill="FFFFFF"/>
          <w:lang w:val="en-US"/>
        </w:rPr>
        <w:t xml:space="preserve">. </w:t>
      </w:r>
    </w:p>
    <w:p w14:paraId="7526B176" w14:textId="51D2462C" w:rsidR="004B5A5A" w:rsidRPr="001F1399" w:rsidRDefault="00140762" w:rsidP="002974FA">
      <w:pPr>
        <w:adjustRightInd w:val="0"/>
        <w:snapToGrid w:val="0"/>
        <w:spacing w:after="0" w:line="360" w:lineRule="auto"/>
        <w:ind w:firstLineChars="100" w:firstLine="240"/>
        <w:jc w:val="both"/>
        <w:rPr>
          <w:rFonts w:ascii="Book Antiqua" w:eastAsia="Times New Roman" w:hAnsi="Book Antiqua" w:cs="Times New Roman"/>
          <w:color w:val="000000" w:themeColor="text1"/>
          <w:sz w:val="24"/>
          <w:szCs w:val="24"/>
          <w:lang w:val="en-US" w:eastAsia="fr-FR"/>
        </w:rPr>
      </w:pPr>
      <w:r w:rsidRPr="001F1399">
        <w:rPr>
          <w:rFonts w:ascii="Book Antiqua" w:hAnsi="Book Antiqua" w:cs="Calibri"/>
          <w:sz w:val="24"/>
          <w:szCs w:val="24"/>
          <w:lang w:val="en-US"/>
        </w:rPr>
        <w:t>In the same line, phthalates, a category of food plasticizers, may strongly unbalance the settlement of gut brain microbiota axis.</w:t>
      </w:r>
      <w:r w:rsidRPr="001F1399">
        <w:rPr>
          <w:rFonts w:ascii="Book Antiqua" w:eastAsia="Times New Roman" w:hAnsi="Book Antiqua" w:cs="Times New Roman"/>
          <w:color w:val="000000" w:themeColor="text1"/>
          <w:sz w:val="24"/>
          <w:szCs w:val="24"/>
          <w:lang w:val="en-US" w:eastAsia="fr-FR"/>
        </w:rPr>
        <w:t xml:space="preserve"> I</w:t>
      </w:r>
      <w:r w:rsidR="1EFD163B" w:rsidRPr="001F1399">
        <w:rPr>
          <w:rFonts w:ascii="Book Antiqua" w:eastAsia="Times New Roman" w:hAnsi="Book Antiqua" w:cs="Times New Roman"/>
          <w:color w:val="000000" w:themeColor="text1"/>
          <w:sz w:val="24"/>
          <w:szCs w:val="24"/>
          <w:lang w:val="en-US" w:eastAsia="fr-FR"/>
        </w:rPr>
        <w:t>n</w:t>
      </w:r>
      <w:r w:rsidRPr="001F1399">
        <w:rPr>
          <w:rFonts w:ascii="Book Antiqua" w:eastAsia="Times New Roman" w:hAnsi="Book Antiqua" w:cs="Times New Roman"/>
          <w:color w:val="000000" w:themeColor="text1"/>
          <w:sz w:val="24"/>
          <w:szCs w:val="24"/>
          <w:lang w:val="en-US" w:eastAsia="fr-FR"/>
        </w:rPr>
        <w:t>deed,</w:t>
      </w:r>
      <w:r w:rsidR="1EFD163B" w:rsidRPr="001F1399">
        <w:rPr>
          <w:rFonts w:ascii="Book Antiqua" w:eastAsia="Times New Roman" w:hAnsi="Book Antiqua" w:cs="Times New Roman"/>
          <w:color w:val="000000" w:themeColor="text1"/>
          <w:sz w:val="24"/>
          <w:szCs w:val="24"/>
          <w:lang w:val="en-US" w:eastAsia="fr-FR"/>
        </w:rPr>
        <w:t xml:space="preserve"> exposure to di-ethylhexyl phthalate through lactation showed negative association with mental index</w:t>
      </w:r>
      <w:r w:rsidR="001F319C" w:rsidRPr="001F1399">
        <w:rPr>
          <w:rFonts w:ascii="Book Antiqua" w:eastAsia="Times New Roman" w:hAnsi="Book Antiqua" w:cs="Times New Roman"/>
          <w:color w:val="000000" w:themeColor="text1"/>
          <w:sz w:val="24"/>
          <w:szCs w:val="24"/>
          <w:lang w:val="en-US" w:eastAsia="fr-FR"/>
        </w:rPr>
        <w:fldChar w:fldCharType="begin" w:fldLock="1"/>
      </w:r>
      <w:r w:rsidR="00B1214D" w:rsidRPr="001F1399">
        <w:rPr>
          <w:rFonts w:ascii="Book Antiqua" w:eastAsia="Times New Roman" w:hAnsi="Book Antiqua" w:cs="Times New Roman"/>
          <w:color w:val="000000" w:themeColor="text1"/>
          <w:sz w:val="24"/>
          <w:szCs w:val="24"/>
          <w:lang w:val="en-US" w:eastAsia="fr-FR"/>
        </w:rPr>
        <w:instrText>ADDIN CSL_CITATION {"citationItems":[{"id":"ITEM-1","itemData":{"DOI":"10.1016/j.scitotenv.2017.12.058","ISSN":"18791026","PMID":"29258038","abstract":"Exposure of the developing fetus and infants to toxic substances can cause serious lifelong health consequences. Several chemicals have been associated with adverse neurodevelopmental disorders in the early life stages of humans. However, most epidemiological studies have focused on a limited number of chemicals, and hence may exclude important chemicals from consideration or result in conclusions built on associations by chance. In the present study, we investigated the chemical exposure profile of the women, and associated these with the early neurodevelopmental performance of their offspring at 13–24 months of age. The chemicals assessed include four phthalates, bisphenol A, three heavy metals, 19 polychlorinated biphenyls (PCBs), 19 organochlorine pesticides, and 19 polybrominated diphenyl ethers, which were measured from urine, whole blood, serum, and/or breastmilk of the pregnant or lactating women. For neurodevelopmental performance, the Bayley Scales of Infant Development-II (BSID-II), Social Maturity Scale (SMS), and Child Behavior Checklist (CBCL) were measured from a total of 140 toddlers. Among the measured chemicals, monoethyl phthalate (MEP) in maternal urine was significantly associated with early mental, psychomotor, and social development. In addition, breast milk di-ethylhexyl phthalate (DEHP) metabolite and blood lead concentrations were inversely associated with mental and psychomotor development indices, respectively. Maternal blood PCB153, heavy metals, and urinary MEP levels were also higher among the children with behavioral problems, as indicated by the CBCL range. Taken together, maternal exposure to several EDCs such as PCBs and DEHP was associated with adverse neurodevelopmental performances among the children aged 1–2 years. Confirmation of these association in larger populations, as well as longer-term consequences of such exposure warrant further investigation.","author":[{"dropping-particle":"","family":"Kim","given":"Sunmi","non-dropping-particle":"","parse-names":false,"suffix":""},{"dropping-particle":"","family":"Eom","given":"Soyong","non-dropping-particle":"","parse-names":false,"suffix":""},{"dropping-particle":"","family":"Kim","given":"Hai Joong","non-dropping-particle":"","parse-names":false,"suffix":""},{"dropping-particle":"","family":"Lee","given":"Jeong Jae","non-dropping-particle":"","parse-names":false,"suffix":""},{"dropping-particle":"","family":"Choi","given":"Gyuyeon","non-dropping-particle":"","parse-names":false,"suffix":""},{"dropping-particle":"","family":"Choi","given":"Sooran","non-dropping-particle":"","parse-names":false,"suffix":""},{"dropping-particle":"","family":"Kim","given":"Sungjoo","non-dropping-particle":"","parse-names":false,"suffix":""},{"dropping-particle":"","family":"Kim","given":"Su Young","non-dropping-particle":"","parse-names":false,"suffix":""},{"dropping-particle":"","family":"Cho","given":"Geumjoon","non-dropping-particle":"","parse-names":false,"suffix":""},{"dropping-particle":"","family":"Kim","given":"Young Don","non-dropping-particle":"","parse-names":false,"suffix":""},{"dropping-particle":"","family":"Suh","given":"Eunsook","non-dropping-particle":"","parse-names":false,"suffix":""},{"dropping-particle":"","family":"Kim","given":"Sung Koo","non-dropping-particle":"","parse-names":false,"suffix":""},{"dropping-particle":"","family":"Kim","given":"Seunghyo","non-dropping-particle":"","parse-names":false,"suffix":""},{"dropping-particle":"","family":"Kim","given":"Gun Ha","non-dropping-particle":"","parse-names":false,"suffix":""},{"dropping-particle":"","family":"Moon","given":"Hyo Bang","non-dropping-particle":"","parse-names":false,"suffix":""},{"dropping-particle":"","family":"Park","given":"Jeongim","non-dropping-particle":"","parse-names":false,"suffix":""},{"dropping-particle":"","family":"Kim","given":"Sungkyoon","non-dropping-particle":"","parse-names":false,"suffix":""},{"dropping-particle":"","family":"Choi","given":"Kyungho","non-dropping-particle":"","parse-names":false,"suffix":""},{"dropping-particle":"","family":"Eun","given":"So Hee","non-dropping-particle":"","parse-names":false,"suffix":""}],"container-title":"Science of the Total Environment","id":"ITEM-1","issued":{"date-parts":[["2018","5","15"]]},"page":"377-384","publisher":"Elsevier B.V.","title":"Association between maternal exposure to major phthalates, heavy metals, and persistent organic pollutants, and the neurodevelopmental performances of their children at 1 to 2 years of age- CHECK cohort study","type":"article-journal","volume":"624"},"uris":["http://www.mendeley.com/documents/?uuid=46499722-25f6-3e78-99b3-64ea0fe346f5"]}],"mendeley":{"formattedCitation":"&lt;sup&gt;[202]&lt;/sup&gt;","plainTextFormattedCitation":"[202]","previouslyFormattedCitation":"&lt;sup&gt;[201]&lt;/sup&gt;"},"properties":{"noteIndex":0},"schema":"https://github.com/citation-style-language/schema/raw/master/csl-citation.json"}</w:instrText>
      </w:r>
      <w:r w:rsidR="001F319C" w:rsidRPr="001F1399">
        <w:rPr>
          <w:rFonts w:ascii="Book Antiqua" w:eastAsia="Times New Roman" w:hAnsi="Book Antiqua" w:cs="Times New Roman"/>
          <w:color w:val="000000" w:themeColor="text1"/>
          <w:sz w:val="24"/>
          <w:szCs w:val="24"/>
          <w:lang w:val="en-US" w:eastAsia="fr-FR"/>
        </w:rPr>
        <w:fldChar w:fldCharType="separate"/>
      </w:r>
      <w:r w:rsidR="00B1214D" w:rsidRPr="001F1399">
        <w:rPr>
          <w:rFonts w:ascii="Book Antiqua" w:eastAsia="Times New Roman" w:hAnsi="Book Antiqua" w:cs="Times New Roman"/>
          <w:noProof/>
          <w:color w:val="000000" w:themeColor="text1"/>
          <w:sz w:val="24"/>
          <w:szCs w:val="24"/>
          <w:vertAlign w:val="superscript"/>
          <w:lang w:val="en-US" w:eastAsia="fr-FR"/>
        </w:rPr>
        <w:t>[202]</w:t>
      </w:r>
      <w:r w:rsidR="001F319C" w:rsidRPr="001F1399">
        <w:rPr>
          <w:rFonts w:ascii="Book Antiqua" w:eastAsia="Times New Roman" w:hAnsi="Book Antiqua" w:cs="Times New Roman"/>
          <w:color w:val="000000" w:themeColor="text1"/>
          <w:sz w:val="24"/>
          <w:szCs w:val="24"/>
          <w:lang w:val="en-US" w:eastAsia="fr-FR"/>
        </w:rPr>
        <w:fldChar w:fldCharType="end"/>
      </w:r>
      <w:r w:rsidR="1EFD163B" w:rsidRPr="001F1399">
        <w:rPr>
          <w:rFonts w:ascii="Book Antiqua" w:eastAsia="Times New Roman" w:hAnsi="Book Antiqua" w:cs="Times New Roman"/>
          <w:color w:val="000000" w:themeColor="text1"/>
          <w:sz w:val="24"/>
          <w:szCs w:val="24"/>
          <w:lang w:val="en-US" w:eastAsia="fr-FR"/>
        </w:rPr>
        <w:t xml:space="preserve">. Phthalate metabolite concentrations </w:t>
      </w:r>
      <w:r w:rsidRPr="001F1399">
        <w:rPr>
          <w:rFonts w:ascii="Book Antiqua" w:eastAsia="Times New Roman" w:hAnsi="Book Antiqua" w:cs="Times New Roman"/>
          <w:color w:val="000000" w:themeColor="text1"/>
          <w:sz w:val="24"/>
          <w:szCs w:val="24"/>
          <w:lang w:val="en-US" w:eastAsia="fr-FR"/>
        </w:rPr>
        <w:t>were</w:t>
      </w:r>
      <w:r w:rsidR="1EFD163B" w:rsidRPr="001F1399">
        <w:rPr>
          <w:rFonts w:ascii="Book Antiqua" w:eastAsia="Times New Roman" w:hAnsi="Book Antiqua" w:cs="Times New Roman"/>
          <w:color w:val="000000" w:themeColor="text1"/>
          <w:sz w:val="24"/>
          <w:szCs w:val="24"/>
          <w:lang w:val="en-US" w:eastAsia="fr-FR"/>
        </w:rPr>
        <w:t xml:space="preserve"> high</w:t>
      </w:r>
      <w:r w:rsidRPr="001F1399">
        <w:rPr>
          <w:rFonts w:ascii="Book Antiqua" w:eastAsia="Times New Roman" w:hAnsi="Book Antiqua" w:cs="Times New Roman"/>
          <w:color w:val="000000" w:themeColor="text1"/>
          <w:sz w:val="24"/>
          <w:szCs w:val="24"/>
          <w:lang w:val="en-US" w:eastAsia="fr-FR"/>
        </w:rPr>
        <w:t>er</w:t>
      </w:r>
      <w:r w:rsidR="1EFD163B" w:rsidRPr="001F1399">
        <w:rPr>
          <w:rFonts w:ascii="Book Antiqua" w:eastAsia="Times New Roman" w:hAnsi="Book Antiqua" w:cs="Times New Roman"/>
          <w:color w:val="000000" w:themeColor="text1"/>
          <w:sz w:val="24"/>
          <w:szCs w:val="24"/>
          <w:lang w:val="en-US" w:eastAsia="fr-FR"/>
        </w:rPr>
        <w:t xml:space="preserve"> in </w:t>
      </w:r>
      <w:r w:rsidRPr="001F1399">
        <w:rPr>
          <w:rFonts w:ascii="Book Antiqua" w:eastAsia="Times New Roman" w:hAnsi="Book Antiqua" w:cs="Times New Roman"/>
          <w:color w:val="000000" w:themeColor="text1"/>
          <w:sz w:val="24"/>
          <w:szCs w:val="24"/>
          <w:lang w:val="en-US" w:eastAsia="fr-FR"/>
        </w:rPr>
        <w:t xml:space="preserve">the </w:t>
      </w:r>
      <w:r w:rsidR="1EFD163B" w:rsidRPr="001F1399">
        <w:rPr>
          <w:rFonts w:ascii="Book Antiqua" w:eastAsia="Times New Roman" w:hAnsi="Book Antiqua" w:cs="Times New Roman"/>
          <w:color w:val="000000" w:themeColor="text1"/>
          <w:sz w:val="24"/>
          <w:szCs w:val="24"/>
          <w:lang w:val="en-US" w:eastAsia="fr-FR"/>
        </w:rPr>
        <w:t xml:space="preserve">2- and 5-years old children, compared to 11 years old </w:t>
      </w:r>
      <w:r w:rsidRPr="001F1399">
        <w:rPr>
          <w:rFonts w:ascii="Book Antiqua" w:eastAsia="Times New Roman" w:hAnsi="Book Antiqua" w:cs="Times New Roman"/>
          <w:color w:val="000000" w:themeColor="text1"/>
          <w:sz w:val="24"/>
          <w:szCs w:val="24"/>
          <w:lang w:val="en-US" w:eastAsia="fr-FR"/>
        </w:rPr>
        <w:t>ones</w:t>
      </w:r>
      <w:r w:rsidR="1EFD163B" w:rsidRPr="001F1399">
        <w:rPr>
          <w:rFonts w:ascii="Book Antiqua" w:eastAsia="Times New Roman" w:hAnsi="Book Antiqua" w:cs="Times New Roman"/>
          <w:color w:val="000000" w:themeColor="text1"/>
          <w:sz w:val="24"/>
          <w:szCs w:val="24"/>
          <w:lang w:val="en-US" w:eastAsia="fr-FR"/>
        </w:rPr>
        <w:t>. Postnatal high exposure to phthalic acid ester is related to attention deficit hyperactivity disorder symptoms in children</w:t>
      </w:r>
      <w:r w:rsidR="001F319C" w:rsidRPr="001F1399">
        <w:rPr>
          <w:rFonts w:ascii="Book Antiqua" w:eastAsia="Times New Roman" w:hAnsi="Book Antiqua" w:cs="Times New Roman"/>
          <w:color w:val="000000" w:themeColor="text1"/>
          <w:sz w:val="24"/>
          <w:szCs w:val="24"/>
          <w:lang w:val="en-US" w:eastAsia="fr-FR"/>
        </w:rPr>
        <w:fldChar w:fldCharType="begin" w:fldLock="1"/>
      </w:r>
      <w:r w:rsidR="00B1214D" w:rsidRPr="001F1399">
        <w:rPr>
          <w:rFonts w:ascii="Book Antiqua" w:eastAsia="Times New Roman" w:hAnsi="Book Antiqua" w:cs="Times New Roman"/>
          <w:color w:val="000000" w:themeColor="text1"/>
          <w:sz w:val="24"/>
          <w:szCs w:val="24"/>
          <w:lang w:val="en-US" w:eastAsia="fr-FR"/>
        </w:rPr>
        <w:instrText>ADDIN CSL_CITATION {"citationItems":[{"id":"ITEM-1","itemData":{"DOI":"10.1016/j.scitotenv.2019.134053","ISSN":"18791026","PMID":"31678884","abstract":"Temperamental tendencies may form the basis of personality development, and specific personality constellations are associated with increased incidences of behavioural problems. Phthalic acid ester (PAE) has been associated with symptoms of attention deficit hyperactivity disorder (ADHD) in cross-sectional studies. We hypothesised that early-life exposure to PAE affects the temperaments of children, particularly ADHD traits. In this study, we analysed the temperament evaluations completed at least once by maternal–infant pairs (n = 208) when the child was aged 2, 5, and/or 11 years between 2000 and 2012. We measured seven PAE metabolites in the urine of the mothers during pregnancy and their children using liquid chromatography-electrospray ionisation-tandem mass spectrometry. These metabolites included mono-methyl phthalate, mono-ethyl phthalate, mono-butyl phthalate (MBP), mono-benzyl phthalate (MBzP), and three metabolites of di (2-ethylhexyl) phthalate. The phthalate metabolite levels in pregnant women were significantly associated with a decreased threshold of responsiveness (coefficients from −0.21 to −0.46) and increased distractibility (coefficients from 0.23 to 0.46) in pre-school children. After adjustment for maternal exposure, the phthalate metabolite concentrations of the children exhibited significantly increased odds ratios (ORs) with respect to the ADHD symptom traits. Specifically, mono-2-ethyl-5-hydroxyhexyl phthalate (MEHHP), the sum of the DEHP metabolites, and MBzP yielded ORs and 95% confidence intervals of 2.98 (1.05–8.48), 3.28 (1.15–9.35), and 9.12 (1.07–78.06), respectively, for every log10 creatinine unit (g/g creatinine) increase. Thus, early-life phthalate exposure was found to be associated with the behavioural characteristics of children, particularly temperamental traits associated with ADHD.","author":[{"dropping-particle":"","family":"Ku","given":"Hsiu Ying","non-dropping-particle":"","parse-names":false,"suffix":""},{"dropping-particle":"","family":"Tsai","given":"Tsung Lin","non-dropping-particle":"","parse-names":false,"suffix":""},{"dropping-particle":"","family":"Wang","given":"Pei Ling","non-dropping-particle":"","parse-names":false,"suffix":""},{"dropping-particle":"","family":"Su","given":"Pen Hua","non-dropping-particle":"","parse-names":false,"suffix":""},{"dropping-particle":"","family":"Sun","given":"Chien Wen","non-dropping-particle":"","parse-names":false,"suffix":""},{"dropping-particle":"","family":"Wang","given":"Chien Jen","non-dropping-particle":"","parse-names":false,"suffix":""},{"dropping-particle":"","family":"Wang","given":"Shu Li","non-dropping-particle":"","parse-names":false,"suffix":""}],"container-title":"Science of the Total Environment","id":"ITEM-1","issued":{"date-parts":[["2020","1","10"]]},"publisher":"Elsevier B.V.","title":"Prenatal and childhood phthalate exposure and attention deficit hyperactivity disorder traits in child temperament: A 12-year follow-up birth cohort study","type":"article-journal","volume":"699"},"uris":["http://www.mendeley.com/documents/?uuid=f32f7023-a133-3d7c-b4e2-1a76c5f46df5"]}],"mendeley":{"formattedCitation":"&lt;sup&gt;[207]&lt;/sup&gt;","plainTextFormattedCitation":"[207]","previouslyFormattedCitation":"&lt;sup&gt;[206]&lt;/sup&gt;"},"properties":{"noteIndex":0},"schema":"https://github.com/citation-style-language/schema/raw/master/csl-citation.json"}</w:instrText>
      </w:r>
      <w:r w:rsidR="001F319C" w:rsidRPr="001F1399">
        <w:rPr>
          <w:rFonts w:ascii="Book Antiqua" w:eastAsia="Times New Roman" w:hAnsi="Book Antiqua" w:cs="Times New Roman"/>
          <w:color w:val="000000" w:themeColor="text1"/>
          <w:sz w:val="24"/>
          <w:szCs w:val="24"/>
          <w:lang w:val="en-US" w:eastAsia="fr-FR"/>
        </w:rPr>
        <w:fldChar w:fldCharType="separate"/>
      </w:r>
      <w:r w:rsidR="00B1214D" w:rsidRPr="001F1399">
        <w:rPr>
          <w:rFonts w:ascii="Book Antiqua" w:eastAsia="Times New Roman" w:hAnsi="Book Antiqua" w:cs="Times New Roman"/>
          <w:noProof/>
          <w:color w:val="000000" w:themeColor="text1"/>
          <w:sz w:val="24"/>
          <w:szCs w:val="24"/>
          <w:vertAlign w:val="superscript"/>
          <w:lang w:val="en-US" w:eastAsia="fr-FR"/>
        </w:rPr>
        <w:t>[207]</w:t>
      </w:r>
      <w:r w:rsidR="001F319C" w:rsidRPr="001F1399">
        <w:rPr>
          <w:rFonts w:ascii="Book Antiqua" w:eastAsia="Times New Roman" w:hAnsi="Book Antiqua" w:cs="Times New Roman"/>
          <w:color w:val="000000" w:themeColor="text1"/>
          <w:sz w:val="24"/>
          <w:szCs w:val="24"/>
          <w:lang w:val="en-US" w:eastAsia="fr-FR"/>
        </w:rPr>
        <w:fldChar w:fldCharType="end"/>
      </w:r>
      <w:r w:rsidRPr="001F1399">
        <w:rPr>
          <w:rFonts w:ascii="Book Antiqua" w:hAnsi="Book Antiqua" w:cs="Calibri"/>
          <w:sz w:val="24"/>
          <w:szCs w:val="24"/>
          <w:lang w:val="en-US"/>
        </w:rPr>
        <w:t xml:space="preserve">, and particularly diethylphthalate are inducing gut dysbiosis and consistent weight loss. One of the mechanisms proposed </w:t>
      </w:r>
      <w:r w:rsidR="004B5A5A" w:rsidRPr="001F1399">
        <w:rPr>
          <w:rFonts w:ascii="Book Antiqua" w:hAnsi="Book Antiqua" w:cs="Calibri"/>
          <w:sz w:val="24"/>
          <w:szCs w:val="24"/>
          <w:lang w:val="en-US"/>
        </w:rPr>
        <w:t>was</w:t>
      </w:r>
      <w:r w:rsidRPr="001F1399">
        <w:rPr>
          <w:rFonts w:ascii="Book Antiqua" w:hAnsi="Book Antiqua" w:cs="Calibri"/>
          <w:sz w:val="24"/>
          <w:szCs w:val="24"/>
          <w:lang w:val="en-US"/>
        </w:rPr>
        <w:t xml:space="preserve"> through the aryl hydrocarbon receptor activation</w:t>
      </w:r>
      <w:r w:rsidRPr="001F1399">
        <w:rPr>
          <w:rFonts w:ascii="Book Antiqua" w:hAnsi="Book Antiqua" w:cs="Calibri"/>
          <w:sz w:val="24"/>
          <w:szCs w:val="24"/>
          <w:lang w:val="en-US"/>
        </w:rPr>
        <w:fldChar w:fldCharType="begin" w:fldLock="1"/>
      </w:r>
      <w:r w:rsidR="00B1214D" w:rsidRPr="001F1399">
        <w:rPr>
          <w:rFonts w:ascii="Book Antiqua" w:hAnsi="Book Antiqua" w:cs="Calibri"/>
          <w:sz w:val="24"/>
          <w:szCs w:val="24"/>
          <w:lang w:val="en-US"/>
        </w:rPr>
        <w:instrText>ADDIN CSL_CITATION {"citationItems":[{"id":"ITEM-1","itemData":{"DOI":"10.1289/ehp.1409055","ISSN":"15529924","PMID":"25768209","abstract":"Background: Alteration of the gut microbiota through diet and environmental contaminants may disturb physiological homeostasis, leading to various diseases including obesity and type 2 diabetes. Because most exposure to environmentally persistent organic pollutants (POPs) occurs through the diet, the host gastro intestinal tract and commensal gut microbiota are likely to be exposed to POPs. oBjectives: We examined the effect of 2,3,7,8-tetrachloro dibenzofuran (TCDF), a persistent environmental contaminant, on gut microbiota and host metabolism, and we examined correlations between gut microbiota composition and signaling pathways. Methods: Six-week-old male wild-type and Ahr–/– mice on the C57BL/6J background were treated with 24 μg/kg TCDF in the diet for 5 days. We used 16S rRNA gene sequencing,1H nuclear magnetic resonance (NMR) metabolomics, targeted ultra-performance liquid chromatography coupled with triplequadrupole mass spectrometry, and biochemical assays to determine the microbiota compositions and the physiological and metabolic effects of TCDF. results: Dietary TCDF altered the gut microbiota by shifting the ratio of Firmicutes to Bacteroidetes. TCDF-treated mouse cecal contents were enriched with Butyrivibrio spp. but depleted in Oscillobacter spp. compared with vehicle-treated mice. These changes in the gut microbiota were associated with altered bile acid metabolism. Further, dietary TCDF inhibited the farnesoid X receptor (FXR) signaling pathway, triggered significant infammation and host metabolic disorders as a result of activation of bacterial fermentation, and altered hepatic lipo genesis, gluco neo genesis, and glyco genolysis in an AHR-dependent manner. conclusion: These findings provide new insights into the biochemical consequences of TCDF exposure involving the alteration of the gut microbiota, modulation of nuclear receptor signaling, and disruption of host metabolism.","author":[{"dropping-particle":"","family":"Zhang","given":"Limin","non-dropping-particle":"","parse-names":false,"suffix":""},{"dropping-particle":"","family":"Nichols","given":"Robert G.","non-dropping-particle":"","parse-names":false,"suffix":""},{"dropping-particle":"","family":"Correll","given":"Jared","non-dropping-particle":"","parse-names":false,"suffix":""},{"dropping-particle":"","family":"Murray","given":"Iain A.","non-dropping-particle":"","parse-names":false,"suffix":""},{"dropping-particle":"","family":"Tanaka","given":"Naoki","non-dropping-particle":"","parse-names":false,"suffix":""},{"dropping-particle":"","family":"Smith","given":"Philip B.","non-dropping-particle":"","parse-names":false,"suffix":""},{"dropping-particle":"","family":"Hubbard","given":"Troy D.","non-dropping-particle":"","parse-names":false,"suffix":""},{"dropping-particle":"","family":"Sebastian","given":"Aswathy","non-dropping-particle":"","parse-names":false,"suffix":""},{"dropping-particle":"","family":"Albert","given":"Istvan","non-dropping-particle":"","parse-names":false,"suffix":""},{"dropping-particle":"","family":"Hatzakis","given":"Emmanuel","non-dropping-particle":"","parse-names":false,"suffix":""},{"dropping-particle":"","family":"Gonzalez","given":"Frank J.","non-dropping-particle":"","parse-names":false,"suffix":""},{"dropping-particle":"","family":"Perdew","given":"Gary H.","non-dropping-particle":"","parse-names":false,"suffix":""},{"dropping-particle":"","family":"Patterson","given":"Andrew D.","non-dropping-particle":"","parse-names":false,"suffix":""}],"container-title":"Environmental Health Perspectives","id":"ITEM-1","issue":"7","issued":{"date-parts":[["2015"]]},"page":"679-688","title":"Persistent organic pollutants modify gut microbiota–host metabolic homeostasis in mice through aryl hydrocarbon receptor activation","type":"article-journal","volume":"123"},"uris":["http://www.mendeley.com/documents/?uuid=68ac73e1-b568-4622-b8a1-7ec3b135d161"]}],"mendeley":{"formattedCitation":"&lt;sup&gt;[208]&lt;/sup&gt;","plainTextFormattedCitation":"[208]","previouslyFormattedCitation":"&lt;sup&gt;[207]&lt;/sup&gt;"},"properties":{"noteIndex":0},"schema":"https://github.com/citation-style-language/schema/raw/master/csl-citation.json"}</w:instrText>
      </w:r>
      <w:r w:rsidRPr="001F1399">
        <w:rPr>
          <w:rFonts w:ascii="Book Antiqua" w:hAnsi="Book Antiqua" w:cs="Calibri"/>
          <w:sz w:val="24"/>
          <w:szCs w:val="24"/>
          <w:lang w:val="en-US"/>
        </w:rPr>
        <w:fldChar w:fldCharType="separate"/>
      </w:r>
      <w:r w:rsidR="00B1214D" w:rsidRPr="001F1399">
        <w:rPr>
          <w:rFonts w:ascii="Book Antiqua" w:hAnsi="Book Antiqua" w:cs="Calibri"/>
          <w:noProof/>
          <w:sz w:val="24"/>
          <w:szCs w:val="24"/>
          <w:vertAlign w:val="superscript"/>
          <w:lang w:val="en-US"/>
        </w:rPr>
        <w:t>[208]</w:t>
      </w:r>
      <w:r w:rsidRPr="001F1399">
        <w:rPr>
          <w:rFonts w:ascii="Book Antiqua" w:hAnsi="Book Antiqua" w:cs="Calibri"/>
          <w:sz w:val="24"/>
          <w:szCs w:val="24"/>
          <w:lang w:val="en-US"/>
        </w:rPr>
        <w:fldChar w:fldCharType="end"/>
      </w:r>
      <w:r w:rsidRPr="001F1399">
        <w:rPr>
          <w:rFonts w:ascii="Book Antiqua" w:hAnsi="Book Antiqua" w:cs="Calibri"/>
          <w:sz w:val="24"/>
          <w:szCs w:val="24"/>
          <w:lang w:val="en-US"/>
        </w:rPr>
        <w:t>.</w:t>
      </w:r>
      <w:r w:rsidR="004B5A5A" w:rsidRPr="001F1399">
        <w:rPr>
          <w:rFonts w:ascii="Book Antiqua" w:eastAsia="Times New Roman" w:hAnsi="Book Antiqua" w:cs="Times New Roman"/>
          <w:color w:val="000000" w:themeColor="text1"/>
          <w:sz w:val="24"/>
          <w:szCs w:val="24"/>
          <w:lang w:val="en-US" w:eastAsia="fr-FR"/>
        </w:rPr>
        <w:t xml:space="preserve"> Moreover, child exposition to Phthalates has been correlated with the decrease of DNA methylation of specific genes among which TNFα. As this demethylation is linked to a decrease of TNFα protein level, this could explain </w:t>
      </w:r>
      <w:r w:rsidR="006536CE" w:rsidRPr="001F1399">
        <w:rPr>
          <w:rFonts w:ascii="Book Antiqua" w:eastAsia="Times New Roman" w:hAnsi="Book Antiqua" w:cs="Times New Roman"/>
          <w:color w:val="000000" w:themeColor="text1"/>
          <w:sz w:val="24"/>
          <w:szCs w:val="24"/>
          <w:lang w:val="en-US" w:eastAsia="fr-FR"/>
        </w:rPr>
        <w:t xml:space="preserve">the </w:t>
      </w:r>
      <w:r w:rsidR="004B5A5A" w:rsidRPr="001F1399">
        <w:rPr>
          <w:rFonts w:ascii="Book Antiqua" w:eastAsia="Times New Roman" w:hAnsi="Book Antiqua" w:cs="Times New Roman"/>
          <w:color w:val="000000" w:themeColor="text1"/>
          <w:sz w:val="24"/>
          <w:szCs w:val="24"/>
          <w:lang w:val="en-US" w:eastAsia="fr-FR"/>
        </w:rPr>
        <w:t xml:space="preserve">gene </w:t>
      </w:r>
      <w:r w:rsidR="006536CE" w:rsidRPr="001F1399">
        <w:rPr>
          <w:rFonts w:ascii="Book Antiqua" w:eastAsia="Times New Roman" w:hAnsi="Book Antiqua" w:cs="Times New Roman"/>
          <w:color w:val="000000" w:themeColor="text1"/>
          <w:sz w:val="24"/>
          <w:szCs w:val="24"/>
          <w:lang w:val="en-US" w:eastAsia="fr-FR"/>
        </w:rPr>
        <w:t xml:space="preserve">expression </w:t>
      </w:r>
      <w:r w:rsidR="004B5A5A" w:rsidRPr="001F1399">
        <w:rPr>
          <w:rFonts w:ascii="Book Antiqua" w:eastAsia="Times New Roman" w:hAnsi="Book Antiqua" w:cs="Times New Roman"/>
          <w:color w:val="000000" w:themeColor="text1"/>
          <w:sz w:val="24"/>
          <w:szCs w:val="24"/>
          <w:lang w:val="en-US" w:eastAsia="fr-FR"/>
        </w:rPr>
        <w:t xml:space="preserve">deregulation </w:t>
      </w:r>
      <w:r w:rsidR="006536CE" w:rsidRPr="001F1399">
        <w:rPr>
          <w:rFonts w:ascii="Book Antiqua" w:eastAsia="Times New Roman" w:hAnsi="Book Antiqua" w:cs="Times New Roman"/>
          <w:color w:val="000000" w:themeColor="text1"/>
          <w:sz w:val="24"/>
          <w:szCs w:val="24"/>
          <w:lang w:val="en-US" w:eastAsia="fr-FR"/>
        </w:rPr>
        <w:t>observed during</w:t>
      </w:r>
      <w:r w:rsidR="004B5A5A" w:rsidRPr="001F1399">
        <w:rPr>
          <w:rFonts w:ascii="Book Antiqua" w:eastAsia="Times New Roman" w:hAnsi="Book Antiqua" w:cs="Times New Roman"/>
          <w:color w:val="000000" w:themeColor="text1"/>
          <w:sz w:val="24"/>
          <w:szCs w:val="24"/>
          <w:lang w:val="en-US" w:eastAsia="fr-FR"/>
        </w:rPr>
        <w:t xml:space="preserve"> the inflammatory response as it was suggested for asthma</w:t>
      </w:r>
      <w:r w:rsidR="006536CE" w:rsidRPr="001F1399">
        <w:rPr>
          <w:rFonts w:ascii="Book Antiqua" w:eastAsia="Times New Roman" w:hAnsi="Book Antiqua" w:cs="Times New Roman"/>
          <w:color w:val="000000" w:themeColor="text1"/>
          <w:sz w:val="24"/>
          <w:szCs w:val="24"/>
          <w:lang w:val="en-US" w:eastAsia="fr-FR"/>
        </w:rPr>
        <w:fldChar w:fldCharType="begin" w:fldLock="1"/>
      </w:r>
      <w:r w:rsidR="00B1214D" w:rsidRPr="001F1399">
        <w:rPr>
          <w:rFonts w:ascii="Book Antiqua" w:eastAsia="Times New Roman" w:hAnsi="Book Antiqua" w:cs="Times New Roman"/>
          <w:color w:val="000000" w:themeColor="text1"/>
          <w:sz w:val="24"/>
          <w:szCs w:val="24"/>
          <w:lang w:val="en-US" w:eastAsia="fr-FR"/>
        </w:rPr>
        <w:instrText>ADDIN CSL_CITATION {"citationItems":[{"id":"ITEM-1","itemData":{"DOI":"10.1186/s13148-015-0060-x","ISSN":"1868-7075","PMID":"25960783","abstract":"Background: Phthalates may increase the asthma risk in children. Mechanisms underlying this association remain to be addressed. This study assesses the effect of phthalate exposures on epigenetic changes and the role of epigenetic changes for asthma. In the first step, urine and blood samples from 256 children of the Childhood Environment and Allergic diseases Study (CEAS) were analyzed. Urine 5OH-MEHP levels were quantified as an indicator of exposure, and asthma information was collected. DNA methylation (DNA-M) was measured by quantitative PCR. In the screening part of step 1, DNA-M of 21 potential human candidate genes suggested by a toxicogenomic data were investigated in 22 blood samples. Then, in the testing part of step 1, positively screened genes were tested in a larger sample of 256 children and then validated by protein measurements. In step 2, we replicated the association between phthalate exposure and gene-specific DNA-M in 54 children in the phthalate contaminated food event. In step 3, the risk of DNA-M for asthma was tested in 256 children from CEAS and corroborated in 270 children from the Isle of Wight (IOW) birth cohort. Results: Differential methylation in three genes (AR, TNFα, and IL-4) was identified through screening. Testing in 256 children showed that methylation of the TNFα gene promoter was lower when children had higher urine 5OH-MEHP values (β = −0.138, P = 0.040). Functional validation revealed that TNFα methylation was inversely correlated with TNFα protein levels (β = −0.18, P = 0.041). In an additional sample of 54 children, we corroborated that methylation of the TNFα gene promoter was lower when urine 5OH-MEHP concentrations were higher. Finally, we found that a lower methylation of 5′CGI region of TNFα was associated with asthma in 256 CEAS children (OR = 2.15, 95% CI = 1.01 to 4.62). We replicated this in 270 children from the IOW birth cohort study. Methylation of the CpG site cg10717214 was negatively associated with asthma, when children had ‘AA’ or ‘AG’ genotype of the TNFα single nucleotide rs1800610. Conclusions: Effects of phthalate exposure on asthma may be mediated through alterations in DNA methylation.","author":[{"dropping-particle":"","family":"Wang","given":"I-Jen","non-dropping-particle":"","parse-names":false,"suffix":""},{"dropping-particle":"","family":"Karmaus","given":"Wilfried J.J.","non-dropping-particle":"","parse-names":false,"suffix":""},{"dropping-particle":"","family":"Chen","given":"Su-Lien","non-dropping-particle":"","parse-names":false,"suffix":""},{"dropping-particle":"","family":"Holloway","given":"John W.","non-dropping-particle":"","parse-names":false,"suffix":""},{"dropping-particle":"","family":"Ewart","given":"Susan","non-dropping-particle":"","parse-names":false,"suffix":""}],"container-title":"Clinical Epigenetics","id":"ITEM-1","issue":"1","issued":{"date-parts":[["2015","12","15"]]},"page":"27","title":"Effects of phthalate exposure on asthma may be mediated through alterations in DNA methylation","type":"article-journal","volume":"7"},"uris":["http://www.mendeley.com/documents/?uuid=634373bd-878e-369b-bebb-db9233a8096a"]}],"mendeley":{"formattedCitation":"&lt;sup&gt;[209]&lt;/sup&gt;","plainTextFormattedCitation":"[209]","previouslyFormattedCitation":"&lt;sup&gt;[208]&lt;/sup&gt;"},"properties":{"noteIndex":0},"schema":"https://github.com/citation-style-language/schema/raw/master/csl-citation.json"}</w:instrText>
      </w:r>
      <w:r w:rsidR="006536CE" w:rsidRPr="001F1399">
        <w:rPr>
          <w:rFonts w:ascii="Book Antiqua" w:eastAsia="Times New Roman" w:hAnsi="Book Antiqua" w:cs="Times New Roman"/>
          <w:color w:val="000000" w:themeColor="text1"/>
          <w:sz w:val="24"/>
          <w:szCs w:val="24"/>
          <w:lang w:val="en-US" w:eastAsia="fr-FR"/>
        </w:rPr>
        <w:fldChar w:fldCharType="separate"/>
      </w:r>
      <w:r w:rsidR="00B1214D" w:rsidRPr="001F1399">
        <w:rPr>
          <w:rFonts w:ascii="Book Antiqua" w:eastAsia="Times New Roman" w:hAnsi="Book Antiqua" w:cs="Times New Roman"/>
          <w:noProof/>
          <w:color w:val="000000" w:themeColor="text1"/>
          <w:sz w:val="24"/>
          <w:szCs w:val="24"/>
          <w:vertAlign w:val="superscript"/>
          <w:lang w:val="en-US" w:eastAsia="fr-FR"/>
        </w:rPr>
        <w:t>[209]</w:t>
      </w:r>
      <w:r w:rsidR="006536CE" w:rsidRPr="001F1399">
        <w:rPr>
          <w:rFonts w:ascii="Book Antiqua" w:eastAsia="Times New Roman" w:hAnsi="Book Antiqua" w:cs="Times New Roman"/>
          <w:color w:val="000000" w:themeColor="text1"/>
          <w:sz w:val="24"/>
          <w:szCs w:val="24"/>
          <w:lang w:val="en-US" w:eastAsia="fr-FR"/>
        </w:rPr>
        <w:fldChar w:fldCharType="end"/>
      </w:r>
      <w:r w:rsidR="006536CE" w:rsidRPr="001F1399">
        <w:rPr>
          <w:rFonts w:ascii="Book Antiqua" w:eastAsia="Times New Roman" w:hAnsi="Book Antiqua" w:cs="Times New Roman"/>
          <w:color w:val="000000" w:themeColor="text1"/>
          <w:sz w:val="24"/>
          <w:szCs w:val="24"/>
          <w:lang w:val="en-US" w:eastAsia="fr-FR"/>
        </w:rPr>
        <w:t>.</w:t>
      </w:r>
      <w:r w:rsidR="004B5A5A" w:rsidRPr="001F1399">
        <w:rPr>
          <w:rFonts w:ascii="Book Antiqua" w:eastAsia="Times New Roman" w:hAnsi="Book Antiqua" w:cs="Times New Roman"/>
          <w:color w:val="000000" w:themeColor="text1"/>
          <w:sz w:val="24"/>
          <w:szCs w:val="24"/>
          <w:lang w:val="en-US" w:eastAsia="fr-FR"/>
        </w:rPr>
        <w:t xml:space="preserve"> These recent observations play in favor for a correlation</w:t>
      </w:r>
      <w:r w:rsidR="006536CE" w:rsidRPr="001F1399">
        <w:rPr>
          <w:rFonts w:ascii="Book Antiqua" w:eastAsia="Times New Roman" w:hAnsi="Book Antiqua" w:cs="Times New Roman"/>
          <w:color w:val="000000" w:themeColor="text1"/>
          <w:sz w:val="24"/>
          <w:szCs w:val="24"/>
          <w:lang w:val="en-US" w:eastAsia="fr-FR"/>
        </w:rPr>
        <w:t xml:space="preserve"> that</w:t>
      </w:r>
      <w:r w:rsidR="004B5A5A" w:rsidRPr="001F1399">
        <w:rPr>
          <w:rFonts w:ascii="Book Antiqua" w:eastAsia="Times New Roman" w:hAnsi="Book Antiqua" w:cs="Times New Roman"/>
          <w:color w:val="000000" w:themeColor="text1"/>
          <w:sz w:val="24"/>
          <w:szCs w:val="24"/>
          <w:lang w:val="en-US" w:eastAsia="fr-FR"/>
        </w:rPr>
        <w:t xml:space="preserve"> can be point</w:t>
      </w:r>
      <w:r w:rsidR="006536CE" w:rsidRPr="001F1399">
        <w:rPr>
          <w:rFonts w:ascii="Book Antiqua" w:eastAsia="Times New Roman" w:hAnsi="Book Antiqua" w:cs="Times New Roman"/>
          <w:color w:val="000000" w:themeColor="text1"/>
          <w:sz w:val="24"/>
          <w:szCs w:val="24"/>
          <w:lang w:val="en-US" w:eastAsia="fr-FR"/>
        </w:rPr>
        <w:t>ed out</w:t>
      </w:r>
      <w:r w:rsidR="004B5A5A" w:rsidRPr="001F1399">
        <w:rPr>
          <w:rFonts w:ascii="Book Antiqua" w:eastAsia="Times New Roman" w:hAnsi="Book Antiqua" w:cs="Times New Roman"/>
          <w:color w:val="000000" w:themeColor="text1"/>
          <w:sz w:val="24"/>
          <w:szCs w:val="24"/>
          <w:lang w:val="en-US" w:eastAsia="fr-FR"/>
        </w:rPr>
        <w:t xml:space="preserve"> between contaminants and molecular </w:t>
      </w:r>
      <w:r w:rsidR="006536CE" w:rsidRPr="001F1399">
        <w:rPr>
          <w:rFonts w:ascii="Book Antiqua" w:eastAsia="Times New Roman" w:hAnsi="Book Antiqua" w:cs="Times New Roman"/>
          <w:color w:val="000000" w:themeColor="text1"/>
          <w:sz w:val="24"/>
          <w:szCs w:val="24"/>
          <w:lang w:val="en-US" w:eastAsia="fr-FR"/>
        </w:rPr>
        <w:t>pathways</w:t>
      </w:r>
      <w:r w:rsidR="004B5A5A" w:rsidRPr="001F1399">
        <w:rPr>
          <w:rFonts w:ascii="Book Antiqua" w:eastAsia="Times New Roman" w:hAnsi="Book Antiqua" w:cs="Times New Roman"/>
          <w:color w:val="000000" w:themeColor="text1"/>
          <w:sz w:val="24"/>
          <w:szCs w:val="24"/>
          <w:lang w:val="en-US" w:eastAsia="fr-FR"/>
        </w:rPr>
        <w:t xml:space="preserve"> involved in a </w:t>
      </w:r>
      <w:r w:rsidR="006536CE" w:rsidRPr="001F1399">
        <w:rPr>
          <w:rFonts w:ascii="Book Antiqua" w:eastAsia="Times New Roman" w:hAnsi="Book Antiqua" w:cs="Times New Roman"/>
          <w:color w:val="000000" w:themeColor="text1"/>
          <w:sz w:val="24"/>
          <w:szCs w:val="24"/>
          <w:lang w:val="en-US" w:eastAsia="fr-FR"/>
        </w:rPr>
        <w:t>given</w:t>
      </w:r>
      <w:r w:rsidR="004B5A5A" w:rsidRPr="001F1399">
        <w:rPr>
          <w:rFonts w:ascii="Book Antiqua" w:eastAsia="Times New Roman" w:hAnsi="Book Antiqua" w:cs="Times New Roman"/>
          <w:color w:val="000000" w:themeColor="text1"/>
          <w:sz w:val="24"/>
          <w:szCs w:val="24"/>
          <w:lang w:val="en-US" w:eastAsia="fr-FR"/>
        </w:rPr>
        <w:t xml:space="preserve"> disease.</w:t>
      </w:r>
    </w:p>
    <w:p w14:paraId="070045C8" w14:textId="00DC6B57" w:rsidR="00231632" w:rsidRPr="001F1399" w:rsidRDefault="1EFD163B" w:rsidP="002974FA">
      <w:pPr>
        <w:adjustRightInd w:val="0"/>
        <w:snapToGrid w:val="0"/>
        <w:spacing w:after="0" w:line="360" w:lineRule="auto"/>
        <w:ind w:firstLineChars="100" w:firstLine="240"/>
        <w:jc w:val="both"/>
        <w:rPr>
          <w:rFonts w:ascii="Book Antiqua" w:eastAsia="Times New Roman" w:hAnsi="Book Antiqua" w:cs="Times New Roman"/>
          <w:color w:val="000000" w:themeColor="text1"/>
          <w:sz w:val="24"/>
          <w:szCs w:val="24"/>
          <w:lang w:val="en-US" w:eastAsia="fr-FR"/>
        </w:rPr>
      </w:pPr>
      <w:r w:rsidRPr="001F1399">
        <w:rPr>
          <w:rFonts w:ascii="Book Antiqua" w:eastAsia="Times New Roman" w:hAnsi="Book Antiqua" w:cs="Times New Roman"/>
          <w:color w:val="000000" w:themeColor="text1"/>
          <w:sz w:val="24"/>
          <w:szCs w:val="24"/>
          <w:lang w:val="en-US" w:eastAsia="fr-FR"/>
        </w:rPr>
        <w:t xml:space="preserve">Duration of breastfeeding was the main determinant and </w:t>
      </w:r>
      <w:r w:rsidR="004B5A5A" w:rsidRPr="001F1399">
        <w:rPr>
          <w:rFonts w:ascii="Book Antiqua" w:eastAsia="Times New Roman" w:hAnsi="Book Antiqua" w:cs="Times New Roman"/>
          <w:color w:val="000000" w:themeColor="text1"/>
          <w:sz w:val="24"/>
          <w:szCs w:val="24"/>
          <w:lang w:val="en-US" w:eastAsia="fr-FR"/>
        </w:rPr>
        <w:t xml:space="preserve">was </w:t>
      </w:r>
      <w:r w:rsidRPr="001F1399">
        <w:rPr>
          <w:rFonts w:ascii="Book Antiqua" w:eastAsia="Times New Roman" w:hAnsi="Book Antiqua" w:cs="Times New Roman"/>
          <w:color w:val="000000" w:themeColor="text1"/>
          <w:sz w:val="24"/>
          <w:szCs w:val="24"/>
          <w:lang w:val="en-US" w:eastAsia="fr-FR"/>
        </w:rPr>
        <w:t xml:space="preserve">significantly associated with increased POP concentrations in the children. Prolonged breastfeeding was associated with increased </w:t>
      </w:r>
      <w:r w:rsidR="004B5A5A" w:rsidRPr="001F1399">
        <w:rPr>
          <w:rFonts w:ascii="Book Antiqua" w:eastAsia="Times New Roman" w:hAnsi="Book Antiqua" w:cs="Times New Roman"/>
          <w:color w:val="000000" w:themeColor="text1"/>
          <w:sz w:val="24"/>
          <w:szCs w:val="24"/>
          <w:lang w:val="en-US" w:eastAsia="fr-FR"/>
        </w:rPr>
        <w:t xml:space="preserve">concentrations </w:t>
      </w:r>
      <w:r w:rsidRPr="001F1399">
        <w:rPr>
          <w:rFonts w:ascii="Book Antiqua" w:eastAsia="Times New Roman" w:hAnsi="Book Antiqua" w:cs="Times New Roman"/>
          <w:color w:val="000000" w:themeColor="text1"/>
          <w:sz w:val="24"/>
          <w:szCs w:val="24"/>
          <w:lang w:val="en-US" w:eastAsia="fr-FR"/>
        </w:rPr>
        <w:t xml:space="preserve">of </w:t>
      </w:r>
      <w:r w:rsidR="00322E8A" w:rsidRPr="001F1399">
        <w:rPr>
          <w:rFonts w:ascii="Book Antiqua" w:eastAsia="Times New Roman" w:hAnsi="Book Antiqua" w:cs="Times New Roman"/>
          <w:color w:val="000000" w:themeColor="text1"/>
          <w:sz w:val="24"/>
          <w:szCs w:val="24"/>
          <w:lang w:val="en-US" w:eastAsia="fr-FR"/>
        </w:rPr>
        <w:t>POP</w:t>
      </w:r>
      <w:r w:rsidRPr="001F1399">
        <w:rPr>
          <w:rFonts w:ascii="Book Antiqua" w:eastAsia="Times New Roman" w:hAnsi="Book Antiqua" w:cs="Times New Roman"/>
          <w:color w:val="000000" w:themeColor="text1"/>
          <w:sz w:val="24"/>
          <w:szCs w:val="24"/>
          <w:lang w:val="en-US" w:eastAsia="fr-FR"/>
        </w:rPr>
        <w:t>s such as PCB</w:t>
      </w:r>
      <w:r w:rsidR="0056199A" w:rsidRPr="001F1399">
        <w:rPr>
          <w:rFonts w:ascii="Book Antiqua" w:eastAsia="Times New Roman" w:hAnsi="Book Antiqua" w:cs="Times New Roman"/>
          <w:color w:val="000000" w:themeColor="text1"/>
          <w:sz w:val="24"/>
          <w:szCs w:val="24"/>
          <w:lang w:val="en-US" w:eastAsia="fr-FR"/>
        </w:rPr>
        <w:t>s</w:t>
      </w:r>
      <w:r w:rsidRPr="001F1399">
        <w:rPr>
          <w:rFonts w:ascii="Book Antiqua" w:eastAsia="Times New Roman" w:hAnsi="Book Antiqua" w:cs="Times New Roman"/>
          <w:color w:val="000000" w:themeColor="text1"/>
          <w:sz w:val="24"/>
          <w:szCs w:val="24"/>
          <w:lang w:val="en-US" w:eastAsia="fr-FR"/>
        </w:rPr>
        <w:t>, and polybrominated diphenyl ethers in children blood samples</w:t>
      </w:r>
      <w:r w:rsidR="001F319C" w:rsidRPr="001F1399">
        <w:rPr>
          <w:rFonts w:ascii="Book Antiqua" w:eastAsia="Times New Roman" w:hAnsi="Book Antiqua" w:cs="Times New Roman"/>
          <w:color w:val="000000" w:themeColor="text1"/>
          <w:sz w:val="24"/>
          <w:szCs w:val="24"/>
          <w:lang w:val="en-US" w:eastAsia="fr-FR"/>
        </w:rPr>
        <w:fldChar w:fldCharType="begin" w:fldLock="1"/>
      </w:r>
      <w:r w:rsidR="00B1214D" w:rsidRPr="001F1399">
        <w:rPr>
          <w:rFonts w:ascii="Book Antiqua" w:eastAsia="Times New Roman" w:hAnsi="Book Antiqua" w:cs="Times New Roman"/>
          <w:color w:val="000000" w:themeColor="text1"/>
          <w:sz w:val="24"/>
          <w:szCs w:val="24"/>
          <w:lang w:val="en-US" w:eastAsia="fr-FR"/>
        </w:rPr>
        <w:instrText>ADDIN CSL_CITATION {"citationItems":[{"id":"ITEM-1","itemData":{"DOI":"10.1016/j.envres.2015.12.020","ISSN":"10960953","PMID":"26749444","abstract":"Background: Exposure to persistent organic pollutants (POPs) during prenatal and postnatal life has been extensively studied in relation to adverse health effects in children. Objectives: The aim was to identify determinants of the concentrations of polychlorinated biphenyls (PCBs), brominated flame retardants (polybrominated diphenyl ethers, PBDEs; polybrominated biphenyl, PBB), and organochlorine pesticides (OCPs) in blood samples from pregnant women and children in The Norwegian Mother and Child Cohort Study (MoBa). Methods: Blood samples were collected from two independent subsamples within MoBa; a group of women (n=96) enrolled in mid-pregnancy during the years 2002-2008 and a group of 3 year old children (n=99) participating during 2010-2011. PCB congeners (74, 99, 138, 153, 180, 170, 194, 209, 105, 114, 118, 156, 157, 167, and 189), brominated flame retardants (PBDE-28, 47, 99, 100, 153, 154, and PBB-153), as well as the OCPs hexachlorobenzene (HCB), oxychlordane, 4,4'dichlorodiphenyltrichloroethane (DDT), and 4,4'dichlorodiphenyldichloroethylene (DDE) were measured in both pregnant women and children. Results: Age, low parity, and low pre-pregnant BMI were the most important determinants of increased plasma concentrations of POPs in pregnant women. In 3 year old children, prolonged breastfeeding duration was a major determinant of increased POP concentrations. Estimated dietary exposure to PCBs during pregnancy was positively associated with plasma concentrations in 3 year old children, but not in pregnant women. Plasma concentrations were approximately 40% higher in children compared to pregnant women. Conclusions: Several factors associated with exposure and toxicokinetics, i.e. accumulation, excretion and transfer via breastmilk of POPs were the main predictors of POP levels in pregnant women and children. Diet, which is the main exposure source for these compounds in the general population, was found to predict PCB levels only among children. For the PBDEs, for which non-dietary sources are more important, toxicokinetic factors appeared to have less predictive impact.","author":[{"dropping-particle":"","family":"Caspersen","given":"Ida Henriette","non-dropping-particle":"","parse-names":false,"suffix":""},{"dropping-particle":"","family":"Kvalem","given":"Helen Engelstad","non-dropping-particle":"","parse-names":false,"suffix":""},{"dropping-particle":"","family":"Haugen","given":"Margaretha","non-dropping-particle":"","parse-names":false,"suffix":""},{"dropping-particle":"","family":"Brantsæter","given":"Anne Lise","non-dropping-particle":"","parse-names":false,"suffix":""},{"dropping-particle":"","family":"Meltzer","given":"Helle Margrete","non-dropping-particle":"","parse-names":false,"suffix":""},{"dropping-particle":"","family":"Alexander","given":"Jan","non-dropping-particle":"","parse-names":false,"suffix":""},{"dropping-particle":"","family":"Thomsen","given":"Cathrine","non-dropping-particle":"","parse-names":false,"suffix":""},{"dropping-particle":"","family":"Frøshaug","given":"May","non-dropping-particle":"","parse-names":false,"suffix":""},{"dropping-particle":"","family":"Bremnes","given":"Nanna Margrethe Bruun","non-dropping-particle":"","parse-names":false,"suffix":""},{"dropping-particle":"","family":"Broadwell","given":"Sharon Lynn","non-dropping-particle":"","parse-names":false,"suffix":""},{"dropping-particle":"","family":"Granum","given":"Berit","non-dropping-particle":"","parse-names":false,"suffix":""},{"dropping-particle":"","family":"Kogevinas","given":"Manolis","non-dropping-particle":"","parse-names":false,"suffix":""},{"dropping-particle":"","family":"Knutsen","given":"Helle Katrine","non-dropping-particle":"","parse-names":false,"suffix":""}],"container-title":"Environmental Research","id":"ITEM-1","issued":{"date-parts":[["2016","4","1"]]},"page":"136-144","publisher":"Academic Press Inc.","title":"Determinants of plasma PCB, brominated flame retardants, and organochlorine pesticides in pregnant women and 3 year old children in The Norwegian Mother and Child Cohort Study","type":"article-journal","volume":"146"},"uris":["http://www.mendeley.com/documents/?uuid=eb6ff064-4579-363b-bf99-84be17bc3ceb"]}],"mendeley":{"formattedCitation":"&lt;sup&gt;[180]&lt;/sup&gt;","plainTextFormattedCitation":"[180]","previouslyFormattedCitation":"&lt;sup&gt;[179]&lt;/sup&gt;"},"properties":{"noteIndex":0},"schema":"https://github.com/citation-style-language/schema/raw/master/csl-citation.json"}</w:instrText>
      </w:r>
      <w:r w:rsidR="001F319C" w:rsidRPr="001F1399">
        <w:rPr>
          <w:rFonts w:ascii="Book Antiqua" w:eastAsia="Times New Roman" w:hAnsi="Book Antiqua" w:cs="Times New Roman"/>
          <w:color w:val="000000" w:themeColor="text1"/>
          <w:sz w:val="24"/>
          <w:szCs w:val="24"/>
          <w:lang w:val="en-US" w:eastAsia="fr-FR"/>
        </w:rPr>
        <w:fldChar w:fldCharType="separate"/>
      </w:r>
      <w:r w:rsidR="00B1214D" w:rsidRPr="001F1399">
        <w:rPr>
          <w:rFonts w:ascii="Book Antiqua" w:eastAsia="Times New Roman" w:hAnsi="Book Antiqua" w:cs="Times New Roman"/>
          <w:noProof/>
          <w:color w:val="000000" w:themeColor="text1"/>
          <w:sz w:val="24"/>
          <w:szCs w:val="24"/>
          <w:vertAlign w:val="superscript"/>
          <w:lang w:val="en-US" w:eastAsia="fr-FR"/>
        </w:rPr>
        <w:t>[180]</w:t>
      </w:r>
      <w:r w:rsidR="001F319C" w:rsidRPr="001F1399">
        <w:rPr>
          <w:rFonts w:ascii="Book Antiqua" w:eastAsia="Times New Roman" w:hAnsi="Book Antiqua" w:cs="Times New Roman"/>
          <w:color w:val="000000" w:themeColor="text1"/>
          <w:sz w:val="24"/>
          <w:szCs w:val="24"/>
          <w:lang w:val="en-US" w:eastAsia="fr-FR"/>
        </w:rPr>
        <w:fldChar w:fldCharType="end"/>
      </w:r>
      <w:r w:rsidRPr="001F1399">
        <w:rPr>
          <w:rFonts w:ascii="Book Antiqua" w:eastAsia="Times New Roman" w:hAnsi="Book Antiqua" w:cs="Times New Roman"/>
          <w:color w:val="000000" w:themeColor="text1"/>
          <w:sz w:val="24"/>
          <w:szCs w:val="24"/>
          <w:lang w:val="en-US" w:eastAsia="fr-FR"/>
        </w:rPr>
        <w:t xml:space="preserve">. In </w:t>
      </w:r>
      <w:r w:rsidR="004B5A5A" w:rsidRPr="001F1399">
        <w:rPr>
          <w:rFonts w:ascii="Book Antiqua" w:eastAsia="Times New Roman" w:hAnsi="Book Antiqua" w:cs="Times New Roman"/>
          <w:color w:val="000000" w:themeColor="text1"/>
          <w:sz w:val="24"/>
          <w:szCs w:val="24"/>
          <w:lang w:val="en-US" w:eastAsia="fr-FR"/>
        </w:rPr>
        <w:t>their</w:t>
      </w:r>
      <w:r w:rsidRPr="001F1399">
        <w:rPr>
          <w:rFonts w:ascii="Book Antiqua" w:eastAsia="Times New Roman" w:hAnsi="Book Antiqua" w:cs="Times New Roman"/>
          <w:color w:val="000000" w:themeColor="text1"/>
          <w:sz w:val="24"/>
          <w:szCs w:val="24"/>
          <w:lang w:val="en-US" w:eastAsia="fr-FR"/>
        </w:rPr>
        <w:t xml:space="preserve"> study, </w:t>
      </w:r>
      <w:r w:rsidR="004B5A5A" w:rsidRPr="001F1399">
        <w:rPr>
          <w:rFonts w:ascii="Book Antiqua" w:eastAsia="Times New Roman" w:hAnsi="Book Antiqua" w:cs="Times New Roman"/>
          <w:color w:val="000000" w:themeColor="text1"/>
          <w:sz w:val="24"/>
          <w:szCs w:val="24"/>
          <w:lang w:val="en-US" w:eastAsia="fr-FR"/>
        </w:rPr>
        <w:t xml:space="preserve">Caspersen </w:t>
      </w:r>
      <w:r w:rsidR="004B5A5A" w:rsidRPr="001F1399">
        <w:rPr>
          <w:rFonts w:ascii="Book Antiqua" w:eastAsia="Times New Roman" w:hAnsi="Book Antiqua" w:cs="Times New Roman"/>
          <w:i/>
          <w:color w:val="000000" w:themeColor="text1"/>
          <w:sz w:val="24"/>
          <w:szCs w:val="24"/>
          <w:lang w:val="en-US" w:eastAsia="fr-FR"/>
        </w:rPr>
        <w:t>et al</w:t>
      </w:r>
      <w:r w:rsidR="000A6ED0" w:rsidRPr="001F1399">
        <w:rPr>
          <w:rFonts w:ascii="Book Antiqua" w:eastAsia="Times New Roman" w:hAnsi="Book Antiqua" w:cs="Times New Roman"/>
          <w:color w:val="000000" w:themeColor="text1"/>
          <w:sz w:val="24"/>
          <w:szCs w:val="24"/>
          <w:lang w:val="en-US" w:eastAsia="fr-FR"/>
        </w:rPr>
        <w:fldChar w:fldCharType="begin" w:fldLock="1"/>
      </w:r>
      <w:r w:rsidR="00B1214D" w:rsidRPr="001F1399">
        <w:rPr>
          <w:rFonts w:ascii="Book Antiqua" w:eastAsia="Times New Roman" w:hAnsi="Book Antiqua" w:cs="Times New Roman"/>
          <w:color w:val="000000" w:themeColor="text1"/>
          <w:sz w:val="24"/>
          <w:szCs w:val="24"/>
          <w:lang w:val="en-US" w:eastAsia="fr-FR"/>
        </w:rPr>
        <w:instrText>ADDIN CSL_CITATION {"citationItems":[{"id":"ITEM-1","itemData":{"DOI":"10.1016/j.envres.2015.12.020","ISSN":"10960953","PMID":"26749444","abstract":"Background: Exposure to persistent organic pollutants (POPs) during prenatal and postnatal life has been extensively studied in relation to adverse health effects in children. Objectives: The aim was to identify determinants of the concentrations of polychlorinated biphenyls (PCBs), brominated flame retardants (polybrominated diphenyl ethers, PBDEs; polybrominated biphenyl, PBB), and organochlorine pesticides (OCPs) in blood samples from pregnant women and children in The Norwegian Mother and Child Cohort Study (MoBa). Methods: Blood samples were collected from two independent subsamples within MoBa; a group of women (n=96) enrolled in mid-pregnancy during the years 2002-2008 and a group of 3 year old children (n=99) participating during 2010-2011. PCB congeners (74, 99, 138, 153, 180, 170, 194, 209, 105, 114, 118, 156, 157, 167, and 189), brominated flame retardants (PBDE-28, 47, 99, 100, 153, 154, and PBB-153), as well as the OCPs hexachlorobenzene (HCB), oxychlordane, 4,4'dichlorodiphenyltrichloroethane (DDT), and 4,4'dichlorodiphenyldichloroethylene (DDE) were measured in both pregnant women and children. Results: Age, low parity, and low pre-pregnant BMI were the most important determinants of increased plasma concentrations of POPs in pregnant women. In 3 year old children, prolonged breastfeeding duration was a major determinant of increased POP concentrations. Estimated dietary exposure to PCBs during pregnancy was positively associated with plasma concentrations in 3 year old children, but not in pregnant women. Plasma concentrations were approximately 40% higher in children compared to pregnant women. Conclusions: Several factors associated with exposure and toxicokinetics, i.e. accumulation, excretion and transfer via breastmilk of POPs were the main predictors of POP levels in pregnant women and children. Diet, which is the main exposure source for these compounds in the general population, was found to predict PCB levels only among children. For the PBDEs, for which non-dietary sources are more important, toxicokinetic factors appeared to have less predictive impact.","author":[{"dropping-particle":"","family":"Caspersen","given":"Ida Henriette","non-dropping-particle":"","parse-names":false,"suffix":""},{"dropping-particle":"","family":"Kvalem","given":"Helen Engelstad","non-dropping-particle":"","parse-names":false,"suffix":""},{"dropping-particle":"","family":"Haugen","given":"Margaretha","non-dropping-particle":"","parse-names":false,"suffix":""},{"dropping-particle":"","family":"Brantsæter","given":"Anne Lise","non-dropping-particle":"","parse-names":false,"suffix":""},{"dropping-particle":"","family":"Meltzer","given":"Helle Margrete","non-dropping-particle":"","parse-names":false,"suffix":""},{"dropping-particle":"","family":"Alexander","given":"Jan","non-dropping-particle":"","parse-names":false,"suffix":""},{"dropping-particle":"","family":"Thomsen","given":"Cathrine","non-dropping-particle":"","parse-names":false,"suffix":""},{"dropping-particle":"","family":"Frøshaug","given":"May","non-dropping-particle":"","parse-names":false,"suffix":""},{"dropping-particle":"","family":"Bremnes","given":"Nanna Margrethe Bruun","non-dropping-particle":"","parse-names":false,"suffix":""},{"dropping-particle":"","family":"Broadwell","given":"Sharon Lynn","non-dropping-particle":"","parse-names":false,"suffix":""},{"dropping-particle":"","family":"Granum","given":"Berit","non-dropping-particle":"","parse-names":false,"suffix":""},{"dropping-particle":"","family":"Kogevinas","given":"Manolis","non-dropping-particle":"","parse-names":false,"suffix":""},{"dropping-particle":"","family":"Knutsen","given":"Helle Katrine","non-dropping-particle":"","parse-names":false,"suffix":""}],"container-title":"Environmental Research","id":"ITEM-1","issued":{"date-parts":[["2016","4","1"]]},"page":"136-144","publisher":"Academic Press Inc.","title":"Determinants of plasma PCB, brominated flame retardants, and organochlorine pesticides in pregnant women and 3 year old children in The Norwegian Mother and Child Cohort Study","type":"article-journal","volume":"146"},"uris":["http://www.mendeley.com/documents/?uuid=eb6ff064-4579-363b-bf99-84be17bc3ceb"]}],"mendeley":{"formattedCitation":"&lt;sup&gt;[180]&lt;/sup&gt;","plainTextFormattedCitation":"[180]","previouslyFormattedCitation":"&lt;sup&gt;[179]&lt;/sup&gt;"},"properties":{"noteIndex":0},"schema":"https://github.com/citation-style-language/schema/raw/master/csl-citation.json"}</w:instrText>
      </w:r>
      <w:r w:rsidR="000A6ED0" w:rsidRPr="001F1399">
        <w:rPr>
          <w:rFonts w:ascii="Book Antiqua" w:eastAsia="Times New Roman" w:hAnsi="Book Antiqua" w:cs="Times New Roman"/>
          <w:color w:val="000000" w:themeColor="text1"/>
          <w:sz w:val="24"/>
          <w:szCs w:val="24"/>
          <w:lang w:val="en-US" w:eastAsia="fr-FR"/>
        </w:rPr>
        <w:fldChar w:fldCharType="separate"/>
      </w:r>
      <w:r w:rsidR="00B1214D" w:rsidRPr="001F1399">
        <w:rPr>
          <w:rFonts w:ascii="Book Antiqua" w:eastAsia="Times New Roman" w:hAnsi="Book Antiqua" w:cs="Times New Roman"/>
          <w:noProof/>
          <w:color w:val="000000" w:themeColor="text1"/>
          <w:sz w:val="24"/>
          <w:szCs w:val="24"/>
          <w:vertAlign w:val="superscript"/>
          <w:lang w:val="en-US" w:eastAsia="fr-FR"/>
        </w:rPr>
        <w:t>[180]</w:t>
      </w:r>
      <w:r w:rsidR="000A6ED0" w:rsidRPr="001F1399">
        <w:rPr>
          <w:rFonts w:ascii="Book Antiqua" w:eastAsia="Times New Roman" w:hAnsi="Book Antiqua" w:cs="Times New Roman"/>
          <w:color w:val="000000" w:themeColor="text1"/>
          <w:sz w:val="24"/>
          <w:szCs w:val="24"/>
          <w:lang w:val="en-US" w:eastAsia="fr-FR"/>
        </w:rPr>
        <w:fldChar w:fldCharType="end"/>
      </w:r>
      <w:r w:rsidR="004B5A5A" w:rsidRPr="001F1399">
        <w:rPr>
          <w:rFonts w:ascii="Book Antiqua" w:eastAsia="Times New Roman" w:hAnsi="Book Antiqua" w:cs="Times New Roman"/>
          <w:i/>
          <w:color w:val="000000" w:themeColor="text1"/>
          <w:sz w:val="24"/>
          <w:szCs w:val="24"/>
          <w:lang w:val="en-US" w:eastAsia="fr-FR"/>
        </w:rPr>
        <w:t>,</w:t>
      </w:r>
      <w:r w:rsidR="004B5A5A" w:rsidRPr="001F1399">
        <w:rPr>
          <w:rFonts w:ascii="Book Antiqua" w:eastAsia="Times New Roman" w:hAnsi="Book Antiqua" w:cs="Times New Roman"/>
          <w:color w:val="000000" w:themeColor="text1"/>
          <w:sz w:val="24"/>
          <w:szCs w:val="24"/>
          <w:lang w:val="en-US" w:eastAsia="fr-FR"/>
        </w:rPr>
        <w:t xml:space="preserve"> revealed that</w:t>
      </w:r>
      <w:r w:rsidRPr="001F1399">
        <w:rPr>
          <w:rFonts w:ascii="Book Antiqua" w:eastAsia="Times New Roman" w:hAnsi="Book Antiqua" w:cs="Times New Roman"/>
          <w:color w:val="000000" w:themeColor="text1"/>
          <w:sz w:val="24"/>
          <w:szCs w:val="24"/>
          <w:lang w:val="en-US" w:eastAsia="fr-FR"/>
        </w:rPr>
        <w:t xml:space="preserve"> concentrations of POPs in 3 year</w:t>
      </w:r>
      <w:r w:rsidR="00140762" w:rsidRPr="001F1399">
        <w:rPr>
          <w:rFonts w:ascii="Book Antiqua" w:eastAsia="Times New Roman" w:hAnsi="Book Antiqua" w:cs="Times New Roman"/>
          <w:color w:val="000000" w:themeColor="text1"/>
          <w:sz w:val="24"/>
          <w:szCs w:val="24"/>
          <w:lang w:val="en-US" w:eastAsia="fr-FR"/>
        </w:rPr>
        <w:t>s</w:t>
      </w:r>
      <w:r w:rsidRPr="001F1399">
        <w:rPr>
          <w:rFonts w:ascii="Book Antiqua" w:eastAsia="Times New Roman" w:hAnsi="Book Antiqua" w:cs="Times New Roman"/>
          <w:color w:val="000000" w:themeColor="text1"/>
          <w:sz w:val="24"/>
          <w:szCs w:val="24"/>
          <w:lang w:val="en-US" w:eastAsia="fr-FR"/>
        </w:rPr>
        <w:t xml:space="preserve"> old children were 1.4-fold higher than in an independent sample of pregnant women.</w:t>
      </w:r>
    </w:p>
    <w:p w14:paraId="6BABF867" w14:textId="77777777" w:rsidR="00D51788" w:rsidRPr="001F1399" w:rsidRDefault="00D51788" w:rsidP="002974FA">
      <w:pPr>
        <w:adjustRightInd w:val="0"/>
        <w:snapToGrid w:val="0"/>
        <w:spacing w:after="0" w:line="360" w:lineRule="auto"/>
        <w:jc w:val="both"/>
        <w:rPr>
          <w:rFonts w:ascii="Book Antiqua" w:eastAsia="Times New Roman" w:hAnsi="Book Antiqua" w:cs="Times New Roman"/>
          <w:color w:val="000000" w:themeColor="text1"/>
          <w:sz w:val="24"/>
          <w:szCs w:val="24"/>
          <w:lang w:val="en-US" w:eastAsia="fr-FR"/>
        </w:rPr>
      </w:pPr>
    </w:p>
    <w:p w14:paraId="7C065385" w14:textId="10FA69FD" w:rsidR="00D51788" w:rsidRPr="001F1399" w:rsidRDefault="00D51788" w:rsidP="002974FA">
      <w:pPr>
        <w:pStyle w:val="paragraph"/>
        <w:adjustRightInd w:val="0"/>
        <w:snapToGrid w:val="0"/>
        <w:spacing w:before="0" w:beforeAutospacing="0" w:after="0" w:afterAutospacing="0" w:line="360" w:lineRule="auto"/>
        <w:jc w:val="both"/>
        <w:textAlignment w:val="baseline"/>
        <w:rPr>
          <w:rFonts w:ascii="Book Antiqua" w:hAnsi="Book Antiqua" w:cs="Segoe UI"/>
          <w:b/>
          <w:i/>
          <w:lang w:val="en-US"/>
        </w:rPr>
      </w:pPr>
      <w:r w:rsidRPr="001F1399">
        <w:rPr>
          <w:rStyle w:val="normaltextrun"/>
          <w:rFonts w:ascii="Book Antiqua" w:hAnsi="Book Antiqua" w:cs="Calibri"/>
          <w:b/>
          <w:i/>
          <w:lang w:val="en-US"/>
        </w:rPr>
        <w:t>Postnatal exposure to heavy metals</w:t>
      </w:r>
    </w:p>
    <w:p w14:paraId="5CBC4D44" w14:textId="4C3C0D08" w:rsidR="004A6407" w:rsidRPr="001F1399" w:rsidRDefault="00E006B9" w:rsidP="002974FA">
      <w:pPr>
        <w:pStyle w:val="paragraph"/>
        <w:adjustRightInd w:val="0"/>
        <w:snapToGrid w:val="0"/>
        <w:spacing w:before="0" w:beforeAutospacing="0" w:after="0" w:afterAutospacing="0" w:line="360" w:lineRule="auto"/>
        <w:jc w:val="both"/>
        <w:textAlignment w:val="baseline"/>
        <w:rPr>
          <w:rFonts w:ascii="Book Antiqua" w:hAnsi="Book Antiqua" w:cstheme="minorBidi"/>
          <w:lang w:val="en-US"/>
        </w:rPr>
      </w:pPr>
      <w:r w:rsidRPr="001F1399">
        <w:rPr>
          <w:rFonts w:ascii="Book Antiqua" w:hAnsi="Book Antiqua" w:cstheme="minorBidi"/>
          <w:lang w:val="en-US"/>
        </w:rPr>
        <w:t xml:space="preserve">There are a dozen of studies concerning prenatal and postnatal exposure to heavy metals such as cadmium, </w:t>
      </w:r>
      <w:r w:rsidR="004F0FB2" w:rsidRPr="001F1399">
        <w:rPr>
          <w:rFonts w:ascii="Book Antiqua" w:hAnsi="Book Antiqua" w:cstheme="minorBidi"/>
          <w:lang w:val="en-US"/>
        </w:rPr>
        <w:t>arsenic</w:t>
      </w:r>
      <w:r w:rsidRPr="001F1399">
        <w:rPr>
          <w:rFonts w:ascii="Book Antiqua" w:hAnsi="Book Antiqua" w:cstheme="minorBidi"/>
          <w:lang w:val="en-US"/>
        </w:rPr>
        <w:t>, mercury or lead. Authors have reported in all of them a slower postnatal growth in children but due to a limited number of studies per specific heavy meta</w:t>
      </w:r>
      <w:r w:rsidR="004F0FB2" w:rsidRPr="001F1399">
        <w:rPr>
          <w:rFonts w:ascii="Book Antiqua" w:hAnsi="Book Antiqua" w:cstheme="minorBidi"/>
          <w:lang w:val="en-US"/>
        </w:rPr>
        <w:t>ls authors could not conclude on any other side effects</w:t>
      </w:r>
      <w:r w:rsidR="004F0FB2" w:rsidRPr="001F1399">
        <w:rPr>
          <w:rFonts w:ascii="Book Antiqua" w:hAnsi="Book Antiqua"/>
        </w:rPr>
        <w:fldChar w:fldCharType="begin" w:fldLock="1"/>
      </w:r>
      <w:r w:rsidR="00B1214D" w:rsidRPr="001F1399">
        <w:rPr>
          <w:rFonts w:ascii="Book Antiqua" w:hAnsi="Book Antiqua" w:cstheme="minorHAnsi"/>
          <w:lang w:val="en-US"/>
        </w:rPr>
        <w:instrText>ADDIN CSL_CITATION {"citationItems":[{"id":"ITEM-1","itemData":{"DOI":"10.1016/j.ijheh.2016.05.001","ISSN":"14384639","PMID":"27216159","abstract":"In recent years, many new studies have evaluated associations between environmental pollutants and child health. This review aims to provide a broad summary of this literature, comparing the state of epidemiological evidence for the effects of a wide range of environmental contaminants (air pollutants, heavy metals, organochlorine compounds, perfluoroalkyl substances, polybrominated diphenyl ethers, pesticides, phthalates and bisphenol A) on child health outcomes. The review addresses effects on foetal growth and prematurity, neurodevelopment, respiratory and immune health, and childhood growth and obesity. Findings of recent prospective studies and meta-analyses have corroborated previous good evidence, often at lower exposure levels, for effects on foetal growth of air pollution and polychlorinated biphenyls (PCBs), for neurotoxic effects of lead, methylmercury, PCBs and organophosphate pesticides, and for respiratory health effects of air pollution. Moderate evidence has emerged for a potential role of environmental pollutants in attention deficit hyperactivity disorder and autism (lead, PCBs, air pollution), respiratory and immune health (dichlorodiphenyldichloroethylene - DDE - and PCBs), and obesity (DDE). In addition, there is now moderate evidence that certain chemicals of relatively recent concern may be associated with adverse child health outcomes, specifically perfluorooctanoate and foetal growth, and polybrominated diphenyl ethers and neurodevelopment. For other chemicals of recent concern, such as phthalates and bisphenol A, the literature is characterised by large inconsistencies preventing strong conclusions. In conclusion, since most of the recent literature evaluates common exposures in the general population, and not particularly high exposure situations, this accumulating body of evidence suggests that the unborn and young child require more protection than is currently provided. Large, coordinated research efforts are needed to improve understanding of long-term effects of complex chemical mixtures.","author":[{"dropping-particle":"","family":"Vrijheid","given":"Martine","non-dropping-particle":"","parse-names":false,"suffix":""},{"dropping-particle":"","family":"Casas","given":"Maribel","non-dropping-particle":"","parse-names":false,"suffix":""},{"dropping-particle":"","family":"Gascon","given":"Mireia","non-dropping-particle":"","parse-names":false,"suffix":""},{"dropping-particle":"","family":"Valvi","given":"Damaskini","non-dropping-particle":"","parse-names":false,"suffix":""},{"dropping-particle":"","family":"Nieuwenhuijsen","given":"Mark","non-dropping-particle":"","parse-names":false,"suffix":""}],"container-title":"International Journal of Hygiene and Environmental Health","id":"ITEM-1","issue":"4-5","issued":{"date-parts":[["2016","7"]]},"page":"331-342","title":"Environmental pollutants and child health—A review of recent concerns","type":"article-journal","volume":"219"},"uris":["http://www.mendeley.com/documents/?uuid=f5b44362-52f2-4bdd-9a21-50140f7a7ed4"]}],"mendeley":{"formattedCitation":"&lt;sup&gt;[210]&lt;/sup&gt;","plainTextFormattedCitation":"[210]","previouslyFormattedCitation":"&lt;sup&gt;[209]&lt;/sup&gt;"},"properties":{"noteIndex":0},"schema":"https://github.com/citation-style-language/schema/raw/master/csl-citation.json"}</w:instrText>
      </w:r>
      <w:r w:rsidR="004F0FB2" w:rsidRPr="001F1399">
        <w:rPr>
          <w:rFonts w:ascii="Book Antiqua" w:hAnsi="Book Antiqua" w:cstheme="minorHAnsi"/>
          <w:lang w:val="en-US"/>
        </w:rPr>
        <w:fldChar w:fldCharType="separate"/>
      </w:r>
      <w:r w:rsidR="00B1214D" w:rsidRPr="001F1399">
        <w:rPr>
          <w:rFonts w:ascii="Book Antiqua" w:hAnsi="Book Antiqua" w:cstheme="minorBidi"/>
          <w:noProof/>
          <w:vertAlign w:val="superscript"/>
          <w:lang w:val="en-US"/>
        </w:rPr>
        <w:t>[210]</w:t>
      </w:r>
      <w:r w:rsidR="004F0FB2" w:rsidRPr="001F1399">
        <w:rPr>
          <w:rFonts w:ascii="Book Antiqua" w:hAnsi="Book Antiqua"/>
        </w:rPr>
        <w:fldChar w:fldCharType="end"/>
      </w:r>
      <w:r w:rsidR="004F0FB2" w:rsidRPr="001F1399">
        <w:rPr>
          <w:rFonts w:ascii="Book Antiqua" w:hAnsi="Book Antiqua" w:cstheme="minorBidi"/>
          <w:lang w:val="en-US"/>
        </w:rPr>
        <w:t xml:space="preserve">. </w:t>
      </w:r>
      <w:r w:rsidR="00C07BD7" w:rsidRPr="001F1399">
        <w:rPr>
          <w:rFonts w:ascii="Book Antiqua" w:hAnsi="Book Antiqua" w:cstheme="minorBidi"/>
          <w:lang w:val="en-US"/>
        </w:rPr>
        <w:t xml:space="preserve">Exposure to </w:t>
      </w:r>
      <w:r w:rsidR="00123A3E" w:rsidRPr="001F1399">
        <w:rPr>
          <w:rFonts w:ascii="Book Antiqua" w:hAnsi="Book Antiqua" w:cstheme="minorBidi"/>
          <w:lang w:val="en-US"/>
        </w:rPr>
        <w:t>mercury, cadmium and lead in early life can disrupt the development of the nervous sy</w:t>
      </w:r>
      <w:r w:rsidR="004A6407" w:rsidRPr="001F1399">
        <w:rPr>
          <w:rFonts w:ascii="Book Antiqua" w:hAnsi="Book Antiqua" w:cstheme="minorBidi"/>
          <w:lang w:val="en-US"/>
        </w:rPr>
        <w:t>s</w:t>
      </w:r>
      <w:r w:rsidR="00123A3E" w:rsidRPr="001F1399">
        <w:rPr>
          <w:rFonts w:ascii="Book Antiqua" w:hAnsi="Book Antiqua" w:cstheme="minorBidi"/>
          <w:lang w:val="en-US"/>
        </w:rPr>
        <w:t xml:space="preserve">tem and such exposure can affect the child’s cognitive, motor and behavioral </w:t>
      </w:r>
      <w:r w:rsidR="00123A3E" w:rsidRPr="001F1399">
        <w:rPr>
          <w:rFonts w:ascii="Book Antiqua" w:hAnsi="Book Antiqua" w:cstheme="minorBidi"/>
          <w:lang w:val="en-US"/>
        </w:rPr>
        <w:lastRenderedPageBreak/>
        <w:t>development</w:t>
      </w:r>
      <w:r w:rsidRPr="001F1399">
        <w:rPr>
          <w:rFonts w:ascii="Book Antiqua" w:hAnsi="Book Antiqua"/>
        </w:rPr>
        <w:fldChar w:fldCharType="begin" w:fldLock="1"/>
      </w:r>
      <w:r w:rsidR="00B1214D" w:rsidRPr="001F1399">
        <w:rPr>
          <w:rFonts w:ascii="Book Antiqua" w:hAnsi="Book Antiqua" w:cstheme="minorHAnsi"/>
          <w:lang w:val="en-US"/>
        </w:rPr>
        <w:instrText>ADDIN CSL_CITATION {"citationItems":[{"id":"ITEM-1","itemData":{"DOI":"10.1289/EHP5324","ISSN":"15529924","PMID":"31617753","abstract":"BACKGROUND: Pregnant women and children are especially vulnerable to exposures to food contaminants, and a balanced diet during these periods is critical for optimal nutritional status. OBJECTIVES: Our objective was to study the association between diet and measured blood and urinary levels of environmental contaminants in mother–child pairs from six European birth cohorts (n = 818 mothers and 1,288 children). METHODS: We assessed the consumption of seven food groups and the blood levels of organochlorine pesticides, polybrominated diphenyl ethers, polychlorinated biphenyls (PCBs), per-and polyfluoroalkyl substances (PFAS), and heavy metals and urinary levels of phthalate metabolites, phenolic compounds, and organophosphate pesticide (OP) metabolites. Organic food consumption during childhood was also studied. We applied multivariable linear regressions and targeted maximum likelihood based estimation (TMLE). RESULTS: Maternal high (≥4 times=week) versus low (&lt;2 times=week) fish consumption was associated with 15% higher PCBs [geometric mean (GM) ratio = 1:15; 95% confidence interval (CI): 1.02, 1.29], 42% higher perfluoroundecanoate (PFUnDA) (GM ratio = 1:42; 95% CI: 1.20, 1.68), 89% higher mercury (Hg) (GM ratio = 1:89; 95% CI: 1.47, 2.41) and a 487% increase in arsenic (As) (GM ratio = 4:87; 95% CI: 2.57, 9.23) levels. In children, high (≥3 times=week) versus low (&lt;1:5 times=week) fish consumption was associated with 23% higher perfluorononanoate (PFNA) (GM ratio = 1:23; 95% CI: 1.08, 1.40), 36% higher PFUnDA (GM ratio = 1:36; 95% CI: 1.12, 1.64), 37% higher perfluorooctane sulfonate (PFOS) (GM ratio = 1:37; 95% CI: 1.22, 1.54), and &gt;200% higher Hg and As [GM ratio = 3:87 (95% CI: 1.91, 4.31) and GM ratio = 2:68 (95% CI: 2.23, 3.21)] concentrations. Using TMLE analysis, we estimated that fish consumption within the recommended 2–3 times/week resulted in lower PFAS, Hg, and As compared with higher consumption. Fruit consumption was positively associated with OP metabolites. Organic food consumption was negatively associated with OP metabolites. DISCUSSION: Fish consumption is related to higher PFAS, Hg, and As exposures. In addition, fruit consumption is a source of exposure to OPs. https://doi.org/10.1289/EHP5324.","author":[{"dropping-particle":"","family":"Papadopoulou","given":"Eleni","non-dropping-particle":"","parse-names":false,"suffix":""},{"dropping-particle":"","family":"Haug","given":"Line Småstuen","non-dropping-particle":"","parse-names":false,"suffix":""},{"dropping-particle":"","family":"Sakhi","given":"Amrit Kaur","non-dropping-particle":"","parse-names":false,"suffix":""},{"dropping-particle":"","family":"Andrusaityte","given":"Sandra","non-dropping-particle":"","parse-names":false,"suffix":""},{"dropping-particle":"","family":"Basagaña","given":"Xavier","non-dropping-particle":"","parse-names":false,"suffix":""},{"dropping-particle":"","family":"Brantsaeter","given":"Anne Lise","non-dropping-particle":"","parse-names":false,"suffix":""},{"dropping-particle":"","family":"Casas","given":"Maribel","non-dropping-particle":"","parse-names":false,"suffix":""},{"dropping-particle":"","family":"Fernández-Barrés","given":"Sílvia","non-dropping-particle":"","parse-names":false,"suffix":""},{"dropping-particle":"","family":"Grazuleviciene","given":"Regina","non-dropping-particle":"","parse-names":false,"suffix":""},{"dropping-particle":"","family":"Knutsen","given":"Helle Katrine","non-dropping-particle":"","parse-names":false,"suffix":""},{"dropping-particle":"","family":"Maitre","given":"Lea","non-dropping-particle":"","parse-names":false,"suffix":""},{"dropping-particle":"","family":"Meltzer","given":"Helle Margrete","non-dropping-particle":"","parse-names":false,"suffix":""},{"dropping-particle":"","family":"McEachan","given":"Rosemary R.C.","non-dropping-particle":"","parse-names":false,"suffix":""},{"dropping-particle":"","family":"Roumeliotaki","given":"Theano","non-dropping-particle":"","parse-names":false,"suffix":""},{"dropping-particle":"","family":"Slama","given":"Remy","non-dropping-particle":"","parse-names":false,"suffix":""},{"dropping-particle":"","family":"Vafeiadi","given":"Marina","non-dropping-particle":"","parse-names":false,"suffix":""},{"dropping-particle":"","family":"Wright","given":"John","non-dropping-particle":"","parse-names":false,"suffix":""},{"dropping-particle":"","family":"Vrijheid","given":"Martine","non-dropping-particle":"","parse-names":false,"suffix":""},{"dropping-particle":"","family":"Thomsen","given":"Cathrine","non-dropping-particle":"","parse-names":false,"suffix":""},{"dropping-particle":"","family":"Chatzi","given":"Leda","non-dropping-particle":"","parse-names":false,"suffix":""}],"container-title":"Environmental Health Perspectives","id":"ITEM-1","issue":"10","issued":{"date-parts":[["2019"]]},"page":"1-13","title":"Diet as a source of exposure to environmental contaminants for pregnant women and children from Six European Countries","type":"article-journal","volume":"127"},"uris":["http://www.mendeley.com/documents/?uuid=493ceada-ba41-4a5e-a59f-884c7211405b"]}],"mendeley":{"formattedCitation":"&lt;sup&gt;[72]&lt;/sup&gt;","plainTextFormattedCitation":"[72]","previouslyFormattedCitation":"&lt;sup&gt;[71]&lt;/sup&gt;"},"properties":{"noteIndex":0},"schema":"https://github.com/citation-style-language/schema/raw/master/csl-citation.json"}</w:instrText>
      </w:r>
      <w:r w:rsidRPr="001F1399">
        <w:rPr>
          <w:rFonts w:ascii="Book Antiqua" w:hAnsi="Book Antiqua" w:cstheme="minorHAnsi"/>
          <w:lang w:val="en-US"/>
        </w:rPr>
        <w:fldChar w:fldCharType="separate"/>
      </w:r>
      <w:r w:rsidR="00B1214D" w:rsidRPr="001F1399">
        <w:rPr>
          <w:rFonts w:ascii="Book Antiqua" w:hAnsi="Book Antiqua" w:cstheme="minorBidi"/>
          <w:noProof/>
          <w:vertAlign w:val="superscript"/>
          <w:lang w:val="en-US"/>
        </w:rPr>
        <w:t>[72]</w:t>
      </w:r>
      <w:r w:rsidRPr="001F1399">
        <w:rPr>
          <w:rFonts w:ascii="Book Antiqua" w:hAnsi="Book Antiqua"/>
        </w:rPr>
        <w:fldChar w:fldCharType="end"/>
      </w:r>
      <w:r w:rsidR="00123A3E" w:rsidRPr="001F1399">
        <w:rPr>
          <w:rFonts w:ascii="Book Antiqua" w:hAnsi="Book Antiqua" w:cstheme="minorBidi"/>
          <w:lang w:val="en-US"/>
        </w:rPr>
        <w:t xml:space="preserve">. </w:t>
      </w:r>
      <w:r w:rsidR="0090555C" w:rsidRPr="001F1399">
        <w:rPr>
          <w:rFonts w:ascii="Book Antiqua" w:hAnsi="Book Antiqua" w:cstheme="minorBidi"/>
          <w:lang w:val="en-US"/>
        </w:rPr>
        <w:t xml:space="preserve">The main route of exposure to cadmium are inhalation then ingestion due to consumption of cereals and vegetables grown on contaminated soils. </w:t>
      </w:r>
    </w:p>
    <w:p w14:paraId="65410FBA" w14:textId="01CD1DE3" w:rsidR="004A6407" w:rsidRPr="001F1399" w:rsidRDefault="00123A3E" w:rsidP="002974FA">
      <w:pPr>
        <w:pStyle w:val="paragraph"/>
        <w:adjustRightInd w:val="0"/>
        <w:snapToGrid w:val="0"/>
        <w:spacing w:before="0" w:beforeAutospacing="0" w:after="0" w:afterAutospacing="0" w:line="360" w:lineRule="auto"/>
        <w:ind w:firstLineChars="100" w:firstLine="240"/>
        <w:jc w:val="both"/>
        <w:textAlignment w:val="baseline"/>
        <w:rPr>
          <w:rFonts w:ascii="Book Antiqua" w:hAnsi="Book Antiqua" w:cstheme="minorBidi"/>
          <w:lang w:val="en-US"/>
        </w:rPr>
      </w:pPr>
      <w:r w:rsidRPr="001F1399">
        <w:rPr>
          <w:rFonts w:ascii="Book Antiqua" w:hAnsi="Book Antiqua" w:cstheme="minorBidi"/>
          <w:lang w:val="en-US"/>
        </w:rPr>
        <w:t xml:space="preserve">On </w:t>
      </w:r>
      <w:r w:rsidR="1EFD163B" w:rsidRPr="001F1399">
        <w:rPr>
          <w:rFonts w:ascii="Book Antiqua" w:hAnsi="Book Antiqua" w:cstheme="minorBidi"/>
          <w:lang w:val="en-US"/>
        </w:rPr>
        <w:t xml:space="preserve">278 nine-year-old children, 21% had total toenail mercury concentrations (1.5 </w:t>
      </w:r>
      <w:r w:rsidR="0054357F" w:rsidRPr="001F1399">
        <w:rPr>
          <w:rFonts w:ascii="Book Antiqua" w:hAnsi="Book Antiqua" w:cstheme="minorBidi"/>
          <w:lang w:val="en-US"/>
        </w:rPr>
        <w:t>t</w:t>
      </w:r>
      <w:r w:rsidR="1EFD163B" w:rsidRPr="001F1399">
        <w:rPr>
          <w:rFonts w:ascii="Book Antiqua" w:hAnsi="Book Antiqua" w:cstheme="minorBidi"/>
          <w:lang w:val="en-US"/>
        </w:rPr>
        <w:t>o 6 μg</w:t>
      </w:r>
      <w:r w:rsidR="005A4D67" w:rsidRPr="001F1399">
        <w:rPr>
          <w:rFonts w:ascii="Book Antiqua" w:hAnsi="Book Antiqua" w:cstheme="minorBidi"/>
          <w:lang w:val="en-US"/>
        </w:rPr>
        <w:t>/</w:t>
      </w:r>
      <w:r w:rsidR="1EFD163B" w:rsidRPr="001F1399">
        <w:rPr>
          <w:rFonts w:ascii="Book Antiqua" w:hAnsi="Book Antiqua" w:cstheme="minorBidi"/>
          <w:lang w:val="en-US"/>
        </w:rPr>
        <w:t>g) higher than the United State Environmental Protection Agency recommended levels (1 μg</w:t>
      </w:r>
      <w:r w:rsidR="005A4D67" w:rsidRPr="001F1399">
        <w:rPr>
          <w:rFonts w:ascii="Book Antiqua" w:hAnsi="Book Antiqua" w:cstheme="minorBidi"/>
          <w:lang w:val="en-US"/>
        </w:rPr>
        <w:t>/g</w:t>
      </w:r>
      <w:r w:rsidR="1EFD163B" w:rsidRPr="001F1399">
        <w:rPr>
          <w:rFonts w:ascii="Book Antiqua" w:hAnsi="Book Antiqua" w:cstheme="minorBidi"/>
          <w:lang w:val="en-US"/>
        </w:rPr>
        <w:t xml:space="preserve"> Hg) for optimal health in children, associated with an </w:t>
      </w:r>
      <w:r w:rsidR="00061FC2" w:rsidRPr="001F1399">
        <w:rPr>
          <w:rFonts w:ascii="Book Antiqua" w:hAnsi="Book Antiqua" w:cstheme="minorBidi"/>
          <w:lang w:val="en-US"/>
        </w:rPr>
        <w:t xml:space="preserve">aggressive </w:t>
      </w:r>
      <w:r w:rsidR="1EFD163B" w:rsidRPr="001F1399">
        <w:rPr>
          <w:rFonts w:ascii="Book Antiqua" w:hAnsi="Book Antiqua" w:cstheme="minorBidi"/>
          <w:lang w:val="en-US"/>
        </w:rPr>
        <w:t>behavior</w:t>
      </w:r>
      <w:r w:rsidR="001F319C" w:rsidRPr="001F1399">
        <w:rPr>
          <w:rFonts w:ascii="Book Antiqua" w:hAnsi="Book Antiqua" w:cstheme="minorBidi"/>
          <w:lang w:val="en-US"/>
        </w:rPr>
        <w:fldChar w:fldCharType="begin" w:fldLock="1"/>
      </w:r>
      <w:r w:rsidR="00B1214D" w:rsidRPr="001F1399">
        <w:rPr>
          <w:rFonts w:ascii="Book Antiqua" w:hAnsi="Book Antiqua" w:cstheme="minorBidi"/>
          <w:lang w:val="en-US"/>
        </w:rPr>
        <w:instrText>ADDIN CSL_CITATION {"citationItems":[{"id":"ITEM-1","itemData":{"DOI":"10.1016/j.jtemb.2017.01.003","ISSN":"18783252","PMID":"28347455","abstract":"Objective Very little is known about the relationship between postnatal methylmercury concentrations (via toenails as bioindicator) and behavioural characteristics of Pacific Island children living in New Zealand. The aim of this study was to explore the association between total mercury exposure and different domains of behavioural problems in Pacific children. Materials and methods A sample of nine-year-old Pacific Island children resident in Auckland, New Zealand participated in this study. Total mercury was determined in biological samples (toenail clippings) on behavioural problems as identified by mothers (using the child behaviour checklist). Specific behavioural domains, particularly aggression, rule breaking, attention and social problems were studied in relation to mercury exposure using toenails. The determination of mercury concentration in toenail clippings, after acid digestion was carried out using inductively coupled plasma mass spectrometry. Results The observational study was conducted between July 2010 and July 2011 in which 278 eligible nine-year-old Pacific Island children were enrolled (Girls n = 58%; boys n = 42%). Findings showed that 21% of the children had total toenail mercury concentrations (1.5 μg/g to 6 μg/g) higher than the United State Environmental Protection Agency recommended levels (RfD; 1 μg/g Hg) for optimal health in children. Aggressive behaviour was associated with total toenail mercury exposure after adjusting for gender, ethnicity and income levels (OR: 2.15 95% CI 1.45, 3.18 p-value &lt;0.05; OR 1.38 95% CI 0.83, 1.2 p value &lt;0.05, respectively). Conclusions Overall, this research contributes to the understanding of total toenail mercury concentrations for Pacific people in New Zealand using toenail clippings as biomarkers in terms of associations with child behavioural problems. Mercury in toenails demonstrated a moderate association with a specific behavioural domain − aggressive behaviour.","author":[{"dropping-particle":"","family":"Karatela","given":"Shamshad","non-dropping-particle":"","parse-names":false,"suffix":""},{"dropping-particle":"","family":"Paterson","given":"Janis","non-dropping-particle":"","parse-names":false,"suffix":""},{"dropping-particle":"","family":"Ward","given":"Neil I.","non-dropping-particle":"","parse-names":false,"suffix":""}],"container-title":"Journal of Trace Elements in Medicine and Biology","id":"ITEM-1","issued":{"date-parts":[["2017","5","1"]]},"page":"10-15","publisher":"Elsevier GmbH","title":"Domain specific effects of postnatal toenail methylmercury exposure on child behaviour","type":"article-journal","volume":"41"},"uris":["http://www.mendeley.com/documents/?uuid=e9d9068a-8259-3354-bfc7-b90c903b402a"]}],"mendeley":{"formattedCitation":"&lt;sup&gt;[211]&lt;/sup&gt;","plainTextFormattedCitation":"[211]","previouslyFormattedCitation":"&lt;sup&gt;[210]&lt;/sup&gt;"},"properties":{"noteIndex":0},"schema":"https://github.com/citation-style-language/schema/raw/master/csl-citation.json"}</w:instrText>
      </w:r>
      <w:r w:rsidR="001F319C" w:rsidRPr="001F1399">
        <w:rPr>
          <w:rFonts w:ascii="Book Antiqua" w:hAnsi="Book Antiqua" w:cstheme="minorBidi"/>
          <w:lang w:val="en-US"/>
        </w:rPr>
        <w:fldChar w:fldCharType="separate"/>
      </w:r>
      <w:r w:rsidR="00B1214D" w:rsidRPr="001F1399">
        <w:rPr>
          <w:rFonts w:ascii="Book Antiqua" w:hAnsi="Book Antiqua" w:cstheme="minorBidi"/>
          <w:noProof/>
          <w:vertAlign w:val="superscript"/>
          <w:lang w:val="en-US"/>
        </w:rPr>
        <w:t>[211]</w:t>
      </w:r>
      <w:r w:rsidR="001F319C" w:rsidRPr="001F1399">
        <w:rPr>
          <w:rFonts w:ascii="Book Antiqua" w:hAnsi="Book Antiqua" w:cstheme="minorBidi"/>
          <w:lang w:val="en-US"/>
        </w:rPr>
        <w:fldChar w:fldCharType="end"/>
      </w:r>
      <w:r w:rsidR="1EFD163B" w:rsidRPr="001F1399">
        <w:rPr>
          <w:rFonts w:ascii="Book Antiqua" w:hAnsi="Book Antiqua" w:cstheme="minorBidi"/>
          <w:lang w:val="en-US"/>
        </w:rPr>
        <w:t>.</w:t>
      </w:r>
      <w:r w:rsidR="00061FC2" w:rsidRPr="001F1399">
        <w:rPr>
          <w:rFonts w:ascii="Book Antiqua" w:hAnsi="Book Antiqua" w:cstheme="minorBidi"/>
          <w:lang w:val="en-US"/>
        </w:rPr>
        <w:t xml:space="preserve"> </w:t>
      </w:r>
    </w:p>
    <w:p w14:paraId="26BC30EE" w14:textId="70A635A2" w:rsidR="00E006B9" w:rsidRPr="001F1399" w:rsidRDefault="00386A43" w:rsidP="002974FA">
      <w:pPr>
        <w:pStyle w:val="paragraph"/>
        <w:adjustRightInd w:val="0"/>
        <w:snapToGrid w:val="0"/>
        <w:spacing w:before="0" w:beforeAutospacing="0" w:after="0" w:afterAutospacing="0" w:line="360" w:lineRule="auto"/>
        <w:jc w:val="both"/>
        <w:textAlignment w:val="baseline"/>
        <w:rPr>
          <w:rFonts w:ascii="Book Antiqua" w:hAnsi="Book Antiqua" w:cstheme="minorBidi"/>
          <w:lang w:val="en-US"/>
        </w:rPr>
      </w:pPr>
      <w:r w:rsidRPr="001F1399">
        <w:rPr>
          <w:rFonts w:ascii="Book Antiqua" w:hAnsi="Book Antiqua" w:cstheme="minorBidi"/>
          <w:lang w:val="en-US"/>
        </w:rPr>
        <w:t>A decrease of</w:t>
      </w:r>
      <w:r w:rsidR="1EFD163B" w:rsidRPr="001F1399">
        <w:rPr>
          <w:rFonts w:ascii="Book Antiqua" w:hAnsi="Book Antiqua" w:cstheme="minorBidi"/>
          <w:lang w:val="en-US"/>
        </w:rPr>
        <w:t xml:space="preserve"> intelligence quotient at 1.5 and 5 years was associated with childhood </w:t>
      </w:r>
      <w:r w:rsidRPr="001F1399">
        <w:rPr>
          <w:rFonts w:ascii="Book Antiqua" w:hAnsi="Book Antiqua" w:cstheme="minorBidi"/>
          <w:lang w:val="en-US"/>
        </w:rPr>
        <w:t xml:space="preserve">duration and amount of </w:t>
      </w:r>
      <w:r w:rsidR="1EFD163B" w:rsidRPr="001F1399">
        <w:rPr>
          <w:rFonts w:ascii="Book Antiqua" w:hAnsi="Book Antiqua" w:cstheme="minorBidi"/>
          <w:lang w:val="en-US"/>
        </w:rPr>
        <w:t>arsenic exposure</w:t>
      </w:r>
      <w:r w:rsidR="001F319C" w:rsidRPr="001F1399">
        <w:rPr>
          <w:rFonts w:ascii="Book Antiqua" w:hAnsi="Book Antiqua"/>
        </w:rPr>
        <w:fldChar w:fldCharType="begin" w:fldLock="1"/>
      </w:r>
      <w:r w:rsidR="00B1214D" w:rsidRPr="001F1399">
        <w:rPr>
          <w:rFonts w:ascii="Book Antiqua" w:hAnsi="Book Antiqua" w:cstheme="minorBidi"/>
          <w:lang w:val="en-US"/>
        </w:rPr>
        <w:instrText>ADDIN CSL_CITATION {"citationItems":[{"id":"ITEM-1","itemData":{"DOI":"10.1093/ije/dyr176","ISSN":"0300-5771","PMID":"22158669","abstract":"Background: Exposure to arsenic through drinking water has been associated with impaired cognitive function in school-aged children in a few cross-sectional studies; however, there is little information on critical windows of exposure. Methods: We conducted a population-based longitudinal study in rural Bangladesh. We assessed the association of arsenic exposure, based on urinary arsenic (U-As; twice during pregnancy and twice in childhood), with the development of about 1700 children at 5 years of age using Wechsler Pre-school and Primary Scale of Intelligence [intelligence quotient (IQ)]. Results: Median maternal U-As in pregnancy was 80 μg/l (10-90 percentiles: 25-400 μg/l). Children's urine contained 35 (12-155) μg/l and 51 (20-238) μg/l at 1.5 and 5 years, respectively. Using multivariable-adjusted regression analyses, controlling for all potential confounders and loss to follow-up, we found that verbal IQ (VIQ) and full scale IQ (FSIQ) were negatively associated with (log) U-As in girls. The associations were consistent, but somewhat stronger with concurrent arsenic exposure [VIQ: B = -2.4, 95% confidence interval (CI) = -3.8 to -1.1; FSIQ: B = -1.4, 95% CI = -2.7 to -0.1, n = 817), compared with that at 1.5 years (VIQ: B = -0.85, 95% CI = -2.1 to 0.4; FSIQ: B = -0.74, 95% CI = -1.9 to 0.4, n = 902), late gestation (VIQ: B = -1.52, 95% CI = -2.6 to -0.4; FSIQ: B = -1.35, 95% CI = -2.4 to -0.3, n = 874) and early gestation (VIQ: B = -1.23, 95% CI = -2.4 to -0.06; FSIQ: B = -0.92, 95% CI = -2.0 to -0.2, n = 833). In boys, U-As showed consistently low and non-significant associations with all IQ measures. An effect size calculation indicated that 100 μg/l U-As was associated with a decrement of 1-3 points in both VIQ and FSIQ in girls. Conclusion: We found adverse effects of arsenic exposure on IQ in girls, but not boys, at 5 years of age. © The Author 2011; all rights reserved.","author":[{"dropping-particle":"","family":"Hamadani","given":"J.","non-dropping-particle":"","parse-names":false,"suffix":""},{"dropping-particle":"","family":"Tofail","given":"F.","non-dropping-particle":"","parse-names":false,"suffix":""},{"dropping-particle":"","family":"Nermell","given":"B.","non-dropping-particle":"","parse-names":false,"suffix":""},{"dropping-particle":"","family":"Gardner","given":"R.","non-dropping-particle":"","parse-names":false,"suffix":""},{"dropping-particle":"","family":"Shiraji","given":"S.","non-dropping-particle":"","parse-names":false,"suffix":""},{"dropping-particle":"","family":"Bottai","given":"M.","non-dropping-particle":"","parse-names":false,"suffix":""},{"dropping-particle":"","family":"Arifeen","given":"S.","non-dropping-particle":"","parse-names":false,"suffix":""},{"dropping-particle":"","family":"Huda","given":"S.","non-dropping-particle":"","parse-names":false,"suffix":""},{"dropping-particle":"","family":"Vahter","given":"M.","non-dropping-particle":"","parse-names":false,"suffix":""}],"container-title":"International Journal of Epidemiology","id":"ITEM-1","issue":"6","issued":{"date-parts":[["2011","12","1"]]},"page":"1593-1604","title":"Critical windows of exposure for arsenic-associated impairment of cognitive function in pre-school girls and boys: a population-based cohort study","type":"article-journal","volume":"40"},"uris":["http://www.mendeley.com/documents/?uuid=310d333a-a9cd-3c0e-8ea5-d32d8348910a"]}],"mendeley":{"formattedCitation":"&lt;sup&gt;[212]&lt;/sup&gt;","plainTextFormattedCitation":"[212]","previouslyFormattedCitation":"&lt;sup&gt;[211]&lt;/sup&gt;"},"properties":{"noteIndex":0},"schema":"https://github.com/citation-style-language/schema/raw/master/csl-citation.json"}</w:instrText>
      </w:r>
      <w:r w:rsidR="001F319C" w:rsidRPr="001F1399">
        <w:rPr>
          <w:rFonts w:ascii="Book Antiqua" w:hAnsi="Book Antiqua" w:cstheme="minorBidi"/>
          <w:lang w:val="en-US"/>
        </w:rPr>
        <w:fldChar w:fldCharType="separate"/>
      </w:r>
      <w:r w:rsidR="00B1214D" w:rsidRPr="001F1399">
        <w:rPr>
          <w:rFonts w:ascii="Book Antiqua" w:hAnsi="Book Antiqua" w:cstheme="minorBidi"/>
          <w:noProof/>
          <w:vertAlign w:val="superscript"/>
          <w:lang w:val="en-US"/>
        </w:rPr>
        <w:t>[212]</w:t>
      </w:r>
      <w:r w:rsidR="001F319C" w:rsidRPr="001F1399">
        <w:rPr>
          <w:rFonts w:ascii="Book Antiqua" w:hAnsi="Book Antiqua"/>
        </w:rPr>
        <w:fldChar w:fldCharType="end"/>
      </w:r>
      <w:r w:rsidR="001F319C" w:rsidRPr="001F1399">
        <w:rPr>
          <w:rFonts w:ascii="Book Antiqua" w:hAnsi="Book Antiqua" w:cstheme="minorBidi"/>
          <w:lang w:val="en-US"/>
        </w:rPr>
        <w:t xml:space="preserve">. </w:t>
      </w:r>
      <w:r w:rsidR="000A02E6" w:rsidRPr="001F1399">
        <w:rPr>
          <w:rFonts w:ascii="Book Antiqua" w:hAnsi="Book Antiqua" w:cstheme="minorBidi"/>
          <w:lang w:val="en-US"/>
        </w:rPr>
        <w:t>From other studies, it was established in mice that gut microbiota could metabolize arsenic intro potent toxic metabolites</w:t>
      </w:r>
      <w:r w:rsidR="002B3F7E" w:rsidRPr="001F1399">
        <w:rPr>
          <w:rFonts w:ascii="Book Antiqua" w:hAnsi="Book Antiqua" w:cstheme="minorBidi"/>
          <w:lang w:val="en-US"/>
        </w:rPr>
        <w:fldChar w:fldCharType="begin" w:fldLock="1"/>
      </w:r>
      <w:r w:rsidR="00B1214D" w:rsidRPr="001F1399">
        <w:rPr>
          <w:rFonts w:ascii="Book Antiqua" w:hAnsi="Book Antiqua" w:cstheme="minorBidi"/>
          <w:lang w:val="en-US"/>
        </w:rPr>
        <w:instrText>ADDIN CSL_CITATION {"citationItems":[{"id":"ITEM-1","itemData":{"DOI":"10.1021/tx200040w","ISSN":"0893-228X","PMID":"21388151","author":[{"dropping-particle":"","family":"Pinyayev","given":"Tatyana S.","non-dropping-particle":"","parse-names":false,"suffix":""},{"dropping-particle":"","family":"Kohan","given":"Michael J.","non-dropping-particle":"","parse-names":false,"suffix":""},{"dropping-particle":"","family":"Herbin-Davis","given":"Karen","non-dropping-particle":"","parse-names":false,"suffix":""},{"dropping-particle":"","family":"Creed","given":"John T.","non-dropping-particle":"","parse-names":false,"suffix":""},{"dropping-particle":"","family":"Thomas","given":"David J.","non-dropping-particle":"","parse-names":false,"suffix":""}],"container-title":"Chemical Research in Toxicology","id":"ITEM-1","issue":"4","issued":{"date-parts":[["2011","4","18"]]},"page":"475-477","title":"Preabsorptive Metabolism of Sodium Arsenate by Anaerobic Microbiota of Mouse Cecum Forms a Variety of Methylated and Thiolated Arsenicals","type":"article-journal","volume":"24"},"uris":["http://www.mendeley.com/documents/?uuid=7b096e90-a4b3-44b1-a567-4312ad4e26fb"]}],"mendeley":{"formattedCitation":"&lt;sup&gt;[213]&lt;/sup&gt;","plainTextFormattedCitation":"[213]","previouslyFormattedCitation":"&lt;sup&gt;[212]&lt;/sup&gt;"},"properties":{"noteIndex":0},"schema":"https://github.com/citation-style-language/schema/raw/master/csl-citation.json"}</w:instrText>
      </w:r>
      <w:r w:rsidR="002B3F7E" w:rsidRPr="001F1399">
        <w:rPr>
          <w:rFonts w:ascii="Book Antiqua" w:hAnsi="Book Antiqua" w:cstheme="minorBidi"/>
          <w:lang w:val="en-US"/>
        </w:rPr>
        <w:fldChar w:fldCharType="separate"/>
      </w:r>
      <w:r w:rsidR="00B1214D" w:rsidRPr="001F1399">
        <w:rPr>
          <w:rFonts w:ascii="Book Antiqua" w:hAnsi="Book Antiqua" w:cstheme="minorBidi"/>
          <w:noProof/>
          <w:vertAlign w:val="superscript"/>
          <w:lang w:val="en-US"/>
        </w:rPr>
        <w:t>[213]</w:t>
      </w:r>
      <w:r w:rsidR="002B3F7E" w:rsidRPr="001F1399">
        <w:rPr>
          <w:rFonts w:ascii="Book Antiqua" w:hAnsi="Book Antiqua" w:cstheme="minorBidi"/>
          <w:lang w:val="en-US"/>
        </w:rPr>
        <w:fldChar w:fldCharType="end"/>
      </w:r>
      <w:r w:rsidR="000A02E6" w:rsidRPr="001F1399">
        <w:rPr>
          <w:rFonts w:ascii="Book Antiqua" w:hAnsi="Book Antiqua" w:cstheme="minorBidi"/>
          <w:lang w:val="en-US"/>
        </w:rPr>
        <w:t xml:space="preserve"> </w:t>
      </w:r>
      <w:r w:rsidR="002B3F7E" w:rsidRPr="001F1399">
        <w:rPr>
          <w:rFonts w:ascii="Book Antiqua" w:hAnsi="Book Antiqua" w:cstheme="minorBidi"/>
          <w:lang w:val="en-US"/>
        </w:rPr>
        <w:t>that will interfere with neuronal signaling, limit brain weight but also neurons and glia number</w:t>
      </w:r>
      <w:r w:rsidR="002B3F7E" w:rsidRPr="001F1399">
        <w:rPr>
          <w:rFonts w:ascii="Book Antiqua" w:hAnsi="Book Antiqua" w:cstheme="minorBidi"/>
          <w:lang w:val="en-US"/>
        </w:rPr>
        <w:fldChar w:fldCharType="begin" w:fldLock="1"/>
      </w:r>
      <w:r w:rsidR="00B1214D" w:rsidRPr="001F1399">
        <w:rPr>
          <w:rFonts w:ascii="Book Antiqua" w:hAnsi="Book Antiqua" w:cstheme="minorBidi"/>
          <w:lang w:val="en-US"/>
        </w:rPr>
        <w:instrText>ADDIN CSL_CITATION {"citationItems":[{"id":"ITEM-1","itemData":{"DOI":"10.1016/j.aogh.2014.09.005","ISSN":"22149996","PMID":"25459332","abstract":"Background More than 200 million people worldwide are chronically exposed to arsenic. Arsenic is a known human carcinogen, and its carcinogenic and systemic toxicity have been extensively studied. By contrast, the developmental neurotoxicity of arsenic has been less well described. The aim of this review was to provide a comprehensive review of the developmental neurotoxicity of arsenic. Methods We reviewed the published epidemiological and toxicological literature on the developmental neurotoxicity of arsenic. Results Arsenic is able to gain access to the developing brain and cause neurotoxic effects. Animal models link prenatal and early postnatal exposure to reduction in brain weight, reductions in numbers of glia and neurons, and alterations in neurotransmitter systems. Animal and in vitro studies both suggest that oxidative stress may be a mechanism of arsenic neurotoxicity. Fifteen epidemiological studies indicate that early life exposure is associated with deficits in intelligence and memory. These effects may occur at levels of exposure below current safety guidelines, and some neurocognitive consequences may become manifest only later in life. Sex, concomitant exposures, and timing of exposure appear to modify the developmental neurotoxicity of arsenic. Four epidemiological studies failed to show behavioral outcomes of arsenic exposure. Conclusions The published literature indicates that arsenic is a human developmental neurotoxicant. Ongoing and future prospective birth cohort studies will allow more precise definition of the developmental consequences of arsenic exposure in early life.","author":[{"dropping-particle":"","family":"Tolins","given":"Molly","non-dropping-particle":"","parse-names":false,"suffix":""},{"dropping-particle":"","family":"Ruchirawat","given":"Mathuros","non-dropping-particle":"","parse-names":false,"suffix":""},{"dropping-particle":"","family":"Landrigan","given":"Philip","non-dropping-particle":"","parse-names":false,"suffix":""}],"container-title":"Annals of Global Health","id":"ITEM-1","issue":"4","issued":{"date-parts":[["2014"]]},"page":"303-314","title":"The developmental neurotoxicity of arsenic: Cognitive and behavioral consequences of early life exposure","type":"article-journal","volume":"80"},"uris":["http://www.mendeley.com/documents/?uuid=4e434191-3ac6-4189-8f60-fa208e201e27"]}],"mendeley":{"formattedCitation":"&lt;sup&gt;[214]&lt;/sup&gt;","plainTextFormattedCitation":"[214]","previouslyFormattedCitation":"&lt;sup&gt;[213]&lt;/sup&gt;"},"properties":{"noteIndex":0},"schema":"https://github.com/citation-style-language/schema/raw/master/csl-citation.json"}</w:instrText>
      </w:r>
      <w:r w:rsidR="002B3F7E" w:rsidRPr="001F1399">
        <w:rPr>
          <w:rFonts w:ascii="Book Antiqua" w:hAnsi="Book Antiqua" w:cstheme="minorBidi"/>
          <w:lang w:val="en-US"/>
        </w:rPr>
        <w:fldChar w:fldCharType="separate"/>
      </w:r>
      <w:r w:rsidR="00B1214D" w:rsidRPr="001F1399">
        <w:rPr>
          <w:rFonts w:ascii="Book Antiqua" w:hAnsi="Book Antiqua" w:cstheme="minorBidi"/>
          <w:noProof/>
          <w:vertAlign w:val="superscript"/>
          <w:lang w:val="en-US"/>
        </w:rPr>
        <w:t>[214]</w:t>
      </w:r>
      <w:r w:rsidR="002B3F7E" w:rsidRPr="001F1399">
        <w:rPr>
          <w:rFonts w:ascii="Book Antiqua" w:hAnsi="Book Antiqua" w:cstheme="minorBidi"/>
          <w:lang w:val="en-US"/>
        </w:rPr>
        <w:fldChar w:fldCharType="end"/>
      </w:r>
      <w:r w:rsidR="002B3F7E" w:rsidRPr="001F1399">
        <w:rPr>
          <w:rFonts w:ascii="Book Antiqua" w:hAnsi="Book Antiqua" w:cstheme="minorBidi"/>
          <w:lang w:val="en-US"/>
        </w:rPr>
        <w:t>.</w:t>
      </w:r>
      <w:r w:rsidR="6F5491B9" w:rsidRPr="001F1399">
        <w:rPr>
          <w:rFonts w:ascii="Book Antiqua" w:hAnsi="Book Antiqua" w:cstheme="minorBidi"/>
          <w:lang w:val="en-US"/>
        </w:rPr>
        <w:t xml:space="preserve"> </w:t>
      </w:r>
    </w:p>
    <w:p w14:paraId="52F46805" w14:textId="77777777" w:rsidR="009A447B" w:rsidRPr="001F1399" w:rsidRDefault="009A447B" w:rsidP="002974FA">
      <w:pPr>
        <w:pStyle w:val="paragraph"/>
        <w:adjustRightInd w:val="0"/>
        <w:snapToGrid w:val="0"/>
        <w:spacing w:before="0" w:beforeAutospacing="0" w:after="0" w:afterAutospacing="0" w:line="360" w:lineRule="auto"/>
        <w:jc w:val="both"/>
        <w:textAlignment w:val="baseline"/>
        <w:rPr>
          <w:rFonts w:ascii="Book Antiqua" w:hAnsi="Book Antiqua" w:cstheme="minorBidi"/>
          <w:lang w:val="en-US"/>
        </w:rPr>
      </w:pPr>
    </w:p>
    <w:p w14:paraId="68D292A5" w14:textId="33E501CA" w:rsidR="00CD4A5A" w:rsidRPr="001F1399" w:rsidRDefault="00546FDD" w:rsidP="002974FA">
      <w:pPr>
        <w:pStyle w:val="paragraph"/>
        <w:adjustRightInd w:val="0"/>
        <w:snapToGrid w:val="0"/>
        <w:spacing w:before="0" w:beforeAutospacing="0" w:after="0" w:afterAutospacing="0" w:line="360" w:lineRule="auto"/>
        <w:jc w:val="both"/>
        <w:textAlignment w:val="baseline"/>
        <w:rPr>
          <w:rFonts w:ascii="Book Antiqua" w:hAnsi="Book Antiqua" w:cs="Segoe UI"/>
          <w:b/>
          <w:i/>
          <w:lang w:val="en-US"/>
        </w:rPr>
      </w:pPr>
      <w:r w:rsidRPr="001F1399">
        <w:rPr>
          <w:rStyle w:val="normaltextrun"/>
          <w:rFonts w:ascii="Book Antiqua" w:hAnsi="Book Antiqua" w:cs="Calibri"/>
          <w:b/>
          <w:i/>
          <w:lang w:val="en-US"/>
        </w:rPr>
        <w:t xml:space="preserve">Postnatal exposure to </w:t>
      </w:r>
      <w:r w:rsidR="004E440A" w:rsidRPr="001F1399">
        <w:rPr>
          <w:rStyle w:val="normaltextrun"/>
          <w:rFonts w:ascii="Book Antiqua" w:hAnsi="Book Antiqua" w:cs="Calibri"/>
          <w:b/>
          <w:i/>
          <w:lang w:val="en-US"/>
        </w:rPr>
        <w:t>MRPs</w:t>
      </w:r>
    </w:p>
    <w:p w14:paraId="78691FD6" w14:textId="0C2AD148" w:rsidR="002F11FD" w:rsidRPr="001F1399" w:rsidRDefault="004E440A" w:rsidP="002974FA">
      <w:pPr>
        <w:pStyle w:val="paragraph"/>
        <w:adjustRightInd w:val="0"/>
        <w:snapToGrid w:val="0"/>
        <w:spacing w:before="0" w:beforeAutospacing="0" w:after="0" w:afterAutospacing="0" w:line="360" w:lineRule="auto"/>
        <w:jc w:val="both"/>
        <w:textAlignment w:val="baseline"/>
        <w:rPr>
          <w:rStyle w:val="eop"/>
          <w:rFonts w:ascii="Book Antiqua" w:hAnsi="Book Antiqua" w:cs="Calibri"/>
          <w:lang w:val="en-US"/>
        </w:rPr>
      </w:pPr>
      <w:r w:rsidRPr="001F1399">
        <w:rPr>
          <w:rStyle w:val="eop"/>
          <w:rFonts w:ascii="Book Antiqua" w:hAnsi="Book Antiqua" w:cs="Calibri"/>
          <w:lang w:val="en-US"/>
        </w:rPr>
        <w:t xml:space="preserve">Depending on length and temperature of food heating, the amount, type and diversity of MRPs may significantly change. </w:t>
      </w:r>
      <w:r w:rsidR="002F11FD" w:rsidRPr="001F1399">
        <w:rPr>
          <w:rStyle w:val="eop"/>
          <w:rFonts w:ascii="Book Antiqua" w:hAnsi="Book Antiqua" w:cs="Calibri"/>
          <w:lang w:val="en-US"/>
        </w:rPr>
        <w:t>No direct evidence of MRPs incidence on the brain gut</w:t>
      </w:r>
      <w:r w:rsidR="008B2C3D" w:rsidRPr="001F1399">
        <w:rPr>
          <w:rStyle w:val="eop"/>
          <w:rFonts w:ascii="Book Antiqua" w:hAnsi="Book Antiqua" w:cs="Calibri"/>
          <w:lang w:val="en-US"/>
        </w:rPr>
        <w:t xml:space="preserve"> microbiota axis development has been described so far</w:t>
      </w:r>
      <w:r w:rsidRPr="001F1399">
        <w:rPr>
          <w:rStyle w:val="eop"/>
          <w:rFonts w:ascii="Book Antiqua" w:hAnsi="Book Antiqua" w:cs="Calibri"/>
          <w:lang w:val="en-US"/>
        </w:rPr>
        <w:t xml:space="preserve"> although most of AGEs are absorbed through the gut</w:t>
      </w:r>
      <w:r w:rsidRPr="001F1399">
        <w:rPr>
          <w:rStyle w:val="eop"/>
          <w:rFonts w:ascii="Book Antiqua" w:hAnsi="Book Antiqua" w:cs="Calibri"/>
          <w:lang w:val="en-US"/>
        </w:rPr>
        <w:fldChar w:fldCharType="begin" w:fldLock="1"/>
      </w:r>
      <w:r w:rsidR="00B1214D" w:rsidRPr="001F1399">
        <w:rPr>
          <w:rStyle w:val="eop"/>
          <w:rFonts w:ascii="Book Antiqua" w:hAnsi="Book Antiqua" w:cs="Calibri"/>
          <w:lang w:val="en-US"/>
        </w:rPr>
        <w:instrText>ADDIN CSL_CITATION {"citationItems":[{"id":"ITEM-1","itemData":{"DOI":"10.1196/annals.1333.001","ISSN":"0077-8923","PMID":"16037216","abstract":"Maillard's paper of 1912 describing the reaction between amino acids and sugars is both innovative and visionary. It provides original and still-valuable data on the chemistry of a new reaction and foresees its involvement in many scientific and biological domains, even in human pathology. This paper was ignored by the scientific community until 1941. In 1948 the Maillard reaction was definitely recognized as being responsible for the browning and loss of nutritive value of heated milk powders. There was then a continuous increase in papers on the chemistry of this complex reaction to identify its various pathways: in food science, to evaluate the influence of reaction parameters (pH, T degrees , time, sugar reactivity, concentration of the reagents, water activity, glass transition temperature) on the evolution of the reaction and on changes in food quality; in nutrition, to quantify the loss of bioavailability of essential amino acids; on the metabolism of the reaction products and on the physiological effects of the ingested Maillard reaction products. The significant scientific advances and the key persons and pioneers who contributed much to the understanding of the Maillard reaction are presented. The food industry is directly concerned with the occurrence of this reaction in processed foods and contributed significantly by its own research to understanding the phenomena and to optimizing the processes and conditions of food preparation in order to preserve the nutritional, safety, and organoleptic qualities of foods.","author":[{"dropping-particle":"","family":"Finot","given":"Paul-André","non-dropping-particle":"","parse-names":false,"suffix":""}],"container-title":"Annals of the New York Academy of Sciences","id":"ITEM-1","issued":{"date-parts":[["2005","6"]]},"page":"1-8","title":"Historical perspective of the Maillard reaction in food science.","type":"article-journal","volume":"1043"},"uris":["http://www.mendeley.com/documents/?uuid=c0adfe5a-3d67-4f58-9cad-1d130924f0e2","http://www.mendeley.com/documents/?uuid=dca405c1-1337-42bf-83de-6823ebfc550f"]}],"mendeley":{"formattedCitation":"&lt;sup&gt;[215]&lt;/sup&gt;","plainTextFormattedCitation":"[215]","previouslyFormattedCitation":"&lt;sup&gt;[214]&lt;/sup&gt;"},"properties":{"noteIndex":0},"schema":"https://github.com/citation-style-language/schema/raw/master/csl-citation.json"}</w:instrText>
      </w:r>
      <w:r w:rsidRPr="001F1399">
        <w:rPr>
          <w:rStyle w:val="eop"/>
          <w:rFonts w:ascii="Book Antiqua" w:hAnsi="Book Antiqua" w:cs="Calibri"/>
          <w:lang w:val="en-US"/>
        </w:rPr>
        <w:fldChar w:fldCharType="separate"/>
      </w:r>
      <w:r w:rsidR="00B1214D" w:rsidRPr="001F1399">
        <w:rPr>
          <w:rStyle w:val="eop"/>
          <w:rFonts w:ascii="Book Antiqua" w:hAnsi="Book Antiqua" w:cs="Calibri"/>
          <w:noProof/>
          <w:vertAlign w:val="superscript"/>
          <w:lang w:val="en-US"/>
        </w:rPr>
        <w:t>[215]</w:t>
      </w:r>
      <w:r w:rsidRPr="001F1399">
        <w:rPr>
          <w:rStyle w:val="eop"/>
          <w:rFonts w:ascii="Book Antiqua" w:hAnsi="Book Antiqua" w:cs="Calibri"/>
          <w:lang w:val="en-US"/>
        </w:rPr>
        <w:fldChar w:fldCharType="end"/>
      </w:r>
      <w:r w:rsidR="008B2C3D" w:rsidRPr="001F1399">
        <w:rPr>
          <w:rStyle w:val="eop"/>
          <w:rFonts w:ascii="Book Antiqua" w:hAnsi="Book Antiqua" w:cs="Calibri"/>
          <w:lang w:val="en-US"/>
        </w:rPr>
        <w:t>. Ho</w:t>
      </w:r>
      <w:r w:rsidRPr="001F1399">
        <w:rPr>
          <w:rStyle w:val="eop"/>
          <w:rFonts w:ascii="Book Antiqua" w:hAnsi="Book Antiqua" w:cs="Calibri"/>
          <w:lang w:val="en-US"/>
        </w:rPr>
        <w:t>w</w:t>
      </w:r>
      <w:r w:rsidR="008B2C3D" w:rsidRPr="001F1399">
        <w:rPr>
          <w:rStyle w:val="eop"/>
          <w:rFonts w:ascii="Book Antiqua" w:hAnsi="Book Antiqua" w:cs="Calibri"/>
          <w:lang w:val="en-US"/>
        </w:rPr>
        <w:t xml:space="preserve">ever, </w:t>
      </w:r>
      <w:r w:rsidRPr="001F1399">
        <w:rPr>
          <w:rStyle w:val="eop"/>
          <w:rFonts w:ascii="Book Antiqua" w:hAnsi="Book Antiqua" w:cs="Calibri"/>
          <w:lang w:val="en-US"/>
        </w:rPr>
        <w:t xml:space="preserve">there are a couple of evidences confirming the activation of an immune response in </w:t>
      </w:r>
      <w:r w:rsidR="00412C4A" w:rsidRPr="001F1399">
        <w:rPr>
          <w:rStyle w:val="eop"/>
          <w:rFonts w:ascii="Book Antiqua" w:hAnsi="Book Antiqua" w:cs="Calibri"/>
          <w:lang w:val="en-US"/>
        </w:rPr>
        <w:t xml:space="preserve">the </w:t>
      </w:r>
      <w:r w:rsidRPr="001F1399">
        <w:rPr>
          <w:rStyle w:val="eop"/>
          <w:rFonts w:ascii="Book Antiqua" w:hAnsi="Book Antiqua" w:cs="Calibri"/>
          <w:lang w:val="en-US"/>
        </w:rPr>
        <w:t xml:space="preserve">presence of MRPs </w:t>
      </w:r>
      <w:r w:rsidR="00863EF1" w:rsidRPr="001F1399">
        <w:rPr>
          <w:rStyle w:val="eop"/>
          <w:rFonts w:ascii="Book Antiqua" w:hAnsi="Book Antiqua" w:cs="Calibri"/>
          <w:lang w:val="en-US"/>
        </w:rPr>
        <w:t xml:space="preserve">probably </w:t>
      </w:r>
      <w:r w:rsidRPr="001F1399">
        <w:rPr>
          <w:rStyle w:val="eop"/>
          <w:rFonts w:ascii="Book Antiqua" w:hAnsi="Book Antiqua" w:cs="Calibri"/>
          <w:lang w:val="en-US"/>
        </w:rPr>
        <w:t xml:space="preserve">due to the fixation of </w:t>
      </w:r>
      <w:r w:rsidR="00342FD2" w:rsidRPr="001F1399">
        <w:rPr>
          <w:rStyle w:val="eop"/>
          <w:rFonts w:ascii="Book Antiqua" w:hAnsi="Book Antiqua" w:cs="Calibri"/>
          <w:lang w:val="en-US"/>
        </w:rPr>
        <w:t xml:space="preserve">these molecules </w:t>
      </w:r>
      <w:r w:rsidR="00412C4A" w:rsidRPr="001F1399">
        <w:rPr>
          <w:rStyle w:val="eop"/>
          <w:rFonts w:ascii="Book Antiqua" w:hAnsi="Book Antiqua" w:cs="Calibri"/>
          <w:lang w:val="en-US"/>
        </w:rPr>
        <w:t xml:space="preserve">on </w:t>
      </w:r>
      <w:r w:rsidRPr="001F1399">
        <w:rPr>
          <w:rStyle w:val="eop"/>
          <w:rFonts w:ascii="Book Antiqua" w:hAnsi="Book Antiqua" w:cs="Calibri"/>
          <w:lang w:val="en-US"/>
        </w:rPr>
        <w:t xml:space="preserve">RAGE and </w:t>
      </w:r>
      <w:r w:rsidR="00342FD2" w:rsidRPr="001F1399">
        <w:rPr>
          <w:rStyle w:val="eop"/>
          <w:rFonts w:ascii="Book Antiqua" w:hAnsi="Book Antiqua" w:cs="Calibri"/>
          <w:lang w:val="en-US"/>
        </w:rPr>
        <w:t>its</w:t>
      </w:r>
      <w:r w:rsidRPr="001F1399">
        <w:rPr>
          <w:rStyle w:val="eop"/>
          <w:rFonts w:ascii="Book Antiqua" w:hAnsi="Book Antiqua" w:cs="Calibri"/>
          <w:lang w:val="en-US"/>
        </w:rPr>
        <w:t xml:space="preserve"> subsequent activation of </w:t>
      </w:r>
      <w:r w:rsidR="00342FD2" w:rsidRPr="001F1399">
        <w:rPr>
          <w:rStyle w:val="eop"/>
          <w:rFonts w:ascii="Book Antiqua" w:hAnsi="Book Antiqua" w:cs="Calibri"/>
          <w:lang w:val="en-US"/>
        </w:rPr>
        <w:t xml:space="preserve">the </w:t>
      </w:r>
      <w:r w:rsidRPr="001F1399">
        <w:rPr>
          <w:rStyle w:val="eop"/>
          <w:rFonts w:ascii="Book Antiqua" w:hAnsi="Book Antiqua" w:cs="Calibri"/>
          <w:lang w:val="en-US"/>
        </w:rPr>
        <w:t>NF-</w:t>
      </w:r>
      <w:r w:rsidR="002D7306" w:rsidRPr="001F1399">
        <w:rPr>
          <w:rStyle w:val="eop"/>
          <w:rFonts w:ascii="Book Antiqua" w:hAnsi="Book Antiqua" w:cs="Calibri"/>
          <w:lang w:val="en-US"/>
        </w:rPr>
        <w:t>κ</w:t>
      </w:r>
      <w:r w:rsidRPr="001F1399">
        <w:rPr>
          <w:rStyle w:val="eop"/>
          <w:rFonts w:ascii="Book Antiqua" w:hAnsi="Book Antiqua" w:cs="Calibri"/>
          <w:lang w:val="en-US"/>
        </w:rPr>
        <w:t xml:space="preserve">B pathway </w:t>
      </w:r>
      <w:r w:rsidR="00342FD2" w:rsidRPr="001F1399">
        <w:rPr>
          <w:rStyle w:val="eop"/>
          <w:rFonts w:ascii="Book Antiqua" w:hAnsi="Book Antiqua" w:cs="Calibri"/>
          <w:lang w:val="en-US"/>
        </w:rPr>
        <w:t>leading to the</w:t>
      </w:r>
      <w:r w:rsidRPr="001F1399">
        <w:rPr>
          <w:rStyle w:val="eop"/>
          <w:rFonts w:ascii="Book Antiqua" w:hAnsi="Book Antiqua" w:cs="Calibri"/>
          <w:lang w:val="en-US"/>
        </w:rPr>
        <w:t xml:space="preserve"> release of pro-inflammatory cytokines </w:t>
      </w:r>
      <w:r w:rsidR="00342FD2" w:rsidRPr="001F1399">
        <w:rPr>
          <w:rStyle w:val="eop"/>
          <w:rFonts w:ascii="Book Antiqua" w:hAnsi="Book Antiqua" w:cs="Calibri"/>
          <w:lang w:val="en-US"/>
        </w:rPr>
        <w:t xml:space="preserve">such as </w:t>
      </w:r>
      <w:r w:rsidRPr="001F1399">
        <w:rPr>
          <w:rStyle w:val="eop"/>
          <w:rFonts w:ascii="Book Antiqua" w:hAnsi="Book Antiqua" w:cs="Calibri"/>
          <w:lang w:val="en-US"/>
        </w:rPr>
        <w:t>TNF</w:t>
      </w:r>
      <w:r w:rsidR="002D7306" w:rsidRPr="001F1399">
        <w:rPr>
          <w:rStyle w:val="eop"/>
          <w:rFonts w:ascii="Book Antiqua" w:hAnsi="Book Antiqua" w:cs="Calibri"/>
          <w:lang w:val="en-US"/>
        </w:rPr>
        <w:t>α</w:t>
      </w:r>
      <w:r w:rsidRPr="001F1399">
        <w:rPr>
          <w:rStyle w:val="eop"/>
          <w:rFonts w:ascii="Book Antiqua" w:hAnsi="Book Antiqua" w:cs="Calibri"/>
          <w:lang w:val="en-US"/>
        </w:rPr>
        <w:t>, IL-6 or IL-1</w:t>
      </w:r>
      <w:r w:rsidR="00322E8A" w:rsidRPr="001F1399">
        <w:rPr>
          <w:rFonts w:ascii="Book Antiqua" w:hAnsi="Book Antiqua" w:cs="Calibri"/>
          <w:lang w:val="en-US"/>
        </w:rPr>
        <w:t>β</w:t>
      </w:r>
      <w:r w:rsidRPr="001F1399">
        <w:rPr>
          <w:rStyle w:val="eop"/>
          <w:rFonts w:ascii="Book Antiqua" w:hAnsi="Book Antiqua" w:cs="Calibri"/>
          <w:lang w:val="en-US"/>
        </w:rPr>
        <w:t xml:space="preserve"> and </w:t>
      </w:r>
      <w:r w:rsidR="00342FD2" w:rsidRPr="001F1399">
        <w:rPr>
          <w:rStyle w:val="eop"/>
          <w:rFonts w:ascii="Book Antiqua" w:hAnsi="Book Antiqua" w:cs="Calibri"/>
          <w:lang w:val="en-US"/>
        </w:rPr>
        <w:t>the</w:t>
      </w:r>
      <w:r w:rsidRPr="001F1399">
        <w:rPr>
          <w:rStyle w:val="eop"/>
          <w:rFonts w:ascii="Book Antiqua" w:hAnsi="Book Antiqua" w:cs="Calibri"/>
          <w:lang w:val="en-US"/>
        </w:rPr>
        <w:t xml:space="preserve"> increase </w:t>
      </w:r>
      <w:r w:rsidR="00342FD2" w:rsidRPr="001F1399">
        <w:rPr>
          <w:rStyle w:val="eop"/>
          <w:rFonts w:ascii="Book Antiqua" w:hAnsi="Book Antiqua" w:cs="Calibri"/>
          <w:lang w:val="en-US"/>
        </w:rPr>
        <w:t>of tissue</w:t>
      </w:r>
      <w:r w:rsidRPr="001F1399">
        <w:rPr>
          <w:rStyle w:val="eop"/>
          <w:rFonts w:ascii="Book Antiqua" w:hAnsi="Book Antiqua" w:cs="Calibri"/>
          <w:lang w:val="en-US"/>
        </w:rPr>
        <w:t xml:space="preserve"> oxidative stress along with an inflammatory response</w:t>
      </w:r>
      <w:r w:rsidR="007969D1" w:rsidRPr="001F1399">
        <w:rPr>
          <w:rStyle w:val="eop"/>
          <w:rFonts w:ascii="Book Antiqua" w:hAnsi="Book Antiqua" w:cs="Calibri"/>
          <w:lang w:val="en-US"/>
        </w:rPr>
        <w:fldChar w:fldCharType="begin" w:fldLock="1"/>
      </w:r>
      <w:r w:rsidR="00B1214D" w:rsidRPr="001F1399">
        <w:rPr>
          <w:rStyle w:val="eop"/>
          <w:rFonts w:ascii="Book Antiqua" w:hAnsi="Book Antiqua" w:cs="Calibri"/>
          <w:lang w:val="en-US"/>
        </w:rPr>
        <w:instrText>ADDIN CSL_CITATION {"citationItems":[{"id":"ITEM-1","itemData":{"DOI":"10.1189/jlb.1012519","ISBN":"1938-3673 (Electronic)\\r0741-5400 (Linking)","ISSN":"1938-3673","PMID":"23543766","abstract":"RAGE is a key molecule in the onset and sustainment of the inflammatory response. New studies indicate that RAGE might represent a new link between the innate and adaptive immune system. RAGE belongs to the superfamily of Ig cell-surface receptors and is expressed on all types of leukocytes promoting activation, migration, or maturation of the different cells. RAGE expression is prominent on the activated endothelium, where it mediates leukocyte adhesion and transmigration. Moreover, proinflammatory molecules released from the inflamed or injured vascular system induce migration and proliferation of SMCs. RAGE binds a large number of different ligands and is therefore considered as a PRR, recognizing a structural motif rather than a specific ligand. In this review, we summarize the current knowledge about the signaling pathways activated in the different cell types and discuss a potential activation mechanism of RAGE, as well as putative options for therapeutic intervention.","author":[{"dropping-particle":"","family":"Kierdorf","given":"Katrin","non-dropping-particle":"","parse-names":false,"suffix":""},{"dropping-particle":"","family":"Fritz","given":"Günter","non-dropping-particle":"","parse-names":false,"suffix":""}],"container-title":"Journal of leukocyte biology","id":"ITEM-1","issue":"July","issued":{"date-parts":[["2013"]]},"page":"55-68","title":"RAGE regulation and signaling in inflammation and beyond.","type":"article-journal","volume":"94"},"uris":["http://www.mendeley.com/documents/?uuid=0ca4c2a0-1dbe-4549-8366-cb46fce53e05","http://www.mendeley.com/documents/?uuid=3f2c3207-7edc-4071-a8de-78af07cc9e64"]}],"mendeley":{"formattedCitation":"&lt;sup&gt;[216]&lt;/sup&gt;","plainTextFormattedCitation":"[216]","previouslyFormattedCitation":"&lt;sup&gt;[215]&lt;/sup&gt;"},"properties":{"noteIndex":0},"schema":"https://github.com/citation-style-language/schema/raw/master/csl-citation.json"}</w:instrText>
      </w:r>
      <w:r w:rsidR="007969D1" w:rsidRPr="001F1399">
        <w:rPr>
          <w:rStyle w:val="eop"/>
          <w:rFonts w:ascii="Book Antiqua" w:hAnsi="Book Antiqua" w:cs="Calibri"/>
          <w:lang w:val="en-US"/>
        </w:rPr>
        <w:fldChar w:fldCharType="separate"/>
      </w:r>
      <w:r w:rsidR="00B1214D" w:rsidRPr="001F1399">
        <w:rPr>
          <w:rStyle w:val="eop"/>
          <w:rFonts w:ascii="Book Antiqua" w:hAnsi="Book Antiqua" w:cs="Calibri"/>
          <w:noProof/>
          <w:vertAlign w:val="superscript"/>
          <w:lang w:val="en-US"/>
        </w:rPr>
        <w:t>[216]</w:t>
      </w:r>
      <w:r w:rsidR="007969D1" w:rsidRPr="001F1399">
        <w:rPr>
          <w:rStyle w:val="eop"/>
          <w:rFonts w:ascii="Book Antiqua" w:hAnsi="Book Antiqua" w:cs="Calibri"/>
          <w:lang w:val="en-US"/>
        </w:rPr>
        <w:fldChar w:fldCharType="end"/>
      </w:r>
      <w:r w:rsidR="007969D1" w:rsidRPr="001F1399">
        <w:rPr>
          <w:rStyle w:val="eop"/>
          <w:rFonts w:ascii="Book Antiqua" w:hAnsi="Book Antiqua" w:cs="Calibri"/>
          <w:lang w:val="en-US"/>
        </w:rPr>
        <w:t>. We and others are currently working on the establishment of any correlation with perinatal events.</w:t>
      </w:r>
      <w:r w:rsidR="00061FC2" w:rsidRPr="001F1399">
        <w:rPr>
          <w:rStyle w:val="eop"/>
          <w:rFonts w:ascii="Book Antiqua" w:hAnsi="Book Antiqua" w:cs="Calibri"/>
          <w:lang w:val="en-US"/>
        </w:rPr>
        <w:t xml:space="preserve"> </w:t>
      </w:r>
    </w:p>
    <w:p w14:paraId="4EDC174B" w14:textId="7B154315" w:rsidR="004A6407" w:rsidRPr="001F1399" w:rsidRDefault="00BF0385" w:rsidP="002974FA">
      <w:pPr>
        <w:pStyle w:val="paragraph"/>
        <w:adjustRightInd w:val="0"/>
        <w:snapToGrid w:val="0"/>
        <w:spacing w:before="0" w:beforeAutospacing="0" w:after="0" w:afterAutospacing="0" w:line="360" w:lineRule="auto"/>
        <w:ind w:firstLineChars="100" w:firstLine="240"/>
        <w:jc w:val="both"/>
        <w:textAlignment w:val="baseline"/>
        <w:rPr>
          <w:rFonts w:ascii="Book Antiqua" w:hAnsi="Book Antiqua" w:cs="Segoe UI"/>
          <w:lang w:val="en-US"/>
        </w:rPr>
      </w:pPr>
      <w:r w:rsidRPr="001F1399">
        <w:rPr>
          <w:rStyle w:val="eop"/>
          <w:rFonts w:ascii="Book Antiqua" w:hAnsi="Book Antiqua" w:cs="Calibri"/>
          <w:lang w:val="en-US"/>
        </w:rPr>
        <w:t xml:space="preserve">Babies </w:t>
      </w:r>
      <w:r w:rsidR="004A6407" w:rsidRPr="001F1399">
        <w:rPr>
          <w:rStyle w:val="eop"/>
          <w:rFonts w:ascii="Book Antiqua" w:hAnsi="Book Antiqua" w:cs="Calibri"/>
          <w:lang w:val="en-US"/>
        </w:rPr>
        <w:t>exposed</w:t>
      </w:r>
      <w:r w:rsidRPr="001F1399">
        <w:rPr>
          <w:rStyle w:val="eop"/>
          <w:rFonts w:ascii="Book Antiqua" w:hAnsi="Book Antiqua" w:cs="Calibri"/>
          <w:lang w:val="en-US"/>
        </w:rPr>
        <w:t xml:space="preserve"> to acrylamide </w:t>
      </w:r>
      <w:r w:rsidR="004A6407" w:rsidRPr="001F1399">
        <w:rPr>
          <w:rStyle w:val="eop"/>
          <w:rFonts w:ascii="Book Antiqua" w:hAnsi="Book Antiqua" w:cs="Calibri"/>
          <w:lang w:val="en-US"/>
        </w:rPr>
        <w:t>show growth retardation</w:t>
      </w:r>
      <w:r w:rsidR="005C0654" w:rsidRPr="001F1399">
        <w:rPr>
          <w:rStyle w:val="eop"/>
          <w:rFonts w:ascii="Book Antiqua" w:hAnsi="Book Antiqua" w:cs="Calibri"/>
          <w:lang w:val="en-US"/>
        </w:rPr>
        <w:fldChar w:fldCharType="begin" w:fldLock="1"/>
      </w:r>
      <w:r w:rsidR="00B1214D" w:rsidRPr="001F1399">
        <w:rPr>
          <w:rStyle w:val="eop"/>
          <w:rFonts w:ascii="Book Antiqua" w:hAnsi="Book Antiqua" w:cs="Calibri"/>
          <w:lang w:val="en-US"/>
        </w:rPr>
        <w:instrText>ADDIN CSL_CITATION {"citationItems":[{"id":"ITEM-1","itemData":{"DOI":"10.1289/ehp.1205327","ISSN":"0091-6765","abstract":"Background: Acrylamide is a common dietary exposure that crosses the human placenta. It is classified as a probable human carcinogen, and developmental toxicity has been observed in rodents. Objectives: We examined the associations between prenatal exposure to acrylamide and birth out-comes in a prospective European mother-child study. Methods: Hemoglobin (Hb) adducts of acrylamide and its metabolite glycidamide were measured in cord blood (reflecting cumulated exposure in the last months of pregnancy) from 1,101 singleton pregnant women recruited in Denmark, England, Greece, Norway, and Spain during 2006-2010. Maternal diet was estimated through food-frequency questionnaires. Results: Both acrylamide and glycidamide Hb adducts were associated with a statistically significant reduction in birth weight and head circumference. The estimated difference in birth weight for infants in the highest versus lowest quartile of acrylamide Hb adduct levels after adjusting for gestational age and country was -132 g (95% CI: -207, -56); the corresponding difference for head circumference was -0.33 cm (95% CI: -0.61, -0.06). Findings were similar in infants of nonsmokers, were consistent across countries, and remained after adjustment for factors associated with reduced birth weight. Maternal consumption of foods rich in acrylamide, such as fried potatoes, was associated with cord blood acrylamide adduct levels and with reduced birth weight. Conclusions: Dietary exposure to acrylamide was associated with reduced birth weight and head circumference. Consumption of specific foods during pregnancy was associated with higher acrylamide exposure inutero. If confirmed, these findings suggest that dietary intake of acrylamide should be reduced among pregnant women.","author":[{"dropping-particle":"","family":"Pedersen","given":"Marie","non-dropping-particle":"","parse-names":false,"suffix":""},{"dropping-particle":"","family":"Stedingk","given":"Hans","non-dropping-particle":"von","parse-names":false,"suffix":""},{"dropping-particle":"","family":"Botsivali","given":"Maria","non-dropping-particle":"","parse-names":false,"suffix":""},{"dropping-particle":"","family":"Agramunt","given":"Silvia","non-dropping-particle":"","parse-names":false,"suffix":""},{"dropping-particle":"","family":"Alexander","given":"Jan","non-dropping-particle":"","parse-names":false,"suffix":""},{"dropping-particle":"","family":"Brunborg","given":"Gunnar","non-dropping-particle":"","parse-names":false,"suffix":""},{"dropping-particle":"","family":"Chatzi","given":"Leda","non-dropping-particle":"","parse-names":false,"suffix":""},{"dropping-particle":"","family":"Fleming","given":"Sarah","non-dropping-particle":"","parse-names":false,"suffix":""},{"dropping-particle":"","family":"Fthenou","given":"Eleni","non-dropping-particle":"","parse-names":false,"suffix":""},{"dropping-particle":"","family":"Granum","given":"Berit","non-dropping-particle":"","parse-names":false,"suffix":""},{"dropping-particle":"","family":"Gutzkow","given":"Kristine B.","non-dropping-particle":"","parse-names":false,"suffix":""},{"dropping-particle":"","family":"Hardie","given":"Laura J.","non-dropping-particle":"","parse-names":false,"suffix":""},{"dropping-particle":"","family":"Knudsen","given":"Lisbeth E.","non-dropping-particle":"","parse-names":false,"suffix":""},{"dropping-particle":"","family":"Kyrtopoulos","given":"Soterios A.","non-dropping-particle":"","parse-names":false,"suffix":""},{"dropping-particle":"","family":"Mendez","given":"Michelle A.","non-dropping-particle":"","parse-names":false,"suffix":""},{"dropping-particle":"","family":"Merlo","given":"Domenico F.","non-dropping-particle":"","parse-names":false,"suffix":""},{"dropping-particle":"","family":"Nielsen","given":"Jeanette K.","non-dropping-particle":"","parse-names":false,"suffix":""},{"dropping-particle":"","family":"Rydberg","given":"Per","non-dropping-particle":"","parse-names":false,"suffix":""},{"dropping-particle":"","family":"Segerbäck","given":"Dan","non-dropping-particle":"","parse-names":false,"suffix":""},{"dropping-particle":"","family":"Sunyer","given":"Jordi","non-dropping-particle":"","parse-names":false,"suffix":""},{"dropping-particle":"","family":"Wright","given":"John","non-dropping-particle":"","parse-names":false,"suffix":""},{"dropping-particle":"","family":"Törnqvist","given":"Margareta","non-dropping-particle":"","parse-names":false,"suffix":""},{"dropping-particle":"","family":"Kleinjans","given":"Jos C.","non-dropping-particle":"","parse-names":false,"suffix":""},{"dropping-particle":"","family":"Kogevinas","given":"Manolis","non-dropping-particle":"","parse-names":false,"suffix":""}],"container-title":"Environmental Health Perspectives","id":"ITEM-1","issue":"12","issued":{"date-parts":[["2012","12"]]},"page":"1739-1745","title":"Birth Weight, Head Circumference, and Prenatal Exposure to Acrylamide from Maternal Diet: The European Prospective Mother–Child Study (NewGeneris)","type":"article-journal","volume":"120"},"uris":["http://www.mendeley.com/documents/?uuid=2d2e934e-9557-3b13-9b6b-1e23272fd2e6"]}],"mendeley":{"formattedCitation":"&lt;sup&gt;[217]&lt;/sup&gt;"},"properties":{"noteIndex":0},"schema":"https://github.com/citation-style-language/schema/raw/master/csl-citation.json"}</w:instrText>
      </w:r>
      <w:r w:rsidR="005C0654" w:rsidRPr="001F1399">
        <w:rPr>
          <w:rStyle w:val="eop"/>
          <w:rFonts w:ascii="Book Antiqua" w:hAnsi="Book Antiqua" w:cs="Calibri"/>
          <w:lang w:val="en-US"/>
        </w:rPr>
        <w:fldChar w:fldCharType="separate"/>
      </w:r>
      <w:r w:rsidR="00B1214D" w:rsidRPr="001F1399">
        <w:rPr>
          <w:rStyle w:val="eop"/>
          <w:rFonts w:ascii="Book Antiqua" w:hAnsi="Book Antiqua" w:cs="Calibri"/>
          <w:noProof/>
          <w:vertAlign w:val="superscript"/>
          <w:lang w:val="en-US"/>
        </w:rPr>
        <w:t>[217]</w:t>
      </w:r>
      <w:r w:rsidR="005C0654" w:rsidRPr="001F1399">
        <w:rPr>
          <w:rStyle w:val="eop"/>
          <w:rFonts w:ascii="Book Antiqua" w:hAnsi="Book Antiqua" w:cs="Calibri"/>
          <w:lang w:val="en-US"/>
        </w:rPr>
        <w:fldChar w:fldCharType="end"/>
      </w:r>
      <w:r w:rsidR="004A6407" w:rsidRPr="001F1399">
        <w:rPr>
          <w:rStyle w:val="eop"/>
          <w:rFonts w:ascii="Book Antiqua" w:hAnsi="Book Antiqua" w:cs="Calibri"/>
          <w:lang w:val="en-US"/>
        </w:rPr>
        <w:t xml:space="preserve">. This has been partly explained by prenatal alteration of fetal programming of the thyroid. However, another window of susceptibility should be </w:t>
      </w:r>
      <w:r w:rsidR="000A6ED0" w:rsidRPr="001F1399">
        <w:rPr>
          <w:rStyle w:val="eop"/>
          <w:rFonts w:ascii="Book Antiqua" w:hAnsi="Book Antiqua" w:cs="Calibri"/>
          <w:lang w:val="en-US"/>
        </w:rPr>
        <w:t>investigated,</w:t>
      </w:r>
      <w:r w:rsidR="004A6407" w:rsidRPr="001F1399">
        <w:rPr>
          <w:rStyle w:val="eop"/>
          <w:rFonts w:ascii="Book Antiqua" w:hAnsi="Book Antiqua" w:cs="Calibri"/>
          <w:lang w:val="en-US"/>
        </w:rPr>
        <w:t xml:space="preserve"> and child’s postnatal exposition should be considered in addition to prenatal exposition. Another possible mechanism linking acrylamide exposure and growth is through oxidative stress and inflammation</w:t>
      </w:r>
      <w:r w:rsidR="001B11B8" w:rsidRPr="001F1399">
        <w:rPr>
          <w:rStyle w:val="eop"/>
          <w:rFonts w:ascii="Book Antiqua" w:hAnsi="Book Antiqua" w:cs="Calibri"/>
          <w:lang w:val="en-US"/>
        </w:rPr>
        <w:t>. Indeed, acrylamide exposure can result in increased oxidative stress through increased expression of CYP2E1, resulting further in heightened perinatal inflammatory status</w:t>
      </w:r>
      <w:r w:rsidR="00B95FC3" w:rsidRPr="001F1399">
        <w:rPr>
          <w:rFonts w:ascii="Book Antiqua" w:hAnsi="Book Antiqua"/>
        </w:rPr>
        <w:fldChar w:fldCharType="begin" w:fldLock="1"/>
      </w:r>
      <w:r w:rsidR="00B1214D" w:rsidRPr="001F1399">
        <w:rPr>
          <w:rStyle w:val="eop"/>
          <w:rFonts w:ascii="Book Antiqua" w:hAnsi="Book Antiqua" w:cs="Calibri"/>
          <w:lang w:val="en-US"/>
        </w:rPr>
        <w:instrText>ADDIN CSL_CITATION {"citationItems":[{"id":"ITEM-1","itemData":{"DOI":"10.1046/j.1365-2125.2003.01731.x","ISSN":"03065251","PMID":"12534643","author":[{"dropping-particle":"","family":"Wang","given":"Zaiqi","non-dropping-particle":"","parse-names":false,"suffix":""},{"dropping-particle":"","family":"Hall","given":"Stephen D.","non-dropping-particle":"","parse-names":false,"suffix":""},{"dropping-particle":"","family":"Maya","given":"Juan F.","non-dropping-particle":"","parse-names":false,"suffix":""},{"dropping-particle":"","family":"Li","given":"Lang","non-dropping-particle":"","parse-names":false,"suffix":""},{"dropping-particle":"","family":"Asghar","given":"Ali","non-dropping-particle":"","parse-names":false,"suffix":""},{"dropping-particle":"","family":"Gorski","given":"J. C.","non-dropping-particle":"","parse-names":false,"suffix":""}],"container-title":"British Journal of Clinical Pharmacology","id":"ITEM-1","issue":"1","issued":{"date-parts":[["2003","1","14"]]},"page":"77-85","title":"Diabetes mellitus increases the in vivo activity of cytochrome P450 2E1 in humans","type":"article-journal","volume":"55"},"uris":["http://www.mendeley.com/documents/?uuid=f226df5e-d18d-4134-9138-3838adad0c31"]},{"id":"ITEM-2","itemData":{"DOI":"10.1042/CS20150045","ISSN":"0143-5221","PMID":"26223841","abstract":"Cardiovascular disease continues to be the leading cause of global morbidity and mortality. Traditional risk factors account for only part of the attributable risk. The origins of atherosclerosis are in early life, a potential albeit largely unrecognized window of opportunity for early detection and treatment of subclinical cardiovascular disease. There are robust epidemiological data indicating that poor intrauterine growth and/or prematurity, and perinatal factors such as maternal hypercholesterolaemia, smoking, diabetes and obesity, are associated with adverse cardiovascular intermediate phenotypes in childhood and adulthood. Many of these early-life risk factors result in a heightened inflammatory state. Inflammation is a central mechanism in the development of atherosclerosis and cardiovascular disease, but few studies have investigated the role of overt perinatal infection and inflammation (chorioamnionitis) as a potential contributor to cardiovascular risk. Limited evidence from human and experimental models suggests an association between chorioamnionitis and cardiac and vascular dysfunction. Early life inflammatory events may be an important mechanism in the early development of cardiovascular risk and may provide insights into the associations between perinatal factors and adult cardiovascular disease. This review aims to summarise current data on the early life origins of atherosclerosis and cardiovascular disease, with particular focus on perinatal inflammation.","author":[{"dropping-particle":"","family":"Nguyen","given":"Maria U.","non-dropping-particle":"","parse-names":false,"suffix":""},{"dropping-particle":"","family":"Wallace","given":"Megan J.","non-dropping-particle":"","parse-names":false,"suffix":""},{"dropping-particle":"","family":"Pepe","given":"Salvatore","non-dropping-particle":"","parse-names":false,"suffix":""},{"dropping-particle":"","family":"Menheniott","given":"Trevelyan R.","non-dropping-particle":"","parse-names":false,"suffix":""},{"dropping-particle":"","family":"Moss","given":"Timothy J.","non-dropping-particle":"","parse-names":false,"suffix":""},{"dropping-particle":"","family":"Burgner","given":"David","non-dropping-particle":"","parse-names":false,"suffix":""}],"container-title":"Clinical Science","id":"ITEM-2","issue":"8","issued":{"date-parts":[["2015","10","1"]]},"page":"769-784","title":"Perinatal inflammation: a common factor in the early origins of cardiovascular disease?","type":"article-journal","volume":"129"},"uris":["http://www.mendeley.com/documents/?uuid=38810b98-ef47-4eea-b58d-12e058eeb187"]}],"mendeley":{"formattedCitation":"&lt;sup&gt;[218,219]&lt;/sup&gt;"},"properties":{"noteIndex":0},"schema":"https://github.com/citation-style-language/schema/raw/master/csl-citation.json"}</w:instrText>
      </w:r>
      <w:r w:rsidR="00B95FC3" w:rsidRPr="001F1399">
        <w:rPr>
          <w:rStyle w:val="eop"/>
          <w:rFonts w:cs="Calibri"/>
          <w:lang w:val="en-US"/>
        </w:rPr>
        <w:fldChar w:fldCharType="separate"/>
      </w:r>
      <w:r w:rsidR="00B1214D" w:rsidRPr="001F1399">
        <w:rPr>
          <w:rStyle w:val="eop"/>
          <w:rFonts w:ascii="Book Antiqua" w:hAnsi="Book Antiqua" w:cs="Calibri"/>
          <w:noProof/>
          <w:vertAlign w:val="superscript"/>
          <w:lang w:val="en-US"/>
        </w:rPr>
        <w:t>[218,219]</w:t>
      </w:r>
      <w:r w:rsidR="00B95FC3" w:rsidRPr="001F1399">
        <w:rPr>
          <w:rFonts w:ascii="Book Antiqua" w:hAnsi="Book Antiqua"/>
        </w:rPr>
        <w:fldChar w:fldCharType="end"/>
      </w:r>
      <w:r w:rsidR="00B95FC3" w:rsidRPr="001F1399">
        <w:rPr>
          <w:rStyle w:val="eop"/>
          <w:rFonts w:ascii="Book Antiqua" w:hAnsi="Book Antiqua" w:cs="Calibri"/>
          <w:lang w:val="en-US"/>
        </w:rPr>
        <w:t>.</w:t>
      </w:r>
      <w:r w:rsidR="00D71222" w:rsidRPr="001F1399">
        <w:rPr>
          <w:rStyle w:val="eop"/>
          <w:rFonts w:ascii="Book Antiqua" w:hAnsi="Book Antiqua" w:cs="Calibri"/>
          <w:lang w:val="en-US"/>
        </w:rPr>
        <w:t xml:space="preserve"> Dietary AGEs are responsible for oxidative stress and inflammation in </w:t>
      </w:r>
      <w:r w:rsidR="00D71222" w:rsidRPr="001F1399">
        <w:rPr>
          <w:rStyle w:val="eop"/>
          <w:rFonts w:ascii="Book Antiqua" w:hAnsi="Book Antiqua" w:cs="Calibri"/>
          <w:lang w:val="en-US"/>
        </w:rPr>
        <w:lastRenderedPageBreak/>
        <w:t>several tissues by interfering with vital hormones involving physiological reactions. Exposure to high AGEs during childhood is responsible for inflammatory status</w:t>
      </w:r>
      <w:r w:rsidR="007315C4" w:rsidRPr="001F1399">
        <w:rPr>
          <w:rStyle w:val="eop"/>
          <w:rFonts w:ascii="Book Antiqua" w:hAnsi="Book Antiqua" w:cs="Calibri"/>
          <w:lang w:val="en-US"/>
        </w:rPr>
        <w:t>. This speculation is supported by the relationship between high maternal AGEs and infant plasma insulin levels</w:t>
      </w:r>
      <w:r w:rsidR="007315C4" w:rsidRPr="001F1399">
        <w:rPr>
          <w:rFonts w:ascii="Book Antiqua" w:hAnsi="Book Antiqua"/>
        </w:rPr>
        <w:fldChar w:fldCharType="begin" w:fldLock="1"/>
      </w:r>
      <w:r w:rsidR="00B1214D" w:rsidRPr="001F1399">
        <w:rPr>
          <w:rStyle w:val="eop"/>
          <w:rFonts w:ascii="Book Antiqua" w:hAnsi="Book Antiqua" w:cs="Calibri"/>
          <w:lang w:val="en-US"/>
        </w:rPr>
        <w:instrText>ADDIN CSL_CITATION {"citationItems":[{"id":"ITEM-1","itemData":{"DOI":"10.2337/dc10-1058","ISSN":"0149-5992","PMID":"20628088","author":[{"dropping-particle":"","family":"Mericq","given":"V.","non-dropping-particle":"","parse-names":false,"suffix":""},{"dropping-particle":"","family":"Piccardo","given":"C.","non-dropping-particle":"","parse-names":false,"suffix":""},{"dropping-particle":"","family":"Cai","given":"W.","non-dropping-particle":"","parse-names":false,"suffix":""},{"dropping-particle":"","family":"Chen","given":"X.","non-dropping-particle":"","parse-names":false,"suffix":""},{"dropping-particle":"","family":"Zhu","given":"L.","non-dropping-particle":"","parse-names":false,"suffix":""},{"dropping-particle":"","family":"Striker","given":"G. E.","non-dropping-particle":"","parse-names":false,"suffix":""},{"dropping-particle":"","family":"Vlassara","given":"H.","non-dropping-particle":"","parse-names":false,"suffix":""},{"dropping-particle":"","family":"Uribarri","given":"J.","non-dropping-particle":"","parse-names":false,"suffix":""}],"container-title":"Diabetes Care","id":"ITEM-1","issue":"10","issued":{"date-parts":[["2010","10","1"]]},"page":"2232-2237","title":"Maternally Transmitted and Food-Derived Glycotoxins: A factor preconditioning the young to diabetes?","type":"article-journal","volume":"33"},"uris":["http://www.mendeley.com/documents/?uuid=434a3681-d397-4a23-b0ca-8492052e2251"]}],"mendeley":{"formattedCitation":"&lt;sup&gt;[137]&lt;/sup&gt;","plainTextFormattedCitation":"[137]","previouslyFormattedCitation":"&lt;sup&gt;[136]&lt;/sup&gt;"},"properties":{"noteIndex":0},"schema":"https://github.com/citation-style-language/schema/raw/master/csl-citation.json"}</w:instrText>
      </w:r>
      <w:r w:rsidR="007315C4" w:rsidRPr="001F1399">
        <w:rPr>
          <w:rStyle w:val="eop"/>
          <w:rFonts w:cs="Calibri"/>
          <w:lang w:val="en-US"/>
        </w:rPr>
        <w:fldChar w:fldCharType="separate"/>
      </w:r>
      <w:r w:rsidR="00B1214D" w:rsidRPr="001F1399">
        <w:rPr>
          <w:rStyle w:val="eop"/>
          <w:rFonts w:ascii="Book Antiqua" w:hAnsi="Book Antiqua" w:cs="Calibri"/>
          <w:noProof/>
          <w:vertAlign w:val="superscript"/>
          <w:lang w:val="en-US"/>
        </w:rPr>
        <w:t>[137]</w:t>
      </w:r>
      <w:r w:rsidR="007315C4" w:rsidRPr="001F1399">
        <w:rPr>
          <w:rFonts w:ascii="Book Antiqua" w:hAnsi="Book Antiqua"/>
        </w:rPr>
        <w:fldChar w:fldCharType="end"/>
      </w:r>
      <w:r w:rsidR="007315C4" w:rsidRPr="001F1399">
        <w:rPr>
          <w:rStyle w:val="eop"/>
          <w:rFonts w:ascii="Book Antiqua" w:hAnsi="Book Antiqua" w:cs="Calibri"/>
          <w:lang w:val="en-US"/>
        </w:rPr>
        <w:t xml:space="preserve">. </w:t>
      </w:r>
      <w:r w:rsidR="000507B2" w:rsidRPr="001F1399">
        <w:rPr>
          <w:rStyle w:val="eop"/>
          <w:rFonts w:ascii="Book Antiqua" w:hAnsi="Book Antiqua" w:cs="Calibri"/>
          <w:lang w:val="en-US"/>
        </w:rPr>
        <w:t xml:space="preserve">New born and infants may be very concerned by AGEs especially those that need to receive </w:t>
      </w:r>
      <w:r w:rsidR="00F17FDF" w:rsidRPr="001F1399">
        <w:rPr>
          <w:rStyle w:val="eop"/>
          <w:rFonts w:ascii="Book Antiqua" w:hAnsi="Book Antiqua" w:cs="Calibri"/>
          <w:lang w:val="en-US"/>
        </w:rPr>
        <w:t>hydrolyzed</w:t>
      </w:r>
      <w:r w:rsidR="000507B2" w:rsidRPr="001F1399">
        <w:rPr>
          <w:rStyle w:val="eop"/>
          <w:rFonts w:ascii="Book Antiqua" w:hAnsi="Book Antiqua" w:cs="Calibri"/>
          <w:lang w:val="en-US"/>
        </w:rPr>
        <w:t xml:space="preserve"> infant formulas that have very high levels of </w:t>
      </w:r>
      <w:r w:rsidR="008F1519" w:rsidRPr="001F1399">
        <w:rPr>
          <w:rStyle w:val="eop"/>
          <w:rFonts w:ascii="Book Antiqua" w:hAnsi="Book Antiqua" w:cs="Calibri"/>
          <w:lang w:val="en-US"/>
        </w:rPr>
        <w:t>N</w:t>
      </w:r>
      <w:r w:rsidR="002D7306" w:rsidRPr="001F1399">
        <w:rPr>
          <w:rStyle w:val="eop"/>
          <w:rFonts w:ascii="Book Antiqua" w:hAnsi="Book Antiqua" w:cs="Calibri"/>
          <w:vertAlign w:val="superscript"/>
          <w:lang w:val="en-US"/>
        </w:rPr>
        <w:t>ε</w:t>
      </w:r>
      <w:r w:rsidR="008F1519" w:rsidRPr="001F1399">
        <w:rPr>
          <w:rStyle w:val="eop"/>
          <w:rFonts w:ascii="Book Antiqua" w:hAnsi="Book Antiqua" w:cs="Calibri"/>
          <w:lang w:val="en-US"/>
        </w:rPr>
        <w:t>-carboxy-methyllysine (</w:t>
      </w:r>
      <w:r w:rsidR="000507B2" w:rsidRPr="001F1399">
        <w:rPr>
          <w:rStyle w:val="eop"/>
          <w:rFonts w:ascii="Book Antiqua" w:hAnsi="Book Antiqua" w:cs="Calibri"/>
          <w:lang w:val="en-US"/>
        </w:rPr>
        <w:t>CML</w:t>
      </w:r>
      <w:r w:rsidR="008F1519" w:rsidRPr="001F1399">
        <w:rPr>
          <w:rStyle w:val="eop"/>
          <w:rFonts w:ascii="Book Antiqua" w:hAnsi="Book Antiqua" w:cs="Calibri"/>
          <w:lang w:val="en-US"/>
        </w:rPr>
        <w:t>)</w:t>
      </w:r>
      <w:r w:rsidR="000507B2" w:rsidRPr="001F1399">
        <w:rPr>
          <w:rStyle w:val="eop"/>
          <w:rFonts w:ascii="Book Antiqua" w:hAnsi="Book Antiqua" w:cs="Calibri"/>
          <w:lang w:val="en-US"/>
        </w:rPr>
        <w:t xml:space="preserve"> as compared to breast milk due to the heat treatment of milk proteins in presence of lactose</w:t>
      </w:r>
      <w:r w:rsidR="000507B2" w:rsidRPr="001F1399">
        <w:rPr>
          <w:rFonts w:ascii="Book Antiqua" w:hAnsi="Book Antiqua"/>
        </w:rPr>
        <w:fldChar w:fldCharType="begin" w:fldLock="1"/>
      </w:r>
      <w:r w:rsidR="00B1214D" w:rsidRPr="001F1399">
        <w:rPr>
          <w:rStyle w:val="eop"/>
          <w:rFonts w:ascii="Book Antiqua" w:hAnsi="Book Antiqua" w:cs="Calibri"/>
          <w:lang w:val="en-US"/>
        </w:rPr>
        <w:instrText>ADDIN CSL_CITATION {"citationItems":[{"id":"ITEM-1","itemData":{"DOI":"10.1021/jf060905h","ISSN":"0021-8561","PMID":"16939359","author":[{"dropping-particle":"","family":"Dittrich","given":"Ralf","non-dropping-particle":"","parse-names":false,"suffix":""},{"dropping-particle":"","family":"Hoffmann","given":"Inge","non-dropping-particle":"","parse-names":false,"suffix":""},{"dropping-particle":"","family":"Stahl","given":"Peter","non-dropping-particle":"","parse-names":false,"suffix":""},{"dropping-particle":"","family":"Müller","given":"Andreas","non-dropping-particle":"","parse-names":false,"suffix":""},{"dropping-particle":"","family":"Beckmann","given":"Matthias W.","non-dropping-particle":"","parse-names":false,"suffix":""},{"dropping-particle":"","family":"Pischetsrieder","given":"Monika","non-dropping-particle":"","parse-names":false,"suffix":""}],"container-title":"Journal of Agricultural and Food Chemistry","id":"ITEM-1","issue":"18","issued":{"date-parts":[["2006","9"]]},"page":"6924-6928","title":"Concentrations of N ε -Carboxymethyllysine in Human Breast Milk, Infant Formulas, and Urine of Infants","type":"article-journal","volume":"54"},"uris":["http://www.mendeley.com/documents/?uuid=f067a3f5-74d2-46dd-8c65-75311976c151"]}],"mendeley":{"formattedCitation":"&lt;sup&gt;[220]&lt;/sup&gt;"},"properties":{"noteIndex":0},"schema":"https://github.com/citation-style-language/schema/raw/master/csl-citation.json"}</w:instrText>
      </w:r>
      <w:r w:rsidR="000507B2" w:rsidRPr="001F1399">
        <w:rPr>
          <w:rStyle w:val="eop"/>
          <w:rFonts w:cs="Calibri"/>
          <w:lang w:val="en-US"/>
        </w:rPr>
        <w:fldChar w:fldCharType="separate"/>
      </w:r>
      <w:r w:rsidR="00B1214D" w:rsidRPr="001F1399">
        <w:rPr>
          <w:rStyle w:val="eop"/>
          <w:rFonts w:ascii="Book Antiqua" w:hAnsi="Book Antiqua" w:cs="Calibri"/>
          <w:noProof/>
          <w:vertAlign w:val="superscript"/>
          <w:lang w:val="en-US"/>
        </w:rPr>
        <w:t>[220]</w:t>
      </w:r>
      <w:r w:rsidR="000507B2" w:rsidRPr="001F1399">
        <w:rPr>
          <w:rFonts w:ascii="Book Antiqua" w:hAnsi="Book Antiqua"/>
        </w:rPr>
        <w:fldChar w:fldCharType="end"/>
      </w:r>
      <w:r w:rsidR="000507B2" w:rsidRPr="001F1399">
        <w:rPr>
          <w:rStyle w:val="eop"/>
          <w:rFonts w:ascii="Book Antiqua" w:hAnsi="Book Antiqua" w:cs="Calibri"/>
          <w:lang w:val="en-US"/>
        </w:rPr>
        <w:t xml:space="preserve">. </w:t>
      </w:r>
      <w:r w:rsidR="00A91570" w:rsidRPr="001F1399">
        <w:rPr>
          <w:rStyle w:val="eop"/>
          <w:rFonts w:ascii="Book Antiqua" w:hAnsi="Book Antiqua" w:cs="Calibri"/>
          <w:lang w:val="en-US"/>
        </w:rPr>
        <w:t>In a recent review, we suggested that neoformed compounds from the Maillard Reaction and especially CML could be a new risk factor for allergy</w:t>
      </w:r>
      <w:r w:rsidR="00A91570" w:rsidRPr="001F1399">
        <w:rPr>
          <w:rFonts w:ascii="Book Antiqua" w:hAnsi="Book Antiqua"/>
        </w:rPr>
        <w:fldChar w:fldCharType="begin" w:fldLock="1"/>
      </w:r>
      <w:r w:rsidR="00B1214D" w:rsidRPr="001F1399">
        <w:rPr>
          <w:rStyle w:val="eop"/>
          <w:rFonts w:ascii="Book Antiqua" w:hAnsi="Book Antiqua" w:cs="Calibri"/>
          <w:lang w:val="en-US"/>
        </w:rPr>
        <w:instrText>ADDIN CSL_CITATION {"citationItems":[{"id":"ITEM-1","itemData":{"abstract":"Food allergies, which are T helper cell Type 2 aberrant responses of the immune system to food proteins, are increasing. Environmental factors, including food contaminants, are often mentioned to explain this increase. Heat treatment of food induces the Maillard reaction, a non-enzymatic reaction between reducing sugars and free amino groups of proteins or free amino acids. This leads to the genesis of neoformed compounds, including advanced Maillard reaction products (also called dietary advanced glycation end-products [AGEs]). Infant formulas are very sensitive to the Maillard reaction because of their high content of lactose and proteins and their long shelf life. The dietary AGEs content is particularly high in hydrolysed infant milk. Among dietary AGEs, Nε-carboxymethyllysine is the main form in milk. An increasing number of studies show potentially deleterious effects of dietary AGEs, including inflammation genesis. These effects seem to be in a great part dependent on the receptor of AGEs (RAGE). RAGE is present on immune cells and studies have shown that RAGE is involved in T helper cell priming, proliferation, and differentiation. Moreover, there is increasing evidence that the Maillard reaction enhances the allergenicity of proteins. All these data indicate a potential role of dietary AGEs in allergies. Nevertheless, the impact of dietary AGEs on the immune system favouring the T helper cell Type 2 profile and consequently predisposition to develop allergy is poorly documented and needs further investigation.","author":[{"dropping-particle":"","family":"Baskara","given":"Indoumady","non-dropping-particle":"","parse-names":false,"suffix":""},{"dropping-particle":"","family":"Niquet-Leridon","given":"Céline","non-dropping-particle":"","parse-names":false,"suffix":""},{"dropping-particle":"","family":"Anton","given":"Pauline M","non-dropping-particle":"","parse-names":false,"suffix":""},{"dropping-particle":"","family":"Delayre-Orthez","given":"Carine","non-dropping-particle":"","parse-names":false,"suffix":""}],"container-title":"EMJ Allergy Immunol","id":"ITEM-1","issue":"1","issued":{"date-parts":[["2017"]]},"page":"87-93","title":"Neoformed Compounds From the Maillard Reaction in Infant Formulas: a New Risk Factor for Allergy?","type":"article-journal","volume":"2"},"uris":["http://www.mendeley.com/documents/?uuid=87567804-bd5a-4d09-a8a2-8ffcb9399573"]}],"mendeley":{"formattedCitation":"&lt;sup&gt;[221]&lt;/sup&gt;"},"properties":{"noteIndex":0},"schema":"https://github.com/citation-style-language/schema/raw/master/csl-citation.json"}</w:instrText>
      </w:r>
      <w:r w:rsidR="00A91570" w:rsidRPr="001F1399">
        <w:rPr>
          <w:rStyle w:val="eop"/>
          <w:rFonts w:cs="Calibri"/>
          <w:lang w:val="en-US"/>
        </w:rPr>
        <w:fldChar w:fldCharType="separate"/>
      </w:r>
      <w:r w:rsidR="00B1214D" w:rsidRPr="001F1399">
        <w:rPr>
          <w:rStyle w:val="eop"/>
          <w:rFonts w:ascii="Book Antiqua" w:hAnsi="Book Antiqua" w:cs="Calibri"/>
          <w:noProof/>
          <w:vertAlign w:val="superscript"/>
          <w:lang w:val="en-US"/>
        </w:rPr>
        <w:t>[221]</w:t>
      </w:r>
      <w:r w:rsidR="00A91570" w:rsidRPr="001F1399">
        <w:rPr>
          <w:rFonts w:ascii="Book Antiqua" w:hAnsi="Book Antiqua"/>
        </w:rPr>
        <w:fldChar w:fldCharType="end"/>
      </w:r>
      <w:r w:rsidR="00A91570" w:rsidRPr="001F1399">
        <w:rPr>
          <w:rStyle w:val="eop"/>
          <w:rFonts w:ascii="Book Antiqua" w:hAnsi="Book Antiqua" w:cs="Calibri"/>
          <w:lang w:val="en-US"/>
        </w:rPr>
        <w:t xml:space="preserve"> since they may react with RAGE receptors expressed at the surface of numerous immune cells (mononuclear cells, </w:t>
      </w:r>
      <w:r w:rsidR="004476B5" w:rsidRPr="001F1399">
        <w:rPr>
          <w:rStyle w:val="eop"/>
          <w:rFonts w:ascii="Book Antiqua" w:hAnsi="Book Antiqua" w:cs="Calibri"/>
          <w:lang w:val="en-US"/>
        </w:rPr>
        <w:t>DCs</w:t>
      </w:r>
      <w:r w:rsidR="00A91570" w:rsidRPr="001F1399">
        <w:rPr>
          <w:rStyle w:val="eop"/>
          <w:rFonts w:ascii="Book Antiqua" w:hAnsi="Book Antiqua" w:cs="Calibri"/>
          <w:lang w:val="en-US"/>
        </w:rPr>
        <w:t xml:space="preserve"> and T cells) present in areas where AGEs are often more abundant</w:t>
      </w:r>
      <w:r w:rsidR="00A91570" w:rsidRPr="001F1399">
        <w:rPr>
          <w:rFonts w:ascii="Book Antiqua" w:hAnsi="Book Antiqua"/>
        </w:rPr>
        <w:fldChar w:fldCharType="begin" w:fldLock="1"/>
      </w:r>
      <w:r w:rsidR="00B1214D" w:rsidRPr="001F1399">
        <w:rPr>
          <w:rStyle w:val="eop"/>
          <w:rFonts w:ascii="Book Antiqua" w:hAnsi="Book Antiqua" w:cs="Calibri"/>
          <w:lang w:val="en-US"/>
        </w:rPr>
        <w:instrText>ADDIN CSL_CITATION {"citationItems":[{"id":"ITEM-1","itemData":{"DOI":"10.1053/meta.2000.7738","ISSN":"00260495","PMID":"10954022","author":[{"dropping-particle":"","family":"Shimoike","given":"Tomoko","non-dropping-particle":"","parse-names":false,"suffix":""},{"dropping-particle":"","family":"Inoguchi","given":"Toyoshi","non-dropping-particle":"","parse-names":false,"suffix":""},{"dropping-particle":"","family":"Umeda","given":"Fumio","non-dropping-particle":"","parse-names":false,"suffix":""},{"dropping-particle":"","family":"Nawata","given":"Hajime","non-dropping-particle":"","parse-names":false,"suffix":""},{"dropping-particle":"","family":"Kawano","given":"Katsumi","non-dropping-particle":"","parse-names":false,"suffix":""},{"dropping-particle":"","family":"Ochi","given":"Hirotomo","non-dropping-particle":"","parse-names":false,"suffix":""}],"container-title":"Metabolism","id":"ITEM-1","issue":"8","issued":{"date-parts":[["2000","8"]]},"page":"1030-1035","title":"The meaning of serum levels of advanced glycosylation end products in diabetic nephropathy","type":"article-journal","volume":"49"},"uris":["http://www.mendeley.com/documents/?uuid=aec5d8ec-2dd1-4cff-a291-8c876cf00169"]},{"id":"ITEM-2","itemData":{"DOI":"10.1046/j.1464-5491.2003.00973.x","ISSN":"07423071","PMID":"12823240","author":[{"dropping-particle":"","family":"Sharp","given":"P. S.","non-dropping-particle":"","parse-names":false,"suffix":""},{"dropping-particle":"","family":"Rainbow","given":"S.","non-dropping-particle":"","parse-names":false,"suffix":""},{"dropping-particle":"","family":"Mukherjee","given":"S.","non-dropping-particle":"","parse-names":false,"suffix":""}],"container-title":"Diabetic Medicine","id":"ITEM-2","issue":"7","issued":{"date-parts":[["2003","7"]]},"page":"575-579","title":"Serum levels of low molecular weight advanced glycation end products in diabetic subjects","type":"article-journal","volume":"20"},"uris":["http://www.mendeley.com/documents/?uuid=6332cf81-d7ca-4b92-9051-042456eaa81e"]},{"id":"ITEM-3","itemData":{"DOI":"10.1161/01.ATV.0000181744.58265.63","ISSN":"1079-5642","PMID":"16100036","author":[{"dropping-particle":"","family":"Ge","given":"Junbo","non-dropping-particle":"","parse-names":false,"suffix":""},{"dropping-particle":"","family":"Jia","given":"Qingzhe","non-dropping-particle":"","parse-names":false,"suffix":""},{"dropping-particle":"","family":"Liang","given":"Chun","non-dropping-particle":"","parse-names":false,"suffix":""},{"dropping-particle":"","family":"Luo","given":"Yukun","non-dropping-particle":"","parse-names":false,"suffix":""},{"dropping-particle":"","family":"Huang","given":"Dong","non-dropping-particle":"","parse-names":false,"suffix":""},{"dropping-particle":"","family":"Sun","given":"Aijun","non-dropping-particle":"","parse-names":false,"suffix":""},{"dropping-particle":"","family":"Wang","given":"Keqiang","non-dropping-particle":"","parse-names":false,"suffix":""},{"dropping-particle":"","family":"Zou","given":"Yunzeng","non-dropping-particle":"","parse-names":false,"suffix":""},{"dropping-particle":"","family":"Chen","given":"Haozhu","non-dropping-particle":"","parse-names":false,"suffix":""}],"container-title":"Arteriosclerosis, Thrombosis, and Vascular Biology","id":"ITEM-3","issue":"10","issued":{"date-parts":[["2005","10"]]},"page":"2157-2163","title":"Advanced Glycosylation End Products Might Promote Atherosclerosis Through Inducing the Immune Maturation of Dendritic Cells","type":"article-journal","volume":"25"},"uris":["http://www.mendeley.com/documents/?uuid=9e1b9af1-a60d-4e00-a756-233ac57ebe3e"]}],"mendeley":{"formattedCitation":"&lt;sup&gt;[222–224]&lt;/sup&gt;"},"properties":{"noteIndex":0},"schema":"https://github.com/citation-style-language/schema/raw/master/csl-citation.json"}</w:instrText>
      </w:r>
      <w:r w:rsidR="00A91570" w:rsidRPr="001F1399">
        <w:rPr>
          <w:rStyle w:val="eop"/>
          <w:rFonts w:cs="Calibri"/>
          <w:lang w:val="en-US"/>
        </w:rPr>
        <w:fldChar w:fldCharType="separate"/>
      </w:r>
      <w:r w:rsidR="00B1214D" w:rsidRPr="001F1399">
        <w:rPr>
          <w:rStyle w:val="eop"/>
          <w:rFonts w:ascii="Book Antiqua" w:hAnsi="Book Antiqua" w:cs="Calibri"/>
          <w:noProof/>
          <w:vertAlign w:val="superscript"/>
          <w:lang w:val="en-US"/>
        </w:rPr>
        <w:t>[222–224]</w:t>
      </w:r>
      <w:r w:rsidR="00A91570" w:rsidRPr="001F1399">
        <w:rPr>
          <w:rFonts w:ascii="Book Antiqua" w:hAnsi="Book Antiqua"/>
        </w:rPr>
        <w:fldChar w:fldCharType="end"/>
      </w:r>
      <w:r w:rsidR="00A91570" w:rsidRPr="001F1399">
        <w:rPr>
          <w:rStyle w:val="eop"/>
          <w:rFonts w:ascii="Book Antiqua" w:hAnsi="Book Antiqua" w:cs="Calibri"/>
          <w:lang w:val="en-US"/>
        </w:rPr>
        <w:t>.</w:t>
      </w:r>
    </w:p>
    <w:p w14:paraId="1D391724" w14:textId="127F397F" w:rsidR="004A6407" w:rsidRPr="001F1399" w:rsidRDefault="004A6407" w:rsidP="00D73513">
      <w:pPr>
        <w:pStyle w:val="paragraph"/>
        <w:adjustRightInd w:val="0"/>
        <w:snapToGrid w:val="0"/>
        <w:spacing w:before="0" w:beforeAutospacing="0" w:after="0" w:afterAutospacing="0" w:line="360" w:lineRule="auto"/>
        <w:jc w:val="both"/>
        <w:textAlignment w:val="baseline"/>
        <w:rPr>
          <w:rFonts w:ascii="Book Antiqua" w:hAnsi="Book Antiqua" w:cs="Segoe UI"/>
          <w:color w:val="7030A0"/>
          <w:lang w:val="en-US"/>
        </w:rPr>
      </w:pPr>
    </w:p>
    <w:p w14:paraId="3F5135D8" w14:textId="0F90F026" w:rsidR="00CD4A5A" w:rsidRPr="001F1399" w:rsidRDefault="000A6ED0" w:rsidP="002974FA">
      <w:pPr>
        <w:pStyle w:val="paragraph"/>
        <w:adjustRightInd w:val="0"/>
        <w:snapToGrid w:val="0"/>
        <w:spacing w:before="0" w:beforeAutospacing="0" w:after="0" w:afterAutospacing="0" w:line="360" w:lineRule="auto"/>
        <w:jc w:val="both"/>
        <w:textAlignment w:val="baseline"/>
        <w:rPr>
          <w:rStyle w:val="spellingerror"/>
          <w:rFonts w:ascii="Book Antiqua" w:hAnsi="Book Antiqua" w:cs="Calibri"/>
          <w:b/>
          <w:iCs/>
          <w:u w:val="single"/>
          <w:lang w:val="en-US"/>
        </w:rPr>
      </w:pPr>
      <w:r w:rsidRPr="001F1399">
        <w:rPr>
          <w:rStyle w:val="spellingerror"/>
          <w:rFonts w:ascii="Book Antiqua" w:hAnsi="Book Antiqua" w:cs="Calibri"/>
          <w:b/>
          <w:iCs/>
          <w:u w:val="single"/>
          <w:lang w:val="en-US"/>
        </w:rPr>
        <w:t>CONCLUSION</w:t>
      </w:r>
    </w:p>
    <w:p w14:paraId="465990C9" w14:textId="6ABAB85E" w:rsidR="00353E91" w:rsidRPr="001F1399" w:rsidRDefault="00353E91" w:rsidP="002974FA">
      <w:pPr>
        <w:pStyle w:val="paragraph"/>
        <w:adjustRightInd w:val="0"/>
        <w:snapToGrid w:val="0"/>
        <w:spacing w:before="0" w:beforeAutospacing="0" w:after="0" w:afterAutospacing="0" w:line="360" w:lineRule="auto"/>
        <w:jc w:val="both"/>
        <w:textAlignment w:val="baseline"/>
        <w:rPr>
          <w:rFonts w:ascii="Book Antiqua" w:hAnsi="Book Antiqua" w:cs="Segoe UI"/>
          <w:b/>
          <w:i/>
          <w:lang w:val="en-US"/>
        </w:rPr>
      </w:pPr>
      <w:r w:rsidRPr="001F1399">
        <w:rPr>
          <w:rStyle w:val="spellingerror"/>
          <w:rFonts w:ascii="Book Antiqua" w:hAnsi="Book Antiqua" w:cs="Calibri"/>
          <w:b/>
          <w:i/>
          <w:lang w:val="en-US"/>
        </w:rPr>
        <w:t>Consequences on risks of developing non-communicable chronic diseases</w:t>
      </w:r>
    </w:p>
    <w:p w14:paraId="7267AF5C" w14:textId="215E441F" w:rsidR="000E3C6D" w:rsidRPr="001F1399" w:rsidRDefault="00D647C9" w:rsidP="002974FA">
      <w:pPr>
        <w:adjustRightInd w:val="0"/>
        <w:snapToGrid w:val="0"/>
        <w:spacing w:after="0" w:line="360" w:lineRule="auto"/>
        <w:jc w:val="both"/>
        <w:rPr>
          <w:rFonts w:ascii="Book Antiqua" w:eastAsia="Calibri" w:hAnsi="Book Antiqua" w:cs="Calibri"/>
          <w:sz w:val="24"/>
          <w:szCs w:val="24"/>
          <w:lang w:val="en-US"/>
        </w:rPr>
      </w:pPr>
      <w:r w:rsidRPr="001F1399">
        <w:rPr>
          <w:rFonts w:ascii="Book Antiqua" w:eastAsia="Calibri" w:hAnsi="Book Antiqua" w:cs="Calibri"/>
          <w:sz w:val="24"/>
          <w:szCs w:val="24"/>
          <w:lang w:val="en-US"/>
        </w:rPr>
        <w:t xml:space="preserve">Nutrition is somehow conditioning the metabolic imprinting of each individual. </w:t>
      </w:r>
      <w:r w:rsidR="00701F83" w:rsidRPr="001F1399">
        <w:rPr>
          <w:rFonts w:ascii="Book Antiqua" w:eastAsia="Calibri" w:hAnsi="Book Antiqua" w:cs="Calibri"/>
          <w:sz w:val="24"/>
          <w:szCs w:val="24"/>
          <w:lang w:val="en-US"/>
        </w:rPr>
        <w:t xml:space="preserve">Recent literature clearly established that qualitative early nutrition is a prerequisite to limit the risks of </w:t>
      </w:r>
      <w:r w:rsidR="0000244F" w:rsidRPr="001F1399">
        <w:rPr>
          <w:rFonts w:ascii="Book Antiqua" w:eastAsia="Calibri" w:hAnsi="Book Antiqua" w:cs="Calibri"/>
          <w:sz w:val="24"/>
          <w:szCs w:val="24"/>
          <w:lang w:val="en-US"/>
        </w:rPr>
        <w:t>developing later in l</w:t>
      </w:r>
      <w:r w:rsidR="00AE66B5" w:rsidRPr="001F1399">
        <w:rPr>
          <w:rFonts w:ascii="Book Antiqua" w:eastAsia="Calibri" w:hAnsi="Book Antiqua" w:cs="Calibri"/>
          <w:sz w:val="24"/>
          <w:szCs w:val="24"/>
          <w:lang w:val="en-US"/>
        </w:rPr>
        <w:t>if</w:t>
      </w:r>
      <w:r w:rsidR="0000244F" w:rsidRPr="001F1399">
        <w:rPr>
          <w:rFonts w:ascii="Book Antiqua" w:eastAsia="Calibri" w:hAnsi="Book Antiqua" w:cs="Calibri"/>
          <w:sz w:val="24"/>
          <w:szCs w:val="24"/>
          <w:lang w:val="en-US"/>
        </w:rPr>
        <w:t xml:space="preserve">e </w:t>
      </w:r>
      <w:r w:rsidR="00AE66B5" w:rsidRPr="001F1399">
        <w:rPr>
          <w:rFonts w:ascii="Book Antiqua" w:eastAsia="Calibri" w:hAnsi="Book Antiqua" w:cs="Calibri"/>
          <w:sz w:val="24"/>
          <w:szCs w:val="24"/>
          <w:lang w:val="en-US"/>
        </w:rPr>
        <w:t>chronic diseases</w:t>
      </w:r>
      <w:r w:rsidR="00C55222" w:rsidRPr="001F1399">
        <w:rPr>
          <w:rFonts w:ascii="Book Antiqua" w:eastAsia="Calibri" w:hAnsi="Book Antiqua" w:cs="Calibri"/>
          <w:sz w:val="24"/>
          <w:szCs w:val="24"/>
          <w:lang w:val="en-US"/>
        </w:rPr>
        <w:t xml:space="preserve"> (Figure 1)</w:t>
      </w:r>
      <w:r w:rsidR="00AE66B5" w:rsidRPr="001F1399">
        <w:rPr>
          <w:rFonts w:ascii="Book Antiqua" w:eastAsia="Calibri" w:hAnsi="Book Antiqua" w:cs="Calibri"/>
          <w:sz w:val="24"/>
          <w:szCs w:val="24"/>
          <w:lang w:val="en-US"/>
        </w:rPr>
        <w:t xml:space="preserve">. </w:t>
      </w:r>
      <w:r w:rsidR="00B11691" w:rsidRPr="001F1399">
        <w:rPr>
          <w:rFonts w:ascii="Book Antiqua" w:eastAsia="Calibri" w:hAnsi="Book Antiqua" w:cs="Calibri"/>
          <w:sz w:val="24"/>
          <w:szCs w:val="24"/>
          <w:lang w:val="en-US"/>
        </w:rPr>
        <w:t>From the first studies</w:t>
      </w:r>
      <w:r w:rsidR="00C52ACF" w:rsidRPr="001F1399">
        <w:rPr>
          <w:rFonts w:ascii="Book Antiqua" w:eastAsia="Calibri" w:hAnsi="Book Antiqua" w:cs="Calibri"/>
          <w:sz w:val="24"/>
          <w:szCs w:val="24"/>
          <w:lang w:val="en-US"/>
        </w:rPr>
        <w:t xml:space="preserve"> describ</w:t>
      </w:r>
      <w:r w:rsidR="00B11691" w:rsidRPr="001F1399">
        <w:rPr>
          <w:rFonts w:ascii="Book Antiqua" w:eastAsia="Calibri" w:hAnsi="Book Antiqua" w:cs="Calibri"/>
          <w:sz w:val="24"/>
          <w:szCs w:val="24"/>
          <w:lang w:val="en-US"/>
        </w:rPr>
        <w:t>ing</w:t>
      </w:r>
      <w:r w:rsidR="00C52ACF" w:rsidRPr="001F1399">
        <w:rPr>
          <w:rFonts w:ascii="Book Antiqua" w:eastAsia="Calibri" w:hAnsi="Book Antiqua" w:cs="Calibri"/>
          <w:sz w:val="24"/>
          <w:szCs w:val="24"/>
          <w:lang w:val="en-US"/>
        </w:rPr>
        <w:t xml:space="preserve"> the </w:t>
      </w:r>
      <w:r w:rsidR="00CE295A" w:rsidRPr="001F1399">
        <w:rPr>
          <w:rStyle w:val="normaltextrun"/>
          <w:rFonts w:ascii="Book Antiqua" w:hAnsi="Book Antiqua" w:cs="Calibri"/>
          <w:bCs/>
          <w:sz w:val="24"/>
          <w:szCs w:val="24"/>
          <w:lang w:val="en-US"/>
        </w:rPr>
        <w:t>DOHaD</w:t>
      </w:r>
      <w:r w:rsidR="00C52ACF" w:rsidRPr="001F1399">
        <w:rPr>
          <w:rFonts w:ascii="Book Antiqua" w:eastAsia="Calibri" w:hAnsi="Book Antiqua" w:cs="Calibri"/>
          <w:sz w:val="24"/>
          <w:szCs w:val="24"/>
          <w:lang w:val="en-US"/>
        </w:rPr>
        <w:t>, several original articles have pointed out that a poor fetal and postnatal settlement of gut microbiota will necessarily remo</w:t>
      </w:r>
      <w:r w:rsidR="00E55D13" w:rsidRPr="001F1399">
        <w:rPr>
          <w:rFonts w:ascii="Book Antiqua" w:eastAsia="Calibri" w:hAnsi="Book Antiqua" w:cs="Calibri"/>
          <w:sz w:val="24"/>
          <w:szCs w:val="24"/>
          <w:lang w:val="en-US"/>
        </w:rPr>
        <w:t>dels</w:t>
      </w:r>
      <w:r w:rsidR="00C52ACF" w:rsidRPr="001F1399">
        <w:rPr>
          <w:rFonts w:ascii="Book Antiqua" w:eastAsia="Calibri" w:hAnsi="Book Antiqua" w:cs="Calibri"/>
          <w:sz w:val="24"/>
          <w:szCs w:val="24"/>
          <w:lang w:val="en-US"/>
        </w:rPr>
        <w:t xml:space="preserve"> neuro-immuno-endocrine maturation of the gut </w:t>
      </w:r>
      <w:r w:rsidR="00C55222" w:rsidRPr="001F1399">
        <w:rPr>
          <w:rFonts w:ascii="Book Antiqua" w:eastAsia="Calibri" w:hAnsi="Book Antiqua" w:cs="Calibri"/>
          <w:sz w:val="24"/>
          <w:szCs w:val="24"/>
          <w:lang w:val="en-US"/>
        </w:rPr>
        <w:t xml:space="preserve">(Figure 2) </w:t>
      </w:r>
      <w:r w:rsidR="00C52ACF" w:rsidRPr="001F1399">
        <w:rPr>
          <w:rFonts w:ascii="Book Antiqua" w:eastAsia="Calibri" w:hAnsi="Book Antiqua" w:cs="Calibri"/>
          <w:sz w:val="24"/>
          <w:szCs w:val="24"/>
          <w:lang w:val="en-US"/>
        </w:rPr>
        <w:t xml:space="preserve">that will, in turn, modify brain neuronal connections </w:t>
      </w:r>
      <w:r w:rsidR="00E55D13" w:rsidRPr="001F1399">
        <w:rPr>
          <w:rFonts w:ascii="Book Antiqua" w:eastAsia="Calibri" w:hAnsi="Book Antiqua" w:cs="Calibri"/>
          <w:sz w:val="24"/>
          <w:szCs w:val="24"/>
          <w:lang w:val="en-US"/>
        </w:rPr>
        <w:t>establishment</w:t>
      </w:r>
      <w:r w:rsidR="00C52ACF" w:rsidRPr="001F1399">
        <w:rPr>
          <w:rFonts w:ascii="Book Antiqua" w:eastAsia="Calibri" w:hAnsi="Book Antiqua" w:cs="Calibri"/>
          <w:sz w:val="24"/>
          <w:szCs w:val="24"/>
          <w:lang w:val="en-US"/>
        </w:rPr>
        <w:t xml:space="preserve"> leading to a significantly higher risk of developing later in life </w:t>
      </w:r>
      <w:r w:rsidR="00C73A76" w:rsidRPr="001F1399">
        <w:rPr>
          <w:rFonts w:ascii="Book Antiqua" w:eastAsia="Calibri" w:hAnsi="Book Antiqua" w:cs="Calibri"/>
          <w:sz w:val="24"/>
          <w:szCs w:val="24"/>
          <w:lang w:val="en-US"/>
        </w:rPr>
        <w:t>NCCD</w:t>
      </w:r>
      <w:r w:rsidR="47FE0D93" w:rsidRPr="001F1399">
        <w:rPr>
          <w:rFonts w:ascii="Book Antiqua" w:eastAsia="Calibri" w:hAnsi="Book Antiqua" w:cs="Calibri"/>
          <w:sz w:val="24"/>
          <w:szCs w:val="24"/>
          <w:lang w:val="en-US"/>
        </w:rPr>
        <w:t>,</w:t>
      </w:r>
      <w:r w:rsidR="00C73A76" w:rsidRPr="001F1399">
        <w:rPr>
          <w:rFonts w:ascii="Book Antiqua" w:eastAsia="Calibri" w:hAnsi="Book Antiqua" w:cs="Calibri"/>
          <w:sz w:val="24"/>
          <w:szCs w:val="24"/>
          <w:lang w:val="en-US"/>
        </w:rPr>
        <w:t xml:space="preserve"> </w:t>
      </w:r>
      <w:r w:rsidR="00C52ACF" w:rsidRPr="001F1399">
        <w:rPr>
          <w:rFonts w:ascii="Book Antiqua" w:eastAsia="Calibri" w:hAnsi="Book Antiqua" w:cs="Calibri"/>
          <w:sz w:val="24"/>
          <w:szCs w:val="24"/>
          <w:lang w:val="en-US"/>
        </w:rPr>
        <w:t>either at the gut of the brain level see</w:t>
      </w:r>
      <w:r w:rsidRPr="001F1399">
        <w:rPr>
          <w:rFonts w:ascii="Book Antiqua" w:eastAsia="Calibri" w:hAnsi="Book Antiqua" w:cs="Calibri"/>
          <w:sz w:val="24"/>
          <w:szCs w:val="24"/>
          <w:lang w:val="en-US"/>
        </w:rPr>
        <w:fldChar w:fldCharType="begin" w:fldLock="1"/>
      </w:r>
      <w:r w:rsidR="00B1214D" w:rsidRPr="001F1399">
        <w:rPr>
          <w:rFonts w:ascii="Book Antiqua" w:eastAsia="Calibri" w:hAnsi="Book Antiqua" w:cs="Calibri"/>
          <w:sz w:val="24"/>
          <w:szCs w:val="24"/>
          <w:lang w:val="en-US"/>
        </w:rPr>
        <w:instrText>ADDIN CSL_CITATION {"citationItems":[{"id":"ITEM-1","itemData":{"DOI":"10.1042/CS20040367","ISSN":"01435221","PMID":"15966867","abstract":"There is increasing concern about the rapidly rising incidence of obesity worldwide and its impact both on mortality, morbidity and the cost of healthcare. In the last 15 years, a large volume of research has linked low birth weight to many adult diseases in humans, such as Type II diabetes, cardiovascular disease, hypertension and the metabolic syndrome. Obesity is a causal factor in all these conditions. There are epidemiological studies linking low birth weight to increased adiposity, but the timing of the insult during gestation seems crucial, as reducing maternal nutrition in late gestation and during lactation causes a reduction in later obesity. Recent studies in animal models have provided clues towards mechanisms of altered appetite regulation following alterations in fetal and neonatal growth. The outcome of these and future studies could prove clinically crucial, particularly in the debate over the benefits of breast feeding, which provides a lower plane of nutrition compared with formula feeding. © 2005 The Biochemical Society.","author":[{"dropping-particle":"","family":"Cripps","given":"Roselle L.","non-dropping-particle":"","parse-names":false,"suffix":""},{"dropping-particle":"","family":"Martin-Gronert","given":"Malgorzata S.","non-dropping-particle":"","parse-names":false,"suffix":""},{"dropping-particle":"","family":"Ozanne","given":"Susan E.","non-dropping-particle":"","parse-names":false,"suffix":""}],"container-title":"Clinical Science","id":"ITEM-1","issue":"1","issued":{"date-parts":[["2005"]]},"page":"1-11","title":"Fetal and perinatal programming of appetite","type":"article-journal","volume":"109"},"uris":["http://www.mendeley.com/documents/?uuid=dce37761-2c4d-4429-ac84-73615fb190b2"]}],"mendeley":{"formattedCitation":"&lt;sup&gt;[2]&lt;/sup&gt;","plainTextFormattedCitation":"[2]","previouslyFormattedCitation":"&lt;sup&gt;[1]&lt;/sup&gt;"},"properties":{"noteIndex":0},"schema":"https://github.com/citation-style-language/schema/raw/master/csl-citation.json"}</w:instrText>
      </w:r>
      <w:r w:rsidRPr="001F1399">
        <w:rPr>
          <w:rFonts w:ascii="Book Antiqua" w:eastAsia="Calibri" w:hAnsi="Book Antiqua" w:cs="Calibri"/>
          <w:sz w:val="24"/>
          <w:szCs w:val="24"/>
          <w:vertAlign w:val="superscript"/>
          <w:lang w:val="en-US"/>
        </w:rPr>
        <w:fldChar w:fldCharType="separate"/>
      </w:r>
      <w:r w:rsidR="00B1214D" w:rsidRPr="001F1399">
        <w:rPr>
          <w:rFonts w:ascii="Book Antiqua" w:eastAsia="Calibri" w:hAnsi="Book Antiqua" w:cs="Calibri"/>
          <w:noProof/>
          <w:sz w:val="24"/>
          <w:szCs w:val="24"/>
          <w:vertAlign w:val="superscript"/>
          <w:lang w:val="en-US"/>
        </w:rPr>
        <w:t>[2]</w:t>
      </w:r>
      <w:r w:rsidRPr="001F1399">
        <w:rPr>
          <w:rFonts w:ascii="Book Antiqua" w:eastAsia="Calibri" w:hAnsi="Book Antiqua" w:cs="Calibri"/>
          <w:sz w:val="24"/>
          <w:szCs w:val="24"/>
          <w:lang w:val="en-US"/>
        </w:rPr>
        <w:fldChar w:fldCharType="end"/>
      </w:r>
      <w:r w:rsidR="00C52ACF" w:rsidRPr="001F1399">
        <w:rPr>
          <w:rFonts w:ascii="Book Antiqua" w:eastAsia="Calibri" w:hAnsi="Book Antiqua" w:cs="Calibri"/>
          <w:sz w:val="24"/>
          <w:szCs w:val="24"/>
          <w:lang w:val="en-US"/>
        </w:rPr>
        <w:t xml:space="preserve"> for review.</w:t>
      </w:r>
      <w:r w:rsidR="00C73A76" w:rsidRPr="001F1399">
        <w:rPr>
          <w:rFonts w:ascii="Book Antiqua" w:eastAsia="Calibri" w:hAnsi="Book Antiqua" w:cs="Calibri"/>
          <w:sz w:val="24"/>
          <w:szCs w:val="24"/>
          <w:lang w:val="en-US"/>
        </w:rPr>
        <w:t xml:space="preserve"> However, this </w:t>
      </w:r>
      <w:r w:rsidR="005F5807" w:rsidRPr="001F1399">
        <w:rPr>
          <w:rFonts w:ascii="Book Antiqua" w:eastAsia="Calibri" w:hAnsi="Book Antiqua" w:cs="Calibri"/>
          <w:sz w:val="24"/>
          <w:szCs w:val="24"/>
          <w:lang w:val="en-US"/>
        </w:rPr>
        <w:t xml:space="preserve">poor </w:t>
      </w:r>
      <w:r w:rsidR="00E55D13" w:rsidRPr="001F1399">
        <w:rPr>
          <w:rFonts w:ascii="Book Antiqua" w:eastAsia="Calibri" w:hAnsi="Book Antiqua" w:cs="Calibri"/>
          <w:sz w:val="24"/>
          <w:szCs w:val="24"/>
          <w:lang w:val="en-US"/>
        </w:rPr>
        <w:t>establishment</w:t>
      </w:r>
      <w:r w:rsidR="00C73A76" w:rsidRPr="001F1399">
        <w:rPr>
          <w:rFonts w:ascii="Book Antiqua" w:eastAsia="Calibri" w:hAnsi="Book Antiqua" w:cs="Calibri"/>
          <w:sz w:val="24"/>
          <w:szCs w:val="24"/>
          <w:lang w:val="en-US"/>
        </w:rPr>
        <w:t xml:space="preserve"> of an efficient gut barrier may have other deleterious effects that will result into other NCCD affecting the endocrine function: diabetes</w:t>
      </w:r>
      <w:r w:rsidRPr="001F1399">
        <w:rPr>
          <w:rFonts w:ascii="Book Antiqua" w:eastAsia="Calibri" w:hAnsi="Book Antiqua" w:cs="Calibri"/>
          <w:sz w:val="24"/>
          <w:szCs w:val="24"/>
          <w:lang w:val="en-US"/>
        </w:rPr>
        <w:fldChar w:fldCharType="begin" w:fldLock="1"/>
      </w:r>
      <w:r w:rsidR="00B1214D" w:rsidRPr="001F1399">
        <w:rPr>
          <w:rFonts w:ascii="Book Antiqua" w:eastAsia="Calibri" w:hAnsi="Book Antiqua" w:cs="Calibri"/>
          <w:sz w:val="24"/>
          <w:szCs w:val="24"/>
          <w:lang w:val="en-US"/>
        </w:rPr>
        <w:instrText>ADDIN CSL_CITATION {"citationItems":[{"id":"ITEM-1","itemData":{"DOI":"10.1136/bmj.303.6809.1019","ISSN":"0959-8138","author":[{"dropping-particle":"","family":"Hales","given":"C N","non-dropping-particle":"","parse-names":false,"suffix":""},{"dropping-particle":"","family":"Barker","given":"D J","non-dropping-particle":"","parse-names":false,"suffix":""},{"dropping-particle":"","family":"Clark","given":"P M","non-dropping-particle":"","parse-names":false,"suffix":""},{"dropping-particle":"","family":"Cox","given":"L J","non-dropping-particle":"","parse-names":false,"suffix":""},{"dropping-particle":"","family":"Fall","given":"C","non-dropping-particle":"","parse-names":false,"suffix":""},{"dropping-particle":"","family":"Osmond","given":"C","non-dropping-particle":"","parse-names":false,"suffix":""},{"dropping-particle":"","family":"Winter","given":"P D","non-dropping-particle":"","parse-names":false,"suffix":""}],"container-title":"BMJ","id":"ITEM-1","issue":"6809","issued":{"date-parts":[["1991","10"]]},"page":"1019-1022","title":"Fetal and infant growth and impaired glucose tolerance at age 64.","type":"article-journal","volume":"303"},"uris":["http://www.mendeley.com/documents/?uuid=bbe36edf-9c3c-4a01-bc6b-8443a962242e"]}],"mendeley":{"formattedCitation":"&lt;sup&gt;[225]&lt;/sup&gt;"},"properties":{"noteIndex":0},"schema":"https://github.com/citation-style-language/schema/raw/master/csl-citation.json"}</w:instrText>
      </w:r>
      <w:r w:rsidRPr="001F1399">
        <w:rPr>
          <w:rFonts w:ascii="Book Antiqua" w:eastAsia="Calibri" w:hAnsi="Book Antiqua" w:cs="Calibri"/>
          <w:sz w:val="24"/>
          <w:szCs w:val="24"/>
          <w:lang w:val="en-US"/>
        </w:rPr>
        <w:fldChar w:fldCharType="separate"/>
      </w:r>
      <w:r w:rsidR="00B1214D" w:rsidRPr="001F1399">
        <w:rPr>
          <w:rFonts w:ascii="Book Antiqua" w:eastAsia="Calibri" w:hAnsi="Book Antiqua" w:cs="Calibri"/>
          <w:noProof/>
          <w:sz w:val="24"/>
          <w:szCs w:val="24"/>
          <w:vertAlign w:val="superscript"/>
          <w:lang w:val="en-US"/>
        </w:rPr>
        <w:t>[</w:t>
      </w:r>
      <w:r w:rsidR="002A022C" w:rsidRPr="001F1399">
        <w:rPr>
          <w:rFonts w:ascii="Book Antiqua" w:eastAsia="Calibri" w:hAnsi="Book Antiqua" w:cs="Calibri"/>
          <w:noProof/>
          <w:sz w:val="24"/>
          <w:szCs w:val="24"/>
          <w:vertAlign w:val="superscript"/>
          <w:lang w:val="en-US"/>
        </w:rPr>
        <w:t>224</w:t>
      </w:r>
      <w:r w:rsidR="00B1214D" w:rsidRPr="001F1399">
        <w:rPr>
          <w:rFonts w:ascii="Book Antiqua" w:eastAsia="Calibri" w:hAnsi="Book Antiqua" w:cs="Calibri"/>
          <w:noProof/>
          <w:sz w:val="24"/>
          <w:szCs w:val="24"/>
          <w:vertAlign w:val="superscript"/>
          <w:lang w:val="en-US"/>
        </w:rPr>
        <w:t>]</w:t>
      </w:r>
      <w:r w:rsidRPr="001F1399">
        <w:rPr>
          <w:rFonts w:ascii="Book Antiqua" w:eastAsia="Calibri" w:hAnsi="Book Antiqua" w:cs="Calibri"/>
          <w:sz w:val="24"/>
          <w:szCs w:val="24"/>
          <w:lang w:val="en-US"/>
        </w:rPr>
        <w:fldChar w:fldCharType="end"/>
      </w:r>
      <w:r w:rsidR="00C73A76" w:rsidRPr="001F1399">
        <w:rPr>
          <w:rFonts w:ascii="Book Antiqua" w:eastAsia="Calibri" w:hAnsi="Book Antiqua" w:cs="Calibri"/>
          <w:sz w:val="24"/>
          <w:szCs w:val="24"/>
          <w:lang w:val="en-US"/>
        </w:rPr>
        <w:t>, hypertension</w:t>
      </w:r>
      <w:r w:rsidRPr="001F1399">
        <w:rPr>
          <w:rFonts w:ascii="Book Antiqua" w:eastAsia="Calibri" w:hAnsi="Book Antiqua" w:cs="Calibri"/>
          <w:sz w:val="24"/>
          <w:szCs w:val="24"/>
          <w:lang w:val="en-US"/>
        </w:rPr>
        <w:fldChar w:fldCharType="begin" w:fldLock="1"/>
      </w:r>
      <w:r w:rsidR="00B1214D" w:rsidRPr="001F1399">
        <w:rPr>
          <w:rFonts w:ascii="Book Antiqua" w:eastAsia="Calibri" w:hAnsi="Book Antiqua" w:cs="Calibri"/>
          <w:sz w:val="24"/>
          <w:szCs w:val="24"/>
          <w:lang w:val="en-US"/>
        </w:rPr>
        <w:instrText>ADDIN CSL_CITATION {"citationItems":[{"id":"ITEM-1","itemData":{"DOI":"10.1136/bmj.297.6641.134-b","ISSN":"0959-8138","PMID":"3408942","author":[{"dropping-particle":"","family":"Barker","given":"D. J.","non-dropping-particle":"","parse-names":false,"suffix":""},{"dropping-particle":"","family":"Osmond","given":"C.","non-dropping-particle":"","parse-names":false,"suffix":""}],"container-title":"BMJ","id":"ITEM-1","issue":"6641","issued":{"date-parts":[["1988","7","9"]]},"page":"134-135","title":"Low birth weight and hypertension.","type":"article-journal","volume":"297"},"uris":["http://www.mendeley.com/documents/?uuid=344b1861-27d0-44b7-b342-1f7be9fefb2a"]}],"mendeley":{"formattedCitation":"&lt;sup&gt;[1]&lt;/sup&gt;"},"properties":{"noteIndex":0},"schema":"https://github.com/citation-style-language/schema/raw/master/csl-citation.json"}</w:instrText>
      </w:r>
      <w:r w:rsidRPr="001F1399">
        <w:rPr>
          <w:rFonts w:ascii="Book Antiqua" w:eastAsia="Calibri" w:hAnsi="Book Antiqua" w:cs="Calibri"/>
          <w:sz w:val="24"/>
          <w:szCs w:val="24"/>
          <w:lang w:val="en-US"/>
        </w:rPr>
        <w:fldChar w:fldCharType="separate"/>
      </w:r>
      <w:r w:rsidR="00B1214D" w:rsidRPr="001F1399">
        <w:rPr>
          <w:rFonts w:ascii="Book Antiqua" w:eastAsia="Calibri" w:hAnsi="Book Antiqua" w:cs="Calibri"/>
          <w:noProof/>
          <w:sz w:val="24"/>
          <w:szCs w:val="24"/>
          <w:vertAlign w:val="superscript"/>
          <w:lang w:val="en-US"/>
        </w:rPr>
        <w:t>[1]</w:t>
      </w:r>
      <w:r w:rsidRPr="001F1399">
        <w:rPr>
          <w:rFonts w:ascii="Book Antiqua" w:eastAsia="Calibri" w:hAnsi="Book Antiqua" w:cs="Calibri"/>
          <w:sz w:val="24"/>
          <w:szCs w:val="24"/>
          <w:lang w:val="en-US"/>
        </w:rPr>
        <w:fldChar w:fldCharType="end"/>
      </w:r>
      <w:r w:rsidR="00BA690B" w:rsidRPr="001F1399">
        <w:rPr>
          <w:rFonts w:ascii="Book Antiqua" w:eastAsia="Calibri" w:hAnsi="Book Antiqua" w:cs="Calibri"/>
          <w:sz w:val="24"/>
          <w:szCs w:val="24"/>
          <w:lang w:val="en-US"/>
        </w:rPr>
        <w:t xml:space="preserve"> </w:t>
      </w:r>
      <w:r w:rsidR="00C73A76" w:rsidRPr="001F1399">
        <w:rPr>
          <w:rFonts w:ascii="Book Antiqua" w:eastAsia="Calibri" w:hAnsi="Book Antiqua" w:cs="Calibri"/>
          <w:sz w:val="24"/>
          <w:szCs w:val="24"/>
          <w:lang w:val="en-US"/>
        </w:rPr>
        <w:t xml:space="preserve">but also general behavior. Indeed, it has long been evidenced that developmental exposure to testosterone produced by fetal testis </w:t>
      </w:r>
      <w:r w:rsidR="00E55D13" w:rsidRPr="001F1399">
        <w:rPr>
          <w:rFonts w:ascii="Book Antiqua" w:eastAsia="Calibri" w:hAnsi="Book Antiqua" w:cs="Calibri"/>
          <w:sz w:val="24"/>
          <w:szCs w:val="24"/>
          <w:lang w:val="en-US"/>
        </w:rPr>
        <w:t>programs male sexual behavior</w:t>
      </w:r>
      <w:r w:rsidRPr="001F1399">
        <w:rPr>
          <w:rFonts w:ascii="Book Antiqua" w:eastAsia="Calibri" w:hAnsi="Book Antiqua" w:cs="Calibri"/>
          <w:sz w:val="24"/>
          <w:szCs w:val="24"/>
          <w:lang w:val="en-US"/>
        </w:rPr>
        <w:fldChar w:fldCharType="begin" w:fldLock="1"/>
      </w:r>
      <w:r w:rsidR="00B1214D" w:rsidRPr="001F1399">
        <w:rPr>
          <w:rFonts w:ascii="Book Antiqua" w:eastAsia="Calibri" w:hAnsi="Book Antiqua" w:cs="Calibri"/>
          <w:sz w:val="24"/>
          <w:szCs w:val="24"/>
          <w:lang w:val="en-US"/>
        </w:rPr>
        <w:instrText>ADDIN CSL_CITATION {"citationItems":[{"id":"ITEM-1","itemData":{"DOI":"10.1159/000179780","ISSN":"1423-0046","PMID":"6350147","author":[{"dropping-particle":"","family":"Forest","given":"Maguelone G.","non-dropping-particle":"","parse-names":false,"suffix":""}],"container-title":"Hormone Research","id":"ITEM-1","issue":"1-3","issued":{"date-parts":[["1983"]]},"page":"69-83","title":"Role of Androgens in Fetal and Pubertal Development","type":"article-journal","volume":"18"},"uris":["http://www.mendeley.com/documents/?uuid=11ee4ad6-1f65-4151-b578-ebc9ba7eb489"]},{"id":"ITEM-2","itemData":{"DOI":"10.1093/ansci/61.Supplement_3.38","ISSN":"0021-8812","PMID":"3908433","author":[{"dropping-particle":"","family":"Gorski","given":"Roger A.","non-dropping-particle":"","parse-names":false,"suffix":""}],"container-title":"Journal of Animal Science","id":"ITEM-2","issue":"suppl_3","issued":{"date-parts":[["1985","1","1"]]},"page":"38-61","title":"sexual dismorphism of the brain","type":"article-journal","volume":"61"},"uris":["http://www.mendeley.com/documents/?uuid=7f2475ed-3a94-4611-b810-99bad4a8207a"]},{"id":"ITEM-3","itemData":{"DOI":"10.1016/0306-4530(83)90055-0","ISSN":"03064530","PMID":"6353469","author":[{"dropping-particle":"","family":"Jost","given":"Alfred","non-dropping-particle":"","parse-names":false,"suffix":""}],"container-title":"Psychoneuroendocrinology","id":"ITEM-3","issue":"2","issued":{"date-parts":[["1983","1"]]},"page":"183-193","title":"Genetic and hormonal factors in sex differentiation of the brain","type":"article-journal","volume":"8"},"uris":["http://www.mendeley.com/documents/?uuid=4707e187-9f3b-467d-9753-570817b955d8"]}],"mendeley":{"formattedCitation":"&lt;sup&gt;[226–228]&lt;/sup&gt;"},"properties":{"noteIndex":0},"schema":"https://github.com/citation-style-language/schema/raw/master/csl-citation.json"}</w:instrText>
      </w:r>
      <w:r w:rsidRPr="001F1399">
        <w:rPr>
          <w:rFonts w:ascii="Book Antiqua" w:eastAsia="Calibri" w:hAnsi="Book Antiqua" w:cs="Calibri"/>
          <w:sz w:val="24"/>
          <w:szCs w:val="24"/>
          <w:lang w:val="en-US"/>
        </w:rPr>
        <w:fldChar w:fldCharType="separate"/>
      </w:r>
      <w:r w:rsidR="00B1214D" w:rsidRPr="001F1399">
        <w:rPr>
          <w:rFonts w:ascii="Book Antiqua" w:eastAsia="Calibri" w:hAnsi="Book Antiqua" w:cs="Calibri"/>
          <w:noProof/>
          <w:sz w:val="24"/>
          <w:szCs w:val="24"/>
          <w:vertAlign w:val="superscript"/>
          <w:lang w:val="en-US"/>
        </w:rPr>
        <w:t>[22</w:t>
      </w:r>
      <w:r w:rsidR="002A022C" w:rsidRPr="001F1399">
        <w:rPr>
          <w:rFonts w:ascii="Book Antiqua" w:eastAsia="Calibri" w:hAnsi="Book Antiqua" w:cs="Calibri"/>
          <w:noProof/>
          <w:sz w:val="24"/>
          <w:szCs w:val="24"/>
          <w:vertAlign w:val="superscript"/>
          <w:lang w:val="en-US"/>
        </w:rPr>
        <w:t>5</w:t>
      </w:r>
      <w:r w:rsidR="00B1214D" w:rsidRPr="001F1399">
        <w:rPr>
          <w:rFonts w:ascii="Book Antiqua" w:eastAsia="Calibri" w:hAnsi="Book Antiqua" w:cs="Calibri"/>
          <w:noProof/>
          <w:sz w:val="24"/>
          <w:szCs w:val="24"/>
          <w:vertAlign w:val="superscript"/>
          <w:lang w:val="en-US"/>
        </w:rPr>
        <w:t>–22</w:t>
      </w:r>
      <w:r w:rsidR="002A022C" w:rsidRPr="001F1399">
        <w:rPr>
          <w:rFonts w:ascii="Book Antiqua" w:eastAsia="Calibri" w:hAnsi="Book Antiqua" w:cs="Calibri"/>
          <w:noProof/>
          <w:sz w:val="24"/>
          <w:szCs w:val="24"/>
          <w:vertAlign w:val="superscript"/>
          <w:lang w:val="en-US"/>
        </w:rPr>
        <w:t>7</w:t>
      </w:r>
      <w:r w:rsidR="00B1214D" w:rsidRPr="001F1399">
        <w:rPr>
          <w:rFonts w:ascii="Book Antiqua" w:eastAsia="Calibri" w:hAnsi="Book Antiqua" w:cs="Calibri"/>
          <w:noProof/>
          <w:sz w:val="24"/>
          <w:szCs w:val="24"/>
          <w:vertAlign w:val="superscript"/>
          <w:lang w:val="en-US"/>
        </w:rPr>
        <w:t>]</w:t>
      </w:r>
      <w:r w:rsidRPr="001F1399">
        <w:rPr>
          <w:rFonts w:ascii="Book Antiqua" w:eastAsia="Calibri" w:hAnsi="Book Antiqua" w:cs="Calibri"/>
          <w:sz w:val="24"/>
          <w:szCs w:val="24"/>
          <w:lang w:val="en-US"/>
        </w:rPr>
        <w:fldChar w:fldCharType="end"/>
      </w:r>
      <w:r w:rsidR="00BA0AB8" w:rsidRPr="001F1399">
        <w:rPr>
          <w:rFonts w:ascii="Book Antiqua" w:eastAsia="Calibri" w:hAnsi="Book Antiqua" w:cs="Calibri"/>
          <w:sz w:val="24"/>
          <w:szCs w:val="24"/>
          <w:lang w:val="en-US"/>
        </w:rPr>
        <w:t xml:space="preserve"> </w:t>
      </w:r>
      <w:r w:rsidR="00E55D13" w:rsidRPr="001F1399">
        <w:rPr>
          <w:rFonts w:ascii="Book Antiqua" w:eastAsia="Calibri" w:hAnsi="Book Antiqua" w:cs="Calibri"/>
          <w:sz w:val="24"/>
          <w:szCs w:val="24"/>
          <w:lang w:val="en-US"/>
        </w:rPr>
        <w:t>while excessive exposure of female fetus to this hormone during critical windows of differentiation will masculinize the female brain</w:t>
      </w:r>
      <w:r w:rsidRPr="001F1399">
        <w:rPr>
          <w:rFonts w:ascii="Book Antiqua" w:eastAsia="Calibri" w:hAnsi="Book Antiqua" w:cs="Calibri"/>
          <w:sz w:val="24"/>
          <w:szCs w:val="24"/>
          <w:lang w:val="en-US"/>
        </w:rPr>
        <w:fldChar w:fldCharType="begin" w:fldLock="1"/>
      </w:r>
      <w:r w:rsidR="00B1214D" w:rsidRPr="001F1399">
        <w:rPr>
          <w:rFonts w:ascii="Book Antiqua" w:eastAsia="Calibri" w:hAnsi="Book Antiqua" w:cs="Calibri"/>
          <w:sz w:val="24"/>
          <w:szCs w:val="24"/>
          <w:lang w:val="en-US"/>
        </w:rPr>
        <w:instrText>ADDIN CSL_CITATION {"citationItems":[{"id":"ITEM-1","itemData":{"DOI":"10.1210/endo-65-3-369","ISSN":"00137227","PMID":"14432658","author":[{"dropping-particle":"","family":"Phoenix","given":"C. H.","non-dropping-particle":"","parse-names":false,"suffix":""},{"dropping-particle":"","family":"Goy","given":"R. W.","non-dropping-particle":"","parse-names":false,"suffix":""},{"dropping-particle":"","family":"Gerall","given":"A. A.","non-dropping-particle":"","parse-names":false,"suffix":""},{"dropping-particle":"","family":"Young","given":"W. C.","non-dropping-particle":"","parse-names":false,"suffix":""}],"container-title":"Endocrinology","id":"ITEM-1","issue":"3","issued":{"date-parts":[["1959","9"]]},"page":"369-382","title":"Organizing action of prenatally administered testosterone propionate on the tissues mediating mating behavior in the female guinea pig","type":"article-journal","volume":"65"},"uris":["http://www.mendeley.com/documents/?uuid=69d1a46f-e371-4030-9415-47197a61c512"]},{"id":"ITEM-2","itemData":{"DOI":"10.1530/ror.0.0030130","ISSN":"1359-6004","PMID":"9685192","author":[{"dropping-particle":"","family":"Wood","given":"R.","non-dropping-particle":"","parse-names":false,"suffix":""}],"container-title":"Reviews of Reproduction","id":"ITEM-2","issue":"2","issued":{"date-parts":[["1998","5","1"]]},"page":"130-140","title":"Sexual differentiation of reproductive neuroendocrine function in sheep","type":"article-journal","volume":"3"},"uris":["http://www.mendeley.com/documents/?uuid=66ee4b72-6dd0-45ef-97ac-bee3c1e7bb16"]}],"mendeley":{"formattedCitation":"&lt;sup&gt;[229,230]&lt;/sup&gt;"},"properties":{"noteIndex":0},"schema":"https://github.com/citation-style-language/schema/raw/master/csl-citation.json"}</w:instrText>
      </w:r>
      <w:r w:rsidRPr="001F1399">
        <w:rPr>
          <w:rFonts w:ascii="Book Antiqua" w:eastAsia="Calibri" w:hAnsi="Book Antiqua" w:cs="Calibri"/>
          <w:sz w:val="24"/>
          <w:szCs w:val="24"/>
          <w:lang w:val="en-US"/>
        </w:rPr>
        <w:fldChar w:fldCharType="separate"/>
      </w:r>
      <w:r w:rsidR="00B1214D" w:rsidRPr="001F1399">
        <w:rPr>
          <w:rFonts w:ascii="Book Antiqua" w:eastAsia="Calibri" w:hAnsi="Book Antiqua" w:cs="Calibri"/>
          <w:noProof/>
          <w:sz w:val="24"/>
          <w:szCs w:val="24"/>
          <w:vertAlign w:val="superscript"/>
          <w:lang w:val="en-US"/>
        </w:rPr>
        <w:t>[22</w:t>
      </w:r>
      <w:r w:rsidR="002A022C" w:rsidRPr="001F1399">
        <w:rPr>
          <w:rFonts w:ascii="Book Antiqua" w:eastAsia="Calibri" w:hAnsi="Book Antiqua" w:cs="Calibri"/>
          <w:noProof/>
          <w:sz w:val="24"/>
          <w:szCs w:val="24"/>
          <w:vertAlign w:val="superscript"/>
          <w:lang w:val="en-US"/>
        </w:rPr>
        <w:t>8</w:t>
      </w:r>
      <w:r w:rsidR="00B1214D" w:rsidRPr="001F1399">
        <w:rPr>
          <w:rFonts w:ascii="Book Antiqua" w:eastAsia="Calibri" w:hAnsi="Book Antiqua" w:cs="Calibri"/>
          <w:noProof/>
          <w:sz w:val="24"/>
          <w:szCs w:val="24"/>
          <w:vertAlign w:val="superscript"/>
          <w:lang w:val="en-US"/>
        </w:rPr>
        <w:t>,2</w:t>
      </w:r>
      <w:r w:rsidR="002A022C" w:rsidRPr="001F1399">
        <w:rPr>
          <w:rFonts w:ascii="Book Antiqua" w:eastAsia="Calibri" w:hAnsi="Book Antiqua" w:cs="Calibri"/>
          <w:noProof/>
          <w:sz w:val="24"/>
          <w:szCs w:val="24"/>
          <w:vertAlign w:val="superscript"/>
          <w:lang w:val="en-US"/>
        </w:rPr>
        <w:t>29</w:t>
      </w:r>
      <w:r w:rsidR="00B1214D" w:rsidRPr="001F1399">
        <w:rPr>
          <w:rFonts w:ascii="Book Antiqua" w:eastAsia="Calibri" w:hAnsi="Book Antiqua" w:cs="Calibri"/>
          <w:noProof/>
          <w:sz w:val="24"/>
          <w:szCs w:val="24"/>
          <w:vertAlign w:val="superscript"/>
          <w:lang w:val="en-US"/>
        </w:rPr>
        <w:t>]</w:t>
      </w:r>
      <w:r w:rsidRPr="001F1399">
        <w:rPr>
          <w:rFonts w:ascii="Book Antiqua" w:eastAsia="Calibri" w:hAnsi="Book Antiqua" w:cs="Calibri"/>
          <w:sz w:val="24"/>
          <w:szCs w:val="24"/>
          <w:lang w:val="en-US"/>
        </w:rPr>
        <w:fldChar w:fldCharType="end"/>
      </w:r>
      <w:r w:rsidR="002C7ECC" w:rsidRPr="001F1399">
        <w:rPr>
          <w:rFonts w:ascii="Book Antiqua" w:eastAsia="Calibri" w:hAnsi="Book Antiqua" w:cs="Calibri"/>
          <w:sz w:val="24"/>
          <w:szCs w:val="24"/>
          <w:lang w:val="en-US"/>
        </w:rPr>
        <w:t xml:space="preserve">. Many other factors may also be </w:t>
      </w:r>
      <w:r w:rsidR="00BA0AB8" w:rsidRPr="001F1399">
        <w:rPr>
          <w:rFonts w:ascii="Book Antiqua" w:eastAsia="Calibri" w:hAnsi="Book Antiqua" w:cs="Calibri"/>
          <w:sz w:val="24"/>
          <w:szCs w:val="24"/>
          <w:lang w:val="en-US"/>
        </w:rPr>
        <w:t>responsible</w:t>
      </w:r>
      <w:r w:rsidR="002C7ECC" w:rsidRPr="001F1399">
        <w:rPr>
          <w:rFonts w:ascii="Book Antiqua" w:eastAsia="Calibri" w:hAnsi="Book Antiqua" w:cs="Calibri"/>
          <w:sz w:val="24"/>
          <w:szCs w:val="24"/>
          <w:lang w:val="en-US"/>
        </w:rPr>
        <w:t xml:space="preserve"> of fetal and postnatal major programming modifications which will increase the risk of developing NCCD. Mother undernutrition or malnutrition, poor placental development will be at the origin of growth retardation. Compensatory growth during early life is also a risk factor for the development of adult disease in the </w:t>
      </w:r>
      <w:r w:rsidR="002C7ECC" w:rsidRPr="001F1399">
        <w:rPr>
          <w:rFonts w:ascii="Book Antiqua" w:eastAsia="Calibri" w:hAnsi="Book Antiqua" w:cs="Calibri"/>
          <w:sz w:val="24"/>
          <w:szCs w:val="24"/>
          <w:lang w:val="en-US"/>
        </w:rPr>
        <w:lastRenderedPageBreak/>
        <w:t xml:space="preserve">offspring. Moreover, maternal stress, conditioning </w:t>
      </w:r>
      <w:r w:rsidR="00AE5512" w:rsidRPr="001F1399">
        <w:rPr>
          <w:rFonts w:ascii="Book Antiqua" w:eastAsia="Calibri" w:hAnsi="Book Antiqua" w:cs="Calibri"/>
          <w:sz w:val="24"/>
          <w:szCs w:val="24"/>
          <w:lang w:val="en-US"/>
        </w:rPr>
        <w:t>corticotropin releasing hormone</w:t>
      </w:r>
      <w:r w:rsidR="002C7ECC" w:rsidRPr="001F1399">
        <w:rPr>
          <w:rFonts w:ascii="Book Antiqua" w:eastAsia="Calibri" w:hAnsi="Book Antiqua" w:cs="Calibri"/>
          <w:sz w:val="24"/>
          <w:szCs w:val="24"/>
          <w:lang w:val="en-US"/>
        </w:rPr>
        <w:t xml:space="preserve"> and cortisol release, has been evidenced to alter irreversibly perinatal programming as well as maternal disease state especially when associated with prescription drugs such as antibiotics. Mother lifestyle: family size, living place, presence of pets in households </w:t>
      </w:r>
      <w:r w:rsidR="00FC506D" w:rsidRPr="001F1399">
        <w:rPr>
          <w:rFonts w:ascii="Book Antiqua" w:eastAsia="Calibri" w:hAnsi="Book Antiqua" w:cs="Calibri"/>
          <w:i/>
          <w:iCs/>
          <w:sz w:val="24"/>
          <w:szCs w:val="24"/>
          <w:lang w:val="en-US"/>
        </w:rPr>
        <w:t>etc</w:t>
      </w:r>
      <w:r w:rsidR="000A6ED0" w:rsidRPr="001F1399">
        <w:rPr>
          <w:rFonts w:ascii="Book Antiqua" w:eastAsia="Calibri" w:hAnsi="Book Antiqua" w:cs="Calibri"/>
          <w:sz w:val="24"/>
          <w:szCs w:val="24"/>
          <w:lang w:val="en-US"/>
        </w:rPr>
        <w:t>.</w:t>
      </w:r>
      <w:r w:rsidR="002C7ECC" w:rsidRPr="001F1399">
        <w:rPr>
          <w:rFonts w:ascii="Book Antiqua" w:eastAsia="Calibri" w:hAnsi="Book Antiqua" w:cs="Calibri"/>
          <w:sz w:val="24"/>
          <w:szCs w:val="24"/>
          <w:lang w:val="en-US"/>
        </w:rPr>
        <w:t xml:space="preserve"> will also lea</w:t>
      </w:r>
      <w:r w:rsidR="00BA0AB8" w:rsidRPr="001F1399">
        <w:rPr>
          <w:rFonts w:ascii="Book Antiqua" w:eastAsia="Calibri" w:hAnsi="Book Antiqua" w:cs="Calibri"/>
          <w:sz w:val="24"/>
          <w:szCs w:val="24"/>
          <w:lang w:val="en-US"/>
        </w:rPr>
        <w:t>v</w:t>
      </w:r>
      <w:r w:rsidR="002C7ECC" w:rsidRPr="001F1399">
        <w:rPr>
          <w:rFonts w:ascii="Book Antiqua" w:eastAsia="Calibri" w:hAnsi="Book Antiqua" w:cs="Calibri"/>
          <w:sz w:val="24"/>
          <w:szCs w:val="24"/>
          <w:lang w:val="en-US"/>
        </w:rPr>
        <w:t xml:space="preserve">e epigenetic marks at the origin of the remodeling of the programming of the offspring and the possibility of their transmission to the upcoming generation. </w:t>
      </w:r>
    </w:p>
    <w:p w14:paraId="52CA87F8" w14:textId="777FCAB1" w:rsidR="00D91178" w:rsidRPr="001F1399" w:rsidRDefault="00E85151" w:rsidP="002974FA">
      <w:pPr>
        <w:adjustRightInd w:val="0"/>
        <w:snapToGrid w:val="0"/>
        <w:spacing w:after="0" w:line="360" w:lineRule="auto"/>
        <w:ind w:firstLineChars="100" w:firstLine="240"/>
        <w:jc w:val="both"/>
        <w:rPr>
          <w:rFonts w:ascii="Book Antiqua" w:eastAsia="Calibri" w:hAnsi="Book Antiqua" w:cs="Calibri"/>
          <w:bCs/>
          <w:sz w:val="24"/>
          <w:szCs w:val="24"/>
          <w:lang w:val="en-US"/>
        </w:rPr>
      </w:pPr>
      <w:r w:rsidRPr="001F1399">
        <w:rPr>
          <w:rFonts w:ascii="Book Antiqua" w:eastAsia="Calibri" w:hAnsi="Book Antiqua" w:cs="Calibri"/>
          <w:bCs/>
          <w:sz w:val="24"/>
          <w:szCs w:val="24"/>
          <w:lang w:val="en-US"/>
        </w:rPr>
        <w:t xml:space="preserve">This past couple of years the qualification of some molecular epigenetics has clearly added strong insight into the effects of environmental stimuli during perinatal programming. It especially gave information on the importance of the timing of exposures to these stimuli on later human health. </w:t>
      </w:r>
      <w:r w:rsidR="002C7ECC" w:rsidRPr="001F1399">
        <w:rPr>
          <w:rFonts w:ascii="Book Antiqua" w:eastAsia="Calibri" w:hAnsi="Book Antiqua" w:cs="Calibri"/>
          <w:bCs/>
          <w:sz w:val="24"/>
          <w:szCs w:val="24"/>
          <w:lang w:val="en-US"/>
        </w:rPr>
        <w:t xml:space="preserve">So far, investigation of the consequences of all these environmental factors is running on and gives interesting evidences of the mechanisms responsible for NCCD. </w:t>
      </w:r>
      <w:r w:rsidR="003E0142" w:rsidRPr="001F1399">
        <w:rPr>
          <w:rFonts w:ascii="Book Antiqua" w:eastAsia="Calibri" w:hAnsi="Book Antiqua" w:cs="Calibri"/>
          <w:bCs/>
          <w:sz w:val="24"/>
          <w:szCs w:val="24"/>
          <w:lang w:val="en-US"/>
        </w:rPr>
        <w:t xml:space="preserve">This is the reason why we must explore the interaction of genetic and environmental components through lifetime with a special focus on early development. </w:t>
      </w:r>
      <w:r w:rsidRPr="001F1399">
        <w:rPr>
          <w:rFonts w:ascii="Book Antiqua" w:eastAsia="Calibri" w:hAnsi="Book Antiqua" w:cs="Calibri"/>
          <w:bCs/>
          <w:sz w:val="24"/>
          <w:szCs w:val="24"/>
          <w:lang w:val="en-US"/>
        </w:rPr>
        <w:t xml:space="preserve">To </w:t>
      </w:r>
      <w:r w:rsidR="003E0142" w:rsidRPr="001F1399">
        <w:rPr>
          <w:rFonts w:ascii="Book Antiqua" w:eastAsia="Calibri" w:hAnsi="Book Antiqua" w:cs="Calibri"/>
          <w:bCs/>
          <w:sz w:val="24"/>
          <w:szCs w:val="24"/>
          <w:lang w:val="en-US"/>
        </w:rPr>
        <w:t xml:space="preserve">prevent the </w:t>
      </w:r>
      <w:r w:rsidR="002C7ECC" w:rsidRPr="001F1399">
        <w:rPr>
          <w:rFonts w:ascii="Book Antiqua" w:eastAsia="Calibri" w:hAnsi="Book Antiqua" w:cs="Calibri"/>
          <w:bCs/>
          <w:sz w:val="24"/>
          <w:szCs w:val="24"/>
          <w:lang w:val="en-US"/>
        </w:rPr>
        <w:t>However, the main work to be undertaken will be to correlate all these events with each other to be able to improve recommendation to the population in terms of nutrition behaviors on</w:t>
      </w:r>
      <w:r w:rsidR="00B11691" w:rsidRPr="001F1399">
        <w:rPr>
          <w:rFonts w:ascii="Book Antiqua" w:eastAsia="Calibri" w:hAnsi="Book Antiqua" w:cs="Calibri"/>
          <w:bCs/>
          <w:sz w:val="24"/>
          <w:szCs w:val="24"/>
          <w:lang w:val="en-US"/>
        </w:rPr>
        <w:t xml:space="preserve"> the </w:t>
      </w:r>
      <w:r w:rsidR="002C7ECC" w:rsidRPr="001F1399">
        <w:rPr>
          <w:rFonts w:ascii="Book Antiqua" w:eastAsia="Calibri" w:hAnsi="Book Antiqua" w:cs="Calibri"/>
          <w:bCs/>
          <w:sz w:val="24"/>
          <w:szCs w:val="24"/>
          <w:lang w:val="en-US"/>
        </w:rPr>
        <w:t xml:space="preserve">one side and lifestyle on the other side. </w:t>
      </w:r>
    </w:p>
    <w:p w14:paraId="7C8FD10C" w14:textId="2DCCAB1F" w:rsidR="00E3282B" w:rsidRPr="001F1399" w:rsidRDefault="00E3282B" w:rsidP="002974FA">
      <w:pPr>
        <w:adjustRightInd w:val="0"/>
        <w:snapToGrid w:val="0"/>
        <w:spacing w:after="0" w:line="360" w:lineRule="auto"/>
        <w:jc w:val="both"/>
        <w:rPr>
          <w:rFonts w:ascii="Book Antiqua" w:eastAsia="Calibri" w:hAnsi="Book Antiqua" w:cs="Calibri"/>
          <w:bCs/>
          <w:sz w:val="24"/>
          <w:szCs w:val="24"/>
          <w:lang w:val="en-US"/>
        </w:rPr>
      </w:pPr>
    </w:p>
    <w:p w14:paraId="7FF04AD2" w14:textId="77777777" w:rsidR="00353E91" w:rsidRPr="001F1399" w:rsidRDefault="00353E91" w:rsidP="002974FA">
      <w:pPr>
        <w:shd w:val="clear" w:color="auto" w:fill="FFFFFF"/>
        <w:snapToGrid w:val="0"/>
        <w:spacing w:after="0" w:line="360" w:lineRule="auto"/>
        <w:jc w:val="both"/>
        <w:rPr>
          <w:rFonts w:ascii="Book Antiqua" w:hAnsi="Book Antiqua"/>
          <w:b/>
          <w:color w:val="000000"/>
          <w:sz w:val="24"/>
          <w:szCs w:val="24"/>
          <w:lang w:val="en-GB"/>
        </w:rPr>
      </w:pPr>
      <w:r w:rsidRPr="001F1399">
        <w:rPr>
          <w:rFonts w:ascii="Book Antiqua" w:hAnsi="Book Antiqua"/>
          <w:b/>
          <w:color w:val="000000"/>
          <w:sz w:val="24"/>
          <w:szCs w:val="24"/>
          <w:lang w:val="en-GB"/>
        </w:rPr>
        <w:t>REFERENCES</w:t>
      </w:r>
    </w:p>
    <w:p w14:paraId="2FB9344E" w14:textId="1017F750" w:rsidR="00B1214D"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 xml:space="preserve">1 </w:t>
      </w:r>
      <w:r w:rsidR="00105053" w:rsidRPr="001F1399">
        <w:rPr>
          <w:rFonts w:ascii="Book Antiqua" w:hAnsi="Book Antiqua"/>
          <w:b/>
          <w:sz w:val="24"/>
          <w:szCs w:val="24"/>
          <w:lang w:val="en-US"/>
        </w:rPr>
        <w:t>Barker DJ</w:t>
      </w:r>
      <w:r w:rsidR="00105053" w:rsidRPr="001F1399">
        <w:rPr>
          <w:rFonts w:ascii="Book Antiqua" w:hAnsi="Book Antiqua"/>
          <w:sz w:val="24"/>
          <w:szCs w:val="24"/>
          <w:lang w:val="en-US"/>
        </w:rPr>
        <w:t xml:space="preserve">, Osmond C. Low birth weight and hypertension. </w:t>
      </w:r>
      <w:r w:rsidR="00105053" w:rsidRPr="001F1399">
        <w:rPr>
          <w:rFonts w:ascii="Book Antiqua" w:hAnsi="Book Antiqua"/>
          <w:i/>
          <w:sz w:val="24"/>
          <w:szCs w:val="24"/>
          <w:lang w:val="en-US"/>
        </w:rPr>
        <w:t>BMJ</w:t>
      </w:r>
      <w:r w:rsidR="00105053" w:rsidRPr="001F1399">
        <w:rPr>
          <w:rFonts w:ascii="Book Antiqua" w:hAnsi="Book Antiqua"/>
          <w:sz w:val="24"/>
          <w:szCs w:val="24"/>
          <w:lang w:val="en-US"/>
        </w:rPr>
        <w:t xml:space="preserve"> 1988; </w:t>
      </w:r>
      <w:r w:rsidR="00105053" w:rsidRPr="001F1399">
        <w:rPr>
          <w:rFonts w:ascii="Book Antiqua" w:hAnsi="Book Antiqua"/>
          <w:b/>
          <w:sz w:val="24"/>
          <w:szCs w:val="24"/>
          <w:lang w:val="en-US"/>
        </w:rPr>
        <w:t>297</w:t>
      </w:r>
      <w:r w:rsidR="00105053" w:rsidRPr="001F1399">
        <w:rPr>
          <w:rFonts w:ascii="Book Antiqua" w:hAnsi="Book Antiqua"/>
          <w:sz w:val="24"/>
          <w:szCs w:val="24"/>
          <w:lang w:val="en-US"/>
        </w:rPr>
        <w:t>: 134-135 [PMID: 3408942 DOI: 10.1136/bmj.297.6641.134-b]</w:t>
      </w:r>
    </w:p>
    <w:p w14:paraId="32832448" w14:textId="2299E67F" w:rsidR="00C076F3" w:rsidRPr="001F1399" w:rsidRDefault="00707437"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 xml:space="preserve">2 </w:t>
      </w:r>
      <w:r w:rsidR="00C076F3" w:rsidRPr="001F1399">
        <w:rPr>
          <w:rFonts w:ascii="Book Antiqua" w:hAnsi="Book Antiqua"/>
          <w:b/>
          <w:sz w:val="24"/>
          <w:szCs w:val="24"/>
          <w:lang w:val="en-US"/>
        </w:rPr>
        <w:t>Cripps RL</w:t>
      </w:r>
      <w:r w:rsidR="00C076F3" w:rsidRPr="001F1399">
        <w:rPr>
          <w:rFonts w:ascii="Book Antiqua" w:hAnsi="Book Antiqua"/>
          <w:sz w:val="24"/>
          <w:szCs w:val="24"/>
          <w:lang w:val="en-US"/>
        </w:rPr>
        <w:t xml:space="preserve">, Martin-Gronert MS, Ozanne SE. Fetal and perinatal programming of appetite. </w:t>
      </w:r>
      <w:r w:rsidR="00C076F3" w:rsidRPr="001F1399">
        <w:rPr>
          <w:rFonts w:ascii="Book Antiqua" w:hAnsi="Book Antiqua"/>
          <w:i/>
          <w:sz w:val="24"/>
          <w:szCs w:val="24"/>
          <w:lang w:val="en-US"/>
        </w:rPr>
        <w:t>Clin Sci (Lond)</w:t>
      </w:r>
      <w:r w:rsidR="00C076F3" w:rsidRPr="001F1399">
        <w:rPr>
          <w:rFonts w:ascii="Book Antiqua" w:hAnsi="Book Antiqua"/>
          <w:sz w:val="24"/>
          <w:szCs w:val="24"/>
          <w:lang w:val="en-US"/>
        </w:rPr>
        <w:t xml:space="preserve"> 2005; </w:t>
      </w:r>
      <w:r w:rsidR="00C076F3" w:rsidRPr="001F1399">
        <w:rPr>
          <w:rFonts w:ascii="Book Antiqua" w:hAnsi="Book Antiqua"/>
          <w:b/>
          <w:sz w:val="24"/>
          <w:szCs w:val="24"/>
          <w:lang w:val="en-US"/>
        </w:rPr>
        <w:t>109</w:t>
      </w:r>
      <w:r w:rsidR="00C076F3" w:rsidRPr="001F1399">
        <w:rPr>
          <w:rFonts w:ascii="Book Antiqua" w:hAnsi="Book Antiqua"/>
          <w:sz w:val="24"/>
          <w:szCs w:val="24"/>
          <w:lang w:val="en-US"/>
        </w:rPr>
        <w:t>: 1-11 [PMID: 15966867 DOI: 10.1042/CS20040367]</w:t>
      </w:r>
    </w:p>
    <w:p w14:paraId="6C13BE83" w14:textId="015AEAA4" w:rsidR="00C076F3" w:rsidRPr="001F1399" w:rsidRDefault="001738F7"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3</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Sommer F</w:t>
      </w:r>
      <w:r w:rsidR="00C076F3" w:rsidRPr="001F1399">
        <w:rPr>
          <w:rFonts w:ascii="Book Antiqua" w:hAnsi="Book Antiqua"/>
          <w:sz w:val="24"/>
          <w:szCs w:val="24"/>
          <w:lang w:val="en-US"/>
        </w:rPr>
        <w:t xml:space="preserve">, Bäckhed F. The gut microbiota--masters of host development and physiology. </w:t>
      </w:r>
      <w:r w:rsidR="00C076F3" w:rsidRPr="001F1399">
        <w:rPr>
          <w:rFonts w:ascii="Book Antiqua" w:hAnsi="Book Antiqua"/>
          <w:i/>
          <w:sz w:val="24"/>
          <w:szCs w:val="24"/>
          <w:lang w:val="en-US"/>
        </w:rPr>
        <w:t>Nat Rev Microbiol</w:t>
      </w:r>
      <w:r w:rsidR="00C076F3" w:rsidRPr="001F1399">
        <w:rPr>
          <w:rFonts w:ascii="Book Antiqua" w:hAnsi="Book Antiqua"/>
          <w:sz w:val="24"/>
          <w:szCs w:val="24"/>
          <w:lang w:val="en-US"/>
        </w:rPr>
        <w:t xml:space="preserve"> 2013; </w:t>
      </w:r>
      <w:r w:rsidR="00C076F3" w:rsidRPr="001F1399">
        <w:rPr>
          <w:rFonts w:ascii="Book Antiqua" w:hAnsi="Book Antiqua"/>
          <w:b/>
          <w:sz w:val="24"/>
          <w:szCs w:val="24"/>
          <w:lang w:val="en-US"/>
        </w:rPr>
        <w:t>11</w:t>
      </w:r>
      <w:r w:rsidR="00C076F3" w:rsidRPr="001F1399">
        <w:rPr>
          <w:rFonts w:ascii="Book Antiqua" w:hAnsi="Book Antiqua"/>
          <w:sz w:val="24"/>
          <w:szCs w:val="24"/>
          <w:lang w:val="en-US"/>
        </w:rPr>
        <w:t>: 227-238 [PMID: 23435359 DOI: 10.1038/nrmicro2974]</w:t>
      </w:r>
    </w:p>
    <w:p w14:paraId="4C80980F" w14:textId="47277A29" w:rsidR="00C076F3" w:rsidRPr="001F1399" w:rsidRDefault="001738F7"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4</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Robertson RC</w:t>
      </w:r>
      <w:r w:rsidR="00C076F3" w:rsidRPr="001F1399">
        <w:rPr>
          <w:rFonts w:ascii="Book Antiqua" w:hAnsi="Book Antiqua"/>
          <w:sz w:val="24"/>
          <w:szCs w:val="24"/>
          <w:lang w:val="en-US"/>
        </w:rPr>
        <w:t xml:space="preserve">, Manges AR, Finlay BB, Prendergast AJ. The Human Microbiome and Child Growth - First 1000 Days and Beyond. </w:t>
      </w:r>
      <w:r w:rsidR="00C076F3" w:rsidRPr="001F1399">
        <w:rPr>
          <w:rFonts w:ascii="Book Antiqua" w:hAnsi="Book Antiqua"/>
          <w:i/>
          <w:sz w:val="24"/>
          <w:szCs w:val="24"/>
          <w:lang w:val="en-US"/>
        </w:rPr>
        <w:t>Trends Microbiol</w:t>
      </w:r>
      <w:r w:rsidR="00C076F3" w:rsidRPr="001F1399">
        <w:rPr>
          <w:rFonts w:ascii="Book Antiqua" w:hAnsi="Book Antiqua"/>
          <w:sz w:val="24"/>
          <w:szCs w:val="24"/>
          <w:lang w:val="en-US"/>
        </w:rPr>
        <w:t xml:space="preserve"> 2019; </w:t>
      </w:r>
      <w:r w:rsidR="00C076F3" w:rsidRPr="001F1399">
        <w:rPr>
          <w:rFonts w:ascii="Book Antiqua" w:hAnsi="Book Antiqua"/>
          <w:b/>
          <w:sz w:val="24"/>
          <w:szCs w:val="24"/>
          <w:lang w:val="en-US"/>
        </w:rPr>
        <w:t>27</w:t>
      </w:r>
      <w:r w:rsidR="00C076F3" w:rsidRPr="001F1399">
        <w:rPr>
          <w:rFonts w:ascii="Book Antiqua" w:hAnsi="Book Antiqua"/>
          <w:sz w:val="24"/>
          <w:szCs w:val="24"/>
          <w:lang w:val="en-US"/>
        </w:rPr>
        <w:t>: 131-147 [PMID: 30529020 DOI: 10.1016/j.tim.2018.09.008]</w:t>
      </w:r>
    </w:p>
    <w:p w14:paraId="7C5643A6" w14:textId="4DD526D9" w:rsidR="00C076F3" w:rsidRPr="001F1399" w:rsidRDefault="001738F7"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lastRenderedPageBreak/>
        <w:t>5</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Romano-Keeler J</w:t>
      </w:r>
      <w:r w:rsidR="00C076F3" w:rsidRPr="001F1399">
        <w:rPr>
          <w:rFonts w:ascii="Book Antiqua" w:hAnsi="Book Antiqua"/>
          <w:sz w:val="24"/>
          <w:szCs w:val="24"/>
          <w:lang w:val="en-US"/>
        </w:rPr>
        <w:t xml:space="preserve">, Weitkamp JH. Maternal influences on fetal microbial colonization and immune development. </w:t>
      </w:r>
      <w:r w:rsidR="00C076F3" w:rsidRPr="001F1399">
        <w:rPr>
          <w:rFonts w:ascii="Book Antiqua" w:hAnsi="Book Antiqua"/>
          <w:i/>
          <w:sz w:val="24"/>
          <w:szCs w:val="24"/>
          <w:lang w:val="en-US"/>
        </w:rPr>
        <w:t>Pediatr Res</w:t>
      </w:r>
      <w:r w:rsidR="00C076F3" w:rsidRPr="001F1399">
        <w:rPr>
          <w:rFonts w:ascii="Book Antiqua" w:hAnsi="Book Antiqua"/>
          <w:sz w:val="24"/>
          <w:szCs w:val="24"/>
          <w:lang w:val="en-US"/>
        </w:rPr>
        <w:t xml:space="preserve"> 2015; </w:t>
      </w:r>
      <w:r w:rsidR="00C076F3" w:rsidRPr="001F1399">
        <w:rPr>
          <w:rFonts w:ascii="Book Antiqua" w:hAnsi="Book Antiqua"/>
          <w:b/>
          <w:sz w:val="24"/>
          <w:szCs w:val="24"/>
          <w:lang w:val="en-US"/>
        </w:rPr>
        <w:t>77</w:t>
      </w:r>
      <w:r w:rsidR="00C076F3" w:rsidRPr="001F1399">
        <w:rPr>
          <w:rFonts w:ascii="Book Antiqua" w:hAnsi="Book Antiqua"/>
          <w:sz w:val="24"/>
          <w:szCs w:val="24"/>
          <w:lang w:val="en-US"/>
        </w:rPr>
        <w:t>: 189-195 [PMID: 25310759 DOI: 10.1038/pr.2014.163]</w:t>
      </w:r>
    </w:p>
    <w:p w14:paraId="146E2D18" w14:textId="08666686" w:rsidR="00C076F3" w:rsidRPr="001F1399" w:rsidRDefault="001738F7"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6</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Jiménez E</w:t>
      </w:r>
      <w:r w:rsidR="00C076F3" w:rsidRPr="001F1399">
        <w:rPr>
          <w:rFonts w:ascii="Book Antiqua" w:hAnsi="Book Antiqua"/>
          <w:sz w:val="24"/>
          <w:szCs w:val="24"/>
          <w:lang w:val="en-US"/>
        </w:rPr>
        <w:t xml:space="preserve">, Fernández L, Marín ML, Martín R, Odriozola JM, Nueno-Palop C, Narbad A, Olivares M, Xaus J, Rodríguez JM. Isolation of commensal bacteria from umbilical cord blood of healthy neonates born by cesarean section. </w:t>
      </w:r>
      <w:r w:rsidR="00C076F3" w:rsidRPr="001F1399">
        <w:rPr>
          <w:rFonts w:ascii="Book Antiqua" w:hAnsi="Book Antiqua"/>
          <w:i/>
          <w:sz w:val="24"/>
          <w:szCs w:val="24"/>
          <w:lang w:val="en-US"/>
        </w:rPr>
        <w:t>Curr Microbiol</w:t>
      </w:r>
      <w:r w:rsidR="00C076F3" w:rsidRPr="001F1399">
        <w:rPr>
          <w:rFonts w:ascii="Book Antiqua" w:hAnsi="Book Antiqua"/>
          <w:sz w:val="24"/>
          <w:szCs w:val="24"/>
          <w:lang w:val="en-US"/>
        </w:rPr>
        <w:t xml:space="preserve"> 2005; </w:t>
      </w:r>
      <w:r w:rsidR="00C076F3" w:rsidRPr="001F1399">
        <w:rPr>
          <w:rFonts w:ascii="Book Antiqua" w:hAnsi="Book Antiqua"/>
          <w:b/>
          <w:sz w:val="24"/>
          <w:szCs w:val="24"/>
          <w:lang w:val="en-US"/>
        </w:rPr>
        <w:t>51</w:t>
      </w:r>
      <w:r w:rsidR="00C076F3" w:rsidRPr="001F1399">
        <w:rPr>
          <w:rFonts w:ascii="Book Antiqua" w:hAnsi="Book Antiqua"/>
          <w:sz w:val="24"/>
          <w:szCs w:val="24"/>
          <w:lang w:val="en-US"/>
        </w:rPr>
        <w:t>: 270-274 [PMID: 16187156 DOI: 10.1007/s00284-005-0020-3]</w:t>
      </w:r>
    </w:p>
    <w:p w14:paraId="61C4B9DF" w14:textId="20C3FE2B" w:rsidR="00C076F3" w:rsidRPr="001F1399" w:rsidRDefault="001738F7"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7</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Jiménez E</w:t>
      </w:r>
      <w:r w:rsidR="00C076F3" w:rsidRPr="001F1399">
        <w:rPr>
          <w:rFonts w:ascii="Book Antiqua" w:hAnsi="Book Antiqua"/>
          <w:sz w:val="24"/>
          <w:szCs w:val="24"/>
          <w:lang w:val="en-US"/>
        </w:rPr>
        <w:t xml:space="preserve">, Marín ML, Martín R, Odriozola JM, Olivares M, Xaus J, Fernández L, Rodríguez JM. Is meconium from healthy newborns actually sterile? </w:t>
      </w:r>
      <w:r w:rsidR="00C076F3" w:rsidRPr="001F1399">
        <w:rPr>
          <w:rFonts w:ascii="Book Antiqua" w:hAnsi="Book Antiqua"/>
          <w:i/>
          <w:sz w:val="24"/>
          <w:szCs w:val="24"/>
          <w:lang w:val="en-US"/>
        </w:rPr>
        <w:t>Res Microbiol</w:t>
      </w:r>
      <w:r w:rsidR="00C076F3" w:rsidRPr="001F1399">
        <w:rPr>
          <w:rFonts w:ascii="Book Antiqua" w:hAnsi="Book Antiqua"/>
          <w:sz w:val="24"/>
          <w:szCs w:val="24"/>
          <w:lang w:val="en-US"/>
        </w:rPr>
        <w:t xml:space="preserve"> 2008; </w:t>
      </w:r>
      <w:r w:rsidR="00C076F3" w:rsidRPr="001F1399">
        <w:rPr>
          <w:rFonts w:ascii="Book Antiqua" w:hAnsi="Book Antiqua"/>
          <w:b/>
          <w:sz w:val="24"/>
          <w:szCs w:val="24"/>
          <w:lang w:val="en-US"/>
        </w:rPr>
        <w:t>159</w:t>
      </w:r>
      <w:r w:rsidR="00C076F3" w:rsidRPr="001F1399">
        <w:rPr>
          <w:rFonts w:ascii="Book Antiqua" w:hAnsi="Book Antiqua"/>
          <w:sz w:val="24"/>
          <w:szCs w:val="24"/>
          <w:lang w:val="en-US"/>
        </w:rPr>
        <w:t>: 187-193 [PMID: 18281199 DOI: 10.1016/j.resmic.2007.12.007]</w:t>
      </w:r>
    </w:p>
    <w:p w14:paraId="531B9D24" w14:textId="681A746D" w:rsidR="00C076F3" w:rsidRPr="001F1399" w:rsidRDefault="00D253C3" w:rsidP="002974FA">
      <w:pPr>
        <w:adjustRightInd w:val="0"/>
        <w:snapToGrid w:val="0"/>
        <w:spacing w:after="0" w:line="360" w:lineRule="auto"/>
        <w:jc w:val="both"/>
        <w:rPr>
          <w:rFonts w:ascii="Book Antiqua" w:hAnsi="Book Antiqua"/>
          <w:sz w:val="24"/>
          <w:szCs w:val="24"/>
        </w:rPr>
      </w:pPr>
      <w:r w:rsidRPr="001F1399">
        <w:rPr>
          <w:rFonts w:ascii="Book Antiqua" w:hAnsi="Book Antiqua"/>
          <w:sz w:val="24"/>
          <w:szCs w:val="24"/>
        </w:rPr>
        <w:t>8</w:t>
      </w:r>
      <w:r w:rsidR="00C076F3" w:rsidRPr="001F1399">
        <w:rPr>
          <w:rFonts w:ascii="Book Antiqua" w:hAnsi="Book Antiqua"/>
          <w:sz w:val="24"/>
          <w:szCs w:val="24"/>
        </w:rPr>
        <w:t xml:space="preserve"> </w:t>
      </w:r>
      <w:r w:rsidR="00C076F3" w:rsidRPr="001F1399">
        <w:rPr>
          <w:rFonts w:ascii="Book Antiqua" w:hAnsi="Book Antiqua"/>
          <w:b/>
          <w:sz w:val="24"/>
          <w:szCs w:val="24"/>
        </w:rPr>
        <w:t>Aagaard K</w:t>
      </w:r>
      <w:r w:rsidR="00C076F3" w:rsidRPr="001F1399">
        <w:rPr>
          <w:rFonts w:ascii="Book Antiqua" w:hAnsi="Book Antiqua"/>
          <w:sz w:val="24"/>
          <w:szCs w:val="24"/>
        </w:rPr>
        <w:t xml:space="preserve">, Ma J, Antony KM, Ganu R, Petrosino J, Versalovic J. The placenta harbors a unique microbiome. </w:t>
      </w:r>
      <w:r w:rsidR="00C076F3" w:rsidRPr="001F1399">
        <w:rPr>
          <w:rFonts w:ascii="Book Antiqua" w:hAnsi="Book Antiqua"/>
          <w:i/>
          <w:sz w:val="24"/>
          <w:szCs w:val="24"/>
        </w:rPr>
        <w:t>Sci Transl Med</w:t>
      </w:r>
      <w:r w:rsidR="00C076F3" w:rsidRPr="001F1399">
        <w:rPr>
          <w:rFonts w:ascii="Book Antiqua" w:hAnsi="Book Antiqua"/>
          <w:sz w:val="24"/>
          <w:szCs w:val="24"/>
        </w:rPr>
        <w:t xml:space="preserve"> 2014; </w:t>
      </w:r>
      <w:r w:rsidR="00C076F3" w:rsidRPr="001F1399">
        <w:rPr>
          <w:rFonts w:ascii="Book Antiqua" w:hAnsi="Book Antiqua"/>
          <w:b/>
          <w:sz w:val="24"/>
          <w:szCs w:val="24"/>
        </w:rPr>
        <w:t>6</w:t>
      </w:r>
      <w:r w:rsidR="00C076F3" w:rsidRPr="001F1399">
        <w:rPr>
          <w:rFonts w:ascii="Book Antiqua" w:hAnsi="Book Antiqua"/>
          <w:sz w:val="24"/>
          <w:szCs w:val="24"/>
        </w:rPr>
        <w:t>: 237ra65 [PMID: 24848255 DOI: 10.1126/scitranslmed.3008599]</w:t>
      </w:r>
    </w:p>
    <w:p w14:paraId="656854F4" w14:textId="1A70FD7B"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rPr>
        <w:t>9</w:t>
      </w:r>
      <w:r w:rsidR="00C076F3" w:rsidRPr="001F1399">
        <w:rPr>
          <w:rFonts w:ascii="Book Antiqua" w:hAnsi="Book Antiqua"/>
          <w:sz w:val="24"/>
          <w:szCs w:val="24"/>
        </w:rPr>
        <w:t xml:space="preserve"> </w:t>
      </w:r>
      <w:r w:rsidR="00C076F3" w:rsidRPr="001F1399">
        <w:rPr>
          <w:rFonts w:ascii="Book Antiqua" w:hAnsi="Book Antiqua"/>
          <w:b/>
          <w:sz w:val="24"/>
          <w:szCs w:val="24"/>
        </w:rPr>
        <w:t>Stout MJ</w:t>
      </w:r>
      <w:r w:rsidR="00C076F3" w:rsidRPr="001F1399">
        <w:rPr>
          <w:rFonts w:ascii="Book Antiqua" w:hAnsi="Book Antiqua"/>
          <w:sz w:val="24"/>
          <w:szCs w:val="24"/>
        </w:rPr>
        <w:t xml:space="preserve">, Conlon B, Landeau M, Lee I, Bower C, Zhao Q, Roehl KA, Nelson DM, Macones GA, Mysorekar IU. </w:t>
      </w:r>
      <w:r w:rsidR="00C076F3" w:rsidRPr="001F1399">
        <w:rPr>
          <w:rFonts w:ascii="Book Antiqua" w:hAnsi="Book Antiqua"/>
          <w:sz w:val="24"/>
          <w:szCs w:val="24"/>
          <w:lang w:val="en-US"/>
        </w:rPr>
        <w:t xml:space="preserve">Identification of intracellular bacteria in the basal plate of the human placenta in term and preterm gestations. </w:t>
      </w:r>
      <w:r w:rsidR="00C076F3" w:rsidRPr="001F1399">
        <w:rPr>
          <w:rFonts w:ascii="Book Antiqua" w:hAnsi="Book Antiqua"/>
          <w:i/>
          <w:sz w:val="24"/>
          <w:szCs w:val="24"/>
          <w:lang w:val="en-US"/>
        </w:rPr>
        <w:t>Am J Obstet Gynecol</w:t>
      </w:r>
      <w:r w:rsidR="00C076F3" w:rsidRPr="001F1399">
        <w:rPr>
          <w:rFonts w:ascii="Book Antiqua" w:hAnsi="Book Antiqua"/>
          <w:sz w:val="24"/>
          <w:szCs w:val="24"/>
          <w:lang w:val="en-US"/>
        </w:rPr>
        <w:t xml:space="preserve"> 2013; </w:t>
      </w:r>
      <w:r w:rsidR="00C076F3" w:rsidRPr="001F1399">
        <w:rPr>
          <w:rFonts w:ascii="Book Antiqua" w:hAnsi="Book Antiqua"/>
          <w:b/>
          <w:sz w:val="24"/>
          <w:szCs w:val="24"/>
          <w:lang w:val="en-US"/>
        </w:rPr>
        <w:t>208</w:t>
      </w:r>
      <w:r w:rsidR="00C076F3" w:rsidRPr="001F1399">
        <w:rPr>
          <w:rFonts w:ascii="Book Antiqua" w:hAnsi="Book Antiqua"/>
          <w:sz w:val="24"/>
          <w:szCs w:val="24"/>
          <w:lang w:val="en-US"/>
        </w:rPr>
        <w:t>: 226.e1-226.e7 [PMID: 23333552 DOI: 10.1016/j.ajog.2013.01.018]</w:t>
      </w:r>
    </w:p>
    <w:p w14:paraId="6E8FFD8A" w14:textId="13C4BA5C"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10</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Grönlund MM</w:t>
      </w:r>
      <w:r w:rsidR="00C076F3" w:rsidRPr="001F1399">
        <w:rPr>
          <w:rFonts w:ascii="Book Antiqua" w:hAnsi="Book Antiqua"/>
          <w:sz w:val="24"/>
          <w:szCs w:val="24"/>
          <w:lang w:val="en-US"/>
        </w:rPr>
        <w:t xml:space="preserve">, Lehtonen OP, Eerola E, Kero P. Fecal microflora in healthy infants born by different methods of delivery: permanent changes in intestinal flora after cesarean delivery. </w:t>
      </w:r>
      <w:r w:rsidR="00C076F3" w:rsidRPr="001F1399">
        <w:rPr>
          <w:rFonts w:ascii="Book Antiqua" w:hAnsi="Book Antiqua"/>
          <w:i/>
          <w:sz w:val="24"/>
          <w:szCs w:val="24"/>
          <w:lang w:val="en-US"/>
        </w:rPr>
        <w:t>J Pediatr Gastroenterol Nutr</w:t>
      </w:r>
      <w:r w:rsidR="00C076F3" w:rsidRPr="001F1399">
        <w:rPr>
          <w:rFonts w:ascii="Book Antiqua" w:hAnsi="Book Antiqua"/>
          <w:sz w:val="24"/>
          <w:szCs w:val="24"/>
          <w:lang w:val="en-US"/>
        </w:rPr>
        <w:t xml:space="preserve"> 1999; </w:t>
      </w:r>
      <w:r w:rsidR="00C076F3" w:rsidRPr="001F1399">
        <w:rPr>
          <w:rFonts w:ascii="Book Antiqua" w:hAnsi="Book Antiqua"/>
          <w:b/>
          <w:sz w:val="24"/>
          <w:szCs w:val="24"/>
          <w:lang w:val="en-US"/>
        </w:rPr>
        <w:t>28</w:t>
      </w:r>
      <w:r w:rsidR="00C076F3" w:rsidRPr="001F1399">
        <w:rPr>
          <w:rFonts w:ascii="Book Antiqua" w:hAnsi="Book Antiqua"/>
          <w:sz w:val="24"/>
          <w:szCs w:val="24"/>
          <w:lang w:val="en-US"/>
        </w:rPr>
        <w:t>: 19-25 [PMID: 9890463 DOI: 10.1097/00005176-199901000-00007]</w:t>
      </w:r>
    </w:p>
    <w:p w14:paraId="24FE7C5D" w14:textId="6A5A8699"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w:t>
      </w:r>
      <w:r w:rsidR="00D253C3" w:rsidRPr="001F1399">
        <w:rPr>
          <w:rFonts w:ascii="Book Antiqua" w:hAnsi="Book Antiqua"/>
          <w:sz w:val="24"/>
          <w:szCs w:val="24"/>
          <w:lang w:val="en-US"/>
        </w:rPr>
        <w:t>1</w:t>
      </w:r>
      <w:r w:rsidRPr="001F1399">
        <w:rPr>
          <w:rFonts w:ascii="Book Antiqua" w:hAnsi="Book Antiqua"/>
          <w:sz w:val="24"/>
          <w:szCs w:val="24"/>
          <w:lang w:val="en-US"/>
        </w:rPr>
        <w:t xml:space="preserve"> </w:t>
      </w:r>
      <w:r w:rsidRPr="001F1399">
        <w:rPr>
          <w:rFonts w:ascii="Book Antiqua" w:hAnsi="Book Antiqua"/>
          <w:b/>
          <w:sz w:val="24"/>
          <w:szCs w:val="24"/>
          <w:lang w:val="en-US"/>
        </w:rPr>
        <w:t>Biasucci G</w:t>
      </w:r>
      <w:r w:rsidRPr="001F1399">
        <w:rPr>
          <w:rFonts w:ascii="Book Antiqua" w:hAnsi="Book Antiqua"/>
          <w:sz w:val="24"/>
          <w:szCs w:val="24"/>
          <w:lang w:val="en-US"/>
        </w:rPr>
        <w:t xml:space="preserve">, Benenati B, Morelli L, Bessi E, Boehm G. Cesarean delivery may affect the early biodiversity of intestinal bacteria. </w:t>
      </w:r>
      <w:r w:rsidRPr="001F1399">
        <w:rPr>
          <w:rFonts w:ascii="Book Antiqua" w:hAnsi="Book Antiqua"/>
          <w:i/>
          <w:sz w:val="24"/>
          <w:szCs w:val="24"/>
          <w:lang w:val="en-US"/>
        </w:rPr>
        <w:t>J Nutr</w:t>
      </w:r>
      <w:r w:rsidRPr="001F1399">
        <w:rPr>
          <w:rFonts w:ascii="Book Antiqua" w:hAnsi="Book Antiqua"/>
          <w:sz w:val="24"/>
          <w:szCs w:val="24"/>
          <w:lang w:val="en-US"/>
        </w:rPr>
        <w:t xml:space="preserve"> 2008; </w:t>
      </w:r>
      <w:r w:rsidRPr="001F1399">
        <w:rPr>
          <w:rFonts w:ascii="Book Antiqua" w:hAnsi="Book Antiqua"/>
          <w:b/>
          <w:sz w:val="24"/>
          <w:szCs w:val="24"/>
          <w:lang w:val="en-US"/>
        </w:rPr>
        <w:t>138</w:t>
      </w:r>
      <w:r w:rsidRPr="001F1399">
        <w:rPr>
          <w:rFonts w:ascii="Book Antiqua" w:hAnsi="Book Antiqua"/>
          <w:sz w:val="24"/>
          <w:szCs w:val="24"/>
          <w:lang w:val="en-US"/>
        </w:rPr>
        <w:t>: 1796S-1800S [PMID: 18716189 DOI: 10.1093/jn/138.9.1796S]</w:t>
      </w:r>
    </w:p>
    <w:p w14:paraId="51F5BE8C" w14:textId="174E3A68"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w:t>
      </w:r>
      <w:r w:rsidR="00D253C3" w:rsidRPr="001F1399">
        <w:rPr>
          <w:rFonts w:ascii="Book Antiqua" w:hAnsi="Book Antiqua"/>
          <w:sz w:val="24"/>
          <w:szCs w:val="24"/>
          <w:lang w:val="en-US"/>
        </w:rPr>
        <w:t>2</w:t>
      </w:r>
      <w:r w:rsidRPr="001F1399">
        <w:rPr>
          <w:rFonts w:ascii="Book Antiqua" w:hAnsi="Book Antiqua"/>
          <w:sz w:val="24"/>
          <w:szCs w:val="24"/>
          <w:lang w:val="en-US"/>
        </w:rPr>
        <w:t xml:space="preserve"> </w:t>
      </w:r>
      <w:r w:rsidRPr="001F1399">
        <w:rPr>
          <w:rFonts w:ascii="Book Antiqua" w:hAnsi="Book Antiqua"/>
          <w:b/>
          <w:sz w:val="24"/>
          <w:szCs w:val="24"/>
          <w:lang w:val="en-US"/>
        </w:rPr>
        <w:t>Arboleya S</w:t>
      </w:r>
      <w:r w:rsidRPr="001F1399">
        <w:rPr>
          <w:rFonts w:ascii="Book Antiqua" w:hAnsi="Book Antiqua"/>
          <w:sz w:val="24"/>
          <w:szCs w:val="24"/>
          <w:lang w:val="en-US"/>
        </w:rPr>
        <w:t xml:space="preserve">, Sánchez B, Solís G, Fernández N, Suárez M, Hernández-Barranco AM, Milani C, Margolles A, de Los Reyes-Gavilán CG, Ventura M, Gueimonde M. Impact of Prematurity and Perinatal Antibiotics on the Developing Intestinal Microbiota: A Functional Inference Study. </w:t>
      </w:r>
      <w:r w:rsidRPr="001F1399">
        <w:rPr>
          <w:rFonts w:ascii="Book Antiqua" w:hAnsi="Book Antiqua"/>
          <w:i/>
          <w:sz w:val="24"/>
          <w:szCs w:val="24"/>
          <w:lang w:val="en-US"/>
        </w:rPr>
        <w:t>Int J Mol Sci</w:t>
      </w:r>
      <w:r w:rsidRPr="001F1399">
        <w:rPr>
          <w:rFonts w:ascii="Book Antiqua" w:hAnsi="Book Antiqua"/>
          <w:sz w:val="24"/>
          <w:szCs w:val="24"/>
          <w:lang w:val="en-US"/>
        </w:rPr>
        <w:t xml:space="preserve"> 2016; </w:t>
      </w:r>
      <w:r w:rsidRPr="001F1399">
        <w:rPr>
          <w:rFonts w:ascii="Book Antiqua" w:hAnsi="Book Antiqua"/>
          <w:b/>
          <w:sz w:val="24"/>
          <w:szCs w:val="24"/>
          <w:lang w:val="en-US"/>
        </w:rPr>
        <w:t>17</w:t>
      </w:r>
      <w:r w:rsidRPr="001F1399">
        <w:rPr>
          <w:rFonts w:ascii="Book Antiqua" w:hAnsi="Book Antiqua"/>
          <w:sz w:val="24"/>
          <w:szCs w:val="24"/>
          <w:lang w:val="en-US"/>
        </w:rPr>
        <w:t xml:space="preserve"> [PMID: 27136545 DOI: 10.3390/ijms17050649]</w:t>
      </w:r>
    </w:p>
    <w:p w14:paraId="5B9BD4A1" w14:textId="7ECC1277"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13</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Itani T</w:t>
      </w:r>
      <w:r w:rsidR="00C076F3" w:rsidRPr="001F1399">
        <w:rPr>
          <w:rFonts w:ascii="Book Antiqua" w:hAnsi="Book Antiqua"/>
          <w:sz w:val="24"/>
          <w:szCs w:val="24"/>
          <w:lang w:val="en-US"/>
        </w:rPr>
        <w:t xml:space="preserve">, Ayoub Moubareck C, Melki I, Rousseau C, Mangin I, Butel MJ, Karam Sarkis D. Establishment and development of the intestinal microbiota of preterm infants in a </w:t>
      </w:r>
      <w:r w:rsidR="00C076F3" w:rsidRPr="001F1399">
        <w:rPr>
          <w:rFonts w:ascii="Book Antiqua" w:hAnsi="Book Antiqua"/>
          <w:sz w:val="24"/>
          <w:szCs w:val="24"/>
          <w:lang w:val="en-US"/>
        </w:rPr>
        <w:lastRenderedPageBreak/>
        <w:t xml:space="preserve">Lebanese tertiary hospital. </w:t>
      </w:r>
      <w:r w:rsidR="00C076F3" w:rsidRPr="001F1399">
        <w:rPr>
          <w:rFonts w:ascii="Book Antiqua" w:hAnsi="Book Antiqua"/>
          <w:i/>
          <w:sz w:val="24"/>
          <w:szCs w:val="24"/>
          <w:lang w:val="en-US"/>
        </w:rPr>
        <w:t>Anaerobe</w:t>
      </w:r>
      <w:r w:rsidR="00C076F3" w:rsidRPr="001F1399">
        <w:rPr>
          <w:rFonts w:ascii="Book Antiqua" w:hAnsi="Book Antiqua"/>
          <w:sz w:val="24"/>
          <w:szCs w:val="24"/>
          <w:lang w:val="en-US"/>
        </w:rPr>
        <w:t xml:space="preserve"> 2017; </w:t>
      </w:r>
      <w:r w:rsidR="00C076F3" w:rsidRPr="001F1399">
        <w:rPr>
          <w:rFonts w:ascii="Book Antiqua" w:hAnsi="Book Antiqua"/>
          <w:b/>
          <w:sz w:val="24"/>
          <w:szCs w:val="24"/>
          <w:lang w:val="en-US"/>
        </w:rPr>
        <w:t>43</w:t>
      </w:r>
      <w:r w:rsidR="00C076F3" w:rsidRPr="001F1399">
        <w:rPr>
          <w:rFonts w:ascii="Book Antiqua" w:hAnsi="Book Antiqua"/>
          <w:sz w:val="24"/>
          <w:szCs w:val="24"/>
          <w:lang w:val="en-US"/>
        </w:rPr>
        <w:t>: 4-14 [PMID: 27833033 DOI: 10.1016/j.anaerobe.2016.11.001]</w:t>
      </w:r>
    </w:p>
    <w:p w14:paraId="0439012E" w14:textId="303922A4"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14</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Martin R</w:t>
      </w:r>
      <w:r w:rsidR="00C076F3" w:rsidRPr="001F1399">
        <w:rPr>
          <w:rFonts w:ascii="Book Antiqua" w:hAnsi="Book Antiqua"/>
          <w:sz w:val="24"/>
          <w:szCs w:val="24"/>
          <w:lang w:val="en-US"/>
        </w:rPr>
        <w:t xml:space="preserve">, Nauta AJ, Ben Amor K, Knippels LM, Knol J, Garssen J. Early life: gut microbiota and immune development in infancy. </w:t>
      </w:r>
      <w:r w:rsidR="00C076F3" w:rsidRPr="001F1399">
        <w:rPr>
          <w:rFonts w:ascii="Book Antiqua" w:hAnsi="Book Antiqua"/>
          <w:i/>
          <w:sz w:val="24"/>
          <w:szCs w:val="24"/>
          <w:lang w:val="en-US"/>
        </w:rPr>
        <w:t>Benef Microbes</w:t>
      </w:r>
      <w:r w:rsidR="00C076F3" w:rsidRPr="001F1399">
        <w:rPr>
          <w:rFonts w:ascii="Book Antiqua" w:hAnsi="Book Antiqua"/>
          <w:sz w:val="24"/>
          <w:szCs w:val="24"/>
          <w:lang w:val="en-US"/>
        </w:rPr>
        <w:t xml:space="preserve"> 2010; </w:t>
      </w:r>
      <w:r w:rsidR="00C076F3" w:rsidRPr="001F1399">
        <w:rPr>
          <w:rFonts w:ascii="Book Antiqua" w:hAnsi="Book Antiqua"/>
          <w:b/>
          <w:sz w:val="24"/>
          <w:szCs w:val="24"/>
          <w:lang w:val="en-US"/>
        </w:rPr>
        <w:t>1</w:t>
      </w:r>
      <w:r w:rsidR="00C076F3" w:rsidRPr="001F1399">
        <w:rPr>
          <w:rFonts w:ascii="Book Antiqua" w:hAnsi="Book Antiqua"/>
          <w:sz w:val="24"/>
          <w:szCs w:val="24"/>
          <w:lang w:val="en-US"/>
        </w:rPr>
        <w:t>: 367-382 [PMID: 21831776 DOI: 10.3920/BM2010.0027]</w:t>
      </w:r>
    </w:p>
    <w:p w14:paraId="19EEE947" w14:textId="6A3E9A90"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w:t>
      </w:r>
      <w:r w:rsidR="00D253C3" w:rsidRPr="001F1399">
        <w:rPr>
          <w:rFonts w:ascii="Book Antiqua" w:hAnsi="Book Antiqua"/>
          <w:sz w:val="24"/>
          <w:szCs w:val="24"/>
          <w:lang w:val="en-US"/>
        </w:rPr>
        <w:t>5</w:t>
      </w:r>
      <w:r w:rsidRPr="001F1399">
        <w:rPr>
          <w:rFonts w:ascii="Book Antiqua" w:hAnsi="Book Antiqua"/>
          <w:sz w:val="24"/>
          <w:szCs w:val="24"/>
          <w:lang w:val="en-US"/>
        </w:rPr>
        <w:t xml:space="preserve"> </w:t>
      </w:r>
      <w:r w:rsidRPr="001F1399">
        <w:rPr>
          <w:rFonts w:ascii="Book Antiqua" w:hAnsi="Book Antiqua"/>
          <w:b/>
          <w:sz w:val="24"/>
          <w:szCs w:val="24"/>
          <w:lang w:val="en-US"/>
        </w:rPr>
        <w:t>Arrieta MC</w:t>
      </w:r>
      <w:r w:rsidRPr="001F1399">
        <w:rPr>
          <w:rFonts w:ascii="Book Antiqua" w:hAnsi="Book Antiqua"/>
          <w:sz w:val="24"/>
          <w:szCs w:val="24"/>
          <w:lang w:val="en-US"/>
        </w:rPr>
        <w:t xml:space="preserve">, Stiemsma LT, Amenyogbe N, Brown EM, Finlay B. The intestinal microbiome in early life: health and disease. </w:t>
      </w:r>
      <w:r w:rsidRPr="001F1399">
        <w:rPr>
          <w:rFonts w:ascii="Book Antiqua" w:hAnsi="Book Antiqua"/>
          <w:i/>
          <w:sz w:val="24"/>
          <w:szCs w:val="24"/>
          <w:lang w:val="en-US"/>
        </w:rPr>
        <w:t>Front Immunol</w:t>
      </w:r>
      <w:r w:rsidRPr="001F1399">
        <w:rPr>
          <w:rFonts w:ascii="Book Antiqua" w:hAnsi="Book Antiqua"/>
          <w:sz w:val="24"/>
          <w:szCs w:val="24"/>
          <w:lang w:val="en-US"/>
        </w:rPr>
        <w:t xml:space="preserve"> 2014; </w:t>
      </w:r>
      <w:r w:rsidRPr="001F1399">
        <w:rPr>
          <w:rFonts w:ascii="Book Antiqua" w:hAnsi="Book Antiqua"/>
          <w:b/>
          <w:sz w:val="24"/>
          <w:szCs w:val="24"/>
          <w:lang w:val="en-US"/>
        </w:rPr>
        <w:t>5</w:t>
      </w:r>
      <w:r w:rsidRPr="001F1399">
        <w:rPr>
          <w:rFonts w:ascii="Book Antiqua" w:hAnsi="Book Antiqua"/>
          <w:sz w:val="24"/>
          <w:szCs w:val="24"/>
          <w:lang w:val="en-US"/>
        </w:rPr>
        <w:t>: 427 [PMID: 25250028 DOI: 10.3389/fimmu.2014.00427]</w:t>
      </w:r>
    </w:p>
    <w:p w14:paraId="7D77F8AB" w14:textId="21AF458F"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w:t>
      </w:r>
      <w:r w:rsidR="00D253C3" w:rsidRPr="001F1399">
        <w:rPr>
          <w:rFonts w:ascii="Book Antiqua" w:hAnsi="Book Antiqua"/>
          <w:sz w:val="24"/>
          <w:szCs w:val="24"/>
          <w:lang w:val="en-US"/>
        </w:rPr>
        <w:t>6</w:t>
      </w:r>
      <w:r w:rsidRPr="001F1399">
        <w:rPr>
          <w:rFonts w:ascii="Book Antiqua" w:hAnsi="Book Antiqua"/>
          <w:sz w:val="24"/>
          <w:szCs w:val="24"/>
          <w:lang w:val="en-US"/>
        </w:rPr>
        <w:t xml:space="preserve"> </w:t>
      </w:r>
      <w:r w:rsidRPr="001F1399">
        <w:rPr>
          <w:rFonts w:ascii="Book Antiqua" w:hAnsi="Book Antiqua"/>
          <w:b/>
          <w:sz w:val="24"/>
          <w:szCs w:val="24"/>
          <w:lang w:val="en-US"/>
        </w:rPr>
        <w:t>Sekirov I</w:t>
      </w:r>
      <w:r w:rsidRPr="001F1399">
        <w:rPr>
          <w:rFonts w:ascii="Book Antiqua" w:hAnsi="Book Antiqua"/>
          <w:sz w:val="24"/>
          <w:szCs w:val="24"/>
          <w:lang w:val="en-US"/>
        </w:rPr>
        <w:t xml:space="preserve">, Russell SL, Antunes LC, Finlay BB. Gut microbiota in health and disease. </w:t>
      </w:r>
      <w:r w:rsidRPr="001F1399">
        <w:rPr>
          <w:rFonts w:ascii="Book Antiqua" w:hAnsi="Book Antiqua"/>
          <w:i/>
          <w:sz w:val="24"/>
          <w:szCs w:val="24"/>
          <w:lang w:val="en-US"/>
        </w:rPr>
        <w:t>Physiol Rev</w:t>
      </w:r>
      <w:r w:rsidRPr="001F1399">
        <w:rPr>
          <w:rFonts w:ascii="Book Antiqua" w:hAnsi="Book Antiqua"/>
          <w:sz w:val="24"/>
          <w:szCs w:val="24"/>
          <w:lang w:val="en-US"/>
        </w:rPr>
        <w:t xml:space="preserve"> 2010; </w:t>
      </w:r>
      <w:r w:rsidRPr="001F1399">
        <w:rPr>
          <w:rFonts w:ascii="Book Antiqua" w:hAnsi="Book Antiqua"/>
          <w:b/>
          <w:sz w:val="24"/>
          <w:szCs w:val="24"/>
          <w:lang w:val="en-US"/>
        </w:rPr>
        <w:t>90</w:t>
      </w:r>
      <w:r w:rsidRPr="001F1399">
        <w:rPr>
          <w:rFonts w:ascii="Book Antiqua" w:hAnsi="Book Antiqua"/>
          <w:sz w:val="24"/>
          <w:szCs w:val="24"/>
          <w:lang w:val="en-US"/>
        </w:rPr>
        <w:t>: 859-904 [PMID: 20664075 DOI: 10.1152/physrev.00045.2009]</w:t>
      </w:r>
    </w:p>
    <w:p w14:paraId="7E8BBAF1" w14:textId="5C89BF2A"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17</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Prakash S</w:t>
      </w:r>
      <w:r w:rsidR="00C076F3" w:rsidRPr="001F1399">
        <w:rPr>
          <w:rFonts w:ascii="Book Antiqua" w:hAnsi="Book Antiqua"/>
          <w:sz w:val="24"/>
          <w:szCs w:val="24"/>
          <w:lang w:val="en-US"/>
        </w:rPr>
        <w:t xml:space="preserve">, Rodes L, Coussa-Charley M, Tomaro-Duchesneau C. Gut microbiota: next frontier in understanding human health and development of biotherapeutics. </w:t>
      </w:r>
      <w:r w:rsidR="00C076F3" w:rsidRPr="001F1399">
        <w:rPr>
          <w:rFonts w:ascii="Book Antiqua" w:hAnsi="Book Antiqua"/>
          <w:i/>
          <w:sz w:val="24"/>
          <w:szCs w:val="24"/>
          <w:lang w:val="en-US"/>
        </w:rPr>
        <w:t>Biologics</w:t>
      </w:r>
      <w:r w:rsidR="00C076F3" w:rsidRPr="001F1399">
        <w:rPr>
          <w:rFonts w:ascii="Book Antiqua" w:hAnsi="Book Antiqua"/>
          <w:sz w:val="24"/>
          <w:szCs w:val="24"/>
          <w:lang w:val="en-US"/>
        </w:rPr>
        <w:t xml:space="preserve"> 2011; </w:t>
      </w:r>
      <w:r w:rsidR="00C076F3" w:rsidRPr="001F1399">
        <w:rPr>
          <w:rFonts w:ascii="Book Antiqua" w:hAnsi="Book Antiqua"/>
          <w:b/>
          <w:sz w:val="24"/>
          <w:szCs w:val="24"/>
          <w:lang w:val="en-US"/>
        </w:rPr>
        <w:t>5</w:t>
      </w:r>
      <w:r w:rsidR="00C076F3" w:rsidRPr="001F1399">
        <w:rPr>
          <w:rFonts w:ascii="Book Antiqua" w:hAnsi="Book Antiqua"/>
          <w:sz w:val="24"/>
          <w:szCs w:val="24"/>
          <w:lang w:val="en-US"/>
        </w:rPr>
        <w:t>: 71-86 [PMID: 21847343 DOI: 10.2147/BTT.S19099]</w:t>
      </w:r>
    </w:p>
    <w:p w14:paraId="518FB572" w14:textId="23623C1E"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18</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Dogra S</w:t>
      </w:r>
      <w:r w:rsidR="00C076F3" w:rsidRPr="001F1399">
        <w:rPr>
          <w:rFonts w:ascii="Book Antiqua" w:hAnsi="Book Antiqua"/>
          <w:sz w:val="24"/>
          <w:szCs w:val="24"/>
          <w:lang w:val="en-US"/>
        </w:rPr>
        <w:t xml:space="preserve">, Sakwinska O, Soh SE, Ngom-Bru C, Brück WM, Berger B, Brüssow H, Karnani N, Lee YS, Yap F, Chong YS, Godfrey KM, Holbrook JD. Rate of establishing the gut microbiota in infancy has consequences for future health. </w:t>
      </w:r>
      <w:r w:rsidR="00C076F3" w:rsidRPr="001F1399">
        <w:rPr>
          <w:rFonts w:ascii="Book Antiqua" w:hAnsi="Book Antiqua"/>
          <w:i/>
          <w:sz w:val="24"/>
          <w:szCs w:val="24"/>
          <w:lang w:val="en-US"/>
        </w:rPr>
        <w:t>Gut Microbes</w:t>
      </w:r>
      <w:r w:rsidR="00C076F3" w:rsidRPr="001F1399">
        <w:rPr>
          <w:rFonts w:ascii="Book Antiqua" w:hAnsi="Book Antiqua"/>
          <w:sz w:val="24"/>
          <w:szCs w:val="24"/>
          <w:lang w:val="en-US"/>
        </w:rPr>
        <w:t xml:space="preserve"> 2015; </w:t>
      </w:r>
      <w:r w:rsidR="00C076F3" w:rsidRPr="001F1399">
        <w:rPr>
          <w:rFonts w:ascii="Book Antiqua" w:hAnsi="Book Antiqua"/>
          <w:b/>
          <w:sz w:val="24"/>
          <w:szCs w:val="24"/>
          <w:lang w:val="en-US"/>
        </w:rPr>
        <w:t>6</w:t>
      </w:r>
      <w:r w:rsidR="00C076F3" w:rsidRPr="001F1399">
        <w:rPr>
          <w:rFonts w:ascii="Book Antiqua" w:hAnsi="Book Antiqua"/>
          <w:sz w:val="24"/>
          <w:szCs w:val="24"/>
          <w:lang w:val="en-US"/>
        </w:rPr>
        <w:t>: 321-325 [PMID: 26516657 DOI: 10.1080/19490976.2015.1078051]</w:t>
      </w:r>
    </w:p>
    <w:p w14:paraId="1130C709" w14:textId="14B146D2"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w:t>
      </w:r>
      <w:r w:rsidR="00D253C3" w:rsidRPr="001F1399">
        <w:rPr>
          <w:rFonts w:ascii="Book Antiqua" w:hAnsi="Book Antiqua"/>
          <w:sz w:val="24"/>
          <w:szCs w:val="24"/>
          <w:lang w:val="en-US"/>
        </w:rPr>
        <w:t>9</w:t>
      </w:r>
      <w:r w:rsidRPr="001F1399">
        <w:rPr>
          <w:rFonts w:ascii="Book Antiqua" w:hAnsi="Book Antiqua"/>
          <w:sz w:val="24"/>
          <w:szCs w:val="24"/>
          <w:lang w:val="en-US"/>
        </w:rPr>
        <w:t xml:space="preserve"> </w:t>
      </w:r>
      <w:r w:rsidRPr="001F1399">
        <w:rPr>
          <w:rFonts w:ascii="Book Antiqua" w:hAnsi="Book Antiqua"/>
          <w:b/>
          <w:sz w:val="24"/>
          <w:szCs w:val="24"/>
          <w:lang w:val="en-US"/>
        </w:rPr>
        <w:t>Clemente JC</w:t>
      </w:r>
      <w:r w:rsidRPr="001F1399">
        <w:rPr>
          <w:rFonts w:ascii="Book Antiqua" w:hAnsi="Book Antiqua"/>
          <w:sz w:val="24"/>
          <w:szCs w:val="24"/>
          <w:lang w:val="en-US"/>
        </w:rPr>
        <w:t xml:space="preserve">, Ursell LK, Parfrey LW, Knight R. The impact of the gut microbiota on human health: an integrative view. </w:t>
      </w:r>
      <w:r w:rsidRPr="001F1399">
        <w:rPr>
          <w:rFonts w:ascii="Book Antiqua" w:hAnsi="Book Antiqua"/>
          <w:i/>
          <w:sz w:val="24"/>
          <w:szCs w:val="24"/>
          <w:lang w:val="en-US"/>
        </w:rPr>
        <w:t>Cell</w:t>
      </w:r>
      <w:r w:rsidRPr="001F1399">
        <w:rPr>
          <w:rFonts w:ascii="Book Antiqua" w:hAnsi="Book Antiqua"/>
          <w:sz w:val="24"/>
          <w:szCs w:val="24"/>
          <w:lang w:val="en-US"/>
        </w:rPr>
        <w:t xml:space="preserve"> 2012; </w:t>
      </w:r>
      <w:r w:rsidRPr="001F1399">
        <w:rPr>
          <w:rFonts w:ascii="Book Antiqua" w:hAnsi="Book Antiqua"/>
          <w:b/>
          <w:sz w:val="24"/>
          <w:szCs w:val="24"/>
          <w:lang w:val="en-US"/>
        </w:rPr>
        <w:t>148</w:t>
      </w:r>
      <w:r w:rsidRPr="001F1399">
        <w:rPr>
          <w:rFonts w:ascii="Book Antiqua" w:hAnsi="Book Antiqua"/>
          <w:sz w:val="24"/>
          <w:szCs w:val="24"/>
          <w:lang w:val="en-US"/>
        </w:rPr>
        <w:t>: 1258-1270 [PMID: 22424233 DOI: 10.1016/j.cell.2012.01.035]</w:t>
      </w:r>
    </w:p>
    <w:p w14:paraId="175057F9" w14:textId="29F51EAC"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20</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Neu J</w:t>
      </w:r>
      <w:r w:rsidR="00C076F3" w:rsidRPr="001F1399">
        <w:rPr>
          <w:rFonts w:ascii="Book Antiqua" w:hAnsi="Book Antiqua"/>
          <w:sz w:val="24"/>
          <w:szCs w:val="24"/>
          <w:lang w:val="en-US"/>
        </w:rPr>
        <w:t xml:space="preserve">, Rushing J. Cesarean versus vaginal delivery: long-term infant outcomes and the hygiene hypothesis. </w:t>
      </w:r>
      <w:r w:rsidR="00C076F3" w:rsidRPr="001F1399">
        <w:rPr>
          <w:rFonts w:ascii="Book Antiqua" w:hAnsi="Book Antiqua"/>
          <w:i/>
          <w:sz w:val="24"/>
          <w:szCs w:val="24"/>
          <w:lang w:val="en-US"/>
        </w:rPr>
        <w:t>Clin Perinatol</w:t>
      </w:r>
      <w:r w:rsidR="00C076F3" w:rsidRPr="001F1399">
        <w:rPr>
          <w:rFonts w:ascii="Book Antiqua" w:hAnsi="Book Antiqua"/>
          <w:sz w:val="24"/>
          <w:szCs w:val="24"/>
          <w:lang w:val="en-US"/>
        </w:rPr>
        <w:t xml:space="preserve"> 2011; </w:t>
      </w:r>
      <w:r w:rsidR="00C076F3" w:rsidRPr="001F1399">
        <w:rPr>
          <w:rFonts w:ascii="Book Antiqua" w:hAnsi="Book Antiqua"/>
          <w:b/>
          <w:sz w:val="24"/>
          <w:szCs w:val="24"/>
          <w:lang w:val="en-US"/>
        </w:rPr>
        <w:t>38</w:t>
      </w:r>
      <w:r w:rsidR="00C076F3" w:rsidRPr="001F1399">
        <w:rPr>
          <w:rFonts w:ascii="Book Antiqua" w:hAnsi="Book Antiqua"/>
          <w:sz w:val="24"/>
          <w:szCs w:val="24"/>
          <w:lang w:val="en-US"/>
        </w:rPr>
        <w:t>: 321-331 [PMID: 21645799 DOI: 10.1016/j.clp.2011.03.008]</w:t>
      </w:r>
    </w:p>
    <w:p w14:paraId="004BABAD" w14:textId="7D4E1D66"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2</w:t>
      </w:r>
      <w:r w:rsidR="00D253C3" w:rsidRPr="001F1399">
        <w:rPr>
          <w:rFonts w:ascii="Book Antiqua" w:hAnsi="Book Antiqua"/>
          <w:sz w:val="24"/>
          <w:szCs w:val="24"/>
          <w:lang w:val="en-US"/>
        </w:rPr>
        <w:t>1</w:t>
      </w:r>
      <w:r w:rsidRPr="001F1399">
        <w:rPr>
          <w:rFonts w:ascii="Book Antiqua" w:hAnsi="Book Antiqua"/>
          <w:sz w:val="24"/>
          <w:szCs w:val="24"/>
          <w:lang w:val="en-US"/>
        </w:rPr>
        <w:t xml:space="preserve"> </w:t>
      </w:r>
      <w:r w:rsidRPr="001F1399">
        <w:rPr>
          <w:rFonts w:ascii="Book Antiqua" w:hAnsi="Book Antiqua"/>
          <w:b/>
          <w:sz w:val="24"/>
          <w:szCs w:val="24"/>
          <w:lang w:val="en-US"/>
        </w:rPr>
        <w:t>Ling Z</w:t>
      </w:r>
      <w:r w:rsidRPr="001F1399">
        <w:rPr>
          <w:rFonts w:ascii="Book Antiqua" w:hAnsi="Book Antiqua"/>
          <w:sz w:val="24"/>
          <w:szCs w:val="24"/>
          <w:lang w:val="en-US"/>
        </w:rPr>
        <w:t xml:space="preserve">, Li Z, Liu X, Cheng Y, Luo Y, Tong X, Yuan L, Wang Y, Sun J, Li L, Xiang C. Altered fecal microbiota composition associated with food allergy in infants. </w:t>
      </w:r>
      <w:r w:rsidRPr="001F1399">
        <w:rPr>
          <w:rFonts w:ascii="Book Antiqua" w:hAnsi="Book Antiqua"/>
          <w:i/>
          <w:sz w:val="24"/>
          <w:szCs w:val="24"/>
          <w:lang w:val="en-US"/>
        </w:rPr>
        <w:t>Appl Environ Microbiol</w:t>
      </w:r>
      <w:r w:rsidRPr="001F1399">
        <w:rPr>
          <w:rFonts w:ascii="Book Antiqua" w:hAnsi="Book Antiqua"/>
          <w:sz w:val="24"/>
          <w:szCs w:val="24"/>
          <w:lang w:val="en-US"/>
        </w:rPr>
        <w:t xml:space="preserve"> 2014; </w:t>
      </w:r>
      <w:r w:rsidRPr="001F1399">
        <w:rPr>
          <w:rFonts w:ascii="Book Antiqua" w:hAnsi="Book Antiqua"/>
          <w:b/>
          <w:sz w:val="24"/>
          <w:szCs w:val="24"/>
          <w:lang w:val="en-US"/>
        </w:rPr>
        <w:t>80</w:t>
      </w:r>
      <w:r w:rsidRPr="001F1399">
        <w:rPr>
          <w:rFonts w:ascii="Book Antiqua" w:hAnsi="Book Antiqua"/>
          <w:sz w:val="24"/>
          <w:szCs w:val="24"/>
          <w:lang w:val="en-US"/>
        </w:rPr>
        <w:t>: 2546-2554 [PMID: 24532064 DOI: 10.1128/AEM.00003-14]</w:t>
      </w:r>
    </w:p>
    <w:p w14:paraId="7205B282" w14:textId="597ACDEE"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2</w:t>
      </w:r>
      <w:r w:rsidR="00D253C3" w:rsidRPr="001F1399">
        <w:rPr>
          <w:rFonts w:ascii="Book Antiqua" w:hAnsi="Book Antiqua"/>
          <w:sz w:val="24"/>
          <w:szCs w:val="24"/>
          <w:lang w:val="en-US"/>
        </w:rPr>
        <w:t>2</w:t>
      </w:r>
      <w:r w:rsidRPr="001F1399">
        <w:rPr>
          <w:rFonts w:ascii="Book Antiqua" w:hAnsi="Book Antiqua"/>
          <w:sz w:val="24"/>
          <w:szCs w:val="24"/>
          <w:lang w:val="en-US"/>
        </w:rPr>
        <w:t xml:space="preserve"> </w:t>
      </w:r>
      <w:r w:rsidRPr="001F1399">
        <w:rPr>
          <w:rFonts w:ascii="Book Antiqua" w:hAnsi="Book Antiqua"/>
          <w:b/>
          <w:sz w:val="24"/>
          <w:szCs w:val="24"/>
          <w:lang w:val="en-US"/>
        </w:rPr>
        <w:t>Negele K</w:t>
      </w:r>
      <w:r w:rsidRPr="001F1399">
        <w:rPr>
          <w:rFonts w:ascii="Book Antiqua" w:hAnsi="Book Antiqua"/>
          <w:sz w:val="24"/>
          <w:szCs w:val="24"/>
          <w:lang w:val="en-US"/>
        </w:rPr>
        <w:t xml:space="preserve">, Heinrich J, Borte M, von Berg A, Schaaf B, Lehmann I, Wichmann HE, Bolte G; LISA Study Group. Mode of delivery and development of atopic disease during the first 2 years of life. </w:t>
      </w:r>
      <w:r w:rsidRPr="001F1399">
        <w:rPr>
          <w:rFonts w:ascii="Book Antiqua" w:hAnsi="Book Antiqua"/>
          <w:i/>
          <w:sz w:val="24"/>
          <w:szCs w:val="24"/>
          <w:lang w:val="en-US"/>
        </w:rPr>
        <w:t>Pediatr Allergy Immunol</w:t>
      </w:r>
      <w:r w:rsidRPr="001F1399">
        <w:rPr>
          <w:rFonts w:ascii="Book Antiqua" w:hAnsi="Book Antiqua"/>
          <w:sz w:val="24"/>
          <w:szCs w:val="24"/>
          <w:lang w:val="en-US"/>
        </w:rPr>
        <w:t xml:space="preserve"> 2004; </w:t>
      </w:r>
      <w:r w:rsidRPr="001F1399">
        <w:rPr>
          <w:rFonts w:ascii="Book Antiqua" w:hAnsi="Book Antiqua"/>
          <w:b/>
          <w:sz w:val="24"/>
          <w:szCs w:val="24"/>
          <w:lang w:val="en-US"/>
        </w:rPr>
        <w:t>15</w:t>
      </w:r>
      <w:r w:rsidRPr="001F1399">
        <w:rPr>
          <w:rFonts w:ascii="Book Antiqua" w:hAnsi="Book Antiqua"/>
          <w:sz w:val="24"/>
          <w:szCs w:val="24"/>
          <w:lang w:val="en-US"/>
        </w:rPr>
        <w:t>: 48-54 [PMID: 14998382 DOI: 10.1046/j.0905-6157.2003.00101.x]</w:t>
      </w:r>
    </w:p>
    <w:p w14:paraId="5F9E1AF0" w14:textId="0EA3D2AC"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lastRenderedPageBreak/>
        <w:t>2</w:t>
      </w:r>
      <w:r w:rsidR="00D253C3" w:rsidRPr="001F1399">
        <w:rPr>
          <w:rFonts w:ascii="Book Antiqua" w:hAnsi="Book Antiqua"/>
          <w:sz w:val="24"/>
          <w:szCs w:val="24"/>
          <w:lang w:val="en-US"/>
        </w:rPr>
        <w:t>3</w:t>
      </w:r>
      <w:r w:rsidRPr="001F1399">
        <w:rPr>
          <w:rFonts w:ascii="Book Antiqua" w:hAnsi="Book Antiqua"/>
          <w:sz w:val="24"/>
          <w:szCs w:val="24"/>
          <w:lang w:val="en-US"/>
        </w:rPr>
        <w:t xml:space="preserve"> </w:t>
      </w:r>
      <w:r w:rsidRPr="001F1399">
        <w:rPr>
          <w:rFonts w:ascii="Book Antiqua" w:hAnsi="Book Antiqua"/>
          <w:b/>
          <w:sz w:val="24"/>
          <w:szCs w:val="24"/>
          <w:lang w:val="en-US"/>
        </w:rPr>
        <w:t>Strachan DP</w:t>
      </w:r>
      <w:r w:rsidRPr="001F1399">
        <w:rPr>
          <w:rFonts w:ascii="Book Antiqua" w:hAnsi="Book Antiqua"/>
          <w:sz w:val="24"/>
          <w:szCs w:val="24"/>
          <w:lang w:val="en-US"/>
        </w:rPr>
        <w:t xml:space="preserve">. Hay fever, hygiene, and household size. </w:t>
      </w:r>
      <w:r w:rsidRPr="001F1399">
        <w:rPr>
          <w:rFonts w:ascii="Book Antiqua" w:hAnsi="Book Antiqua"/>
          <w:i/>
          <w:sz w:val="24"/>
          <w:szCs w:val="24"/>
          <w:lang w:val="en-US"/>
        </w:rPr>
        <w:t>BMJ</w:t>
      </w:r>
      <w:r w:rsidRPr="001F1399">
        <w:rPr>
          <w:rFonts w:ascii="Book Antiqua" w:hAnsi="Book Antiqua"/>
          <w:sz w:val="24"/>
          <w:szCs w:val="24"/>
          <w:lang w:val="en-US"/>
        </w:rPr>
        <w:t xml:space="preserve"> 1989; </w:t>
      </w:r>
      <w:r w:rsidRPr="001F1399">
        <w:rPr>
          <w:rFonts w:ascii="Book Antiqua" w:hAnsi="Book Antiqua"/>
          <w:b/>
          <w:sz w:val="24"/>
          <w:szCs w:val="24"/>
          <w:lang w:val="en-US"/>
        </w:rPr>
        <w:t>299</w:t>
      </w:r>
      <w:r w:rsidRPr="001F1399">
        <w:rPr>
          <w:rFonts w:ascii="Book Antiqua" w:hAnsi="Book Antiqua"/>
          <w:sz w:val="24"/>
          <w:szCs w:val="24"/>
          <w:lang w:val="en-US"/>
        </w:rPr>
        <w:t>: 1259-1260 [PMID: 2513902 DOI: 10.1136/bmj.299.6710.1259]</w:t>
      </w:r>
    </w:p>
    <w:p w14:paraId="4F7C5F33" w14:textId="4D1EE24A"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24</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Alexandre-Silva GM</w:t>
      </w:r>
      <w:r w:rsidR="00C076F3" w:rsidRPr="001F1399">
        <w:rPr>
          <w:rFonts w:ascii="Book Antiqua" w:hAnsi="Book Antiqua"/>
          <w:sz w:val="24"/>
          <w:szCs w:val="24"/>
          <w:lang w:val="en-US"/>
        </w:rPr>
        <w:t xml:space="preserve">, Brito-Souza PA, Oliveira ACS, Cerni FA, Zottich U, Pucca MB. The hygiene hypothesis at a glance: Early exposures, immune mechanism and novel therapies. </w:t>
      </w:r>
      <w:r w:rsidR="00C076F3" w:rsidRPr="001F1399">
        <w:rPr>
          <w:rFonts w:ascii="Book Antiqua" w:hAnsi="Book Antiqua"/>
          <w:i/>
          <w:sz w:val="24"/>
          <w:szCs w:val="24"/>
          <w:lang w:val="en-US"/>
        </w:rPr>
        <w:t>Acta Trop</w:t>
      </w:r>
      <w:r w:rsidR="00C076F3" w:rsidRPr="001F1399">
        <w:rPr>
          <w:rFonts w:ascii="Book Antiqua" w:hAnsi="Book Antiqua"/>
          <w:sz w:val="24"/>
          <w:szCs w:val="24"/>
          <w:lang w:val="en-US"/>
        </w:rPr>
        <w:t xml:space="preserve"> 2018; </w:t>
      </w:r>
      <w:r w:rsidR="00C076F3" w:rsidRPr="001F1399">
        <w:rPr>
          <w:rFonts w:ascii="Book Antiqua" w:hAnsi="Book Antiqua"/>
          <w:b/>
          <w:sz w:val="24"/>
          <w:szCs w:val="24"/>
          <w:lang w:val="en-US"/>
        </w:rPr>
        <w:t>188</w:t>
      </w:r>
      <w:r w:rsidR="00C076F3" w:rsidRPr="001F1399">
        <w:rPr>
          <w:rFonts w:ascii="Book Antiqua" w:hAnsi="Book Antiqua"/>
          <w:sz w:val="24"/>
          <w:szCs w:val="24"/>
          <w:lang w:val="en-US"/>
        </w:rPr>
        <w:t>: 16-26 [PMID: 30165069 DOI: 10.1016/j.actatropica.2018.08.032]</w:t>
      </w:r>
    </w:p>
    <w:p w14:paraId="715D0496" w14:textId="77D95548"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2</w:t>
      </w:r>
      <w:r w:rsidR="00D253C3" w:rsidRPr="001F1399">
        <w:rPr>
          <w:rFonts w:ascii="Book Antiqua" w:hAnsi="Book Antiqua"/>
          <w:sz w:val="24"/>
          <w:szCs w:val="24"/>
          <w:lang w:val="en-US"/>
        </w:rPr>
        <w:t>5</w:t>
      </w:r>
      <w:r w:rsidRPr="001F1399">
        <w:rPr>
          <w:rFonts w:ascii="Book Antiqua" w:hAnsi="Book Antiqua"/>
          <w:sz w:val="24"/>
          <w:szCs w:val="24"/>
          <w:lang w:val="en-US"/>
        </w:rPr>
        <w:t xml:space="preserve"> </w:t>
      </w:r>
      <w:r w:rsidRPr="001F1399">
        <w:rPr>
          <w:rFonts w:ascii="Book Antiqua" w:hAnsi="Book Antiqua"/>
          <w:b/>
          <w:sz w:val="24"/>
          <w:szCs w:val="24"/>
          <w:lang w:val="en-US"/>
        </w:rPr>
        <w:t>Grier A</w:t>
      </w:r>
      <w:r w:rsidRPr="001F1399">
        <w:rPr>
          <w:rFonts w:ascii="Book Antiqua" w:hAnsi="Book Antiqua"/>
          <w:sz w:val="24"/>
          <w:szCs w:val="24"/>
          <w:lang w:val="en-US"/>
        </w:rPr>
        <w:t xml:space="preserve">, Qiu X, Bandyopadhyay S, Holden-Wiltse J, Kessler HA, Gill AL, Hamilton B, Huyck H, Misra S, Mariani TJ, Ryan RM, Scholer L, Scheible KM, Lee YH, Caserta MT, Pryhuber GS, Gill SR. Impact of prematurity and nutrition on the developing gut microbiome and preterm infant growth. </w:t>
      </w:r>
      <w:r w:rsidRPr="001F1399">
        <w:rPr>
          <w:rFonts w:ascii="Book Antiqua" w:hAnsi="Book Antiqua"/>
          <w:i/>
          <w:sz w:val="24"/>
          <w:szCs w:val="24"/>
          <w:lang w:val="en-US"/>
        </w:rPr>
        <w:t>Microbiome</w:t>
      </w:r>
      <w:r w:rsidRPr="001F1399">
        <w:rPr>
          <w:rFonts w:ascii="Book Antiqua" w:hAnsi="Book Antiqua"/>
          <w:sz w:val="24"/>
          <w:szCs w:val="24"/>
          <w:lang w:val="en-US"/>
        </w:rPr>
        <w:t xml:space="preserve"> 2017; </w:t>
      </w:r>
      <w:r w:rsidRPr="001F1399">
        <w:rPr>
          <w:rFonts w:ascii="Book Antiqua" w:hAnsi="Book Antiqua"/>
          <w:b/>
          <w:sz w:val="24"/>
          <w:szCs w:val="24"/>
          <w:lang w:val="en-US"/>
        </w:rPr>
        <w:t>5</w:t>
      </w:r>
      <w:r w:rsidRPr="001F1399">
        <w:rPr>
          <w:rFonts w:ascii="Book Antiqua" w:hAnsi="Book Antiqua"/>
          <w:sz w:val="24"/>
          <w:szCs w:val="24"/>
          <w:lang w:val="en-US"/>
        </w:rPr>
        <w:t>: 158 [PMID: 29228972 DOI: 10.1186/s40168-017-0377-0]</w:t>
      </w:r>
    </w:p>
    <w:p w14:paraId="1885DF43" w14:textId="72F49C08" w:rsidR="00C076F3" w:rsidRPr="001F1399" w:rsidRDefault="00C076F3" w:rsidP="002974FA">
      <w:pPr>
        <w:adjustRightInd w:val="0"/>
        <w:snapToGrid w:val="0"/>
        <w:spacing w:after="0" w:line="360" w:lineRule="auto"/>
        <w:jc w:val="both"/>
        <w:rPr>
          <w:rFonts w:ascii="Book Antiqua" w:hAnsi="Book Antiqua"/>
          <w:sz w:val="24"/>
          <w:szCs w:val="24"/>
        </w:rPr>
      </w:pPr>
      <w:r w:rsidRPr="001F1399">
        <w:rPr>
          <w:rFonts w:ascii="Book Antiqua" w:hAnsi="Book Antiqua"/>
          <w:sz w:val="24"/>
          <w:szCs w:val="24"/>
          <w:lang w:val="en-US"/>
        </w:rPr>
        <w:t>2</w:t>
      </w:r>
      <w:r w:rsidR="00D253C3" w:rsidRPr="001F1399">
        <w:rPr>
          <w:rFonts w:ascii="Book Antiqua" w:hAnsi="Book Antiqua"/>
          <w:sz w:val="24"/>
          <w:szCs w:val="24"/>
          <w:lang w:val="en-US"/>
        </w:rPr>
        <w:t>6</w:t>
      </w:r>
      <w:r w:rsidRPr="001F1399">
        <w:rPr>
          <w:rFonts w:ascii="Book Antiqua" w:hAnsi="Book Antiqua"/>
          <w:sz w:val="24"/>
          <w:szCs w:val="24"/>
          <w:lang w:val="en-US"/>
        </w:rPr>
        <w:t xml:space="preserve"> </w:t>
      </w:r>
      <w:r w:rsidRPr="001F1399">
        <w:rPr>
          <w:rFonts w:ascii="Book Antiqua" w:hAnsi="Book Antiqua"/>
          <w:b/>
          <w:sz w:val="24"/>
          <w:szCs w:val="24"/>
          <w:lang w:val="en-US"/>
        </w:rPr>
        <w:t>Korpela K</w:t>
      </w:r>
      <w:r w:rsidRPr="001F1399">
        <w:rPr>
          <w:rFonts w:ascii="Book Antiqua" w:hAnsi="Book Antiqua"/>
          <w:sz w:val="24"/>
          <w:szCs w:val="24"/>
          <w:lang w:val="en-US"/>
        </w:rPr>
        <w:t xml:space="preserve">, Blakstad EW, Moltu SJ, Strømmen K, Nakstad B, Rønnestad AE, Brække K, Iversen PO, Drevon CA, de Vos W. Intestinal microbiota development and gestational age in preterm neonates. </w:t>
      </w:r>
      <w:r w:rsidRPr="001F1399">
        <w:rPr>
          <w:rFonts w:ascii="Book Antiqua" w:hAnsi="Book Antiqua"/>
          <w:i/>
          <w:sz w:val="24"/>
          <w:szCs w:val="24"/>
        </w:rPr>
        <w:t>Sci Rep</w:t>
      </w:r>
      <w:r w:rsidRPr="001F1399">
        <w:rPr>
          <w:rFonts w:ascii="Book Antiqua" w:hAnsi="Book Antiqua"/>
          <w:sz w:val="24"/>
          <w:szCs w:val="24"/>
        </w:rPr>
        <w:t xml:space="preserve"> 2018; </w:t>
      </w:r>
      <w:r w:rsidRPr="001F1399">
        <w:rPr>
          <w:rFonts w:ascii="Book Antiqua" w:hAnsi="Book Antiqua"/>
          <w:b/>
          <w:sz w:val="24"/>
          <w:szCs w:val="24"/>
        </w:rPr>
        <w:t>8</w:t>
      </w:r>
      <w:r w:rsidRPr="001F1399">
        <w:rPr>
          <w:rFonts w:ascii="Book Antiqua" w:hAnsi="Book Antiqua"/>
          <w:sz w:val="24"/>
          <w:szCs w:val="24"/>
        </w:rPr>
        <w:t>: 2453 [PMID: 29410448 DOI: 10.1038/s41598-018-20827-x]</w:t>
      </w:r>
    </w:p>
    <w:p w14:paraId="62D2CF0D" w14:textId="45B8C181"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rPr>
        <w:t>27</w:t>
      </w:r>
      <w:r w:rsidR="00C076F3" w:rsidRPr="001F1399">
        <w:rPr>
          <w:rFonts w:ascii="Book Antiqua" w:hAnsi="Book Antiqua"/>
          <w:sz w:val="24"/>
          <w:szCs w:val="24"/>
        </w:rPr>
        <w:t xml:space="preserve"> </w:t>
      </w:r>
      <w:r w:rsidR="00C076F3" w:rsidRPr="001F1399">
        <w:rPr>
          <w:rFonts w:ascii="Book Antiqua" w:hAnsi="Book Antiqua"/>
          <w:b/>
          <w:sz w:val="24"/>
          <w:szCs w:val="24"/>
        </w:rPr>
        <w:t>van de Pavert SA</w:t>
      </w:r>
      <w:r w:rsidR="00C076F3" w:rsidRPr="001F1399">
        <w:rPr>
          <w:rFonts w:ascii="Book Antiqua" w:hAnsi="Book Antiqua"/>
          <w:sz w:val="24"/>
          <w:szCs w:val="24"/>
        </w:rPr>
        <w:t xml:space="preserve">, Mebius RE. </w:t>
      </w:r>
      <w:r w:rsidR="00C076F3" w:rsidRPr="001F1399">
        <w:rPr>
          <w:rFonts w:ascii="Book Antiqua" w:hAnsi="Book Antiqua"/>
          <w:sz w:val="24"/>
          <w:szCs w:val="24"/>
          <w:lang w:val="en-US"/>
        </w:rPr>
        <w:t xml:space="preserve">New insights into the development of lymphoid tissues. </w:t>
      </w:r>
      <w:r w:rsidR="00C076F3" w:rsidRPr="001F1399">
        <w:rPr>
          <w:rFonts w:ascii="Book Antiqua" w:hAnsi="Book Antiqua"/>
          <w:i/>
          <w:sz w:val="24"/>
          <w:szCs w:val="24"/>
          <w:lang w:val="en-US"/>
        </w:rPr>
        <w:t>Nat Rev Immunol</w:t>
      </w:r>
      <w:r w:rsidR="00C076F3" w:rsidRPr="001F1399">
        <w:rPr>
          <w:rFonts w:ascii="Book Antiqua" w:hAnsi="Book Antiqua"/>
          <w:sz w:val="24"/>
          <w:szCs w:val="24"/>
          <w:lang w:val="en-US"/>
        </w:rPr>
        <w:t xml:space="preserve"> 2010; </w:t>
      </w:r>
      <w:r w:rsidR="00C076F3" w:rsidRPr="001F1399">
        <w:rPr>
          <w:rFonts w:ascii="Book Antiqua" w:hAnsi="Book Antiqua"/>
          <w:b/>
          <w:sz w:val="24"/>
          <w:szCs w:val="24"/>
          <w:lang w:val="en-US"/>
        </w:rPr>
        <w:t>10</w:t>
      </w:r>
      <w:r w:rsidR="00C076F3" w:rsidRPr="001F1399">
        <w:rPr>
          <w:rFonts w:ascii="Book Antiqua" w:hAnsi="Book Antiqua"/>
          <w:sz w:val="24"/>
          <w:szCs w:val="24"/>
          <w:lang w:val="en-US"/>
        </w:rPr>
        <w:t>: 664-674 [PMID: 20706277 DOI: 10.1038/nri2832]</w:t>
      </w:r>
    </w:p>
    <w:p w14:paraId="4C5E0B06" w14:textId="625E115C"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2</w:t>
      </w:r>
      <w:r w:rsidR="00D253C3" w:rsidRPr="001F1399">
        <w:rPr>
          <w:rFonts w:ascii="Book Antiqua" w:hAnsi="Book Antiqua"/>
          <w:sz w:val="24"/>
          <w:szCs w:val="24"/>
          <w:lang w:val="en-US"/>
        </w:rPr>
        <w:t>8</w:t>
      </w:r>
      <w:r w:rsidRPr="001F1399">
        <w:rPr>
          <w:rFonts w:ascii="Book Antiqua" w:hAnsi="Book Antiqua"/>
          <w:sz w:val="24"/>
          <w:szCs w:val="24"/>
          <w:lang w:val="en-US"/>
        </w:rPr>
        <w:t xml:space="preserve"> </w:t>
      </w:r>
      <w:r w:rsidRPr="001F1399">
        <w:rPr>
          <w:rFonts w:ascii="Book Antiqua" w:hAnsi="Book Antiqua"/>
          <w:b/>
          <w:sz w:val="24"/>
          <w:szCs w:val="24"/>
          <w:lang w:val="en-US"/>
        </w:rPr>
        <w:t>Weitkamp JH</w:t>
      </w:r>
      <w:r w:rsidRPr="001F1399">
        <w:rPr>
          <w:rFonts w:ascii="Book Antiqua" w:hAnsi="Book Antiqua"/>
          <w:sz w:val="24"/>
          <w:szCs w:val="24"/>
          <w:lang w:val="en-US"/>
        </w:rPr>
        <w:t xml:space="preserve">, Rudzinski E, Koyama T, Correa H, Matta P, Alberty B, Polk DB. Ontogeny of FOXP3(+) regulatory T cells in the postnatal human small intestinal and large intestinal lamina propria. </w:t>
      </w:r>
      <w:r w:rsidRPr="001F1399">
        <w:rPr>
          <w:rFonts w:ascii="Book Antiqua" w:hAnsi="Book Antiqua"/>
          <w:i/>
          <w:sz w:val="24"/>
          <w:szCs w:val="24"/>
          <w:lang w:val="en-US"/>
        </w:rPr>
        <w:t>Pediatr Dev Pathol</w:t>
      </w:r>
      <w:r w:rsidRPr="001F1399">
        <w:rPr>
          <w:rFonts w:ascii="Book Antiqua" w:hAnsi="Book Antiqua"/>
          <w:sz w:val="24"/>
          <w:szCs w:val="24"/>
          <w:lang w:val="en-US"/>
        </w:rPr>
        <w:t xml:space="preserve"> 2009; </w:t>
      </w:r>
      <w:r w:rsidRPr="001F1399">
        <w:rPr>
          <w:rFonts w:ascii="Book Antiqua" w:hAnsi="Book Antiqua"/>
          <w:b/>
          <w:sz w:val="24"/>
          <w:szCs w:val="24"/>
          <w:lang w:val="en-US"/>
        </w:rPr>
        <w:t>12</w:t>
      </w:r>
      <w:r w:rsidRPr="001F1399">
        <w:rPr>
          <w:rFonts w:ascii="Book Antiqua" w:hAnsi="Book Antiqua"/>
          <w:sz w:val="24"/>
          <w:szCs w:val="24"/>
          <w:lang w:val="en-US"/>
        </w:rPr>
        <w:t>: 443-449 [PMID: 19203136 DOI: 10.2350/08-09-0533.1]</w:t>
      </w:r>
    </w:p>
    <w:p w14:paraId="4ED9D532" w14:textId="3637FD32"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2</w:t>
      </w:r>
      <w:r w:rsidR="00D253C3" w:rsidRPr="001F1399">
        <w:rPr>
          <w:rFonts w:ascii="Book Antiqua" w:hAnsi="Book Antiqua"/>
          <w:sz w:val="24"/>
          <w:szCs w:val="24"/>
          <w:lang w:val="en-US"/>
        </w:rPr>
        <w:t>9</w:t>
      </w:r>
      <w:r w:rsidRPr="001F1399">
        <w:rPr>
          <w:rFonts w:ascii="Book Antiqua" w:hAnsi="Book Antiqua"/>
          <w:sz w:val="24"/>
          <w:szCs w:val="24"/>
          <w:lang w:val="en-US"/>
        </w:rPr>
        <w:t xml:space="preserve"> </w:t>
      </w:r>
      <w:r w:rsidRPr="001F1399">
        <w:rPr>
          <w:rFonts w:ascii="Book Antiqua" w:hAnsi="Book Antiqua"/>
          <w:b/>
          <w:sz w:val="24"/>
          <w:szCs w:val="24"/>
          <w:lang w:val="en-US"/>
        </w:rPr>
        <w:t xml:space="preserve">Leibnitz R. </w:t>
      </w:r>
      <w:r w:rsidRPr="001F1399">
        <w:rPr>
          <w:rFonts w:ascii="Book Antiqua" w:hAnsi="Book Antiqua"/>
          <w:bCs/>
          <w:sz w:val="24"/>
          <w:szCs w:val="24"/>
          <w:lang w:val="en-US"/>
        </w:rPr>
        <w:t>Development of the human immune system. In: Holladay S. Developmental Immunotoxicology. Boca Raton,</w:t>
      </w:r>
      <w:r w:rsidRPr="001F1399">
        <w:rPr>
          <w:rFonts w:ascii="Book Antiqua" w:hAnsi="Book Antiqua"/>
          <w:sz w:val="24"/>
          <w:szCs w:val="24"/>
          <w:lang w:val="en-US"/>
        </w:rPr>
        <w:t xml:space="preserve"> FL</w:t>
      </w:r>
      <w:r w:rsidR="002A022C" w:rsidRPr="001F1399">
        <w:rPr>
          <w:rFonts w:ascii="Book Antiqua" w:hAnsi="Book Antiqua"/>
          <w:sz w:val="24"/>
          <w:szCs w:val="24"/>
          <w:lang w:val="en-US"/>
        </w:rPr>
        <w:t>: CRC Press,</w:t>
      </w:r>
      <w:r w:rsidRPr="001F1399">
        <w:rPr>
          <w:rFonts w:ascii="Book Antiqua" w:hAnsi="Book Antiqua"/>
          <w:sz w:val="24"/>
          <w:szCs w:val="24"/>
          <w:lang w:val="en-US"/>
        </w:rPr>
        <w:t xml:space="preserve"> 2005</w:t>
      </w:r>
      <w:r w:rsidR="002A022C" w:rsidRPr="001F1399">
        <w:rPr>
          <w:rFonts w:ascii="Book Antiqua" w:hAnsi="Book Antiqua"/>
          <w:sz w:val="24"/>
          <w:szCs w:val="24"/>
          <w:lang w:val="en-US"/>
        </w:rPr>
        <w:t>:</w:t>
      </w:r>
      <w:r w:rsidRPr="001F1399">
        <w:rPr>
          <w:rFonts w:ascii="Book Antiqua" w:hAnsi="Book Antiqua"/>
          <w:sz w:val="24"/>
          <w:szCs w:val="24"/>
          <w:lang w:val="en-US"/>
        </w:rPr>
        <w:t xml:space="preserve"> 21</w:t>
      </w:r>
      <w:r w:rsidR="002A022C" w:rsidRPr="001F1399">
        <w:rPr>
          <w:rFonts w:ascii="Book Antiqua" w:hAnsi="Book Antiqua"/>
          <w:sz w:val="24"/>
          <w:szCs w:val="24"/>
          <w:lang w:val="en-US"/>
        </w:rPr>
        <w:t>-</w:t>
      </w:r>
      <w:r w:rsidRPr="001F1399">
        <w:rPr>
          <w:rFonts w:ascii="Book Antiqua" w:hAnsi="Book Antiqua"/>
          <w:sz w:val="24"/>
          <w:szCs w:val="24"/>
          <w:lang w:val="en-US"/>
        </w:rPr>
        <w:t>44</w:t>
      </w:r>
    </w:p>
    <w:p w14:paraId="15D4CE36" w14:textId="787F3434"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30</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Mold J,</w:t>
      </w:r>
      <w:r w:rsidR="00C076F3" w:rsidRPr="001F1399">
        <w:rPr>
          <w:rFonts w:ascii="Book Antiqua" w:hAnsi="Book Antiqua"/>
          <w:sz w:val="24"/>
          <w:szCs w:val="24"/>
          <w:lang w:val="en-US"/>
        </w:rPr>
        <w:t xml:space="preserve"> McCune J. Immunological tolerance during fetal development: from mouse to man. </w:t>
      </w:r>
      <w:r w:rsidR="002A022C" w:rsidRPr="001F1399">
        <w:rPr>
          <w:rFonts w:ascii="Book Antiqua" w:hAnsi="Book Antiqua"/>
          <w:i/>
          <w:iCs/>
          <w:sz w:val="24"/>
          <w:szCs w:val="24"/>
          <w:lang w:val="en-US"/>
        </w:rPr>
        <w:t xml:space="preserve">Adv Immunol </w:t>
      </w:r>
      <w:r w:rsidR="002A022C" w:rsidRPr="001F1399">
        <w:rPr>
          <w:rFonts w:ascii="Book Antiqua" w:hAnsi="Book Antiqua"/>
          <w:sz w:val="24"/>
          <w:szCs w:val="24"/>
          <w:lang w:val="en-US"/>
        </w:rPr>
        <w:t xml:space="preserve">2012; </w:t>
      </w:r>
      <w:r w:rsidR="002A022C" w:rsidRPr="001F1399">
        <w:rPr>
          <w:rFonts w:ascii="Book Antiqua" w:hAnsi="Book Antiqua"/>
          <w:b/>
          <w:bCs/>
          <w:sz w:val="24"/>
          <w:szCs w:val="24"/>
          <w:lang w:val="en-US"/>
        </w:rPr>
        <w:t>115</w:t>
      </w:r>
      <w:r w:rsidR="002A022C" w:rsidRPr="001F1399">
        <w:rPr>
          <w:rFonts w:ascii="Book Antiqua" w:hAnsi="Book Antiqua"/>
          <w:sz w:val="24"/>
          <w:szCs w:val="24"/>
          <w:lang w:val="en-US"/>
        </w:rPr>
        <w:t>: 73–111</w:t>
      </w:r>
    </w:p>
    <w:p w14:paraId="1FF7A870" w14:textId="2361B404"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3</w:t>
      </w:r>
      <w:r w:rsidR="00D253C3" w:rsidRPr="001F1399">
        <w:rPr>
          <w:rFonts w:ascii="Book Antiqua" w:hAnsi="Book Antiqua"/>
          <w:sz w:val="24"/>
          <w:szCs w:val="24"/>
          <w:lang w:val="en-US"/>
        </w:rPr>
        <w:t>1</w:t>
      </w:r>
      <w:r w:rsidRPr="001F1399">
        <w:rPr>
          <w:rFonts w:ascii="Book Antiqua" w:hAnsi="Book Antiqua"/>
          <w:sz w:val="24"/>
          <w:szCs w:val="24"/>
          <w:lang w:val="en-US"/>
        </w:rPr>
        <w:t xml:space="preserve"> </w:t>
      </w:r>
      <w:r w:rsidRPr="001F1399">
        <w:rPr>
          <w:rFonts w:ascii="Book Antiqua" w:hAnsi="Book Antiqua"/>
          <w:b/>
          <w:sz w:val="24"/>
          <w:szCs w:val="24"/>
          <w:lang w:val="en-US"/>
        </w:rPr>
        <w:t>Sawa S</w:t>
      </w:r>
      <w:r w:rsidRPr="001F1399">
        <w:rPr>
          <w:rFonts w:ascii="Book Antiqua" w:hAnsi="Book Antiqua"/>
          <w:sz w:val="24"/>
          <w:szCs w:val="24"/>
          <w:lang w:val="en-US"/>
        </w:rPr>
        <w:t xml:space="preserve">, Cherrier M, Lochner M, Satoh-Takayama N, Fehling HJ, Langa F, Di Santo JP, Eberl G. Lineage relationship analysis of RORgammat+ innate lymphoid cells. </w:t>
      </w:r>
      <w:r w:rsidRPr="001F1399">
        <w:rPr>
          <w:rFonts w:ascii="Book Antiqua" w:hAnsi="Book Antiqua"/>
          <w:i/>
          <w:sz w:val="24"/>
          <w:szCs w:val="24"/>
          <w:lang w:val="en-US"/>
        </w:rPr>
        <w:t>Science</w:t>
      </w:r>
      <w:r w:rsidRPr="001F1399">
        <w:rPr>
          <w:rFonts w:ascii="Book Antiqua" w:hAnsi="Book Antiqua"/>
          <w:sz w:val="24"/>
          <w:szCs w:val="24"/>
          <w:lang w:val="en-US"/>
        </w:rPr>
        <w:t xml:space="preserve"> 2010; </w:t>
      </w:r>
      <w:r w:rsidRPr="001F1399">
        <w:rPr>
          <w:rFonts w:ascii="Book Antiqua" w:hAnsi="Book Antiqua"/>
          <w:b/>
          <w:sz w:val="24"/>
          <w:szCs w:val="24"/>
          <w:lang w:val="en-US"/>
        </w:rPr>
        <w:t>330</w:t>
      </w:r>
      <w:r w:rsidRPr="001F1399">
        <w:rPr>
          <w:rFonts w:ascii="Book Antiqua" w:hAnsi="Book Antiqua"/>
          <w:sz w:val="24"/>
          <w:szCs w:val="24"/>
          <w:lang w:val="en-US"/>
        </w:rPr>
        <w:t>: 665-669 [PMID: 20929731 DOI: 10.1126/science.1194597]</w:t>
      </w:r>
    </w:p>
    <w:p w14:paraId="7B059AB7" w14:textId="1F519BD7" w:rsidR="00C076F3" w:rsidRPr="001F1399" w:rsidRDefault="00D253C3" w:rsidP="002974FA">
      <w:pPr>
        <w:adjustRightInd w:val="0"/>
        <w:snapToGrid w:val="0"/>
        <w:spacing w:after="0" w:line="360" w:lineRule="auto"/>
        <w:jc w:val="both"/>
        <w:rPr>
          <w:rFonts w:ascii="Book Antiqua" w:hAnsi="Book Antiqua"/>
          <w:sz w:val="24"/>
          <w:szCs w:val="24"/>
        </w:rPr>
      </w:pPr>
      <w:r w:rsidRPr="001F1399">
        <w:rPr>
          <w:rFonts w:ascii="Book Antiqua" w:hAnsi="Book Antiqua"/>
          <w:sz w:val="24"/>
          <w:szCs w:val="24"/>
          <w:lang w:val="en-US"/>
        </w:rPr>
        <w:t>32</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Round JL</w:t>
      </w:r>
      <w:r w:rsidR="00C076F3" w:rsidRPr="001F1399">
        <w:rPr>
          <w:rFonts w:ascii="Book Antiqua" w:hAnsi="Book Antiqua"/>
          <w:sz w:val="24"/>
          <w:szCs w:val="24"/>
          <w:lang w:val="en-US"/>
        </w:rPr>
        <w:t xml:space="preserve">, Lee SM, Li J, Tran G, Jabri B, Chatila TA, Mazmanian SK. The Toll-like receptor 2 pathway establishes colonization by a commensal of the human microbiota. </w:t>
      </w:r>
      <w:r w:rsidR="00C076F3" w:rsidRPr="001F1399">
        <w:rPr>
          <w:rFonts w:ascii="Book Antiqua" w:hAnsi="Book Antiqua"/>
          <w:i/>
          <w:sz w:val="24"/>
          <w:szCs w:val="24"/>
        </w:rPr>
        <w:t>Science</w:t>
      </w:r>
      <w:r w:rsidR="00C076F3" w:rsidRPr="001F1399">
        <w:rPr>
          <w:rFonts w:ascii="Book Antiqua" w:hAnsi="Book Antiqua"/>
          <w:sz w:val="24"/>
          <w:szCs w:val="24"/>
        </w:rPr>
        <w:t xml:space="preserve"> 2011; </w:t>
      </w:r>
      <w:r w:rsidR="00C076F3" w:rsidRPr="001F1399">
        <w:rPr>
          <w:rFonts w:ascii="Book Antiqua" w:hAnsi="Book Antiqua"/>
          <w:b/>
          <w:sz w:val="24"/>
          <w:szCs w:val="24"/>
        </w:rPr>
        <w:t>332</w:t>
      </w:r>
      <w:r w:rsidR="00C076F3" w:rsidRPr="001F1399">
        <w:rPr>
          <w:rFonts w:ascii="Book Antiqua" w:hAnsi="Book Antiqua"/>
          <w:sz w:val="24"/>
          <w:szCs w:val="24"/>
        </w:rPr>
        <w:t>: 974-977 [PMID: 21512004 DOI: 10.1126/science.1206095]</w:t>
      </w:r>
    </w:p>
    <w:p w14:paraId="210D4A01" w14:textId="237319CD"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rPr>
        <w:lastRenderedPageBreak/>
        <w:t>33</w:t>
      </w:r>
      <w:r w:rsidR="00C076F3" w:rsidRPr="001F1399">
        <w:rPr>
          <w:rFonts w:ascii="Book Antiqua" w:hAnsi="Book Antiqua"/>
          <w:sz w:val="24"/>
          <w:szCs w:val="24"/>
        </w:rPr>
        <w:t xml:space="preserve"> </w:t>
      </w:r>
      <w:r w:rsidR="00C076F3" w:rsidRPr="001F1399">
        <w:rPr>
          <w:rFonts w:ascii="Book Antiqua" w:hAnsi="Book Antiqua"/>
          <w:b/>
          <w:sz w:val="24"/>
          <w:szCs w:val="24"/>
        </w:rPr>
        <w:t>Michaëlsson J</w:t>
      </w:r>
      <w:r w:rsidR="00C076F3" w:rsidRPr="001F1399">
        <w:rPr>
          <w:rFonts w:ascii="Book Antiqua" w:hAnsi="Book Antiqua"/>
          <w:sz w:val="24"/>
          <w:szCs w:val="24"/>
        </w:rPr>
        <w:t xml:space="preserve">, Mold JE, McCune JM, Nixon DF. </w:t>
      </w:r>
      <w:r w:rsidR="00C076F3" w:rsidRPr="001F1399">
        <w:rPr>
          <w:rFonts w:ascii="Book Antiqua" w:hAnsi="Book Antiqua"/>
          <w:sz w:val="24"/>
          <w:szCs w:val="24"/>
          <w:lang w:val="en-US"/>
        </w:rPr>
        <w:t xml:space="preserve">Regulation of T cell responses in the developing human fetus. </w:t>
      </w:r>
      <w:r w:rsidR="00C076F3" w:rsidRPr="001F1399">
        <w:rPr>
          <w:rFonts w:ascii="Book Antiqua" w:hAnsi="Book Antiqua"/>
          <w:i/>
          <w:sz w:val="24"/>
          <w:szCs w:val="24"/>
          <w:lang w:val="en-US"/>
        </w:rPr>
        <w:t>J Immunol</w:t>
      </w:r>
      <w:r w:rsidR="00C076F3" w:rsidRPr="001F1399">
        <w:rPr>
          <w:rFonts w:ascii="Book Antiqua" w:hAnsi="Book Antiqua"/>
          <w:sz w:val="24"/>
          <w:szCs w:val="24"/>
          <w:lang w:val="en-US"/>
        </w:rPr>
        <w:t xml:space="preserve"> 2006; </w:t>
      </w:r>
      <w:r w:rsidR="00C076F3" w:rsidRPr="001F1399">
        <w:rPr>
          <w:rFonts w:ascii="Book Antiqua" w:hAnsi="Book Antiqua"/>
          <w:b/>
          <w:sz w:val="24"/>
          <w:szCs w:val="24"/>
          <w:lang w:val="en-US"/>
        </w:rPr>
        <w:t>176</w:t>
      </w:r>
      <w:r w:rsidR="00C076F3" w:rsidRPr="001F1399">
        <w:rPr>
          <w:rFonts w:ascii="Book Antiqua" w:hAnsi="Book Antiqua"/>
          <w:sz w:val="24"/>
          <w:szCs w:val="24"/>
          <w:lang w:val="en-US"/>
        </w:rPr>
        <w:t>: 5741-5748 [PMID: 16670279 DOI: 10.4049/jimmunol.176.10.5741]</w:t>
      </w:r>
    </w:p>
    <w:p w14:paraId="15DCD505" w14:textId="620E778D"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34</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Grindebacke H</w:t>
      </w:r>
      <w:r w:rsidR="00C076F3" w:rsidRPr="001F1399">
        <w:rPr>
          <w:rFonts w:ascii="Book Antiqua" w:hAnsi="Book Antiqua"/>
          <w:sz w:val="24"/>
          <w:szCs w:val="24"/>
          <w:lang w:val="en-US"/>
        </w:rPr>
        <w:t xml:space="preserve">, Stenstad H, Quiding-Järbrink M, Waldenström J, Adlerberth I, Wold AE, Rudin A. Dynamic development of homing receptor expression and memory cell differentiation of infant CD4+CD25high regulatory T cells. </w:t>
      </w:r>
      <w:r w:rsidR="00C076F3" w:rsidRPr="001F1399">
        <w:rPr>
          <w:rFonts w:ascii="Book Antiqua" w:hAnsi="Book Antiqua"/>
          <w:i/>
          <w:sz w:val="24"/>
          <w:szCs w:val="24"/>
          <w:lang w:val="en-US"/>
        </w:rPr>
        <w:t>J Immunol</w:t>
      </w:r>
      <w:r w:rsidR="00C076F3" w:rsidRPr="001F1399">
        <w:rPr>
          <w:rFonts w:ascii="Book Antiqua" w:hAnsi="Book Antiqua"/>
          <w:sz w:val="24"/>
          <w:szCs w:val="24"/>
          <w:lang w:val="en-US"/>
        </w:rPr>
        <w:t xml:space="preserve"> 2009; </w:t>
      </w:r>
      <w:r w:rsidR="00C076F3" w:rsidRPr="001F1399">
        <w:rPr>
          <w:rFonts w:ascii="Book Antiqua" w:hAnsi="Book Antiqua"/>
          <w:b/>
          <w:sz w:val="24"/>
          <w:szCs w:val="24"/>
          <w:lang w:val="en-US"/>
        </w:rPr>
        <w:t>183</w:t>
      </w:r>
      <w:r w:rsidR="00C076F3" w:rsidRPr="001F1399">
        <w:rPr>
          <w:rFonts w:ascii="Book Antiqua" w:hAnsi="Book Antiqua"/>
          <w:sz w:val="24"/>
          <w:szCs w:val="24"/>
          <w:lang w:val="en-US"/>
        </w:rPr>
        <w:t>: 4360-4370 [PMID: 19734224 DOI: 10.4049/jimmunol.0901091]</w:t>
      </w:r>
    </w:p>
    <w:p w14:paraId="53E4CD53" w14:textId="77CE3F3D"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3</w:t>
      </w:r>
      <w:r w:rsidR="00D253C3" w:rsidRPr="001F1399">
        <w:rPr>
          <w:rFonts w:ascii="Book Antiqua" w:hAnsi="Book Antiqua"/>
          <w:sz w:val="24"/>
          <w:szCs w:val="24"/>
          <w:lang w:val="en-US"/>
        </w:rPr>
        <w:t>5</w:t>
      </w:r>
      <w:r w:rsidRPr="001F1399">
        <w:rPr>
          <w:rFonts w:ascii="Book Antiqua" w:hAnsi="Book Antiqua"/>
          <w:sz w:val="24"/>
          <w:szCs w:val="24"/>
          <w:lang w:val="en-US"/>
        </w:rPr>
        <w:t xml:space="preserve"> </w:t>
      </w:r>
      <w:r w:rsidRPr="001F1399">
        <w:rPr>
          <w:rFonts w:ascii="Book Antiqua" w:hAnsi="Book Antiqua"/>
          <w:b/>
          <w:sz w:val="24"/>
          <w:szCs w:val="24"/>
          <w:lang w:val="en-US"/>
        </w:rPr>
        <w:t>O'Mahony C</w:t>
      </w:r>
      <w:r w:rsidRPr="001F1399">
        <w:rPr>
          <w:rFonts w:ascii="Book Antiqua" w:hAnsi="Book Antiqua"/>
          <w:sz w:val="24"/>
          <w:szCs w:val="24"/>
          <w:lang w:val="en-US"/>
        </w:rPr>
        <w:t xml:space="preserve">, Scully P, O'Mahony D, Murphy S, O'Brien F, Lyons A, Sherlock G, MacSharry J, Kiely B, Shanahan F, O'Mahony L. Commensal-induced regulatory T cells mediate protection against pathogen-stimulated NF-kappaB activation. </w:t>
      </w:r>
      <w:r w:rsidRPr="001F1399">
        <w:rPr>
          <w:rFonts w:ascii="Book Antiqua" w:hAnsi="Book Antiqua"/>
          <w:i/>
          <w:sz w:val="24"/>
          <w:szCs w:val="24"/>
          <w:lang w:val="en-US"/>
        </w:rPr>
        <w:t>PLoS Pathog</w:t>
      </w:r>
      <w:r w:rsidRPr="001F1399">
        <w:rPr>
          <w:rFonts w:ascii="Book Antiqua" w:hAnsi="Book Antiqua"/>
          <w:sz w:val="24"/>
          <w:szCs w:val="24"/>
          <w:lang w:val="en-US"/>
        </w:rPr>
        <w:t xml:space="preserve"> 2008; </w:t>
      </w:r>
      <w:r w:rsidRPr="001F1399">
        <w:rPr>
          <w:rFonts w:ascii="Book Antiqua" w:hAnsi="Book Antiqua"/>
          <w:b/>
          <w:sz w:val="24"/>
          <w:szCs w:val="24"/>
          <w:lang w:val="en-US"/>
        </w:rPr>
        <w:t>4</w:t>
      </w:r>
      <w:r w:rsidRPr="001F1399">
        <w:rPr>
          <w:rFonts w:ascii="Book Antiqua" w:hAnsi="Book Antiqua"/>
          <w:sz w:val="24"/>
          <w:szCs w:val="24"/>
          <w:lang w:val="en-US"/>
        </w:rPr>
        <w:t>: e1000112 [PMID: 18670628 DOI: 10.1371/journal.ppat.1000112]</w:t>
      </w:r>
    </w:p>
    <w:p w14:paraId="0BA5BEF3" w14:textId="0F21ACDE"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36</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Hooper LV</w:t>
      </w:r>
      <w:r w:rsidR="00C076F3" w:rsidRPr="001F1399">
        <w:rPr>
          <w:rFonts w:ascii="Book Antiqua" w:hAnsi="Book Antiqua"/>
          <w:sz w:val="24"/>
          <w:szCs w:val="24"/>
          <w:lang w:val="en-US"/>
        </w:rPr>
        <w:t xml:space="preserve">, Wong MH, Thelin A, Hansson L, Falk PG, Gordon JI. Molecular analysis of commensal host-microbial relationships in the intestine. </w:t>
      </w:r>
      <w:r w:rsidR="00C076F3" w:rsidRPr="001F1399">
        <w:rPr>
          <w:rFonts w:ascii="Book Antiqua" w:hAnsi="Book Antiqua"/>
          <w:i/>
          <w:sz w:val="24"/>
          <w:szCs w:val="24"/>
          <w:lang w:val="en-US"/>
        </w:rPr>
        <w:t>Science</w:t>
      </w:r>
      <w:r w:rsidR="00C076F3" w:rsidRPr="001F1399">
        <w:rPr>
          <w:rFonts w:ascii="Book Antiqua" w:hAnsi="Book Antiqua"/>
          <w:sz w:val="24"/>
          <w:szCs w:val="24"/>
          <w:lang w:val="en-US"/>
        </w:rPr>
        <w:t xml:space="preserve"> 2001; </w:t>
      </w:r>
      <w:r w:rsidR="00C076F3" w:rsidRPr="001F1399">
        <w:rPr>
          <w:rFonts w:ascii="Book Antiqua" w:hAnsi="Book Antiqua"/>
          <w:b/>
          <w:sz w:val="24"/>
          <w:szCs w:val="24"/>
          <w:lang w:val="en-US"/>
        </w:rPr>
        <w:t>291</w:t>
      </w:r>
      <w:r w:rsidR="00C076F3" w:rsidRPr="001F1399">
        <w:rPr>
          <w:rFonts w:ascii="Book Antiqua" w:hAnsi="Book Antiqua"/>
          <w:sz w:val="24"/>
          <w:szCs w:val="24"/>
          <w:lang w:val="en-US"/>
        </w:rPr>
        <w:t>: 881-884 [PMID: 11157169 DOI: 10.1126/science.291.5505.881]</w:t>
      </w:r>
    </w:p>
    <w:p w14:paraId="709B22ED" w14:textId="5F261F9D"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37</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Zeuthen LH</w:t>
      </w:r>
      <w:r w:rsidR="00C076F3" w:rsidRPr="001F1399">
        <w:rPr>
          <w:rFonts w:ascii="Book Antiqua" w:hAnsi="Book Antiqua"/>
          <w:sz w:val="24"/>
          <w:szCs w:val="24"/>
          <w:lang w:val="en-US"/>
        </w:rPr>
        <w:t xml:space="preserve">, Fink LN, Frokiaer H. Epithelial cells prime the immune response to an array of gut-derived commensals towards a tolerogenic phenotype through distinct actions of thymic stromal lymphopoietin and transforming growth factor-beta. </w:t>
      </w:r>
      <w:r w:rsidR="00C076F3" w:rsidRPr="001F1399">
        <w:rPr>
          <w:rFonts w:ascii="Book Antiqua" w:hAnsi="Book Antiqua"/>
          <w:i/>
          <w:sz w:val="24"/>
          <w:szCs w:val="24"/>
          <w:lang w:val="en-US"/>
        </w:rPr>
        <w:t>Immunology</w:t>
      </w:r>
      <w:r w:rsidR="00C076F3" w:rsidRPr="001F1399">
        <w:rPr>
          <w:rFonts w:ascii="Book Antiqua" w:hAnsi="Book Antiqua"/>
          <w:sz w:val="24"/>
          <w:szCs w:val="24"/>
          <w:lang w:val="en-US"/>
        </w:rPr>
        <w:t xml:space="preserve"> 2008; </w:t>
      </w:r>
      <w:r w:rsidR="00C076F3" w:rsidRPr="001F1399">
        <w:rPr>
          <w:rFonts w:ascii="Book Antiqua" w:hAnsi="Book Antiqua"/>
          <w:b/>
          <w:sz w:val="24"/>
          <w:szCs w:val="24"/>
          <w:lang w:val="en-US"/>
        </w:rPr>
        <w:t>123</w:t>
      </w:r>
      <w:r w:rsidR="00C076F3" w:rsidRPr="001F1399">
        <w:rPr>
          <w:rFonts w:ascii="Book Antiqua" w:hAnsi="Book Antiqua"/>
          <w:sz w:val="24"/>
          <w:szCs w:val="24"/>
          <w:lang w:val="en-US"/>
        </w:rPr>
        <w:t>: 197-208 [PMID: 17655740 DOI: 10.1111/j.1365-2567.2007.02687.x]</w:t>
      </w:r>
    </w:p>
    <w:p w14:paraId="0A97D636" w14:textId="5BDD92DC"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3</w:t>
      </w:r>
      <w:r w:rsidR="00D253C3" w:rsidRPr="001F1399">
        <w:rPr>
          <w:rFonts w:ascii="Book Antiqua" w:hAnsi="Book Antiqua"/>
          <w:sz w:val="24"/>
          <w:szCs w:val="24"/>
          <w:lang w:val="en-US"/>
        </w:rPr>
        <w:t>8</w:t>
      </w:r>
      <w:r w:rsidRPr="001F1399">
        <w:rPr>
          <w:rFonts w:ascii="Book Antiqua" w:hAnsi="Book Antiqua"/>
          <w:sz w:val="24"/>
          <w:szCs w:val="24"/>
          <w:lang w:val="en-US"/>
        </w:rPr>
        <w:t xml:space="preserve"> </w:t>
      </w:r>
      <w:r w:rsidRPr="001F1399">
        <w:rPr>
          <w:rFonts w:ascii="Book Antiqua" w:hAnsi="Book Antiqua"/>
          <w:b/>
          <w:sz w:val="24"/>
          <w:szCs w:val="24"/>
          <w:lang w:val="en-US"/>
        </w:rPr>
        <w:t>Granucci F</w:t>
      </w:r>
      <w:r w:rsidRPr="001F1399">
        <w:rPr>
          <w:rFonts w:ascii="Book Antiqua" w:hAnsi="Book Antiqua"/>
          <w:sz w:val="24"/>
          <w:szCs w:val="24"/>
          <w:lang w:val="en-US"/>
        </w:rPr>
        <w:t xml:space="preserve">, Zanoni I. Role of Toll like receptor-activated dendritic cells in the development of autoimmunity. </w:t>
      </w:r>
      <w:r w:rsidRPr="001F1399">
        <w:rPr>
          <w:rFonts w:ascii="Book Antiqua" w:hAnsi="Book Antiqua"/>
          <w:i/>
          <w:sz w:val="24"/>
          <w:szCs w:val="24"/>
          <w:lang w:val="en-US"/>
        </w:rPr>
        <w:t>Front Biosci</w:t>
      </w:r>
      <w:r w:rsidRPr="001F1399">
        <w:rPr>
          <w:rFonts w:ascii="Book Antiqua" w:hAnsi="Book Antiqua"/>
          <w:sz w:val="24"/>
          <w:szCs w:val="24"/>
          <w:lang w:val="en-US"/>
        </w:rPr>
        <w:t xml:space="preserve"> 2008; </w:t>
      </w:r>
      <w:r w:rsidRPr="001F1399">
        <w:rPr>
          <w:rFonts w:ascii="Book Antiqua" w:hAnsi="Book Antiqua"/>
          <w:b/>
          <w:sz w:val="24"/>
          <w:szCs w:val="24"/>
          <w:lang w:val="en-US"/>
        </w:rPr>
        <w:t>13</w:t>
      </w:r>
      <w:r w:rsidRPr="001F1399">
        <w:rPr>
          <w:rFonts w:ascii="Book Antiqua" w:hAnsi="Book Antiqua"/>
          <w:sz w:val="24"/>
          <w:szCs w:val="24"/>
          <w:lang w:val="en-US"/>
        </w:rPr>
        <w:t>: 4817-4826 [PMID: 18508547 DOI: 10.2741/3041]</w:t>
      </w:r>
    </w:p>
    <w:p w14:paraId="7E018FAF" w14:textId="6E1D5C69"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39</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Rutella S</w:t>
      </w:r>
      <w:r w:rsidR="00C076F3" w:rsidRPr="001F1399">
        <w:rPr>
          <w:rFonts w:ascii="Book Antiqua" w:hAnsi="Book Antiqua"/>
          <w:sz w:val="24"/>
          <w:szCs w:val="24"/>
          <w:lang w:val="en-US"/>
        </w:rPr>
        <w:t xml:space="preserve">, Locatelli F. Intestinal dendritic cells in the pathogenesis of inflammatory bowel disease. </w:t>
      </w:r>
      <w:r w:rsidR="00C076F3" w:rsidRPr="001F1399">
        <w:rPr>
          <w:rFonts w:ascii="Book Antiqua" w:hAnsi="Book Antiqua"/>
          <w:i/>
          <w:sz w:val="24"/>
          <w:szCs w:val="24"/>
          <w:lang w:val="en-US"/>
        </w:rPr>
        <w:t>World J Gastroenterol</w:t>
      </w:r>
      <w:r w:rsidR="00C076F3" w:rsidRPr="001F1399">
        <w:rPr>
          <w:rFonts w:ascii="Book Antiqua" w:hAnsi="Book Antiqua"/>
          <w:sz w:val="24"/>
          <w:szCs w:val="24"/>
          <w:lang w:val="en-US"/>
        </w:rPr>
        <w:t xml:space="preserve"> 2011; </w:t>
      </w:r>
      <w:r w:rsidR="00C076F3" w:rsidRPr="001F1399">
        <w:rPr>
          <w:rFonts w:ascii="Book Antiqua" w:hAnsi="Book Antiqua"/>
          <w:b/>
          <w:sz w:val="24"/>
          <w:szCs w:val="24"/>
          <w:lang w:val="en-US"/>
        </w:rPr>
        <w:t>17</w:t>
      </w:r>
      <w:r w:rsidR="00C076F3" w:rsidRPr="001F1399">
        <w:rPr>
          <w:rFonts w:ascii="Book Antiqua" w:hAnsi="Book Antiqua"/>
          <w:sz w:val="24"/>
          <w:szCs w:val="24"/>
          <w:lang w:val="en-US"/>
        </w:rPr>
        <w:t>: 3761-3775 [PMID: 21987618 DOI: 10.3748/wjg.v17.i33.3761]</w:t>
      </w:r>
    </w:p>
    <w:p w14:paraId="1CF22403" w14:textId="7D605C2D"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40</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Silverman MN</w:t>
      </w:r>
      <w:r w:rsidR="00C076F3" w:rsidRPr="001F1399">
        <w:rPr>
          <w:rFonts w:ascii="Book Antiqua" w:hAnsi="Book Antiqua"/>
          <w:sz w:val="24"/>
          <w:szCs w:val="24"/>
          <w:lang w:val="en-US"/>
        </w:rPr>
        <w:t xml:space="preserve">, Pearce BD, Biron CA, Miller AH. Immune modulation of the hypothalamic-pituitary-adrenal (HPA) axis during viral infection. </w:t>
      </w:r>
      <w:r w:rsidR="00C076F3" w:rsidRPr="001F1399">
        <w:rPr>
          <w:rFonts w:ascii="Book Antiqua" w:hAnsi="Book Antiqua"/>
          <w:i/>
          <w:sz w:val="24"/>
          <w:szCs w:val="24"/>
          <w:lang w:val="en-US"/>
        </w:rPr>
        <w:t>Viral Immunol</w:t>
      </w:r>
      <w:r w:rsidR="00C076F3" w:rsidRPr="001F1399">
        <w:rPr>
          <w:rFonts w:ascii="Book Antiqua" w:hAnsi="Book Antiqua"/>
          <w:sz w:val="24"/>
          <w:szCs w:val="24"/>
          <w:lang w:val="en-US"/>
        </w:rPr>
        <w:t xml:space="preserve"> 2005; </w:t>
      </w:r>
      <w:r w:rsidR="00C076F3" w:rsidRPr="001F1399">
        <w:rPr>
          <w:rFonts w:ascii="Book Antiqua" w:hAnsi="Book Antiqua"/>
          <w:b/>
          <w:sz w:val="24"/>
          <w:szCs w:val="24"/>
          <w:lang w:val="en-US"/>
        </w:rPr>
        <w:t>18</w:t>
      </w:r>
      <w:r w:rsidR="00C076F3" w:rsidRPr="001F1399">
        <w:rPr>
          <w:rFonts w:ascii="Book Antiqua" w:hAnsi="Book Antiqua"/>
          <w:sz w:val="24"/>
          <w:szCs w:val="24"/>
          <w:lang w:val="en-US"/>
        </w:rPr>
        <w:t>: 41-78 [PMID: 15802953 DOI: 10.1089/vim.2005.18.41]</w:t>
      </w:r>
    </w:p>
    <w:p w14:paraId="105C4F40" w14:textId="1A101E36"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4</w:t>
      </w:r>
      <w:r w:rsidR="00D253C3" w:rsidRPr="001F1399">
        <w:rPr>
          <w:rFonts w:ascii="Book Antiqua" w:hAnsi="Book Antiqua"/>
          <w:sz w:val="24"/>
          <w:szCs w:val="24"/>
          <w:lang w:val="en-US"/>
        </w:rPr>
        <w:t>1</w:t>
      </w:r>
      <w:r w:rsidRPr="001F1399">
        <w:rPr>
          <w:rFonts w:ascii="Book Antiqua" w:hAnsi="Book Antiqua"/>
          <w:sz w:val="24"/>
          <w:szCs w:val="24"/>
          <w:lang w:val="en-US"/>
        </w:rPr>
        <w:t xml:space="preserve"> </w:t>
      </w:r>
      <w:r w:rsidRPr="001F1399">
        <w:rPr>
          <w:rFonts w:ascii="Book Antiqua" w:hAnsi="Book Antiqua"/>
          <w:b/>
          <w:sz w:val="24"/>
          <w:szCs w:val="24"/>
          <w:lang w:val="en-US"/>
        </w:rPr>
        <w:t>Furness JB</w:t>
      </w:r>
      <w:r w:rsidRPr="001F1399">
        <w:rPr>
          <w:rFonts w:ascii="Book Antiqua" w:hAnsi="Book Antiqua"/>
          <w:sz w:val="24"/>
          <w:szCs w:val="24"/>
          <w:lang w:val="en-US"/>
        </w:rPr>
        <w:t xml:space="preserve">, Rivera LR, Cho HJ, Bravo DM, Callaghan B. The gut as a sensory organ. </w:t>
      </w:r>
      <w:r w:rsidRPr="001F1399">
        <w:rPr>
          <w:rFonts w:ascii="Book Antiqua" w:hAnsi="Book Antiqua"/>
          <w:i/>
          <w:sz w:val="24"/>
          <w:szCs w:val="24"/>
          <w:lang w:val="en-US"/>
        </w:rPr>
        <w:t>Nat Rev Gastroenterol Hepatol</w:t>
      </w:r>
      <w:r w:rsidRPr="001F1399">
        <w:rPr>
          <w:rFonts w:ascii="Book Antiqua" w:hAnsi="Book Antiqua"/>
          <w:sz w:val="24"/>
          <w:szCs w:val="24"/>
          <w:lang w:val="en-US"/>
        </w:rPr>
        <w:t xml:space="preserve"> 2013; </w:t>
      </w:r>
      <w:r w:rsidRPr="001F1399">
        <w:rPr>
          <w:rFonts w:ascii="Book Antiqua" w:hAnsi="Book Antiqua"/>
          <w:b/>
          <w:sz w:val="24"/>
          <w:szCs w:val="24"/>
          <w:lang w:val="en-US"/>
        </w:rPr>
        <w:t>10</w:t>
      </w:r>
      <w:r w:rsidRPr="001F1399">
        <w:rPr>
          <w:rFonts w:ascii="Book Antiqua" w:hAnsi="Book Antiqua"/>
          <w:sz w:val="24"/>
          <w:szCs w:val="24"/>
          <w:lang w:val="en-US"/>
        </w:rPr>
        <w:t>: 729-740 [PMID: 24061204 DOI: 10.1038/nrgastro.2013.180]</w:t>
      </w:r>
    </w:p>
    <w:p w14:paraId="4058FAA7" w14:textId="4814A5CD"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lastRenderedPageBreak/>
        <w:t>4</w:t>
      </w:r>
      <w:r w:rsidR="00D253C3" w:rsidRPr="001F1399">
        <w:rPr>
          <w:rFonts w:ascii="Book Antiqua" w:hAnsi="Book Antiqua"/>
          <w:sz w:val="24"/>
          <w:szCs w:val="24"/>
          <w:lang w:val="en-US"/>
        </w:rPr>
        <w:t>2</w:t>
      </w:r>
      <w:r w:rsidRPr="001F1399">
        <w:rPr>
          <w:rFonts w:ascii="Book Antiqua" w:hAnsi="Book Antiqua"/>
          <w:sz w:val="24"/>
          <w:szCs w:val="24"/>
          <w:lang w:val="en-US"/>
        </w:rPr>
        <w:t xml:space="preserve"> </w:t>
      </w:r>
      <w:r w:rsidRPr="001F1399">
        <w:rPr>
          <w:rFonts w:ascii="Book Antiqua" w:hAnsi="Book Antiqua"/>
          <w:b/>
          <w:sz w:val="24"/>
          <w:szCs w:val="24"/>
          <w:lang w:val="en-US"/>
        </w:rPr>
        <w:t>Ruddick JP</w:t>
      </w:r>
      <w:r w:rsidRPr="001F1399">
        <w:rPr>
          <w:rFonts w:ascii="Book Antiqua" w:hAnsi="Book Antiqua"/>
          <w:sz w:val="24"/>
          <w:szCs w:val="24"/>
          <w:lang w:val="en-US"/>
        </w:rPr>
        <w:t xml:space="preserve">, Evans AK, Nutt DJ, Lightman SL, Rook GA, Lowry CA. Tryptophan metabolism in the central nervous system: medical implications. </w:t>
      </w:r>
      <w:r w:rsidRPr="001F1399">
        <w:rPr>
          <w:rFonts w:ascii="Book Antiqua" w:hAnsi="Book Antiqua"/>
          <w:i/>
          <w:sz w:val="24"/>
          <w:szCs w:val="24"/>
          <w:lang w:val="en-US"/>
        </w:rPr>
        <w:t>Expert Rev Mol Med</w:t>
      </w:r>
      <w:r w:rsidRPr="001F1399">
        <w:rPr>
          <w:rFonts w:ascii="Book Antiqua" w:hAnsi="Book Antiqua"/>
          <w:sz w:val="24"/>
          <w:szCs w:val="24"/>
          <w:lang w:val="en-US"/>
        </w:rPr>
        <w:t xml:space="preserve"> 2006; </w:t>
      </w:r>
      <w:r w:rsidRPr="001F1399">
        <w:rPr>
          <w:rFonts w:ascii="Book Antiqua" w:hAnsi="Book Antiqua"/>
          <w:b/>
          <w:sz w:val="24"/>
          <w:szCs w:val="24"/>
          <w:lang w:val="en-US"/>
        </w:rPr>
        <w:t>8</w:t>
      </w:r>
      <w:r w:rsidRPr="001F1399">
        <w:rPr>
          <w:rFonts w:ascii="Book Antiqua" w:hAnsi="Book Antiqua"/>
          <w:sz w:val="24"/>
          <w:szCs w:val="24"/>
          <w:lang w:val="en-US"/>
        </w:rPr>
        <w:t>: 1-27 [PMID: 16942634 DOI: 10.1017/S1462399406000068]</w:t>
      </w:r>
    </w:p>
    <w:p w14:paraId="3094BF8C" w14:textId="64D2CC62"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43</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Bale TL</w:t>
      </w:r>
      <w:r w:rsidR="00C076F3" w:rsidRPr="001F1399">
        <w:rPr>
          <w:rFonts w:ascii="Book Antiqua" w:hAnsi="Book Antiqua"/>
          <w:sz w:val="24"/>
          <w:szCs w:val="24"/>
          <w:lang w:val="en-US"/>
        </w:rPr>
        <w:t xml:space="preserve">, Baram TZ, Brown AS, Goldstein JM, Insel TR, McCarthy MM, Nemeroff CB, Reyes TM, Simerly RB, Susser ES, Nestler EJ. Early life programming and neurodevelopmental disorders. </w:t>
      </w:r>
      <w:r w:rsidR="00C076F3" w:rsidRPr="001F1399">
        <w:rPr>
          <w:rFonts w:ascii="Book Antiqua" w:hAnsi="Book Antiqua"/>
          <w:i/>
          <w:sz w:val="24"/>
          <w:szCs w:val="24"/>
          <w:lang w:val="en-US"/>
        </w:rPr>
        <w:t>Biol Psychiatry</w:t>
      </w:r>
      <w:r w:rsidR="00C076F3" w:rsidRPr="001F1399">
        <w:rPr>
          <w:rFonts w:ascii="Book Antiqua" w:hAnsi="Book Antiqua"/>
          <w:sz w:val="24"/>
          <w:szCs w:val="24"/>
          <w:lang w:val="en-US"/>
        </w:rPr>
        <w:t xml:space="preserve"> 2010; </w:t>
      </w:r>
      <w:r w:rsidR="00C076F3" w:rsidRPr="001F1399">
        <w:rPr>
          <w:rFonts w:ascii="Book Antiqua" w:hAnsi="Book Antiqua"/>
          <w:b/>
          <w:sz w:val="24"/>
          <w:szCs w:val="24"/>
          <w:lang w:val="en-US"/>
        </w:rPr>
        <w:t>68</w:t>
      </w:r>
      <w:r w:rsidR="00C076F3" w:rsidRPr="001F1399">
        <w:rPr>
          <w:rFonts w:ascii="Book Antiqua" w:hAnsi="Book Antiqua"/>
          <w:sz w:val="24"/>
          <w:szCs w:val="24"/>
          <w:lang w:val="en-US"/>
        </w:rPr>
        <w:t>: 314-319 [PMID: 20674602 DOI: 10.1016/j.biopsych.2010.05.028]</w:t>
      </w:r>
    </w:p>
    <w:p w14:paraId="55852065" w14:textId="0DF0B3E9"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4</w:t>
      </w:r>
      <w:r w:rsidR="00D253C3" w:rsidRPr="001F1399">
        <w:rPr>
          <w:rFonts w:ascii="Book Antiqua" w:hAnsi="Book Antiqua"/>
          <w:sz w:val="24"/>
          <w:szCs w:val="24"/>
          <w:lang w:val="en-US"/>
        </w:rPr>
        <w:t>4</w:t>
      </w:r>
      <w:r w:rsidRPr="001F1399">
        <w:rPr>
          <w:rFonts w:ascii="Book Antiqua" w:hAnsi="Book Antiqua"/>
          <w:sz w:val="24"/>
          <w:szCs w:val="24"/>
          <w:lang w:val="en-US"/>
        </w:rPr>
        <w:t xml:space="preserve"> </w:t>
      </w:r>
      <w:r w:rsidRPr="001F1399">
        <w:rPr>
          <w:rFonts w:ascii="Book Antiqua" w:hAnsi="Book Antiqua"/>
          <w:b/>
          <w:sz w:val="24"/>
          <w:szCs w:val="24"/>
          <w:lang w:val="en-US"/>
        </w:rPr>
        <w:t>Finegold SM</w:t>
      </w:r>
      <w:r w:rsidRPr="001F1399">
        <w:rPr>
          <w:rFonts w:ascii="Book Antiqua" w:hAnsi="Book Antiqua"/>
          <w:sz w:val="24"/>
          <w:szCs w:val="24"/>
          <w:lang w:val="en-US"/>
        </w:rPr>
        <w:t xml:space="preserve">, Molitoris D, Song Y, Liu C, Vaisanen ML, Bolte E, McTeague M, Sandler R, Wexler H, Marlowe EM, Collins MD, Lawson PA, Summanen P, Baysallar M, Tomzynski TJ, Read E, Johnson E, Rolfe R, Nasir P, Shah H, Haake DA, Manning P, Kaul A. Gastrointestinal microflora studies in late-onset autism. </w:t>
      </w:r>
      <w:r w:rsidRPr="001F1399">
        <w:rPr>
          <w:rFonts w:ascii="Book Antiqua" w:hAnsi="Book Antiqua"/>
          <w:i/>
          <w:sz w:val="24"/>
          <w:szCs w:val="24"/>
          <w:lang w:val="en-US"/>
        </w:rPr>
        <w:t>Clin Infect Dis</w:t>
      </w:r>
      <w:r w:rsidRPr="001F1399">
        <w:rPr>
          <w:rFonts w:ascii="Book Antiqua" w:hAnsi="Book Antiqua"/>
          <w:sz w:val="24"/>
          <w:szCs w:val="24"/>
          <w:lang w:val="en-US"/>
        </w:rPr>
        <w:t xml:space="preserve"> 2002; </w:t>
      </w:r>
      <w:r w:rsidRPr="001F1399">
        <w:rPr>
          <w:rFonts w:ascii="Book Antiqua" w:hAnsi="Book Antiqua"/>
          <w:b/>
          <w:sz w:val="24"/>
          <w:szCs w:val="24"/>
          <w:lang w:val="en-US"/>
        </w:rPr>
        <w:t>35</w:t>
      </w:r>
      <w:r w:rsidRPr="001F1399">
        <w:rPr>
          <w:rFonts w:ascii="Book Antiqua" w:hAnsi="Book Antiqua"/>
          <w:sz w:val="24"/>
          <w:szCs w:val="24"/>
          <w:lang w:val="en-US"/>
        </w:rPr>
        <w:t>: S6-S16 [PMID: 12173102 DOI: 10.1086/341914]</w:t>
      </w:r>
    </w:p>
    <w:p w14:paraId="6F38A7EB" w14:textId="3DE47FBB"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4</w:t>
      </w:r>
      <w:r w:rsidR="00D253C3" w:rsidRPr="001F1399">
        <w:rPr>
          <w:rFonts w:ascii="Book Antiqua" w:hAnsi="Book Antiqua"/>
          <w:sz w:val="24"/>
          <w:szCs w:val="24"/>
          <w:lang w:val="en-US"/>
        </w:rPr>
        <w:t>5</w:t>
      </w:r>
      <w:r w:rsidRPr="001F1399">
        <w:rPr>
          <w:rFonts w:ascii="Book Antiqua" w:hAnsi="Book Antiqua"/>
          <w:sz w:val="24"/>
          <w:szCs w:val="24"/>
          <w:lang w:val="en-US"/>
        </w:rPr>
        <w:t xml:space="preserve"> </w:t>
      </w:r>
      <w:r w:rsidRPr="001F1399">
        <w:rPr>
          <w:rFonts w:ascii="Book Antiqua" w:hAnsi="Book Antiqua"/>
          <w:b/>
          <w:sz w:val="24"/>
          <w:szCs w:val="24"/>
          <w:lang w:val="en-US"/>
        </w:rPr>
        <w:t>Mittal VA</w:t>
      </w:r>
      <w:r w:rsidRPr="001F1399">
        <w:rPr>
          <w:rFonts w:ascii="Book Antiqua" w:hAnsi="Book Antiqua"/>
          <w:sz w:val="24"/>
          <w:szCs w:val="24"/>
          <w:lang w:val="en-US"/>
        </w:rPr>
        <w:t xml:space="preserve">, Ellman LM, Cannon TD. Gene-environment interaction and covariation in schizophrenia: the role of obstetric complications. </w:t>
      </w:r>
      <w:r w:rsidRPr="001F1399">
        <w:rPr>
          <w:rFonts w:ascii="Book Antiqua" w:hAnsi="Book Antiqua"/>
          <w:i/>
          <w:sz w:val="24"/>
          <w:szCs w:val="24"/>
          <w:lang w:val="en-US"/>
        </w:rPr>
        <w:t>Schizophr Bull</w:t>
      </w:r>
      <w:r w:rsidRPr="001F1399">
        <w:rPr>
          <w:rFonts w:ascii="Book Antiqua" w:hAnsi="Book Antiqua"/>
          <w:sz w:val="24"/>
          <w:szCs w:val="24"/>
          <w:lang w:val="en-US"/>
        </w:rPr>
        <w:t xml:space="preserve"> 2008; </w:t>
      </w:r>
      <w:r w:rsidRPr="001F1399">
        <w:rPr>
          <w:rFonts w:ascii="Book Antiqua" w:hAnsi="Book Antiqua"/>
          <w:b/>
          <w:sz w:val="24"/>
          <w:szCs w:val="24"/>
          <w:lang w:val="en-US"/>
        </w:rPr>
        <w:t>34</w:t>
      </w:r>
      <w:r w:rsidRPr="001F1399">
        <w:rPr>
          <w:rFonts w:ascii="Book Antiqua" w:hAnsi="Book Antiqua"/>
          <w:sz w:val="24"/>
          <w:szCs w:val="24"/>
          <w:lang w:val="en-US"/>
        </w:rPr>
        <w:t>: 1083-1094 [PMID: 18635675 DOI: 10.1093/schbul/sbn080]</w:t>
      </w:r>
    </w:p>
    <w:p w14:paraId="6B8ECB6B" w14:textId="13DE07E6"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4</w:t>
      </w:r>
      <w:r w:rsidR="00D253C3" w:rsidRPr="001F1399">
        <w:rPr>
          <w:rFonts w:ascii="Book Antiqua" w:hAnsi="Book Antiqua"/>
          <w:sz w:val="24"/>
          <w:szCs w:val="24"/>
          <w:lang w:val="en-US"/>
        </w:rPr>
        <w:t>6</w:t>
      </w:r>
      <w:r w:rsidRPr="001F1399">
        <w:rPr>
          <w:rFonts w:ascii="Book Antiqua" w:hAnsi="Book Antiqua"/>
          <w:sz w:val="24"/>
          <w:szCs w:val="24"/>
          <w:lang w:val="en-US"/>
        </w:rPr>
        <w:t xml:space="preserve"> </w:t>
      </w:r>
      <w:r w:rsidRPr="001F1399">
        <w:rPr>
          <w:rFonts w:ascii="Book Antiqua" w:hAnsi="Book Antiqua"/>
          <w:b/>
          <w:sz w:val="24"/>
          <w:szCs w:val="24"/>
          <w:lang w:val="en-US"/>
        </w:rPr>
        <w:t>Goehler LE</w:t>
      </w:r>
      <w:r w:rsidRPr="001F1399">
        <w:rPr>
          <w:rFonts w:ascii="Book Antiqua" w:hAnsi="Book Antiqua"/>
          <w:sz w:val="24"/>
          <w:szCs w:val="24"/>
          <w:lang w:val="en-US"/>
        </w:rPr>
        <w:t xml:space="preserve">, Park SM, Opitz N, Lyte M, Gaykema RP. Campylobacter jejuni infection increases anxiety-like behavior in the holeboard: possible anatomical substrates for viscerosensory modulation of exploratory behavior. </w:t>
      </w:r>
      <w:r w:rsidRPr="001F1399">
        <w:rPr>
          <w:rFonts w:ascii="Book Antiqua" w:hAnsi="Book Antiqua"/>
          <w:i/>
          <w:sz w:val="24"/>
          <w:szCs w:val="24"/>
          <w:lang w:val="en-US"/>
        </w:rPr>
        <w:t>Brain Behav Immun</w:t>
      </w:r>
      <w:r w:rsidRPr="001F1399">
        <w:rPr>
          <w:rFonts w:ascii="Book Antiqua" w:hAnsi="Book Antiqua"/>
          <w:sz w:val="24"/>
          <w:szCs w:val="24"/>
          <w:lang w:val="en-US"/>
        </w:rPr>
        <w:t xml:space="preserve"> 2008; </w:t>
      </w:r>
      <w:r w:rsidRPr="001F1399">
        <w:rPr>
          <w:rFonts w:ascii="Book Antiqua" w:hAnsi="Book Antiqua"/>
          <w:b/>
          <w:sz w:val="24"/>
          <w:szCs w:val="24"/>
          <w:lang w:val="en-US"/>
        </w:rPr>
        <w:t>22</w:t>
      </w:r>
      <w:r w:rsidRPr="001F1399">
        <w:rPr>
          <w:rFonts w:ascii="Book Antiqua" w:hAnsi="Book Antiqua"/>
          <w:sz w:val="24"/>
          <w:szCs w:val="24"/>
          <w:lang w:val="en-US"/>
        </w:rPr>
        <w:t>: 354-366 [PMID: 17920243 DOI: 10.1016/j.bbi.2007.08.009]</w:t>
      </w:r>
    </w:p>
    <w:p w14:paraId="601EBB2F" w14:textId="3C1396EC"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4</w:t>
      </w:r>
      <w:r w:rsidR="00D253C3" w:rsidRPr="001F1399">
        <w:rPr>
          <w:rFonts w:ascii="Book Antiqua" w:hAnsi="Book Antiqua"/>
          <w:sz w:val="24"/>
          <w:szCs w:val="24"/>
          <w:lang w:val="en-US"/>
        </w:rPr>
        <w:t>7</w:t>
      </w:r>
      <w:r w:rsidRPr="001F1399">
        <w:rPr>
          <w:rFonts w:ascii="Book Antiqua" w:hAnsi="Book Antiqua"/>
          <w:sz w:val="24"/>
          <w:szCs w:val="24"/>
          <w:lang w:val="en-US"/>
        </w:rPr>
        <w:t xml:space="preserve"> </w:t>
      </w:r>
      <w:r w:rsidRPr="001F1399">
        <w:rPr>
          <w:rFonts w:ascii="Book Antiqua" w:hAnsi="Book Antiqua"/>
          <w:b/>
          <w:sz w:val="24"/>
          <w:szCs w:val="24"/>
          <w:lang w:val="en-US"/>
        </w:rPr>
        <w:t>Sullivan R</w:t>
      </w:r>
      <w:r w:rsidRPr="001F1399">
        <w:rPr>
          <w:rFonts w:ascii="Book Antiqua" w:hAnsi="Book Antiqua"/>
          <w:sz w:val="24"/>
          <w:szCs w:val="24"/>
          <w:lang w:val="en-US"/>
        </w:rPr>
        <w:t xml:space="preserve">, Wilson DA, Feldon J, Yee BK, Meyer U, Richter-Levin G, Avi A, Michael T, Gruss M, Bock J, Helmeke C, Braun K. The International Society for Developmental Psychobiology annual meeting symposium: Impact of early life experiences on brain and behavioral development. </w:t>
      </w:r>
      <w:r w:rsidRPr="001F1399">
        <w:rPr>
          <w:rFonts w:ascii="Book Antiqua" w:hAnsi="Book Antiqua"/>
          <w:i/>
          <w:sz w:val="24"/>
          <w:szCs w:val="24"/>
          <w:lang w:val="en-US"/>
        </w:rPr>
        <w:t>Dev Psychobiol</w:t>
      </w:r>
      <w:r w:rsidRPr="001F1399">
        <w:rPr>
          <w:rFonts w:ascii="Book Antiqua" w:hAnsi="Book Antiqua"/>
          <w:sz w:val="24"/>
          <w:szCs w:val="24"/>
          <w:lang w:val="en-US"/>
        </w:rPr>
        <w:t xml:space="preserve"> 2006; </w:t>
      </w:r>
      <w:r w:rsidRPr="001F1399">
        <w:rPr>
          <w:rFonts w:ascii="Book Antiqua" w:hAnsi="Book Antiqua"/>
          <w:b/>
          <w:sz w:val="24"/>
          <w:szCs w:val="24"/>
          <w:lang w:val="en-US"/>
        </w:rPr>
        <w:t>48</w:t>
      </w:r>
      <w:r w:rsidRPr="001F1399">
        <w:rPr>
          <w:rFonts w:ascii="Book Antiqua" w:hAnsi="Book Antiqua"/>
          <w:sz w:val="24"/>
          <w:szCs w:val="24"/>
          <w:lang w:val="en-US"/>
        </w:rPr>
        <w:t>: 583-602 [PMID: 17016842 DOI: 10.1002/dev.20170]</w:t>
      </w:r>
    </w:p>
    <w:p w14:paraId="15FFE8E5" w14:textId="2EB8FC88"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4</w:t>
      </w:r>
      <w:r w:rsidR="00D253C3" w:rsidRPr="001F1399">
        <w:rPr>
          <w:rFonts w:ascii="Book Antiqua" w:hAnsi="Book Antiqua"/>
          <w:sz w:val="24"/>
          <w:szCs w:val="24"/>
          <w:lang w:val="en-US"/>
        </w:rPr>
        <w:t>8</w:t>
      </w:r>
      <w:r w:rsidRPr="001F1399">
        <w:rPr>
          <w:rFonts w:ascii="Book Antiqua" w:hAnsi="Book Antiqua"/>
          <w:sz w:val="24"/>
          <w:szCs w:val="24"/>
          <w:lang w:val="en-US"/>
        </w:rPr>
        <w:t xml:space="preserve"> </w:t>
      </w:r>
      <w:r w:rsidRPr="001F1399">
        <w:rPr>
          <w:rFonts w:ascii="Book Antiqua" w:hAnsi="Book Antiqua"/>
          <w:b/>
          <w:sz w:val="24"/>
          <w:szCs w:val="24"/>
          <w:lang w:val="en-US"/>
        </w:rPr>
        <w:t>Satokari R</w:t>
      </w:r>
      <w:r w:rsidRPr="001F1399">
        <w:rPr>
          <w:rFonts w:ascii="Book Antiqua" w:hAnsi="Book Antiqua"/>
          <w:sz w:val="24"/>
          <w:szCs w:val="24"/>
          <w:lang w:val="en-US"/>
        </w:rPr>
        <w:t xml:space="preserve">, Grönroos T, Laitinen K, Salminen S, Isolauri E. Bifidobacterium and Lactobacillus DNA in the human placenta. </w:t>
      </w:r>
      <w:r w:rsidRPr="001F1399">
        <w:rPr>
          <w:rFonts w:ascii="Book Antiqua" w:hAnsi="Book Antiqua"/>
          <w:i/>
          <w:sz w:val="24"/>
          <w:szCs w:val="24"/>
          <w:lang w:val="en-US"/>
        </w:rPr>
        <w:t>Lett Appl Microbiol</w:t>
      </w:r>
      <w:r w:rsidRPr="001F1399">
        <w:rPr>
          <w:rFonts w:ascii="Book Antiqua" w:hAnsi="Book Antiqua"/>
          <w:sz w:val="24"/>
          <w:szCs w:val="24"/>
          <w:lang w:val="en-US"/>
        </w:rPr>
        <w:t xml:space="preserve"> 2009; </w:t>
      </w:r>
      <w:r w:rsidRPr="001F1399">
        <w:rPr>
          <w:rFonts w:ascii="Book Antiqua" w:hAnsi="Book Antiqua"/>
          <w:b/>
          <w:sz w:val="24"/>
          <w:szCs w:val="24"/>
          <w:lang w:val="en-US"/>
        </w:rPr>
        <w:t>48</w:t>
      </w:r>
      <w:r w:rsidRPr="001F1399">
        <w:rPr>
          <w:rFonts w:ascii="Book Antiqua" w:hAnsi="Book Antiqua"/>
          <w:sz w:val="24"/>
          <w:szCs w:val="24"/>
          <w:lang w:val="en-US"/>
        </w:rPr>
        <w:t>: 8-12 [PMID: 19018955 DOI: 10.1111/j.1472-765X.2008.02475.x]</w:t>
      </w:r>
    </w:p>
    <w:p w14:paraId="15966579" w14:textId="2A5FAB9F"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4</w:t>
      </w:r>
      <w:r w:rsidR="00D253C3" w:rsidRPr="001F1399">
        <w:rPr>
          <w:rFonts w:ascii="Book Antiqua" w:hAnsi="Book Antiqua"/>
          <w:sz w:val="24"/>
          <w:szCs w:val="24"/>
          <w:lang w:val="en-US"/>
        </w:rPr>
        <w:t>9</w:t>
      </w:r>
      <w:r w:rsidRPr="001F1399">
        <w:rPr>
          <w:rFonts w:ascii="Book Antiqua" w:hAnsi="Book Antiqua"/>
          <w:sz w:val="24"/>
          <w:szCs w:val="24"/>
          <w:lang w:val="en-US"/>
        </w:rPr>
        <w:t xml:space="preserve"> </w:t>
      </w:r>
      <w:r w:rsidRPr="001F1399">
        <w:rPr>
          <w:rFonts w:ascii="Book Antiqua" w:hAnsi="Book Antiqua"/>
          <w:b/>
          <w:sz w:val="24"/>
          <w:szCs w:val="24"/>
          <w:lang w:val="en-US"/>
        </w:rPr>
        <w:t>Fu J</w:t>
      </w:r>
      <w:r w:rsidRPr="001F1399">
        <w:rPr>
          <w:rFonts w:ascii="Book Antiqua" w:hAnsi="Book Antiqua"/>
          <w:sz w:val="24"/>
          <w:szCs w:val="24"/>
          <w:lang w:val="en-US"/>
        </w:rPr>
        <w:t xml:space="preserve">, Bonder MJ, Cenit MC, Tigchelaar EF, Maatman A, Dekens JA, Brandsma E, Marczynska J, Imhann F, Weersma RK, Franke L, Poon TW, Xavier RJ, Gevers D, Hofker MH, Wijmenga C, Zhernakova A. The Gut Microbiome Contributes to a </w:t>
      </w:r>
      <w:r w:rsidRPr="001F1399">
        <w:rPr>
          <w:rFonts w:ascii="Book Antiqua" w:hAnsi="Book Antiqua"/>
          <w:sz w:val="24"/>
          <w:szCs w:val="24"/>
          <w:lang w:val="en-US"/>
        </w:rPr>
        <w:lastRenderedPageBreak/>
        <w:t xml:space="preserve">Substantial Proportion of the Variation in Blood Lipids. </w:t>
      </w:r>
      <w:r w:rsidRPr="001F1399">
        <w:rPr>
          <w:rFonts w:ascii="Book Antiqua" w:hAnsi="Book Antiqua"/>
          <w:i/>
          <w:sz w:val="24"/>
          <w:szCs w:val="24"/>
          <w:lang w:val="en-US"/>
        </w:rPr>
        <w:t>Circ Res</w:t>
      </w:r>
      <w:r w:rsidRPr="001F1399">
        <w:rPr>
          <w:rFonts w:ascii="Book Antiqua" w:hAnsi="Book Antiqua"/>
          <w:sz w:val="24"/>
          <w:szCs w:val="24"/>
          <w:lang w:val="en-US"/>
        </w:rPr>
        <w:t xml:space="preserve"> 2015; </w:t>
      </w:r>
      <w:r w:rsidRPr="001F1399">
        <w:rPr>
          <w:rFonts w:ascii="Book Antiqua" w:hAnsi="Book Antiqua"/>
          <w:b/>
          <w:sz w:val="24"/>
          <w:szCs w:val="24"/>
          <w:lang w:val="en-US"/>
        </w:rPr>
        <w:t>117</w:t>
      </w:r>
      <w:r w:rsidRPr="001F1399">
        <w:rPr>
          <w:rFonts w:ascii="Book Antiqua" w:hAnsi="Book Antiqua"/>
          <w:sz w:val="24"/>
          <w:szCs w:val="24"/>
          <w:lang w:val="en-US"/>
        </w:rPr>
        <w:t>: 817-824 [PMID: 26358192 DOI: 10.1161/CIRCRESAHA.115.306807]</w:t>
      </w:r>
    </w:p>
    <w:p w14:paraId="45BF82FC" w14:textId="60EC0ADF"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50</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Mazer C</w:t>
      </w:r>
      <w:r w:rsidR="00C076F3" w:rsidRPr="001F1399">
        <w:rPr>
          <w:rFonts w:ascii="Book Antiqua" w:hAnsi="Book Antiqua"/>
          <w:sz w:val="24"/>
          <w:szCs w:val="24"/>
          <w:lang w:val="en-US"/>
        </w:rPr>
        <w:t xml:space="preserve">, Muneyyirci J, Taheny K, Raio N, Borella A, Whitaker-Azmitia P. Serotonin depletion during synaptogenesis leads to decreased synaptic density and learning deficits in the adult rat: a possible model of neurodevelopmental disorders with cognitive deficits. </w:t>
      </w:r>
      <w:r w:rsidR="00C076F3" w:rsidRPr="001F1399">
        <w:rPr>
          <w:rFonts w:ascii="Book Antiqua" w:hAnsi="Book Antiqua"/>
          <w:i/>
          <w:sz w:val="24"/>
          <w:szCs w:val="24"/>
          <w:lang w:val="en-US"/>
        </w:rPr>
        <w:t>Brain Res</w:t>
      </w:r>
      <w:r w:rsidR="00C076F3" w:rsidRPr="001F1399">
        <w:rPr>
          <w:rFonts w:ascii="Book Antiqua" w:hAnsi="Book Antiqua"/>
          <w:sz w:val="24"/>
          <w:szCs w:val="24"/>
          <w:lang w:val="en-US"/>
        </w:rPr>
        <w:t xml:space="preserve"> 1997; </w:t>
      </w:r>
      <w:r w:rsidR="00C076F3" w:rsidRPr="001F1399">
        <w:rPr>
          <w:rFonts w:ascii="Book Antiqua" w:hAnsi="Book Antiqua"/>
          <w:b/>
          <w:sz w:val="24"/>
          <w:szCs w:val="24"/>
          <w:lang w:val="en-US"/>
        </w:rPr>
        <w:t>760</w:t>
      </w:r>
      <w:r w:rsidR="00C076F3" w:rsidRPr="001F1399">
        <w:rPr>
          <w:rFonts w:ascii="Book Antiqua" w:hAnsi="Book Antiqua"/>
          <w:sz w:val="24"/>
          <w:szCs w:val="24"/>
          <w:lang w:val="en-US"/>
        </w:rPr>
        <w:t>: 68-73 [PMID: 9237519 DOI: 10.1016/S0006-8993(97)00297-7]</w:t>
      </w:r>
    </w:p>
    <w:p w14:paraId="5F10E7F2" w14:textId="2D4299ED"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5</w:t>
      </w:r>
      <w:r w:rsidR="00D253C3" w:rsidRPr="001F1399">
        <w:rPr>
          <w:rFonts w:ascii="Book Antiqua" w:hAnsi="Book Antiqua"/>
          <w:sz w:val="24"/>
          <w:szCs w:val="24"/>
          <w:lang w:val="en-US"/>
        </w:rPr>
        <w:t>1</w:t>
      </w:r>
      <w:r w:rsidRPr="001F1399">
        <w:rPr>
          <w:rFonts w:ascii="Book Antiqua" w:hAnsi="Book Antiqua"/>
          <w:sz w:val="24"/>
          <w:szCs w:val="24"/>
          <w:lang w:val="en-US"/>
        </w:rPr>
        <w:t xml:space="preserve"> </w:t>
      </w:r>
      <w:r w:rsidRPr="001F1399">
        <w:rPr>
          <w:rFonts w:ascii="Book Antiqua" w:hAnsi="Book Antiqua"/>
          <w:b/>
          <w:sz w:val="24"/>
          <w:szCs w:val="24"/>
          <w:lang w:val="en-US"/>
        </w:rPr>
        <w:t>Côté F</w:t>
      </w:r>
      <w:r w:rsidRPr="001F1399">
        <w:rPr>
          <w:rFonts w:ascii="Book Antiqua" w:hAnsi="Book Antiqua"/>
          <w:sz w:val="24"/>
          <w:szCs w:val="24"/>
          <w:lang w:val="en-US"/>
        </w:rPr>
        <w:t xml:space="preserve">, Fligny C, Bayard E, Launay JM, Gershon MD, Mallet J, Vodjdani G. Maternal serotonin is crucial for murine embryonic development. </w:t>
      </w:r>
      <w:r w:rsidRPr="001F1399">
        <w:rPr>
          <w:rFonts w:ascii="Book Antiqua" w:hAnsi="Book Antiqua"/>
          <w:i/>
          <w:sz w:val="24"/>
          <w:szCs w:val="24"/>
          <w:lang w:val="en-US"/>
        </w:rPr>
        <w:t>Proc Natl Acad Sci U S A</w:t>
      </w:r>
      <w:r w:rsidRPr="001F1399">
        <w:rPr>
          <w:rFonts w:ascii="Book Antiqua" w:hAnsi="Book Antiqua"/>
          <w:sz w:val="24"/>
          <w:szCs w:val="24"/>
          <w:lang w:val="en-US"/>
        </w:rPr>
        <w:t xml:space="preserve"> 2007; </w:t>
      </w:r>
      <w:r w:rsidRPr="001F1399">
        <w:rPr>
          <w:rFonts w:ascii="Book Antiqua" w:hAnsi="Book Antiqua"/>
          <w:b/>
          <w:sz w:val="24"/>
          <w:szCs w:val="24"/>
          <w:lang w:val="en-US"/>
        </w:rPr>
        <w:t>104</w:t>
      </w:r>
      <w:r w:rsidRPr="001F1399">
        <w:rPr>
          <w:rFonts w:ascii="Book Antiqua" w:hAnsi="Book Antiqua"/>
          <w:sz w:val="24"/>
          <w:szCs w:val="24"/>
          <w:lang w:val="en-US"/>
        </w:rPr>
        <w:t>: 329-334 [PMID: 17182745 DOI: 10.1073/pnas.0606722104]</w:t>
      </w:r>
    </w:p>
    <w:p w14:paraId="269F060F" w14:textId="0454186D"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5</w:t>
      </w:r>
      <w:r w:rsidR="00D253C3" w:rsidRPr="001F1399">
        <w:rPr>
          <w:rFonts w:ascii="Book Antiqua" w:hAnsi="Book Antiqua"/>
          <w:sz w:val="24"/>
          <w:szCs w:val="24"/>
          <w:lang w:val="en-US"/>
        </w:rPr>
        <w:t>2</w:t>
      </w:r>
      <w:r w:rsidRPr="001F1399">
        <w:rPr>
          <w:rFonts w:ascii="Book Antiqua" w:hAnsi="Book Antiqua"/>
          <w:sz w:val="24"/>
          <w:szCs w:val="24"/>
          <w:lang w:val="en-US"/>
        </w:rPr>
        <w:t xml:space="preserve"> </w:t>
      </w:r>
      <w:r w:rsidRPr="001F1399">
        <w:rPr>
          <w:rFonts w:ascii="Book Antiqua" w:hAnsi="Book Antiqua"/>
          <w:b/>
          <w:sz w:val="24"/>
          <w:szCs w:val="24"/>
          <w:lang w:val="en-US"/>
        </w:rPr>
        <w:t>Herschkowitz N</w:t>
      </w:r>
      <w:r w:rsidRPr="001F1399">
        <w:rPr>
          <w:rFonts w:ascii="Book Antiqua" w:hAnsi="Book Antiqua"/>
          <w:sz w:val="24"/>
          <w:szCs w:val="24"/>
          <w:lang w:val="en-US"/>
        </w:rPr>
        <w:t xml:space="preserve">, Kagan J, Zilles K. Neurobiological bases of behavioral development in the first year. </w:t>
      </w:r>
      <w:r w:rsidRPr="001F1399">
        <w:rPr>
          <w:rFonts w:ascii="Book Antiqua" w:hAnsi="Book Antiqua"/>
          <w:i/>
          <w:sz w:val="24"/>
          <w:szCs w:val="24"/>
          <w:lang w:val="en-US"/>
        </w:rPr>
        <w:t>Neuropediatrics</w:t>
      </w:r>
      <w:r w:rsidRPr="001F1399">
        <w:rPr>
          <w:rFonts w:ascii="Book Antiqua" w:hAnsi="Book Antiqua"/>
          <w:sz w:val="24"/>
          <w:szCs w:val="24"/>
          <w:lang w:val="en-US"/>
        </w:rPr>
        <w:t xml:space="preserve"> 1997; </w:t>
      </w:r>
      <w:r w:rsidRPr="001F1399">
        <w:rPr>
          <w:rFonts w:ascii="Book Antiqua" w:hAnsi="Book Antiqua"/>
          <w:b/>
          <w:sz w:val="24"/>
          <w:szCs w:val="24"/>
          <w:lang w:val="en-US"/>
        </w:rPr>
        <w:t>28</w:t>
      </w:r>
      <w:r w:rsidRPr="001F1399">
        <w:rPr>
          <w:rFonts w:ascii="Book Antiqua" w:hAnsi="Book Antiqua"/>
          <w:sz w:val="24"/>
          <w:szCs w:val="24"/>
          <w:lang w:val="en-US"/>
        </w:rPr>
        <w:t>: 296-306 [PMID: 9453026 DOI: 10.1055/s-2007-973720]</w:t>
      </w:r>
    </w:p>
    <w:p w14:paraId="3DB82A71" w14:textId="2571E171"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5</w:t>
      </w:r>
      <w:r w:rsidR="00D253C3" w:rsidRPr="001F1399">
        <w:rPr>
          <w:rFonts w:ascii="Book Antiqua" w:hAnsi="Book Antiqua"/>
          <w:sz w:val="24"/>
          <w:szCs w:val="24"/>
          <w:lang w:val="en-US"/>
        </w:rPr>
        <w:t>3</w:t>
      </w:r>
      <w:r w:rsidRPr="001F1399">
        <w:rPr>
          <w:rFonts w:ascii="Book Antiqua" w:hAnsi="Book Antiqua"/>
          <w:sz w:val="24"/>
          <w:szCs w:val="24"/>
          <w:lang w:val="en-US"/>
        </w:rPr>
        <w:t xml:space="preserve"> </w:t>
      </w:r>
      <w:r w:rsidRPr="001F1399">
        <w:rPr>
          <w:rFonts w:ascii="Book Antiqua" w:hAnsi="Book Antiqua"/>
          <w:b/>
          <w:sz w:val="24"/>
          <w:szCs w:val="24"/>
          <w:lang w:val="en-US"/>
        </w:rPr>
        <w:t>Manco M</w:t>
      </w:r>
      <w:r w:rsidRPr="001F1399">
        <w:rPr>
          <w:rFonts w:ascii="Book Antiqua" w:hAnsi="Book Antiqua"/>
          <w:sz w:val="24"/>
          <w:szCs w:val="24"/>
          <w:lang w:val="en-US"/>
        </w:rPr>
        <w:t xml:space="preserve">. Gut microbiota and developmental programming of the brain: from evidence in behavioral endophenotypes to novel perspective in obesity. </w:t>
      </w:r>
      <w:r w:rsidRPr="001F1399">
        <w:rPr>
          <w:rFonts w:ascii="Book Antiqua" w:hAnsi="Book Antiqua"/>
          <w:i/>
          <w:sz w:val="24"/>
          <w:szCs w:val="24"/>
          <w:lang w:val="en-US"/>
        </w:rPr>
        <w:t>Front Cell Infect Microbiol</w:t>
      </w:r>
      <w:r w:rsidRPr="001F1399">
        <w:rPr>
          <w:rFonts w:ascii="Book Antiqua" w:hAnsi="Book Antiqua"/>
          <w:sz w:val="24"/>
          <w:szCs w:val="24"/>
          <w:lang w:val="en-US"/>
        </w:rPr>
        <w:t xml:space="preserve"> 2012; </w:t>
      </w:r>
      <w:r w:rsidRPr="001F1399">
        <w:rPr>
          <w:rFonts w:ascii="Book Antiqua" w:hAnsi="Book Antiqua"/>
          <w:b/>
          <w:sz w:val="24"/>
          <w:szCs w:val="24"/>
          <w:lang w:val="en-US"/>
        </w:rPr>
        <w:t>2</w:t>
      </w:r>
      <w:r w:rsidRPr="001F1399">
        <w:rPr>
          <w:rFonts w:ascii="Book Antiqua" w:hAnsi="Book Antiqua"/>
          <w:sz w:val="24"/>
          <w:szCs w:val="24"/>
          <w:lang w:val="en-US"/>
        </w:rPr>
        <w:t>: 109 [PMID: 22912939 DOI: 10.3389/fcimb.2012.00109]</w:t>
      </w:r>
    </w:p>
    <w:p w14:paraId="5D410558" w14:textId="362F306B"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54</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Rothman SM</w:t>
      </w:r>
      <w:r w:rsidR="00C076F3" w:rsidRPr="001F1399">
        <w:rPr>
          <w:rFonts w:ascii="Book Antiqua" w:hAnsi="Book Antiqua"/>
          <w:sz w:val="24"/>
          <w:szCs w:val="24"/>
          <w:lang w:val="en-US"/>
        </w:rPr>
        <w:t xml:space="preserve">, Griffioen KJ, Wan R, Mattson MP. Brain-derived neurotrophic factor as a regulator of systemic and brain energy metabolism and cardiovascular health. </w:t>
      </w:r>
      <w:r w:rsidR="00C076F3" w:rsidRPr="001F1399">
        <w:rPr>
          <w:rFonts w:ascii="Book Antiqua" w:hAnsi="Book Antiqua"/>
          <w:i/>
          <w:sz w:val="24"/>
          <w:szCs w:val="24"/>
          <w:lang w:val="en-US"/>
        </w:rPr>
        <w:t>Ann N Y Acad Sci</w:t>
      </w:r>
      <w:r w:rsidR="00C076F3" w:rsidRPr="001F1399">
        <w:rPr>
          <w:rFonts w:ascii="Book Antiqua" w:hAnsi="Book Antiqua"/>
          <w:sz w:val="24"/>
          <w:szCs w:val="24"/>
          <w:lang w:val="en-US"/>
        </w:rPr>
        <w:t xml:space="preserve"> 2012; </w:t>
      </w:r>
      <w:r w:rsidR="00C076F3" w:rsidRPr="001F1399">
        <w:rPr>
          <w:rFonts w:ascii="Book Antiqua" w:hAnsi="Book Antiqua"/>
          <w:b/>
          <w:sz w:val="24"/>
          <w:szCs w:val="24"/>
          <w:lang w:val="en-US"/>
        </w:rPr>
        <w:t>1264</w:t>
      </w:r>
      <w:r w:rsidR="00C076F3" w:rsidRPr="001F1399">
        <w:rPr>
          <w:rFonts w:ascii="Book Antiqua" w:hAnsi="Book Antiqua"/>
          <w:sz w:val="24"/>
          <w:szCs w:val="24"/>
          <w:lang w:val="en-US"/>
        </w:rPr>
        <w:t>: 49-63 [PMID: 22548651 DOI: 10.1111/j.1749-6632.2012.06525.x]</w:t>
      </w:r>
    </w:p>
    <w:p w14:paraId="2276E812" w14:textId="6FA3624E"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55</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Zola SM</w:t>
      </w:r>
      <w:r w:rsidR="00C076F3" w:rsidRPr="001F1399">
        <w:rPr>
          <w:rFonts w:ascii="Book Antiqua" w:hAnsi="Book Antiqua"/>
          <w:sz w:val="24"/>
          <w:szCs w:val="24"/>
          <w:lang w:val="en-US"/>
        </w:rPr>
        <w:t xml:space="preserve">, Squire LR, Teng E, Stefanacci L, Buffalo EA, Clark RE. Impaired recognition memory in monkeys after damage limited to the hippocampal region. </w:t>
      </w:r>
      <w:r w:rsidR="00C076F3" w:rsidRPr="001F1399">
        <w:rPr>
          <w:rFonts w:ascii="Book Antiqua" w:hAnsi="Book Antiqua"/>
          <w:i/>
          <w:sz w:val="24"/>
          <w:szCs w:val="24"/>
          <w:lang w:val="en-US"/>
        </w:rPr>
        <w:t>J Neurosci</w:t>
      </w:r>
      <w:r w:rsidR="00C076F3" w:rsidRPr="001F1399">
        <w:rPr>
          <w:rFonts w:ascii="Book Antiqua" w:hAnsi="Book Antiqua"/>
          <w:sz w:val="24"/>
          <w:szCs w:val="24"/>
          <w:lang w:val="en-US"/>
        </w:rPr>
        <w:t xml:space="preserve"> 2000; </w:t>
      </w:r>
      <w:r w:rsidR="00C076F3" w:rsidRPr="001F1399">
        <w:rPr>
          <w:rFonts w:ascii="Book Antiqua" w:hAnsi="Book Antiqua"/>
          <w:b/>
          <w:sz w:val="24"/>
          <w:szCs w:val="24"/>
          <w:lang w:val="en-US"/>
        </w:rPr>
        <w:t>20</w:t>
      </w:r>
      <w:r w:rsidR="00C076F3" w:rsidRPr="001F1399">
        <w:rPr>
          <w:rFonts w:ascii="Book Antiqua" w:hAnsi="Book Antiqua"/>
          <w:sz w:val="24"/>
          <w:szCs w:val="24"/>
          <w:lang w:val="en-US"/>
        </w:rPr>
        <w:t>: 451-463 [PMID: 10627621 DOI: 10.1523/JNEUROSCI.20-01-00451.2000]</w:t>
      </w:r>
    </w:p>
    <w:p w14:paraId="46B1D1FB" w14:textId="7E82C86A"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56</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Karmarkar D</w:t>
      </w:r>
      <w:r w:rsidR="00C076F3" w:rsidRPr="001F1399">
        <w:rPr>
          <w:rFonts w:ascii="Book Antiqua" w:hAnsi="Book Antiqua"/>
          <w:sz w:val="24"/>
          <w:szCs w:val="24"/>
          <w:lang w:val="en-US"/>
        </w:rPr>
        <w:t xml:space="preserve">, Rock KL. Microbiota signalling through MyD88 is necessary for a systemic neutrophilic inflammatory response. </w:t>
      </w:r>
      <w:r w:rsidR="00C076F3" w:rsidRPr="001F1399">
        <w:rPr>
          <w:rFonts w:ascii="Book Antiqua" w:hAnsi="Book Antiqua"/>
          <w:i/>
          <w:sz w:val="24"/>
          <w:szCs w:val="24"/>
          <w:lang w:val="en-US"/>
        </w:rPr>
        <w:t>Immunology</w:t>
      </w:r>
      <w:r w:rsidR="00C076F3" w:rsidRPr="001F1399">
        <w:rPr>
          <w:rFonts w:ascii="Book Antiqua" w:hAnsi="Book Antiqua"/>
          <w:sz w:val="24"/>
          <w:szCs w:val="24"/>
          <w:lang w:val="en-US"/>
        </w:rPr>
        <w:t xml:space="preserve"> 2013; </w:t>
      </w:r>
      <w:r w:rsidR="00C076F3" w:rsidRPr="001F1399">
        <w:rPr>
          <w:rFonts w:ascii="Book Antiqua" w:hAnsi="Book Antiqua"/>
          <w:b/>
          <w:sz w:val="24"/>
          <w:szCs w:val="24"/>
          <w:lang w:val="en-US"/>
        </w:rPr>
        <w:t>140</w:t>
      </w:r>
      <w:r w:rsidR="00C076F3" w:rsidRPr="001F1399">
        <w:rPr>
          <w:rFonts w:ascii="Book Antiqua" w:hAnsi="Book Antiqua"/>
          <w:sz w:val="24"/>
          <w:szCs w:val="24"/>
          <w:lang w:val="en-US"/>
        </w:rPr>
        <w:t>: 483-492 [PMID: 23909393 DOI: 10.1111/imm.12159]</w:t>
      </w:r>
    </w:p>
    <w:p w14:paraId="2ED1630D" w14:textId="59948DC3"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57</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Abt MC</w:t>
      </w:r>
      <w:r w:rsidR="00C076F3" w:rsidRPr="001F1399">
        <w:rPr>
          <w:rFonts w:ascii="Book Antiqua" w:hAnsi="Book Antiqua"/>
          <w:sz w:val="24"/>
          <w:szCs w:val="24"/>
          <w:lang w:val="en-US"/>
        </w:rPr>
        <w:t xml:space="preserve">, Osborne LC, Monticelli LA, Doering TA, Alenghat T, Sonnenberg GF, Paley MA, Antenus M, Williams KL, Erikson J, Wherry EJ, Artis D. Commensal bacteria calibrate the activation threshold of innate antiviral immunity. </w:t>
      </w:r>
      <w:r w:rsidR="00C076F3" w:rsidRPr="001F1399">
        <w:rPr>
          <w:rFonts w:ascii="Book Antiqua" w:hAnsi="Book Antiqua"/>
          <w:i/>
          <w:sz w:val="24"/>
          <w:szCs w:val="24"/>
          <w:lang w:val="en-US"/>
        </w:rPr>
        <w:t>Immunity</w:t>
      </w:r>
      <w:r w:rsidR="00C076F3" w:rsidRPr="001F1399">
        <w:rPr>
          <w:rFonts w:ascii="Book Antiqua" w:hAnsi="Book Antiqua"/>
          <w:sz w:val="24"/>
          <w:szCs w:val="24"/>
          <w:lang w:val="en-US"/>
        </w:rPr>
        <w:t xml:space="preserve"> 2012; </w:t>
      </w:r>
      <w:r w:rsidR="00C076F3" w:rsidRPr="001F1399">
        <w:rPr>
          <w:rFonts w:ascii="Book Antiqua" w:hAnsi="Book Antiqua"/>
          <w:b/>
          <w:sz w:val="24"/>
          <w:szCs w:val="24"/>
          <w:lang w:val="en-US"/>
        </w:rPr>
        <w:t>37</w:t>
      </w:r>
      <w:r w:rsidR="00C076F3" w:rsidRPr="001F1399">
        <w:rPr>
          <w:rFonts w:ascii="Book Antiqua" w:hAnsi="Book Antiqua"/>
          <w:sz w:val="24"/>
          <w:szCs w:val="24"/>
          <w:lang w:val="en-US"/>
        </w:rPr>
        <w:t>: 158-170 [PMID: 22705104 DOI: 10.1016/j.immuni.2012.04.011]</w:t>
      </w:r>
    </w:p>
    <w:p w14:paraId="31D1AD89" w14:textId="6CD723E1"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58</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Arpaia N</w:t>
      </w:r>
      <w:r w:rsidR="00C076F3" w:rsidRPr="001F1399">
        <w:rPr>
          <w:rFonts w:ascii="Book Antiqua" w:hAnsi="Book Antiqua"/>
          <w:sz w:val="24"/>
          <w:szCs w:val="24"/>
          <w:lang w:val="en-US"/>
        </w:rPr>
        <w:t xml:space="preserve">, Campbell C, Fan X, Dikiy S, van der Veeken J, deRoos P, Liu H, Cross JR, Pfeffer K, Coffer PJ, Rudensky AY. Metabolites produced by commensal bacteria </w:t>
      </w:r>
      <w:r w:rsidR="00C076F3" w:rsidRPr="001F1399">
        <w:rPr>
          <w:rFonts w:ascii="Book Antiqua" w:hAnsi="Book Antiqua"/>
          <w:sz w:val="24"/>
          <w:szCs w:val="24"/>
          <w:lang w:val="en-US"/>
        </w:rPr>
        <w:lastRenderedPageBreak/>
        <w:t xml:space="preserve">promote peripheral regulatory T-cell generation. </w:t>
      </w:r>
      <w:r w:rsidR="00C076F3" w:rsidRPr="001F1399">
        <w:rPr>
          <w:rFonts w:ascii="Book Antiqua" w:hAnsi="Book Antiqua"/>
          <w:i/>
          <w:sz w:val="24"/>
          <w:szCs w:val="24"/>
          <w:lang w:val="en-US"/>
        </w:rPr>
        <w:t>Nature</w:t>
      </w:r>
      <w:r w:rsidR="00C076F3" w:rsidRPr="001F1399">
        <w:rPr>
          <w:rFonts w:ascii="Book Antiqua" w:hAnsi="Book Antiqua"/>
          <w:sz w:val="24"/>
          <w:szCs w:val="24"/>
          <w:lang w:val="en-US"/>
        </w:rPr>
        <w:t xml:space="preserve"> 2013; </w:t>
      </w:r>
      <w:r w:rsidR="00C076F3" w:rsidRPr="001F1399">
        <w:rPr>
          <w:rFonts w:ascii="Book Antiqua" w:hAnsi="Book Antiqua"/>
          <w:b/>
          <w:sz w:val="24"/>
          <w:szCs w:val="24"/>
          <w:lang w:val="en-US"/>
        </w:rPr>
        <w:t>504</w:t>
      </w:r>
      <w:r w:rsidR="00C076F3" w:rsidRPr="001F1399">
        <w:rPr>
          <w:rFonts w:ascii="Book Antiqua" w:hAnsi="Book Antiqua"/>
          <w:sz w:val="24"/>
          <w:szCs w:val="24"/>
          <w:lang w:val="en-US"/>
        </w:rPr>
        <w:t>: 451-455 [PMID: 24226773 DOI: 10.1038/nature12726]</w:t>
      </w:r>
    </w:p>
    <w:p w14:paraId="53FB2301" w14:textId="5103A613"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59</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Artis D</w:t>
      </w:r>
      <w:r w:rsidR="00C076F3" w:rsidRPr="001F1399">
        <w:rPr>
          <w:rFonts w:ascii="Book Antiqua" w:hAnsi="Book Antiqua"/>
          <w:sz w:val="24"/>
          <w:szCs w:val="24"/>
          <w:lang w:val="en-US"/>
        </w:rPr>
        <w:t xml:space="preserve">. Epithelial-cell recognition of commensal bacteria and maintenance of immune homeostasis in the gut. </w:t>
      </w:r>
      <w:r w:rsidR="00C076F3" w:rsidRPr="001F1399">
        <w:rPr>
          <w:rFonts w:ascii="Book Antiqua" w:hAnsi="Book Antiqua"/>
          <w:i/>
          <w:sz w:val="24"/>
          <w:szCs w:val="24"/>
          <w:lang w:val="en-US"/>
        </w:rPr>
        <w:t>Nat Rev Immunol</w:t>
      </w:r>
      <w:r w:rsidR="00C076F3" w:rsidRPr="001F1399">
        <w:rPr>
          <w:rFonts w:ascii="Book Antiqua" w:hAnsi="Book Antiqua"/>
          <w:sz w:val="24"/>
          <w:szCs w:val="24"/>
          <w:lang w:val="en-US"/>
        </w:rPr>
        <w:t xml:space="preserve"> 2008; </w:t>
      </w:r>
      <w:r w:rsidR="00C076F3" w:rsidRPr="001F1399">
        <w:rPr>
          <w:rFonts w:ascii="Book Antiqua" w:hAnsi="Book Antiqua"/>
          <w:b/>
          <w:sz w:val="24"/>
          <w:szCs w:val="24"/>
          <w:lang w:val="en-US"/>
        </w:rPr>
        <w:t>8</w:t>
      </w:r>
      <w:r w:rsidR="00C076F3" w:rsidRPr="001F1399">
        <w:rPr>
          <w:rFonts w:ascii="Book Antiqua" w:hAnsi="Book Antiqua"/>
          <w:sz w:val="24"/>
          <w:szCs w:val="24"/>
          <w:lang w:val="en-US"/>
        </w:rPr>
        <w:t>: 411-420 [PMID: 18469830 DOI: 10.1038/nri2316]</w:t>
      </w:r>
    </w:p>
    <w:p w14:paraId="647ACD14" w14:textId="6AA336FB"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60</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Kaplan JL</w:t>
      </w:r>
      <w:r w:rsidR="00C076F3" w:rsidRPr="001F1399">
        <w:rPr>
          <w:rFonts w:ascii="Book Antiqua" w:hAnsi="Book Antiqua"/>
          <w:sz w:val="24"/>
          <w:szCs w:val="24"/>
          <w:lang w:val="en-US"/>
        </w:rPr>
        <w:t xml:space="preserve">, Shi HN, Walker WA. The role of microbes in developmental immunologic programming. </w:t>
      </w:r>
      <w:r w:rsidR="00C076F3" w:rsidRPr="001F1399">
        <w:rPr>
          <w:rFonts w:ascii="Book Antiqua" w:hAnsi="Book Antiqua"/>
          <w:i/>
          <w:sz w:val="24"/>
          <w:szCs w:val="24"/>
          <w:lang w:val="en-US"/>
        </w:rPr>
        <w:t>Pediatr Res</w:t>
      </w:r>
      <w:r w:rsidR="00C076F3" w:rsidRPr="001F1399">
        <w:rPr>
          <w:rFonts w:ascii="Book Antiqua" w:hAnsi="Book Antiqua"/>
          <w:sz w:val="24"/>
          <w:szCs w:val="24"/>
          <w:lang w:val="en-US"/>
        </w:rPr>
        <w:t xml:space="preserve"> 2011; </w:t>
      </w:r>
      <w:r w:rsidR="00C076F3" w:rsidRPr="001F1399">
        <w:rPr>
          <w:rFonts w:ascii="Book Antiqua" w:hAnsi="Book Antiqua"/>
          <w:b/>
          <w:sz w:val="24"/>
          <w:szCs w:val="24"/>
          <w:lang w:val="en-US"/>
        </w:rPr>
        <w:t>69</w:t>
      </w:r>
      <w:r w:rsidR="00C076F3" w:rsidRPr="001F1399">
        <w:rPr>
          <w:rFonts w:ascii="Book Antiqua" w:hAnsi="Book Antiqua"/>
          <w:sz w:val="24"/>
          <w:szCs w:val="24"/>
          <w:lang w:val="en-US"/>
        </w:rPr>
        <w:t>: 465-472 [PMID: 21364495 DOI: 10.1203/PDR.0b013e318217638a]</w:t>
      </w:r>
    </w:p>
    <w:p w14:paraId="561A71CC" w14:textId="7E2CEC0B"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6</w:t>
      </w:r>
      <w:r w:rsidR="00D253C3" w:rsidRPr="001F1399">
        <w:rPr>
          <w:rFonts w:ascii="Book Antiqua" w:hAnsi="Book Antiqua"/>
          <w:sz w:val="24"/>
          <w:szCs w:val="24"/>
          <w:lang w:val="en-US"/>
        </w:rPr>
        <w:t>1</w:t>
      </w:r>
      <w:r w:rsidRPr="001F1399">
        <w:rPr>
          <w:rFonts w:ascii="Book Antiqua" w:hAnsi="Book Antiqua"/>
          <w:sz w:val="24"/>
          <w:szCs w:val="24"/>
          <w:lang w:val="en-US"/>
        </w:rPr>
        <w:t xml:space="preserve"> </w:t>
      </w:r>
      <w:r w:rsidRPr="001F1399">
        <w:rPr>
          <w:rFonts w:ascii="Book Antiqua" w:hAnsi="Book Antiqua"/>
          <w:b/>
          <w:sz w:val="24"/>
          <w:szCs w:val="24"/>
          <w:lang w:val="en-US"/>
        </w:rPr>
        <w:t>Clarke G</w:t>
      </w:r>
      <w:r w:rsidRPr="001F1399">
        <w:rPr>
          <w:rFonts w:ascii="Book Antiqua" w:hAnsi="Book Antiqua"/>
          <w:sz w:val="24"/>
          <w:szCs w:val="24"/>
          <w:lang w:val="en-US"/>
        </w:rPr>
        <w:t xml:space="preserve">, O'Mahony SM, Dinan TG, Cryan JF. Priming for health: gut microbiota acquired in early life regulates physiology, brain and behaviour. </w:t>
      </w:r>
      <w:r w:rsidRPr="001F1399">
        <w:rPr>
          <w:rFonts w:ascii="Book Antiqua" w:hAnsi="Book Antiqua"/>
          <w:i/>
          <w:sz w:val="24"/>
          <w:szCs w:val="24"/>
          <w:lang w:val="en-US"/>
        </w:rPr>
        <w:t>Acta Paediatr</w:t>
      </w:r>
      <w:r w:rsidRPr="001F1399">
        <w:rPr>
          <w:rFonts w:ascii="Book Antiqua" w:hAnsi="Book Antiqua"/>
          <w:sz w:val="24"/>
          <w:szCs w:val="24"/>
          <w:lang w:val="en-US"/>
        </w:rPr>
        <w:t xml:space="preserve"> 2014; </w:t>
      </w:r>
      <w:r w:rsidRPr="001F1399">
        <w:rPr>
          <w:rFonts w:ascii="Book Antiqua" w:hAnsi="Book Antiqua"/>
          <w:b/>
          <w:sz w:val="24"/>
          <w:szCs w:val="24"/>
          <w:lang w:val="en-US"/>
        </w:rPr>
        <w:t>103</w:t>
      </w:r>
      <w:r w:rsidRPr="001F1399">
        <w:rPr>
          <w:rFonts w:ascii="Book Antiqua" w:hAnsi="Book Antiqua"/>
          <w:sz w:val="24"/>
          <w:szCs w:val="24"/>
          <w:lang w:val="en-US"/>
        </w:rPr>
        <w:t>: 812-819 [PMID: 24798884 DOI: 10.1111/apa.12674]</w:t>
      </w:r>
    </w:p>
    <w:p w14:paraId="4F8C90C6" w14:textId="6D9458CA"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62</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Goulet O</w:t>
      </w:r>
      <w:r w:rsidR="00C076F3" w:rsidRPr="001F1399">
        <w:rPr>
          <w:rFonts w:ascii="Book Antiqua" w:hAnsi="Book Antiqua"/>
          <w:sz w:val="24"/>
          <w:szCs w:val="24"/>
          <w:lang w:val="en-US"/>
        </w:rPr>
        <w:t xml:space="preserve">. Potential role of the intestinal microbiota in programming health and disease. </w:t>
      </w:r>
      <w:r w:rsidR="00C076F3" w:rsidRPr="001F1399">
        <w:rPr>
          <w:rFonts w:ascii="Book Antiqua" w:hAnsi="Book Antiqua"/>
          <w:i/>
          <w:sz w:val="24"/>
          <w:szCs w:val="24"/>
          <w:lang w:val="en-US"/>
        </w:rPr>
        <w:t>Nutr Rev</w:t>
      </w:r>
      <w:r w:rsidR="00C076F3" w:rsidRPr="001F1399">
        <w:rPr>
          <w:rFonts w:ascii="Book Antiqua" w:hAnsi="Book Antiqua"/>
          <w:sz w:val="24"/>
          <w:szCs w:val="24"/>
          <w:lang w:val="en-US"/>
        </w:rPr>
        <w:t xml:space="preserve"> 2015; </w:t>
      </w:r>
      <w:r w:rsidR="00C076F3" w:rsidRPr="001F1399">
        <w:rPr>
          <w:rFonts w:ascii="Book Antiqua" w:hAnsi="Book Antiqua"/>
          <w:b/>
          <w:sz w:val="24"/>
          <w:szCs w:val="24"/>
          <w:lang w:val="en-US"/>
        </w:rPr>
        <w:t>73 Suppl 1</w:t>
      </w:r>
      <w:r w:rsidR="00C076F3" w:rsidRPr="001F1399">
        <w:rPr>
          <w:rFonts w:ascii="Book Antiqua" w:hAnsi="Book Antiqua"/>
          <w:sz w:val="24"/>
          <w:szCs w:val="24"/>
          <w:lang w:val="en-US"/>
        </w:rPr>
        <w:t>: 32-40 [PMID: 26175488 DOI: 10.1093/nutrit/nuv039]</w:t>
      </w:r>
    </w:p>
    <w:p w14:paraId="5E9AEAD2" w14:textId="19ECB373"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6</w:t>
      </w:r>
      <w:r w:rsidR="00D253C3" w:rsidRPr="001F1399">
        <w:rPr>
          <w:rFonts w:ascii="Book Antiqua" w:hAnsi="Book Antiqua"/>
          <w:sz w:val="24"/>
          <w:szCs w:val="24"/>
          <w:lang w:val="en-US"/>
        </w:rPr>
        <w:t>3</w:t>
      </w:r>
      <w:r w:rsidRPr="001F1399">
        <w:rPr>
          <w:rFonts w:ascii="Book Antiqua" w:hAnsi="Book Antiqua"/>
          <w:sz w:val="24"/>
          <w:szCs w:val="24"/>
          <w:lang w:val="en-US"/>
        </w:rPr>
        <w:t xml:space="preserve"> </w:t>
      </w:r>
      <w:r w:rsidRPr="001F1399">
        <w:rPr>
          <w:rFonts w:ascii="Book Antiqua" w:hAnsi="Book Antiqua"/>
          <w:b/>
          <w:sz w:val="24"/>
          <w:szCs w:val="24"/>
          <w:lang w:val="en-US"/>
        </w:rPr>
        <w:t>Vuong HE</w:t>
      </w:r>
      <w:r w:rsidRPr="001F1399">
        <w:rPr>
          <w:rFonts w:ascii="Book Antiqua" w:hAnsi="Book Antiqua"/>
          <w:sz w:val="24"/>
          <w:szCs w:val="24"/>
          <w:lang w:val="en-US"/>
        </w:rPr>
        <w:t xml:space="preserve">, Hsiao EY. Emerging Roles for the Gut Microbiome in Autism Spectrum Disorder. </w:t>
      </w:r>
      <w:r w:rsidRPr="001F1399">
        <w:rPr>
          <w:rFonts w:ascii="Book Antiqua" w:hAnsi="Book Antiqua"/>
          <w:i/>
          <w:sz w:val="24"/>
          <w:szCs w:val="24"/>
          <w:lang w:val="en-US"/>
        </w:rPr>
        <w:t>Biol Psychiatry</w:t>
      </w:r>
      <w:r w:rsidRPr="001F1399">
        <w:rPr>
          <w:rFonts w:ascii="Book Antiqua" w:hAnsi="Book Antiqua"/>
          <w:sz w:val="24"/>
          <w:szCs w:val="24"/>
          <w:lang w:val="en-US"/>
        </w:rPr>
        <w:t xml:space="preserve"> 2017; </w:t>
      </w:r>
      <w:r w:rsidRPr="001F1399">
        <w:rPr>
          <w:rFonts w:ascii="Book Antiqua" w:hAnsi="Book Antiqua"/>
          <w:b/>
          <w:sz w:val="24"/>
          <w:szCs w:val="24"/>
          <w:lang w:val="en-US"/>
        </w:rPr>
        <w:t>81</w:t>
      </w:r>
      <w:r w:rsidRPr="001F1399">
        <w:rPr>
          <w:rFonts w:ascii="Book Antiqua" w:hAnsi="Book Antiqua"/>
          <w:sz w:val="24"/>
          <w:szCs w:val="24"/>
          <w:lang w:val="en-US"/>
        </w:rPr>
        <w:t>: 411-423 [PMID: 27773355 DOI: 10.1016/j.biopsych.2016.08.024]</w:t>
      </w:r>
    </w:p>
    <w:p w14:paraId="782F73E5" w14:textId="10A353F1"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6</w:t>
      </w:r>
      <w:r w:rsidR="00D253C3" w:rsidRPr="001F1399">
        <w:rPr>
          <w:rFonts w:ascii="Book Antiqua" w:hAnsi="Book Antiqua"/>
          <w:sz w:val="24"/>
          <w:szCs w:val="24"/>
          <w:lang w:val="en-US"/>
        </w:rPr>
        <w:t>4</w:t>
      </w:r>
      <w:r w:rsidRPr="001F1399">
        <w:rPr>
          <w:rFonts w:ascii="Book Antiqua" w:hAnsi="Book Antiqua"/>
          <w:sz w:val="24"/>
          <w:szCs w:val="24"/>
          <w:lang w:val="en-US"/>
        </w:rPr>
        <w:t xml:space="preserve"> </w:t>
      </w:r>
      <w:r w:rsidRPr="001F1399">
        <w:rPr>
          <w:rFonts w:ascii="Book Antiqua" w:hAnsi="Book Antiqua"/>
          <w:b/>
          <w:sz w:val="24"/>
          <w:szCs w:val="24"/>
          <w:lang w:val="en-US"/>
        </w:rPr>
        <w:t>Cryan JF</w:t>
      </w:r>
      <w:r w:rsidRPr="001F1399">
        <w:rPr>
          <w:rFonts w:ascii="Book Antiqua" w:hAnsi="Book Antiqua"/>
          <w:sz w:val="24"/>
          <w:szCs w:val="24"/>
          <w:lang w:val="en-US"/>
        </w:rPr>
        <w:t xml:space="preserve">, Dinan TG. Mind-altering microorganisms: the impact of the gut microbiota on brain and behaviour. </w:t>
      </w:r>
      <w:r w:rsidRPr="001F1399">
        <w:rPr>
          <w:rFonts w:ascii="Book Antiqua" w:hAnsi="Book Antiqua"/>
          <w:i/>
          <w:sz w:val="24"/>
          <w:szCs w:val="24"/>
          <w:lang w:val="en-US"/>
        </w:rPr>
        <w:t>Nat Rev Neurosci</w:t>
      </w:r>
      <w:r w:rsidRPr="001F1399">
        <w:rPr>
          <w:rFonts w:ascii="Book Antiqua" w:hAnsi="Book Antiqua"/>
          <w:sz w:val="24"/>
          <w:szCs w:val="24"/>
          <w:lang w:val="en-US"/>
        </w:rPr>
        <w:t xml:space="preserve"> 2012; </w:t>
      </w:r>
      <w:r w:rsidRPr="001F1399">
        <w:rPr>
          <w:rFonts w:ascii="Book Antiqua" w:hAnsi="Book Antiqua"/>
          <w:b/>
          <w:sz w:val="24"/>
          <w:szCs w:val="24"/>
          <w:lang w:val="en-US"/>
        </w:rPr>
        <w:t>13</w:t>
      </w:r>
      <w:r w:rsidRPr="001F1399">
        <w:rPr>
          <w:rFonts w:ascii="Book Antiqua" w:hAnsi="Book Antiqua"/>
          <w:sz w:val="24"/>
          <w:szCs w:val="24"/>
          <w:lang w:val="en-US"/>
        </w:rPr>
        <w:t>: 701-712 [PMID: 22968153 DOI: 10.1038/nrn3346]</w:t>
      </w:r>
    </w:p>
    <w:p w14:paraId="4F7E10D3" w14:textId="4BF13A9D"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6</w:t>
      </w:r>
      <w:r w:rsidR="00D253C3" w:rsidRPr="001F1399">
        <w:rPr>
          <w:rFonts w:ascii="Book Antiqua" w:hAnsi="Book Antiqua"/>
          <w:sz w:val="24"/>
          <w:szCs w:val="24"/>
          <w:lang w:val="en-US"/>
        </w:rPr>
        <w:t>5</w:t>
      </w:r>
      <w:r w:rsidRPr="001F1399">
        <w:rPr>
          <w:rFonts w:ascii="Book Antiqua" w:hAnsi="Book Antiqua"/>
          <w:sz w:val="24"/>
          <w:szCs w:val="24"/>
          <w:lang w:val="en-US"/>
        </w:rPr>
        <w:t xml:space="preserve"> </w:t>
      </w:r>
      <w:r w:rsidRPr="001F1399">
        <w:rPr>
          <w:rFonts w:ascii="Book Antiqua" w:hAnsi="Book Antiqua"/>
          <w:b/>
          <w:sz w:val="24"/>
          <w:szCs w:val="24"/>
          <w:lang w:val="en-US"/>
        </w:rPr>
        <w:t>Sampson TR</w:t>
      </w:r>
      <w:r w:rsidRPr="001F1399">
        <w:rPr>
          <w:rFonts w:ascii="Book Antiqua" w:hAnsi="Book Antiqua"/>
          <w:sz w:val="24"/>
          <w:szCs w:val="24"/>
          <w:lang w:val="en-US"/>
        </w:rPr>
        <w:t xml:space="preserve">, Debelius JW, Thron T, Janssen S, Shastri GG, Ilhan ZE, Challis C, Schretter CE, Rocha S, Gradinaru V, Chesselet MF, Keshavarzian A, Shannon KM, Krajmalnik-Brown R, Wittung-Stafshede P, Knight R, Mazmanian SK. Gut Microbiota Regulate Motor Deficits and Neuroinflammation in a Model of Parkinson's Disease. </w:t>
      </w:r>
      <w:r w:rsidRPr="001F1399">
        <w:rPr>
          <w:rFonts w:ascii="Book Antiqua" w:hAnsi="Book Antiqua"/>
          <w:i/>
          <w:sz w:val="24"/>
          <w:szCs w:val="24"/>
          <w:lang w:val="en-US"/>
        </w:rPr>
        <w:t>Cell</w:t>
      </w:r>
      <w:r w:rsidRPr="001F1399">
        <w:rPr>
          <w:rFonts w:ascii="Book Antiqua" w:hAnsi="Book Antiqua"/>
          <w:sz w:val="24"/>
          <w:szCs w:val="24"/>
          <w:lang w:val="en-US"/>
        </w:rPr>
        <w:t xml:space="preserve"> 2016; </w:t>
      </w:r>
      <w:r w:rsidRPr="001F1399">
        <w:rPr>
          <w:rFonts w:ascii="Book Antiqua" w:hAnsi="Book Antiqua"/>
          <w:b/>
          <w:sz w:val="24"/>
          <w:szCs w:val="24"/>
          <w:lang w:val="en-US"/>
        </w:rPr>
        <w:t>167</w:t>
      </w:r>
      <w:r w:rsidRPr="001F1399">
        <w:rPr>
          <w:rFonts w:ascii="Book Antiqua" w:hAnsi="Book Antiqua"/>
          <w:sz w:val="24"/>
          <w:szCs w:val="24"/>
          <w:lang w:val="en-US"/>
        </w:rPr>
        <w:t>: 1469-1480.e12 [PMID: 27912057 DOI: 10.1016/j.cell.2016.11.018]</w:t>
      </w:r>
    </w:p>
    <w:p w14:paraId="32585994" w14:textId="59CCE4D7"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66</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Amaral FA</w:t>
      </w:r>
      <w:r w:rsidR="00C076F3" w:rsidRPr="001F1399">
        <w:rPr>
          <w:rFonts w:ascii="Book Antiqua" w:hAnsi="Book Antiqua"/>
          <w:sz w:val="24"/>
          <w:szCs w:val="24"/>
          <w:lang w:val="en-US"/>
        </w:rPr>
        <w:t xml:space="preserve">, Sachs D, Costa VV, Fagundes CT, Cisalpino D, Cunha TM, Ferreira SH, Cunha FQ, Silva TA, Nicoli JR, Vieira LQ, Souza DG, Teixeira MM. Commensal microbiota is fundamental for the development of inflammatory pain. </w:t>
      </w:r>
      <w:r w:rsidR="00C076F3" w:rsidRPr="001F1399">
        <w:rPr>
          <w:rFonts w:ascii="Book Antiqua" w:hAnsi="Book Antiqua"/>
          <w:i/>
          <w:sz w:val="24"/>
          <w:szCs w:val="24"/>
          <w:lang w:val="en-US"/>
        </w:rPr>
        <w:t>Proc Natl Acad Sci U S A</w:t>
      </w:r>
      <w:r w:rsidR="00C076F3" w:rsidRPr="001F1399">
        <w:rPr>
          <w:rFonts w:ascii="Book Antiqua" w:hAnsi="Book Antiqua"/>
          <w:sz w:val="24"/>
          <w:szCs w:val="24"/>
          <w:lang w:val="en-US"/>
        </w:rPr>
        <w:t xml:space="preserve"> 2008; </w:t>
      </w:r>
      <w:r w:rsidR="00C076F3" w:rsidRPr="001F1399">
        <w:rPr>
          <w:rFonts w:ascii="Book Antiqua" w:hAnsi="Book Antiqua"/>
          <w:b/>
          <w:sz w:val="24"/>
          <w:szCs w:val="24"/>
          <w:lang w:val="en-US"/>
        </w:rPr>
        <w:t>105</w:t>
      </w:r>
      <w:r w:rsidR="00C076F3" w:rsidRPr="001F1399">
        <w:rPr>
          <w:rFonts w:ascii="Book Antiqua" w:hAnsi="Book Antiqua"/>
          <w:sz w:val="24"/>
          <w:szCs w:val="24"/>
          <w:lang w:val="en-US"/>
        </w:rPr>
        <w:t>: 2193-2197 [PMID: 18268332 DOI: 10.1073/pnas.0711891105]</w:t>
      </w:r>
    </w:p>
    <w:p w14:paraId="02713DF7" w14:textId="119EE30E"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67</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Barouki R</w:t>
      </w:r>
      <w:r w:rsidR="00C076F3" w:rsidRPr="001F1399">
        <w:rPr>
          <w:rFonts w:ascii="Book Antiqua" w:hAnsi="Book Antiqua"/>
          <w:sz w:val="24"/>
          <w:szCs w:val="24"/>
          <w:lang w:val="en-US"/>
        </w:rPr>
        <w:t xml:space="preserve">, Gluckman PD, Grandjean P, Hanson M, Heindel JJ. Developmental origins of non-communicable disease: implications for research and public health. </w:t>
      </w:r>
      <w:r w:rsidR="00C076F3" w:rsidRPr="001F1399">
        <w:rPr>
          <w:rFonts w:ascii="Book Antiqua" w:hAnsi="Book Antiqua"/>
          <w:i/>
          <w:sz w:val="24"/>
          <w:szCs w:val="24"/>
          <w:lang w:val="en-US"/>
        </w:rPr>
        <w:t>Environ Health</w:t>
      </w:r>
      <w:r w:rsidR="00C076F3" w:rsidRPr="001F1399">
        <w:rPr>
          <w:rFonts w:ascii="Book Antiqua" w:hAnsi="Book Antiqua"/>
          <w:sz w:val="24"/>
          <w:szCs w:val="24"/>
          <w:lang w:val="en-US"/>
        </w:rPr>
        <w:t xml:space="preserve"> 2012; </w:t>
      </w:r>
      <w:r w:rsidR="00C076F3" w:rsidRPr="001F1399">
        <w:rPr>
          <w:rFonts w:ascii="Book Antiqua" w:hAnsi="Book Antiqua"/>
          <w:b/>
          <w:sz w:val="24"/>
          <w:szCs w:val="24"/>
          <w:lang w:val="en-US"/>
        </w:rPr>
        <w:t>11</w:t>
      </w:r>
      <w:r w:rsidR="00C076F3" w:rsidRPr="001F1399">
        <w:rPr>
          <w:rFonts w:ascii="Book Antiqua" w:hAnsi="Book Antiqua"/>
          <w:sz w:val="24"/>
          <w:szCs w:val="24"/>
          <w:lang w:val="en-US"/>
        </w:rPr>
        <w:t>: 42 [PMID: 22715989 DOI: 10.1186/1476-069X-11-42]</w:t>
      </w:r>
    </w:p>
    <w:p w14:paraId="4D62CCE0" w14:textId="246C229B"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lastRenderedPageBreak/>
        <w:t>68</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Vickers MH</w:t>
      </w:r>
      <w:r w:rsidR="00C076F3" w:rsidRPr="001F1399">
        <w:rPr>
          <w:rFonts w:ascii="Book Antiqua" w:hAnsi="Book Antiqua"/>
          <w:sz w:val="24"/>
          <w:szCs w:val="24"/>
          <w:lang w:val="en-US"/>
        </w:rPr>
        <w:t xml:space="preserve">. Early life nutrition, epigenetics and programming of later life disease. </w:t>
      </w:r>
      <w:r w:rsidR="00C076F3" w:rsidRPr="001F1399">
        <w:rPr>
          <w:rFonts w:ascii="Book Antiqua" w:hAnsi="Book Antiqua"/>
          <w:i/>
          <w:sz w:val="24"/>
          <w:szCs w:val="24"/>
          <w:lang w:val="en-US"/>
        </w:rPr>
        <w:t>Nutrients</w:t>
      </w:r>
      <w:r w:rsidR="00C076F3" w:rsidRPr="001F1399">
        <w:rPr>
          <w:rFonts w:ascii="Book Antiqua" w:hAnsi="Book Antiqua"/>
          <w:sz w:val="24"/>
          <w:szCs w:val="24"/>
          <w:lang w:val="en-US"/>
        </w:rPr>
        <w:t xml:space="preserve"> 2014; </w:t>
      </w:r>
      <w:r w:rsidR="00C076F3" w:rsidRPr="001F1399">
        <w:rPr>
          <w:rFonts w:ascii="Book Antiqua" w:hAnsi="Book Antiqua"/>
          <w:b/>
          <w:sz w:val="24"/>
          <w:szCs w:val="24"/>
          <w:lang w:val="en-US"/>
        </w:rPr>
        <w:t>6</w:t>
      </w:r>
      <w:r w:rsidR="00C076F3" w:rsidRPr="001F1399">
        <w:rPr>
          <w:rFonts w:ascii="Book Antiqua" w:hAnsi="Book Antiqua"/>
          <w:sz w:val="24"/>
          <w:szCs w:val="24"/>
          <w:lang w:val="en-US"/>
        </w:rPr>
        <w:t>: 2165-2178 [PMID: 24892374 DOI: 10.3390/nu6062165]</w:t>
      </w:r>
    </w:p>
    <w:p w14:paraId="625A844B" w14:textId="18D3F6C8"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6</w:t>
      </w:r>
      <w:r w:rsidR="00D253C3" w:rsidRPr="001F1399">
        <w:rPr>
          <w:rFonts w:ascii="Book Antiqua" w:hAnsi="Book Antiqua"/>
          <w:sz w:val="24"/>
          <w:szCs w:val="24"/>
          <w:lang w:val="en-US"/>
        </w:rPr>
        <w:t>9</w:t>
      </w:r>
      <w:r w:rsidRPr="001F1399">
        <w:rPr>
          <w:rFonts w:ascii="Book Antiqua" w:hAnsi="Book Antiqua"/>
          <w:sz w:val="24"/>
          <w:szCs w:val="24"/>
          <w:lang w:val="en-US"/>
        </w:rPr>
        <w:t xml:space="preserve"> </w:t>
      </w:r>
      <w:r w:rsidRPr="001F1399">
        <w:rPr>
          <w:rFonts w:ascii="Book Antiqua" w:hAnsi="Book Antiqua"/>
          <w:b/>
          <w:sz w:val="24"/>
          <w:szCs w:val="24"/>
          <w:lang w:val="en-US"/>
        </w:rPr>
        <w:t>Godfrey KM</w:t>
      </w:r>
      <w:r w:rsidRPr="001F1399">
        <w:rPr>
          <w:rFonts w:ascii="Book Antiqua" w:hAnsi="Book Antiqua"/>
          <w:sz w:val="24"/>
          <w:szCs w:val="24"/>
          <w:lang w:val="en-US"/>
        </w:rPr>
        <w:t xml:space="preserve">, Lillycrop KA, Burdge GC, Gluckman PD, Hanson MA. Epigenetic mechanisms and the mismatch concept of the developmental origins of health and disease. </w:t>
      </w:r>
      <w:r w:rsidRPr="001F1399">
        <w:rPr>
          <w:rFonts w:ascii="Book Antiqua" w:hAnsi="Book Antiqua"/>
          <w:i/>
          <w:sz w:val="24"/>
          <w:szCs w:val="24"/>
          <w:lang w:val="en-US"/>
        </w:rPr>
        <w:t>Pediatr Res</w:t>
      </w:r>
      <w:r w:rsidRPr="001F1399">
        <w:rPr>
          <w:rFonts w:ascii="Book Antiqua" w:hAnsi="Book Antiqua"/>
          <w:sz w:val="24"/>
          <w:szCs w:val="24"/>
          <w:lang w:val="en-US"/>
        </w:rPr>
        <w:t xml:space="preserve"> 2007; </w:t>
      </w:r>
      <w:r w:rsidRPr="001F1399">
        <w:rPr>
          <w:rFonts w:ascii="Book Antiqua" w:hAnsi="Book Antiqua"/>
          <w:b/>
          <w:sz w:val="24"/>
          <w:szCs w:val="24"/>
          <w:lang w:val="en-US"/>
        </w:rPr>
        <w:t>61</w:t>
      </w:r>
      <w:r w:rsidRPr="001F1399">
        <w:rPr>
          <w:rFonts w:ascii="Book Antiqua" w:hAnsi="Book Antiqua"/>
          <w:sz w:val="24"/>
          <w:szCs w:val="24"/>
          <w:lang w:val="en-US"/>
        </w:rPr>
        <w:t>: 5R-10R [PMID: 17413851 DOI: 10.1203/pdr.0b013e318045bedb]</w:t>
      </w:r>
    </w:p>
    <w:p w14:paraId="459216B3" w14:textId="539A923B"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70</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Lane RH</w:t>
      </w:r>
      <w:r w:rsidR="00C076F3" w:rsidRPr="001F1399">
        <w:rPr>
          <w:rFonts w:ascii="Book Antiqua" w:hAnsi="Book Antiqua"/>
          <w:sz w:val="24"/>
          <w:szCs w:val="24"/>
          <w:lang w:val="en-US"/>
        </w:rPr>
        <w:t xml:space="preserve">. Fetal programming, epigenetics, and adult onset disease. </w:t>
      </w:r>
      <w:r w:rsidR="00C076F3" w:rsidRPr="001F1399">
        <w:rPr>
          <w:rFonts w:ascii="Book Antiqua" w:hAnsi="Book Antiqua"/>
          <w:i/>
          <w:sz w:val="24"/>
          <w:szCs w:val="24"/>
          <w:lang w:val="en-US"/>
        </w:rPr>
        <w:t>Clin Perinatol</w:t>
      </w:r>
      <w:r w:rsidR="00C076F3" w:rsidRPr="001F1399">
        <w:rPr>
          <w:rFonts w:ascii="Book Antiqua" w:hAnsi="Book Antiqua"/>
          <w:sz w:val="24"/>
          <w:szCs w:val="24"/>
          <w:lang w:val="en-US"/>
        </w:rPr>
        <w:t xml:space="preserve"> 2014; </w:t>
      </w:r>
      <w:r w:rsidR="00C076F3" w:rsidRPr="001F1399">
        <w:rPr>
          <w:rFonts w:ascii="Book Antiqua" w:hAnsi="Book Antiqua"/>
          <w:b/>
          <w:sz w:val="24"/>
          <w:szCs w:val="24"/>
          <w:lang w:val="en-US"/>
        </w:rPr>
        <w:t>41</w:t>
      </w:r>
      <w:r w:rsidR="00C076F3" w:rsidRPr="001F1399">
        <w:rPr>
          <w:rFonts w:ascii="Book Antiqua" w:hAnsi="Book Antiqua"/>
          <w:sz w:val="24"/>
          <w:szCs w:val="24"/>
          <w:lang w:val="en-US"/>
        </w:rPr>
        <w:t>: 815-831 [PMID: 25459776 DOI: 10.1016/j.clp.2014.08.006]</w:t>
      </w:r>
    </w:p>
    <w:p w14:paraId="107DA89F" w14:textId="5B39F488"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71</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Jirtle RL</w:t>
      </w:r>
      <w:r w:rsidR="00C076F3" w:rsidRPr="001F1399">
        <w:rPr>
          <w:rFonts w:ascii="Book Antiqua" w:hAnsi="Book Antiqua"/>
          <w:sz w:val="24"/>
          <w:szCs w:val="24"/>
          <w:lang w:val="en-US"/>
        </w:rPr>
        <w:t xml:space="preserve">, Skinner MK. Environmental epigenomics and disease susceptibility. </w:t>
      </w:r>
      <w:r w:rsidR="00C076F3" w:rsidRPr="001F1399">
        <w:rPr>
          <w:rFonts w:ascii="Book Antiqua" w:hAnsi="Book Antiqua"/>
          <w:i/>
          <w:sz w:val="24"/>
          <w:szCs w:val="24"/>
          <w:lang w:val="en-US"/>
        </w:rPr>
        <w:t>Nat Rev Genet</w:t>
      </w:r>
      <w:r w:rsidR="00C076F3" w:rsidRPr="001F1399">
        <w:rPr>
          <w:rFonts w:ascii="Book Antiqua" w:hAnsi="Book Antiqua"/>
          <w:sz w:val="24"/>
          <w:szCs w:val="24"/>
          <w:lang w:val="en-US"/>
        </w:rPr>
        <w:t xml:space="preserve"> 2007; </w:t>
      </w:r>
      <w:r w:rsidR="00C076F3" w:rsidRPr="001F1399">
        <w:rPr>
          <w:rFonts w:ascii="Book Antiqua" w:hAnsi="Book Antiqua"/>
          <w:b/>
          <w:sz w:val="24"/>
          <w:szCs w:val="24"/>
          <w:lang w:val="en-US"/>
        </w:rPr>
        <w:t>8</w:t>
      </w:r>
      <w:r w:rsidR="00C076F3" w:rsidRPr="001F1399">
        <w:rPr>
          <w:rFonts w:ascii="Book Antiqua" w:hAnsi="Book Antiqua"/>
          <w:sz w:val="24"/>
          <w:szCs w:val="24"/>
          <w:lang w:val="en-US"/>
        </w:rPr>
        <w:t>: 253-262 [PMID: 17363974 DOI: 10.1038/nrg2045]</w:t>
      </w:r>
    </w:p>
    <w:p w14:paraId="3FBA9C33" w14:textId="5AC8C2F9"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72</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Papadopoulou E</w:t>
      </w:r>
      <w:r w:rsidR="00C076F3" w:rsidRPr="001F1399">
        <w:rPr>
          <w:rFonts w:ascii="Book Antiqua" w:hAnsi="Book Antiqua"/>
          <w:sz w:val="24"/>
          <w:szCs w:val="24"/>
          <w:lang w:val="en-US"/>
        </w:rPr>
        <w:t xml:space="preserve">, Haug LS, Sakhi AK, Andrusaityte S, Basagaña X, Brantsaeter AL, Casas M, Fernández-Barrés S, Grazuleviciene R, Knutsen HK, Maitre L, Meltzer HM, McEachan RRC, Roumeliotaki T, Slama R, Vafeiadi M, Wright J, Vrijheid M, Thomsen C, Chatzi L. Diet as a Source of Exposure to Environmental Contaminants for Pregnant Women and Children from Six European Countries. </w:t>
      </w:r>
      <w:r w:rsidR="00C076F3" w:rsidRPr="001F1399">
        <w:rPr>
          <w:rFonts w:ascii="Book Antiqua" w:hAnsi="Book Antiqua"/>
          <w:i/>
          <w:sz w:val="24"/>
          <w:szCs w:val="24"/>
          <w:lang w:val="en-US"/>
        </w:rPr>
        <w:t>Environ Health Perspect</w:t>
      </w:r>
      <w:r w:rsidR="00C076F3" w:rsidRPr="001F1399">
        <w:rPr>
          <w:rFonts w:ascii="Book Antiqua" w:hAnsi="Book Antiqua"/>
          <w:sz w:val="24"/>
          <w:szCs w:val="24"/>
          <w:lang w:val="en-US"/>
        </w:rPr>
        <w:t xml:space="preserve"> 2019; </w:t>
      </w:r>
      <w:r w:rsidR="00C076F3" w:rsidRPr="001F1399">
        <w:rPr>
          <w:rFonts w:ascii="Book Antiqua" w:hAnsi="Book Antiqua"/>
          <w:b/>
          <w:sz w:val="24"/>
          <w:szCs w:val="24"/>
          <w:lang w:val="en-US"/>
        </w:rPr>
        <w:t>127</w:t>
      </w:r>
      <w:r w:rsidR="00C076F3" w:rsidRPr="001F1399">
        <w:rPr>
          <w:rFonts w:ascii="Book Antiqua" w:hAnsi="Book Antiqua"/>
          <w:sz w:val="24"/>
          <w:szCs w:val="24"/>
          <w:lang w:val="en-US"/>
        </w:rPr>
        <w:t>: 107005 [PMID: 31617753 DOI: 10.1289/EHP5324]</w:t>
      </w:r>
    </w:p>
    <w:p w14:paraId="75073275" w14:textId="2A7C13E3"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73</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Schecter A</w:t>
      </w:r>
      <w:r w:rsidR="00C076F3" w:rsidRPr="001F1399">
        <w:rPr>
          <w:rFonts w:ascii="Book Antiqua" w:hAnsi="Book Antiqua"/>
          <w:sz w:val="24"/>
          <w:szCs w:val="24"/>
          <w:lang w:val="en-US"/>
        </w:rPr>
        <w:t xml:space="preserve">, Colacino J, Haffner D, Patel K, Opel M, Päpke O, Birnbaum L. Perfluorinated compounds, polychlorinated biphenyls, and organochlorine pesticide contamination in composite food samples from Dallas, Texas, USA. </w:t>
      </w:r>
      <w:r w:rsidR="00C076F3" w:rsidRPr="001F1399">
        <w:rPr>
          <w:rFonts w:ascii="Book Antiqua" w:hAnsi="Book Antiqua"/>
          <w:i/>
          <w:sz w:val="24"/>
          <w:szCs w:val="24"/>
          <w:lang w:val="en-US"/>
        </w:rPr>
        <w:t>Environ Health Perspect</w:t>
      </w:r>
      <w:r w:rsidR="00C076F3" w:rsidRPr="001F1399">
        <w:rPr>
          <w:rFonts w:ascii="Book Antiqua" w:hAnsi="Book Antiqua"/>
          <w:sz w:val="24"/>
          <w:szCs w:val="24"/>
          <w:lang w:val="en-US"/>
        </w:rPr>
        <w:t xml:space="preserve"> 2010; </w:t>
      </w:r>
      <w:r w:rsidR="00C076F3" w:rsidRPr="001F1399">
        <w:rPr>
          <w:rFonts w:ascii="Book Antiqua" w:hAnsi="Book Antiqua"/>
          <w:b/>
          <w:sz w:val="24"/>
          <w:szCs w:val="24"/>
          <w:lang w:val="en-US"/>
        </w:rPr>
        <w:t>118</w:t>
      </w:r>
      <w:r w:rsidR="00C076F3" w:rsidRPr="001F1399">
        <w:rPr>
          <w:rFonts w:ascii="Book Antiqua" w:hAnsi="Book Antiqua"/>
          <w:sz w:val="24"/>
          <w:szCs w:val="24"/>
          <w:lang w:val="en-US"/>
        </w:rPr>
        <w:t>: 796-802 [PMID: 20146964 DOI: 10.1289/ehp.0901347]</w:t>
      </w:r>
    </w:p>
    <w:p w14:paraId="30279BDB" w14:textId="115A2076"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7</w:t>
      </w:r>
      <w:r w:rsidR="00D253C3" w:rsidRPr="001F1399">
        <w:rPr>
          <w:rFonts w:ascii="Book Antiqua" w:hAnsi="Book Antiqua"/>
          <w:sz w:val="24"/>
          <w:szCs w:val="24"/>
          <w:lang w:val="en-US"/>
        </w:rPr>
        <w:t>4</w:t>
      </w:r>
      <w:r w:rsidRPr="001F1399">
        <w:rPr>
          <w:rFonts w:ascii="Book Antiqua" w:hAnsi="Book Antiqua"/>
          <w:sz w:val="24"/>
          <w:szCs w:val="24"/>
          <w:lang w:val="en-US"/>
        </w:rPr>
        <w:t xml:space="preserve"> </w:t>
      </w:r>
      <w:r w:rsidRPr="001F1399">
        <w:rPr>
          <w:rFonts w:ascii="Book Antiqua" w:hAnsi="Book Antiqua"/>
          <w:b/>
          <w:sz w:val="24"/>
          <w:szCs w:val="24"/>
          <w:lang w:val="en-US"/>
        </w:rPr>
        <w:t>Valeri L</w:t>
      </w:r>
      <w:r w:rsidRPr="001F1399">
        <w:rPr>
          <w:rFonts w:ascii="Book Antiqua" w:hAnsi="Book Antiqua"/>
          <w:sz w:val="24"/>
          <w:szCs w:val="24"/>
          <w:lang w:val="en-US"/>
        </w:rPr>
        <w:t xml:space="preserve">, Mazumdar MM, Bobb JF, Claus Henn B, Rodrigues E, Sharif OIA, Kile ML, Quamruzzaman Q, Afroz S, Golam M, Amarasiriwardena C, Bellinger DC, Christiani DC, Coull BA, Wright RO. The Joint Effect of Prenatal Exposure to Metal Mixtures on Neurodevelopmental Outcomes at 20-40 Months of Age: Evidence from Rural Bangladesh. </w:t>
      </w:r>
      <w:r w:rsidRPr="001F1399">
        <w:rPr>
          <w:rFonts w:ascii="Book Antiqua" w:hAnsi="Book Antiqua"/>
          <w:i/>
          <w:sz w:val="24"/>
          <w:szCs w:val="24"/>
          <w:lang w:val="en-US"/>
        </w:rPr>
        <w:t>Environ Health Perspect</w:t>
      </w:r>
      <w:r w:rsidRPr="001F1399">
        <w:rPr>
          <w:rFonts w:ascii="Book Antiqua" w:hAnsi="Book Antiqua"/>
          <w:sz w:val="24"/>
          <w:szCs w:val="24"/>
          <w:lang w:val="en-US"/>
        </w:rPr>
        <w:t xml:space="preserve"> 2017; </w:t>
      </w:r>
      <w:r w:rsidRPr="001F1399">
        <w:rPr>
          <w:rFonts w:ascii="Book Antiqua" w:hAnsi="Book Antiqua"/>
          <w:b/>
          <w:sz w:val="24"/>
          <w:szCs w:val="24"/>
          <w:lang w:val="en-US"/>
        </w:rPr>
        <w:t>125</w:t>
      </w:r>
      <w:r w:rsidRPr="001F1399">
        <w:rPr>
          <w:rFonts w:ascii="Book Antiqua" w:hAnsi="Book Antiqua"/>
          <w:sz w:val="24"/>
          <w:szCs w:val="24"/>
          <w:lang w:val="en-US"/>
        </w:rPr>
        <w:t>: 067015 [PMID: 28669934 DOI: 10.1289/EHP614]</w:t>
      </w:r>
    </w:p>
    <w:p w14:paraId="7A92E304" w14:textId="020430C8"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75</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Liew WP</w:t>
      </w:r>
      <w:r w:rsidR="00C076F3" w:rsidRPr="001F1399">
        <w:rPr>
          <w:rFonts w:ascii="Book Antiqua" w:hAnsi="Book Antiqua"/>
          <w:sz w:val="24"/>
          <w:szCs w:val="24"/>
          <w:lang w:val="en-US"/>
        </w:rPr>
        <w:t xml:space="preserve">, Mohd-Redzwan S. Mycotoxin: Its Impact on Gut Health and Microbiota. </w:t>
      </w:r>
      <w:r w:rsidR="00C076F3" w:rsidRPr="001F1399">
        <w:rPr>
          <w:rFonts w:ascii="Book Antiqua" w:hAnsi="Book Antiqua"/>
          <w:i/>
          <w:sz w:val="24"/>
          <w:szCs w:val="24"/>
          <w:lang w:val="en-US"/>
        </w:rPr>
        <w:t>Front Cell Infect Microbiol</w:t>
      </w:r>
      <w:r w:rsidR="00C076F3" w:rsidRPr="001F1399">
        <w:rPr>
          <w:rFonts w:ascii="Book Antiqua" w:hAnsi="Book Antiqua"/>
          <w:sz w:val="24"/>
          <w:szCs w:val="24"/>
          <w:lang w:val="en-US"/>
        </w:rPr>
        <w:t xml:space="preserve"> 2018; </w:t>
      </w:r>
      <w:r w:rsidR="00C076F3" w:rsidRPr="001F1399">
        <w:rPr>
          <w:rFonts w:ascii="Book Antiqua" w:hAnsi="Book Antiqua"/>
          <w:b/>
          <w:sz w:val="24"/>
          <w:szCs w:val="24"/>
          <w:lang w:val="en-US"/>
        </w:rPr>
        <w:t>8</w:t>
      </w:r>
      <w:r w:rsidR="00C076F3" w:rsidRPr="001F1399">
        <w:rPr>
          <w:rFonts w:ascii="Book Antiqua" w:hAnsi="Book Antiqua"/>
          <w:sz w:val="24"/>
          <w:szCs w:val="24"/>
          <w:lang w:val="en-US"/>
        </w:rPr>
        <w:t>: 60 [PMID: 29535978 DOI: 10.3389/fcimb.2018.00060]</w:t>
      </w:r>
    </w:p>
    <w:p w14:paraId="701C1513" w14:textId="4BA0585A" w:rsidR="00C076F3" w:rsidRPr="001F1399" w:rsidRDefault="00D253C3" w:rsidP="002974FA">
      <w:pPr>
        <w:adjustRightInd w:val="0"/>
        <w:snapToGrid w:val="0"/>
        <w:spacing w:after="0" w:line="360" w:lineRule="auto"/>
        <w:jc w:val="both"/>
        <w:rPr>
          <w:rFonts w:ascii="Book Antiqua" w:hAnsi="Book Antiqua"/>
          <w:sz w:val="24"/>
          <w:szCs w:val="24"/>
        </w:rPr>
      </w:pPr>
      <w:r w:rsidRPr="001F1399">
        <w:rPr>
          <w:rFonts w:ascii="Book Antiqua" w:hAnsi="Book Antiqua"/>
          <w:sz w:val="24"/>
          <w:szCs w:val="24"/>
          <w:lang w:val="en-US"/>
        </w:rPr>
        <w:t>76</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Ravichandran G</w:t>
      </w:r>
      <w:r w:rsidR="00C076F3" w:rsidRPr="001F1399">
        <w:rPr>
          <w:rFonts w:ascii="Book Antiqua" w:hAnsi="Book Antiqua"/>
          <w:sz w:val="24"/>
          <w:szCs w:val="24"/>
          <w:lang w:val="en-US"/>
        </w:rPr>
        <w:t xml:space="preserve">, Lakshmanan DK, Raju K, Elangovan A, Nambirajan G, Devanesan AA, Thilagar S. Food advanced glycation end products as potential endocrine </w:t>
      </w:r>
      <w:r w:rsidR="00C076F3" w:rsidRPr="001F1399">
        <w:rPr>
          <w:rFonts w:ascii="Book Antiqua" w:hAnsi="Book Antiqua"/>
          <w:sz w:val="24"/>
          <w:szCs w:val="24"/>
          <w:lang w:val="en-US"/>
        </w:rPr>
        <w:lastRenderedPageBreak/>
        <w:t xml:space="preserve">disruptors: An emerging threat to contemporary and future generation. </w:t>
      </w:r>
      <w:r w:rsidR="00C076F3" w:rsidRPr="001F1399">
        <w:rPr>
          <w:rFonts w:ascii="Book Antiqua" w:hAnsi="Book Antiqua"/>
          <w:i/>
          <w:sz w:val="24"/>
          <w:szCs w:val="24"/>
        </w:rPr>
        <w:t>Environ Int</w:t>
      </w:r>
      <w:r w:rsidR="00C076F3" w:rsidRPr="001F1399">
        <w:rPr>
          <w:rFonts w:ascii="Book Antiqua" w:hAnsi="Book Antiqua"/>
          <w:sz w:val="24"/>
          <w:szCs w:val="24"/>
        </w:rPr>
        <w:t xml:space="preserve"> 2019; </w:t>
      </w:r>
      <w:r w:rsidR="00C076F3" w:rsidRPr="001F1399">
        <w:rPr>
          <w:rFonts w:ascii="Book Antiqua" w:hAnsi="Book Antiqua"/>
          <w:b/>
          <w:sz w:val="24"/>
          <w:szCs w:val="24"/>
        </w:rPr>
        <w:t>123</w:t>
      </w:r>
      <w:r w:rsidR="00C076F3" w:rsidRPr="001F1399">
        <w:rPr>
          <w:rFonts w:ascii="Book Antiqua" w:hAnsi="Book Antiqua"/>
          <w:sz w:val="24"/>
          <w:szCs w:val="24"/>
        </w:rPr>
        <w:t>: 486-500 [PMID: 30622074 DOI: 10.1016/j.envint.2018.12.032]</w:t>
      </w:r>
    </w:p>
    <w:p w14:paraId="0061673A" w14:textId="49560CC8"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rPr>
        <w:t>77</w:t>
      </w:r>
      <w:r w:rsidR="00C076F3" w:rsidRPr="001F1399">
        <w:rPr>
          <w:rFonts w:ascii="Book Antiqua" w:hAnsi="Book Antiqua"/>
          <w:sz w:val="24"/>
          <w:szCs w:val="24"/>
        </w:rPr>
        <w:t xml:space="preserve"> </w:t>
      </w:r>
      <w:r w:rsidR="00C076F3" w:rsidRPr="001F1399">
        <w:rPr>
          <w:rFonts w:ascii="Book Antiqua" w:hAnsi="Book Antiqua"/>
          <w:b/>
          <w:sz w:val="24"/>
          <w:szCs w:val="24"/>
        </w:rPr>
        <w:t>Jašarević E</w:t>
      </w:r>
      <w:r w:rsidR="00C076F3" w:rsidRPr="001F1399">
        <w:rPr>
          <w:rFonts w:ascii="Book Antiqua" w:hAnsi="Book Antiqua"/>
          <w:sz w:val="24"/>
          <w:szCs w:val="24"/>
        </w:rPr>
        <w:t xml:space="preserve">, Rodgers AB, Bale TL. </w:t>
      </w:r>
      <w:r w:rsidR="00C076F3" w:rsidRPr="001F1399">
        <w:rPr>
          <w:rFonts w:ascii="Book Antiqua" w:hAnsi="Book Antiqua"/>
          <w:sz w:val="24"/>
          <w:szCs w:val="24"/>
          <w:lang w:val="en-US"/>
        </w:rPr>
        <w:t xml:space="preserve">A novel role for maternal stress and microbial transmission in early life programming and neurodevelopment. </w:t>
      </w:r>
      <w:r w:rsidR="00C076F3" w:rsidRPr="001F1399">
        <w:rPr>
          <w:rFonts w:ascii="Book Antiqua" w:hAnsi="Book Antiqua"/>
          <w:i/>
          <w:sz w:val="24"/>
          <w:szCs w:val="24"/>
          <w:lang w:val="en-US"/>
        </w:rPr>
        <w:t>Neurobiol Stress</w:t>
      </w:r>
      <w:r w:rsidR="00C076F3" w:rsidRPr="001F1399">
        <w:rPr>
          <w:rFonts w:ascii="Book Antiqua" w:hAnsi="Book Antiqua"/>
          <w:sz w:val="24"/>
          <w:szCs w:val="24"/>
          <w:lang w:val="en-US"/>
        </w:rPr>
        <w:t xml:space="preserve"> 2015; </w:t>
      </w:r>
      <w:r w:rsidR="00C076F3" w:rsidRPr="001F1399">
        <w:rPr>
          <w:rFonts w:ascii="Book Antiqua" w:hAnsi="Book Antiqua"/>
          <w:b/>
          <w:sz w:val="24"/>
          <w:szCs w:val="24"/>
          <w:lang w:val="en-US"/>
        </w:rPr>
        <w:t>1</w:t>
      </w:r>
      <w:r w:rsidR="00C076F3" w:rsidRPr="001F1399">
        <w:rPr>
          <w:rFonts w:ascii="Book Antiqua" w:hAnsi="Book Antiqua"/>
          <w:sz w:val="24"/>
          <w:szCs w:val="24"/>
          <w:lang w:val="en-US"/>
        </w:rPr>
        <w:t>: 81-88 [PMID: 25530984 DOI: 10.1016/j.ynstr.2014.10.005]</w:t>
      </w:r>
    </w:p>
    <w:p w14:paraId="33C1D026" w14:textId="656AC29E"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7</w:t>
      </w:r>
      <w:r w:rsidR="00D253C3" w:rsidRPr="001F1399">
        <w:rPr>
          <w:rFonts w:ascii="Book Antiqua" w:hAnsi="Book Antiqua"/>
          <w:sz w:val="24"/>
          <w:szCs w:val="24"/>
          <w:lang w:val="en-US"/>
        </w:rPr>
        <w:t>8</w:t>
      </w:r>
      <w:r w:rsidRPr="001F1399">
        <w:rPr>
          <w:rFonts w:ascii="Book Antiqua" w:hAnsi="Book Antiqua"/>
          <w:sz w:val="24"/>
          <w:szCs w:val="24"/>
          <w:lang w:val="en-US"/>
        </w:rPr>
        <w:t xml:space="preserve"> </w:t>
      </w:r>
      <w:r w:rsidRPr="001F1399">
        <w:rPr>
          <w:rFonts w:ascii="Book Antiqua" w:hAnsi="Book Antiqua"/>
          <w:b/>
          <w:sz w:val="24"/>
          <w:szCs w:val="24"/>
          <w:lang w:val="en-US"/>
        </w:rPr>
        <w:t>Zerbo O</w:t>
      </w:r>
      <w:r w:rsidRPr="001F1399">
        <w:rPr>
          <w:rFonts w:ascii="Book Antiqua" w:hAnsi="Book Antiqua"/>
          <w:sz w:val="24"/>
          <w:szCs w:val="24"/>
          <w:lang w:val="en-US"/>
        </w:rPr>
        <w:t xml:space="preserve">, Qian Y, Yoshida C, Grether JK, Van de Water J, Croen LA. Maternal Infection During Pregnancy and Autism Spectrum Disorders. </w:t>
      </w:r>
      <w:r w:rsidRPr="001F1399">
        <w:rPr>
          <w:rFonts w:ascii="Book Antiqua" w:hAnsi="Book Antiqua"/>
          <w:i/>
          <w:sz w:val="24"/>
          <w:szCs w:val="24"/>
          <w:lang w:val="en-US"/>
        </w:rPr>
        <w:t>J Autism Dev Disord</w:t>
      </w:r>
      <w:r w:rsidRPr="001F1399">
        <w:rPr>
          <w:rFonts w:ascii="Book Antiqua" w:hAnsi="Book Antiqua"/>
          <w:sz w:val="24"/>
          <w:szCs w:val="24"/>
          <w:lang w:val="en-US"/>
        </w:rPr>
        <w:t xml:space="preserve"> 2015; </w:t>
      </w:r>
      <w:r w:rsidRPr="001F1399">
        <w:rPr>
          <w:rFonts w:ascii="Book Antiqua" w:hAnsi="Book Antiqua"/>
          <w:b/>
          <w:sz w:val="24"/>
          <w:szCs w:val="24"/>
          <w:lang w:val="en-US"/>
        </w:rPr>
        <w:t>45</w:t>
      </w:r>
      <w:r w:rsidRPr="001F1399">
        <w:rPr>
          <w:rFonts w:ascii="Book Antiqua" w:hAnsi="Book Antiqua"/>
          <w:sz w:val="24"/>
          <w:szCs w:val="24"/>
          <w:lang w:val="en-US"/>
        </w:rPr>
        <w:t>: 4015-4025 [PMID: 24366406 DOI: 10.1007/s10803-013-2016-3]</w:t>
      </w:r>
    </w:p>
    <w:p w14:paraId="2D5AFE80" w14:textId="6FCDED09"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7</w:t>
      </w:r>
      <w:r w:rsidR="00D253C3" w:rsidRPr="001F1399">
        <w:rPr>
          <w:rFonts w:ascii="Book Antiqua" w:hAnsi="Book Antiqua"/>
          <w:sz w:val="24"/>
          <w:szCs w:val="24"/>
          <w:lang w:val="en-US"/>
        </w:rPr>
        <w:t>9</w:t>
      </w:r>
      <w:r w:rsidRPr="001F1399">
        <w:rPr>
          <w:rFonts w:ascii="Book Antiqua" w:hAnsi="Book Antiqua"/>
          <w:sz w:val="24"/>
          <w:szCs w:val="24"/>
          <w:lang w:val="en-US"/>
        </w:rPr>
        <w:t xml:space="preserve"> </w:t>
      </w:r>
      <w:r w:rsidRPr="001F1399">
        <w:rPr>
          <w:rFonts w:ascii="Book Antiqua" w:hAnsi="Book Antiqua"/>
          <w:b/>
          <w:sz w:val="24"/>
          <w:szCs w:val="24"/>
          <w:lang w:val="en-US"/>
        </w:rPr>
        <w:t>Tanaka M</w:t>
      </w:r>
      <w:r w:rsidRPr="001F1399">
        <w:rPr>
          <w:rFonts w:ascii="Book Antiqua" w:hAnsi="Book Antiqua"/>
          <w:sz w:val="24"/>
          <w:szCs w:val="24"/>
          <w:lang w:val="en-US"/>
        </w:rPr>
        <w:t xml:space="preserve">, Nakayama J. Development of the gut microbiota in infancy and its impact on health in later life. </w:t>
      </w:r>
      <w:r w:rsidRPr="001F1399">
        <w:rPr>
          <w:rFonts w:ascii="Book Antiqua" w:hAnsi="Book Antiqua"/>
          <w:i/>
          <w:sz w:val="24"/>
          <w:szCs w:val="24"/>
          <w:lang w:val="en-US"/>
        </w:rPr>
        <w:t>Allergol Int</w:t>
      </w:r>
      <w:r w:rsidRPr="001F1399">
        <w:rPr>
          <w:rFonts w:ascii="Book Antiqua" w:hAnsi="Book Antiqua"/>
          <w:sz w:val="24"/>
          <w:szCs w:val="24"/>
          <w:lang w:val="en-US"/>
        </w:rPr>
        <w:t xml:space="preserve"> 2017; </w:t>
      </w:r>
      <w:r w:rsidRPr="001F1399">
        <w:rPr>
          <w:rFonts w:ascii="Book Antiqua" w:hAnsi="Book Antiqua"/>
          <w:b/>
          <w:sz w:val="24"/>
          <w:szCs w:val="24"/>
          <w:lang w:val="en-US"/>
        </w:rPr>
        <w:t>66</w:t>
      </w:r>
      <w:r w:rsidRPr="001F1399">
        <w:rPr>
          <w:rFonts w:ascii="Book Antiqua" w:hAnsi="Book Antiqua"/>
          <w:sz w:val="24"/>
          <w:szCs w:val="24"/>
          <w:lang w:val="en-US"/>
        </w:rPr>
        <w:t>: 515-522 [PMID: 28826938 DOI: 10.1016/j.alit.2017.07.010]</w:t>
      </w:r>
    </w:p>
    <w:p w14:paraId="16E23B4F" w14:textId="53E5998B"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80</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Keski-Nisula L</w:t>
      </w:r>
      <w:r w:rsidR="00C076F3" w:rsidRPr="001F1399">
        <w:rPr>
          <w:rFonts w:ascii="Book Antiqua" w:hAnsi="Book Antiqua"/>
          <w:sz w:val="24"/>
          <w:szCs w:val="24"/>
          <w:lang w:val="en-US"/>
        </w:rPr>
        <w:t xml:space="preserve">, Kyynäräinen HR, Kärkkäinen U, Karhukorpi J, Heinonen S, Pekkanen J. Maternal intrapartum antibiotics and decreased vertical transmission of Lactobacillus to neonates during birth. </w:t>
      </w:r>
      <w:r w:rsidR="00C076F3" w:rsidRPr="001F1399">
        <w:rPr>
          <w:rFonts w:ascii="Book Antiqua" w:hAnsi="Book Antiqua"/>
          <w:i/>
          <w:sz w:val="24"/>
          <w:szCs w:val="24"/>
          <w:lang w:val="en-US"/>
        </w:rPr>
        <w:t>Acta Paediatr</w:t>
      </w:r>
      <w:r w:rsidR="00C076F3" w:rsidRPr="001F1399">
        <w:rPr>
          <w:rFonts w:ascii="Book Antiqua" w:hAnsi="Book Antiqua"/>
          <w:sz w:val="24"/>
          <w:szCs w:val="24"/>
          <w:lang w:val="en-US"/>
        </w:rPr>
        <w:t xml:space="preserve"> 2013; </w:t>
      </w:r>
      <w:r w:rsidR="00C076F3" w:rsidRPr="001F1399">
        <w:rPr>
          <w:rFonts w:ascii="Book Antiqua" w:hAnsi="Book Antiqua"/>
          <w:b/>
          <w:sz w:val="24"/>
          <w:szCs w:val="24"/>
          <w:lang w:val="en-US"/>
        </w:rPr>
        <w:t>102</w:t>
      </w:r>
      <w:r w:rsidR="00C076F3" w:rsidRPr="001F1399">
        <w:rPr>
          <w:rFonts w:ascii="Book Antiqua" w:hAnsi="Book Antiqua"/>
          <w:sz w:val="24"/>
          <w:szCs w:val="24"/>
          <w:lang w:val="en-US"/>
        </w:rPr>
        <w:t>: 480-485 [PMID: 23398392 DOI: 10.1111/apa.12186]</w:t>
      </w:r>
    </w:p>
    <w:p w14:paraId="000A1221" w14:textId="00BFB0C3"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81</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Fallani M</w:t>
      </w:r>
      <w:r w:rsidR="00C076F3" w:rsidRPr="001F1399">
        <w:rPr>
          <w:rFonts w:ascii="Book Antiqua" w:hAnsi="Book Antiqua"/>
          <w:sz w:val="24"/>
          <w:szCs w:val="24"/>
          <w:lang w:val="en-US"/>
        </w:rPr>
        <w:t xml:space="preserve">, Young D, Scott J, Norin E, Amarri S, Adam R, Aguilera M, Khanna S, Gil A, Edwards CA, Doré J; Other Members of the INFABIO Team. Intestinal microbiota of 6-week-old infants across Europe: geographic influence beyond delivery mode, breast-feeding, and antibiotics. </w:t>
      </w:r>
      <w:r w:rsidR="00C076F3" w:rsidRPr="001F1399">
        <w:rPr>
          <w:rFonts w:ascii="Book Antiqua" w:hAnsi="Book Antiqua"/>
          <w:i/>
          <w:sz w:val="24"/>
          <w:szCs w:val="24"/>
          <w:lang w:val="en-US"/>
        </w:rPr>
        <w:t>J Pediatr Gastroenterol Nutr</w:t>
      </w:r>
      <w:r w:rsidR="00C076F3" w:rsidRPr="001F1399">
        <w:rPr>
          <w:rFonts w:ascii="Book Antiqua" w:hAnsi="Book Antiqua"/>
          <w:sz w:val="24"/>
          <w:szCs w:val="24"/>
          <w:lang w:val="en-US"/>
        </w:rPr>
        <w:t xml:space="preserve"> 2010; </w:t>
      </w:r>
      <w:r w:rsidR="00C076F3" w:rsidRPr="001F1399">
        <w:rPr>
          <w:rFonts w:ascii="Book Antiqua" w:hAnsi="Book Antiqua"/>
          <w:b/>
          <w:sz w:val="24"/>
          <w:szCs w:val="24"/>
          <w:lang w:val="en-US"/>
        </w:rPr>
        <w:t>51</w:t>
      </w:r>
      <w:r w:rsidR="00C076F3" w:rsidRPr="001F1399">
        <w:rPr>
          <w:rFonts w:ascii="Book Antiqua" w:hAnsi="Book Antiqua"/>
          <w:sz w:val="24"/>
          <w:szCs w:val="24"/>
          <w:lang w:val="en-US"/>
        </w:rPr>
        <w:t>: 77-84 [PMID: 20479681 DOI: 10.1097/MPG.0b013e3181d1b11e]</w:t>
      </w:r>
    </w:p>
    <w:p w14:paraId="1D6639F5" w14:textId="1A8586DD"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82</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Cox LM</w:t>
      </w:r>
      <w:r w:rsidR="00C076F3" w:rsidRPr="001F1399">
        <w:rPr>
          <w:rFonts w:ascii="Book Antiqua" w:hAnsi="Book Antiqua"/>
          <w:sz w:val="24"/>
          <w:szCs w:val="24"/>
          <w:lang w:val="en-US"/>
        </w:rPr>
        <w:t xml:space="preserve">, Blaser MJ. Pathways in microbe-induced obesity. </w:t>
      </w:r>
      <w:r w:rsidR="00C076F3" w:rsidRPr="001F1399">
        <w:rPr>
          <w:rFonts w:ascii="Book Antiqua" w:hAnsi="Book Antiqua"/>
          <w:i/>
          <w:sz w:val="24"/>
          <w:szCs w:val="24"/>
          <w:lang w:val="en-US"/>
        </w:rPr>
        <w:t>Cell Metab</w:t>
      </w:r>
      <w:r w:rsidR="00C076F3" w:rsidRPr="001F1399">
        <w:rPr>
          <w:rFonts w:ascii="Book Antiqua" w:hAnsi="Book Antiqua"/>
          <w:sz w:val="24"/>
          <w:szCs w:val="24"/>
          <w:lang w:val="en-US"/>
        </w:rPr>
        <w:t xml:space="preserve"> 2013; </w:t>
      </w:r>
      <w:r w:rsidR="00C076F3" w:rsidRPr="001F1399">
        <w:rPr>
          <w:rFonts w:ascii="Book Antiqua" w:hAnsi="Book Antiqua"/>
          <w:b/>
          <w:sz w:val="24"/>
          <w:szCs w:val="24"/>
          <w:lang w:val="en-US"/>
        </w:rPr>
        <w:t>17</w:t>
      </w:r>
      <w:r w:rsidR="00C076F3" w:rsidRPr="001F1399">
        <w:rPr>
          <w:rFonts w:ascii="Book Antiqua" w:hAnsi="Book Antiqua"/>
          <w:sz w:val="24"/>
          <w:szCs w:val="24"/>
          <w:lang w:val="en-US"/>
        </w:rPr>
        <w:t>: 883-894 [PMID: 23747247 DOI: 10.1016/j.cmet.2013.05.004]</w:t>
      </w:r>
    </w:p>
    <w:p w14:paraId="75CA27CC" w14:textId="2C5C2230"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83</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Cox LM</w:t>
      </w:r>
      <w:r w:rsidR="00C076F3" w:rsidRPr="001F1399">
        <w:rPr>
          <w:rFonts w:ascii="Book Antiqua" w:hAnsi="Book Antiqua"/>
          <w:sz w:val="24"/>
          <w:szCs w:val="24"/>
          <w:lang w:val="en-US"/>
        </w:rPr>
        <w:t xml:space="preserve">, Yamanishi S, Sohn J, Alekseyenko AV, Leung JM, Cho I, Kim SG, Li H, Gao Z, Mahana D, Zárate Rodriguez JG, Rogers AB, Robine N, Loke P, Blaser MJ. Altering the intestinal microbiota during a critical developmental window has lasting metabolic consequences. </w:t>
      </w:r>
      <w:r w:rsidR="00C076F3" w:rsidRPr="001F1399">
        <w:rPr>
          <w:rFonts w:ascii="Book Antiqua" w:hAnsi="Book Antiqua"/>
          <w:i/>
          <w:sz w:val="24"/>
          <w:szCs w:val="24"/>
          <w:lang w:val="en-US"/>
        </w:rPr>
        <w:t>Cell</w:t>
      </w:r>
      <w:r w:rsidR="00C076F3" w:rsidRPr="001F1399">
        <w:rPr>
          <w:rFonts w:ascii="Book Antiqua" w:hAnsi="Book Antiqua"/>
          <w:sz w:val="24"/>
          <w:szCs w:val="24"/>
          <w:lang w:val="en-US"/>
        </w:rPr>
        <w:t xml:space="preserve"> 2014; </w:t>
      </w:r>
      <w:r w:rsidR="00C076F3" w:rsidRPr="001F1399">
        <w:rPr>
          <w:rFonts w:ascii="Book Antiqua" w:hAnsi="Book Antiqua"/>
          <w:b/>
          <w:sz w:val="24"/>
          <w:szCs w:val="24"/>
          <w:lang w:val="en-US"/>
        </w:rPr>
        <w:t>158</w:t>
      </w:r>
      <w:r w:rsidR="00C076F3" w:rsidRPr="001F1399">
        <w:rPr>
          <w:rFonts w:ascii="Book Antiqua" w:hAnsi="Book Antiqua"/>
          <w:sz w:val="24"/>
          <w:szCs w:val="24"/>
          <w:lang w:val="en-US"/>
        </w:rPr>
        <w:t>: 705-721 [PMID: 25126780 DOI: 10.1016/j.cell.2014.05.052]</w:t>
      </w:r>
    </w:p>
    <w:p w14:paraId="6765A2A3" w14:textId="22750656"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84</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Joly Condette C</w:t>
      </w:r>
      <w:r w:rsidR="00C076F3" w:rsidRPr="001F1399">
        <w:rPr>
          <w:rFonts w:ascii="Book Antiqua" w:hAnsi="Book Antiqua"/>
          <w:sz w:val="24"/>
          <w:szCs w:val="24"/>
          <w:lang w:val="en-US"/>
        </w:rPr>
        <w:t xml:space="preserve">, Bach V, Mayeur C, Gay-Quéheillard J, Khorsi-Cauet H. Chlorpyrifos Exposure During Perinatal Period Affects Intestinal Microbiota Associated With Delay of Maturation of Digestive Tract in Rats. </w:t>
      </w:r>
      <w:r w:rsidR="00C076F3" w:rsidRPr="001F1399">
        <w:rPr>
          <w:rFonts w:ascii="Book Antiqua" w:hAnsi="Book Antiqua"/>
          <w:i/>
          <w:sz w:val="24"/>
          <w:szCs w:val="24"/>
          <w:lang w:val="en-US"/>
        </w:rPr>
        <w:t>J Pediatr Gastroenterol Nutr</w:t>
      </w:r>
      <w:r w:rsidR="00C076F3" w:rsidRPr="001F1399">
        <w:rPr>
          <w:rFonts w:ascii="Book Antiqua" w:hAnsi="Book Antiqua"/>
          <w:sz w:val="24"/>
          <w:szCs w:val="24"/>
          <w:lang w:val="en-US"/>
        </w:rPr>
        <w:t xml:space="preserve"> 2015; </w:t>
      </w:r>
      <w:r w:rsidR="00C076F3" w:rsidRPr="001F1399">
        <w:rPr>
          <w:rFonts w:ascii="Book Antiqua" w:hAnsi="Book Antiqua"/>
          <w:b/>
          <w:sz w:val="24"/>
          <w:szCs w:val="24"/>
          <w:lang w:val="en-US"/>
        </w:rPr>
        <w:t>61</w:t>
      </w:r>
      <w:r w:rsidR="00C076F3" w:rsidRPr="001F1399">
        <w:rPr>
          <w:rFonts w:ascii="Book Antiqua" w:hAnsi="Book Antiqua"/>
          <w:sz w:val="24"/>
          <w:szCs w:val="24"/>
          <w:lang w:val="en-US"/>
        </w:rPr>
        <w:t>: 30-40 [PMID: 25643018 DOI: 10.1097/MPG.0000000000000734]</w:t>
      </w:r>
    </w:p>
    <w:p w14:paraId="411D25D9" w14:textId="3217FE31"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lastRenderedPageBreak/>
        <w:t>85</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Spyker JM</w:t>
      </w:r>
      <w:r w:rsidR="00C076F3" w:rsidRPr="001F1399">
        <w:rPr>
          <w:rFonts w:ascii="Book Antiqua" w:hAnsi="Book Antiqua"/>
          <w:sz w:val="24"/>
          <w:szCs w:val="24"/>
          <w:lang w:val="en-US"/>
        </w:rPr>
        <w:t xml:space="preserve">, Avery DL. Neurobehavioral effects of prenatal exposure to the organophosphate Diazinon in mice. </w:t>
      </w:r>
      <w:r w:rsidR="00C076F3" w:rsidRPr="001F1399">
        <w:rPr>
          <w:rFonts w:ascii="Book Antiqua" w:hAnsi="Book Antiqua"/>
          <w:i/>
          <w:sz w:val="24"/>
          <w:szCs w:val="24"/>
          <w:lang w:val="en-US"/>
        </w:rPr>
        <w:t>J Toxicol Environ Health</w:t>
      </w:r>
      <w:r w:rsidR="00C076F3" w:rsidRPr="001F1399">
        <w:rPr>
          <w:rFonts w:ascii="Book Antiqua" w:hAnsi="Book Antiqua"/>
          <w:sz w:val="24"/>
          <w:szCs w:val="24"/>
          <w:lang w:val="en-US"/>
        </w:rPr>
        <w:t xml:space="preserve"> 1977; </w:t>
      </w:r>
      <w:r w:rsidR="00C076F3" w:rsidRPr="001F1399">
        <w:rPr>
          <w:rFonts w:ascii="Book Antiqua" w:hAnsi="Book Antiqua"/>
          <w:b/>
          <w:sz w:val="24"/>
          <w:szCs w:val="24"/>
          <w:lang w:val="en-US"/>
        </w:rPr>
        <w:t>3</w:t>
      </w:r>
      <w:r w:rsidR="00C076F3" w:rsidRPr="001F1399">
        <w:rPr>
          <w:rFonts w:ascii="Book Antiqua" w:hAnsi="Book Antiqua"/>
          <w:sz w:val="24"/>
          <w:szCs w:val="24"/>
          <w:lang w:val="en-US"/>
        </w:rPr>
        <w:t>: 989-1002 [PMID: 599594 DOI: 10.1080/15287397709529633]</w:t>
      </w:r>
    </w:p>
    <w:p w14:paraId="1641DF7C" w14:textId="7B7CFE82"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86</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Gupta RC</w:t>
      </w:r>
      <w:r w:rsidR="00C076F3" w:rsidRPr="001F1399">
        <w:rPr>
          <w:rFonts w:ascii="Book Antiqua" w:hAnsi="Book Antiqua"/>
          <w:sz w:val="24"/>
          <w:szCs w:val="24"/>
          <w:lang w:val="en-US"/>
        </w:rPr>
        <w:t xml:space="preserve">. Carbofuran toxicity. </w:t>
      </w:r>
      <w:r w:rsidR="00C076F3" w:rsidRPr="001F1399">
        <w:rPr>
          <w:rFonts w:ascii="Book Antiqua" w:hAnsi="Book Antiqua"/>
          <w:i/>
          <w:sz w:val="24"/>
          <w:szCs w:val="24"/>
          <w:lang w:val="en-US"/>
        </w:rPr>
        <w:t>J Toxicol Environ Health</w:t>
      </w:r>
      <w:r w:rsidR="00C076F3" w:rsidRPr="001F1399">
        <w:rPr>
          <w:rFonts w:ascii="Book Antiqua" w:hAnsi="Book Antiqua"/>
          <w:sz w:val="24"/>
          <w:szCs w:val="24"/>
          <w:lang w:val="en-US"/>
        </w:rPr>
        <w:t xml:space="preserve"> 1994; </w:t>
      </w:r>
      <w:r w:rsidR="00C076F3" w:rsidRPr="001F1399">
        <w:rPr>
          <w:rFonts w:ascii="Book Antiqua" w:hAnsi="Book Antiqua"/>
          <w:b/>
          <w:sz w:val="24"/>
          <w:szCs w:val="24"/>
          <w:lang w:val="en-US"/>
        </w:rPr>
        <w:t>43</w:t>
      </w:r>
      <w:r w:rsidR="00C076F3" w:rsidRPr="001F1399">
        <w:rPr>
          <w:rFonts w:ascii="Book Antiqua" w:hAnsi="Book Antiqua"/>
          <w:sz w:val="24"/>
          <w:szCs w:val="24"/>
          <w:lang w:val="en-US"/>
        </w:rPr>
        <w:t>: 383-418 [PMID: 7990167 DOI: 10.1080/15287399409531931]</w:t>
      </w:r>
    </w:p>
    <w:p w14:paraId="78274FDE" w14:textId="078D626F"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8</w:t>
      </w:r>
      <w:r w:rsidR="00D253C3" w:rsidRPr="001F1399">
        <w:rPr>
          <w:rFonts w:ascii="Book Antiqua" w:hAnsi="Book Antiqua"/>
          <w:sz w:val="24"/>
          <w:szCs w:val="24"/>
          <w:lang w:val="en-US"/>
        </w:rPr>
        <w:t>7</w:t>
      </w:r>
      <w:r w:rsidRPr="001F1399">
        <w:rPr>
          <w:rFonts w:ascii="Book Antiqua" w:hAnsi="Book Antiqua"/>
          <w:sz w:val="24"/>
          <w:szCs w:val="24"/>
          <w:lang w:val="en-US"/>
        </w:rPr>
        <w:t xml:space="preserve"> </w:t>
      </w:r>
      <w:r w:rsidRPr="001F1399">
        <w:rPr>
          <w:rFonts w:ascii="Book Antiqua" w:hAnsi="Book Antiqua"/>
          <w:b/>
          <w:sz w:val="24"/>
          <w:szCs w:val="24"/>
          <w:lang w:val="en-US"/>
        </w:rPr>
        <w:t>Bolles HG</w:t>
      </w:r>
      <w:r w:rsidRPr="001F1399">
        <w:rPr>
          <w:rFonts w:ascii="Book Antiqua" w:hAnsi="Book Antiqua"/>
          <w:sz w:val="24"/>
          <w:szCs w:val="24"/>
          <w:lang w:val="en-US"/>
        </w:rPr>
        <w:t xml:space="preserve">, Dixon-White HE, Peterson RK, Tomerlin JR, Day EW Jr, Oliver GR. U.S. market basket study to determine residues of the insecticide chlorpyrifos. </w:t>
      </w:r>
      <w:r w:rsidRPr="001F1399">
        <w:rPr>
          <w:rFonts w:ascii="Book Antiqua" w:hAnsi="Book Antiqua"/>
          <w:i/>
          <w:sz w:val="24"/>
          <w:szCs w:val="24"/>
          <w:lang w:val="en-US"/>
        </w:rPr>
        <w:t>J Agric Food Chem</w:t>
      </w:r>
      <w:r w:rsidRPr="001F1399">
        <w:rPr>
          <w:rFonts w:ascii="Book Antiqua" w:hAnsi="Book Antiqua"/>
          <w:sz w:val="24"/>
          <w:szCs w:val="24"/>
          <w:lang w:val="en-US"/>
        </w:rPr>
        <w:t xml:space="preserve"> 1999; </w:t>
      </w:r>
      <w:r w:rsidRPr="001F1399">
        <w:rPr>
          <w:rFonts w:ascii="Book Antiqua" w:hAnsi="Book Antiqua"/>
          <w:b/>
          <w:sz w:val="24"/>
          <w:szCs w:val="24"/>
          <w:lang w:val="en-US"/>
        </w:rPr>
        <w:t>47</w:t>
      </w:r>
      <w:r w:rsidRPr="001F1399">
        <w:rPr>
          <w:rFonts w:ascii="Book Antiqua" w:hAnsi="Book Antiqua"/>
          <w:sz w:val="24"/>
          <w:szCs w:val="24"/>
          <w:lang w:val="en-US"/>
        </w:rPr>
        <w:t>: 1817-1822 [PMID: 10552457 DOI: 10.1021/jf980962d]</w:t>
      </w:r>
    </w:p>
    <w:p w14:paraId="172FDDDA" w14:textId="3E7F699E"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88</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Joly Condette C</w:t>
      </w:r>
      <w:r w:rsidR="00C076F3" w:rsidRPr="001F1399">
        <w:rPr>
          <w:rFonts w:ascii="Book Antiqua" w:hAnsi="Book Antiqua"/>
          <w:sz w:val="24"/>
          <w:szCs w:val="24"/>
          <w:lang w:val="en-US"/>
        </w:rPr>
        <w:t xml:space="preserve">, Khorsi-Cauet H, Morlière P, Zabijak L, Reygner J, Bach V, Gay-Quéheillard J. Increased gut permeability and bacterial translocation after chronic chlorpyrifos exposure in rats. </w:t>
      </w:r>
      <w:r w:rsidR="00C076F3" w:rsidRPr="001F1399">
        <w:rPr>
          <w:rFonts w:ascii="Book Antiqua" w:hAnsi="Book Antiqua"/>
          <w:i/>
          <w:sz w:val="24"/>
          <w:szCs w:val="24"/>
          <w:lang w:val="en-US"/>
        </w:rPr>
        <w:t>PLoS One</w:t>
      </w:r>
      <w:r w:rsidR="00C076F3" w:rsidRPr="001F1399">
        <w:rPr>
          <w:rFonts w:ascii="Book Antiqua" w:hAnsi="Book Antiqua"/>
          <w:sz w:val="24"/>
          <w:szCs w:val="24"/>
          <w:lang w:val="en-US"/>
        </w:rPr>
        <w:t xml:space="preserve"> 2014; </w:t>
      </w:r>
      <w:r w:rsidR="00C076F3" w:rsidRPr="001F1399">
        <w:rPr>
          <w:rFonts w:ascii="Book Antiqua" w:hAnsi="Book Antiqua"/>
          <w:b/>
          <w:sz w:val="24"/>
          <w:szCs w:val="24"/>
          <w:lang w:val="en-US"/>
        </w:rPr>
        <w:t>9</w:t>
      </w:r>
      <w:r w:rsidR="00C076F3" w:rsidRPr="001F1399">
        <w:rPr>
          <w:rFonts w:ascii="Book Antiqua" w:hAnsi="Book Antiqua"/>
          <w:sz w:val="24"/>
          <w:szCs w:val="24"/>
          <w:lang w:val="en-US"/>
        </w:rPr>
        <w:t>: e102217 [PMID: 25019507 DOI: 10.1371/journal.pone.0102217]</w:t>
      </w:r>
    </w:p>
    <w:p w14:paraId="225EC4BF" w14:textId="5B9D6138"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89</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Reygner J</w:t>
      </w:r>
      <w:r w:rsidR="00C076F3" w:rsidRPr="001F1399">
        <w:rPr>
          <w:rFonts w:ascii="Book Antiqua" w:hAnsi="Book Antiqua"/>
          <w:sz w:val="24"/>
          <w:szCs w:val="24"/>
          <w:lang w:val="en-US"/>
        </w:rPr>
        <w:t xml:space="preserve">, Lichtenberger L, Elmhiri G, Dou S, Bahi-Jaber N, Rhazi L, Depeint F, Bach V, Khorsi-Cauet H, Abdennebi-Najar L. Inulin Supplementation Lowered the Metabolic Defects of Prolonged Exposure to Chlorpyrifos from Gestation to Young Adult Stage in Offspring Rats. </w:t>
      </w:r>
      <w:r w:rsidR="00C076F3" w:rsidRPr="001F1399">
        <w:rPr>
          <w:rFonts w:ascii="Book Antiqua" w:hAnsi="Book Antiqua"/>
          <w:i/>
          <w:sz w:val="24"/>
          <w:szCs w:val="24"/>
          <w:lang w:val="en-US"/>
        </w:rPr>
        <w:t>PLoS One</w:t>
      </w:r>
      <w:r w:rsidR="00C076F3" w:rsidRPr="001F1399">
        <w:rPr>
          <w:rFonts w:ascii="Book Antiqua" w:hAnsi="Book Antiqua"/>
          <w:sz w:val="24"/>
          <w:szCs w:val="24"/>
          <w:lang w:val="en-US"/>
        </w:rPr>
        <w:t xml:space="preserve"> 2016; </w:t>
      </w:r>
      <w:r w:rsidR="00C076F3" w:rsidRPr="001F1399">
        <w:rPr>
          <w:rFonts w:ascii="Book Antiqua" w:hAnsi="Book Antiqua"/>
          <w:b/>
          <w:sz w:val="24"/>
          <w:szCs w:val="24"/>
          <w:lang w:val="en-US"/>
        </w:rPr>
        <w:t>11</w:t>
      </w:r>
      <w:r w:rsidR="00C076F3" w:rsidRPr="001F1399">
        <w:rPr>
          <w:rFonts w:ascii="Book Antiqua" w:hAnsi="Book Antiqua"/>
          <w:sz w:val="24"/>
          <w:szCs w:val="24"/>
          <w:lang w:val="en-US"/>
        </w:rPr>
        <w:t>: e0164614 [PMID: 27760213 DOI: 10.1371/journal.pone.0164614]</w:t>
      </w:r>
    </w:p>
    <w:p w14:paraId="28AE90FB" w14:textId="1B9CF8AA"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90</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Laporte B</w:t>
      </w:r>
      <w:r w:rsidR="00C076F3" w:rsidRPr="001F1399">
        <w:rPr>
          <w:rFonts w:ascii="Book Antiqua" w:hAnsi="Book Antiqua"/>
          <w:sz w:val="24"/>
          <w:szCs w:val="24"/>
          <w:lang w:val="en-US"/>
        </w:rPr>
        <w:t xml:space="preserve">, Gay-Quéheillard J, Bach V, Villégier AS. Developmental neurotoxicity in the progeny after maternal gavage with chlorpyrifos. </w:t>
      </w:r>
      <w:r w:rsidR="00C076F3" w:rsidRPr="001F1399">
        <w:rPr>
          <w:rFonts w:ascii="Book Antiqua" w:hAnsi="Book Antiqua"/>
          <w:i/>
          <w:sz w:val="24"/>
          <w:szCs w:val="24"/>
          <w:lang w:val="en-US"/>
        </w:rPr>
        <w:t>Food Chem Toxicol</w:t>
      </w:r>
      <w:r w:rsidR="00C076F3" w:rsidRPr="001F1399">
        <w:rPr>
          <w:rFonts w:ascii="Book Antiqua" w:hAnsi="Book Antiqua"/>
          <w:sz w:val="24"/>
          <w:szCs w:val="24"/>
          <w:lang w:val="en-US"/>
        </w:rPr>
        <w:t xml:space="preserve"> 2018; </w:t>
      </w:r>
      <w:r w:rsidR="00C076F3" w:rsidRPr="001F1399">
        <w:rPr>
          <w:rFonts w:ascii="Book Antiqua" w:hAnsi="Book Antiqua"/>
          <w:b/>
          <w:sz w:val="24"/>
          <w:szCs w:val="24"/>
          <w:lang w:val="en-US"/>
        </w:rPr>
        <w:t>113</w:t>
      </w:r>
      <w:r w:rsidR="00C076F3" w:rsidRPr="001F1399">
        <w:rPr>
          <w:rFonts w:ascii="Book Antiqua" w:hAnsi="Book Antiqua"/>
          <w:sz w:val="24"/>
          <w:szCs w:val="24"/>
          <w:lang w:val="en-US"/>
        </w:rPr>
        <w:t>: 66-72 [PMID: 29421768 DOI: 10.1016/j.fct.2018.01.026]</w:t>
      </w:r>
    </w:p>
    <w:p w14:paraId="4BFCAC7F" w14:textId="3F2C1B9C"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9</w:t>
      </w:r>
      <w:r w:rsidR="00D253C3" w:rsidRPr="001F1399">
        <w:rPr>
          <w:rFonts w:ascii="Book Antiqua" w:hAnsi="Book Antiqua"/>
          <w:sz w:val="24"/>
          <w:szCs w:val="24"/>
          <w:lang w:val="en-US"/>
        </w:rPr>
        <w:t>1</w:t>
      </w:r>
      <w:r w:rsidRPr="001F1399">
        <w:rPr>
          <w:rFonts w:ascii="Book Antiqua" w:hAnsi="Book Antiqua"/>
          <w:sz w:val="24"/>
          <w:szCs w:val="24"/>
          <w:lang w:val="en-US"/>
        </w:rPr>
        <w:t xml:space="preserve"> </w:t>
      </w:r>
      <w:r w:rsidRPr="001F1399">
        <w:rPr>
          <w:rFonts w:ascii="Book Antiqua" w:hAnsi="Book Antiqua"/>
          <w:b/>
          <w:sz w:val="24"/>
          <w:szCs w:val="24"/>
          <w:lang w:val="en-US"/>
        </w:rPr>
        <w:t>Ribeiro TA</w:t>
      </w:r>
      <w:r w:rsidRPr="001F1399">
        <w:rPr>
          <w:rFonts w:ascii="Book Antiqua" w:hAnsi="Book Antiqua"/>
          <w:sz w:val="24"/>
          <w:szCs w:val="24"/>
          <w:lang w:val="en-US"/>
        </w:rPr>
        <w:t xml:space="preserve">, Prates KV, Pavanello A, Malta A, Tófolo LP, Martins IP, Oliveira JC, Miranda RA, Gomes RM, Vieira E, Franco CC, Barella LF, Francisco FA, Alves VS, Silveira SD, Moreira VM, Fabricio GS, Palma-Rigo K, Sloboda DM, Mathias PC. Acephate exposure during a perinatal life program to type 2 diabetes. </w:t>
      </w:r>
      <w:r w:rsidRPr="001F1399">
        <w:rPr>
          <w:rFonts w:ascii="Book Antiqua" w:hAnsi="Book Antiqua"/>
          <w:i/>
          <w:sz w:val="24"/>
          <w:szCs w:val="24"/>
          <w:lang w:val="en-US"/>
        </w:rPr>
        <w:t>Toxicology</w:t>
      </w:r>
      <w:r w:rsidRPr="001F1399">
        <w:rPr>
          <w:rFonts w:ascii="Book Antiqua" w:hAnsi="Book Antiqua"/>
          <w:sz w:val="24"/>
          <w:szCs w:val="24"/>
          <w:lang w:val="en-US"/>
        </w:rPr>
        <w:t xml:space="preserve"> 2016; </w:t>
      </w:r>
      <w:r w:rsidRPr="001F1399">
        <w:rPr>
          <w:rFonts w:ascii="Book Antiqua" w:hAnsi="Book Antiqua"/>
          <w:b/>
          <w:sz w:val="24"/>
          <w:szCs w:val="24"/>
          <w:lang w:val="en-US"/>
        </w:rPr>
        <w:t>372</w:t>
      </w:r>
      <w:r w:rsidRPr="001F1399">
        <w:rPr>
          <w:rFonts w:ascii="Book Antiqua" w:hAnsi="Book Antiqua"/>
          <w:sz w:val="24"/>
          <w:szCs w:val="24"/>
          <w:lang w:val="en-US"/>
        </w:rPr>
        <w:t>: 12-21 [PMID: 27765684 DOI: 10.1016/j.tox.2016.10.010]</w:t>
      </w:r>
    </w:p>
    <w:p w14:paraId="377270A2" w14:textId="289D9F6F"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9</w:t>
      </w:r>
      <w:r w:rsidR="00D253C3" w:rsidRPr="001F1399">
        <w:rPr>
          <w:rFonts w:ascii="Book Antiqua" w:hAnsi="Book Antiqua"/>
          <w:sz w:val="24"/>
          <w:szCs w:val="24"/>
          <w:lang w:val="en-US"/>
        </w:rPr>
        <w:t>2</w:t>
      </w:r>
      <w:r w:rsidRPr="001F1399">
        <w:rPr>
          <w:rFonts w:ascii="Book Antiqua" w:hAnsi="Book Antiqua"/>
          <w:sz w:val="24"/>
          <w:szCs w:val="24"/>
          <w:lang w:val="en-US"/>
        </w:rPr>
        <w:t xml:space="preserve"> </w:t>
      </w:r>
      <w:r w:rsidRPr="001F1399">
        <w:rPr>
          <w:rFonts w:ascii="Book Antiqua" w:hAnsi="Book Antiqua"/>
          <w:b/>
          <w:sz w:val="24"/>
          <w:szCs w:val="24"/>
          <w:lang w:val="en-US"/>
        </w:rPr>
        <w:t>Yamazaki K</w:t>
      </w:r>
      <w:r w:rsidRPr="001F1399">
        <w:rPr>
          <w:rFonts w:ascii="Book Antiqua" w:hAnsi="Book Antiqua"/>
          <w:sz w:val="24"/>
          <w:szCs w:val="24"/>
          <w:lang w:val="en-US"/>
        </w:rPr>
        <w:t xml:space="preserve">, Araki A, Nakajima S, Miyashita C, Ikeno T, Itoh S, Minatoya M, Kobayashi S, Mizutani F, Chisaki Y, Kishi R. Association between prenatal exposure to organochlorine pesticides and the mental and psychomotor development of infants at ages 6 and 18 months: The Hokkaido Study on Environment and Children's Health. </w:t>
      </w:r>
      <w:r w:rsidRPr="001F1399">
        <w:rPr>
          <w:rFonts w:ascii="Book Antiqua" w:hAnsi="Book Antiqua"/>
          <w:i/>
          <w:sz w:val="24"/>
          <w:szCs w:val="24"/>
          <w:lang w:val="en-US"/>
        </w:rPr>
        <w:t>Neurotoxicology</w:t>
      </w:r>
      <w:r w:rsidRPr="001F1399">
        <w:rPr>
          <w:rFonts w:ascii="Book Antiqua" w:hAnsi="Book Antiqua"/>
          <w:sz w:val="24"/>
          <w:szCs w:val="24"/>
          <w:lang w:val="en-US"/>
        </w:rPr>
        <w:t xml:space="preserve"> 2018; </w:t>
      </w:r>
      <w:r w:rsidRPr="001F1399">
        <w:rPr>
          <w:rFonts w:ascii="Book Antiqua" w:hAnsi="Book Antiqua"/>
          <w:b/>
          <w:sz w:val="24"/>
          <w:szCs w:val="24"/>
          <w:lang w:val="en-US"/>
        </w:rPr>
        <w:t>69</w:t>
      </w:r>
      <w:r w:rsidRPr="001F1399">
        <w:rPr>
          <w:rFonts w:ascii="Book Antiqua" w:hAnsi="Book Antiqua"/>
          <w:sz w:val="24"/>
          <w:szCs w:val="24"/>
          <w:lang w:val="en-US"/>
        </w:rPr>
        <w:t>: 201-208 [PMID: 29203293 DOI: 10.1016/j.neuro.2017.11.011]</w:t>
      </w:r>
    </w:p>
    <w:p w14:paraId="3C57D14A" w14:textId="34ACEA17"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lastRenderedPageBreak/>
        <w:t>93</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Boucher O</w:t>
      </w:r>
      <w:r w:rsidR="00C076F3" w:rsidRPr="001F1399">
        <w:rPr>
          <w:rFonts w:ascii="Book Antiqua" w:hAnsi="Book Antiqua"/>
          <w:sz w:val="24"/>
          <w:szCs w:val="24"/>
          <w:lang w:val="en-US"/>
        </w:rPr>
        <w:t xml:space="preserve">, Simard MN, Muckle G, Rouget F, Kadhel P, Bataille H, Chajès V, Dallaire R, Monfort C, Thomé JP, Multigner L, Cordier S. Exposure to an organochlorine pesticide (chlordecone) and development of 18-month-old infants. </w:t>
      </w:r>
      <w:r w:rsidR="00C076F3" w:rsidRPr="001F1399">
        <w:rPr>
          <w:rFonts w:ascii="Book Antiqua" w:hAnsi="Book Antiqua"/>
          <w:i/>
          <w:sz w:val="24"/>
          <w:szCs w:val="24"/>
          <w:lang w:val="en-US"/>
        </w:rPr>
        <w:t>Neurotoxicology</w:t>
      </w:r>
      <w:r w:rsidR="00C076F3" w:rsidRPr="001F1399">
        <w:rPr>
          <w:rFonts w:ascii="Book Antiqua" w:hAnsi="Book Antiqua"/>
          <w:sz w:val="24"/>
          <w:szCs w:val="24"/>
          <w:lang w:val="en-US"/>
        </w:rPr>
        <w:t xml:space="preserve"> 2013; </w:t>
      </w:r>
      <w:r w:rsidR="00C076F3" w:rsidRPr="001F1399">
        <w:rPr>
          <w:rFonts w:ascii="Book Antiqua" w:hAnsi="Book Antiqua"/>
          <w:b/>
          <w:sz w:val="24"/>
          <w:szCs w:val="24"/>
          <w:lang w:val="en-US"/>
        </w:rPr>
        <w:t>35</w:t>
      </w:r>
      <w:r w:rsidR="00C076F3" w:rsidRPr="001F1399">
        <w:rPr>
          <w:rFonts w:ascii="Book Antiqua" w:hAnsi="Book Antiqua"/>
          <w:sz w:val="24"/>
          <w:szCs w:val="24"/>
          <w:lang w:val="en-US"/>
        </w:rPr>
        <w:t>: 162-168 [PMID: 23376090 DOI: 10.1016/j.neuro.2013.01.007]</w:t>
      </w:r>
    </w:p>
    <w:p w14:paraId="1004E6F1" w14:textId="75D92551"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94</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Hervé D</w:t>
      </w:r>
      <w:r w:rsidR="00C076F3" w:rsidRPr="001F1399">
        <w:rPr>
          <w:rFonts w:ascii="Book Antiqua" w:hAnsi="Book Antiqua"/>
          <w:sz w:val="24"/>
          <w:szCs w:val="24"/>
          <w:lang w:val="en-US"/>
        </w:rPr>
        <w:t xml:space="preserve">, Costet N, Kadhel P, Rouget F, Monfort C, Thomé JP, Multigner L, Cordier S. Prenatal exposure to chlordecone, gestational weight gain, and birth weight in a Guadeloupean birth cohort. </w:t>
      </w:r>
      <w:r w:rsidR="00C076F3" w:rsidRPr="001F1399">
        <w:rPr>
          <w:rFonts w:ascii="Book Antiqua" w:hAnsi="Book Antiqua"/>
          <w:i/>
          <w:sz w:val="24"/>
          <w:szCs w:val="24"/>
          <w:lang w:val="en-US"/>
        </w:rPr>
        <w:t>Environ Res</w:t>
      </w:r>
      <w:r w:rsidR="00C076F3" w:rsidRPr="001F1399">
        <w:rPr>
          <w:rFonts w:ascii="Book Antiqua" w:hAnsi="Book Antiqua"/>
          <w:sz w:val="24"/>
          <w:szCs w:val="24"/>
          <w:lang w:val="en-US"/>
        </w:rPr>
        <w:t xml:space="preserve"> 2016; </w:t>
      </w:r>
      <w:r w:rsidR="00C076F3" w:rsidRPr="001F1399">
        <w:rPr>
          <w:rFonts w:ascii="Book Antiqua" w:hAnsi="Book Antiqua"/>
          <w:b/>
          <w:sz w:val="24"/>
          <w:szCs w:val="24"/>
          <w:lang w:val="en-US"/>
        </w:rPr>
        <w:t>151</w:t>
      </w:r>
      <w:r w:rsidR="00C076F3" w:rsidRPr="001F1399">
        <w:rPr>
          <w:rFonts w:ascii="Book Antiqua" w:hAnsi="Book Antiqua"/>
          <w:sz w:val="24"/>
          <w:szCs w:val="24"/>
          <w:lang w:val="en-US"/>
        </w:rPr>
        <w:t>: 436-444 [PMID: 27560981 DOI: 10.1016/j.envres.2016.08.004]</w:t>
      </w:r>
    </w:p>
    <w:p w14:paraId="271C63F9" w14:textId="1EBE1377"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9</w:t>
      </w:r>
      <w:r w:rsidR="00D253C3" w:rsidRPr="001F1399">
        <w:rPr>
          <w:rFonts w:ascii="Book Antiqua" w:hAnsi="Book Antiqua"/>
          <w:sz w:val="24"/>
          <w:szCs w:val="24"/>
          <w:lang w:val="en-US"/>
        </w:rPr>
        <w:t>5</w:t>
      </w:r>
      <w:r w:rsidRPr="001F1399">
        <w:rPr>
          <w:rFonts w:ascii="Book Antiqua" w:hAnsi="Book Antiqua"/>
          <w:sz w:val="24"/>
          <w:szCs w:val="24"/>
          <w:lang w:val="en-US"/>
        </w:rPr>
        <w:t xml:space="preserve"> </w:t>
      </w:r>
      <w:r w:rsidRPr="001F1399">
        <w:rPr>
          <w:rFonts w:ascii="Book Antiqua" w:hAnsi="Book Antiqua"/>
          <w:b/>
          <w:sz w:val="24"/>
          <w:szCs w:val="24"/>
          <w:lang w:val="en-US"/>
        </w:rPr>
        <w:t>Khanjani N</w:t>
      </w:r>
      <w:r w:rsidRPr="001F1399">
        <w:rPr>
          <w:rFonts w:ascii="Book Antiqua" w:hAnsi="Book Antiqua"/>
          <w:sz w:val="24"/>
          <w:szCs w:val="24"/>
          <w:lang w:val="en-US"/>
        </w:rPr>
        <w:t xml:space="preserve">, Sim MR. Maternal contamination with dichlorodiphenyltrichloroethane and reproductive outcomes in an Australian population. </w:t>
      </w:r>
      <w:r w:rsidRPr="001F1399">
        <w:rPr>
          <w:rFonts w:ascii="Book Antiqua" w:hAnsi="Book Antiqua"/>
          <w:i/>
          <w:sz w:val="24"/>
          <w:szCs w:val="24"/>
          <w:lang w:val="en-US"/>
        </w:rPr>
        <w:t>Environ Res</w:t>
      </w:r>
      <w:r w:rsidRPr="001F1399">
        <w:rPr>
          <w:rFonts w:ascii="Book Antiqua" w:hAnsi="Book Antiqua"/>
          <w:sz w:val="24"/>
          <w:szCs w:val="24"/>
          <w:lang w:val="en-US"/>
        </w:rPr>
        <w:t xml:space="preserve"> 2006; </w:t>
      </w:r>
      <w:r w:rsidRPr="001F1399">
        <w:rPr>
          <w:rFonts w:ascii="Book Antiqua" w:hAnsi="Book Antiqua"/>
          <w:b/>
          <w:sz w:val="24"/>
          <w:szCs w:val="24"/>
          <w:lang w:val="en-US"/>
        </w:rPr>
        <w:t>101</w:t>
      </w:r>
      <w:r w:rsidRPr="001F1399">
        <w:rPr>
          <w:rFonts w:ascii="Book Antiqua" w:hAnsi="Book Antiqua"/>
          <w:sz w:val="24"/>
          <w:szCs w:val="24"/>
          <w:lang w:val="en-US"/>
        </w:rPr>
        <w:t>: 373-379 [PMID: 16360142 DOI: 10.1016/j.envres.2005.10.003]</w:t>
      </w:r>
    </w:p>
    <w:p w14:paraId="073418AF" w14:textId="244586D0"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9</w:t>
      </w:r>
      <w:r w:rsidR="00D253C3" w:rsidRPr="001F1399">
        <w:rPr>
          <w:rFonts w:ascii="Book Antiqua" w:hAnsi="Book Antiqua"/>
          <w:sz w:val="24"/>
          <w:szCs w:val="24"/>
          <w:lang w:val="en-US"/>
        </w:rPr>
        <w:t>6</w:t>
      </w:r>
      <w:r w:rsidRPr="001F1399">
        <w:rPr>
          <w:rFonts w:ascii="Book Antiqua" w:hAnsi="Book Antiqua"/>
          <w:sz w:val="24"/>
          <w:szCs w:val="24"/>
          <w:lang w:val="en-US"/>
        </w:rPr>
        <w:t xml:space="preserve"> </w:t>
      </w:r>
      <w:r w:rsidRPr="001F1399">
        <w:rPr>
          <w:rFonts w:ascii="Book Antiqua" w:hAnsi="Book Antiqua"/>
          <w:b/>
          <w:sz w:val="24"/>
          <w:szCs w:val="24"/>
          <w:lang w:val="en-US"/>
        </w:rPr>
        <w:t>Weisskopf MG</w:t>
      </w:r>
      <w:r w:rsidRPr="001F1399">
        <w:rPr>
          <w:rFonts w:ascii="Book Antiqua" w:hAnsi="Book Antiqua"/>
          <w:sz w:val="24"/>
          <w:szCs w:val="24"/>
          <w:lang w:val="en-US"/>
        </w:rPr>
        <w:t xml:space="preserve">, Anderson HA, Hanrahan LP, Kanarek MS, Falk CM, Steenport DM, Draheim LA; Great Lakes Consortium. Maternal exposure to Great Lakes sport-caught fish and dichlorodiphenyl dichloroethylene, but not polychlorinated biphenyls, is associated with reduced birth weight. </w:t>
      </w:r>
      <w:r w:rsidRPr="001F1399">
        <w:rPr>
          <w:rFonts w:ascii="Book Antiqua" w:hAnsi="Book Antiqua"/>
          <w:i/>
          <w:sz w:val="24"/>
          <w:szCs w:val="24"/>
          <w:lang w:val="en-US"/>
        </w:rPr>
        <w:t>Environ Res</w:t>
      </w:r>
      <w:r w:rsidRPr="001F1399">
        <w:rPr>
          <w:rFonts w:ascii="Book Antiqua" w:hAnsi="Book Antiqua"/>
          <w:sz w:val="24"/>
          <w:szCs w:val="24"/>
          <w:lang w:val="en-US"/>
        </w:rPr>
        <w:t xml:space="preserve"> 2005; </w:t>
      </w:r>
      <w:r w:rsidRPr="001F1399">
        <w:rPr>
          <w:rFonts w:ascii="Book Antiqua" w:hAnsi="Book Antiqua"/>
          <w:b/>
          <w:sz w:val="24"/>
          <w:szCs w:val="24"/>
          <w:lang w:val="en-US"/>
        </w:rPr>
        <w:t>97</w:t>
      </w:r>
      <w:r w:rsidRPr="001F1399">
        <w:rPr>
          <w:rFonts w:ascii="Book Antiqua" w:hAnsi="Book Antiqua"/>
          <w:sz w:val="24"/>
          <w:szCs w:val="24"/>
          <w:lang w:val="en-US"/>
        </w:rPr>
        <w:t>: 149-162 [PMID: 15533331 DOI: 10.1016/j.envres.2004.01.014]</w:t>
      </w:r>
    </w:p>
    <w:p w14:paraId="74A3A127" w14:textId="47DB7070" w:rsidR="00C076F3" w:rsidRPr="001F1399" w:rsidRDefault="00D253C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97</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Kim JC</w:t>
      </w:r>
      <w:r w:rsidR="00C076F3" w:rsidRPr="001F1399">
        <w:rPr>
          <w:rFonts w:ascii="Book Antiqua" w:hAnsi="Book Antiqua"/>
          <w:sz w:val="24"/>
          <w:szCs w:val="24"/>
          <w:lang w:val="en-US"/>
        </w:rPr>
        <w:t xml:space="preserve">, Shin JY, Yang YS, Shin DH, Moon CJ, Kim SH, Park SC, Kim YB, Kim HC, Chung MK. Evaluation of developmental toxicity of amitraz in Sprague-Dawley rats. </w:t>
      </w:r>
      <w:r w:rsidR="00C076F3" w:rsidRPr="001F1399">
        <w:rPr>
          <w:rFonts w:ascii="Book Antiqua" w:hAnsi="Book Antiqua"/>
          <w:i/>
          <w:sz w:val="24"/>
          <w:szCs w:val="24"/>
          <w:lang w:val="en-US"/>
        </w:rPr>
        <w:t>Arch Environ Contam Toxicol</w:t>
      </w:r>
      <w:r w:rsidR="00C076F3" w:rsidRPr="001F1399">
        <w:rPr>
          <w:rFonts w:ascii="Book Antiqua" w:hAnsi="Book Antiqua"/>
          <w:sz w:val="24"/>
          <w:szCs w:val="24"/>
          <w:lang w:val="en-US"/>
        </w:rPr>
        <w:t xml:space="preserve"> 2007; </w:t>
      </w:r>
      <w:r w:rsidR="00C076F3" w:rsidRPr="001F1399">
        <w:rPr>
          <w:rFonts w:ascii="Book Antiqua" w:hAnsi="Book Antiqua"/>
          <w:b/>
          <w:sz w:val="24"/>
          <w:szCs w:val="24"/>
          <w:lang w:val="en-US"/>
        </w:rPr>
        <w:t>52</w:t>
      </w:r>
      <w:r w:rsidR="00C076F3" w:rsidRPr="001F1399">
        <w:rPr>
          <w:rFonts w:ascii="Book Antiqua" w:hAnsi="Book Antiqua"/>
          <w:sz w:val="24"/>
          <w:szCs w:val="24"/>
          <w:lang w:val="en-US"/>
        </w:rPr>
        <w:t>: 137-144 [PMID: 17083001 DOI: 10.1007/s00244-006-0021-7]</w:t>
      </w:r>
    </w:p>
    <w:p w14:paraId="446A3C1F" w14:textId="106B4DB7" w:rsidR="00C076F3" w:rsidRPr="001F1399" w:rsidRDefault="005E7C17"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98</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Domingues A</w:t>
      </w:r>
      <w:r w:rsidR="00C076F3" w:rsidRPr="001F1399">
        <w:rPr>
          <w:rFonts w:ascii="Book Antiqua" w:hAnsi="Book Antiqua"/>
          <w:sz w:val="24"/>
          <w:szCs w:val="24"/>
          <w:lang w:val="en-US"/>
        </w:rPr>
        <w:t xml:space="preserve">, Grassi TF, Spinardi-Barbisan AL, Barbisan LF. Developmental exposure to diuron causes splenotoxicity in male Sprague-Dawley rat pups. </w:t>
      </w:r>
      <w:r w:rsidR="00C076F3" w:rsidRPr="001F1399">
        <w:rPr>
          <w:rFonts w:ascii="Book Antiqua" w:hAnsi="Book Antiqua"/>
          <w:i/>
          <w:sz w:val="24"/>
          <w:szCs w:val="24"/>
          <w:lang w:val="en-US"/>
        </w:rPr>
        <w:t>J Environ Sci Health B</w:t>
      </w:r>
      <w:r w:rsidR="00C076F3" w:rsidRPr="001F1399">
        <w:rPr>
          <w:rFonts w:ascii="Book Antiqua" w:hAnsi="Book Antiqua"/>
          <w:sz w:val="24"/>
          <w:szCs w:val="24"/>
          <w:lang w:val="en-US"/>
        </w:rPr>
        <w:t xml:space="preserve"> 2012; </w:t>
      </w:r>
      <w:r w:rsidR="00C076F3" w:rsidRPr="001F1399">
        <w:rPr>
          <w:rFonts w:ascii="Book Antiqua" w:hAnsi="Book Antiqua"/>
          <w:b/>
          <w:sz w:val="24"/>
          <w:szCs w:val="24"/>
          <w:lang w:val="en-US"/>
        </w:rPr>
        <w:t>47</w:t>
      </w:r>
      <w:r w:rsidR="00C076F3" w:rsidRPr="001F1399">
        <w:rPr>
          <w:rFonts w:ascii="Book Antiqua" w:hAnsi="Book Antiqua"/>
          <w:sz w:val="24"/>
          <w:szCs w:val="24"/>
          <w:lang w:val="en-US"/>
        </w:rPr>
        <w:t>: 420-426 [PMID: 22424067 DOI: 10.1080/03601234.2012.657054]</w:t>
      </w:r>
    </w:p>
    <w:p w14:paraId="3A913AEB" w14:textId="61CE39AC" w:rsidR="00C076F3" w:rsidRPr="001F1399" w:rsidRDefault="005E7C17"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99</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Piacentini KC,</w:t>
      </w:r>
      <w:r w:rsidR="00C076F3" w:rsidRPr="001F1399">
        <w:rPr>
          <w:rFonts w:ascii="Book Antiqua" w:hAnsi="Book Antiqua"/>
          <w:sz w:val="24"/>
          <w:szCs w:val="24"/>
          <w:lang w:val="en-US"/>
        </w:rPr>
        <w:t xml:space="preserve"> Ferranti LS, Pinheiro M, Bertozzi BG, Rocha LO. Mycotoxin contamination in cereal-based baby foods. </w:t>
      </w:r>
      <w:r w:rsidR="00C076F3" w:rsidRPr="001F1399">
        <w:rPr>
          <w:rFonts w:ascii="Book Antiqua" w:hAnsi="Book Antiqua"/>
          <w:i/>
          <w:iCs/>
          <w:sz w:val="24"/>
          <w:szCs w:val="24"/>
          <w:lang w:val="en-US"/>
        </w:rPr>
        <w:t>Curr Opin Food Sci</w:t>
      </w:r>
      <w:r w:rsidR="00C076F3" w:rsidRPr="001F1399">
        <w:rPr>
          <w:rFonts w:ascii="Book Antiqua" w:hAnsi="Book Antiqua"/>
          <w:sz w:val="24"/>
          <w:szCs w:val="24"/>
          <w:lang w:val="en-US"/>
        </w:rPr>
        <w:t xml:space="preserve"> 2019; </w:t>
      </w:r>
      <w:r w:rsidR="00C076F3" w:rsidRPr="001F1399">
        <w:rPr>
          <w:rFonts w:ascii="Book Antiqua" w:hAnsi="Book Antiqua"/>
          <w:b/>
          <w:bCs/>
          <w:sz w:val="24"/>
          <w:szCs w:val="24"/>
          <w:lang w:val="en-US"/>
        </w:rPr>
        <w:t>30</w:t>
      </w:r>
      <w:r w:rsidR="00C076F3" w:rsidRPr="001F1399">
        <w:rPr>
          <w:rFonts w:ascii="Book Antiqua" w:hAnsi="Book Antiqua"/>
          <w:sz w:val="24"/>
          <w:szCs w:val="24"/>
          <w:lang w:val="en-US"/>
        </w:rPr>
        <w:t>:</w:t>
      </w:r>
      <w:r w:rsidR="002A022C" w:rsidRPr="001F1399">
        <w:rPr>
          <w:rFonts w:ascii="Book Antiqua" w:hAnsi="Book Antiqua"/>
          <w:sz w:val="24"/>
          <w:szCs w:val="24"/>
          <w:lang w:val="en-US"/>
        </w:rPr>
        <w:t xml:space="preserve"> </w:t>
      </w:r>
      <w:r w:rsidR="00C076F3" w:rsidRPr="001F1399">
        <w:rPr>
          <w:rFonts w:ascii="Book Antiqua" w:hAnsi="Book Antiqua"/>
          <w:sz w:val="24"/>
          <w:szCs w:val="24"/>
          <w:lang w:val="en-US"/>
        </w:rPr>
        <w:t>73</w:t>
      </w:r>
      <w:r w:rsidR="002A022C" w:rsidRPr="001F1399">
        <w:rPr>
          <w:rFonts w:ascii="Book Antiqua" w:hAnsi="Book Antiqua"/>
          <w:sz w:val="24"/>
          <w:szCs w:val="24"/>
          <w:lang w:val="en-US"/>
        </w:rPr>
        <w:t>-7</w:t>
      </w:r>
      <w:r w:rsidR="00C076F3" w:rsidRPr="001F1399">
        <w:rPr>
          <w:rFonts w:ascii="Book Antiqua" w:hAnsi="Book Antiqua"/>
          <w:sz w:val="24"/>
          <w:szCs w:val="24"/>
          <w:lang w:val="en-US"/>
        </w:rPr>
        <w:t>8 [DOI: 10.1016/j.cofs.2019.06.008]</w:t>
      </w:r>
    </w:p>
    <w:p w14:paraId="708E120D" w14:textId="3BE33F31" w:rsidR="00C076F3" w:rsidRPr="001F1399" w:rsidRDefault="005E7C17"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100</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Wild CP</w:t>
      </w:r>
      <w:r w:rsidR="00C076F3" w:rsidRPr="001F1399">
        <w:rPr>
          <w:rFonts w:ascii="Book Antiqua" w:hAnsi="Book Antiqua"/>
          <w:sz w:val="24"/>
          <w:szCs w:val="24"/>
          <w:lang w:val="en-US"/>
        </w:rPr>
        <w:t xml:space="preserve">, Rasheed FN, Jawla MF, Hall AJ, Jansen LA, Montesano R. In-utero exposure to aflatoxin in west Africa. </w:t>
      </w:r>
      <w:r w:rsidR="00C076F3" w:rsidRPr="001F1399">
        <w:rPr>
          <w:rFonts w:ascii="Book Antiqua" w:hAnsi="Book Antiqua"/>
          <w:i/>
          <w:sz w:val="24"/>
          <w:szCs w:val="24"/>
          <w:lang w:val="en-US"/>
        </w:rPr>
        <w:t>Lancet</w:t>
      </w:r>
      <w:r w:rsidR="00C076F3" w:rsidRPr="001F1399">
        <w:rPr>
          <w:rFonts w:ascii="Book Antiqua" w:hAnsi="Book Antiqua"/>
          <w:sz w:val="24"/>
          <w:szCs w:val="24"/>
          <w:lang w:val="en-US"/>
        </w:rPr>
        <w:t xml:space="preserve"> 1991; </w:t>
      </w:r>
      <w:r w:rsidR="00C076F3" w:rsidRPr="001F1399">
        <w:rPr>
          <w:rFonts w:ascii="Book Antiqua" w:hAnsi="Book Antiqua"/>
          <w:b/>
          <w:sz w:val="24"/>
          <w:szCs w:val="24"/>
          <w:lang w:val="en-US"/>
        </w:rPr>
        <w:t>337</w:t>
      </w:r>
      <w:r w:rsidR="00C076F3" w:rsidRPr="001F1399">
        <w:rPr>
          <w:rFonts w:ascii="Book Antiqua" w:hAnsi="Book Antiqua"/>
          <w:sz w:val="24"/>
          <w:szCs w:val="24"/>
          <w:lang w:val="en-US"/>
        </w:rPr>
        <w:t>: 1602 [PMID: 1675725 DOI: 10.1016/0140-6736(91)93295-k]</w:t>
      </w:r>
    </w:p>
    <w:p w14:paraId="15575DE8" w14:textId="3E88140A" w:rsidR="00C076F3" w:rsidRPr="001F1399" w:rsidRDefault="005E7C17"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lastRenderedPageBreak/>
        <w:t>101</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Woo CS</w:t>
      </w:r>
      <w:r w:rsidR="00C076F3" w:rsidRPr="001F1399">
        <w:rPr>
          <w:rFonts w:ascii="Book Antiqua" w:hAnsi="Book Antiqua"/>
          <w:sz w:val="24"/>
          <w:szCs w:val="24"/>
          <w:lang w:val="en-US"/>
        </w:rPr>
        <w:t xml:space="preserve">, El-Nezami H. Maternal-Fetal Cancer Risk Assessment of Ochratoxin A during Pregnancy. </w:t>
      </w:r>
      <w:r w:rsidR="00C076F3" w:rsidRPr="001F1399">
        <w:rPr>
          <w:rFonts w:ascii="Book Antiqua" w:hAnsi="Book Antiqua"/>
          <w:i/>
          <w:sz w:val="24"/>
          <w:szCs w:val="24"/>
          <w:lang w:val="en-US"/>
        </w:rPr>
        <w:t>Toxins (Basel)</w:t>
      </w:r>
      <w:r w:rsidR="00C076F3" w:rsidRPr="001F1399">
        <w:rPr>
          <w:rFonts w:ascii="Book Antiqua" w:hAnsi="Book Antiqua"/>
          <w:sz w:val="24"/>
          <w:szCs w:val="24"/>
          <w:lang w:val="en-US"/>
        </w:rPr>
        <w:t xml:space="preserve"> 2016; </w:t>
      </w:r>
      <w:r w:rsidR="00C076F3" w:rsidRPr="001F1399">
        <w:rPr>
          <w:rFonts w:ascii="Book Antiqua" w:hAnsi="Book Antiqua"/>
          <w:b/>
          <w:sz w:val="24"/>
          <w:szCs w:val="24"/>
          <w:lang w:val="en-US"/>
        </w:rPr>
        <w:t>8</w:t>
      </w:r>
      <w:r w:rsidR="00C076F3" w:rsidRPr="001F1399">
        <w:rPr>
          <w:rFonts w:ascii="Book Antiqua" w:hAnsi="Book Antiqua"/>
          <w:sz w:val="24"/>
          <w:szCs w:val="24"/>
          <w:lang w:val="en-US"/>
        </w:rPr>
        <w:t>: 87 [PMID: 27023600 DOI: 10.3390/toxins8040087]</w:t>
      </w:r>
    </w:p>
    <w:p w14:paraId="53BA5762" w14:textId="0E49240F"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10</w:t>
      </w:r>
      <w:r w:rsidR="005E7C17" w:rsidRPr="001F1399">
        <w:rPr>
          <w:rFonts w:ascii="Book Antiqua" w:hAnsi="Book Antiqua"/>
          <w:sz w:val="24"/>
          <w:szCs w:val="24"/>
          <w:lang w:val="en-US"/>
        </w:rPr>
        <w:t>2</w:t>
      </w:r>
      <w:r w:rsidRPr="001F1399">
        <w:rPr>
          <w:rFonts w:ascii="Book Antiqua" w:hAnsi="Book Antiqua"/>
          <w:sz w:val="24"/>
          <w:szCs w:val="24"/>
          <w:lang w:val="en-US"/>
        </w:rPr>
        <w:t xml:space="preserve"> </w:t>
      </w:r>
      <w:r w:rsidRPr="001F1399">
        <w:rPr>
          <w:rFonts w:ascii="Book Antiqua" w:hAnsi="Book Antiqua"/>
          <w:b/>
          <w:sz w:val="24"/>
          <w:szCs w:val="24"/>
          <w:lang w:val="en-US"/>
        </w:rPr>
        <w:t>Kristensen P</w:t>
      </w:r>
      <w:r w:rsidRPr="001F1399">
        <w:rPr>
          <w:rFonts w:ascii="Book Antiqua" w:hAnsi="Book Antiqua"/>
          <w:sz w:val="24"/>
          <w:szCs w:val="24"/>
          <w:lang w:val="en-US"/>
        </w:rPr>
        <w:t xml:space="preserve">, Irgens LM, Andersen A, Bye AS, Sundheim L. Gestational age, birth weight, and perinatal death among births to Norwegian farmers, 1967-1991. </w:t>
      </w:r>
      <w:r w:rsidRPr="001F1399">
        <w:rPr>
          <w:rFonts w:ascii="Book Antiqua" w:hAnsi="Book Antiqua"/>
          <w:i/>
          <w:sz w:val="24"/>
          <w:szCs w:val="24"/>
          <w:lang w:val="en-US"/>
        </w:rPr>
        <w:t>Am J Epidemiol</w:t>
      </w:r>
      <w:r w:rsidRPr="001F1399">
        <w:rPr>
          <w:rFonts w:ascii="Book Antiqua" w:hAnsi="Book Antiqua"/>
          <w:sz w:val="24"/>
          <w:szCs w:val="24"/>
          <w:lang w:val="en-US"/>
        </w:rPr>
        <w:t xml:space="preserve"> 1997; </w:t>
      </w:r>
      <w:r w:rsidRPr="001F1399">
        <w:rPr>
          <w:rFonts w:ascii="Book Antiqua" w:hAnsi="Book Antiqua"/>
          <w:b/>
          <w:sz w:val="24"/>
          <w:szCs w:val="24"/>
          <w:lang w:val="en-US"/>
        </w:rPr>
        <w:t>146</w:t>
      </w:r>
      <w:r w:rsidRPr="001F1399">
        <w:rPr>
          <w:rFonts w:ascii="Book Antiqua" w:hAnsi="Book Antiqua"/>
          <w:sz w:val="24"/>
          <w:szCs w:val="24"/>
          <w:lang w:val="en-US"/>
        </w:rPr>
        <w:t>: 329-338 [PMID: 9270412 DOI: 10.1093/oxfordjournals.aje.a009274]</w:t>
      </w:r>
    </w:p>
    <w:p w14:paraId="2EB73D18" w14:textId="3DDE5D7D" w:rsidR="00C076F3" w:rsidRPr="001F1399" w:rsidRDefault="005E7C17"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103</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Smith LE</w:t>
      </w:r>
      <w:r w:rsidR="00C076F3" w:rsidRPr="001F1399">
        <w:rPr>
          <w:rFonts w:ascii="Book Antiqua" w:hAnsi="Book Antiqua"/>
          <w:sz w:val="24"/>
          <w:szCs w:val="24"/>
          <w:lang w:val="en-US"/>
        </w:rPr>
        <w:t xml:space="preserve">, Prendergast AJ, Turner PC, Humphrey JH, Stoltzfus RJ. Aflatoxin Exposure During Pregnancy, Maternal Anemia, and Adverse Birth Outcomes. </w:t>
      </w:r>
      <w:r w:rsidR="00C076F3" w:rsidRPr="001F1399">
        <w:rPr>
          <w:rFonts w:ascii="Book Antiqua" w:hAnsi="Book Antiqua"/>
          <w:i/>
          <w:sz w:val="24"/>
          <w:szCs w:val="24"/>
          <w:lang w:val="en-US"/>
        </w:rPr>
        <w:t>Am J Trop Med Hyg</w:t>
      </w:r>
      <w:r w:rsidR="00C076F3" w:rsidRPr="001F1399">
        <w:rPr>
          <w:rFonts w:ascii="Book Antiqua" w:hAnsi="Book Antiqua"/>
          <w:sz w:val="24"/>
          <w:szCs w:val="24"/>
          <w:lang w:val="en-US"/>
        </w:rPr>
        <w:t xml:space="preserve"> 2017; </w:t>
      </w:r>
      <w:r w:rsidR="00C076F3" w:rsidRPr="001F1399">
        <w:rPr>
          <w:rFonts w:ascii="Book Antiqua" w:hAnsi="Book Antiqua"/>
          <w:b/>
          <w:sz w:val="24"/>
          <w:szCs w:val="24"/>
          <w:lang w:val="en-US"/>
        </w:rPr>
        <w:t>96</w:t>
      </w:r>
      <w:r w:rsidR="00C076F3" w:rsidRPr="001F1399">
        <w:rPr>
          <w:rFonts w:ascii="Book Antiqua" w:hAnsi="Book Antiqua"/>
          <w:sz w:val="24"/>
          <w:szCs w:val="24"/>
          <w:lang w:val="en-US"/>
        </w:rPr>
        <w:t>: 770-776 [PMID: 28500823 DOI: 10.4269/ajtmh.16-0730]</w:t>
      </w:r>
    </w:p>
    <w:p w14:paraId="46AF8A2D" w14:textId="4807423F" w:rsidR="00C076F3" w:rsidRPr="001F1399" w:rsidRDefault="005E7C17"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104</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Hernandez-Vargas H</w:t>
      </w:r>
      <w:r w:rsidR="00C076F3" w:rsidRPr="001F1399">
        <w:rPr>
          <w:rFonts w:ascii="Book Antiqua" w:hAnsi="Book Antiqua"/>
          <w:sz w:val="24"/>
          <w:szCs w:val="24"/>
          <w:lang w:val="en-US"/>
        </w:rPr>
        <w:t xml:space="preserve">, Castelino J, Silver MJ, Dominguez-Salas P, Cros MP, Durand G, Le Calvez-Kelm F, Prentice AM, Wild CP, Moore SE, Hennig BJ, Herceg Z, Gong YY, Routledge MN. Exposure to aflatoxin B1 in utero is associated with DNA methylation in white blood cells of infants in The Gambia. </w:t>
      </w:r>
      <w:r w:rsidR="00C076F3" w:rsidRPr="001F1399">
        <w:rPr>
          <w:rFonts w:ascii="Book Antiqua" w:hAnsi="Book Antiqua"/>
          <w:i/>
          <w:sz w:val="24"/>
          <w:szCs w:val="24"/>
          <w:lang w:val="en-US"/>
        </w:rPr>
        <w:t>Int J Epidemiol</w:t>
      </w:r>
      <w:r w:rsidR="00C076F3" w:rsidRPr="001F1399">
        <w:rPr>
          <w:rFonts w:ascii="Book Antiqua" w:hAnsi="Book Antiqua"/>
          <w:sz w:val="24"/>
          <w:szCs w:val="24"/>
          <w:lang w:val="en-US"/>
        </w:rPr>
        <w:t xml:space="preserve"> 2015; </w:t>
      </w:r>
      <w:r w:rsidR="00C076F3" w:rsidRPr="001F1399">
        <w:rPr>
          <w:rFonts w:ascii="Book Antiqua" w:hAnsi="Book Antiqua"/>
          <w:b/>
          <w:sz w:val="24"/>
          <w:szCs w:val="24"/>
          <w:lang w:val="en-US"/>
        </w:rPr>
        <w:t>44</w:t>
      </w:r>
      <w:r w:rsidR="00C076F3" w:rsidRPr="001F1399">
        <w:rPr>
          <w:rFonts w:ascii="Book Antiqua" w:hAnsi="Book Antiqua"/>
          <w:sz w:val="24"/>
          <w:szCs w:val="24"/>
          <w:lang w:val="en-US"/>
        </w:rPr>
        <w:t>: 1238-1248 [PMID: 25855716 DOI: 10.1093/ije/dyv027]</w:t>
      </w:r>
    </w:p>
    <w:p w14:paraId="5754ACA0" w14:textId="6B50C6B8" w:rsidR="00C076F3" w:rsidRPr="001F1399" w:rsidRDefault="005E7C17"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105</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Demirel G</w:t>
      </w:r>
      <w:r w:rsidR="00C076F3" w:rsidRPr="001F1399">
        <w:rPr>
          <w:rFonts w:ascii="Book Antiqua" w:hAnsi="Book Antiqua"/>
          <w:sz w:val="24"/>
          <w:szCs w:val="24"/>
          <w:lang w:val="en-US"/>
        </w:rPr>
        <w:t xml:space="preserve">, Alpertunga B, Ozden S. Role of fumonisin B1 on DNA methylation changes in rat kidney and liver cells. </w:t>
      </w:r>
      <w:r w:rsidR="00C076F3" w:rsidRPr="001F1399">
        <w:rPr>
          <w:rFonts w:ascii="Book Antiqua" w:hAnsi="Book Antiqua"/>
          <w:i/>
          <w:sz w:val="24"/>
          <w:szCs w:val="24"/>
          <w:lang w:val="en-US"/>
        </w:rPr>
        <w:t>Pharm Biol</w:t>
      </w:r>
      <w:r w:rsidR="00C076F3" w:rsidRPr="001F1399">
        <w:rPr>
          <w:rFonts w:ascii="Book Antiqua" w:hAnsi="Book Antiqua"/>
          <w:sz w:val="24"/>
          <w:szCs w:val="24"/>
          <w:lang w:val="en-US"/>
        </w:rPr>
        <w:t xml:space="preserve"> 2015; </w:t>
      </w:r>
      <w:r w:rsidR="00C076F3" w:rsidRPr="001F1399">
        <w:rPr>
          <w:rFonts w:ascii="Book Antiqua" w:hAnsi="Book Antiqua"/>
          <w:b/>
          <w:sz w:val="24"/>
          <w:szCs w:val="24"/>
          <w:lang w:val="en-US"/>
        </w:rPr>
        <w:t>53</w:t>
      </w:r>
      <w:r w:rsidR="00C076F3" w:rsidRPr="001F1399">
        <w:rPr>
          <w:rFonts w:ascii="Book Antiqua" w:hAnsi="Book Antiqua"/>
          <w:sz w:val="24"/>
          <w:szCs w:val="24"/>
          <w:lang w:val="en-US"/>
        </w:rPr>
        <w:t>: 1302-1310 [PMID: 25858139 DOI: 10.3109/13880209.2014.976714]</w:t>
      </w:r>
    </w:p>
    <w:p w14:paraId="666F4C84" w14:textId="1B20D32A" w:rsidR="00C076F3" w:rsidRPr="001F1399" w:rsidRDefault="005E7C17"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106</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Wangikar PB</w:t>
      </w:r>
      <w:r w:rsidR="00C076F3" w:rsidRPr="001F1399">
        <w:rPr>
          <w:rFonts w:ascii="Book Antiqua" w:hAnsi="Book Antiqua"/>
          <w:sz w:val="24"/>
          <w:szCs w:val="24"/>
          <w:lang w:val="en-US"/>
        </w:rPr>
        <w:t xml:space="preserve">, Dwivedi P, Sinha N. Effect in rats of simultaneous prenatal exposure to ochratoxin A and aflatoxin B1. I. Maternal toxicity and fetal malformations. </w:t>
      </w:r>
      <w:r w:rsidR="00C076F3" w:rsidRPr="001F1399">
        <w:rPr>
          <w:rFonts w:ascii="Book Antiqua" w:hAnsi="Book Antiqua"/>
          <w:i/>
          <w:sz w:val="24"/>
          <w:szCs w:val="24"/>
          <w:lang w:val="en-US"/>
        </w:rPr>
        <w:t>Birth Defects Res B Dev Reprod Toxicol</w:t>
      </w:r>
      <w:r w:rsidR="00C076F3" w:rsidRPr="001F1399">
        <w:rPr>
          <w:rFonts w:ascii="Book Antiqua" w:hAnsi="Book Antiqua"/>
          <w:sz w:val="24"/>
          <w:szCs w:val="24"/>
          <w:lang w:val="en-US"/>
        </w:rPr>
        <w:t xml:space="preserve"> 2004; </w:t>
      </w:r>
      <w:r w:rsidR="00C076F3" w:rsidRPr="001F1399">
        <w:rPr>
          <w:rFonts w:ascii="Book Antiqua" w:hAnsi="Book Antiqua"/>
          <w:b/>
          <w:sz w:val="24"/>
          <w:szCs w:val="24"/>
          <w:lang w:val="en-US"/>
        </w:rPr>
        <w:t>71</w:t>
      </w:r>
      <w:r w:rsidR="00C076F3" w:rsidRPr="001F1399">
        <w:rPr>
          <w:rFonts w:ascii="Book Antiqua" w:hAnsi="Book Antiqua"/>
          <w:sz w:val="24"/>
          <w:szCs w:val="24"/>
          <w:lang w:val="en-US"/>
        </w:rPr>
        <w:t>: 343-351 [PMID: 15617020 DOI: 10.1002/bdrb.20021]</w:t>
      </w:r>
    </w:p>
    <w:p w14:paraId="56D74E5A" w14:textId="392D4503" w:rsidR="00C076F3" w:rsidRPr="001F1399" w:rsidRDefault="005E7C17"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107</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Arora RG</w:t>
      </w:r>
      <w:r w:rsidR="00C076F3" w:rsidRPr="001F1399">
        <w:rPr>
          <w:rFonts w:ascii="Book Antiqua" w:hAnsi="Book Antiqua"/>
          <w:sz w:val="24"/>
          <w:szCs w:val="24"/>
          <w:lang w:val="en-US"/>
        </w:rPr>
        <w:t xml:space="preserve">, Appelgren LE, Bergman A. Distribution of [14C]-labelled aflatoxin B1 in mice. </w:t>
      </w:r>
      <w:r w:rsidR="00C076F3" w:rsidRPr="001F1399">
        <w:rPr>
          <w:rFonts w:ascii="Book Antiqua" w:hAnsi="Book Antiqua"/>
          <w:i/>
          <w:sz w:val="24"/>
          <w:szCs w:val="24"/>
          <w:lang w:val="en-US"/>
        </w:rPr>
        <w:t>Acta Pharmacol Toxicol (Copenh)</w:t>
      </w:r>
      <w:r w:rsidR="00C076F3" w:rsidRPr="001F1399">
        <w:rPr>
          <w:rFonts w:ascii="Book Antiqua" w:hAnsi="Book Antiqua"/>
          <w:sz w:val="24"/>
          <w:szCs w:val="24"/>
          <w:lang w:val="en-US"/>
        </w:rPr>
        <w:t xml:space="preserve"> 1978; </w:t>
      </w:r>
      <w:r w:rsidR="00C076F3" w:rsidRPr="001F1399">
        <w:rPr>
          <w:rFonts w:ascii="Book Antiqua" w:hAnsi="Book Antiqua"/>
          <w:b/>
          <w:sz w:val="24"/>
          <w:szCs w:val="24"/>
          <w:lang w:val="en-US"/>
        </w:rPr>
        <w:t>43</w:t>
      </w:r>
      <w:r w:rsidR="00C076F3" w:rsidRPr="001F1399">
        <w:rPr>
          <w:rFonts w:ascii="Book Antiqua" w:hAnsi="Book Antiqua"/>
          <w:sz w:val="24"/>
          <w:szCs w:val="24"/>
          <w:lang w:val="en-US"/>
        </w:rPr>
        <w:t>: 273-279 [PMID: 716944 DOI: 10.1111/j.1600-0773.1978.tb02265.x]</w:t>
      </w:r>
    </w:p>
    <w:p w14:paraId="1CE5A9D7" w14:textId="322877E3" w:rsidR="00C076F3" w:rsidRPr="001F1399" w:rsidRDefault="005E7C17"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108</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Collins TF</w:t>
      </w:r>
      <w:r w:rsidR="00C076F3" w:rsidRPr="001F1399">
        <w:rPr>
          <w:rFonts w:ascii="Book Antiqua" w:hAnsi="Book Antiqua"/>
          <w:sz w:val="24"/>
          <w:szCs w:val="24"/>
          <w:lang w:val="en-US"/>
        </w:rPr>
        <w:t xml:space="preserve">, Sprando RL, Black TN, Olejnik N, Eppley RM, Alam HZ, Rorie J, Ruggles DI. Effects of zearalenone on in utero development in rats. </w:t>
      </w:r>
      <w:r w:rsidR="00C076F3" w:rsidRPr="001F1399">
        <w:rPr>
          <w:rFonts w:ascii="Book Antiqua" w:hAnsi="Book Antiqua"/>
          <w:i/>
          <w:sz w:val="24"/>
          <w:szCs w:val="24"/>
          <w:lang w:val="en-US"/>
        </w:rPr>
        <w:t>Food Chem Toxicol</w:t>
      </w:r>
      <w:r w:rsidR="00C076F3" w:rsidRPr="001F1399">
        <w:rPr>
          <w:rFonts w:ascii="Book Antiqua" w:hAnsi="Book Antiqua"/>
          <w:sz w:val="24"/>
          <w:szCs w:val="24"/>
          <w:lang w:val="en-US"/>
        </w:rPr>
        <w:t xml:space="preserve"> 2006; </w:t>
      </w:r>
      <w:r w:rsidR="00C076F3" w:rsidRPr="001F1399">
        <w:rPr>
          <w:rFonts w:ascii="Book Antiqua" w:hAnsi="Book Antiqua"/>
          <w:b/>
          <w:sz w:val="24"/>
          <w:szCs w:val="24"/>
          <w:lang w:val="en-US"/>
        </w:rPr>
        <w:t>44</w:t>
      </w:r>
      <w:r w:rsidR="00C076F3" w:rsidRPr="001F1399">
        <w:rPr>
          <w:rFonts w:ascii="Book Antiqua" w:hAnsi="Book Antiqua"/>
          <w:sz w:val="24"/>
          <w:szCs w:val="24"/>
          <w:lang w:val="en-US"/>
        </w:rPr>
        <w:t>: 1455-1465 [PMID: 16797818 DOI: 10.1016/j.fct.2006.04.015]</w:t>
      </w:r>
    </w:p>
    <w:p w14:paraId="31B15A19" w14:textId="783293D8" w:rsidR="00C076F3" w:rsidRPr="001F1399" w:rsidRDefault="005E7C17"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109</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Menard S</w:t>
      </w:r>
      <w:r w:rsidR="00C076F3" w:rsidRPr="001F1399">
        <w:rPr>
          <w:rFonts w:ascii="Book Antiqua" w:hAnsi="Book Antiqua"/>
          <w:sz w:val="24"/>
          <w:szCs w:val="24"/>
          <w:lang w:val="en-US"/>
        </w:rPr>
        <w:t xml:space="preserve">, Guzylack-Piriou L, Leveque M, Braniste V, Lencina C, Naturel M, Moussa L, Sekkal S, Harkat C, Gaultier E, Theodorou V, Houdeau E. Food intolerance at adulthood after perinatal exposure to the endocrine disruptor bisphenol A. </w:t>
      </w:r>
      <w:r w:rsidR="00C076F3" w:rsidRPr="001F1399">
        <w:rPr>
          <w:rFonts w:ascii="Book Antiqua" w:hAnsi="Book Antiqua"/>
          <w:i/>
          <w:sz w:val="24"/>
          <w:szCs w:val="24"/>
          <w:lang w:val="en-US"/>
        </w:rPr>
        <w:t>FASEB J</w:t>
      </w:r>
      <w:r w:rsidR="00C076F3" w:rsidRPr="001F1399">
        <w:rPr>
          <w:rFonts w:ascii="Book Antiqua" w:hAnsi="Book Antiqua"/>
          <w:sz w:val="24"/>
          <w:szCs w:val="24"/>
          <w:lang w:val="en-US"/>
        </w:rPr>
        <w:t xml:space="preserve"> 2014; </w:t>
      </w:r>
      <w:r w:rsidR="00C076F3" w:rsidRPr="001F1399">
        <w:rPr>
          <w:rFonts w:ascii="Book Antiqua" w:hAnsi="Book Antiqua"/>
          <w:b/>
          <w:sz w:val="24"/>
          <w:szCs w:val="24"/>
          <w:lang w:val="en-US"/>
        </w:rPr>
        <w:t>28</w:t>
      </w:r>
      <w:r w:rsidR="00C076F3" w:rsidRPr="001F1399">
        <w:rPr>
          <w:rFonts w:ascii="Book Antiqua" w:hAnsi="Book Antiqua"/>
          <w:sz w:val="24"/>
          <w:szCs w:val="24"/>
          <w:lang w:val="en-US"/>
        </w:rPr>
        <w:t>: 4893-4900 [PMID: 25085925 DOI: 10.1096/fj.14-255380]</w:t>
      </w:r>
    </w:p>
    <w:p w14:paraId="7BDA455F" w14:textId="69D75FB0" w:rsidR="00C076F3" w:rsidRPr="001F1399" w:rsidRDefault="005E197E" w:rsidP="002974FA">
      <w:pPr>
        <w:adjustRightInd w:val="0"/>
        <w:snapToGrid w:val="0"/>
        <w:spacing w:after="0" w:line="360" w:lineRule="auto"/>
        <w:jc w:val="both"/>
        <w:rPr>
          <w:rFonts w:ascii="Book Antiqua" w:hAnsi="Book Antiqua"/>
          <w:sz w:val="24"/>
          <w:szCs w:val="24"/>
        </w:rPr>
      </w:pPr>
      <w:r w:rsidRPr="001F1399">
        <w:rPr>
          <w:rFonts w:ascii="Book Antiqua" w:hAnsi="Book Antiqua"/>
          <w:sz w:val="24"/>
          <w:szCs w:val="24"/>
          <w:lang w:val="en-US"/>
        </w:rPr>
        <w:lastRenderedPageBreak/>
        <w:t>110</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Fromme H</w:t>
      </w:r>
      <w:r w:rsidR="00C076F3" w:rsidRPr="001F1399">
        <w:rPr>
          <w:rFonts w:ascii="Book Antiqua" w:hAnsi="Book Antiqua"/>
          <w:sz w:val="24"/>
          <w:szCs w:val="24"/>
          <w:lang w:val="en-US"/>
        </w:rPr>
        <w:t xml:space="preserve">, Mosch C, Morovitz M, Alba-Alejandre I, Boehmer S, Kiranoglu M, Faber F, Hannibal I, Genzel-Boroviczény O, Koletzko B, Völkel W. Pre- and postnatal exposure to perfluorinated compounds (PFCs). </w:t>
      </w:r>
      <w:r w:rsidR="00C076F3" w:rsidRPr="001F1399">
        <w:rPr>
          <w:rFonts w:ascii="Book Antiqua" w:hAnsi="Book Antiqua"/>
          <w:i/>
          <w:sz w:val="24"/>
          <w:szCs w:val="24"/>
        </w:rPr>
        <w:t>Environ Sci Technol</w:t>
      </w:r>
      <w:r w:rsidR="00C076F3" w:rsidRPr="001F1399">
        <w:rPr>
          <w:rFonts w:ascii="Book Antiqua" w:hAnsi="Book Antiqua"/>
          <w:sz w:val="24"/>
          <w:szCs w:val="24"/>
        </w:rPr>
        <w:t xml:space="preserve"> 2010; </w:t>
      </w:r>
      <w:r w:rsidR="00C076F3" w:rsidRPr="001F1399">
        <w:rPr>
          <w:rFonts w:ascii="Book Antiqua" w:hAnsi="Book Antiqua"/>
          <w:b/>
          <w:sz w:val="24"/>
          <w:szCs w:val="24"/>
        </w:rPr>
        <w:t>44</w:t>
      </w:r>
      <w:r w:rsidR="00C076F3" w:rsidRPr="001F1399">
        <w:rPr>
          <w:rFonts w:ascii="Book Antiqua" w:hAnsi="Book Antiqua"/>
          <w:sz w:val="24"/>
          <w:szCs w:val="24"/>
        </w:rPr>
        <w:t>: 7123-7129 [PMID: 20722423 DOI: 10.1021/es101184f]</w:t>
      </w:r>
    </w:p>
    <w:p w14:paraId="7FA45AF9" w14:textId="4B1C41ED"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rPr>
        <w:t>11</w:t>
      </w:r>
      <w:r w:rsidR="005E197E" w:rsidRPr="001F1399">
        <w:rPr>
          <w:rFonts w:ascii="Book Antiqua" w:hAnsi="Book Antiqua"/>
          <w:sz w:val="24"/>
          <w:szCs w:val="24"/>
        </w:rPr>
        <w:t>1</w:t>
      </w:r>
      <w:r w:rsidRPr="001F1399">
        <w:rPr>
          <w:rFonts w:ascii="Book Antiqua" w:hAnsi="Book Antiqua"/>
          <w:sz w:val="24"/>
          <w:szCs w:val="24"/>
        </w:rPr>
        <w:t xml:space="preserve"> </w:t>
      </w:r>
      <w:r w:rsidRPr="001F1399">
        <w:rPr>
          <w:rFonts w:ascii="Book Antiqua" w:hAnsi="Book Antiqua"/>
          <w:b/>
          <w:sz w:val="24"/>
          <w:szCs w:val="24"/>
        </w:rPr>
        <w:t>Dietert RR</w:t>
      </w:r>
      <w:r w:rsidRPr="001F1399">
        <w:rPr>
          <w:rFonts w:ascii="Book Antiqua" w:hAnsi="Book Antiqua"/>
          <w:sz w:val="24"/>
          <w:szCs w:val="24"/>
        </w:rPr>
        <w:t xml:space="preserve">, Dietert JM. </w:t>
      </w:r>
      <w:r w:rsidRPr="001F1399">
        <w:rPr>
          <w:rFonts w:ascii="Book Antiqua" w:hAnsi="Book Antiqua"/>
          <w:sz w:val="24"/>
          <w:szCs w:val="24"/>
          <w:lang w:val="en-US"/>
        </w:rPr>
        <w:t xml:space="preserve">Potential for early-life immune insult including developmental immunotoxicity in autism and autism spectrum disorders: focus on critical windows of immune vulnerability. </w:t>
      </w:r>
      <w:r w:rsidRPr="001F1399">
        <w:rPr>
          <w:rFonts w:ascii="Book Antiqua" w:hAnsi="Book Antiqua"/>
          <w:i/>
          <w:sz w:val="24"/>
          <w:szCs w:val="24"/>
          <w:lang w:val="en-US"/>
        </w:rPr>
        <w:t>J Toxicol Environ Health B Crit Rev</w:t>
      </w:r>
      <w:r w:rsidRPr="001F1399">
        <w:rPr>
          <w:rFonts w:ascii="Book Antiqua" w:hAnsi="Book Antiqua"/>
          <w:sz w:val="24"/>
          <w:szCs w:val="24"/>
          <w:lang w:val="en-US"/>
        </w:rPr>
        <w:t xml:space="preserve"> 2008; </w:t>
      </w:r>
      <w:r w:rsidRPr="001F1399">
        <w:rPr>
          <w:rFonts w:ascii="Book Antiqua" w:hAnsi="Book Antiqua"/>
          <w:b/>
          <w:sz w:val="24"/>
          <w:szCs w:val="24"/>
          <w:lang w:val="en-US"/>
        </w:rPr>
        <w:t>11</w:t>
      </w:r>
      <w:r w:rsidRPr="001F1399">
        <w:rPr>
          <w:rFonts w:ascii="Book Antiqua" w:hAnsi="Book Antiqua"/>
          <w:sz w:val="24"/>
          <w:szCs w:val="24"/>
          <w:lang w:val="en-US"/>
        </w:rPr>
        <w:t>: 660-680 [PMID: 18821424 DOI: 10.1080/10937400802370923]</w:t>
      </w:r>
    </w:p>
    <w:p w14:paraId="5F430043" w14:textId="7C46EBAB"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112</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Park HY</w:t>
      </w:r>
      <w:r w:rsidR="00C076F3" w:rsidRPr="001F1399">
        <w:rPr>
          <w:rFonts w:ascii="Book Antiqua" w:hAnsi="Book Antiqua"/>
          <w:sz w:val="24"/>
          <w:szCs w:val="24"/>
          <w:lang w:val="en-US"/>
        </w:rPr>
        <w:t xml:space="preserve">, Hertz-Picciotto I, Sovcikova E, Kocan A, Drobna B, Trnovec T. Neurodevelopmental toxicity of prenatal polychlorinated biphenyls (PCBs) by chemical structure and activity: a birth cohort study. </w:t>
      </w:r>
      <w:r w:rsidR="00C076F3" w:rsidRPr="001F1399">
        <w:rPr>
          <w:rFonts w:ascii="Book Antiqua" w:hAnsi="Book Antiqua"/>
          <w:i/>
          <w:sz w:val="24"/>
          <w:szCs w:val="24"/>
          <w:lang w:val="en-US"/>
        </w:rPr>
        <w:t>Environ Health</w:t>
      </w:r>
      <w:r w:rsidR="00C076F3" w:rsidRPr="001F1399">
        <w:rPr>
          <w:rFonts w:ascii="Book Antiqua" w:hAnsi="Book Antiqua"/>
          <w:sz w:val="24"/>
          <w:szCs w:val="24"/>
          <w:lang w:val="en-US"/>
        </w:rPr>
        <w:t xml:space="preserve"> 2010; </w:t>
      </w:r>
      <w:r w:rsidR="00C076F3" w:rsidRPr="001F1399">
        <w:rPr>
          <w:rFonts w:ascii="Book Antiqua" w:hAnsi="Book Antiqua"/>
          <w:b/>
          <w:sz w:val="24"/>
          <w:szCs w:val="24"/>
          <w:lang w:val="en-US"/>
        </w:rPr>
        <w:t>9</w:t>
      </w:r>
      <w:r w:rsidR="00C076F3" w:rsidRPr="001F1399">
        <w:rPr>
          <w:rFonts w:ascii="Book Antiqua" w:hAnsi="Book Antiqua"/>
          <w:sz w:val="24"/>
          <w:szCs w:val="24"/>
          <w:lang w:val="en-US"/>
        </w:rPr>
        <w:t>: 51 [PMID: 20731829 DOI: 10.1186/1476-069X-9-51]</w:t>
      </w:r>
    </w:p>
    <w:p w14:paraId="286DE348" w14:textId="77C9E800"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113</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Ribas-Fitó N</w:t>
      </w:r>
      <w:r w:rsidR="00C076F3" w:rsidRPr="001F1399">
        <w:rPr>
          <w:rFonts w:ascii="Book Antiqua" w:hAnsi="Book Antiqua"/>
          <w:sz w:val="24"/>
          <w:szCs w:val="24"/>
          <w:lang w:val="en-US"/>
        </w:rPr>
        <w:t xml:space="preserve">, Sala M, Kogevinas M, Sunyer J. Polychlorinated biphenyls (PCBs) and neurological development in children: a systematic review. </w:t>
      </w:r>
      <w:r w:rsidR="00C076F3" w:rsidRPr="001F1399">
        <w:rPr>
          <w:rFonts w:ascii="Book Antiqua" w:hAnsi="Book Antiqua"/>
          <w:i/>
          <w:sz w:val="24"/>
          <w:szCs w:val="24"/>
          <w:lang w:val="en-US"/>
        </w:rPr>
        <w:t>J Epidemiol Community Health</w:t>
      </w:r>
      <w:r w:rsidR="00C076F3" w:rsidRPr="001F1399">
        <w:rPr>
          <w:rFonts w:ascii="Book Antiqua" w:hAnsi="Book Antiqua"/>
          <w:sz w:val="24"/>
          <w:szCs w:val="24"/>
          <w:lang w:val="en-US"/>
        </w:rPr>
        <w:t xml:space="preserve"> 2001; </w:t>
      </w:r>
      <w:r w:rsidR="00C076F3" w:rsidRPr="001F1399">
        <w:rPr>
          <w:rFonts w:ascii="Book Antiqua" w:hAnsi="Book Antiqua"/>
          <w:b/>
          <w:sz w:val="24"/>
          <w:szCs w:val="24"/>
          <w:lang w:val="en-US"/>
        </w:rPr>
        <w:t>55</w:t>
      </w:r>
      <w:r w:rsidR="00C076F3" w:rsidRPr="001F1399">
        <w:rPr>
          <w:rFonts w:ascii="Book Antiqua" w:hAnsi="Book Antiqua"/>
          <w:sz w:val="24"/>
          <w:szCs w:val="24"/>
          <w:lang w:val="en-US"/>
        </w:rPr>
        <w:t>: 537-546 [PMID: 11449010 DOI: 10.1136/jech.55.8.537]</w:t>
      </w:r>
    </w:p>
    <w:p w14:paraId="1AB50BF0" w14:textId="1129F566"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114</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Walkowiak J</w:t>
      </w:r>
      <w:r w:rsidR="00C076F3" w:rsidRPr="001F1399">
        <w:rPr>
          <w:rFonts w:ascii="Book Antiqua" w:hAnsi="Book Antiqua"/>
          <w:sz w:val="24"/>
          <w:szCs w:val="24"/>
          <w:lang w:val="en-US"/>
        </w:rPr>
        <w:t xml:space="preserve">, Wiener JA, Fastabend A, Heinzow B, Krämer U, Schmidt E, Steingrüber HJ, Wundram S, Winneke G. Environmental exposure to polychlorinated biphenyls and quality of the home environment: effects on psychodevelopment in early childhood. </w:t>
      </w:r>
      <w:r w:rsidR="00C076F3" w:rsidRPr="001F1399">
        <w:rPr>
          <w:rFonts w:ascii="Book Antiqua" w:hAnsi="Book Antiqua"/>
          <w:i/>
          <w:sz w:val="24"/>
          <w:szCs w:val="24"/>
          <w:lang w:val="en-US"/>
        </w:rPr>
        <w:t>Lancet</w:t>
      </w:r>
      <w:r w:rsidR="00C076F3" w:rsidRPr="001F1399">
        <w:rPr>
          <w:rFonts w:ascii="Book Antiqua" w:hAnsi="Book Antiqua"/>
          <w:sz w:val="24"/>
          <w:szCs w:val="24"/>
          <w:lang w:val="en-US"/>
        </w:rPr>
        <w:t xml:space="preserve"> 2001; </w:t>
      </w:r>
      <w:r w:rsidR="00C076F3" w:rsidRPr="001F1399">
        <w:rPr>
          <w:rFonts w:ascii="Book Antiqua" w:hAnsi="Book Antiqua"/>
          <w:b/>
          <w:sz w:val="24"/>
          <w:szCs w:val="24"/>
          <w:lang w:val="en-US"/>
        </w:rPr>
        <w:t>358</w:t>
      </w:r>
      <w:r w:rsidR="00C076F3" w:rsidRPr="001F1399">
        <w:rPr>
          <w:rFonts w:ascii="Book Antiqua" w:hAnsi="Book Antiqua"/>
          <w:sz w:val="24"/>
          <w:szCs w:val="24"/>
          <w:lang w:val="en-US"/>
        </w:rPr>
        <w:t>: 1602-1607 [PMID: 11716887 DOI: 10.1016/S0140-6736(01)06654-5]</w:t>
      </w:r>
    </w:p>
    <w:p w14:paraId="2E97B44E" w14:textId="5BB9AE3D"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115</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Claus SP</w:t>
      </w:r>
      <w:r w:rsidR="00C076F3" w:rsidRPr="001F1399">
        <w:rPr>
          <w:rFonts w:ascii="Book Antiqua" w:hAnsi="Book Antiqua"/>
          <w:sz w:val="24"/>
          <w:szCs w:val="24"/>
          <w:lang w:val="en-US"/>
        </w:rPr>
        <w:t xml:space="preserve">, Guillou H, Ellero-Simatos S. The gut microbiota: a major player in the toxicity of environmental pollutants? </w:t>
      </w:r>
      <w:r w:rsidR="00C076F3" w:rsidRPr="001F1399">
        <w:rPr>
          <w:rFonts w:ascii="Book Antiqua" w:hAnsi="Book Antiqua"/>
          <w:i/>
          <w:sz w:val="24"/>
          <w:szCs w:val="24"/>
          <w:lang w:val="en-US"/>
        </w:rPr>
        <w:t>NPJ Biofilms Microbiomes</w:t>
      </w:r>
      <w:r w:rsidR="00C076F3" w:rsidRPr="001F1399">
        <w:rPr>
          <w:rFonts w:ascii="Book Antiqua" w:hAnsi="Book Antiqua"/>
          <w:sz w:val="24"/>
          <w:szCs w:val="24"/>
          <w:lang w:val="en-US"/>
        </w:rPr>
        <w:t xml:space="preserve"> 2016; </w:t>
      </w:r>
      <w:r w:rsidR="00C076F3" w:rsidRPr="001F1399">
        <w:rPr>
          <w:rFonts w:ascii="Book Antiqua" w:hAnsi="Book Antiqua"/>
          <w:b/>
          <w:sz w:val="24"/>
          <w:szCs w:val="24"/>
          <w:lang w:val="en-US"/>
        </w:rPr>
        <w:t>2</w:t>
      </w:r>
      <w:r w:rsidR="00C076F3" w:rsidRPr="001F1399">
        <w:rPr>
          <w:rFonts w:ascii="Book Antiqua" w:hAnsi="Book Antiqua"/>
          <w:sz w:val="24"/>
          <w:szCs w:val="24"/>
          <w:lang w:val="en-US"/>
        </w:rPr>
        <w:t>: 16003 [PMID: 28721242 DOI: 10.1038/npjbiofilms.2016.3]</w:t>
      </w:r>
    </w:p>
    <w:p w14:paraId="0CECDE12" w14:textId="24D4F4F4"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116</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Clemens S</w:t>
      </w:r>
      <w:r w:rsidR="00C076F3" w:rsidRPr="001F1399">
        <w:rPr>
          <w:rFonts w:ascii="Book Antiqua" w:hAnsi="Book Antiqua"/>
          <w:sz w:val="24"/>
          <w:szCs w:val="24"/>
          <w:lang w:val="en-US"/>
        </w:rPr>
        <w:t xml:space="preserve">, Ma JF. Toxic Heavy Metal and Metalloid Accumulation in Crop Plants and Foods. </w:t>
      </w:r>
      <w:r w:rsidR="00C076F3" w:rsidRPr="001F1399">
        <w:rPr>
          <w:rFonts w:ascii="Book Antiqua" w:hAnsi="Book Antiqua"/>
          <w:i/>
          <w:sz w:val="24"/>
          <w:szCs w:val="24"/>
          <w:lang w:val="en-US"/>
        </w:rPr>
        <w:t>Annu Rev Plant Biol</w:t>
      </w:r>
      <w:r w:rsidR="00C076F3" w:rsidRPr="001F1399">
        <w:rPr>
          <w:rFonts w:ascii="Book Antiqua" w:hAnsi="Book Antiqua"/>
          <w:sz w:val="24"/>
          <w:szCs w:val="24"/>
          <w:lang w:val="en-US"/>
        </w:rPr>
        <w:t xml:space="preserve"> 2016; </w:t>
      </w:r>
      <w:r w:rsidR="00C076F3" w:rsidRPr="001F1399">
        <w:rPr>
          <w:rFonts w:ascii="Book Antiqua" w:hAnsi="Book Antiqua"/>
          <w:b/>
          <w:sz w:val="24"/>
          <w:szCs w:val="24"/>
          <w:lang w:val="en-US"/>
        </w:rPr>
        <w:t>67</w:t>
      </w:r>
      <w:r w:rsidR="00C076F3" w:rsidRPr="001F1399">
        <w:rPr>
          <w:rFonts w:ascii="Book Antiqua" w:hAnsi="Book Antiqua"/>
          <w:sz w:val="24"/>
          <w:szCs w:val="24"/>
          <w:lang w:val="en-US"/>
        </w:rPr>
        <w:t>: 489-512 [PMID: 27128467 DOI: 10.1146/annurev-arplant-043015-112301]</w:t>
      </w:r>
    </w:p>
    <w:p w14:paraId="761001D2" w14:textId="001262C6"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117</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Castoldi AF</w:t>
      </w:r>
      <w:r w:rsidR="00C076F3" w:rsidRPr="001F1399">
        <w:rPr>
          <w:rFonts w:ascii="Book Antiqua" w:hAnsi="Book Antiqua"/>
          <w:sz w:val="24"/>
          <w:szCs w:val="24"/>
          <w:lang w:val="en-US"/>
        </w:rPr>
        <w:t xml:space="preserve">, Coccini T, Manzo L. Neurotoxic and molecular effects of methylmercury in humans. </w:t>
      </w:r>
      <w:r w:rsidR="00C076F3" w:rsidRPr="001F1399">
        <w:rPr>
          <w:rFonts w:ascii="Book Antiqua" w:hAnsi="Book Antiqua"/>
          <w:i/>
          <w:sz w:val="24"/>
          <w:szCs w:val="24"/>
          <w:lang w:val="en-US"/>
        </w:rPr>
        <w:t>Rev Environ Health</w:t>
      </w:r>
      <w:r w:rsidR="00C076F3" w:rsidRPr="001F1399">
        <w:rPr>
          <w:rFonts w:ascii="Book Antiqua" w:hAnsi="Book Antiqua"/>
          <w:sz w:val="24"/>
          <w:szCs w:val="24"/>
          <w:lang w:val="en-US"/>
        </w:rPr>
        <w:t xml:space="preserve"> 2003; </w:t>
      </w:r>
      <w:r w:rsidR="00C076F3" w:rsidRPr="001F1399">
        <w:rPr>
          <w:rFonts w:ascii="Book Antiqua" w:hAnsi="Book Antiqua"/>
          <w:b/>
          <w:sz w:val="24"/>
          <w:szCs w:val="24"/>
          <w:lang w:val="en-US"/>
        </w:rPr>
        <w:t>18</w:t>
      </w:r>
      <w:r w:rsidR="00C076F3" w:rsidRPr="001F1399">
        <w:rPr>
          <w:rFonts w:ascii="Book Antiqua" w:hAnsi="Book Antiqua"/>
          <w:sz w:val="24"/>
          <w:szCs w:val="24"/>
          <w:lang w:val="en-US"/>
        </w:rPr>
        <w:t>: 19-31 [PMID: 12875509 DOI: 10.1515/REVEH.2003.18.1.19]</w:t>
      </w:r>
    </w:p>
    <w:p w14:paraId="5F22D8B6" w14:textId="041E888B"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lastRenderedPageBreak/>
        <w:t>118</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Cambier S</w:t>
      </w:r>
      <w:r w:rsidR="00C076F3" w:rsidRPr="001F1399">
        <w:rPr>
          <w:rFonts w:ascii="Book Antiqua" w:hAnsi="Book Antiqua"/>
          <w:sz w:val="24"/>
          <w:szCs w:val="24"/>
          <w:lang w:val="en-US"/>
        </w:rPr>
        <w:t xml:space="preserve">, Fujimura M, Bourdineaud JP. A likely placental barrier against methylmercury in pregnant rats exposed to fish-containing diets. </w:t>
      </w:r>
      <w:r w:rsidR="00C076F3" w:rsidRPr="001F1399">
        <w:rPr>
          <w:rFonts w:ascii="Book Antiqua" w:hAnsi="Book Antiqua"/>
          <w:i/>
          <w:sz w:val="24"/>
          <w:szCs w:val="24"/>
          <w:lang w:val="en-US"/>
        </w:rPr>
        <w:t>Food Chem Toxicol</w:t>
      </w:r>
      <w:r w:rsidR="00C076F3" w:rsidRPr="001F1399">
        <w:rPr>
          <w:rFonts w:ascii="Book Antiqua" w:hAnsi="Book Antiqua"/>
          <w:sz w:val="24"/>
          <w:szCs w:val="24"/>
          <w:lang w:val="en-US"/>
        </w:rPr>
        <w:t xml:space="preserve"> 2018; </w:t>
      </w:r>
      <w:r w:rsidR="00C076F3" w:rsidRPr="001F1399">
        <w:rPr>
          <w:rFonts w:ascii="Book Antiqua" w:hAnsi="Book Antiqua"/>
          <w:b/>
          <w:sz w:val="24"/>
          <w:szCs w:val="24"/>
          <w:lang w:val="en-US"/>
        </w:rPr>
        <w:t>122</w:t>
      </w:r>
      <w:r w:rsidR="00C076F3" w:rsidRPr="001F1399">
        <w:rPr>
          <w:rFonts w:ascii="Book Antiqua" w:hAnsi="Book Antiqua"/>
          <w:sz w:val="24"/>
          <w:szCs w:val="24"/>
          <w:lang w:val="en-US"/>
        </w:rPr>
        <w:t>: 11-20 [PMID: 30273633 DOI: 10.1016/j.fct.2018.09.066]</w:t>
      </w:r>
    </w:p>
    <w:p w14:paraId="56E0AF08" w14:textId="2DA5C252"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119</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Sakamoto M</w:t>
      </w:r>
      <w:r w:rsidR="00C076F3" w:rsidRPr="001F1399">
        <w:rPr>
          <w:rFonts w:ascii="Book Antiqua" w:hAnsi="Book Antiqua"/>
          <w:sz w:val="24"/>
          <w:szCs w:val="24"/>
          <w:lang w:val="en-US"/>
        </w:rPr>
        <w:t xml:space="preserve">, Kakita A, Wakabayashi K, Takahashi H, Nakano A, Akagi H. Evaluation of changes in methylmercury accumulation in the developing rat brain and its effects: a study with consecutive and moderate dose exposure throughout gestation and lactation periods. </w:t>
      </w:r>
      <w:r w:rsidR="00C076F3" w:rsidRPr="001F1399">
        <w:rPr>
          <w:rFonts w:ascii="Book Antiqua" w:hAnsi="Book Antiqua"/>
          <w:i/>
          <w:sz w:val="24"/>
          <w:szCs w:val="24"/>
          <w:lang w:val="en-US"/>
        </w:rPr>
        <w:t>Brain Res</w:t>
      </w:r>
      <w:r w:rsidR="00C076F3" w:rsidRPr="001F1399">
        <w:rPr>
          <w:rFonts w:ascii="Book Antiqua" w:hAnsi="Book Antiqua"/>
          <w:sz w:val="24"/>
          <w:szCs w:val="24"/>
          <w:lang w:val="en-US"/>
        </w:rPr>
        <w:t xml:space="preserve"> 2002; </w:t>
      </w:r>
      <w:r w:rsidR="00C076F3" w:rsidRPr="001F1399">
        <w:rPr>
          <w:rFonts w:ascii="Book Antiqua" w:hAnsi="Book Antiqua"/>
          <w:b/>
          <w:sz w:val="24"/>
          <w:szCs w:val="24"/>
          <w:lang w:val="en-US"/>
        </w:rPr>
        <w:t>949</w:t>
      </w:r>
      <w:r w:rsidR="00C076F3" w:rsidRPr="001F1399">
        <w:rPr>
          <w:rFonts w:ascii="Book Antiqua" w:hAnsi="Book Antiqua"/>
          <w:sz w:val="24"/>
          <w:szCs w:val="24"/>
          <w:lang w:val="en-US"/>
        </w:rPr>
        <w:t>: 51-59 [PMID: 12213299 DOI: 10.1016/S0006-8993(02)02964-5]</w:t>
      </w:r>
    </w:p>
    <w:p w14:paraId="04A7BBD9" w14:textId="23877EC9"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120</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Gilbert SG</w:t>
      </w:r>
      <w:r w:rsidR="00C076F3" w:rsidRPr="001F1399">
        <w:rPr>
          <w:rFonts w:ascii="Book Antiqua" w:hAnsi="Book Antiqua"/>
          <w:sz w:val="24"/>
          <w:szCs w:val="24"/>
          <w:lang w:val="en-US"/>
        </w:rPr>
        <w:t xml:space="preserve">, Grant-Webster KS. Neurobehavioral effects of developmental methylmercury exposure. </w:t>
      </w:r>
      <w:r w:rsidR="00C076F3" w:rsidRPr="001F1399">
        <w:rPr>
          <w:rFonts w:ascii="Book Antiqua" w:hAnsi="Book Antiqua"/>
          <w:i/>
          <w:sz w:val="24"/>
          <w:szCs w:val="24"/>
          <w:lang w:val="en-US"/>
        </w:rPr>
        <w:t>Environ Health Perspect</w:t>
      </w:r>
      <w:r w:rsidR="00C076F3" w:rsidRPr="001F1399">
        <w:rPr>
          <w:rFonts w:ascii="Book Antiqua" w:hAnsi="Book Antiqua"/>
          <w:sz w:val="24"/>
          <w:szCs w:val="24"/>
          <w:lang w:val="en-US"/>
        </w:rPr>
        <w:t xml:space="preserve"> 1995; </w:t>
      </w:r>
      <w:r w:rsidR="00C076F3" w:rsidRPr="001F1399">
        <w:rPr>
          <w:rFonts w:ascii="Book Antiqua" w:hAnsi="Book Antiqua"/>
          <w:b/>
          <w:sz w:val="24"/>
          <w:szCs w:val="24"/>
          <w:lang w:val="en-US"/>
        </w:rPr>
        <w:t>103 Suppl 6</w:t>
      </w:r>
      <w:r w:rsidR="00C076F3" w:rsidRPr="001F1399">
        <w:rPr>
          <w:rFonts w:ascii="Book Antiqua" w:hAnsi="Book Antiqua"/>
          <w:sz w:val="24"/>
          <w:szCs w:val="24"/>
          <w:lang w:val="en-US"/>
        </w:rPr>
        <w:t>: 135-142 [PMID: 8549462 DOI: 10.1289/ehp.95103s6135]</w:t>
      </w:r>
    </w:p>
    <w:p w14:paraId="31DE2390" w14:textId="443C5211"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12</w:t>
      </w:r>
      <w:r w:rsidR="005E197E" w:rsidRPr="001F1399">
        <w:rPr>
          <w:rFonts w:ascii="Book Antiqua" w:hAnsi="Book Antiqua"/>
          <w:sz w:val="24"/>
          <w:szCs w:val="24"/>
          <w:lang w:val="en-US"/>
        </w:rPr>
        <w:t>1</w:t>
      </w:r>
      <w:r w:rsidRPr="001F1399">
        <w:rPr>
          <w:rFonts w:ascii="Book Antiqua" w:hAnsi="Book Antiqua"/>
          <w:sz w:val="24"/>
          <w:szCs w:val="24"/>
          <w:lang w:val="en-US"/>
        </w:rPr>
        <w:t xml:space="preserve"> </w:t>
      </w:r>
      <w:r w:rsidRPr="001F1399">
        <w:rPr>
          <w:rFonts w:ascii="Book Antiqua" w:hAnsi="Book Antiqua"/>
          <w:b/>
          <w:sz w:val="24"/>
          <w:szCs w:val="24"/>
          <w:lang w:val="en-US"/>
        </w:rPr>
        <w:t>Shah-Kulkarni S</w:t>
      </w:r>
      <w:r w:rsidRPr="001F1399">
        <w:rPr>
          <w:rFonts w:ascii="Book Antiqua" w:hAnsi="Book Antiqua"/>
          <w:sz w:val="24"/>
          <w:szCs w:val="24"/>
          <w:lang w:val="en-US"/>
        </w:rPr>
        <w:t xml:space="preserve">, Lee S, Jeong KS, Hong YC, Park H, Ha M, Kim Y, Ha EH. Prenatal exposure to mixtures of heavy metals and neurodevelopment in infants at 6 months. </w:t>
      </w:r>
      <w:r w:rsidRPr="001F1399">
        <w:rPr>
          <w:rFonts w:ascii="Book Antiqua" w:hAnsi="Book Antiqua"/>
          <w:i/>
          <w:sz w:val="24"/>
          <w:szCs w:val="24"/>
          <w:lang w:val="en-US"/>
        </w:rPr>
        <w:t>Environ Res</w:t>
      </w:r>
      <w:r w:rsidRPr="001F1399">
        <w:rPr>
          <w:rFonts w:ascii="Book Antiqua" w:hAnsi="Book Antiqua"/>
          <w:sz w:val="24"/>
          <w:szCs w:val="24"/>
          <w:lang w:val="en-US"/>
        </w:rPr>
        <w:t xml:space="preserve"> 2020; </w:t>
      </w:r>
      <w:r w:rsidRPr="001F1399">
        <w:rPr>
          <w:rFonts w:ascii="Book Antiqua" w:hAnsi="Book Antiqua"/>
          <w:b/>
          <w:sz w:val="24"/>
          <w:szCs w:val="24"/>
          <w:lang w:val="en-US"/>
        </w:rPr>
        <w:t>182</w:t>
      </w:r>
      <w:r w:rsidRPr="001F1399">
        <w:rPr>
          <w:rFonts w:ascii="Book Antiqua" w:hAnsi="Book Antiqua"/>
          <w:sz w:val="24"/>
          <w:szCs w:val="24"/>
          <w:lang w:val="en-US"/>
        </w:rPr>
        <w:t>: 109122 [PMID: 32069757 DOI: 10.1016/j.envres.2020.109122]</w:t>
      </w:r>
    </w:p>
    <w:p w14:paraId="320719D7" w14:textId="03DACDAE"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12</w:t>
      </w:r>
      <w:r w:rsidR="005E197E" w:rsidRPr="001F1399">
        <w:rPr>
          <w:rFonts w:ascii="Book Antiqua" w:hAnsi="Book Antiqua"/>
          <w:sz w:val="24"/>
          <w:szCs w:val="24"/>
          <w:lang w:val="en-US"/>
        </w:rPr>
        <w:t>2</w:t>
      </w:r>
      <w:r w:rsidRPr="001F1399">
        <w:rPr>
          <w:rFonts w:ascii="Book Antiqua" w:hAnsi="Book Antiqua"/>
          <w:sz w:val="24"/>
          <w:szCs w:val="24"/>
          <w:lang w:val="en-US"/>
        </w:rPr>
        <w:t xml:space="preserve"> </w:t>
      </w:r>
      <w:r w:rsidRPr="001F1399">
        <w:rPr>
          <w:rFonts w:ascii="Book Antiqua" w:hAnsi="Book Antiqua"/>
          <w:b/>
          <w:sz w:val="24"/>
          <w:szCs w:val="24"/>
          <w:lang w:val="en-US"/>
        </w:rPr>
        <w:t>Woods MM</w:t>
      </w:r>
      <w:r w:rsidRPr="001F1399">
        <w:rPr>
          <w:rFonts w:ascii="Book Antiqua" w:hAnsi="Book Antiqua"/>
          <w:sz w:val="24"/>
          <w:szCs w:val="24"/>
          <w:lang w:val="en-US"/>
        </w:rPr>
        <w:t xml:space="preserve">, Lanphear BP, Braun JM, McCandless LC. Gestational exposure to endocrine disrupting chemicals in relation to infant birth weight: a Bayesian analysis of the HOME Study. </w:t>
      </w:r>
      <w:r w:rsidRPr="001F1399">
        <w:rPr>
          <w:rFonts w:ascii="Book Antiqua" w:hAnsi="Book Antiqua"/>
          <w:i/>
          <w:sz w:val="24"/>
          <w:szCs w:val="24"/>
          <w:lang w:val="en-US"/>
        </w:rPr>
        <w:t>Environ Health</w:t>
      </w:r>
      <w:r w:rsidRPr="001F1399">
        <w:rPr>
          <w:rFonts w:ascii="Book Antiqua" w:hAnsi="Book Antiqua"/>
          <w:sz w:val="24"/>
          <w:szCs w:val="24"/>
          <w:lang w:val="en-US"/>
        </w:rPr>
        <w:t xml:space="preserve"> 2017; </w:t>
      </w:r>
      <w:r w:rsidRPr="001F1399">
        <w:rPr>
          <w:rFonts w:ascii="Book Antiqua" w:hAnsi="Book Antiqua"/>
          <w:b/>
          <w:sz w:val="24"/>
          <w:szCs w:val="24"/>
          <w:lang w:val="en-US"/>
        </w:rPr>
        <w:t>16</w:t>
      </w:r>
      <w:r w:rsidRPr="001F1399">
        <w:rPr>
          <w:rFonts w:ascii="Book Antiqua" w:hAnsi="Book Antiqua"/>
          <w:sz w:val="24"/>
          <w:szCs w:val="24"/>
          <w:lang w:val="en-US"/>
        </w:rPr>
        <w:t>: 115 [PMID: 29078782 DOI: 10.1186/s12940-017-0332-3]</w:t>
      </w:r>
    </w:p>
    <w:p w14:paraId="55770E5E" w14:textId="3BB6E0C4"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12</w:t>
      </w:r>
      <w:r w:rsidR="005E197E" w:rsidRPr="001F1399">
        <w:rPr>
          <w:rFonts w:ascii="Book Antiqua" w:hAnsi="Book Antiqua"/>
          <w:sz w:val="24"/>
          <w:szCs w:val="24"/>
          <w:lang w:val="en-US"/>
        </w:rPr>
        <w:t>3</w:t>
      </w:r>
      <w:r w:rsidRPr="001F1399">
        <w:rPr>
          <w:rFonts w:ascii="Book Antiqua" w:hAnsi="Book Antiqua"/>
          <w:sz w:val="24"/>
          <w:szCs w:val="24"/>
          <w:lang w:val="en-US"/>
        </w:rPr>
        <w:t xml:space="preserve"> </w:t>
      </w:r>
      <w:r w:rsidRPr="001F1399">
        <w:rPr>
          <w:rFonts w:ascii="Book Antiqua" w:hAnsi="Book Antiqua"/>
          <w:b/>
          <w:sz w:val="24"/>
          <w:szCs w:val="24"/>
          <w:lang w:val="en-US"/>
        </w:rPr>
        <w:t>Järup L</w:t>
      </w:r>
      <w:r w:rsidRPr="001F1399">
        <w:rPr>
          <w:rFonts w:ascii="Book Antiqua" w:hAnsi="Book Antiqua"/>
          <w:sz w:val="24"/>
          <w:szCs w:val="24"/>
          <w:lang w:val="en-US"/>
        </w:rPr>
        <w:t xml:space="preserve">, Akesson A. Current status of cadmium as an environmental health problem. </w:t>
      </w:r>
      <w:r w:rsidRPr="001F1399">
        <w:rPr>
          <w:rFonts w:ascii="Book Antiqua" w:hAnsi="Book Antiqua"/>
          <w:i/>
          <w:sz w:val="24"/>
          <w:szCs w:val="24"/>
          <w:lang w:val="en-US"/>
        </w:rPr>
        <w:t>Toxicol Appl Pharmacol</w:t>
      </w:r>
      <w:r w:rsidRPr="001F1399">
        <w:rPr>
          <w:rFonts w:ascii="Book Antiqua" w:hAnsi="Book Antiqua"/>
          <w:sz w:val="24"/>
          <w:szCs w:val="24"/>
          <w:lang w:val="en-US"/>
        </w:rPr>
        <w:t xml:space="preserve"> 2009; </w:t>
      </w:r>
      <w:r w:rsidRPr="001F1399">
        <w:rPr>
          <w:rFonts w:ascii="Book Antiqua" w:hAnsi="Book Antiqua"/>
          <w:b/>
          <w:sz w:val="24"/>
          <w:szCs w:val="24"/>
          <w:lang w:val="en-US"/>
        </w:rPr>
        <w:t>238</w:t>
      </w:r>
      <w:r w:rsidRPr="001F1399">
        <w:rPr>
          <w:rFonts w:ascii="Book Antiqua" w:hAnsi="Book Antiqua"/>
          <w:sz w:val="24"/>
          <w:szCs w:val="24"/>
          <w:lang w:val="en-US"/>
        </w:rPr>
        <w:t>: 201-208 [PMID: 19409405 DOI: 10.1016/j.taap.2009.04.020]</w:t>
      </w:r>
    </w:p>
    <w:p w14:paraId="536F0E01" w14:textId="444F86FA"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12</w:t>
      </w:r>
      <w:r w:rsidR="005E197E" w:rsidRPr="001F1399">
        <w:rPr>
          <w:rFonts w:ascii="Book Antiqua" w:hAnsi="Book Antiqua"/>
          <w:sz w:val="24"/>
          <w:szCs w:val="24"/>
          <w:lang w:val="en-US"/>
        </w:rPr>
        <w:t>4</w:t>
      </w:r>
      <w:r w:rsidRPr="001F1399">
        <w:rPr>
          <w:rFonts w:ascii="Book Antiqua" w:hAnsi="Book Antiqua"/>
          <w:sz w:val="24"/>
          <w:szCs w:val="24"/>
          <w:lang w:val="en-US"/>
        </w:rPr>
        <w:t xml:space="preserve"> </w:t>
      </w:r>
      <w:r w:rsidRPr="001F1399">
        <w:rPr>
          <w:rFonts w:ascii="Book Antiqua" w:hAnsi="Book Antiqua"/>
          <w:b/>
          <w:sz w:val="24"/>
          <w:szCs w:val="24"/>
          <w:lang w:val="en-US"/>
        </w:rPr>
        <w:t>Carlin DJ</w:t>
      </w:r>
      <w:r w:rsidRPr="001F1399">
        <w:rPr>
          <w:rFonts w:ascii="Book Antiqua" w:hAnsi="Book Antiqua"/>
          <w:sz w:val="24"/>
          <w:szCs w:val="24"/>
          <w:lang w:val="en-US"/>
        </w:rPr>
        <w:t xml:space="preserve">, Naujokas MF, Bradham KD, Cowden J, Heacock M, Henry HF, Lee JS, Thomas DJ, Thompson C, Tokar EJ, Waalkes MP, Birnbaum LS, Suk WA. Arsenic and Environmental Health: State of the Science and Future Research Opportunities. </w:t>
      </w:r>
      <w:r w:rsidRPr="001F1399">
        <w:rPr>
          <w:rFonts w:ascii="Book Antiqua" w:hAnsi="Book Antiqua"/>
          <w:i/>
          <w:sz w:val="24"/>
          <w:szCs w:val="24"/>
          <w:lang w:val="en-US"/>
        </w:rPr>
        <w:t>Environ Health Perspect</w:t>
      </w:r>
      <w:r w:rsidRPr="001F1399">
        <w:rPr>
          <w:rFonts w:ascii="Book Antiqua" w:hAnsi="Book Antiqua"/>
          <w:sz w:val="24"/>
          <w:szCs w:val="24"/>
          <w:lang w:val="en-US"/>
        </w:rPr>
        <w:t xml:space="preserve"> 2016; </w:t>
      </w:r>
      <w:r w:rsidRPr="001F1399">
        <w:rPr>
          <w:rFonts w:ascii="Book Antiqua" w:hAnsi="Book Antiqua"/>
          <w:b/>
          <w:sz w:val="24"/>
          <w:szCs w:val="24"/>
          <w:lang w:val="en-US"/>
        </w:rPr>
        <w:t>124</w:t>
      </w:r>
      <w:r w:rsidRPr="001F1399">
        <w:rPr>
          <w:rFonts w:ascii="Book Antiqua" w:hAnsi="Book Antiqua"/>
          <w:sz w:val="24"/>
          <w:szCs w:val="24"/>
          <w:lang w:val="en-US"/>
        </w:rPr>
        <w:t>: 890-899 [PMID: 26587579 DOI: 10.1289/ehp.1510209]</w:t>
      </w:r>
    </w:p>
    <w:p w14:paraId="66791EBE" w14:textId="4832597A"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12</w:t>
      </w:r>
      <w:r w:rsidR="005E197E" w:rsidRPr="001F1399">
        <w:rPr>
          <w:rFonts w:ascii="Book Antiqua" w:hAnsi="Book Antiqua"/>
          <w:sz w:val="24"/>
          <w:szCs w:val="24"/>
          <w:lang w:val="en-US"/>
        </w:rPr>
        <w:t>5</w:t>
      </w:r>
      <w:r w:rsidRPr="001F1399">
        <w:rPr>
          <w:rFonts w:ascii="Book Antiqua" w:hAnsi="Book Antiqua"/>
          <w:sz w:val="24"/>
          <w:szCs w:val="24"/>
          <w:lang w:val="en-US"/>
        </w:rPr>
        <w:t xml:space="preserve"> </w:t>
      </w:r>
      <w:r w:rsidRPr="001F1399">
        <w:rPr>
          <w:rFonts w:ascii="Book Antiqua" w:hAnsi="Book Antiqua"/>
          <w:b/>
          <w:sz w:val="24"/>
          <w:szCs w:val="24"/>
          <w:lang w:val="en-US"/>
        </w:rPr>
        <w:t>Rager JE</w:t>
      </w:r>
      <w:r w:rsidRPr="001F1399">
        <w:rPr>
          <w:rFonts w:ascii="Book Antiqua" w:hAnsi="Book Antiqua"/>
          <w:sz w:val="24"/>
          <w:szCs w:val="24"/>
          <w:lang w:val="en-US"/>
        </w:rPr>
        <w:t xml:space="preserve">, Bailey KA, Smeester L, Miller SK, Parker JS, Laine JE, Drobná Z, Currier J, Douillet C, Olshan AF, Rubio-Andrade M, Stýblo M, García-Vargas G, Fry RC. Prenatal arsenic exposure and the epigenome: altered microRNAs associated with innate and adaptive immune signaling in newborn cord blood. </w:t>
      </w:r>
      <w:r w:rsidRPr="001F1399">
        <w:rPr>
          <w:rFonts w:ascii="Book Antiqua" w:hAnsi="Book Antiqua"/>
          <w:i/>
          <w:sz w:val="24"/>
          <w:szCs w:val="24"/>
          <w:lang w:val="en-US"/>
        </w:rPr>
        <w:t>Environ Mol Mutagen</w:t>
      </w:r>
      <w:r w:rsidRPr="001F1399">
        <w:rPr>
          <w:rFonts w:ascii="Book Antiqua" w:hAnsi="Book Antiqua"/>
          <w:sz w:val="24"/>
          <w:szCs w:val="24"/>
          <w:lang w:val="en-US"/>
        </w:rPr>
        <w:t xml:space="preserve"> 2014; </w:t>
      </w:r>
      <w:r w:rsidRPr="001F1399">
        <w:rPr>
          <w:rFonts w:ascii="Book Antiqua" w:hAnsi="Book Antiqua"/>
          <w:b/>
          <w:sz w:val="24"/>
          <w:szCs w:val="24"/>
          <w:lang w:val="en-US"/>
        </w:rPr>
        <w:t>55</w:t>
      </w:r>
      <w:r w:rsidRPr="001F1399">
        <w:rPr>
          <w:rFonts w:ascii="Book Antiqua" w:hAnsi="Book Antiqua"/>
          <w:sz w:val="24"/>
          <w:szCs w:val="24"/>
          <w:lang w:val="en-US"/>
        </w:rPr>
        <w:t>: 196-208 [PMID: 24327377 DOI: 10.1002/em.21842]</w:t>
      </w:r>
    </w:p>
    <w:p w14:paraId="4F9D4BD2" w14:textId="58D8D87A"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lastRenderedPageBreak/>
        <w:t>12</w:t>
      </w:r>
      <w:r w:rsidR="005E197E" w:rsidRPr="001F1399">
        <w:rPr>
          <w:rFonts w:ascii="Book Antiqua" w:hAnsi="Book Antiqua"/>
          <w:sz w:val="24"/>
          <w:szCs w:val="24"/>
          <w:lang w:val="en-US"/>
        </w:rPr>
        <w:t>6</w:t>
      </w:r>
      <w:r w:rsidRPr="001F1399">
        <w:rPr>
          <w:rFonts w:ascii="Book Antiqua" w:hAnsi="Book Antiqua"/>
          <w:sz w:val="24"/>
          <w:szCs w:val="24"/>
          <w:lang w:val="en-US"/>
        </w:rPr>
        <w:t xml:space="preserve"> </w:t>
      </w:r>
      <w:r w:rsidRPr="001F1399">
        <w:rPr>
          <w:rFonts w:ascii="Book Antiqua" w:hAnsi="Book Antiqua"/>
          <w:b/>
          <w:sz w:val="24"/>
          <w:szCs w:val="24"/>
          <w:lang w:val="en-US"/>
        </w:rPr>
        <w:t>Grandjean P</w:t>
      </w:r>
      <w:r w:rsidRPr="001F1399">
        <w:rPr>
          <w:rFonts w:ascii="Book Antiqua" w:hAnsi="Book Antiqua"/>
          <w:sz w:val="24"/>
          <w:szCs w:val="24"/>
          <w:lang w:val="en-US"/>
        </w:rPr>
        <w:t xml:space="preserve">, Weihe P, White RF, Debes F, Araki S, Yokoyama K, Murata K, Sørensen N, Dahl R, Jørgensen PJ. Cognitive deficit in 7-year-old children with prenatal exposure to methylmercury. </w:t>
      </w:r>
      <w:r w:rsidRPr="001F1399">
        <w:rPr>
          <w:rFonts w:ascii="Book Antiqua" w:hAnsi="Book Antiqua"/>
          <w:i/>
          <w:sz w:val="24"/>
          <w:szCs w:val="24"/>
          <w:lang w:val="en-US"/>
        </w:rPr>
        <w:t>Neurotoxicol Teratol</w:t>
      </w:r>
      <w:r w:rsidRPr="001F1399">
        <w:rPr>
          <w:rFonts w:ascii="Book Antiqua" w:hAnsi="Book Antiqua"/>
          <w:sz w:val="24"/>
          <w:szCs w:val="24"/>
          <w:lang w:val="en-US"/>
        </w:rPr>
        <w:t xml:space="preserve"> 1997; </w:t>
      </w:r>
      <w:r w:rsidRPr="001F1399">
        <w:rPr>
          <w:rFonts w:ascii="Book Antiqua" w:hAnsi="Book Antiqua"/>
          <w:b/>
          <w:sz w:val="24"/>
          <w:szCs w:val="24"/>
          <w:lang w:val="en-US"/>
        </w:rPr>
        <w:t>19</w:t>
      </w:r>
      <w:r w:rsidRPr="001F1399">
        <w:rPr>
          <w:rFonts w:ascii="Book Antiqua" w:hAnsi="Book Antiqua"/>
          <w:sz w:val="24"/>
          <w:szCs w:val="24"/>
          <w:lang w:val="en-US"/>
        </w:rPr>
        <w:t>: 417-428 [PMID: 9392777 DOI: 10.1016/S0892-0362(97)00097-4]</w:t>
      </w:r>
    </w:p>
    <w:p w14:paraId="6072873C" w14:textId="17025EBE"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12</w:t>
      </w:r>
      <w:r w:rsidR="005E197E" w:rsidRPr="001F1399">
        <w:rPr>
          <w:rFonts w:ascii="Book Antiqua" w:hAnsi="Book Antiqua"/>
          <w:sz w:val="24"/>
          <w:szCs w:val="24"/>
          <w:lang w:val="en-US"/>
        </w:rPr>
        <w:t>7</w:t>
      </w:r>
      <w:r w:rsidRPr="001F1399">
        <w:rPr>
          <w:rFonts w:ascii="Book Antiqua" w:hAnsi="Book Antiqua"/>
          <w:sz w:val="24"/>
          <w:szCs w:val="24"/>
          <w:lang w:val="en-US"/>
        </w:rPr>
        <w:t xml:space="preserve"> </w:t>
      </w:r>
      <w:r w:rsidRPr="001F1399">
        <w:rPr>
          <w:rFonts w:ascii="Book Antiqua" w:hAnsi="Book Antiqua"/>
          <w:b/>
          <w:sz w:val="24"/>
          <w:szCs w:val="24"/>
          <w:lang w:val="en-US"/>
        </w:rPr>
        <w:t>Yazbeck C</w:t>
      </w:r>
      <w:r w:rsidRPr="001F1399">
        <w:rPr>
          <w:rFonts w:ascii="Book Antiqua" w:hAnsi="Book Antiqua"/>
          <w:sz w:val="24"/>
          <w:szCs w:val="24"/>
          <w:lang w:val="en-US"/>
        </w:rPr>
        <w:t xml:space="preserve">, Thiebaugeorges O, Moreau T, Goua V, Debotte G, Sahuquillo J, Forhan A, Foliguet B, Magnin G, Slama R, Charles MA, Huel G. Maternal blood lead levels and the risk of pregnancy-induced hypertension: the EDEN cohort study. </w:t>
      </w:r>
      <w:r w:rsidRPr="001F1399">
        <w:rPr>
          <w:rFonts w:ascii="Book Antiqua" w:hAnsi="Book Antiqua"/>
          <w:i/>
          <w:sz w:val="24"/>
          <w:szCs w:val="24"/>
          <w:lang w:val="en-US"/>
        </w:rPr>
        <w:t>Environ Health Perspect</w:t>
      </w:r>
      <w:r w:rsidRPr="001F1399">
        <w:rPr>
          <w:rFonts w:ascii="Book Antiqua" w:hAnsi="Book Antiqua"/>
          <w:sz w:val="24"/>
          <w:szCs w:val="24"/>
          <w:lang w:val="en-US"/>
        </w:rPr>
        <w:t xml:space="preserve"> 2009; </w:t>
      </w:r>
      <w:r w:rsidRPr="001F1399">
        <w:rPr>
          <w:rFonts w:ascii="Book Antiqua" w:hAnsi="Book Antiqua"/>
          <w:b/>
          <w:sz w:val="24"/>
          <w:szCs w:val="24"/>
          <w:lang w:val="en-US"/>
        </w:rPr>
        <w:t>117</w:t>
      </w:r>
      <w:r w:rsidRPr="001F1399">
        <w:rPr>
          <w:rFonts w:ascii="Book Antiqua" w:hAnsi="Book Antiqua"/>
          <w:sz w:val="24"/>
          <w:szCs w:val="24"/>
          <w:lang w:val="en-US"/>
        </w:rPr>
        <w:t>: 1526-1530 [PMID: 20019901 DOI: 10.1289/ehp.0800488]</w:t>
      </w:r>
    </w:p>
    <w:p w14:paraId="24BB01BC" w14:textId="443D9937"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 xml:space="preserve">128 </w:t>
      </w:r>
      <w:r w:rsidR="00C076F3" w:rsidRPr="001F1399">
        <w:rPr>
          <w:rFonts w:ascii="Book Antiqua" w:hAnsi="Book Antiqua"/>
          <w:b/>
          <w:sz w:val="24"/>
          <w:szCs w:val="24"/>
          <w:lang w:val="en-US"/>
        </w:rPr>
        <w:t>Miranda ML</w:t>
      </w:r>
      <w:r w:rsidR="00C076F3" w:rsidRPr="001F1399">
        <w:rPr>
          <w:rFonts w:ascii="Book Antiqua" w:hAnsi="Book Antiqua"/>
          <w:sz w:val="24"/>
          <w:szCs w:val="24"/>
          <w:lang w:val="en-US"/>
        </w:rPr>
        <w:t xml:space="preserve">, Edwards S, Maxson PJ. Mercury levels in an urban pregnant population in Durham County, North Carolina. </w:t>
      </w:r>
      <w:r w:rsidR="00C076F3" w:rsidRPr="001F1399">
        <w:rPr>
          <w:rFonts w:ascii="Book Antiqua" w:hAnsi="Book Antiqua"/>
          <w:i/>
          <w:sz w:val="24"/>
          <w:szCs w:val="24"/>
          <w:lang w:val="en-US"/>
        </w:rPr>
        <w:t>Int J Environ Res Public Health</w:t>
      </w:r>
      <w:r w:rsidR="00C076F3" w:rsidRPr="001F1399">
        <w:rPr>
          <w:rFonts w:ascii="Book Antiqua" w:hAnsi="Book Antiqua"/>
          <w:sz w:val="24"/>
          <w:szCs w:val="24"/>
          <w:lang w:val="en-US"/>
        </w:rPr>
        <w:t xml:space="preserve"> 2011; </w:t>
      </w:r>
      <w:r w:rsidR="00C076F3" w:rsidRPr="001F1399">
        <w:rPr>
          <w:rFonts w:ascii="Book Antiqua" w:hAnsi="Book Antiqua"/>
          <w:b/>
          <w:sz w:val="24"/>
          <w:szCs w:val="24"/>
          <w:lang w:val="en-US"/>
        </w:rPr>
        <w:t>8</w:t>
      </w:r>
      <w:r w:rsidR="00C076F3" w:rsidRPr="001F1399">
        <w:rPr>
          <w:rFonts w:ascii="Book Antiqua" w:hAnsi="Book Antiqua"/>
          <w:sz w:val="24"/>
          <w:szCs w:val="24"/>
          <w:lang w:val="en-US"/>
        </w:rPr>
        <w:t>: 698-712 [PMID: 21556174 DOI: 10.3390/ijerph8030698]</w:t>
      </w:r>
    </w:p>
    <w:p w14:paraId="353E4338" w14:textId="478671FD"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129</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Rahman A</w:t>
      </w:r>
      <w:r w:rsidR="00C076F3" w:rsidRPr="001F1399">
        <w:rPr>
          <w:rFonts w:ascii="Book Antiqua" w:hAnsi="Book Antiqua"/>
          <w:sz w:val="24"/>
          <w:szCs w:val="24"/>
          <w:lang w:val="en-US"/>
        </w:rPr>
        <w:t xml:space="preserve">, Vahter M, Ekström EC, Rahman M, Golam Mustafa AH, Wahed MA, Yunus M, Persson LA. Association of arsenic exposure during pregnancy with fetal loss and infant death: a cohort study in Bangladesh. </w:t>
      </w:r>
      <w:r w:rsidR="00C076F3" w:rsidRPr="001F1399">
        <w:rPr>
          <w:rFonts w:ascii="Book Antiqua" w:hAnsi="Book Antiqua"/>
          <w:i/>
          <w:sz w:val="24"/>
          <w:szCs w:val="24"/>
          <w:lang w:val="en-US"/>
        </w:rPr>
        <w:t>Am J Epidemiol</w:t>
      </w:r>
      <w:r w:rsidR="00C076F3" w:rsidRPr="001F1399">
        <w:rPr>
          <w:rFonts w:ascii="Book Antiqua" w:hAnsi="Book Antiqua"/>
          <w:sz w:val="24"/>
          <w:szCs w:val="24"/>
          <w:lang w:val="en-US"/>
        </w:rPr>
        <w:t xml:space="preserve"> 2007; </w:t>
      </w:r>
      <w:r w:rsidR="00C076F3" w:rsidRPr="001F1399">
        <w:rPr>
          <w:rFonts w:ascii="Book Antiqua" w:hAnsi="Book Antiqua"/>
          <w:b/>
          <w:sz w:val="24"/>
          <w:szCs w:val="24"/>
          <w:lang w:val="en-US"/>
        </w:rPr>
        <w:t>165</w:t>
      </w:r>
      <w:r w:rsidR="00C076F3" w:rsidRPr="001F1399">
        <w:rPr>
          <w:rFonts w:ascii="Book Antiqua" w:hAnsi="Book Antiqua"/>
          <w:sz w:val="24"/>
          <w:szCs w:val="24"/>
          <w:lang w:val="en-US"/>
        </w:rPr>
        <w:t>: 1389-1396 [PMID: 17351293 DOI: 10.1093/aje/kwm025]</w:t>
      </w:r>
    </w:p>
    <w:p w14:paraId="30A57E7B" w14:textId="3E6888D8"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130</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Vigeh M</w:t>
      </w:r>
      <w:r w:rsidR="00C076F3" w:rsidRPr="001F1399">
        <w:rPr>
          <w:rFonts w:ascii="Book Antiqua" w:hAnsi="Book Antiqua"/>
          <w:sz w:val="24"/>
          <w:szCs w:val="24"/>
          <w:lang w:val="en-US"/>
        </w:rPr>
        <w:t xml:space="preserve">, Yokoyama K, Seyedaghamiri Z, Shinohara A, Matsukawa T, Chiba M, Yunesian M. Blood lead at currently acceptable levels may cause preterm labour. </w:t>
      </w:r>
      <w:r w:rsidR="00C076F3" w:rsidRPr="001F1399">
        <w:rPr>
          <w:rFonts w:ascii="Book Antiqua" w:hAnsi="Book Antiqua"/>
          <w:i/>
          <w:sz w:val="24"/>
          <w:szCs w:val="24"/>
          <w:lang w:val="en-US"/>
        </w:rPr>
        <w:t>Occup Environ Med</w:t>
      </w:r>
      <w:r w:rsidR="00C076F3" w:rsidRPr="001F1399">
        <w:rPr>
          <w:rFonts w:ascii="Book Antiqua" w:hAnsi="Book Antiqua"/>
          <w:sz w:val="24"/>
          <w:szCs w:val="24"/>
          <w:lang w:val="en-US"/>
        </w:rPr>
        <w:t xml:space="preserve"> 2011; </w:t>
      </w:r>
      <w:r w:rsidR="00C076F3" w:rsidRPr="001F1399">
        <w:rPr>
          <w:rFonts w:ascii="Book Antiqua" w:hAnsi="Book Antiqua"/>
          <w:b/>
          <w:sz w:val="24"/>
          <w:szCs w:val="24"/>
          <w:lang w:val="en-US"/>
        </w:rPr>
        <w:t>68</w:t>
      </w:r>
      <w:r w:rsidR="00C076F3" w:rsidRPr="001F1399">
        <w:rPr>
          <w:rFonts w:ascii="Book Antiqua" w:hAnsi="Book Antiqua"/>
          <w:sz w:val="24"/>
          <w:szCs w:val="24"/>
          <w:lang w:val="en-US"/>
        </w:rPr>
        <w:t>: 231-234 [PMID: 20798002 DOI: 10.1136/oem.2009.050419]</w:t>
      </w:r>
    </w:p>
    <w:p w14:paraId="57F204EE" w14:textId="564ADD1E" w:rsidR="00C076F3" w:rsidRPr="001F1399" w:rsidRDefault="00C076F3" w:rsidP="002974FA">
      <w:pPr>
        <w:adjustRightInd w:val="0"/>
        <w:snapToGrid w:val="0"/>
        <w:spacing w:after="0" w:line="360" w:lineRule="auto"/>
        <w:jc w:val="both"/>
        <w:rPr>
          <w:rFonts w:ascii="Book Antiqua" w:hAnsi="Book Antiqua"/>
          <w:sz w:val="24"/>
          <w:szCs w:val="24"/>
        </w:rPr>
      </w:pPr>
      <w:r w:rsidRPr="001F1399">
        <w:rPr>
          <w:rFonts w:ascii="Book Antiqua" w:hAnsi="Book Antiqua"/>
          <w:sz w:val="24"/>
          <w:szCs w:val="24"/>
          <w:lang w:val="en-US"/>
        </w:rPr>
        <w:t>13</w:t>
      </w:r>
      <w:r w:rsidR="005E197E" w:rsidRPr="001F1399">
        <w:rPr>
          <w:rFonts w:ascii="Book Antiqua" w:hAnsi="Book Antiqua"/>
          <w:sz w:val="24"/>
          <w:szCs w:val="24"/>
          <w:lang w:val="en-US"/>
        </w:rPr>
        <w:t>1</w:t>
      </w:r>
      <w:r w:rsidRPr="001F1399">
        <w:rPr>
          <w:rFonts w:ascii="Book Antiqua" w:hAnsi="Book Antiqua"/>
          <w:sz w:val="24"/>
          <w:szCs w:val="24"/>
          <w:lang w:val="en-US"/>
        </w:rPr>
        <w:t xml:space="preserve"> </w:t>
      </w:r>
      <w:r w:rsidRPr="001F1399">
        <w:rPr>
          <w:rFonts w:ascii="Book Antiqua" w:hAnsi="Book Antiqua"/>
          <w:b/>
          <w:sz w:val="24"/>
          <w:szCs w:val="24"/>
          <w:lang w:val="en-US"/>
        </w:rPr>
        <w:t>Chan-Hon-Tong A</w:t>
      </w:r>
      <w:r w:rsidRPr="001F1399">
        <w:rPr>
          <w:rFonts w:ascii="Book Antiqua" w:hAnsi="Book Antiqua"/>
          <w:sz w:val="24"/>
          <w:szCs w:val="24"/>
          <w:lang w:val="en-US"/>
        </w:rPr>
        <w:t xml:space="preserve">, Charles MA, Forhan A, Heude B, Sirot V. Exposure to food contaminants during pregnancy. </w:t>
      </w:r>
      <w:r w:rsidRPr="001F1399">
        <w:rPr>
          <w:rFonts w:ascii="Book Antiqua" w:hAnsi="Book Antiqua"/>
          <w:i/>
          <w:sz w:val="24"/>
          <w:szCs w:val="24"/>
        </w:rPr>
        <w:t>Sci Total Environ</w:t>
      </w:r>
      <w:r w:rsidRPr="001F1399">
        <w:rPr>
          <w:rFonts w:ascii="Book Antiqua" w:hAnsi="Book Antiqua"/>
          <w:sz w:val="24"/>
          <w:szCs w:val="24"/>
        </w:rPr>
        <w:t xml:space="preserve"> 2013; </w:t>
      </w:r>
      <w:r w:rsidRPr="001F1399">
        <w:rPr>
          <w:rFonts w:ascii="Book Antiqua" w:hAnsi="Book Antiqua"/>
          <w:b/>
          <w:sz w:val="24"/>
          <w:szCs w:val="24"/>
        </w:rPr>
        <w:t>458-460</w:t>
      </w:r>
      <w:r w:rsidRPr="001F1399">
        <w:rPr>
          <w:rFonts w:ascii="Book Antiqua" w:hAnsi="Book Antiqua"/>
          <w:sz w:val="24"/>
          <w:szCs w:val="24"/>
        </w:rPr>
        <w:t>: 27-35 [PMID: 23639909 DOI: 10.1016/j.scitotenv.2013.03.100]</w:t>
      </w:r>
    </w:p>
    <w:p w14:paraId="7AB40CE7" w14:textId="702856C8"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rPr>
        <w:t>13</w:t>
      </w:r>
      <w:r w:rsidR="005E197E" w:rsidRPr="001F1399">
        <w:rPr>
          <w:rFonts w:ascii="Book Antiqua" w:hAnsi="Book Antiqua"/>
          <w:sz w:val="24"/>
          <w:szCs w:val="24"/>
        </w:rPr>
        <w:t>2</w:t>
      </w:r>
      <w:r w:rsidRPr="001F1399">
        <w:rPr>
          <w:rFonts w:ascii="Book Antiqua" w:hAnsi="Book Antiqua"/>
          <w:sz w:val="24"/>
          <w:szCs w:val="24"/>
        </w:rPr>
        <w:t xml:space="preserve"> </w:t>
      </w:r>
      <w:r w:rsidRPr="001F1399">
        <w:rPr>
          <w:rFonts w:ascii="Book Antiqua" w:hAnsi="Book Antiqua"/>
          <w:b/>
          <w:sz w:val="24"/>
          <w:szCs w:val="24"/>
        </w:rPr>
        <w:t>Kwong WT</w:t>
      </w:r>
      <w:r w:rsidRPr="001F1399">
        <w:rPr>
          <w:rFonts w:ascii="Book Antiqua" w:hAnsi="Book Antiqua"/>
          <w:sz w:val="24"/>
          <w:szCs w:val="24"/>
        </w:rPr>
        <w:t xml:space="preserve">, Friello P, Semba RD. </w:t>
      </w:r>
      <w:r w:rsidRPr="001F1399">
        <w:rPr>
          <w:rFonts w:ascii="Book Antiqua" w:hAnsi="Book Antiqua"/>
          <w:sz w:val="24"/>
          <w:szCs w:val="24"/>
          <w:lang w:val="en-US"/>
        </w:rPr>
        <w:t xml:space="preserve">Interactions between iron deficiency and lead poisoning: epidemiology and pathogenesis. </w:t>
      </w:r>
      <w:r w:rsidRPr="001F1399">
        <w:rPr>
          <w:rFonts w:ascii="Book Antiqua" w:hAnsi="Book Antiqua"/>
          <w:i/>
          <w:sz w:val="24"/>
          <w:szCs w:val="24"/>
          <w:lang w:val="en-US"/>
        </w:rPr>
        <w:t>Sci Total Environ</w:t>
      </w:r>
      <w:r w:rsidRPr="001F1399">
        <w:rPr>
          <w:rFonts w:ascii="Book Antiqua" w:hAnsi="Book Antiqua"/>
          <w:sz w:val="24"/>
          <w:szCs w:val="24"/>
          <w:lang w:val="en-US"/>
        </w:rPr>
        <w:t xml:space="preserve"> 2004; </w:t>
      </w:r>
      <w:r w:rsidRPr="001F1399">
        <w:rPr>
          <w:rFonts w:ascii="Book Antiqua" w:hAnsi="Book Antiqua"/>
          <w:b/>
          <w:sz w:val="24"/>
          <w:szCs w:val="24"/>
          <w:lang w:val="en-US"/>
        </w:rPr>
        <w:t>330</w:t>
      </w:r>
      <w:r w:rsidRPr="001F1399">
        <w:rPr>
          <w:rFonts w:ascii="Book Antiqua" w:hAnsi="Book Antiqua"/>
          <w:sz w:val="24"/>
          <w:szCs w:val="24"/>
          <w:lang w:val="en-US"/>
        </w:rPr>
        <w:t>: 21-37 [PMID: 15325155 DOI: 10.1016/j.scitotenv.2004.03.017]</w:t>
      </w:r>
    </w:p>
    <w:p w14:paraId="685FF014" w14:textId="59BB1F26"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133</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Talpur S</w:t>
      </w:r>
      <w:r w:rsidR="00C076F3" w:rsidRPr="001F1399">
        <w:rPr>
          <w:rFonts w:ascii="Book Antiqua" w:hAnsi="Book Antiqua"/>
          <w:sz w:val="24"/>
          <w:szCs w:val="24"/>
          <w:lang w:val="en-US"/>
        </w:rPr>
        <w:t xml:space="preserve">, Afridi HI, Kazi TG, Talpur FN. Interaction of Lead with Calcium, Iron, and Zinc in the Biological Samples of Malnourished Children. </w:t>
      </w:r>
      <w:r w:rsidR="00C076F3" w:rsidRPr="001F1399">
        <w:rPr>
          <w:rFonts w:ascii="Book Antiqua" w:hAnsi="Book Antiqua"/>
          <w:i/>
          <w:sz w:val="24"/>
          <w:szCs w:val="24"/>
          <w:lang w:val="en-US"/>
        </w:rPr>
        <w:t>Biol Trace Elem Res</w:t>
      </w:r>
      <w:r w:rsidR="00C076F3" w:rsidRPr="001F1399">
        <w:rPr>
          <w:rFonts w:ascii="Book Antiqua" w:hAnsi="Book Antiqua"/>
          <w:sz w:val="24"/>
          <w:szCs w:val="24"/>
          <w:lang w:val="en-US"/>
        </w:rPr>
        <w:t xml:space="preserve"> 2018; </w:t>
      </w:r>
      <w:r w:rsidR="00C076F3" w:rsidRPr="001F1399">
        <w:rPr>
          <w:rFonts w:ascii="Book Antiqua" w:hAnsi="Book Antiqua"/>
          <w:b/>
          <w:sz w:val="24"/>
          <w:szCs w:val="24"/>
          <w:lang w:val="en-US"/>
        </w:rPr>
        <w:t>183</w:t>
      </w:r>
      <w:r w:rsidR="00C076F3" w:rsidRPr="001F1399">
        <w:rPr>
          <w:rFonts w:ascii="Book Antiqua" w:hAnsi="Book Antiqua"/>
          <w:sz w:val="24"/>
          <w:szCs w:val="24"/>
          <w:lang w:val="en-US"/>
        </w:rPr>
        <w:t>: 209-217 [PMID: 28861860 DOI: 10.1007/s12011-017-1141-9]</w:t>
      </w:r>
    </w:p>
    <w:p w14:paraId="438A1A57" w14:textId="70E44CFA"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134</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Gomes WR</w:t>
      </w:r>
      <w:r w:rsidR="00C076F3" w:rsidRPr="001F1399">
        <w:rPr>
          <w:rFonts w:ascii="Book Antiqua" w:hAnsi="Book Antiqua"/>
          <w:sz w:val="24"/>
          <w:szCs w:val="24"/>
          <w:lang w:val="en-US"/>
        </w:rPr>
        <w:t xml:space="preserve">, Devóz PP, Araújo ML, Batista BL, Barbosa F Jr, Barcelos GRM. Milk and Dairy Products Intake Is Associated with Low Levels of Lead (Pb) in Workers highly Exposed to the Metal. </w:t>
      </w:r>
      <w:r w:rsidR="00C076F3" w:rsidRPr="001F1399">
        <w:rPr>
          <w:rFonts w:ascii="Book Antiqua" w:hAnsi="Book Antiqua"/>
          <w:i/>
          <w:sz w:val="24"/>
          <w:szCs w:val="24"/>
          <w:lang w:val="en-US"/>
        </w:rPr>
        <w:t>Biol Trace Elem Res</w:t>
      </w:r>
      <w:r w:rsidR="00C076F3" w:rsidRPr="001F1399">
        <w:rPr>
          <w:rFonts w:ascii="Book Antiqua" w:hAnsi="Book Antiqua"/>
          <w:sz w:val="24"/>
          <w:szCs w:val="24"/>
          <w:lang w:val="en-US"/>
        </w:rPr>
        <w:t xml:space="preserve"> 2017; </w:t>
      </w:r>
      <w:r w:rsidR="00C076F3" w:rsidRPr="001F1399">
        <w:rPr>
          <w:rFonts w:ascii="Book Antiqua" w:hAnsi="Book Antiqua"/>
          <w:b/>
          <w:sz w:val="24"/>
          <w:szCs w:val="24"/>
          <w:lang w:val="en-US"/>
        </w:rPr>
        <w:t>178</w:t>
      </w:r>
      <w:r w:rsidR="00C076F3" w:rsidRPr="001F1399">
        <w:rPr>
          <w:rFonts w:ascii="Book Antiqua" w:hAnsi="Book Antiqua"/>
          <w:sz w:val="24"/>
          <w:szCs w:val="24"/>
          <w:lang w:val="en-US"/>
        </w:rPr>
        <w:t>: 29-35 [PMID: 27988825 DOI: 10.1007/s12011-016-0913-y]</w:t>
      </w:r>
    </w:p>
    <w:p w14:paraId="242144BD" w14:textId="11495976"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lastRenderedPageBreak/>
        <w:t>135</w:t>
      </w:r>
      <w:r w:rsidR="00C076F3" w:rsidRPr="001F1399">
        <w:rPr>
          <w:rFonts w:ascii="Book Antiqua" w:hAnsi="Book Antiqua"/>
          <w:sz w:val="24"/>
          <w:szCs w:val="24"/>
          <w:lang w:val="en-US"/>
        </w:rPr>
        <w:t xml:space="preserve"> </w:t>
      </w:r>
      <w:r w:rsidR="00C076F3" w:rsidRPr="001F1399">
        <w:rPr>
          <w:rFonts w:ascii="Book Antiqua" w:hAnsi="Book Antiqua"/>
          <w:b/>
          <w:bCs/>
          <w:sz w:val="24"/>
          <w:szCs w:val="24"/>
          <w:lang w:val="en-US"/>
        </w:rPr>
        <w:t xml:space="preserve">Ames JM. </w:t>
      </w:r>
      <w:r w:rsidR="00C076F3" w:rsidRPr="001F1399">
        <w:rPr>
          <w:rFonts w:ascii="Book Antiqua" w:hAnsi="Book Antiqua"/>
          <w:sz w:val="24"/>
          <w:szCs w:val="24"/>
          <w:lang w:val="en-US"/>
        </w:rPr>
        <w:t xml:space="preserve">Dietary Maillard Reaction Products: Implications for Human Health and Disease. </w:t>
      </w:r>
      <w:r w:rsidR="00C076F3" w:rsidRPr="001F1399">
        <w:rPr>
          <w:rFonts w:ascii="Book Antiqua" w:hAnsi="Book Antiqua"/>
          <w:i/>
          <w:iCs/>
          <w:sz w:val="24"/>
          <w:szCs w:val="24"/>
          <w:lang w:val="en-US"/>
        </w:rPr>
        <w:t>Czech J Food Sci</w:t>
      </w:r>
      <w:r w:rsidR="00C076F3" w:rsidRPr="001F1399">
        <w:rPr>
          <w:rFonts w:ascii="Book Antiqua" w:hAnsi="Book Antiqua"/>
          <w:sz w:val="24"/>
          <w:szCs w:val="24"/>
          <w:lang w:val="en-US"/>
        </w:rPr>
        <w:t xml:space="preserve"> 2009; </w:t>
      </w:r>
      <w:r w:rsidR="00C076F3" w:rsidRPr="001F1399">
        <w:rPr>
          <w:rFonts w:ascii="Book Antiqua" w:hAnsi="Book Antiqua"/>
          <w:b/>
          <w:bCs/>
          <w:sz w:val="24"/>
          <w:szCs w:val="24"/>
          <w:lang w:val="en-US"/>
        </w:rPr>
        <w:t>27</w:t>
      </w:r>
      <w:r w:rsidR="00C076F3" w:rsidRPr="001F1399">
        <w:rPr>
          <w:rFonts w:ascii="Book Antiqua" w:hAnsi="Book Antiqua"/>
          <w:sz w:val="24"/>
          <w:szCs w:val="24"/>
          <w:lang w:val="en-US"/>
        </w:rPr>
        <w:t>:</w:t>
      </w:r>
      <w:r w:rsidR="002A022C" w:rsidRPr="001F1399">
        <w:rPr>
          <w:rFonts w:ascii="Book Antiqua" w:hAnsi="Book Antiqua"/>
          <w:sz w:val="24"/>
          <w:szCs w:val="24"/>
          <w:lang w:val="en-US"/>
        </w:rPr>
        <w:t xml:space="preserve"> </w:t>
      </w:r>
      <w:r w:rsidR="00C076F3" w:rsidRPr="001F1399">
        <w:rPr>
          <w:rFonts w:ascii="Book Antiqua" w:hAnsi="Book Antiqua"/>
          <w:sz w:val="24"/>
          <w:szCs w:val="24"/>
          <w:lang w:val="en-US"/>
        </w:rPr>
        <w:t>S66</w:t>
      </w:r>
      <w:r w:rsidR="002A022C" w:rsidRPr="001F1399">
        <w:rPr>
          <w:rFonts w:ascii="Book Antiqua" w:hAnsi="Book Antiqua"/>
          <w:sz w:val="24"/>
          <w:szCs w:val="24"/>
          <w:lang w:val="en-US"/>
        </w:rPr>
        <w:t>-S6</w:t>
      </w:r>
      <w:r w:rsidR="00C076F3" w:rsidRPr="001F1399">
        <w:rPr>
          <w:rFonts w:ascii="Book Antiqua" w:hAnsi="Book Antiqua"/>
          <w:sz w:val="24"/>
          <w:szCs w:val="24"/>
          <w:lang w:val="en-US"/>
        </w:rPr>
        <w:t>9</w:t>
      </w:r>
    </w:p>
    <w:p w14:paraId="2B56C4ED" w14:textId="4ED7943D"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13</w:t>
      </w:r>
      <w:r w:rsidR="005E197E" w:rsidRPr="001F1399">
        <w:rPr>
          <w:rFonts w:ascii="Book Antiqua" w:hAnsi="Book Antiqua"/>
          <w:sz w:val="24"/>
          <w:szCs w:val="24"/>
          <w:lang w:val="en-US"/>
        </w:rPr>
        <w:t>6</w:t>
      </w:r>
      <w:r w:rsidRPr="001F1399">
        <w:rPr>
          <w:rFonts w:ascii="Book Antiqua" w:hAnsi="Book Antiqua"/>
          <w:sz w:val="24"/>
          <w:szCs w:val="24"/>
          <w:lang w:val="en-US"/>
        </w:rPr>
        <w:t xml:space="preserve"> </w:t>
      </w:r>
      <w:r w:rsidRPr="001F1399">
        <w:rPr>
          <w:rFonts w:ascii="Book Antiqua" w:hAnsi="Book Antiqua"/>
          <w:b/>
          <w:sz w:val="24"/>
          <w:szCs w:val="24"/>
          <w:lang w:val="en-US"/>
        </w:rPr>
        <w:t>Koschinsky T</w:t>
      </w:r>
      <w:r w:rsidRPr="001F1399">
        <w:rPr>
          <w:rFonts w:ascii="Book Antiqua" w:hAnsi="Book Antiqua"/>
          <w:sz w:val="24"/>
          <w:szCs w:val="24"/>
          <w:lang w:val="en-US"/>
        </w:rPr>
        <w:t xml:space="preserve">, He CJ, Mitsuhashi T, Bucala R, Liu C, Buenting C, Heitmann K, Vlassara H. Orally absorbed reactive glycation products (glycotoxins): an environmental risk factor in diabetic nephropathy. </w:t>
      </w:r>
      <w:r w:rsidRPr="001F1399">
        <w:rPr>
          <w:rFonts w:ascii="Book Antiqua" w:hAnsi="Book Antiqua"/>
          <w:i/>
          <w:sz w:val="24"/>
          <w:szCs w:val="24"/>
          <w:lang w:val="en-US"/>
        </w:rPr>
        <w:t>Proc Natl Acad Sci U S A</w:t>
      </w:r>
      <w:r w:rsidRPr="001F1399">
        <w:rPr>
          <w:rFonts w:ascii="Book Antiqua" w:hAnsi="Book Antiqua"/>
          <w:sz w:val="24"/>
          <w:szCs w:val="24"/>
          <w:lang w:val="en-US"/>
        </w:rPr>
        <w:t xml:space="preserve"> 1997; </w:t>
      </w:r>
      <w:r w:rsidRPr="001F1399">
        <w:rPr>
          <w:rFonts w:ascii="Book Antiqua" w:hAnsi="Book Antiqua"/>
          <w:b/>
          <w:sz w:val="24"/>
          <w:szCs w:val="24"/>
          <w:lang w:val="en-US"/>
        </w:rPr>
        <w:t>94</w:t>
      </w:r>
      <w:r w:rsidRPr="001F1399">
        <w:rPr>
          <w:rFonts w:ascii="Book Antiqua" w:hAnsi="Book Antiqua"/>
          <w:sz w:val="24"/>
          <w:szCs w:val="24"/>
          <w:lang w:val="en-US"/>
        </w:rPr>
        <w:t>: 6474-6479 [PMID: 9177242 DOI: 10.1073/pnas.94.12.6474]</w:t>
      </w:r>
    </w:p>
    <w:p w14:paraId="3ACD8FC4" w14:textId="2FEC5B31"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137</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Mericq V</w:t>
      </w:r>
      <w:r w:rsidR="00C076F3" w:rsidRPr="001F1399">
        <w:rPr>
          <w:rFonts w:ascii="Book Antiqua" w:hAnsi="Book Antiqua"/>
          <w:sz w:val="24"/>
          <w:szCs w:val="24"/>
          <w:lang w:val="en-US"/>
        </w:rPr>
        <w:t xml:space="preserve">, Piccardo C, Cai W, Chen X, Zhu L, Striker GE, Vlassara H, Uribarri J. Maternally transmitted and food-derived glycotoxins: a factor preconditioning the young to diabetes? </w:t>
      </w:r>
      <w:r w:rsidR="00C076F3" w:rsidRPr="001F1399">
        <w:rPr>
          <w:rFonts w:ascii="Book Antiqua" w:hAnsi="Book Antiqua"/>
          <w:i/>
          <w:sz w:val="24"/>
          <w:szCs w:val="24"/>
          <w:lang w:val="en-US"/>
        </w:rPr>
        <w:t>Diabetes Care</w:t>
      </w:r>
      <w:r w:rsidR="00C076F3" w:rsidRPr="001F1399">
        <w:rPr>
          <w:rFonts w:ascii="Book Antiqua" w:hAnsi="Book Antiqua"/>
          <w:sz w:val="24"/>
          <w:szCs w:val="24"/>
          <w:lang w:val="en-US"/>
        </w:rPr>
        <w:t xml:space="preserve"> 2010; </w:t>
      </w:r>
      <w:r w:rsidR="00C076F3" w:rsidRPr="001F1399">
        <w:rPr>
          <w:rFonts w:ascii="Book Antiqua" w:hAnsi="Book Antiqua"/>
          <w:b/>
          <w:sz w:val="24"/>
          <w:szCs w:val="24"/>
          <w:lang w:val="en-US"/>
        </w:rPr>
        <w:t>33</w:t>
      </w:r>
      <w:r w:rsidR="00C076F3" w:rsidRPr="001F1399">
        <w:rPr>
          <w:rFonts w:ascii="Book Antiqua" w:hAnsi="Book Antiqua"/>
          <w:sz w:val="24"/>
          <w:szCs w:val="24"/>
          <w:lang w:val="en-US"/>
        </w:rPr>
        <w:t>: 2232-2237 [PMID: 20628088 DOI: 10.2337/dc10-1058]</w:t>
      </w:r>
    </w:p>
    <w:p w14:paraId="7B11199B" w14:textId="74D16D44"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13</w:t>
      </w:r>
      <w:r w:rsidR="005E197E" w:rsidRPr="001F1399">
        <w:rPr>
          <w:rFonts w:ascii="Book Antiqua" w:hAnsi="Book Antiqua"/>
          <w:sz w:val="24"/>
          <w:szCs w:val="24"/>
          <w:lang w:val="en-US"/>
        </w:rPr>
        <w:t>8</w:t>
      </w:r>
      <w:r w:rsidRPr="001F1399">
        <w:rPr>
          <w:rFonts w:ascii="Book Antiqua" w:hAnsi="Book Antiqua"/>
          <w:sz w:val="24"/>
          <w:szCs w:val="24"/>
          <w:lang w:val="en-US"/>
        </w:rPr>
        <w:t xml:space="preserve"> </w:t>
      </w:r>
      <w:r w:rsidRPr="001F1399">
        <w:rPr>
          <w:rFonts w:ascii="Book Antiqua" w:hAnsi="Book Antiqua"/>
          <w:b/>
          <w:sz w:val="24"/>
          <w:szCs w:val="24"/>
          <w:lang w:val="en-US"/>
        </w:rPr>
        <w:t>Csongová M</w:t>
      </w:r>
      <w:r w:rsidRPr="001F1399">
        <w:rPr>
          <w:rFonts w:ascii="Book Antiqua" w:hAnsi="Book Antiqua"/>
          <w:sz w:val="24"/>
          <w:szCs w:val="24"/>
          <w:lang w:val="en-US"/>
        </w:rPr>
        <w:t xml:space="preserve">, Gurecká R, Koborová I, Celec P, Domonkos E, Uličná O, Somoza V, Šebeková K. The effects of a maternal advanced glycation end product-rich diet on somatic features, reflex ontogeny and metabolic parameters of offspring mice. </w:t>
      </w:r>
      <w:r w:rsidRPr="001F1399">
        <w:rPr>
          <w:rFonts w:ascii="Book Antiqua" w:hAnsi="Book Antiqua"/>
          <w:i/>
          <w:sz w:val="24"/>
          <w:szCs w:val="24"/>
          <w:lang w:val="en-US"/>
        </w:rPr>
        <w:t>Food Funct</w:t>
      </w:r>
      <w:r w:rsidRPr="001F1399">
        <w:rPr>
          <w:rFonts w:ascii="Book Antiqua" w:hAnsi="Book Antiqua"/>
          <w:sz w:val="24"/>
          <w:szCs w:val="24"/>
          <w:lang w:val="en-US"/>
        </w:rPr>
        <w:t xml:space="preserve"> 2018; </w:t>
      </w:r>
      <w:r w:rsidRPr="001F1399">
        <w:rPr>
          <w:rFonts w:ascii="Book Antiqua" w:hAnsi="Book Antiqua"/>
          <w:b/>
          <w:sz w:val="24"/>
          <w:szCs w:val="24"/>
          <w:lang w:val="en-US"/>
        </w:rPr>
        <w:t>9</w:t>
      </w:r>
      <w:r w:rsidRPr="001F1399">
        <w:rPr>
          <w:rFonts w:ascii="Book Antiqua" w:hAnsi="Book Antiqua"/>
          <w:sz w:val="24"/>
          <w:szCs w:val="24"/>
          <w:lang w:val="en-US"/>
        </w:rPr>
        <w:t>: 3432-3446 [PMID: 29877548 DOI: 10.1039/c8fo00183a]</w:t>
      </w:r>
    </w:p>
    <w:p w14:paraId="5A10537B" w14:textId="0A9E324F"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139</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Goldberg T</w:t>
      </w:r>
      <w:r w:rsidR="00C076F3" w:rsidRPr="001F1399">
        <w:rPr>
          <w:rFonts w:ascii="Book Antiqua" w:hAnsi="Book Antiqua"/>
          <w:sz w:val="24"/>
          <w:szCs w:val="24"/>
          <w:lang w:val="en-US"/>
        </w:rPr>
        <w:t xml:space="preserve">, Cai W, Peppa M, Dardaine V, Baliga BS, Uribarri J, Vlassara H. Advanced glycoxidation end products in commonly consumed foods. </w:t>
      </w:r>
      <w:r w:rsidR="00C076F3" w:rsidRPr="001F1399">
        <w:rPr>
          <w:rFonts w:ascii="Book Antiqua" w:hAnsi="Book Antiqua"/>
          <w:i/>
          <w:sz w:val="24"/>
          <w:szCs w:val="24"/>
          <w:lang w:val="en-US"/>
        </w:rPr>
        <w:t>J Am Diet Assoc</w:t>
      </w:r>
      <w:r w:rsidR="00C076F3" w:rsidRPr="001F1399">
        <w:rPr>
          <w:rFonts w:ascii="Book Antiqua" w:hAnsi="Book Antiqua"/>
          <w:sz w:val="24"/>
          <w:szCs w:val="24"/>
          <w:lang w:val="en-US"/>
        </w:rPr>
        <w:t xml:space="preserve"> 2004; </w:t>
      </w:r>
      <w:r w:rsidR="00C076F3" w:rsidRPr="001F1399">
        <w:rPr>
          <w:rFonts w:ascii="Book Antiqua" w:hAnsi="Book Antiqua"/>
          <w:b/>
          <w:sz w:val="24"/>
          <w:szCs w:val="24"/>
          <w:lang w:val="en-US"/>
        </w:rPr>
        <w:t>104</w:t>
      </w:r>
      <w:r w:rsidR="00C076F3" w:rsidRPr="001F1399">
        <w:rPr>
          <w:rFonts w:ascii="Book Antiqua" w:hAnsi="Book Antiqua"/>
          <w:sz w:val="24"/>
          <w:szCs w:val="24"/>
          <w:lang w:val="en-US"/>
        </w:rPr>
        <w:t>: 1287-1291 [PMID: 15281050 DOI: 10.1016/j.jada.2004.05.214]</w:t>
      </w:r>
    </w:p>
    <w:p w14:paraId="3F5F7F68" w14:textId="46135EF6"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140</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Meguid El Nahas A</w:t>
      </w:r>
      <w:r w:rsidR="00C076F3" w:rsidRPr="001F1399">
        <w:rPr>
          <w:rFonts w:ascii="Book Antiqua" w:hAnsi="Book Antiqua"/>
          <w:sz w:val="24"/>
          <w:szCs w:val="24"/>
          <w:lang w:val="en-US"/>
        </w:rPr>
        <w:t xml:space="preserve">, Bello AK. Chronic kidney disease: the global challenge. </w:t>
      </w:r>
      <w:r w:rsidR="00C076F3" w:rsidRPr="001F1399">
        <w:rPr>
          <w:rFonts w:ascii="Book Antiqua" w:hAnsi="Book Antiqua"/>
          <w:i/>
          <w:sz w:val="24"/>
          <w:szCs w:val="24"/>
          <w:lang w:val="en-US"/>
        </w:rPr>
        <w:t>Lancet</w:t>
      </w:r>
      <w:r w:rsidR="00C076F3" w:rsidRPr="001F1399">
        <w:rPr>
          <w:rFonts w:ascii="Book Antiqua" w:hAnsi="Book Antiqua"/>
          <w:sz w:val="24"/>
          <w:szCs w:val="24"/>
          <w:lang w:val="en-US"/>
        </w:rPr>
        <w:t xml:space="preserve"> 2005; </w:t>
      </w:r>
      <w:r w:rsidR="00C076F3" w:rsidRPr="001F1399">
        <w:rPr>
          <w:rFonts w:ascii="Book Antiqua" w:hAnsi="Book Antiqua"/>
          <w:b/>
          <w:sz w:val="24"/>
          <w:szCs w:val="24"/>
          <w:lang w:val="en-US"/>
        </w:rPr>
        <w:t>365</w:t>
      </w:r>
      <w:r w:rsidR="00C076F3" w:rsidRPr="001F1399">
        <w:rPr>
          <w:rFonts w:ascii="Book Antiqua" w:hAnsi="Book Antiqua"/>
          <w:sz w:val="24"/>
          <w:szCs w:val="24"/>
          <w:lang w:val="en-US"/>
        </w:rPr>
        <w:t>: 331-340 [PMID: 15664230 DOI: 10.1016/S0140-6736(05)17789-7]</w:t>
      </w:r>
    </w:p>
    <w:p w14:paraId="4DA79DEF" w14:textId="5341D0E5"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141</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Moller DE</w:t>
      </w:r>
      <w:r w:rsidR="00C076F3" w:rsidRPr="001F1399">
        <w:rPr>
          <w:rFonts w:ascii="Book Antiqua" w:hAnsi="Book Antiqua"/>
          <w:sz w:val="24"/>
          <w:szCs w:val="24"/>
          <w:lang w:val="en-US"/>
        </w:rPr>
        <w:t xml:space="preserve">. Potential role of TNF-alpha in the pathogenesis of insulin resistance and type 2 diabetes. </w:t>
      </w:r>
      <w:r w:rsidR="00C076F3" w:rsidRPr="001F1399">
        <w:rPr>
          <w:rFonts w:ascii="Book Antiqua" w:hAnsi="Book Antiqua"/>
          <w:i/>
          <w:sz w:val="24"/>
          <w:szCs w:val="24"/>
          <w:lang w:val="en-US"/>
        </w:rPr>
        <w:t>Trends Endocrinol Metab</w:t>
      </w:r>
      <w:r w:rsidR="00C076F3" w:rsidRPr="001F1399">
        <w:rPr>
          <w:rFonts w:ascii="Book Antiqua" w:hAnsi="Book Antiqua"/>
          <w:sz w:val="24"/>
          <w:szCs w:val="24"/>
          <w:lang w:val="en-US"/>
        </w:rPr>
        <w:t xml:space="preserve"> 2000; </w:t>
      </w:r>
      <w:r w:rsidR="00C076F3" w:rsidRPr="001F1399">
        <w:rPr>
          <w:rFonts w:ascii="Book Antiqua" w:hAnsi="Book Antiqua"/>
          <w:b/>
          <w:sz w:val="24"/>
          <w:szCs w:val="24"/>
          <w:lang w:val="en-US"/>
        </w:rPr>
        <w:t>11</w:t>
      </w:r>
      <w:r w:rsidR="00C076F3" w:rsidRPr="001F1399">
        <w:rPr>
          <w:rFonts w:ascii="Book Antiqua" w:hAnsi="Book Antiqua"/>
          <w:sz w:val="24"/>
          <w:szCs w:val="24"/>
          <w:lang w:val="en-US"/>
        </w:rPr>
        <w:t>: 212-217 [PMID: 10878750 DOI: 10.1016/S1043-2760(00)00272-1]</w:t>
      </w:r>
    </w:p>
    <w:p w14:paraId="3262BBE8" w14:textId="23E84FE3"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14</w:t>
      </w:r>
      <w:r w:rsidR="005E197E" w:rsidRPr="001F1399">
        <w:rPr>
          <w:rFonts w:ascii="Book Antiqua" w:hAnsi="Book Antiqua"/>
          <w:sz w:val="24"/>
          <w:szCs w:val="24"/>
          <w:lang w:val="en-US"/>
        </w:rPr>
        <w:t>2</w:t>
      </w:r>
      <w:r w:rsidRPr="001F1399">
        <w:rPr>
          <w:rFonts w:ascii="Book Antiqua" w:hAnsi="Book Antiqua"/>
          <w:sz w:val="24"/>
          <w:szCs w:val="24"/>
          <w:lang w:val="en-US"/>
        </w:rPr>
        <w:t xml:space="preserve"> </w:t>
      </w:r>
      <w:r w:rsidRPr="001F1399">
        <w:rPr>
          <w:rFonts w:ascii="Book Antiqua" w:hAnsi="Book Antiqua"/>
          <w:b/>
          <w:sz w:val="24"/>
          <w:szCs w:val="24"/>
          <w:lang w:val="en-US"/>
        </w:rPr>
        <w:t>Duarte-Salles T</w:t>
      </w:r>
      <w:r w:rsidRPr="001F1399">
        <w:rPr>
          <w:rFonts w:ascii="Book Antiqua" w:hAnsi="Book Antiqua"/>
          <w:sz w:val="24"/>
          <w:szCs w:val="24"/>
          <w:lang w:val="en-US"/>
        </w:rPr>
        <w:t xml:space="preserve">, von Stedingk H, Granum B, Gützkow KB, Rydberg P, Törnqvist M, Mendez MA, Brunborg G, Brantsæter AL, Meltzer HM, Alexander J, Haugen M. Dietary acrylamide intake during pregnancy and fetal growth-results from the Norwegian mother and child cohort study (MoBa). </w:t>
      </w:r>
      <w:r w:rsidRPr="001F1399">
        <w:rPr>
          <w:rFonts w:ascii="Book Antiqua" w:hAnsi="Book Antiqua"/>
          <w:i/>
          <w:sz w:val="24"/>
          <w:szCs w:val="24"/>
          <w:lang w:val="en-US"/>
        </w:rPr>
        <w:t>Environ Health Perspect</w:t>
      </w:r>
      <w:r w:rsidRPr="001F1399">
        <w:rPr>
          <w:rFonts w:ascii="Book Antiqua" w:hAnsi="Book Antiqua"/>
          <w:sz w:val="24"/>
          <w:szCs w:val="24"/>
          <w:lang w:val="en-US"/>
        </w:rPr>
        <w:t xml:space="preserve"> 2013; </w:t>
      </w:r>
      <w:r w:rsidRPr="001F1399">
        <w:rPr>
          <w:rFonts w:ascii="Book Antiqua" w:hAnsi="Book Antiqua"/>
          <w:b/>
          <w:sz w:val="24"/>
          <w:szCs w:val="24"/>
          <w:lang w:val="en-US"/>
        </w:rPr>
        <w:t>121</w:t>
      </w:r>
      <w:r w:rsidRPr="001F1399">
        <w:rPr>
          <w:rFonts w:ascii="Book Antiqua" w:hAnsi="Book Antiqua"/>
          <w:sz w:val="24"/>
          <w:szCs w:val="24"/>
          <w:lang w:val="en-US"/>
        </w:rPr>
        <w:t>: 374-379 [PMID: 23204292 DOI: 10.1289/ehp.1205396]</w:t>
      </w:r>
    </w:p>
    <w:p w14:paraId="10CF8435" w14:textId="11009AB9"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143</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Pedersen M</w:t>
      </w:r>
      <w:r w:rsidR="00C076F3" w:rsidRPr="001F1399">
        <w:rPr>
          <w:rFonts w:ascii="Book Antiqua" w:hAnsi="Book Antiqua"/>
          <w:sz w:val="24"/>
          <w:szCs w:val="24"/>
          <w:lang w:val="en-US"/>
        </w:rPr>
        <w:t xml:space="preserve">, von Stedingk H, Botsivali M, Agramunt S, Alexander J, Brunborg G, Chatzi L, Fleming S, Fthenou E, Granum B, Gutzkow KB, Hardie LJ, Knudsen LE, Kyrtopoulos SA, Mendez MA, Merlo DF, Nielsen JK, Rydberg P, Segerbäck D, Sunyer J, Wright J, Törnqvist M, Kleinjans JC, Kogevinas M; NewGeneris Consortium. Birth </w:t>
      </w:r>
      <w:r w:rsidR="00C076F3" w:rsidRPr="001F1399">
        <w:rPr>
          <w:rFonts w:ascii="Book Antiqua" w:hAnsi="Book Antiqua"/>
          <w:sz w:val="24"/>
          <w:szCs w:val="24"/>
          <w:lang w:val="en-US"/>
        </w:rPr>
        <w:lastRenderedPageBreak/>
        <w:t xml:space="preserve">weight, head circumference, and prenatal exposure to acrylamide from maternal diet: the European prospective mother-child study (NewGeneris). </w:t>
      </w:r>
      <w:r w:rsidR="00C076F3" w:rsidRPr="001F1399">
        <w:rPr>
          <w:rFonts w:ascii="Book Antiqua" w:hAnsi="Book Antiqua"/>
          <w:i/>
          <w:sz w:val="24"/>
          <w:szCs w:val="24"/>
          <w:lang w:val="en-US"/>
        </w:rPr>
        <w:t>Environ Health Perspect</w:t>
      </w:r>
      <w:r w:rsidR="00C076F3" w:rsidRPr="001F1399">
        <w:rPr>
          <w:rFonts w:ascii="Book Antiqua" w:hAnsi="Book Antiqua"/>
          <w:sz w:val="24"/>
          <w:szCs w:val="24"/>
          <w:lang w:val="en-US"/>
        </w:rPr>
        <w:t xml:space="preserve"> 2012; </w:t>
      </w:r>
      <w:r w:rsidR="00C076F3" w:rsidRPr="001F1399">
        <w:rPr>
          <w:rFonts w:ascii="Book Antiqua" w:hAnsi="Book Antiqua"/>
          <w:b/>
          <w:sz w:val="24"/>
          <w:szCs w:val="24"/>
          <w:lang w:val="en-US"/>
        </w:rPr>
        <w:t>120</w:t>
      </w:r>
      <w:r w:rsidR="00C076F3" w:rsidRPr="001F1399">
        <w:rPr>
          <w:rFonts w:ascii="Book Antiqua" w:hAnsi="Book Antiqua"/>
          <w:sz w:val="24"/>
          <w:szCs w:val="24"/>
          <w:lang w:val="en-US"/>
        </w:rPr>
        <w:t>: 1739-1745 [PMID: 23092936 DOI: 10.1289/ehp.1205327]</w:t>
      </w:r>
    </w:p>
    <w:p w14:paraId="040F9F54" w14:textId="2BBE1D97" w:rsidR="00C076F3" w:rsidRPr="001F1399" w:rsidRDefault="005E197E" w:rsidP="002974FA">
      <w:pPr>
        <w:adjustRightInd w:val="0"/>
        <w:snapToGrid w:val="0"/>
        <w:spacing w:after="0" w:line="360" w:lineRule="auto"/>
        <w:jc w:val="both"/>
        <w:rPr>
          <w:rFonts w:ascii="Book Antiqua" w:hAnsi="Book Antiqua"/>
          <w:sz w:val="24"/>
          <w:szCs w:val="24"/>
        </w:rPr>
      </w:pPr>
      <w:r w:rsidRPr="001F1399">
        <w:rPr>
          <w:rFonts w:ascii="Book Antiqua" w:hAnsi="Book Antiqua"/>
          <w:sz w:val="24"/>
          <w:szCs w:val="24"/>
          <w:lang w:val="en-US"/>
        </w:rPr>
        <w:t>144</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Kadawathagedara M</w:t>
      </w:r>
      <w:r w:rsidR="00C076F3" w:rsidRPr="001F1399">
        <w:rPr>
          <w:rFonts w:ascii="Book Antiqua" w:hAnsi="Book Antiqua"/>
          <w:sz w:val="24"/>
          <w:szCs w:val="24"/>
          <w:lang w:val="en-US"/>
        </w:rPr>
        <w:t xml:space="preserve">, Tong ACH, Heude B, Forhan A, Charles MA, Sirot V, Botton J, The Eden Mother-Child Cohort Study Group. Dietary acrylamide intake during pregnancy and anthropometry at birth in the French EDEN mother-child cohort study. </w:t>
      </w:r>
      <w:r w:rsidR="00C076F3" w:rsidRPr="001F1399">
        <w:rPr>
          <w:rFonts w:ascii="Book Antiqua" w:hAnsi="Book Antiqua"/>
          <w:i/>
          <w:sz w:val="24"/>
          <w:szCs w:val="24"/>
        </w:rPr>
        <w:t>Environ Res</w:t>
      </w:r>
      <w:r w:rsidR="00C076F3" w:rsidRPr="001F1399">
        <w:rPr>
          <w:rFonts w:ascii="Book Antiqua" w:hAnsi="Book Antiqua"/>
          <w:sz w:val="24"/>
          <w:szCs w:val="24"/>
        </w:rPr>
        <w:t xml:space="preserve"> 2016; </w:t>
      </w:r>
      <w:r w:rsidR="00C076F3" w:rsidRPr="001F1399">
        <w:rPr>
          <w:rFonts w:ascii="Book Antiqua" w:hAnsi="Book Antiqua"/>
          <w:b/>
          <w:sz w:val="24"/>
          <w:szCs w:val="24"/>
        </w:rPr>
        <w:t>149</w:t>
      </w:r>
      <w:r w:rsidR="00C076F3" w:rsidRPr="001F1399">
        <w:rPr>
          <w:rFonts w:ascii="Book Antiqua" w:hAnsi="Book Antiqua"/>
          <w:sz w:val="24"/>
          <w:szCs w:val="24"/>
        </w:rPr>
        <w:t>: 189-196 [PMID: 27208470 DOI: 10.1016/j.envres.2016.05.019]</w:t>
      </w:r>
    </w:p>
    <w:p w14:paraId="66600439" w14:textId="0FE06BD8"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rPr>
        <w:t>14</w:t>
      </w:r>
      <w:r w:rsidR="005E197E" w:rsidRPr="001F1399">
        <w:rPr>
          <w:rFonts w:ascii="Book Antiqua" w:hAnsi="Book Antiqua"/>
          <w:sz w:val="24"/>
          <w:szCs w:val="24"/>
        </w:rPr>
        <w:t>5</w:t>
      </w:r>
      <w:r w:rsidRPr="001F1399">
        <w:rPr>
          <w:rFonts w:ascii="Book Antiqua" w:hAnsi="Book Antiqua"/>
          <w:sz w:val="24"/>
          <w:szCs w:val="24"/>
        </w:rPr>
        <w:t xml:space="preserve"> </w:t>
      </w:r>
      <w:r w:rsidRPr="001F1399">
        <w:rPr>
          <w:rFonts w:ascii="Book Antiqua" w:hAnsi="Book Antiqua"/>
          <w:b/>
          <w:sz w:val="24"/>
          <w:szCs w:val="24"/>
        </w:rPr>
        <w:t>Ferguson SA</w:t>
      </w:r>
      <w:r w:rsidRPr="001F1399">
        <w:rPr>
          <w:rFonts w:ascii="Book Antiqua" w:hAnsi="Book Antiqua"/>
          <w:sz w:val="24"/>
          <w:szCs w:val="24"/>
        </w:rPr>
        <w:t xml:space="preserve">, Garey J, Smith ME, Twaddle NC, Doerge DR, Paule MG. </w:t>
      </w:r>
      <w:r w:rsidRPr="001F1399">
        <w:rPr>
          <w:rFonts w:ascii="Book Antiqua" w:hAnsi="Book Antiqua"/>
          <w:sz w:val="24"/>
          <w:szCs w:val="24"/>
          <w:lang w:val="en-US"/>
        </w:rPr>
        <w:t xml:space="preserve">Preweaning behaviors, developmental landmarks, and acrylamide and glycidamide levels after pre- and postnatal acrylamide treatment in rats. </w:t>
      </w:r>
      <w:r w:rsidRPr="001F1399">
        <w:rPr>
          <w:rFonts w:ascii="Book Antiqua" w:hAnsi="Book Antiqua"/>
          <w:i/>
          <w:sz w:val="24"/>
          <w:szCs w:val="24"/>
          <w:lang w:val="en-US"/>
        </w:rPr>
        <w:t>Neurotoxicol Teratol</w:t>
      </w:r>
      <w:r w:rsidRPr="001F1399">
        <w:rPr>
          <w:rFonts w:ascii="Book Antiqua" w:hAnsi="Book Antiqua"/>
          <w:sz w:val="24"/>
          <w:szCs w:val="24"/>
          <w:lang w:val="en-US"/>
        </w:rPr>
        <w:t xml:space="preserve"> 2010; </w:t>
      </w:r>
      <w:r w:rsidRPr="001F1399">
        <w:rPr>
          <w:rFonts w:ascii="Book Antiqua" w:hAnsi="Book Antiqua"/>
          <w:b/>
          <w:sz w:val="24"/>
          <w:szCs w:val="24"/>
          <w:lang w:val="en-US"/>
        </w:rPr>
        <w:t>32</w:t>
      </w:r>
      <w:r w:rsidRPr="001F1399">
        <w:rPr>
          <w:rFonts w:ascii="Book Antiqua" w:hAnsi="Book Antiqua"/>
          <w:sz w:val="24"/>
          <w:szCs w:val="24"/>
          <w:lang w:val="en-US"/>
        </w:rPr>
        <w:t>: 373-382 [PMID: 20117204 DOI: 10.1016/j.ntt.2010.01.010]</w:t>
      </w:r>
    </w:p>
    <w:p w14:paraId="0C8EED14" w14:textId="2471DACC"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14</w:t>
      </w:r>
      <w:r w:rsidR="005E197E" w:rsidRPr="001F1399">
        <w:rPr>
          <w:rFonts w:ascii="Book Antiqua" w:hAnsi="Book Antiqua"/>
          <w:sz w:val="24"/>
          <w:szCs w:val="24"/>
          <w:lang w:val="en-US"/>
        </w:rPr>
        <w:t>6</w:t>
      </w:r>
      <w:r w:rsidRPr="001F1399">
        <w:rPr>
          <w:rFonts w:ascii="Book Antiqua" w:hAnsi="Book Antiqua"/>
          <w:sz w:val="24"/>
          <w:szCs w:val="24"/>
          <w:lang w:val="en-US"/>
        </w:rPr>
        <w:t xml:space="preserve"> </w:t>
      </w:r>
      <w:r w:rsidRPr="001F1399">
        <w:rPr>
          <w:rFonts w:ascii="Book Antiqua" w:hAnsi="Book Antiqua"/>
          <w:b/>
          <w:sz w:val="24"/>
          <w:szCs w:val="24"/>
          <w:lang w:val="en-US"/>
        </w:rPr>
        <w:t>Yilmaz BO</w:t>
      </w:r>
      <w:r w:rsidRPr="001F1399">
        <w:rPr>
          <w:rFonts w:ascii="Book Antiqua" w:hAnsi="Book Antiqua"/>
          <w:sz w:val="24"/>
          <w:szCs w:val="24"/>
          <w:lang w:val="en-US"/>
        </w:rPr>
        <w:t xml:space="preserve">, Yildizbayrak N, Aydin Y, Erkan M. Evidence of acrylamide- and glycidamide-induced oxidative stress and apoptosis in Leydig and Sertoli cells. </w:t>
      </w:r>
      <w:r w:rsidRPr="001F1399">
        <w:rPr>
          <w:rFonts w:ascii="Book Antiqua" w:hAnsi="Book Antiqua"/>
          <w:i/>
          <w:sz w:val="24"/>
          <w:szCs w:val="24"/>
          <w:lang w:val="en-US"/>
        </w:rPr>
        <w:t>Hum Exp Toxicol</w:t>
      </w:r>
      <w:r w:rsidRPr="001F1399">
        <w:rPr>
          <w:rFonts w:ascii="Book Antiqua" w:hAnsi="Book Antiqua"/>
          <w:sz w:val="24"/>
          <w:szCs w:val="24"/>
          <w:lang w:val="en-US"/>
        </w:rPr>
        <w:t xml:space="preserve"> 2017; </w:t>
      </w:r>
      <w:r w:rsidRPr="001F1399">
        <w:rPr>
          <w:rFonts w:ascii="Book Antiqua" w:hAnsi="Book Antiqua"/>
          <w:b/>
          <w:sz w:val="24"/>
          <w:szCs w:val="24"/>
          <w:lang w:val="en-US"/>
        </w:rPr>
        <w:t>36</w:t>
      </w:r>
      <w:r w:rsidRPr="001F1399">
        <w:rPr>
          <w:rFonts w:ascii="Book Antiqua" w:hAnsi="Book Antiqua"/>
          <w:sz w:val="24"/>
          <w:szCs w:val="24"/>
          <w:lang w:val="en-US"/>
        </w:rPr>
        <w:t>: 1225-1235 [PMID: 28067054 DOI: 10.1177/0960327116686818]</w:t>
      </w:r>
    </w:p>
    <w:p w14:paraId="6229E118" w14:textId="3AEA9F13"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14</w:t>
      </w:r>
      <w:r w:rsidR="005E197E" w:rsidRPr="001F1399">
        <w:rPr>
          <w:rFonts w:ascii="Book Antiqua" w:hAnsi="Book Antiqua"/>
          <w:sz w:val="24"/>
          <w:szCs w:val="24"/>
          <w:lang w:val="en-US"/>
        </w:rPr>
        <w:t>7</w:t>
      </w:r>
      <w:r w:rsidRPr="001F1399">
        <w:rPr>
          <w:rFonts w:ascii="Book Antiqua" w:hAnsi="Book Antiqua"/>
          <w:sz w:val="24"/>
          <w:szCs w:val="24"/>
          <w:lang w:val="en-US"/>
        </w:rPr>
        <w:t xml:space="preserve"> </w:t>
      </w:r>
      <w:r w:rsidRPr="001F1399">
        <w:rPr>
          <w:rFonts w:ascii="Book Antiqua" w:hAnsi="Book Antiqua"/>
          <w:b/>
          <w:sz w:val="24"/>
          <w:szCs w:val="24"/>
          <w:lang w:val="en-US"/>
        </w:rPr>
        <w:t>Annola K</w:t>
      </w:r>
      <w:r w:rsidRPr="001F1399">
        <w:rPr>
          <w:rFonts w:ascii="Book Antiqua" w:hAnsi="Book Antiqua"/>
          <w:sz w:val="24"/>
          <w:szCs w:val="24"/>
          <w:lang w:val="en-US"/>
        </w:rPr>
        <w:t xml:space="preserve">, Karttunen V, Keski-Rahkonen P, Myllynen P, Segerbäck D, Heinonen S, Vähäkangas K. Transplacental transfer of acrylamide and glycidamide are comparable to that of antipyrine in perfused human placenta. </w:t>
      </w:r>
      <w:r w:rsidRPr="001F1399">
        <w:rPr>
          <w:rFonts w:ascii="Book Antiqua" w:hAnsi="Book Antiqua"/>
          <w:i/>
          <w:sz w:val="24"/>
          <w:szCs w:val="24"/>
          <w:lang w:val="en-US"/>
        </w:rPr>
        <w:t>Toxicol Lett</w:t>
      </w:r>
      <w:r w:rsidRPr="001F1399">
        <w:rPr>
          <w:rFonts w:ascii="Book Antiqua" w:hAnsi="Book Antiqua"/>
          <w:sz w:val="24"/>
          <w:szCs w:val="24"/>
          <w:lang w:val="en-US"/>
        </w:rPr>
        <w:t xml:space="preserve"> 2008; </w:t>
      </w:r>
      <w:r w:rsidRPr="001F1399">
        <w:rPr>
          <w:rFonts w:ascii="Book Antiqua" w:hAnsi="Book Antiqua"/>
          <w:b/>
          <w:sz w:val="24"/>
          <w:szCs w:val="24"/>
          <w:lang w:val="en-US"/>
        </w:rPr>
        <w:t>182</w:t>
      </w:r>
      <w:r w:rsidRPr="001F1399">
        <w:rPr>
          <w:rFonts w:ascii="Book Antiqua" w:hAnsi="Book Antiqua"/>
          <w:sz w:val="24"/>
          <w:szCs w:val="24"/>
          <w:lang w:val="en-US"/>
        </w:rPr>
        <w:t>: 50-56 [PMID: 18790027 DOI: 10.1016/j.toxlet.2008.08.006]</w:t>
      </w:r>
    </w:p>
    <w:p w14:paraId="7BAD44D6" w14:textId="5D16E063"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148</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Sörgel F</w:t>
      </w:r>
      <w:r w:rsidR="00C076F3" w:rsidRPr="001F1399">
        <w:rPr>
          <w:rFonts w:ascii="Book Antiqua" w:hAnsi="Book Antiqua"/>
          <w:sz w:val="24"/>
          <w:szCs w:val="24"/>
          <w:lang w:val="en-US"/>
        </w:rPr>
        <w:t xml:space="preserve">, Weissenbacher R, Kinzig-Schippers M, Hofmann A, Illauer M, Skott A, Landersdorfer C. Acrylamide: increased concentrations in homemade food and first evidence of its variable absorption from food, variable metabolism and placental and breast milk transfer in humans. </w:t>
      </w:r>
      <w:r w:rsidR="00C076F3" w:rsidRPr="001F1399">
        <w:rPr>
          <w:rFonts w:ascii="Book Antiqua" w:hAnsi="Book Antiqua"/>
          <w:i/>
          <w:sz w:val="24"/>
          <w:szCs w:val="24"/>
          <w:lang w:val="en-US"/>
        </w:rPr>
        <w:t>Chemotherapy</w:t>
      </w:r>
      <w:r w:rsidR="00C076F3" w:rsidRPr="001F1399">
        <w:rPr>
          <w:rFonts w:ascii="Book Antiqua" w:hAnsi="Book Antiqua"/>
          <w:sz w:val="24"/>
          <w:szCs w:val="24"/>
          <w:lang w:val="en-US"/>
        </w:rPr>
        <w:t xml:space="preserve"> 2002; </w:t>
      </w:r>
      <w:r w:rsidR="00C076F3" w:rsidRPr="001F1399">
        <w:rPr>
          <w:rFonts w:ascii="Book Antiqua" w:hAnsi="Book Antiqua"/>
          <w:b/>
          <w:sz w:val="24"/>
          <w:szCs w:val="24"/>
          <w:lang w:val="en-US"/>
        </w:rPr>
        <w:t>48</w:t>
      </w:r>
      <w:r w:rsidR="00C076F3" w:rsidRPr="001F1399">
        <w:rPr>
          <w:rFonts w:ascii="Book Antiqua" w:hAnsi="Book Antiqua"/>
          <w:sz w:val="24"/>
          <w:szCs w:val="24"/>
          <w:lang w:val="en-US"/>
        </w:rPr>
        <w:t>: 267-274 [PMID: 12673101 DOI: 10.1159/000069715]</w:t>
      </w:r>
    </w:p>
    <w:p w14:paraId="4136ADE5" w14:textId="2B8CD7DF"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14</w:t>
      </w:r>
      <w:r w:rsidR="005E197E" w:rsidRPr="001F1399">
        <w:rPr>
          <w:rFonts w:ascii="Book Antiqua" w:hAnsi="Book Antiqua"/>
          <w:sz w:val="24"/>
          <w:szCs w:val="24"/>
          <w:lang w:val="en-US"/>
        </w:rPr>
        <w:t>9</w:t>
      </w:r>
      <w:r w:rsidRPr="001F1399">
        <w:rPr>
          <w:rFonts w:ascii="Book Antiqua" w:hAnsi="Book Antiqua"/>
          <w:sz w:val="24"/>
          <w:szCs w:val="24"/>
          <w:lang w:val="en-US"/>
        </w:rPr>
        <w:t xml:space="preserve"> </w:t>
      </w:r>
      <w:r w:rsidRPr="001F1399">
        <w:rPr>
          <w:rFonts w:ascii="Book Antiqua" w:hAnsi="Book Antiqua"/>
          <w:b/>
          <w:sz w:val="24"/>
          <w:szCs w:val="24"/>
          <w:lang w:val="en-US"/>
        </w:rPr>
        <w:t>Lin CY</w:t>
      </w:r>
      <w:r w:rsidRPr="001F1399">
        <w:rPr>
          <w:rFonts w:ascii="Book Antiqua" w:hAnsi="Book Antiqua"/>
          <w:sz w:val="24"/>
          <w:szCs w:val="24"/>
          <w:lang w:val="en-US"/>
        </w:rPr>
        <w:t xml:space="preserve">, Lin LY, Chen YC, Wen LL, Chien KL, Sung FC, Chen PC, Su TC. Association between measurements of thyroid function and the acrylamide metabolite N-Acetyl-S-(propionamide)-cysteine in adolescents and young adults. </w:t>
      </w:r>
      <w:r w:rsidRPr="001F1399">
        <w:rPr>
          <w:rFonts w:ascii="Book Antiqua" w:hAnsi="Book Antiqua"/>
          <w:i/>
          <w:sz w:val="24"/>
          <w:szCs w:val="24"/>
          <w:lang w:val="en-US"/>
        </w:rPr>
        <w:t>Environ Res</w:t>
      </w:r>
      <w:r w:rsidRPr="001F1399">
        <w:rPr>
          <w:rFonts w:ascii="Book Antiqua" w:hAnsi="Book Antiqua"/>
          <w:sz w:val="24"/>
          <w:szCs w:val="24"/>
          <w:lang w:val="en-US"/>
        </w:rPr>
        <w:t xml:space="preserve"> 2015; </w:t>
      </w:r>
      <w:r w:rsidRPr="001F1399">
        <w:rPr>
          <w:rFonts w:ascii="Book Antiqua" w:hAnsi="Book Antiqua"/>
          <w:b/>
          <w:sz w:val="24"/>
          <w:szCs w:val="24"/>
          <w:lang w:val="en-US"/>
        </w:rPr>
        <w:t>136</w:t>
      </w:r>
      <w:r w:rsidRPr="001F1399">
        <w:rPr>
          <w:rFonts w:ascii="Book Antiqua" w:hAnsi="Book Antiqua"/>
          <w:sz w:val="24"/>
          <w:szCs w:val="24"/>
          <w:lang w:val="en-US"/>
        </w:rPr>
        <w:t>: 246-252 [PMID: 25460643 DOI: 10.1016/j.envres.2014.08.043]</w:t>
      </w:r>
    </w:p>
    <w:p w14:paraId="69B9F03F" w14:textId="25A3CF17"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150</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Shields BM</w:t>
      </w:r>
      <w:r w:rsidR="00C076F3" w:rsidRPr="001F1399">
        <w:rPr>
          <w:rFonts w:ascii="Book Antiqua" w:hAnsi="Book Antiqua"/>
          <w:sz w:val="24"/>
          <w:szCs w:val="24"/>
          <w:lang w:val="en-US"/>
        </w:rPr>
        <w:t xml:space="preserve">, Knight BA, Hill A, Hattersley AT, Vaidya B. Fetal thyroid hormone level at birth is associated with fetal growth. </w:t>
      </w:r>
      <w:r w:rsidR="00C076F3" w:rsidRPr="001F1399">
        <w:rPr>
          <w:rFonts w:ascii="Book Antiqua" w:hAnsi="Book Antiqua"/>
          <w:i/>
          <w:sz w:val="24"/>
          <w:szCs w:val="24"/>
          <w:lang w:val="en-US"/>
        </w:rPr>
        <w:t>J Clin Endocrinol Metab</w:t>
      </w:r>
      <w:r w:rsidR="00C076F3" w:rsidRPr="001F1399">
        <w:rPr>
          <w:rFonts w:ascii="Book Antiqua" w:hAnsi="Book Antiqua"/>
          <w:sz w:val="24"/>
          <w:szCs w:val="24"/>
          <w:lang w:val="en-US"/>
        </w:rPr>
        <w:t xml:space="preserve"> 2011; </w:t>
      </w:r>
      <w:r w:rsidR="00C076F3" w:rsidRPr="001F1399">
        <w:rPr>
          <w:rFonts w:ascii="Book Antiqua" w:hAnsi="Book Antiqua"/>
          <w:b/>
          <w:sz w:val="24"/>
          <w:szCs w:val="24"/>
          <w:lang w:val="en-US"/>
        </w:rPr>
        <w:t>96</w:t>
      </w:r>
      <w:r w:rsidR="00C076F3" w:rsidRPr="001F1399">
        <w:rPr>
          <w:rFonts w:ascii="Book Antiqua" w:hAnsi="Book Antiqua"/>
          <w:sz w:val="24"/>
          <w:szCs w:val="24"/>
          <w:lang w:val="en-US"/>
        </w:rPr>
        <w:t>: E934-E938 [PMID: 21411545 DOI: 10.1210/jc.2010-2814]</w:t>
      </w:r>
    </w:p>
    <w:p w14:paraId="1D429AB9" w14:textId="45B08144"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lastRenderedPageBreak/>
        <w:t>151</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Diamanti-Kandarakis E</w:t>
      </w:r>
      <w:r w:rsidR="00C076F3" w:rsidRPr="001F1399">
        <w:rPr>
          <w:rFonts w:ascii="Book Antiqua" w:hAnsi="Book Antiqua"/>
          <w:sz w:val="24"/>
          <w:szCs w:val="24"/>
          <w:lang w:val="en-US"/>
        </w:rPr>
        <w:t xml:space="preserve">, Piperi C, Korkolopoulou P, Kandaraki E, Levidou G, Papalois A, Patsouris E, Papavassiliou AG. Accumulation of dietary glycotoxins in the reproductive system of normal female rats. </w:t>
      </w:r>
      <w:r w:rsidR="00C076F3" w:rsidRPr="001F1399">
        <w:rPr>
          <w:rFonts w:ascii="Book Antiqua" w:hAnsi="Book Antiqua"/>
          <w:i/>
          <w:sz w:val="24"/>
          <w:szCs w:val="24"/>
          <w:lang w:val="en-US"/>
        </w:rPr>
        <w:t>J Mol Med (Berl)</w:t>
      </w:r>
      <w:r w:rsidR="00C076F3" w:rsidRPr="001F1399">
        <w:rPr>
          <w:rFonts w:ascii="Book Antiqua" w:hAnsi="Book Antiqua"/>
          <w:sz w:val="24"/>
          <w:szCs w:val="24"/>
          <w:lang w:val="en-US"/>
        </w:rPr>
        <w:t xml:space="preserve"> 2007; </w:t>
      </w:r>
      <w:r w:rsidR="00C076F3" w:rsidRPr="001F1399">
        <w:rPr>
          <w:rFonts w:ascii="Book Antiqua" w:hAnsi="Book Antiqua"/>
          <w:b/>
          <w:sz w:val="24"/>
          <w:szCs w:val="24"/>
          <w:lang w:val="en-US"/>
        </w:rPr>
        <w:t>85</w:t>
      </w:r>
      <w:r w:rsidR="00C076F3" w:rsidRPr="001F1399">
        <w:rPr>
          <w:rFonts w:ascii="Book Antiqua" w:hAnsi="Book Antiqua"/>
          <w:sz w:val="24"/>
          <w:szCs w:val="24"/>
          <w:lang w:val="en-US"/>
        </w:rPr>
        <w:t>: 1413-1420 [PMID: 17694292 DOI: 10.1007/s00109-007-0246-6]</w:t>
      </w:r>
    </w:p>
    <w:p w14:paraId="1F366C06" w14:textId="213C4EC9"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15</w:t>
      </w:r>
      <w:r w:rsidR="005E197E" w:rsidRPr="001F1399">
        <w:rPr>
          <w:rFonts w:ascii="Book Antiqua" w:hAnsi="Book Antiqua"/>
          <w:sz w:val="24"/>
          <w:szCs w:val="24"/>
          <w:lang w:val="en-US"/>
        </w:rPr>
        <w:t>2</w:t>
      </w:r>
      <w:r w:rsidRPr="001F1399">
        <w:rPr>
          <w:rFonts w:ascii="Book Antiqua" w:hAnsi="Book Antiqua"/>
          <w:sz w:val="24"/>
          <w:szCs w:val="24"/>
          <w:lang w:val="en-US"/>
        </w:rPr>
        <w:t xml:space="preserve"> </w:t>
      </w:r>
      <w:r w:rsidRPr="001F1399">
        <w:rPr>
          <w:rFonts w:ascii="Book Antiqua" w:hAnsi="Book Antiqua"/>
          <w:b/>
          <w:sz w:val="24"/>
          <w:szCs w:val="24"/>
          <w:lang w:val="en-US"/>
        </w:rPr>
        <w:t>Chatzigeorgiou A</w:t>
      </w:r>
      <w:r w:rsidRPr="001F1399">
        <w:rPr>
          <w:rFonts w:ascii="Book Antiqua" w:hAnsi="Book Antiqua"/>
          <w:sz w:val="24"/>
          <w:szCs w:val="24"/>
          <w:lang w:val="en-US"/>
        </w:rPr>
        <w:t xml:space="preserve">, Kandaraki E, Piperi C, Livadas S, Papavassiliou AG, Koutsilieris M, Papalois A, Diamanti-Kandarakis E. Dietary glycotoxins affect scavenger receptor expression and the hormonal profile of female rats. </w:t>
      </w:r>
      <w:r w:rsidRPr="001F1399">
        <w:rPr>
          <w:rFonts w:ascii="Book Antiqua" w:hAnsi="Book Antiqua"/>
          <w:i/>
          <w:sz w:val="24"/>
          <w:szCs w:val="24"/>
          <w:lang w:val="en-US"/>
        </w:rPr>
        <w:t>J Endocrinol</w:t>
      </w:r>
      <w:r w:rsidRPr="001F1399">
        <w:rPr>
          <w:rFonts w:ascii="Book Antiqua" w:hAnsi="Book Antiqua"/>
          <w:sz w:val="24"/>
          <w:szCs w:val="24"/>
          <w:lang w:val="en-US"/>
        </w:rPr>
        <w:t xml:space="preserve"> 2013; </w:t>
      </w:r>
      <w:r w:rsidRPr="001F1399">
        <w:rPr>
          <w:rFonts w:ascii="Book Antiqua" w:hAnsi="Book Antiqua"/>
          <w:b/>
          <w:sz w:val="24"/>
          <w:szCs w:val="24"/>
          <w:lang w:val="en-US"/>
        </w:rPr>
        <w:t>218</w:t>
      </w:r>
      <w:r w:rsidRPr="001F1399">
        <w:rPr>
          <w:rFonts w:ascii="Book Antiqua" w:hAnsi="Book Antiqua"/>
          <w:sz w:val="24"/>
          <w:szCs w:val="24"/>
          <w:lang w:val="en-US"/>
        </w:rPr>
        <w:t>: 331-337 [PMID: 23823020 DOI: 10.1530/JOE-13-0175]</w:t>
      </w:r>
    </w:p>
    <w:p w14:paraId="05DADA3B" w14:textId="282A9AE2"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153</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Clarke RE</w:t>
      </w:r>
      <w:r w:rsidR="00C076F3" w:rsidRPr="001F1399">
        <w:rPr>
          <w:rFonts w:ascii="Book Antiqua" w:hAnsi="Book Antiqua"/>
          <w:sz w:val="24"/>
          <w:szCs w:val="24"/>
          <w:lang w:val="en-US"/>
        </w:rPr>
        <w:t xml:space="preserve">, Dordevic AL, Tan SM, Ryan L, Coughlan MT. Dietary Advanced Glycation End Products and Risk Factors for Chronic Disease: A Systematic Review of Randomised Controlled Trials. </w:t>
      </w:r>
      <w:r w:rsidR="00C076F3" w:rsidRPr="001F1399">
        <w:rPr>
          <w:rFonts w:ascii="Book Antiqua" w:hAnsi="Book Antiqua"/>
          <w:i/>
          <w:sz w:val="24"/>
          <w:szCs w:val="24"/>
          <w:lang w:val="en-US"/>
        </w:rPr>
        <w:t>Nutrients</w:t>
      </w:r>
      <w:r w:rsidR="00C076F3" w:rsidRPr="001F1399">
        <w:rPr>
          <w:rFonts w:ascii="Book Antiqua" w:hAnsi="Book Antiqua"/>
          <w:sz w:val="24"/>
          <w:szCs w:val="24"/>
          <w:lang w:val="en-US"/>
        </w:rPr>
        <w:t xml:space="preserve"> 2016; </w:t>
      </w:r>
      <w:r w:rsidR="00C076F3" w:rsidRPr="001F1399">
        <w:rPr>
          <w:rFonts w:ascii="Book Antiqua" w:hAnsi="Book Antiqua"/>
          <w:b/>
          <w:sz w:val="24"/>
          <w:szCs w:val="24"/>
          <w:lang w:val="en-US"/>
        </w:rPr>
        <w:t>8</w:t>
      </w:r>
      <w:r w:rsidR="00C076F3" w:rsidRPr="001F1399">
        <w:rPr>
          <w:rFonts w:ascii="Book Antiqua" w:hAnsi="Book Antiqua"/>
          <w:sz w:val="24"/>
          <w:szCs w:val="24"/>
          <w:lang w:val="en-US"/>
        </w:rPr>
        <w:t>: 125 [PMID: 26938557 DOI: 10.3390/nu8030125]</w:t>
      </w:r>
    </w:p>
    <w:p w14:paraId="37F2B7D1" w14:textId="4B7B8B1D"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15</w:t>
      </w:r>
      <w:r w:rsidR="005E197E" w:rsidRPr="001F1399">
        <w:rPr>
          <w:rFonts w:ascii="Book Antiqua" w:hAnsi="Book Antiqua"/>
          <w:sz w:val="24"/>
          <w:szCs w:val="24"/>
          <w:lang w:val="en-US"/>
        </w:rPr>
        <w:t>4</w:t>
      </w:r>
      <w:r w:rsidRPr="001F1399">
        <w:rPr>
          <w:rFonts w:ascii="Book Antiqua" w:hAnsi="Book Antiqua"/>
          <w:sz w:val="24"/>
          <w:szCs w:val="24"/>
          <w:lang w:val="en-US"/>
        </w:rPr>
        <w:t xml:space="preserve"> </w:t>
      </w:r>
      <w:r w:rsidRPr="001F1399">
        <w:rPr>
          <w:rFonts w:ascii="Book Antiqua" w:hAnsi="Book Antiqua"/>
          <w:b/>
          <w:sz w:val="24"/>
          <w:szCs w:val="24"/>
          <w:lang w:val="en-US"/>
        </w:rPr>
        <w:t>Falony G</w:t>
      </w:r>
      <w:r w:rsidRPr="001F1399">
        <w:rPr>
          <w:rFonts w:ascii="Book Antiqua" w:hAnsi="Book Antiqua"/>
          <w:sz w:val="24"/>
          <w:szCs w:val="24"/>
          <w:lang w:val="en-US"/>
        </w:rPr>
        <w:t xml:space="preserve">, Joossens M, Vieira-Silva S, Wang J, Darzi Y, Faust K, Kurilshikov A, Bonder MJ, Valles-Colomer M, Vandeputte D, Tito RY, Chaffron S, Rymenans L, Verspecht C, De Sutter L, Lima-Mendez G, D'hoe K, Jonckheere K, Homola D, Garcia R, Tigchelaar EF, Eeckhaudt L, Fu J, Henckaerts L, Zhernakova A, Wijmenga C, Raes J. Population-level analysis of gut microbiome variation. </w:t>
      </w:r>
      <w:r w:rsidRPr="001F1399">
        <w:rPr>
          <w:rFonts w:ascii="Book Antiqua" w:hAnsi="Book Antiqua"/>
          <w:i/>
          <w:sz w:val="24"/>
          <w:szCs w:val="24"/>
          <w:lang w:val="en-US"/>
        </w:rPr>
        <w:t>Science</w:t>
      </w:r>
      <w:r w:rsidRPr="001F1399">
        <w:rPr>
          <w:rFonts w:ascii="Book Antiqua" w:hAnsi="Book Antiqua"/>
          <w:sz w:val="24"/>
          <w:szCs w:val="24"/>
          <w:lang w:val="en-US"/>
        </w:rPr>
        <w:t xml:space="preserve"> 2016; </w:t>
      </w:r>
      <w:r w:rsidRPr="001F1399">
        <w:rPr>
          <w:rFonts w:ascii="Book Antiqua" w:hAnsi="Book Antiqua"/>
          <w:b/>
          <w:sz w:val="24"/>
          <w:szCs w:val="24"/>
          <w:lang w:val="en-US"/>
        </w:rPr>
        <w:t>352</w:t>
      </w:r>
      <w:r w:rsidRPr="001F1399">
        <w:rPr>
          <w:rFonts w:ascii="Book Antiqua" w:hAnsi="Book Antiqua"/>
          <w:sz w:val="24"/>
          <w:szCs w:val="24"/>
          <w:lang w:val="en-US"/>
        </w:rPr>
        <w:t>: 560-564 [PMID: 27126039 DOI: 10.1126/science.aad3503]</w:t>
      </w:r>
    </w:p>
    <w:p w14:paraId="7582911C" w14:textId="2C68616B"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15</w:t>
      </w:r>
      <w:r w:rsidR="005E197E" w:rsidRPr="001F1399">
        <w:rPr>
          <w:rFonts w:ascii="Book Antiqua" w:hAnsi="Book Antiqua"/>
          <w:sz w:val="24"/>
          <w:szCs w:val="24"/>
          <w:lang w:val="en-US"/>
        </w:rPr>
        <w:t>5</w:t>
      </w:r>
      <w:r w:rsidRPr="001F1399">
        <w:rPr>
          <w:rFonts w:ascii="Book Antiqua" w:hAnsi="Book Antiqua"/>
          <w:sz w:val="24"/>
          <w:szCs w:val="24"/>
          <w:lang w:val="en-US"/>
        </w:rPr>
        <w:t xml:space="preserve"> </w:t>
      </w:r>
      <w:r w:rsidRPr="001F1399">
        <w:rPr>
          <w:rFonts w:ascii="Book Antiqua" w:hAnsi="Book Antiqua"/>
          <w:b/>
          <w:sz w:val="24"/>
          <w:szCs w:val="24"/>
          <w:lang w:val="en-US"/>
        </w:rPr>
        <w:t>Jernberg C</w:t>
      </w:r>
      <w:r w:rsidRPr="001F1399">
        <w:rPr>
          <w:rFonts w:ascii="Book Antiqua" w:hAnsi="Book Antiqua"/>
          <w:sz w:val="24"/>
          <w:szCs w:val="24"/>
          <w:lang w:val="en-US"/>
        </w:rPr>
        <w:t xml:space="preserve">, Löfmark S, Edlund C, Jansson JK. Long-term impacts of antibiotic exposure on the human intestinal microbiota. </w:t>
      </w:r>
      <w:r w:rsidRPr="001F1399">
        <w:rPr>
          <w:rFonts w:ascii="Book Antiqua" w:hAnsi="Book Antiqua"/>
          <w:i/>
          <w:sz w:val="24"/>
          <w:szCs w:val="24"/>
          <w:lang w:val="en-US"/>
        </w:rPr>
        <w:t>Microbiology</w:t>
      </w:r>
      <w:r w:rsidRPr="001F1399">
        <w:rPr>
          <w:rFonts w:ascii="Book Antiqua" w:hAnsi="Book Antiqua"/>
          <w:sz w:val="24"/>
          <w:szCs w:val="24"/>
          <w:lang w:val="en-US"/>
        </w:rPr>
        <w:t xml:space="preserve"> 2010; </w:t>
      </w:r>
      <w:r w:rsidRPr="001F1399">
        <w:rPr>
          <w:rFonts w:ascii="Book Antiqua" w:hAnsi="Book Antiqua"/>
          <w:b/>
          <w:sz w:val="24"/>
          <w:szCs w:val="24"/>
          <w:lang w:val="en-US"/>
        </w:rPr>
        <w:t>156</w:t>
      </w:r>
      <w:r w:rsidRPr="001F1399">
        <w:rPr>
          <w:rFonts w:ascii="Book Antiqua" w:hAnsi="Book Antiqua"/>
          <w:sz w:val="24"/>
          <w:szCs w:val="24"/>
          <w:lang w:val="en-US"/>
        </w:rPr>
        <w:t>: 3216-3223 [PMID: 20705661 DOI: 10.1099/mic.0.040618-0]</w:t>
      </w:r>
    </w:p>
    <w:p w14:paraId="2D05C440" w14:textId="0A1402AE"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156</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Mitsou EK</w:t>
      </w:r>
      <w:r w:rsidR="00C076F3" w:rsidRPr="001F1399">
        <w:rPr>
          <w:rFonts w:ascii="Book Antiqua" w:hAnsi="Book Antiqua"/>
          <w:sz w:val="24"/>
          <w:szCs w:val="24"/>
          <w:lang w:val="en-US"/>
        </w:rPr>
        <w:t xml:space="preserve">, Kirtzalidou E, Pramateftaki P, Kyriacou A. Antibiotic resistance in faecal microbiota of Greek healthy infants. </w:t>
      </w:r>
      <w:r w:rsidR="00C076F3" w:rsidRPr="001F1399">
        <w:rPr>
          <w:rFonts w:ascii="Book Antiqua" w:hAnsi="Book Antiqua"/>
          <w:i/>
          <w:sz w:val="24"/>
          <w:szCs w:val="24"/>
          <w:lang w:val="en-US"/>
        </w:rPr>
        <w:t>Benef Microbes</w:t>
      </w:r>
      <w:r w:rsidR="00C076F3" w:rsidRPr="001F1399">
        <w:rPr>
          <w:rFonts w:ascii="Book Antiqua" w:hAnsi="Book Antiqua"/>
          <w:sz w:val="24"/>
          <w:szCs w:val="24"/>
          <w:lang w:val="en-US"/>
        </w:rPr>
        <w:t xml:space="preserve"> 2010; </w:t>
      </w:r>
      <w:r w:rsidR="00C076F3" w:rsidRPr="001F1399">
        <w:rPr>
          <w:rFonts w:ascii="Book Antiqua" w:hAnsi="Book Antiqua"/>
          <w:b/>
          <w:sz w:val="24"/>
          <w:szCs w:val="24"/>
          <w:lang w:val="en-US"/>
        </w:rPr>
        <w:t>1</w:t>
      </w:r>
      <w:r w:rsidR="00C076F3" w:rsidRPr="001F1399">
        <w:rPr>
          <w:rFonts w:ascii="Book Antiqua" w:hAnsi="Book Antiqua"/>
          <w:sz w:val="24"/>
          <w:szCs w:val="24"/>
          <w:lang w:val="en-US"/>
        </w:rPr>
        <w:t>: 297-306 [PMID: 21831766 DOI: 10.3920/BM2010.0007]</w:t>
      </w:r>
    </w:p>
    <w:p w14:paraId="5146A670" w14:textId="69ECEDC9"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157</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Fouhy F</w:t>
      </w:r>
      <w:r w:rsidR="00C076F3" w:rsidRPr="001F1399">
        <w:rPr>
          <w:rFonts w:ascii="Book Antiqua" w:hAnsi="Book Antiqua"/>
          <w:sz w:val="24"/>
          <w:szCs w:val="24"/>
          <w:lang w:val="en-US"/>
        </w:rPr>
        <w:t xml:space="preserve">, Guinane CM, Hussey S, Wall R, Ryan CA, Dempsey EM, Murphy B, Ross RP, Fitzgerald GF, Stanton C, Cotter PD. High-throughput sequencing reveals the incomplete, short-term recovery of infant gut microbiota following parenteral antibiotic treatment with ampicillin and gentamicin. </w:t>
      </w:r>
      <w:r w:rsidR="00C076F3" w:rsidRPr="001F1399">
        <w:rPr>
          <w:rFonts w:ascii="Book Antiqua" w:hAnsi="Book Antiqua"/>
          <w:i/>
          <w:sz w:val="24"/>
          <w:szCs w:val="24"/>
          <w:lang w:val="en-US"/>
        </w:rPr>
        <w:t>Antimicrob Agents Chemother</w:t>
      </w:r>
      <w:r w:rsidR="00C076F3" w:rsidRPr="001F1399">
        <w:rPr>
          <w:rFonts w:ascii="Book Antiqua" w:hAnsi="Book Antiqua"/>
          <w:sz w:val="24"/>
          <w:szCs w:val="24"/>
          <w:lang w:val="en-US"/>
        </w:rPr>
        <w:t xml:space="preserve"> 2012; </w:t>
      </w:r>
      <w:r w:rsidR="00C076F3" w:rsidRPr="001F1399">
        <w:rPr>
          <w:rFonts w:ascii="Book Antiqua" w:hAnsi="Book Antiqua"/>
          <w:b/>
          <w:sz w:val="24"/>
          <w:szCs w:val="24"/>
          <w:lang w:val="en-US"/>
        </w:rPr>
        <w:t>56</w:t>
      </w:r>
      <w:r w:rsidR="00C076F3" w:rsidRPr="001F1399">
        <w:rPr>
          <w:rFonts w:ascii="Book Antiqua" w:hAnsi="Book Antiqua"/>
          <w:sz w:val="24"/>
          <w:szCs w:val="24"/>
          <w:lang w:val="en-US"/>
        </w:rPr>
        <w:t>: 5811-5820 [PMID: 22948872 DOI: 10.1128/AAC.00789-12]</w:t>
      </w:r>
    </w:p>
    <w:p w14:paraId="1E6BF2B4" w14:textId="44EF0734"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lastRenderedPageBreak/>
        <w:t>158</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Dethlefsen L</w:t>
      </w:r>
      <w:r w:rsidR="00C076F3" w:rsidRPr="001F1399">
        <w:rPr>
          <w:rFonts w:ascii="Book Antiqua" w:hAnsi="Book Antiqua"/>
          <w:sz w:val="24"/>
          <w:szCs w:val="24"/>
          <w:lang w:val="en-US"/>
        </w:rPr>
        <w:t xml:space="preserve">, Huse S, Sogin ML, Relman DA. The pervasive effects of an antibiotic on the human gut microbiota, as revealed by deep 16S rRNA sequencing. </w:t>
      </w:r>
      <w:r w:rsidR="00C076F3" w:rsidRPr="001F1399">
        <w:rPr>
          <w:rFonts w:ascii="Book Antiqua" w:hAnsi="Book Antiqua"/>
          <w:i/>
          <w:sz w:val="24"/>
          <w:szCs w:val="24"/>
          <w:lang w:val="en-US"/>
        </w:rPr>
        <w:t>PLoS Biol</w:t>
      </w:r>
      <w:r w:rsidR="00C076F3" w:rsidRPr="001F1399">
        <w:rPr>
          <w:rFonts w:ascii="Book Antiqua" w:hAnsi="Book Antiqua"/>
          <w:sz w:val="24"/>
          <w:szCs w:val="24"/>
          <w:lang w:val="en-US"/>
        </w:rPr>
        <w:t xml:space="preserve"> 2008; </w:t>
      </w:r>
      <w:r w:rsidR="00C076F3" w:rsidRPr="001F1399">
        <w:rPr>
          <w:rFonts w:ascii="Book Antiqua" w:hAnsi="Book Antiqua"/>
          <w:b/>
          <w:sz w:val="24"/>
          <w:szCs w:val="24"/>
          <w:lang w:val="en-US"/>
        </w:rPr>
        <w:t>6</w:t>
      </w:r>
      <w:r w:rsidR="00C076F3" w:rsidRPr="001F1399">
        <w:rPr>
          <w:rFonts w:ascii="Book Antiqua" w:hAnsi="Book Antiqua"/>
          <w:sz w:val="24"/>
          <w:szCs w:val="24"/>
          <w:lang w:val="en-US"/>
        </w:rPr>
        <w:t>: e280 [PMID: 19018661 DOI: 10.1371/journal.pbio.0060280]</w:t>
      </w:r>
    </w:p>
    <w:p w14:paraId="2E4A98F7" w14:textId="5405BD06"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159</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Rousseau C</w:t>
      </w:r>
      <w:r w:rsidR="00C076F3" w:rsidRPr="001F1399">
        <w:rPr>
          <w:rFonts w:ascii="Book Antiqua" w:hAnsi="Book Antiqua"/>
          <w:sz w:val="24"/>
          <w:szCs w:val="24"/>
          <w:lang w:val="en-US"/>
        </w:rPr>
        <w:t xml:space="preserve">, Levenez F, Fouqueray C, Doré J, Collignon A, Lepage P. Clostridium difficile colonization in early infancy is accompanied by changes in intestinal microbiota composition. </w:t>
      </w:r>
      <w:r w:rsidR="00C076F3" w:rsidRPr="001F1399">
        <w:rPr>
          <w:rFonts w:ascii="Book Antiqua" w:hAnsi="Book Antiqua"/>
          <w:i/>
          <w:sz w:val="24"/>
          <w:szCs w:val="24"/>
          <w:lang w:val="en-US"/>
        </w:rPr>
        <w:t>J Clin Microbiol</w:t>
      </w:r>
      <w:r w:rsidR="00C076F3" w:rsidRPr="001F1399">
        <w:rPr>
          <w:rFonts w:ascii="Book Antiqua" w:hAnsi="Book Antiqua"/>
          <w:sz w:val="24"/>
          <w:szCs w:val="24"/>
          <w:lang w:val="en-US"/>
        </w:rPr>
        <w:t xml:space="preserve"> 2011; </w:t>
      </w:r>
      <w:r w:rsidR="00C076F3" w:rsidRPr="001F1399">
        <w:rPr>
          <w:rFonts w:ascii="Book Antiqua" w:hAnsi="Book Antiqua"/>
          <w:b/>
          <w:sz w:val="24"/>
          <w:szCs w:val="24"/>
          <w:lang w:val="en-US"/>
        </w:rPr>
        <w:t>49</w:t>
      </w:r>
      <w:r w:rsidR="00C076F3" w:rsidRPr="001F1399">
        <w:rPr>
          <w:rFonts w:ascii="Book Antiqua" w:hAnsi="Book Antiqua"/>
          <w:sz w:val="24"/>
          <w:szCs w:val="24"/>
          <w:lang w:val="en-US"/>
        </w:rPr>
        <w:t>: 858-865 [PMID: 21177896 DOI: 10.1128/JCM.01507-10]</w:t>
      </w:r>
    </w:p>
    <w:p w14:paraId="7EDB10B2" w14:textId="35AA278B"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160</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Penders J</w:t>
      </w:r>
      <w:r w:rsidR="00C076F3" w:rsidRPr="001F1399">
        <w:rPr>
          <w:rFonts w:ascii="Book Antiqua" w:hAnsi="Book Antiqua"/>
          <w:sz w:val="24"/>
          <w:szCs w:val="24"/>
          <w:lang w:val="en-US"/>
        </w:rPr>
        <w:t xml:space="preserve">, Thijs C, Vink C, Stelma FF, Snijders B, Kummeling I, van den Brandt PA, Stobberingh EE. Factors influencing the composition of the intestinal microbiota in early infancy. </w:t>
      </w:r>
      <w:r w:rsidR="00C076F3" w:rsidRPr="001F1399">
        <w:rPr>
          <w:rFonts w:ascii="Book Antiqua" w:hAnsi="Book Antiqua"/>
          <w:i/>
          <w:sz w:val="24"/>
          <w:szCs w:val="24"/>
          <w:lang w:val="en-US"/>
        </w:rPr>
        <w:t>Pediatrics</w:t>
      </w:r>
      <w:r w:rsidR="00C076F3" w:rsidRPr="001F1399">
        <w:rPr>
          <w:rFonts w:ascii="Book Antiqua" w:hAnsi="Book Antiqua"/>
          <w:sz w:val="24"/>
          <w:szCs w:val="24"/>
          <w:lang w:val="en-US"/>
        </w:rPr>
        <w:t xml:space="preserve"> 2006; </w:t>
      </w:r>
      <w:r w:rsidR="00C076F3" w:rsidRPr="001F1399">
        <w:rPr>
          <w:rFonts w:ascii="Book Antiqua" w:hAnsi="Book Antiqua"/>
          <w:b/>
          <w:sz w:val="24"/>
          <w:szCs w:val="24"/>
          <w:lang w:val="en-US"/>
        </w:rPr>
        <w:t>118</w:t>
      </w:r>
      <w:r w:rsidR="00C076F3" w:rsidRPr="001F1399">
        <w:rPr>
          <w:rFonts w:ascii="Book Antiqua" w:hAnsi="Book Antiqua"/>
          <w:sz w:val="24"/>
          <w:szCs w:val="24"/>
          <w:lang w:val="en-US"/>
        </w:rPr>
        <w:t>: 511-521 [PMID: 16882802 DOI: 10.1542/peds.2005-2824]</w:t>
      </w:r>
    </w:p>
    <w:p w14:paraId="351C7C1E" w14:textId="5087CA2C"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16</w:t>
      </w:r>
      <w:r w:rsidR="005E197E" w:rsidRPr="001F1399">
        <w:rPr>
          <w:rFonts w:ascii="Book Antiqua" w:hAnsi="Book Antiqua"/>
          <w:sz w:val="24"/>
          <w:szCs w:val="24"/>
          <w:lang w:val="en-US"/>
        </w:rPr>
        <w:t>1</w:t>
      </w:r>
      <w:r w:rsidRPr="001F1399">
        <w:rPr>
          <w:rFonts w:ascii="Book Antiqua" w:hAnsi="Book Antiqua"/>
          <w:sz w:val="24"/>
          <w:szCs w:val="24"/>
          <w:lang w:val="en-US"/>
        </w:rPr>
        <w:t xml:space="preserve"> </w:t>
      </w:r>
      <w:r w:rsidRPr="001F1399">
        <w:rPr>
          <w:rFonts w:ascii="Book Antiqua" w:hAnsi="Book Antiqua"/>
          <w:b/>
          <w:sz w:val="24"/>
          <w:szCs w:val="24"/>
          <w:lang w:val="en-US"/>
        </w:rPr>
        <w:t>Cho I</w:t>
      </w:r>
      <w:r w:rsidRPr="001F1399">
        <w:rPr>
          <w:rFonts w:ascii="Book Antiqua" w:hAnsi="Book Antiqua"/>
          <w:sz w:val="24"/>
          <w:szCs w:val="24"/>
          <w:lang w:val="en-US"/>
        </w:rPr>
        <w:t xml:space="preserve">, Yamanishi S, Cox L, Methé BA, Zavadil J, Li K, Gao Z, Mahana D, Raju K, Teitler I, Li H, Alekseyenko AV, Blaser MJ. Antibiotics in early life alter the murine colonic microbiome and adiposity. </w:t>
      </w:r>
      <w:r w:rsidRPr="001F1399">
        <w:rPr>
          <w:rFonts w:ascii="Book Antiqua" w:hAnsi="Book Antiqua"/>
          <w:i/>
          <w:sz w:val="24"/>
          <w:szCs w:val="24"/>
          <w:lang w:val="en-US"/>
        </w:rPr>
        <w:t>Nature</w:t>
      </w:r>
      <w:r w:rsidRPr="001F1399">
        <w:rPr>
          <w:rFonts w:ascii="Book Antiqua" w:hAnsi="Book Antiqua"/>
          <w:sz w:val="24"/>
          <w:szCs w:val="24"/>
          <w:lang w:val="en-US"/>
        </w:rPr>
        <w:t xml:space="preserve"> 2012; </w:t>
      </w:r>
      <w:r w:rsidRPr="001F1399">
        <w:rPr>
          <w:rFonts w:ascii="Book Antiqua" w:hAnsi="Book Antiqua"/>
          <w:b/>
          <w:sz w:val="24"/>
          <w:szCs w:val="24"/>
          <w:lang w:val="en-US"/>
        </w:rPr>
        <w:t>488</w:t>
      </w:r>
      <w:r w:rsidRPr="001F1399">
        <w:rPr>
          <w:rFonts w:ascii="Book Antiqua" w:hAnsi="Book Antiqua"/>
          <w:sz w:val="24"/>
          <w:szCs w:val="24"/>
          <w:lang w:val="en-US"/>
        </w:rPr>
        <w:t>: 621-626 [PMID: 22914093 DOI: 10.1038/nature11400]</w:t>
      </w:r>
    </w:p>
    <w:p w14:paraId="20D263B1" w14:textId="05ED09E1"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162</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Gensollen T</w:t>
      </w:r>
      <w:r w:rsidR="00C076F3" w:rsidRPr="001F1399">
        <w:rPr>
          <w:rFonts w:ascii="Book Antiqua" w:hAnsi="Book Antiqua"/>
          <w:sz w:val="24"/>
          <w:szCs w:val="24"/>
          <w:lang w:val="en-US"/>
        </w:rPr>
        <w:t xml:space="preserve">, Iyer SS, Kasper DL, Blumberg RS. How colonization by microbiota in early life shapes the immune system. </w:t>
      </w:r>
      <w:r w:rsidR="00C076F3" w:rsidRPr="001F1399">
        <w:rPr>
          <w:rFonts w:ascii="Book Antiqua" w:hAnsi="Book Antiqua"/>
          <w:i/>
          <w:sz w:val="24"/>
          <w:szCs w:val="24"/>
          <w:lang w:val="en-US"/>
        </w:rPr>
        <w:t>Science</w:t>
      </w:r>
      <w:r w:rsidR="00C076F3" w:rsidRPr="001F1399">
        <w:rPr>
          <w:rFonts w:ascii="Book Antiqua" w:hAnsi="Book Antiqua"/>
          <w:sz w:val="24"/>
          <w:szCs w:val="24"/>
          <w:lang w:val="en-US"/>
        </w:rPr>
        <w:t xml:space="preserve"> 2016; </w:t>
      </w:r>
      <w:r w:rsidR="00C076F3" w:rsidRPr="001F1399">
        <w:rPr>
          <w:rFonts w:ascii="Book Antiqua" w:hAnsi="Book Antiqua"/>
          <w:b/>
          <w:sz w:val="24"/>
          <w:szCs w:val="24"/>
          <w:lang w:val="en-US"/>
        </w:rPr>
        <w:t>352</w:t>
      </w:r>
      <w:r w:rsidR="00C076F3" w:rsidRPr="001F1399">
        <w:rPr>
          <w:rFonts w:ascii="Book Antiqua" w:hAnsi="Book Antiqua"/>
          <w:sz w:val="24"/>
          <w:szCs w:val="24"/>
          <w:lang w:val="en-US"/>
        </w:rPr>
        <w:t>: 539-544 [PMID: 27126036 DOI: 10.1126/science.aad9378]</w:t>
      </w:r>
    </w:p>
    <w:p w14:paraId="42473A25" w14:textId="3B86CBCF"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163</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Tanaka S</w:t>
      </w:r>
      <w:r w:rsidR="00C076F3" w:rsidRPr="001F1399">
        <w:rPr>
          <w:rFonts w:ascii="Book Antiqua" w:hAnsi="Book Antiqua"/>
          <w:sz w:val="24"/>
          <w:szCs w:val="24"/>
          <w:lang w:val="en-US"/>
        </w:rPr>
        <w:t xml:space="preserve">, Kobayashi T, Songjinda P, Tateyama A, Tsubouchi M, Kiyohara C, Shirakawa T, Sonomoto K, Nakayama J. Influence of antibiotic exposure in the early postnatal period on the development of intestinal microbiota. </w:t>
      </w:r>
      <w:r w:rsidR="00C076F3" w:rsidRPr="001F1399">
        <w:rPr>
          <w:rFonts w:ascii="Book Antiqua" w:hAnsi="Book Antiqua"/>
          <w:i/>
          <w:sz w:val="24"/>
          <w:szCs w:val="24"/>
          <w:lang w:val="en-US"/>
        </w:rPr>
        <w:t>FEMS Immunol Med Microbiol</w:t>
      </w:r>
      <w:r w:rsidR="00C076F3" w:rsidRPr="001F1399">
        <w:rPr>
          <w:rFonts w:ascii="Book Antiqua" w:hAnsi="Book Antiqua"/>
          <w:sz w:val="24"/>
          <w:szCs w:val="24"/>
          <w:lang w:val="en-US"/>
        </w:rPr>
        <w:t xml:space="preserve"> 2009; </w:t>
      </w:r>
      <w:r w:rsidR="00C076F3" w:rsidRPr="001F1399">
        <w:rPr>
          <w:rFonts w:ascii="Book Antiqua" w:hAnsi="Book Antiqua"/>
          <w:b/>
          <w:sz w:val="24"/>
          <w:szCs w:val="24"/>
          <w:lang w:val="en-US"/>
        </w:rPr>
        <w:t>56</w:t>
      </w:r>
      <w:r w:rsidR="00C076F3" w:rsidRPr="001F1399">
        <w:rPr>
          <w:rFonts w:ascii="Book Antiqua" w:hAnsi="Book Antiqua"/>
          <w:sz w:val="24"/>
          <w:szCs w:val="24"/>
          <w:lang w:val="en-US"/>
        </w:rPr>
        <w:t>: 80-87 [PMID: 19385995 DOI: 10.1111/j.1574-695X.2009.00553.x]</w:t>
      </w:r>
    </w:p>
    <w:p w14:paraId="418E63CD" w14:textId="334B319E"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16</w:t>
      </w:r>
      <w:r w:rsidR="005E197E" w:rsidRPr="001F1399">
        <w:rPr>
          <w:rFonts w:ascii="Book Antiqua" w:hAnsi="Book Antiqua"/>
          <w:sz w:val="24"/>
          <w:szCs w:val="24"/>
          <w:lang w:val="en-US"/>
        </w:rPr>
        <w:t>4</w:t>
      </w:r>
      <w:r w:rsidRPr="001F1399">
        <w:rPr>
          <w:rFonts w:ascii="Book Antiqua" w:hAnsi="Book Antiqua"/>
          <w:sz w:val="24"/>
          <w:szCs w:val="24"/>
          <w:lang w:val="en-US"/>
        </w:rPr>
        <w:t xml:space="preserve"> </w:t>
      </w:r>
      <w:r w:rsidRPr="001F1399">
        <w:rPr>
          <w:rFonts w:ascii="Book Antiqua" w:hAnsi="Book Antiqua"/>
          <w:b/>
          <w:sz w:val="24"/>
          <w:szCs w:val="24"/>
          <w:lang w:val="en-US"/>
        </w:rPr>
        <w:t>Flandroy L</w:t>
      </w:r>
      <w:r w:rsidRPr="001F1399">
        <w:rPr>
          <w:rFonts w:ascii="Book Antiqua" w:hAnsi="Book Antiqua"/>
          <w:sz w:val="24"/>
          <w:szCs w:val="24"/>
          <w:lang w:val="en-US"/>
        </w:rPr>
        <w:t xml:space="preserve">, Poutahidis T, Berg G, Clarke G, Dao MC, Decaestecker E, Furman E, Haahtela T, Massart S, Plovier H, Sanz Y, Rook G. The impact of human activities and lifestyles on the interlinked microbiota and health of humans and of ecosystems. </w:t>
      </w:r>
      <w:r w:rsidRPr="001F1399">
        <w:rPr>
          <w:rFonts w:ascii="Book Antiqua" w:hAnsi="Book Antiqua"/>
          <w:i/>
          <w:sz w:val="24"/>
          <w:szCs w:val="24"/>
          <w:lang w:val="en-US"/>
        </w:rPr>
        <w:t>Sci Total Environ</w:t>
      </w:r>
      <w:r w:rsidRPr="001F1399">
        <w:rPr>
          <w:rFonts w:ascii="Book Antiqua" w:hAnsi="Book Antiqua"/>
          <w:sz w:val="24"/>
          <w:szCs w:val="24"/>
          <w:lang w:val="en-US"/>
        </w:rPr>
        <w:t xml:space="preserve"> 2018; </w:t>
      </w:r>
      <w:r w:rsidRPr="001F1399">
        <w:rPr>
          <w:rFonts w:ascii="Book Antiqua" w:hAnsi="Book Antiqua"/>
          <w:b/>
          <w:sz w:val="24"/>
          <w:szCs w:val="24"/>
          <w:lang w:val="en-US"/>
        </w:rPr>
        <w:t>627</w:t>
      </w:r>
      <w:r w:rsidRPr="001F1399">
        <w:rPr>
          <w:rFonts w:ascii="Book Antiqua" w:hAnsi="Book Antiqua"/>
          <w:sz w:val="24"/>
          <w:szCs w:val="24"/>
          <w:lang w:val="en-US"/>
        </w:rPr>
        <w:t>: 1018-1038 [PMID: 29426121 DOI: 10.1016/j.scitotenv.2018.01.288]</w:t>
      </w:r>
    </w:p>
    <w:p w14:paraId="0E977875" w14:textId="375CEAB8"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165</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Norrby SR</w:t>
      </w:r>
      <w:r w:rsidR="00C076F3" w:rsidRPr="001F1399">
        <w:rPr>
          <w:rFonts w:ascii="Book Antiqua" w:hAnsi="Book Antiqua"/>
          <w:sz w:val="24"/>
          <w:szCs w:val="24"/>
          <w:lang w:val="en-US"/>
        </w:rPr>
        <w:t xml:space="preserve">. Neurotoxicity of carbapenem antibiotics: consequences for their use in bacterial meningitis. </w:t>
      </w:r>
      <w:r w:rsidR="00C076F3" w:rsidRPr="001F1399">
        <w:rPr>
          <w:rFonts w:ascii="Book Antiqua" w:hAnsi="Book Antiqua"/>
          <w:i/>
          <w:sz w:val="24"/>
          <w:szCs w:val="24"/>
          <w:lang w:val="en-US"/>
        </w:rPr>
        <w:t>J Antimicrob Chemother</w:t>
      </w:r>
      <w:r w:rsidR="00C076F3" w:rsidRPr="001F1399">
        <w:rPr>
          <w:rFonts w:ascii="Book Antiqua" w:hAnsi="Book Antiqua"/>
          <w:sz w:val="24"/>
          <w:szCs w:val="24"/>
          <w:lang w:val="en-US"/>
        </w:rPr>
        <w:t xml:space="preserve"> 2000; </w:t>
      </w:r>
      <w:r w:rsidR="00C076F3" w:rsidRPr="001F1399">
        <w:rPr>
          <w:rFonts w:ascii="Book Antiqua" w:hAnsi="Book Antiqua"/>
          <w:b/>
          <w:sz w:val="24"/>
          <w:szCs w:val="24"/>
          <w:lang w:val="en-US"/>
        </w:rPr>
        <w:t>45</w:t>
      </w:r>
      <w:r w:rsidR="00C076F3" w:rsidRPr="001F1399">
        <w:rPr>
          <w:rFonts w:ascii="Book Antiqua" w:hAnsi="Book Antiqua"/>
          <w:sz w:val="24"/>
          <w:szCs w:val="24"/>
          <w:lang w:val="en-US"/>
        </w:rPr>
        <w:t>: 5-7 [PMID: 10629006 DOI: 10.1093/jac/45.1.5]</w:t>
      </w:r>
    </w:p>
    <w:p w14:paraId="63F4D0D5" w14:textId="1D3E1C26"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16</w:t>
      </w:r>
      <w:r w:rsidR="005E197E" w:rsidRPr="001F1399">
        <w:rPr>
          <w:rFonts w:ascii="Book Antiqua" w:hAnsi="Book Antiqua"/>
          <w:sz w:val="24"/>
          <w:szCs w:val="24"/>
          <w:lang w:val="en-US"/>
        </w:rPr>
        <w:t>6</w:t>
      </w:r>
      <w:r w:rsidRPr="001F1399">
        <w:rPr>
          <w:rFonts w:ascii="Book Antiqua" w:hAnsi="Book Antiqua"/>
          <w:sz w:val="24"/>
          <w:szCs w:val="24"/>
          <w:lang w:val="en-US"/>
        </w:rPr>
        <w:t xml:space="preserve"> </w:t>
      </w:r>
      <w:r w:rsidRPr="001F1399">
        <w:rPr>
          <w:rFonts w:ascii="Book Antiqua" w:hAnsi="Book Antiqua"/>
          <w:b/>
          <w:sz w:val="24"/>
          <w:szCs w:val="24"/>
          <w:lang w:val="en-US"/>
        </w:rPr>
        <w:t>Ge X</w:t>
      </w:r>
      <w:r w:rsidRPr="001F1399">
        <w:rPr>
          <w:rFonts w:ascii="Book Antiqua" w:hAnsi="Book Antiqua"/>
          <w:sz w:val="24"/>
          <w:szCs w:val="24"/>
          <w:lang w:val="en-US"/>
        </w:rPr>
        <w:t xml:space="preserve">, Ding C, Zhao W, Xu L, Tian H, Gong J, Zhu M, Li J, Li N. Antibiotics-induced depletion of mice microbiota induces changes in host serotonin biosynthesis and </w:t>
      </w:r>
      <w:r w:rsidRPr="001F1399">
        <w:rPr>
          <w:rFonts w:ascii="Book Antiqua" w:hAnsi="Book Antiqua"/>
          <w:sz w:val="24"/>
          <w:szCs w:val="24"/>
          <w:lang w:val="en-US"/>
        </w:rPr>
        <w:lastRenderedPageBreak/>
        <w:t xml:space="preserve">intestinal motility. </w:t>
      </w:r>
      <w:r w:rsidRPr="001F1399">
        <w:rPr>
          <w:rFonts w:ascii="Book Antiqua" w:hAnsi="Book Antiqua"/>
          <w:i/>
          <w:sz w:val="24"/>
          <w:szCs w:val="24"/>
          <w:lang w:val="en-US"/>
        </w:rPr>
        <w:t>J Transl Med</w:t>
      </w:r>
      <w:r w:rsidRPr="001F1399">
        <w:rPr>
          <w:rFonts w:ascii="Book Antiqua" w:hAnsi="Book Antiqua"/>
          <w:sz w:val="24"/>
          <w:szCs w:val="24"/>
          <w:lang w:val="en-US"/>
        </w:rPr>
        <w:t xml:space="preserve"> 2017; </w:t>
      </w:r>
      <w:r w:rsidRPr="001F1399">
        <w:rPr>
          <w:rFonts w:ascii="Book Antiqua" w:hAnsi="Book Antiqua"/>
          <w:b/>
          <w:sz w:val="24"/>
          <w:szCs w:val="24"/>
          <w:lang w:val="en-US"/>
        </w:rPr>
        <w:t>15</w:t>
      </w:r>
      <w:r w:rsidRPr="001F1399">
        <w:rPr>
          <w:rFonts w:ascii="Book Antiqua" w:hAnsi="Book Antiqua"/>
          <w:sz w:val="24"/>
          <w:szCs w:val="24"/>
          <w:lang w:val="en-US"/>
        </w:rPr>
        <w:t>: 13 [PMID: 28086815 DOI: 10.1186/s12967-016-1105-4]</w:t>
      </w:r>
    </w:p>
    <w:p w14:paraId="41FC5B4A" w14:textId="621D09D8"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167</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Bhattacharyya S</w:t>
      </w:r>
      <w:r w:rsidR="00C076F3" w:rsidRPr="001F1399">
        <w:rPr>
          <w:rFonts w:ascii="Book Antiqua" w:hAnsi="Book Antiqua"/>
          <w:sz w:val="24"/>
          <w:szCs w:val="24"/>
          <w:lang w:val="en-US"/>
        </w:rPr>
        <w:t xml:space="preserve">, Darby R, Berkowitz AL. Antibiotic-induced neurotoxicity. </w:t>
      </w:r>
      <w:r w:rsidR="00C076F3" w:rsidRPr="001F1399">
        <w:rPr>
          <w:rFonts w:ascii="Book Antiqua" w:hAnsi="Book Antiqua"/>
          <w:i/>
          <w:sz w:val="24"/>
          <w:szCs w:val="24"/>
          <w:lang w:val="en-US"/>
        </w:rPr>
        <w:t>Curr Infect Dis Rep</w:t>
      </w:r>
      <w:r w:rsidR="00C076F3" w:rsidRPr="001F1399">
        <w:rPr>
          <w:rFonts w:ascii="Book Antiqua" w:hAnsi="Book Antiqua"/>
          <w:sz w:val="24"/>
          <w:szCs w:val="24"/>
          <w:lang w:val="en-US"/>
        </w:rPr>
        <w:t xml:space="preserve"> 2014; </w:t>
      </w:r>
      <w:r w:rsidR="00C076F3" w:rsidRPr="001F1399">
        <w:rPr>
          <w:rFonts w:ascii="Book Antiqua" w:hAnsi="Book Antiqua"/>
          <w:b/>
          <w:sz w:val="24"/>
          <w:szCs w:val="24"/>
          <w:lang w:val="en-US"/>
        </w:rPr>
        <w:t>16</w:t>
      </w:r>
      <w:r w:rsidR="00C076F3" w:rsidRPr="001F1399">
        <w:rPr>
          <w:rFonts w:ascii="Book Antiqua" w:hAnsi="Book Antiqua"/>
          <w:sz w:val="24"/>
          <w:szCs w:val="24"/>
          <w:lang w:val="en-US"/>
        </w:rPr>
        <w:t>: 448 [PMID: 25348743 DOI: 10.1007/s11908-014-0448-3]</w:t>
      </w:r>
    </w:p>
    <w:p w14:paraId="0946EC8B" w14:textId="631B70C7"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16</w:t>
      </w:r>
      <w:r w:rsidR="005E197E" w:rsidRPr="001F1399">
        <w:rPr>
          <w:rFonts w:ascii="Book Antiqua" w:hAnsi="Book Antiqua"/>
          <w:sz w:val="24"/>
          <w:szCs w:val="24"/>
          <w:lang w:val="en-US"/>
        </w:rPr>
        <w:t>8</w:t>
      </w:r>
      <w:r w:rsidRPr="001F1399">
        <w:rPr>
          <w:rFonts w:ascii="Book Antiqua" w:hAnsi="Book Antiqua"/>
          <w:sz w:val="24"/>
          <w:szCs w:val="24"/>
          <w:lang w:val="en-US"/>
        </w:rPr>
        <w:t xml:space="preserve"> </w:t>
      </w:r>
      <w:r w:rsidRPr="001F1399">
        <w:rPr>
          <w:rFonts w:ascii="Book Antiqua" w:hAnsi="Book Antiqua"/>
          <w:b/>
          <w:sz w:val="24"/>
          <w:szCs w:val="24"/>
          <w:lang w:val="en-US"/>
        </w:rPr>
        <w:t>Atli O</w:t>
      </w:r>
      <w:r w:rsidRPr="001F1399">
        <w:rPr>
          <w:rFonts w:ascii="Book Antiqua" w:hAnsi="Book Antiqua"/>
          <w:sz w:val="24"/>
          <w:szCs w:val="24"/>
          <w:lang w:val="en-US"/>
        </w:rPr>
        <w:t xml:space="preserve">, Demir-Ozkay U, Ilgin S, Aydin TH, Akbulut EN, Sener E. Evidence for neurotoxicity associated with amoxicillin in juvenile rats. </w:t>
      </w:r>
      <w:r w:rsidRPr="001F1399">
        <w:rPr>
          <w:rFonts w:ascii="Book Antiqua" w:hAnsi="Book Antiqua"/>
          <w:i/>
          <w:sz w:val="24"/>
          <w:szCs w:val="24"/>
          <w:lang w:val="en-US"/>
        </w:rPr>
        <w:t>Hum Exp Toxicol</w:t>
      </w:r>
      <w:r w:rsidRPr="001F1399">
        <w:rPr>
          <w:rFonts w:ascii="Book Antiqua" w:hAnsi="Book Antiqua"/>
          <w:sz w:val="24"/>
          <w:szCs w:val="24"/>
          <w:lang w:val="en-US"/>
        </w:rPr>
        <w:t xml:space="preserve"> 2016; </w:t>
      </w:r>
      <w:r w:rsidRPr="001F1399">
        <w:rPr>
          <w:rFonts w:ascii="Book Antiqua" w:hAnsi="Book Antiqua"/>
          <w:b/>
          <w:sz w:val="24"/>
          <w:szCs w:val="24"/>
          <w:lang w:val="en-US"/>
        </w:rPr>
        <w:t>35</w:t>
      </w:r>
      <w:r w:rsidRPr="001F1399">
        <w:rPr>
          <w:rFonts w:ascii="Book Antiqua" w:hAnsi="Book Antiqua"/>
          <w:sz w:val="24"/>
          <w:szCs w:val="24"/>
          <w:lang w:val="en-US"/>
        </w:rPr>
        <w:t>: 866-876 [PMID: 26429924 DOI: 10.1177/0960327115607948]</w:t>
      </w:r>
    </w:p>
    <w:p w14:paraId="00ED4EFE" w14:textId="769C593D"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169</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Shepherd RW</w:t>
      </w:r>
      <w:r w:rsidR="00C076F3" w:rsidRPr="001F1399">
        <w:rPr>
          <w:rFonts w:ascii="Book Antiqua" w:hAnsi="Book Antiqua"/>
          <w:sz w:val="24"/>
          <w:szCs w:val="24"/>
          <w:lang w:val="en-US"/>
        </w:rPr>
        <w:t xml:space="preserve">, Butler DG, Cutz E, Gall DG, Hamilton JR. The mucosal lesion in viral enteritis. Extent and dynamics of the epithelial response to virus invasion in transmissible gastroenteritis of piglets. </w:t>
      </w:r>
      <w:r w:rsidR="00C076F3" w:rsidRPr="001F1399">
        <w:rPr>
          <w:rFonts w:ascii="Book Antiqua" w:hAnsi="Book Antiqua"/>
          <w:i/>
          <w:sz w:val="24"/>
          <w:szCs w:val="24"/>
          <w:lang w:val="en-US"/>
        </w:rPr>
        <w:t>Gastroenterology</w:t>
      </w:r>
      <w:r w:rsidR="00C076F3" w:rsidRPr="001F1399">
        <w:rPr>
          <w:rFonts w:ascii="Book Antiqua" w:hAnsi="Book Antiqua"/>
          <w:sz w:val="24"/>
          <w:szCs w:val="24"/>
          <w:lang w:val="en-US"/>
        </w:rPr>
        <w:t xml:space="preserve"> 1979; </w:t>
      </w:r>
      <w:r w:rsidR="00C076F3" w:rsidRPr="001F1399">
        <w:rPr>
          <w:rFonts w:ascii="Book Antiqua" w:hAnsi="Book Antiqua"/>
          <w:b/>
          <w:sz w:val="24"/>
          <w:szCs w:val="24"/>
          <w:lang w:val="en-US"/>
        </w:rPr>
        <w:t>76</w:t>
      </w:r>
      <w:r w:rsidR="00C076F3" w:rsidRPr="001F1399">
        <w:rPr>
          <w:rFonts w:ascii="Book Antiqua" w:hAnsi="Book Antiqua"/>
          <w:sz w:val="24"/>
          <w:szCs w:val="24"/>
          <w:lang w:val="en-US"/>
        </w:rPr>
        <w:t>: 770-777 [PMID: 217794]</w:t>
      </w:r>
    </w:p>
    <w:p w14:paraId="2AFC061F" w14:textId="2E14D7A4"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170</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Collins J</w:t>
      </w:r>
      <w:r w:rsidR="00C076F3" w:rsidRPr="001F1399">
        <w:rPr>
          <w:rFonts w:ascii="Book Antiqua" w:hAnsi="Book Antiqua"/>
          <w:sz w:val="24"/>
          <w:szCs w:val="24"/>
          <w:lang w:val="en-US"/>
        </w:rPr>
        <w:t xml:space="preserve">, Starkey WG, Wallis TS, Clarke GJ, Worton KJ, Spencer AJ, Haddon SJ, Osborne MP, Candy DC, Stephen J. Intestinal enzyme profiles in normal and rotavirus-infected mice. </w:t>
      </w:r>
      <w:r w:rsidR="00C076F3" w:rsidRPr="001F1399">
        <w:rPr>
          <w:rFonts w:ascii="Book Antiqua" w:hAnsi="Book Antiqua"/>
          <w:i/>
          <w:sz w:val="24"/>
          <w:szCs w:val="24"/>
          <w:lang w:val="en-US"/>
        </w:rPr>
        <w:t>J Pediatr Gastroenterol Nutr</w:t>
      </w:r>
      <w:r w:rsidR="00C076F3" w:rsidRPr="001F1399">
        <w:rPr>
          <w:rFonts w:ascii="Book Antiqua" w:hAnsi="Book Antiqua"/>
          <w:sz w:val="24"/>
          <w:szCs w:val="24"/>
          <w:lang w:val="en-US"/>
        </w:rPr>
        <w:t xml:space="preserve"> 1988; </w:t>
      </w:r>
      <w:r w:rsidR="00C076F3" w:rsidRPr="001F1399">
        <w:rPr>
          <w:rFonts w:ascii="Book Antiqua" w:hAnsi="Book Antiqua"/>
          <w:b/>
          <w:sz w:val="24"/>
          <w:szCs w:val="24"/>
          <w:lang w:val="en-US"/>
        </w:rPr>
        <w:t>7</w:t>
      </w:r>
      <w:r w:rsidR="00C076F3" w:rsidRPr="001F1399">
        <w:rPr>
          <w:rFonts w:ascii="Book Antiqua" w:hAnsi="Book Antiqua"/>
          <w:sz w:val="24"/>
          <w:szCs w:val="24"/>
          <w:lang w:val="en-US"/>
        </w:rPr>
        <w:t>: 264-272 [PMID: 2895174 DOI: 10.1097/00005176-198803000-00017]</w:t>
      </w:r>
    </w:p>
    <w:p w14:paraId="21838E4F" w14:textId="7E157865"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171</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Katyal R</w:t>
      </w:r>
      <w:r w:rsidR="00C076F3" w:rsidRPr="001F1399">
        <w:rPr>
          <w:rFonts w:ascii="Book Antiqua" w:hAnsi="Book Antiqua"/>
          <w:sz w:val="24"/>
          <w:szCs w:val="24"/>
          <w:lang w:val="en-US"/>
        </w:rPr>
        <w:t xml:space="preserve">, Rana SV, Vaiphei K, Ohja S, Singh K, Singh V. Effect of rotavirus infection on small gut pathophysiology in a mouse model. </w:t>
      </w:r>
      <w:r w:rsidR="00C076F3" w:rsidRPr="001F1399">
        <w:rPr>
          <w:rFonts w:ascii="Book Antiqua" w:hAnsi="Book Antiqua"/>
          <w:i/>
          <w:sz w:val="24"/>
          <w:szCs w:val="24"/>
          <w:lang w:val="en-US"/>
        </w:rPr>
        <w:t>J Gastroenterol Hepatol</w:t>
      </w:r>
      <w:r w:rsidR="00C076F3" w:rsidRPr="001F1399">
        <w:rPr>
          <w:rFonts w:ascii="Book Antiqua" w:hAnsi="Book Antiqua"/>
          <w:sz w:val="24"/>
          <w:szCs w:val="24"/>
          <w:lang w:val="en-US"/>
        </w:rPr>
        <w:t xml:space="preserve"> 1999; </w:t>
      </w:r>
      <w:r w:rsidR="00C076F3" w:rsidRPr="001F1399">
        <w:rPr>
          <w:rFonts w:ascii="Book Antiqua" w:hAnsi="Book Antiqua"/>
          <w:b/>
          <w:sz w:val="24"/>
          <w:szCs w:val="24"/>
          <w:lang w:val="en-US"/>
        </w:rPr>
        <w:t>14</w:t>
      </w:r>
      <w:r w:rsidR="00C076F3" w:rsidRPr="001F1399">
        <w:rPr>
          <w:rFonts w:ascii="Book Antiqua" w:hAnsi="Book Antiqua"/>
          <w:sz w:val="24"/>
          <w:szCs w:val="24"/>
          <w:lang w:val="en-US"/>
        </w:rPr>
        <w:t>: 779-784 [PMID: 10482428 DOI: 10.1046/j.1440-1746.1999.01948.x]</w:t>
      </w:r>
    </w:p>
    <w:p w14:paraId="4EF730C5" w14:textId="02BB6B5F"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17</w:t>
      </w:r>
      <w:r w:rsidR="005E197E" w:rsidRPr="001F1399">
        <w:rPr>
          <w:rFonts w:ascii="Book Antiqua" w:hAnsi="Book Antiqua"/>
          <w:sz w:val="24"/>
          <w:szCs w:val="24"/>
          <w:lang w:val="en-US"/>
        </w:rPr>
        <w:t>2</w:t>
      </w:r>
      <w:r w:rsidRPr="001F1399">
        <w:rPr>
          <w:rFonts w:ascii="Book Antiqua" w:hAnsi="Book Antiqua"/>
          <w:sz w:val="24"/>
          <w:szCs w:val="24"/>
          <w:lang w:val="en-US"/>
        </w:rPr>
        <w:t xml:space="preserve"> </w:t>
      </w:r>
      <w:r w:rsidRPr="001F1399">
        <w:rPr>
          <w:rFonts w:ascii="Book Antiqua" w:hAnsi="Book Antiqua"/>
          <w:b/>
          <w:sz w:val="24"/>
          <w:szCs w:val="24"/>
          <w:lang w:val="en-US"/>
        </w:rPr>
        <w:t>Halaihel N</w:t>
      </w:r>
      <w:r w:rsidRPr="001F1399">
        <w:rPr>
          <w:rFonts w:ascii="Book Antiqua" w:hAnsi="Book Antiqua"/>
          <w:sz w:val="24"/>
          <w:szCs w:val="24"/>
          <w:lang w:val="en-US"/>
        </w:rPr>
        <w:t xml:space="preserve">, Liévin V, Alvarado F, Vasseur M. Rotavirus infection impairs intestinal brush-border membrane Na(+)-solute cotransport activities in young rabbits. </w:t>
      </w:r>
      <w:r w:rsidRPr="001F1399">
        <w:rPr>
          <w:rFonts w:ascii="Book Antiqua" w:hAnsi="Book Antiqua"/>
          <w:i/>
          <w:sz w:val="24"/>
          <w:szCs w:val="24"/>
          <w:lang w:val="en-US"/>
        </w:rPr>
        <w:t>Am J Physiol Gastrointest Liver Physiol</w:t>
      </w:r>
      <w:r w:rsidRPr="001F1399">
        <w:rPr>
          <w:rFonts w:ascii="Book Antiqua" w:hAnsi="Book Antiqua"/>
          <w:sz w:val="24"/>
          <w:szCs w:val="24"/>
          <w:lang w:val="en-US"/>
        </w:rPr>
        <w:t xml:space="preserve"> 2000; </w:t>
      </w:r>
      <w:r w:rsidRPr="001F1399">
        <w:rPr>
          <w:rFonts w:ascii="Book Antiqua" w:hAnsi="Book Antiqua"/>
          <w:b/>
          <w:sz w:val="24"/>
          <w:szCs w:val="24"/>
          <w:lang w:val="en-US"/>
        </w:rPr>
        <w:t>279</w:t>
      </w:r>
      <w:r w:rsidRPr="001F1399">
        <w:rPr>
          <w:rFonts w:ascii="Book Antiqua" w:hAnsi="Book Antiqua"/>
          <w:sz w:val="24"/>
          <w:szCs w:val="24"/>
          <w:lang w:val="en-US"/>
        </w:rPr>
        <w:t>: G587-G596 [PMID: 10960359 DOI: 10.1152/ajpgi.2000.279.3.G587]</w:t>
      </w:r>
    </w:p>
    <w:p w14:paraId="7C16E35F" w14:textId="4CE062F8"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173</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Bishop RF</w:t>
      </w:r>
      <w:r w:rsidR="00C076F3" w:rsidRPr="001F1399">
        <w:rPr>
          <w:rFonts w:ascii="Book Antiqua" w:hAnsi="Book Antiqua"/>
          <w:sz w:val="24"/>
          <w:szCs w:val="24"/>
          <w:lang w:val="en-US"/>
        </w:rPr>
        <w:t xml:space="preserve">, Davidson GP, Holmes IH, Ruck BJ. Virus particles in epithelial cells of duodenal mucosa from children with acute non-bacterial gastroenteritis. </w:t>
      </w:r>
      <w:r w:rsidR="00C076F3" w:rsidRPr="001F1399">
        <w:rPr>
          <w:rFonts w:ascii="Book Antiqua" w:hAnsi="Book Antiqua"/>
          <w:i/>
          <w:sz w:val="24"/>
          <w:szCs w:val="24"/>
          <w:lang w:val="en-US"/>
        </w:rPr>
        <w:t>Lancet</w:t>
      </w:r>
      <w:r w:rsidR="00C076F3" w:rsidRPr="001F1399">
        <w:rPr>
          <w:rFonts w:ascii="Book Antiqua" w:hAnsi="Book Antiqua"/>
          <w:sz w:val="24"/>
          <w:szCs w:val="24"/>
          <w:lang w:val="en-US"/>
        </w:rPr>
        <w:t xml:space="preserve"> 1973; </w:t>
      </w:r>
      <w:r w:rsidR="00C076F3" w:rsidRPr="001F1399">
        <w:rPr>
          <w:rFonts w:ascii="Book Antiqua" w:hAnsi="Book Antiqua"/>
          <w:b/>
          <w:sz w:val="24"/>
          <w:szCs w:val="24"/>
          <w:lang w:val="en-US"/>
        </w:rPr>
        <w:t>2</w:t>
      </w:r>
      <w:r w:rsidR="00C076F3" w:rsidRPr="001F1399">
        <w:rPr>
          <w:rFonts w:ascii="Book Antiqua" w:hAnsi="Book Antiqua"/>
          <w:sz w:val="24"/>
          <w:szCs w:val="24"/>
          <w:lang w:val="en-US"/>
        </w:rPr>
        <w:t>: 1281-1283 [PMID: 4127639 DOI: 10.1016/s0140-6736(73)92867-5]</w:t>
      </w:r>
    </w:p>
    <w:p w14:paraId="151DA7F4" w14:textId="0DE9CDC1"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17</w:t>
      </w:r>
      <w:r w:rsidR="005E197E" w:rsidRPr="001F1399">
        <w:rPr>
          <w:rFonts w:ascii="Book Antiqua" w:hAnsi="Book Antiqua"/>
          <w:sz w:val="24"/>
          <w:szCs w:val="24"/>
          <w:lang w:val="en-US"/>
        </w:rPr>
        <w:t>4</w:t>
      </w:r>
      <w:r w:rsidRPr="001F1399">
        <w:rPr>
          <w:rFonts w:ascii="Book Antiqua" w:hAnsi="Book Antiqua"/>
          <w:sz w:val="24"/>
          <w:szCs w:val="24"/>
          <w:lang w:val="en-US"/>
        </w:rPr>
        <w:t xml:space="preserve"> </w:t>
      </w:r>
      <w:r w:rsidRPr="001F1399">
        <w:rPr>
          <w:rFonts w:ascii="Book Antiqua" w:hAnsi="Book Antiqua"/>
          <w:b/>
          <w:sz w:val="24"/>
          <w:szCs w:val="24"/>
          <w:lang w:val="en-US"/>
        </w:rPr>
        <w:t>Weng M</w:t>
      </w:r>
      <w:r w:rsidRPr="001F1399">
        <w:rPr>
          <w:rFonts w:ascii="Book Antiqua" w:hAnsi="Book Antiqua"/>
          <w:sz w:val="24"/>
          <w:szCs w:val="24"/>
          <w:lang w:val="en-US"/>
        </w:rPr>
        <w:t xml:space="preserve">, Walker WA. The role of gut microbiota in programming the immune phenotype. </w:t>
      </w:r>
      <w:r w:rsidRPr="001F1399">
        <w:rPr>
          <w:rFonts w:ascii="Book Antiqua" w:hAnsi="Book Antiqua"/>
          <w:i/>
          <w:sz w:val="24"/>
          <w:szCs w:val="24"/>
          <w:lang w:val="en-US"/>
        </w:rPr>
        <w:t>J Dev Orig Health Dis</w:t>
      </w:r>
      <w:r w:rsidRPr="001F1399">
        <w:rPr>
          <w:rFonts w:ascii="Book Antiqua" w:hAnsi="Book Antiqua"/>
          <w:sz w:val="24"/>
          <w:szCs w:val="24"/>
          <w:lang w:val="en-US"/>
        </w:rPr>
        <w:t xml:space="preserve"> 2013; </w:t>
      </w:r>
      <w:r w:rsidRPr="001F1399">
        <w:rPr>
          <w:rFonts w:ascii="Book Antiqua" w:hAnsi="Book Antiqua"/>
          <w:b/>
          <w:sz w:val="24"/>
          <w:szCs w:val="24"/>
          <w:lang w:val="en-US"/>
        </w:rPr>
        <w:t>4</w:t>
      </w:r>
      <w:r w:rsidRPr="001F1399">
        <w:rPr>
          <w:rFonts w:ascii="Book Antiqua" w:hAnsi="Book Antiqua"/>
          <w:sz w:val="24"/>
          <w:szCs w:val="24"/>
          <w:lang w:val="en-US"/>
        </w:rPr>
        <w:t>: 203-214 [PMID: 24353893 DOI: 10.1017/S2040174412000712]</w:t>
      </w:r>
    </w:p>
    <w:p w14:paraId="2DC0F99C" w14:textId="246517E8"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17</w:t>
      </w:r>
      <w:r w:rsidR="005E197E" w:rsidRPr="001F1399">
        <w:rPr>
          <w:rFonts w:ascii="Book Antiqua" w:hAnsi="Book Antiqua"/>
          <w:sz w:val="24"/>
          <w:szCs w:val="24"/>
          <w:lang w:val="en-US"/>
        </w:rPr>
        <w:t>5</w:t>
      </w:r>
      <w:r w:rsidRPr="001F1399">
        <w:rPr>
          <w:rFonts w:ascii="Book Antiqua" w:hAnsi="Book Antiqua"/>
          <w:sz w:val="24"/>
          <w:szCs w:val="24"/>
          <w:lang w:val="en-US"/>
        </w:rPr>
        <w:t xml:space="preserve"> </w:t>
      </w:r>
      <w:r w:rsidRPr="001F1399">
        <w:rPr>
          <w:rFonts w:ascii="Book Antiqua" w:hAnsi="Book Antiqua"/>
          <w:b/>
          <w:sz w:val="24"/>
          <w:szCs w:val="24"/>
          <w:lang w:val="en-US"/>
        </w:rPr>
        <w:t>Bellinger DC</w:t>
      </w:r>
      <w:r w:rsidRPr="001F1399">
        <w:rPr>
          <w:rFonts w:ascii="Book Antiqua" w:hAnsi="Book Antiqua"/>
          <w:sz w:val="24"/>
          <w:szCs w:val="24"/>
          <w:lang w:val="en-US"/>
        </w:rPr>
        <w:t xml:space="preserve">. Lead neurotoxicity and socioeconomic status: conceptual and analytical issues. </w:t>
      </w:r>
      <w:r w:rsidRPr="001F1399">
        <w:rPr>
          <w:rFonts w:ascii="Book Antiqua" w:hAnsi="Book Antiqua"/>
          <w:i/>
          <w:sz w:val="24"/>
          <w:szCs w:val="24"/>
          <w:lang w:val="en-US"/>
        </w:rPr>
        <w:t>Neurotoxicology</w:t>
      </w:r>
      <w:r w:rsidRPr="001F1399">
        <w:rPr>
          <w:rFonts w:ascii="Book Antiqua" w:hAnsi="Book Antiqua"/>
          <w:sz w:val="24"/>
          <w:szCs w:val="24"/>
          <w:lang w:val="en-US"/>
        </w:rPr>
        <w:t xml:space="preserve"> 2008; </w:t>
      </w:r>
      <w:r w:rsidRPr="001F1399">
        <w:rPr>
          <w:rFonts w:ascii="Book Antiqua" w:hAnsi="Book Antiqua"/>
          <w:b/>
          <w:sz w:val="24"/>
          <w:szCs w:val="24"/>
          <w:lang w:val="en-US"/>
        </w:rPr>
        <w:t>29</w:t>
      </w:r>
      <w:r w:rsidRPr="001F1399">
        <w:rPr>
          <w:rFonts w:ascii="Book Antiqua" w:hAnsi="Book Antiqua"/>
          <w:sz w:val="24"/>
          <w:szCs w:val="24"/>
          <w:lang w:val="en-US"/>
        </w:rPr>
        <w:t>: 828-832 [PMID: 18501967 DOI: 10.1016/j.neuro.2008.04.005]</w:t>
      </w:r>
    </w:p>
    <w:p w14:paraId="5F349177" w14:textId="6868CBBF"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lastRenderedPageBreak/>
        <w:t>176</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Tsai MS</w:t>
      </w:r>
      <w:r w:rsidR="00C076F3" w:rsidRPr="001F1399">
        <w:rPr>
          <w:rFonts w:ascii="Book Antiqua" w:hAnsi="Book Antiqua"/>
          <w:sz w:val="24"/>
          <w:szCs w:val="24"/>
          <w:lang w:val="en-US"/>
        </w:rPr>
        <w:t xml:space="preserve">, Chen MH, Lin CC, Liu CY, Chen PC. Children's environmental health based on birth cohort studies of Asia (2) - air pollution, pesticides, and heavy metals. </w:t>
      </w:r>
      <w:r w:rsidR="00C076F3" w:rsidRPr="001F1399">
        <w:rPr>
          <w:rFonts w:ascii="Book Antiqua" w:hAnsi="Book Antiqua"/>
          <w:i/>
          <w:sz w:val="24"/>
          <w:szCs w:val="24"/>
          <w:lang w:val="en-US"/>
        </w:rPr>
        <w:t>Environ Res</w:t>
      </w:r>
      <w:r w:rsidR="00C076F3" w:rsidRPr="001F1399">
        <w:rPr>
          <w:rFonts w:ascii="Book Antiqua" w:hAnsi="Book Antiqua"/>
          <w:sz w:val="24"/>
          <w:szCs w:val="24"/>
          <w:lang w:val="en-US"/>
        </w:rPr>
        <w:t xml:space="preserve"> 2019; </w:t>
      </w:r>
      <w:r w:rsidR="00C076F3" w:rsidRPr="001F1399">
        <w:rPr>
          <w:rFonts w:ascii="Book Antiqua" w:hAnsi="Book Antiqua"/>
          <w:b/>
          <w:sz w:val="24"/>
          <w:szCs w:val="24"/>
          <w:lang w:val="en-US"/>
        </w:rPr>
        <w:t>179</w:t>
      </w:r>
      <w:r w:rsidR="00C076F3" w:rsidRPr="001F1399">
        <w:rPr>
          <w:rFonts w:ascii="Book Antiqua" w:hAnsi="Book Antiqua"/>
          <w:sz w:val="24"/>
          <w:szCs w:val="24"/>
          <w:lang w:val="en-US"/>
        </w:rPr>
        <w:t>: 108754 [PMID: 31563033 DOI: 10.1016/j.envres.2019.108754]</w:t>
      </w:r>
    </w:p>
    <w:p w14:paraId="41373393" w14:textId="70A43F53"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17</w:t>
      </w:r>
      <w:r w:rsidR="005E197E" w:rsidRPr="001F1399">
        <w:rPr>
          <w:rFonts w:ascii="Book Antiqua" w:hAnsi="Book Antiqua"/>
          <w:sz w:val="24"/>
          <w:szCs w:val="24"/>
          <w:lang w:val="en-US"/>
        </w:rPr>
        <w:t>7</w:t>
      </w:r>
      <w:r w:rsidRPr="001F1399">
        <w:rPr>
          <w:rFonts w:ascii="Book Antiqua" w:hAnsi="Book Antiqua"/>
          <w:sz w:val="24"/>
          <w:szCs w:val="24"/>
          <w:lang w:val="en-US"/>
        </w:rPr>
        <w:t xml:space="preserve"> </w:t>
      </w:r>
      <w:r w:rsidRPr="001F1399">
        <w:rPr>
          <w:rFonts w:ascii="Book Antiqua" w:hAnsi="Book Antiqua"/>
          <w:b/>
          <w:sz w:val="24"/>
          <w:szCs w:val="24"/>
          <w:lang w:val="en-US"/>
        </w:rPr>
        <w:t>Stein LJ</w:t>
      </w:r>
      <w:r w:rsidRPr="001F1399">
        <w:rPr>
          <w:rFonts w:ascii="Book Antiqua" w:hAnsi="Book Antiqua"/>
          <w:sz w:val="24"/>
          <w:szCs w:val="24"/>
          <w:lang w:val="en-US"/>
        </w:rPr>
        <w:t xml:space="preserve">, Gunier RB, Harley K, Kogut K, Bradman A, Eskenazi B. Early childhood adversity potentiates the adverse association between prenatal organophosphate pesticide exposure and child IQ: The CHAMACOS cohort. </w:t>
      </w:r>
      <w:r w:rsidRPr="001F1399">
        <w:rPr>
          <w:rFonts w:ascii="Book Antiqua" w:hAnsi="Book Antiqua"/>
          <w:i/>
          <w:sz w:val="24"/>
          <w:szCs w:val="24"/>
          <w:lang w:val="en-US"/>
        </w:rPr>
        <w:t>Neurotoxicology</w:t>
      </w:r>
      <w:r w:rsidRPr="001F1399">
        <w:rPr>
          <w:rFonts w:ascii="Book Antiqua" w:hAnsi="Book Antiqua"/>
          <w:sz w:val="24"/>
          <w:szCs w:val="24"/>
          <w:lang w:val="en-US"/>
        </w:rPr>
        <w:t xml:space="preserve"> 2016; </w:t>
      </w:r>
      <w:r w:rsidRPr="001F1399">
        <w:rPr>
          <w:rFonts w:ascii="Book Antiqua" w:hAnsi="Book Antiqua"/>
          <w:b/>
          <w:sz w:val="24"/>
          <w:szCs w:val="24"/>
          <w:lang w:val="en-US"/>
        </w:rPr>
        <w:t>56</w:t>
      </w:r>
      <w:r w:rsidRPr="001F1399">
        <w:rPr>
          <w:rFonts w:ascii="Book Antiqua" w:hAnsi="Book Antiqua"/>
          <w:sz w:val="24"/>
          <w:szCs w:val="24"/>
          <w:lang w:val="en-US"/>
        </w:rPr>
        <w:t>: 180-187 [PMID: 27474229 DOI: 10.1016/j.neuro.2016.07.010]</w:t>
      </w:r>
    </w:p>
    <w:p w14:paraId="1EFB7591" w14:textId="69ED0FCB" w:rsidR="000A6ED0"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178</w:t>
      </w:r>
      <w:r w:rsidR="000A6ED0" w:rsidRPr="001F1399">
        <w:rPr>
          <w:rFonts w:ascii="Book Antiqua" w:hAnsi="Book Antiqua"/>
          <w:sz w:val="24"/>
          <w:szCs w:val="24"/>
          <w:lang w:val="en-US"/>
        </w:rPr>
        <w:t xml:space="preserve"> </w:t>
      </w:r>
      <w:r w:rsidR="000A6ED0" w:rsidRPr="001F1399">
        <w:rPr>
          <w:rFonts w:ascii="Book Antiqua" w:hAnsi="Book Antiqua"/>
          <w:b/>
          <w:sz w:val="24"/>
          <w:szCs w:val="24"/>
          <w:lang w:val="en-US"/>
        </w:rPr>
        <w:t>Bouchard MF</w:t>
      </w:r>
      <w:r w:rsidR="000A6ED0" w:rsidRPr="001F1399">
        <w:rPr>
          <w:rFonts w:ascii="Book Antiqua" w:hAnsi="Book Antiqua"/>
          <w:sz w:val="24"/>
          <w:szCs w:val="24"/>
          <w:lang w:val="en-US"/>
        </w:rPr>
        <w:t xml:space="preserve">, Chevrier J, Harley KG, Kogut K, Vedar M, Calderon N, Trujillo C, Johnson C, Bradman A, Barr DB, Eskenazi B. Prenatal exposure to organophosphate pesticides and IQ in 7-year-old children. </w:t>
      </w:r>
      <w:r w:rsidR="000A6ED0" w:rsidRPr="001F1399">
        <w:rPr>
          <w:rFonts w:ascii="Book Antiqua" w:hAnsi="Book Antiqua"/>
          <w:i/>
          <w:sz w:val="24"/>
          <w:szCs w:val="24"/>
          <w:lang w:val="en-US"/>
        </w:rPr>
        <w:t>Environ Health Perspect</w:t>
      </w:r>
      <w:r w:rsidR="000A6ED0" w:rsidRPr="001F1399">
        <w:rPr>
          <w:rFonts w:ascii="Book Antiqua" w:hAnsi="Book Antiqua"/>
          <w:sz w:val="24"/>
          <w:szCs w:val="24"/>
          <w:lang w:val="en-US"/>
        </w:rPr>
        <w:t xml:space="preserve"> 2011; </w:t>
      </w:r>
      <w:r w:rsidR="000A6ED0" w:rsidRPr="001F1399">
        <w:rPr>
          <w:rFonts w:ascii="Book Antiqua" w:hAnsi="Book Antiqua"/>
          <w:b/>
          <w:sz w:val="24"/>
          <w:szCs w:val="24"/>
          <w:lang w:val="en-US"/>
        </w:rPr>
        <w:t>119</w:t>
      </w:r>
      <w:r w:rsidR="000A6ED0" w:rsidRPr="001F1399">
        <w:rPr>
          <w:rFonts w:ascii="Book Antiqua" w:hAnsi="Book Antiqua"/>
          <w:sz w:val="24"/>
          <w:szCs w:val="24"/>
          <w:lang w:val="en-US"/>
        </w:rPr>
        <w:t>: 1189-1195 [PMID: 21507776 DOI: 10.1289/ehp.1003185]</w:t>
      </w:r>
    </w:p>
    <w:p w14:paraId="7DC25FD9" w14:textId="48556CC2"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179</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González-Alzaga B</w:t>
      </w:r>
      <w:r w:rsidR="00C076F3" w:rsidRPr="001F1399">
        <w:rPr>
          <w:rFonts w:ascii="Book Antiqua" w:hAnsi="Book Antiqua"/>
          <w:sz w:val="24"/>
          <w:szCs w:val="24"/>
          <w:lang w:val="en-US"/>
        </w:rPr>
        <w:t xml:space="preserve">, Lacasaña M, Aguilar-Garduño C, Rodríguez-Barranco M, Ballester F, Rebagliato M, Hernández AF. A systematic review of neurodevelopmental effects of prenatal and postnatal organophosphate pesticide exposure. </w:t>
      </w:r>
      <w:r w:rsidR="00C076F3" w:rsidRPr="001F1399">
        <w:rPr>
          <w:rFonts w:ascii="Book Antiqua" w:hAnsi="Book Antiqua"/>
          <w:i/>
          <w:sz w:val="24"/>
          <w:szCs w:val="24"/>
          <w:lang w:val="en-US"/>
        </w:rPr>
        <w:t>Toxicol Lett</w:t>
      </w:r>
      <w:r w:rsidR="00C076F3" w:rsidRPr="001F1399">
        <w:rPr>
          <w:rFonts w:ascii="Book Antiqua" w:hAnsi="Book Antiqua"/>
          <w:sz w:val="24"/>
          <w:szCs w:val="24"/>
          <w:lang w:val="en-US"/>
        </w:rPr>
        <w:t xml:space="preserve"> 2014; </w:t>
      </w:r>
      <w:r w:rsidR="00C076F3" w:rsidRPr="001F1399">
        <w:rPr>
          <w:rFonts w:ascii="Book Antiqua" w:hAnsi="Book Antiqua"/>
          <w:b/>
          <w:sz w:val="24"/>
          <w:szCs w:val="24"/>
          <w:lang w:val="en-US"/>
        </w:rPr>
        <w:t>230</w:t>
      </w:r>
      <w:r w:rsidR="00C076F3" w:rsidRPr="001F1399">
        <w:rPr>
          <w:rFonts w:ascii="Book Antiqua" w:hAnsi="Book Antiqua"/>
          <w:sz w:val="24"/>
          <w:szCs w:val="24"/>
          <w:lang w:val="en-US"/>
        </w:rPr>
        <w:t>: 104-121 [PMID: 24291036 DOI: 10.1016/j.toxlet.2013.11.019]</w:t>
      </w:r>
    </w:p>
    <w:p w14:paraId="24E3F2AF" w14:textId="1F8BBB3C"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180</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Caspersen IH</w:t>
      </w:r>
      <w:r w:rsidR="00C076F3" w:rsidRPr="001F1399">
        <w:rPr>
          <w:rFonts w:ascii="Book Antiqua" w:hAnsi="Book Antiqua"/>
          <w:sz w:val="24"/>
          <w:szCs w:val="24"/>
          <w:lang w:val="en-US"/>
        </w:rPr>
        <w:t xml:space="preserve">, Kvalem HE, Haugen M, Brantsæter AL, Meltzer HM, Alexander J, Thomsen C, Frøshaug M, Bremnes NM, Broadwell SL, Granum B, Kogevinas M, Knutsen HK. Determinants of plasma PCB, brominated flame retardants, and organochlorine pesticides in pregnant women and 3 year old children in The Norwegian Mother and Child Cohort Study. </w:t>
      </w:r>
      <w:r w:rsidR="00C076F3" w:rsidRPr="001F1399">
        <w:rPr>
          <w:rFonts w:ascii="Book Antiqua" w:hAnsi="Book Antiqua"/>
          <w:i/>
          <w:sz w:val="24"/>
          <w:szCs w:val="24"/>
          <w:lang w:val="en-US"/>
        </w:rPr>
        <w:t>Environ Res</w:t>
      </w:r>
      <w:r w:rsidR="00C076F3" w:rsidRPr="001F1399">
        <w:rPr>
          <w:rFonts w:ascii="Book Antiqua" w:hAnsi="Book Antiqua"/>
          <w:sz w:val="24"/>
          <w:szCs w:val="24"/>
          <w:lang w:val="en-US"/>
        </w:rPr>
        <w:t xml:space="preserve"> 2016; </w:t>
      </w:r>
      <w:r w:rsidR="00C076F3" w:rsidRPr="001F1399">
        <w:rPr>
          <w:rFonts w:ascii="Book Antiqua" w:hAnsi="Book Antiqua"/>
          <w:b/>
          <w:sz w:val="24"/>
          <w:szCs w:val="24"/>
          <w:lang w:val="en-US"/>
        </w:rPr>
        <w:t>146</w:t>
      </w:r>
      <w:r w:rsidR="00C076F3" w:rsidRPr="001F1399">
        <w:rPr>
          <w:rFonts w:ascii="Book Antiqua" w:hAnsi="Book Antiqua"/>
          <w:sz w:val="24"/>
          <w:szCs w:val="24"/>
          <w:lang w:val="en-US"/>
        </w:rPr>
        <w:t>: 136-144 [PMID: 26749444 DOI: 10.1016/j.envres.2015.12.020]</w:t>
      </w:r>
    </w:p>
    <w:p w14:paraId="57E1D7F3" w14:textId="1D1D4DF1"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181</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Burns JS</w:t>
      </w:r>
      <w:r w:rsidR="00C076F3" w:rsidRPr="001F1399">
        <w:rPr>
          <w:rFonts w:ascii="Book Antiqua" w:hAnsi="Book Antiqua"/>
          <w:sz w:val="24"/>
          <w:szCs w:val="24"/>
          <w:lang w:val="en-US"/>
        </w:rPr>
        <w:t xml:space="preserve">, Williams PL, Korrick SA, Hauser R, Sergeyev O, Revich B, Lam T, Lee MM. Association between chlorinated pesticides in the serum of prepubertal Russian boys and longitudinal biomarkers of metabolic function. </w:t>
      </w:r>
      <w:r w:rsidR="00C076F3" w:rsidRPr="001F1399">
        <w:rPr>
          <w:rFonts w:ascii="Book Antiqua" w:hAnsi="Book Antiqua"/>
          <w:i/>
          <w:sz w:val="24"/>
          <w:szCs w:val="24"/>
          <w:lang w:val="en-US"/>
        </w:rPr>
        <w:t>Am J Epidemiol</w:t>
      </w:r>
      <w:r w:rsidR="00C076F3" w:rsidRPr="001F1399">
        <w:rPr>
          <w:rFonts w:ascii="Book Antiqua" w:hAnsi="Book Antiqua"/>
          <w:sz w:val="24"/>
          <w:szCs w:val="24"/>
          <w:lang w:val="en-US"/>
        </w:rPr>
        <w:t xml:space="preserve"> 2014; </w:t>
      </w:r>
      <w:r w:rsidR="00C076F3" w:rsidRPr="001F1399">
        <w:rPr>
          <w:rFonts w:ascii="Book Antiqua" w:hAnsi="Book Antiqua"/>
          <w:b/>
          <w:sz w:val="24"/>
          <w:szCs w:val="24"/>
          <w:lang w:val="en-US"/>
        </w:rPr>
        <w:t>180</w:t>
      </w:r>
      <w:r w:rsidR="00C076F3" w:rsidRPr="001F1399">
        <w:rPr>
          <w:rFonts w:ascii="Book Antiqua" w:hAnsi="Book Antiqua"/>
          <w:sz w:val="24"/>
          <w:szCs w:val="24"/>
          <w:lang w:val="en-US"/>
        </w:rPr>
        <w:t>: 909-919 [PMID: 25255811 DOI: 10.1093/aje/kwu212]</w:t>
      </w:r>
    </w:p>
    <w:p w14:paraId="0E265DD9" w14:textId="2BC9DECB"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18</w:t>
      </w:r>
      <w:r w:rsidR="005E197E" w:rsidRPr="001F1399">
        <w:rPr>
          <w:rFonts w:ascii="Book Antiqua" w:hAnsi="Book Antiqua"/>
          <w:sz w:val="24"/>
          <w:szCs w:val="24"/>
          <w:lang w:val="en-US"/>
        </w:rPr>
        <w:t>2</w:t>
      </w:r>
      <w:r w:rsidRPr="001F1399">
        <w:rPr>
          <w:rFonts w:ascii="Book Antiqua" w:hAnsi="Book Antiqua"/>
          <w:sz w:val="24"/>
          <w:szCs w:val="24"/>
          <w:lang w:val="en-US"/>
        </w:rPr>
        <w:t xml:space="preserve"> </w:t>
      </w:r>
      <w:r w:rsidRPr="001F1399">
        <w:rPr>
          <w:rFonts w:ascii="Book Antiqua" w:hAnsi="Book Antiqua"/>
          <w:b/>
          <w:sz w:val="24"/>
          <w:szCs w:val="24"/>
          <w:lang w:val="en-US"/>
        </w:rPr>
        <w:t>Guerrero Schimpf M</w:t>
      </w:r>
      <w:r w:rsidRPr="001F1399">
        <w:rPr>
          <w:rFonts w:ascii="Book Antiqua" w:hAnsi="Book Antiqua"/>
          <w:sz w:val="24"/>
          <w:szCs w:val="24"/>
          <w:lang w:val="en-US"/>
        </w:rPr>
        <w:t xml:space="preserve">, Milesi MM, Ingaramo PI, Luque EH, Varayoud J. Neonatal exposure to a glyphosate based herbicide alters the development of the rat uterus. </w:t>
      </w:r>
      <w:r w:rsidRPr="001F1399">
        <w:rPr>
          <w:rFonts w:ascii="Book Antiqua" w:hAnsi="Book Antiqua"/>
          <w:i/>
          <w:sz w:val="24"/>
          <w:szCs w:val="24"/>
          <w:lang w:val="en-US"/>
        </w:rPr>
        <w:t>Toxicology</w:t>
      </w:r>
      <w:r w:rsidRPr="001F1399">
        <w:rPr>
          <w:rFonts w:ascii="Book Antiqua" w:hAnsi="Book Antiqua"/>
          <w:sz w:val="24"/>
          <w:szCs w:val="24"/>
          <w:lang w:val="en-US"/>
        </w:rPr>
        <w:t xml:space="preserve"> 2017; </w:t>
      </w:r>
      <w:r w:rsidRPr="001F1399">
        <w:rPr>
          <w:rFonts w:ascii="Book Antiqua" w:hAnsi="Book Antiqua"/>
          <w:b/>
          <w:sz w:val="24"/>
          <w:szCs w:val="24"/>
          <w:lang w:val="en-US"/>
        </w:rPr>
        <w:t>376</w:t>
      </w:r>
      <w:r w:rsidRPr="001F1399">
        <w:rPr>
          <w:rFonts w:ascii="Book Antiqua" w:hAnsi="Book Antiqua"/>
          <w:sz w:val="24"/>
          <w:szCs w:val="24"/>
          <w:lang w:val="en-US"/>
        </w:rPr>
        <w:t>: 2-14 [PMID: 27287056 DOI: 10.1016/j.tox.2016.06.004]</w:t>
      </w:r>
    </w:p>
    <w:p w14:paraId="70EAF5C4" w14:textId="716217F7"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183</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Nielsen LN</w:t>
      </w:r>
      <w:r w:rsidR="00C076F3" w:rsidRPr="001F1399">
        <w:rPr>
          <w:rFonts w:ascii="Book Antiqua" w:hAnsi="Book Antiqua"/>
          <w:sz w:val="24"/>
          <w:szCs w:val="24"/>
          <w:lang w:val="en-US"/>
        </w:rPr>
        <w:t xml:space="preserve">, Roager HM, Casas ME, Frandsen HL, Gosewinkel U, Bester K, Licht TR, Hendriksen NB, Bahl MI. Glyphosate has limited short-term effects on commensal bacterial community composition in the gut environment due to sufficient aromatic </w:t>
      </w:r>
      <w:r w:rsidR="00C076F3" w:rsidRPr="001F1399">
        <w:rPr>
          <w:rFonts w:ascii="Book Antiqua" w:hAnsi="Book Antiqua"/>
          <w:sz w:val="24"/>
          <w:szCs w:val="24"/>
          <w:lang w:val="en-US"/>
        </w:rPr>
        <w:lastRenderedPageBreak/>
        <w:t xml:space="preserve">amino acid levels. </w:t>
      </w:r>
      <w:r w:rsidR="00C076F3" w:rsidRPr="001F1399">
        <w:rPr>
          <w:rFonts w:ascii="Book Antiqua" w:hAnsi="Book Antiqua"/>
          <w:i/>
          <w:sz w:val="24"/>
          <w:szCs w:val="24"/>
          <w:lang w:val="en-US"/>
        </w:rPr>
        <w:t>Environ Pollut</w:t>
      </w:r>
      <w:r w:rsidR="00C076F3" w:rsidRPr="001F1399">
        <w:rPr>
          <w:rFonts w:ascii="Book Antiqua" w:hAnsi="Book Antiqua"/>
          <w:sz w:val="24"/>
          <w:szCs w:val="24"/>
          <w:lang w:val="en-US"/>
        </w:rPr>
        <w:t xml:space="preserve"> 2018; </w:t>
      </w:r>
      <w:r w:rsidR="00C076F3" w:rsidRPr="001F1399">
        <w:rPr>
          <w:rFonts w:ascii="Book Antiqua" w:hAnsi="Book Antiqua"/>
          <w:b/>
          <w:sz w:val="24"/>
          <w:szCs w:val="24"/>
          <w:lang w:val="en-US"/>
        </w:rPr>
        <w:t>233</w:t>
      </w:r>
      <w:r w:rsidR="00C076F3" w:rsidRPr="001F1399">
        <w:rPr>
          <w:rFonts w:ascii="Book Antiqua" w:hAnsi="Book Antiqua"/>
          <w:sz w:val="24"/>
          <w:szCs w:val="24"/>
          <w:lang w:val="en-US"/>
        </w:rPr>
        <w:t>: 364-376 [PMID: 29096310 DOI: 10.1016/j.envpol.2017.10.016]</w:t>
      </w:r>
    </w:p>
    <w:p w14:paraId="00E3594B" w14:textId="00A4E168"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184</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Lombard MJ</w:t>
      </w:r>
      <w:r w:rsidR="00C076F3" w:rsidRPr="001F1399">
        <w:rPr>
          <w:rFonts w:ascii="Book Antiqua" w:hAnsi="Book Antiqua"/>
          <w:sz w:val="24"/>
          <w:szCs w:val="24"/>
          <w:lang w:val="en-US"/>
        </w:rPr>
        <w:t xml:space="preserve">. Mycotoxin exposure and infant and young child growth in Africa: what do we know? </w:t>
      </w:r>
      <w:r w:rsidR="00C076F3" w:rsidRPr="001F1399">
        <w:rPr>
          <w:rFonts w:ascii="Book Antiqua" w:hAnsi="Book Antiqua"/>
          <w:i/>
          <w:sz w:val="24"/>
          <w:szCs w:val="24"/>
          <w:lang w:val="en-US"/>
        </w:rPr>
        <w:t>Ann Nutr Metab</w:t>
      </w:r>
      <w:r w:rsidR="00C076F3" w:rsidRPr="001F1399">
        <w:rPr>
          <w:rFonts w:ascii="Book Antiqua" w:hAnsi="Book Antiqua"/>
          <w:sz w:val="24"/>
          <w:szCs w:val="24"/>
          <w:lang w:val="en-US"/>
        </w:rPr>
        <w:t xml:space="preserve"> 2014; </w:t>
      </w:r>
      <w:r w:rsidR="00C076F3" w:rsidRPr="001F1399">
        <w:rPr>
          <w:rFonts w:ascii="Book Antiqua" w:hAnsi="Book Antiqua"/>
          <w:b/>
          <w:sz w:val="24"/>
          <w:szCs w:val="24"/>
          <w:lang w:val="en-US"/>
        </w:rPr>
        <w:t>64 Suppl 2</w:t>
      </w:r>
      <w:r w:rsidR="00C076F3" w:rsidRPr="001F1399">
        <w:rPr>
          <w:rFonts w:ascii="Book Antiqua" w:hAnsi="Book Antiqua"/>
          <w:sz w:val="24"/>
          <w:szCs w:val="24"/>
          <w:lang w:val="en-US"/>
        </w:rPr>
        <w:t>: 42-52 [PMID: 25341872 DOI: 10.1159/000365126]</w:t>
      </w:r>
    </w:p>
    <w:p w14:paraId="2CE533BE" w14:textId="4097113B"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185</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Raiola A</w:t>
      </w:r>
      <w:r w:rsidR="00C076F3" w:rsidRPr="001F1399">
        <w:rPr>
          <w:rFonts w:ascii="Book Antiqua" w:hAnsi="Book Antiqua"/>
          <w:sz w:val="24"/>
          <w:szCs w:val="24"/>
          <w:lang w:val="en-US"/>
        </w:rPr>
        <w:t xml:space="preserve">, Tenore GC, Manyes L, Meca G, Ritieni A. Risk analysis of main mycotoxins occurring in food for children: An overview. </w:t>
      </w:r>
      <w:r w:rsidR="00C076F3" w:rsidRPr="001F1399">
        <w:rPr>
          <w:rFonts w:ascii="Book Antiqua" w:hAnsi="Book Antiqua"/>
          <w:i/>
          <w:sz w:val="24"/>
          <w:szCs w:val="24"/>
          <w:lang w:val="en-US"/>
        </w:rPr>
        <w:t>Food Chem Toxicol</w:t>
      </w:r>
      <w:r w:rsidR="00C076F3" w:rsidRPr="001F1399">
        <w:rPr>
          <w:rFonts w:ascii="Book Antiqua" w:hAnsi="Book Antiqua"/>
          <w:sz w:val="24"/>
          <w:szCs w:val="24"/>
          <w:lang w:val="en-US"/>
        </w:rPr>
        <w:t xml:space="preserve"> 2015; </w:t>
      </w:r>
      <w:r w:rsidR="00C076F3" w:rsidRPr="001F1399">
        <w:rPr>
          <w:rFonts w:ascii="Book Antiqua" w:hAnsi="Book Antiqua"/>
          <w:b/>
          <w:sz w:val="24"/>
          <w:szCs w:val="24"/>
          <w:lang w:val="en-US"/>
        </w:rPr>
        <w:t>84</w:t>
      </w:r>
      <w:r w:rsidR="00C076F3" w:rsidRPr="001F1399">
        <w:rPr>
          <w:rFonts w:ascii="Book Antiqua" w:hAnsi="Book Antiqua"/>
          <w:sz w:val="24"/>
          <w:szCs w:val="24"/>
          <w:lang w:val="en-US"/>
        </w:rPr>
        <w:t>: 169-180 [PMID: 26327433 DOI: 10.1016/j.fct.2015.08.023]</w:t>
      </w:r>
    </w:p>
    <w:p w14:paraId="6FFEBAEA" w14:textId="14E9D1D1"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18</w:t>
      </w:r>
      <w:r w:rsidR="005E197E" w:rsidRPr="001F1399">
        <w:rPr>
          <w:rFonts w:ascii="Book Antiqua" w:hAnsi="Book Antiqua"/>
          <w:sz w:val="24"/>
          <w:szCs w:val="24"/>
          <w:lang w:val="en-US"/>
        </w:rPr>
        <w:t>6</w:t>
      </w:r>
      <w:r w:rsidRPr="001F1399">
        <w:rPr>
          <w:rFonts w:ascii="Book Antiqua" w:hAnsi="Book Antiqua"/>
          <w:sz w:val="24"/>
          <w:szCs w:val="24"/>
          <w:lang w:val="en-US"/>
        </w:rPr>
        <w:t xml:space="preserve"> </w:t>
      </w:r>
      <w:r w:rsidRPr="001F1399">
        <w:rPr>
          <w:rFonts w:ascii="Book Antiqua" w:hAnsi="Book Antiqua"/>
          <w:b/>
          <w:sz w:val="24"/>
          <w:szCs w:val="24"/>
          <w:lang w:val="en-US"/>
        </w:rPr>
        <w:t>Skaug MA</w:t>
      </w:r>
      <w:r w:rsidRPr="001F1399">
        <w:rPr>
          <w:rFonts w:ascii="Book Antiqua" w:hAnsi="Book Antiqua"/>
          <w:sz w:val="24"/>
          <w:szCs w:val="24"/>
          <w:lang w:val="en-US"/>
        </w:rPr>
        <w:t xml:space="preserve">. Analysis of Norwegian milk and infant formulas for ochratoxin A. </w:t>
      </w:r>
      <w:r w:rsidRPr="001F1399">
        <w:rPr>
          <w:rFonts w:ascii="Book Antiqua" w:hAnsi="Book Antiqua"/>
          <w:i/>
          <w:sz w:val="24"/>
          <w:szCs w:val="24"/>
          <w:lang w:val="en-US"/>
        </w:rPr>
        <w:t>Food Addit Contam</w:t>
      </w:r>
      <w:r w:rsidRPr="001F1399">
        <w:rPr>
          <w:rFonts w:ascii="Book Antiqua" w:hAnsi="Book Antiqua"/>
          <w:sz w:val="24"/>
          <w:szCs w:val="24"/>
          <w:lang w:val="en-US"/>
        </w:rPr>
        <w:t xml:space="preserve"> 1999; </w:t>
      </w:r>
      <w:r w:rsidRPr="001F1399">
        <w:rPr>
          <w:rFonts w:ascii="Book Antiqua" w:hAnsi="Book Antiqua"/>
          <w:b/>
          <w:sz w:val="24"/>
          <w:szCs w:val="24"/>
          <w:lang w:val="en-US"/>
        </w:rPr>
        <w:t>16</w:t>
      </w:r>
      <w:r w:rsidRPr="001F1399">
        <w:rPr>
          <w:rFonts w:ascii="Book Antiqua" w:hAnsi="Book Antiqua"/>
          <w:sz w:val="24"/>
          <w:szCs w:val="24"/>
          <w:lang w:val="en-US"/>
        </w:rPr>
        <w:t>: 75-78 [PMID: 10435076 DOI: 10.1080/026520399284235]</w:t>
      </w:r>
    </w:p>
    <w:p w14:paraId="1A55A5DF" w14:textId="18743736"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18</w:t>
      </w:r>
      <w:r w:rsidR="005E197E" w:rsidRPr="001F1399">
        <w:rPr>
          <w:rFonts w:ascii="Book Antiqua" w:hAnsi="Book Antiqua"/>
          <w:sz w:val="24"/>
          <w:szCs w:val="24"/>
          <w:lang w:val="en-US"/>
        </w:rPr>
        <w:t>7</w:t>
      </w:r>
      <w:r w:rsidRPr="001F1399">
        <w:rPr>
          <w:rFonts w:ascii="Book Antiqua" w:hAnsi="Book Antiqua"/>
          <w:sz w:val="24"/>
          <w:szCs w:val="24"/>
          <w:lang w:val="en-US"/>
        </w:rPr>
        <w:t xml:space="preserve"> </w:t>
      </w:r>
      <w:r w:rsidRPr="001F1399">
        <w:rPr>
          <w:rFonts w:ascii="Book Antiqua" w:hAnsi="Book Antiqua"/>
          <w:b/>
          <w:sz w:val="24"/>
          <w:szCs w:val="24"/>
          <w:lang w:val="en-US"/>
        </w:rPr>
        <w:t>Ojuri OT,</w:t>
      </w:r>
      <w:r w:rsidRPr="001F1399">
        <w:rPr>
          <w:rFonts w:ascii="Book Antiqua" w:hAnsi="Book Antiqua"/>
          <w:sz w:val="24"/>
          <w:szCs w:val="24"/>
          <w:lang w:val="en-US"/>
        </w:rPr>
        <w:t xml:space="preserve"> Ezekiel CN, Eskola MK, Šarkanj B, Babalola AD, Sulyok M, Hajšlová J, Elliott CT, Krska R. Mycotoxin co-exposures in infants and young children consuming household- and industrially-processed complementary foods in Nigeria and risk management advice.</w:t>
      </w:r>
      <w:r w:rsidRPr="001F1399">
        <w:rPr>
          <w:rFonts w:ascii="Book Antiqua" w:hAnsi="Book Antiqua"/>
          <w:i/>
          <w:iCs/>
          <w:sz w:val="24"/>
          <w:szCs w:val="24"/>
          <w:lang w:val="en-US"/>
        </w:rPr>
        <w:t xml:space="preserve"> Food Control</w:t>
      </w:r>
      <w:r w:rsidRPr="001F1399">
        <w:rPr>
          <w:rFonts w:ascii="Book Antiqua" w:hAnsi="Book Antiqua"/>
          <w:sz w:val="24"/>
          <w:szCs w:val="24"/>
          <w:lang w:val="en-US"/>
        </w:rPr>
        <w:t xml:space="preserve"> 2019; </w:t>
      </w:r>
      <w:r w:rsidRPr="001F1399">
        <w:rPr>
          <w:rFonts w:ascii="Book Antiqua" w:hAnsi="Book Antiqua"/>
          <w:b/>
          <w:bCs/>
          <w:sz w:val="24"/>
          <w:szCs w:val="24"/>
          <w:lang w:val="en-US"/>
        </w:rPr>
        <w:t>98</w:t>
      </w:r>
      <w:r w:rsidRPr="001F1399">
        <w:rPr>
          <w:rFonts w:ascii="Book Antiqua" w:hAnsi="Book Antiqua"/>
          <w:sz w:val="24"/>
          <w:szCs w:val="24"/>
          <w:lang w:val="en-US"/>
        </w:rPr>
        <w:t>:</w:t>
      </w:r>
      <w:r w:rsidR="002A022C" w:rsidRPr="001F1399">
        <w:rPr>
          <w:rFonts w:ascii="Book Antiqua" w:hAnsi="Book Antiqua"/>
          <w:sz w:val="24"/>
          <w:szCs w:val="24"/>
          <w:lang w:val="en-US"/>
        </w:rPr>
        <w:t xml:space="preserve"> </w:t>
      </w:r>
      <w:r w:rsidRPr="001F1399">
        <w:rPr>
          <w:rFonts w:ascii="Book Antiqua" w:hAnsi="Book Antiqua"/>
          <w:sz w:val="24"/>
          <w:szCs w:val="24"/>
          <w:lang w:val="en-US"/>
        </w:rPr>
        <w:t>312–22 [DOI: 10.1016/j.foodcont.2018.11.049]</w:t>
      </w:r>
    </w:p>
    <w:p w14:paraId="62C92BCF" w14:textId="3B171EA8"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18</w:t>
      </w:r>
      <w:r w:rsidR="005E197E" w:rsidRPr="001F1399">
        <w:rPr>
          <w:rFonts w:ascii="Book Antiqua" w:hAnsi="Book Antiqua"/>
          <w:sz w:val="24"/>
          <w:szCs w:val="24"/>
          <w:lang w:val="en-US"/>
        </w:rPr>
        <w:t>8</w:t>
      </w:r>
      <w:r w:rsidRPr="001F1399">
        <w:rPr>
          <w:rFonts w:ascii="Book Antiqua" w:hAnsi="Book Antiqua"/>
          <w:sz w:val="24"/>
          <w:szCs w:val="24"/>
          <w:lang w:val="en-US"/>
        </w:rPr>
        <w:t xml:space="preserve"> </w:t>
      </w:r>
      <w:r w:rsidRPr="001F1399">
        <w:rPr>
          <w:rFonts w:ascii="Book Antiqua" w:hAnsi="Book Antiqua"/>
          <w:b/>
          <w:sz w:val="24"/>
          <w:szCs w:val="24"/>
          <w:lang w:val="en-US"/>
        </w:rPr>
        <w:t>Gong YY</w:t>
      </w:r>
      <w:r w:rsidRPr="001F1399">
        <w:rPr>
          <w:rFonts w:ascii="Book Antiqua" w:hAnsi="Book Antiqua"/>
          <w:sz w:val="24"/>
          <w:szCs w:val="24"/>
          <w:lang w:val="en-US"/>
        </w:rPr>
        <w:t xml:space="preserve">, Egal S, Hounsa A, Turner PC, Hall AJ, Cardwell KF, Wild CP. Determinants of aflatoxin exposure in young children from Benin and Togo, West Africa: the critical role of weaning. </w:t>
      </w:r>
      <w:r w:rsidRPr="001F1399">
        <w:rPr>
          <w:rFonts w:ascii="Book Antiqua" w:hAnsi="Book Antiqua"/>
          <w:i/>
          <w:sz w:val="24"/>
          <w:szCs w:val="24"/>
          <w:lang w:val="en-US"/>
        </w:rPr>
        <w:t>Int J Epidemiol</w:t>
      </w:r>
      <w:r w:rsidRPr="001F1399">
        <w:rPr>
          <w:rFonts w:ascii="Book Antiqua" w:hAnsi="Book Antiqua"/>
          <w:sz w:val="24"/>
          <w:szCs w:val="24"/>
          <w:lang w:val="en-US"/>
        </w:rPr>
        <w:t xml:space="preserve"> 2003; </w:t>
      </w:r>
      <w:r w:rsidRPr="001F1399">
        <w:rPr>
          <w:rFonts w:ascii="Book Antiqua" w:hAnsi="Book Antiqua"/>
          <w:b/>
          <w:sz w:val="24"/>
          <w:szCs w:val="24"/>
          <w:lang w:val="en-US"/>
        </w:rPr>
        <w:t>32</w:t>
      </w:r>
      <w:r w:rsidRPr="001F1399">
        <w:rPr>
          <w:rFonts w:ascii="Book Antiqua" w:hAnsi="Book Antiqua"/>
          <w:sz w:val="24"/>
          <w:szCs w:val="24"/>
          <w:lang w:val="en-US"/>
        </w:rPr>
        <w:t>: 556-562 [PMID: 12913029 DOI: 10.1093/ije/dyg109]</w:t>
      </w:r>
    </w:p>
    <w:p w14:paraId="5AA28F32" w14:textId="7274781B"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18</w:t>
      </w:r>
      <w:r w:rsidR="005E197E" w:rsidRPr="001F1399">
        <w:rPr>
          <w:rFonts w:ascii="Book Antiqua" w:hAnsi="Book Antiqua"/>
          <w:sz w:val="24"/>
          <w:szCs w:val="24"/>
          <w:lang w:val="en-US"/>
        </w:rPr>
        <w:t>9</w:t>
      </w:r>
      <w:r w:rsidRPr="001F1399">
        <w:rPr>
          <w:rFonts w:ascii="Book Antiqua" w:hAnsi="Book Antiqua"/>
          <w:sz w:val="24"/>
          <w:szCs w:val="24"/>
          <w:lang w:val="en-US"/>
        </w:rPr>
        <w:t xml:space="preserve"> </w:t>
      </w:r>
      <w:r w:rsidRPr="001F1399">
        <w:rPr>
          <w:rFonts w:ascii="Book Antiqua" w:hAnsi="Book Antiqua"/>
          <w:b/>
          <w:sz w:val="24"/>
          <w:szCs w:val="24"/>
          <w:lang w:val="en-US"/>
        </w:rPr>
        <w:t>Turner PC</w:t>
      </w:r>
      <w:r w:rsidRPr="001F1399">
        <w:rPr>
          <w:rFonts w:ascii="Book Antiqua" w:hAnsi="Book Antiqua"/>
          <w:sz w:val="24"/>
          <w:szCs w:val="24"/>
          <w:lang w:val="en-US"/>
        </w:rPr>
        <w:t xml:space="preserve">, Moore SE, Hall AJ, Prentice AM, Wild CP. Modification of immune function through exposure to dietary aflatoxin in Gambian children. </w:t>
      </w:r>
      <w:r w:rsidRPr="001F1399">
        <w:rPr>
          <w:rFonts w:ascii="Book Antiqua" w:hAnsi="Book Antiqua"/>
          <w:i/>
          <w:sz w:val="24"/>
          <w:szCs w:val="24"/>
          <w:lang w:val="en-US"/>
        </w:rPr>
        <w:t>Environ Health Perspect</w:t>
      </w:r>
      <w:r w:rsidRPr="001F1399">
        <w:rPr>
          <w:rFonts w:ascii="Book Antiqua" w:hAnsi="Book Antiqua"/>
          <w:sz w:val="24"/>
          <w:szCs w:val="24"/>
          <w:lang w:val="en-US"/>
        </w:rPr>
        <w:t xml:space="preserve"> 2003; </w:t>
      </w:r>
      <w:r w:rsidRPr="001F1399">
        <w:rPr>
          <w:rFonts w:ascii="Book Antiqua" w:hAnsi="Book Antiqua"/>
          <w:b/>
          <w:sz w:val="24"/>
          <w:szCs w:val="24"/>
          <w:lang w:val="en-US"/>
        </w:rPr>
        <w:t>111</w:t>
      </w:r>
      <w:r w:rsidRPr="001F1399">
        <w:rPr>
          <w:rFonts w:ascii="Book Antiqua" w:hAnsi="Book Antiqua"/>
          <w:sz w:val="24"/>
          <w:szCs w:val="24"/>
          <w:lang w:val="en-US"/>
        </w:rPr>
        <w:t>: 217-220 [PMID: 12573908 DOI: 10.1289/ehp.5753]</w:t>
      </w:r>
    </w:p>
    <w:p w14:paraId="295C59B1" w14:textId="5A97FE39"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190</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Sherif SO</w:t>
      </w:r>
      <w:r w:rsidR="00C076F3" w:rsidRPr="001F1399">
        <w:rPr>
          <w:rFonts w:ascii="Book Antiqua" w:hAnsi="Book Antiqua"/>
          <w:sz w:val="24"/>
          <w:szCs w:val="24"/>
          <w:lang w:val="en-US"/>
        </w:rPr>
        <w:t xml:space="preserve">, Salama EE, Abdel-Wahhab MA. Mycotoxins and child health: the need for health risk assessment. </w:t>
      </w:r>
      <w:r w:rsidR="00C076F3" w:rsidRPr="001F1399">
        <w:rPr>
          <w:rFonts w:ascii="Book Antiqua" w:hAnsi="Book Antiqua"/>
          <w:i/>
          <w:sz w:val="24"/>
          <w:szCs w:val="24"/>
          <w:lang w:val="en-US"/>
        </w:rPr>
        <w:t>Int J Hyg Environ Health</w:t>
      </w:r>
      <w:r w:rsidR="00C076F3" w:rsidRPr="001F1399">
        <w:rPr>
          <w:rFonts w:ascii="Book Antiqua" w:hAnsi="Book Antiqua"/>
          <w:sz w:val="24"/>
          <w:szCs w:val="24"/>
          <w:lang w:val="en-US"/>
        </w:rPr>
        <w:t xml:space="preserve"> 2009; </w:t>
      </w:r>
      <w:r w:rsidR="00C076F3" w:rsidRPr="001F1399">
        <w:rPr>
          <w:rFonts w:ascii="Book Antiqua" w:hAnsi="Book Antiqua"/>
          <w:b/>
          <w:sz w:val="24"/>
          <w:szCs w:val="24"/>
          <w:lang w:val="en-US"/>
        </w:rPr>
        <w:t>212</w:t>
      </w:r>
      <w:r w:rsidR="00C076F3" w:rsidRPr="001F1399">
        <w:rPr>
          <w:rFonts w:ascii="Book Antiqua" w:hAnsi="Book Antiqua"/>
          <w:sz w:val="24"/>
          <w:szCs w:val="24"/>
          <w:lang w:val="en-US"/>
        </w:rPr>
        <w:t>: 347-368 [PMID: 18805056 DOI: 10.1016/j.ijheh.2008.08.002]</w:t>
      </w:r>
    </w:p>
    <w:p w14:paraId="56E99DB0" w14:textId="781D1438" w:rsidR="00C076F3" w:rsidRPr="001F1399" w:rsidRDefault="00C076F3" w:rsidP="002974FA">
      <w:pPr>
        <w:adjustRightInd w:val="0"/>
        <w:snapToGrid w:val="0"/>
        <w:spacing w:after="0" w:line="360" w:lineRule="auto"/>
        <w:jc w:val="both"/>
        <w:rPr>
          <w:rFonts w:ascii="Book Antiqua" w:hAnsi="Book Antiqua"/>
          <w:sz w:val="24"/>
          <w:szCs w:val="24"/>
        </w:rPr>
      </w:pPr>
      <w:r w:rsidRPr="001F1399">
        <w:rPr>
          <w:rFonts w:ascii="Book Antiqua" w:hAnsi="Book Antiqua"/>
          <w:sz w:val="24"/>
          <w:szCs w:val="24"/>
          <w:lang w:val="en-US"/>
        </w:rPr>
        <w:t>19</w:t>
      </w:r>
      <w:r w:rsidR="005E197E" w:rsidRPr="001F1399">
        <w:rPr>
          <w:rFonts w:ascii="Book Antiqua" w:hAnsi="Book Antiqua"/>
          <w:sz w:val="24"/>
          <w:szCs w:val="24"/>
          <w:lang w:val="en-US"/>
        </w:rPr>
        <w:t>1</w:t>
      </w:r>
      <w:r w:rsidRPr="001F1399">
        <w:rPr>
          <w:rFonts w:ascii="Book Antiqua" w:hAnsi="Book Antiqua"/>
          <w:sz w:val="24"/>
          <w:szCs w:val="24"/>
          <w:lang w:val="en-US"/>
        </w:rPr>
        <w:t xml:space="preserve"> </w:t>
      </w:r>
      <w:r w:rsidRPr="001F1399">
        <w:rPr>
          <w:rFonts w:ascii="Book Antiqua" w:hAnsi="Book Antiqua"/>
          <w:b/>
          <w:sz w:val="24"/>
          <w:szCs w:val="24"/>
          <w:lang w:val="en-US"/>
        </w:rPr>
        <w:t>Hannon WH</w:t>
      </w:r>
      <w:r w:rsidRPr="001F1399">
        <w:rPr>
          <w:rFonts w:ascii="Book Antiqua" w:hAnsi="Book Antiqua"/>
          <w:sz w:val="24"/>
          <w:szCs w:val="24"/>
          <w:lang w:val="en-US"/>
        </w:rPr>
        <w:t xml:space="preserve">, Hill RH Jr, Bernert JT Jr, Haddock L, Lebron G, Cordero JF. Premature thelarche in Puerto Rico: a search for environmental estrogenic contamination. </w:t>
      </w:r>
      <w:r w:rsidRPr="001F1399">
        <w:rPr>
          <w:rFonts w:ascii="Book Antiqua" w:hAnsi="Book Antiqua"/>
          <w:i/>
          <w:sz w:val="24"/>
          <w:szCs w:val="24"/>
        </w:rPr>
        <w:t>Arch Environ Contam Toxicol</w:t>
      </w:r>
      <w:r w:rsidRPr="001F1399">
        <w:rPr>
          <w:rFonts w:ascii="Book Antiqua" w:hAnsi="Book Antiqua"/>
          <w:sz w:val="24"/>
          <w:szCs w:val="24"/>
        </w:rPr>
        <w:t xml:space="preserve"> 1987; </w:t>
      </w:r>
      <w:r w:rsidRPr="001F1399">
        <w:rPr>
          <w:rFonts w:ascii="Book Antiqua" w:hAnsi="Book Antiqua"/>
          <w:b/>
          <w:sz w:val="24"/>
          <w:szCs w:val="24"/>
        </w:rPr>
        <w:t>16</w:t>
      </w:r>
      <w:r w:rsidRPr="001F1399">
        <w:rPr>
          <w:rFonts w:ascii="Book Antiqua" w:hAnsi="Book Antiqua"/>
          <w:sz w:val="24"/>
          <w:szCs w:val="24"/>
        </w:rPr>
        <w:t>: 255-262 [PMID: 3592752 DOI: 10.1007/BF01054942]</w:t>
      </w:r>
    </w:p>
    <w:p w14:paraId="5B53403A" w14:textId="4FB4277D"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rPr>
        <w:t>19</w:t>
      </w:r>
      <w:r w:rsidR="005E197E" w:rsidRPr="001F1399">
        <w:rPr>
          <w:rFonts w:ascii="Book Antiqua" w:hAnsi="Book Antiqua"/>
          <w:sz w:val="24"/>
          <w:szCs w:val="24"/>
        </w:rPr>
        <w:t>2</w:t>
      </w:r>
      <w:r w:rsidRPr="001F1399">
        <w:rPr>
          <w:rFonts w:ascii="Book Antiqua" w:hAnsi="Book Antiqua"/>
          <w:sz w:val="24"/>
          <w:szCs w:val="24"/>
        </w:rPr>
        <w:t xml:space="preserve"> </w:t>
      </w:r>
      <w:r w:rsidRPr="001F1399">
        <w:rPr>
          <w:rFonts w:ascii="Book Antiqua" w:hAnsi="Book Antiqua"/>
          <w:b/>
          <w:sz w:val="24"/>
          <w:szCs w:val="24"/>
        </w:rPr>
        <w:t>Sáenz de Rodríguez CA</w:t>
      </w:r>
      <w:r w:rsidRPr="001F1399">
        <w:rPr>
          <w:rFonts w:ascii="Book Antiqua" w:hAnsi="Book Antiqua"/>
          <w:sz w:val="24"/>
          <w:szCs w:val="24"/>
        </w:rPr>
        <w:t xml:space="preserve">. </w:t>
      </w:r>
      <w:r w:rsidRPr="001F1399">
        <w:rPr>
          <w:rFonts w:ascii="Book Antiqua" w:hAnsi="Book Antiqua"/>
          <w:sz w:val="24"/>
          <w:szCs w:val="24"/>
          <w:lang w:val="en-US"/>
        </w:rPr>
        <w:t xml:space="preserve">Environmental hormone contamination in Puerto Rico. </w:t>
      </w:r>
      <w:r w:rsidRPr="001F1399">
        <w:rPr>
          <w:rFonts w:ascii="Book Antiqua" w:hAnsi="Book Antiqua"/>
          <w:i/>
          <w:sz w:val="24"/>
          <w:szCs w:val="24"/>
          <w:lang w:val="en-US"/>
        </w:rPr>
        <w:t>N Engl J Med</w:t>
      </w:r>
      <w:r w:rsidRPr="001F1399">
        <w:rPr>
          <w:rFonts w:ascii="Book Antiqua" w:hAnsi="Book Antiqua"/>
          <w:sz w:val="24"/>
          <w:szCs w:val="24"/>
          <w:lang w:val="en-US"/>
        </w:rPr>
        <w:t xml:space="preserve"> 1984; </w:t>
      </w:r>
      <w:r w:rsidRPr="001F1399">
        <w:rPr>
          <w:rFonts w:ascii="Book Antiqua" w:hAnsi="Book Antiqua"/>
          <w:b/>
          <w:sz w:val="24"/>
          <w:szCs w:val="24"/>
          <w:lang w:val="en-US"/>
        </w:rPr>
        <w:t>310</w:t>
      </w:r>
      <w:r w:rsidRPr="001F1399">
        <w:rPr>
          <w:rFonts w:ascii="Book Antiqua" w:hAnsi="Book Antiqua"/>
          <w:sz w:val="24"/>
          <w:szCs w:val="24"/>
          <w:lang w:val="en-US"/>
        </w:rPr>
        <w:t>: 1741-1742 [PMID: 6233490 DOI: 10.1056/NEJM198406283102612]</w:t>
      </w:r>
    </w:p>
    <w:p w14:paraId="23D3E25D" w14:textId="5313929F"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lastRenderedPageBreak/>
        <w:t>19</w:t>
      </w:r>
      <w:r w:rsidR="005E197E" w:rsidRPr="001F1399">
        <w:rPr>
          <w:rFonts w:ascii="Book Antiqua" w:hAnsi="Book Antiqua"/>
          <w:sz w:val="24"/>
          <w:szCs w:val="24"/>
          <w:lang w:val="en-US"/>
        </w:rPr>
        <w:t>3</w:t>
      </w:r>
      <w:r w:rsidRPr="001F1399">
        <w:rPr>
          <w:rFonts w:ascii="Book Antiqua" w:hAnsi="Book Antiqua"/>
          <w:sz w:val="24"/>
          <w:szCs w:val="24"/>
          <w:lang w:val="en-US"/>
        </w:rPr>
        <w:t xml:space="preserve"> </w:t>
      </w:r>
      <w:r w:rsidRPr="001F1399">
        <w:rPr>
          <w:rFonts w:ascii="Book Antiqua" w:hAnsi="Book Antiqua"/>
          <w:b/>
          <w:sz w:val="24"/>
          <w:szCs w:val="24"/>
          <w:lang w:val="en-US"/>
        </w:rPr>
        <w:t>Bhat RV</w:t>
      </w:r>
      <w:r w:rsidRPr="001F1399">
        <w:rPr>
          <w:rFonts w:ascii="Book Antiqua" w:hAnsi="Book Antiqua"/>
          <w:sz w:val="24"/>
          <w:szCs w:val="24"/>
          <w:lang w:val="en-US"/>
        </w:rPr>
        <w:t xml:space="preserve">, Beedu SR, Ramakrishna Y, Munshi KL. Outbreak of trichothecene mycotoxicosis associated with consumption of mould-damaged wheat production in Kashmir Valley, India. </w:t>
      </w:r>
      <w:r w:rsidRPr="001F1399">
        <w:rPr>
          <w:rFonts w:ascii="Book Antiqua" w:hAnsi="Book Antiqua"/>
          <w:i/>
          <w:sz w:val="24"/>
          <w:szCs w:val="24"/>
          <w:lang w:val="en-US"/>
        </w:rPr>
        <w:t>Lancet</w:t>
      </w:r>
      <w:r w:rsidRPr="001F1399">
        <w:rPr>
          <w:rFonts w:ascii="Book Antiqua" w:hAnsi="Book Antiqua"/>
          <w:sz w:val="24"/>
          <w:szCs w:val="24"/>
          <w:lang w:val="en-US"/>
        </w:rPr>
        <w:t xml:space="preserve"> 1989; </w:t>
      </w:r>
      <w:r w:rsidRPr="001F1399">
        <w:rPr>
          <w:rFonts w:ascii="Book Antiqua" w:hAnsi="Book Antiqua"/>
          <w:b/>
          <w:sz w:val="24"/>
          <w:szCs w:val="24"/>
          <w:lang w:val="en-US"/>
        </w:rPr>
        <w:t>1</w:t>
      </w:r>
      <w:r w:rsidRPr="001F1399">
        <w:rPr>
          <w:rFonts w:ascii="Book Antiqua" w:hAnsi="Book Antiqua"/>
          <w:sz w:val="24"/>
          <w:szCs w:val="24"/>
          <w:lang w:val="en-US"/>
        </w:rPr>
        <w:t>: 35-37 [PMID: 2563012 DOI: 10.1016/S0140-6736(89)91684-X]</w:t>
      </w:r>
    </w:p>
    <w:p w14:paraId="129FD5D7" w14:textId="019A4FAC"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194</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 xml:space="preserve">Desjardins A. </w:t>
      </w:r>
      <w:r w:rsidR="00C076F3" w:rsidRPr="001F1399">
        <w:rPr>
          <w:rFonts w:ascii="Book Antiqua" w:hAnsi="Book Antiqua"/>
          <w:bCs/>
          <w:sz w:val="24"/>
          <w:szCs w:val="24"/>
          <w:lang w:val="en-US"/>
        </w:rPr>
        <w:t xml:space="preserve">Mechanisms of actions of trichothecenes. In: Fusarium mycotoxins: Genetic chemistry and biology. </w:t>
      </w:r>
      <w:bookmarkStart w:id="12" w:name="OLE_LINK13"/>
      <w:bookmarkStart w:id="13" w:name="OLE_LINK14"/>
      <w:r w:rsidR="00C076F3" w:rsidRPr="001F1399">
        <w:rPr>
          <w:rFonts w:ascii="Book Antiqua" w:hAnsi="Book Antiqua"/>
          <w:bCs/>
          <w:sz w:val="24"/>
          <w:szCs w:val="24"/>
          <w:lang w:val="en-US"/>
        </w:rPr>
        <w:t>Saint Paul</w:t>
      </w:r>
      <w:r w:rsidR="002A022C" w:rsidRPr="001F1399">
        <w:rPr>
          <w:rFonts w:ascii="Book Antiqua" w:hAnsi="Book Antiqua"/>
          <w:bCs/>
          <w:sz w:val="24"/>
          <w:szCs w:val="24"/>
          <w:lang w:val="en-US"/>
        </w:rPr>
        <w:t>:</w:t>
      </w:r>
      <w:r w:rsidR="00C076F3" w:rsidRPr="001F1399">
        <w:rPr>
          <w:rFonts w:ascii="Book Antiqua" w:hAnsi="Book Antiqua"/>
          <w:bCs/>
          <w:sz w:val="24"/>
          <w:szCs w:val="24"/>
          <w:lang w:val="en-US"/>
        </w:rPr>
        <w:t xml:space="preserve"> </w:t>
      </w:r>
      <w:r w:rsidR="00C076F3" w:rsidRPr="001F1399">
        <w:rPr>
          <w:rFonts w:ascii="Book Antiqua" w:hAnsi="Book Antiqua"/>
          <w:sz w:val="24"/>
          <w:szCs w:val="24"/>
          <w:lang w:val="en-US"/>
        </w:rPr>
        <w:t>Minnesota</w:t>
      </w:r>
      <w:r w:rsidR="002A022C" w:rsidRPr="001F1399">
        <w:rPr>
          <w:rFonts w:ascii="Book Antiqua" w:hAnsi="Book Antiqua"/>
          <w:sz w:val="24"/>
          <w:szCs w:val="24"/>
          <w:lang w:val="en-US"/>
        </w:rPr>
        <w:t>,</w:t>
      </w:r>
      <w:r w:rsidR="00C076F3" w:rsidRPr="001F1399">
        <w:rPr>
          <w:rFonts w:ascii="Book Antiqua" w:hAnsi="Book Antiqua"/>
          <w:sz w:val="24"/>
          <w:szCs w:val="24"/>
          <w:lang w:val="en-US"/>
        </w:rPr>
        <w:t xml:space="preserve"> 2006</w:t>
      </w:r>
      <w:r w:rsidR="002A022C" w:rsidRPr="001F1399">
        <w:rPr>
          <w:rFonts w:ascii="Book Antiqua" w:hAnsi="Book Antiqua"/>
          <w:sz w:val="24"/>
          <w:szCs w:val="24"/>
          <w:lang w:val="en-US"/>
        </w:rPr>
        <w:t>:</w:t>
      </w:r>
      <w:r w:rsidR="00C076F3" w:rsidRPr="001F1399">
        <w:rPr>
          <w:rFonts w:ascii="Book Antiqua" w:hAnsi="Book Antiqua"/>
          <w:sz w:val="24"/>
          <w:szCs w:val="24"/>
          <w:lang w:val="en-US"/>
        </w:rPr>
        <w:t xml:space="preserve"> 53</w:t>
      </w:r>
      <w:r w:rsidR="002A022C" w:rsidRPr="001F1399">
        <w:rPr>
          <w:rFonts w:ascii="Book Antiqua" w:hAnsi="Book Antiqua"/>
          <w:sz w:val="24"/>
          <w:szCs w:val="24"/>
          <w:lang w:val="en-US"/>
        </w:rPr>
        <w:t>-5</w:t>
      </w:r>
      <w:r w:rsidR="00C076F3" w:rsidRPr="001F1399">
        <w:rPr>
          <w:rFonts w:ascii="Book Antiqua" w:hAnsi="Book Antiqua"/>
          <w:sz w:val="24"/>
          <w:szCs w:val="24"/>
          <w:lang w:val="en-US"/>
        </w:rPr>
        <w:t>4</w:t>
      </w:r>
      <w:bookmarkEnd w:id="12"/>
      <w:bookmarkEnd w:id="13"/>
    </w:p>
    <w:p w14:paraId="18DB5A98" w14:textId="12065646"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19</w:t>
      </w:r>
      <w:r w:rsidR="005E197E" w:rsidRPr="001F1399">
        <w:rPr>
          <w:rFonts w:ascii="Book Antiqua" w:hAnsi="Book Antiqua"/>
          <w:sz w:val="24"/>
          <w:szCs w:val="24"/>
          <w:lang w:val="en-US"/>
        </w:rPr>
        <w:t>5</w:t>
      </w:r>
      <w:r w:rsidRPr="001F1399">
        <w:rPr>
          <w:rFonts w:ascii="Book Antiqua" w:hAnsi="Book Antiqua"/>
          <w:sz w:val="24"/>
          <w:szCs w:val="24"/>
          <w:lang w:val="en-US"/>
        </w:rPr>
        <w:t xml:space="preserve"> </w:t>
      </w:r>
      <w:r w:rsidRPr="001F1399">
        <w:rPr>
          <w:rFonts w:ascii="Book Antiqua" w:hAnsi="Book Antiqua"/>
          <w:b/>
          <w:sz w:val="24"/>
          <w:szCs w:val="24"/>
          <w:lang w:val="en-US"/>
        </w:rPr>
        <w:t>Girgis GN</w:t>
      </w:r>
      <w:r w:rsidRPr="001F1399">
        <w:rPr>
          <w:rFonts w:ascii="Book Antiqua" w:hAnsi="Book Antiqua"/>
          <w:sz w:val="24"/>
          <w:szCs w:val="24"/>
          <w:lang w:val="en-US"/>
        </w:rPr>
        <w:t xml:space="preserve">, Barta JR, Brash M, Smith TK. Morphologic changes in the intestine of broiler breeder pullets fed diets naturally contaminated with Fusarium mycotoxins with or without coccidial challenge. </w:t>
      </w:r>
      <w:r w:rsidRPr="001F1399">
        <w:rPr>
          <w:rFonts w:ascii="Book Antiqua" w:hAnsi="Book Antiqua"/>
          <w:i/>
          <w:sz w:val="24"/>
          <w:szCs w:val="24"/>
          <w:lang w:val="en-US"/>
        </w:rPr>
        <w:t>Avian Dis</w:t>
      </w:r>
      <w:r w:rsidRPr="001F1399">
        <w:rPr>
          <w:rFonts w:ascii="Book Antiqua" w:hAnsi="Book Antiqua"/>
          <w:sz w:val="24"/>
          <w:szCs w:val="24"/>
          <w:lang w:val="en-US"/>
        </w:rPr>
        <w:t xml:space="preserve"> 2010; </w:t>
      </w:r>
      <w:r w:rsidRPr="001F1399">
        <w:rPr>
          <w:rFonts w:ascii="Book Antiqua" w:hAnsi="Book Antiqua"/>
          <w:b/>
          <w:sz w:val="24"/>
          <w:szCs w:val="24"/>
          <w:lang w:val="en-US"/>
        </w:rPr>
        <w:t>54</w:t>
      </w:r>
      <w:r w:rsidRPr="001F1399">
        <w:rPr>
          <w:rFonts w:ascii="Book Antiqua" w:hAnsi="Book Antiqua"/>
          <w:sz w:val="24"/>
          <w:szCs w:val="24"/>
          <w:lang w:val="en-US"/>
        </w:rPr>
        <w:t>: 67-73 [PMID: 20408401 DOI: 10.1637/8945-052809-Reg.1]</w:t>
      </w:r>
    </w:p>
    <w:p w14:paraId="322F499E" w14:textId="6533096C"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196</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Hendrickse RG</w:t>
      </w:r>
      <w:r w:rsidR="00C076F3" w:rsidRPr="001F1399">
        <w:rPr>
          <w:rFonts w:ascii="Book Antiqua" w:hAnsi="Book Antiqua"/>
          <w:sz w:val="24"/>
          <w:szCs w:val="24"/>
          <w:lang w:val="en-US"/>
        </w:rPr>
        <w:t xml:space="preserve">. Of sick turkeys, kwashiorkor, malaria, perinatal mortality, heroin addicts and food poisoning: research on the influence of aflatoxins on child health in the tropics. </w:t>
      </w:r>
      <w:r w:rsidR="00C076F3" w:rsidRPr="001F1399">
        <w:rPr>
          <w:rFonts w:ascii="Book Antiqua" w:hAnsi="Book Antiqua"/>
          <w:i/>
          <w:sz w:val="24"/>
          <w:szCs w:val="24"/>
          <w:lang w:val="en-US"/>
        </w:rPr>
        <w:t>Ann Trop Med Parasitol</w:t>
      </w:r>
      <w:r w:rsidR="00C076F3" w:rsidRPr="001F1399">
        <w:rPr>
          <w:rFonts w:ascii="Book Antiqua" w:hAnsi="Book Antiqua"/>
          <w:sz w:val="24"/>
          <w:szCs w:val="24"/>
          <w:lang w:val="en-US"/>
        </w:rPr>
        <w:t xml:space="preserve"> 1997; </w:t>
      </w:r>
      <w:r w:rsidR="00C076F3" w:rsidRPr="001F1399">
        <w:rPr>
          <w:rFonts w:ascii="Book Antiqua" w:hAnsi="Book Antiqua"/>
          <w:b/>
          <w:sz w:val="24"/>
          <w:szCs w:val="24"/>
          <w:lang w:val="en-US"/>
        </w:rPr>
        <w:t>91</w:t>
      </w:r>
      <w:r w:rsidR="00C076F3" w:rsidRPr="001F1399">
        <w:rPr>
          <w:rFonts w:ascii="Book Antiqua" w:hAnsi="Book Antiqua"/>
          <w:sz w:val="24"/>
          <w:szCs w:val="24"/>
          <w:lang w:val="en-US"/>
        </w:rPr>
        <w:t>: 787-793 [PMID: 9625935 DOI: 10.1080/02724939992293]</w:t>
      </w:r>
    </w:p>
    <w:p w14:paraId="5B28086A" w14:textId="6EFF58AA"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19</w:t>
      </w:r>
      <w:r w:rsidR="005E197E" w:rsidRPr="001F1399">
        <w:rPr>
          <w:rFonts w:ascii="Book Antiqua" w:hAnsi="Book Antiqua"/>
          <w:sz w:val="24"/>
          <w:szCs w:val="24"/>
          <w:lang w:val="en-US"/>
        </w:rPr>
        <w:t>7</w:t>
      </w:r>
      <w:r w:rsidRPr="001F1399">
        <w:rPr>
          <w:rFonts w:ascii="Book Antiqua" w:hAnsi="Book Antiqua"/>
          <w:sz w:val="24"/>
          <w:szCs w:val="24"/>
          <w:lang w:val="en-US"/>
        </w:rPr>
        <w:t xml:space="preserve"> </w:t>
      </w:r>
      <w:r w:rsidRPr="001F1399">
        <w:rPr>
          <w:rFonts w:ascii="Book Antiqua" w:hAnsi="Book Antiqua"/>
          <w:b/>
          <w:sz w:val="24"/>
          <w:szCs w:val="24"/>
          <w:lang w:val="en-US"/>
        </w:rPr>
        <w:t>Berg T,</w:t>
      </w:r>
      <w:r w:rsidRPr="001F1399">
        <w:rPr>
          <w:rFonts w:ascii="Book Antiqua" w:hAnsi="Book Antiqua"/>
          <w:sz w:val="24"/>
          <w:szCs w:val="24"/>
          <w:lang w:val="en-US"/>
        </w:rPr>
        <w:t xml:space="preserve"> Rasmussen G, Thorup I. Mycotoxins in Danish Foods. Danish</w:t>
      </w:r>
      <w:r w:rsidR="00353E91" w:rsidRPr="001F1399">
        <w:rPr>
          <w:rFonts w:ascii="Book Antiqua" w:hAnsi="Book Antiqua"/>
          <w:sz w:val="24"/>
          <w:szCs w:val="24"/>
          <w:lang w:val="en-US"/>
        </w:rPr>
        <w:t>,</w:t>
      </w:r>
      <w:r w:rsidRPr="001F1399">
        <w:rPr>
          <w:rFonts w:ascii="Book Antiqua" w:hAnsi="Book Antiqua"/>
          <w:sz w:val="24"/>
          <w:szCs w:val="24"/>
          <w:lang w:val="en-US"/>
        </w:rPr>
        <w:t xml:space="preserve"> Søborg: National Food Agency of Health</w:t>
      </w:r>
      <w:r w:rsidR="00E93A84" w:rsidRPr="001F1399">
        <w:rPr>
          <w:rFonts w:ascii="Book Antiqua" w:hAnsi="Book Antiqua"/>
          <w:sz w:val="24"/>
          <w:szCs w:val="24"/>
          <w:lang w:val="en-US"/>
        </w:rPr>
        <w:t>,</w:t>
      </w:r>
      <w:r w:rsidRPr="001F1399">
        <w:rPr>
          <w:rFonts w:ascii="Book Antiqua" w:hAnsi="Book Antiqua"/>
          <w:sz w:val="24"/>
          <w:szCs w:val="24"/>
          <w:lang w:val="en-US"/>
        </w:rPr>
        <w:t xml:space="preserve"> 1995</w:t>
      </w:r>
    </w:p>
    <w:p w14:paraId="29D7B86E" w14:textId="3573A164"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19</w:t>
      </w:r>
      <w:r w:rsidR="005E197E" w:rsidRPr="001F1399">
        <w:rPr>
          <w:rFonts w:ascii="Book Antiqua" w:hAnsi="Book Antiqua"/>
          <w:sz w:val="24"/>
          <w:szCs w:val="24"/>
          <w:lang w:val="en-US"/>
        </w:rPr>
        <w:t>8</w:t>
      </w:r>
      <w:r w:rsidRPr="001F1399">
        <w:rPr>
          <w:rFonts w:ascii="Book Antiqua" w:hAnsi="Book Antiqua"/>
          <w:sz w:val="24"/>
          <w:szCs w:val="24"/>
          <w:lang w:val="en-US"/>
        </w:rPr>
        <w:t xml:space="preserve"> </w:t>
      </w:r>
      <w:r w:rsidRPr="001F1399">
        <w:rPr>
          <w:rFonts w:ascii="Book Antiqua" w:hAnsi="Book Antiqua"/>
          <w:b/>
          <w:bCs/>
          <w:sz w:val="24"/>
          <w:szCs w:val="24"/>
          <w:lang w:val="en-US"/>
        </w:rPr>
        <w:t>FAO.</w:t>
      </w:r>
      <w:r w:rsidRPr="001F1399">
        <w:rPr>
          <w:rFonts w:ascii="Book Antiqua" w:hAnsi="Book Antiqua"/>
          <w:sz w:val="24"/>
          <w:szCs w:val="24"/>
          <w:lang w:val="en-US"/>
        </w:rPr>
        <w:t xml:space="preserve"> </w:t>
      </w:r>
      <w:bookmarkStart w:id="14" w:name="OLE_LINK15"/>
      <w:bookmarkStart w:id="15" w:name="OLE_LINK16"/>
      <w:r w:rsidRPr="001F1399">
        <w:rPr>
          <w:rFonts w:ascii="Book Antiqua" w:hAnsi="Book Antiqua"/>
          <w:sz w:val="24"/>
          <w:szCs w:val="24"/>
          <w:lang w:val="en-US"/>
        </w:rPr>
        <w:t>Safety evaluation of certain mycotoxins in food. In: (IPCS) IP on CS. Fifty-sixth meeting of the Joint FAO/WHO Expert Committee on Food Additives.</w:t>
      </w:r>
      <w:bookmarkEnd w:id="14"/>
      <w:bookmarkEnd w:id="15"/>
      <w:r w:rsidRPr="001F1399">
        <w:rPr>
          <w:rFonts w:ascii="Book Antiqua" w:hAnsi="Book Antiqua"/>
          <w:sz w:val="24"/>
          <w:szCs w:val="24"/>
          <w:lang w:val="en-US"/>
        </w:rPr>
        <w:t xml:space="preserve"> Geneva</w:t>
      </w:r>
      <w:r w:rsidR="00353E91" w:rsidRPr="001F1399">
        <w:rPr>
          <w:rFonts w:ascii="Book Antiqua" w:hAnsi="Book Antiqua"/>
          <w:sz w:val="24"/>
          <w:szCs w:val="24"/>
          <w:lang w:val="en-US"/>
        </w:rPr>
        <w:t>,</w:t>
      </w:r>
      <w:r w:rsidRPr="001F1399">
        <w:rPr>
          <w:rFonts w:ascii="Book Antiqua" w:hAnsi="Book Antiqua"/>
          <w:sz w:val="24"/>
          <w:szCs w:val="24"/>
          <w:lang w:val="en-US"/>
        </w:rPr>
        <w:t xml:space="preserve"> 2001</w:t>
      </w:r>
      <w:r w:rsidR="00353E91" w:rsidRPr="001F1399">
        <w:rPr>
          <w:rFonts w:ascii="Book Antiqua" w:hAnsi="Book Antiqua"/>
          <w:sz w:val="24"/>
          <w:szCs w:val="24"/>
          <w:lang w:val="en-US"/>
        </w:rPr>
        <w:t>:</w:t>
      </w:r>
      <w:r w:rsidRPr="001F1399">
        <w:rPr>
          <w:rFonts w:ascii="Book Antiqua" w:hAnsi="Book Antiqua"/>
          <w:sz w:val="24"/>
          <w:szCs w:val="24"/>
          <w:lang w:val="en-US"/>
        </w:rPr>
        <w:t xml:space="preserve"> 712</w:t>
      </w:r>
    </w:p>
    <w:p w14:paraId="53CB1958" w14:textId="3820891C"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199</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Mahfoud R</w:t>
      </w:r>
      <w:r w:rsidR="00C076F3" w:rsidRPr="001F1399">
        <w:rPr>
          <w:rFonts w:ascii="Book Antiqua" w:hAnsi="Book Antiqua"/>
          <w:sz w:val="24"/>
          <w:szCs w:val="24"/>
          <w:lang w:val="en-US"/>
        </w:rPr>
        <w:t xml:space="preserve">, Maresca M, Garmy N, Fantini J. The mycotoxin patulin alters the barrier function of the intestinal epithelium: mechanism of action of the toxin and protective effects of glutathione. </w:t>
      </w:r>
      <w:r w:rsidR="00C076F3" w:rsidRPr="001F1399">
        <w:rPr>
          <w:rFonts w:ascii="Book Antiqua" w:hAnsi="Book Antiqua"/>
          <w:i/>
          <w:sz w:val="24"/>
          <w:szCs w:val="24"/>
          <w:lang w:val="en-US"/>
        </w:rPr>
        <w:t>Toxicol Appl Pharmacol</w:t>
      </w:r>
      <w:r w:rsidR="00C076F3" w:rsidRPr="001F1399">
        <w:rPr>
          <w:rFonts w:ascii="Book Antiqua" w:hAnsi="Book Antiqua"/>
          <w:sz w:val="24"/>
          <w:szCs w:val="24"/>
          <w:lang w:val="en-US"/>
        </w:rPr>
        <w:t xml:space="preserve"> 2002; </w:t>
      </w:r>
      <w:r w:rsidR="00C076F3" w:rsidRPr="001F1399">
        <w:rPr>
          <w:rFonts w:ascii="Book Antiqua" w:hAnsi="Book Antiqua"/>
          <w:b/>
          <w:sz w:val="24"/>
          <w:szCs w:val="24"/>
          <w:lang w:val="en-US"/>
        </w:rPr>
        <w:t>181</w:t>
      </w:r>
      <w:r w:rsidR="00C076F3" w:rsidRPr="001F1399">
        <w:rPr>
          <w:rFonts w:ascii="Book Antiqua" w:hAnsi="Book Antiqua"/>
          <w:sz w:val="24"/>
          <w:szCs w:val="24"/>
          <w:lang w:val="en-US"/>
        </w:rPr>
        <w:t>: 209-218 [PMID: 12079430 DOI: 10.1006/taap.2002.9417]</w:t>
      </w:r>
    </w:p>
    <w:p w14:paraId="31982674" w14:textId="4452C1CC"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200</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Mohan HM</w:t>
      </w:r>
      <w:r w:rsidR="00C076F3" w:rsidRPr="001F1399">
        <w:rPr>
          <w:rFonts w:ascii="Book Antiqua" w:hAnsi="Book Antiqua"/>
          <w:sz w:val="24"/>
          <w:szCs w:val="24"/>
          <w:lang w:val="en-US"/>
        </w:rPr>
        <w:t xml:space="preserve">, Collins D, Maher S, Walsh EG, Winter DC, O'Brien PJ, Brayden DJ, Baird AW. The mycotoxin patulin increases colonic epithelial permeability in vitro. </w:t>
      </w:r>
      <w:r w:rsidR="00C076F3" w:rsidRPr="001F1399">
        <w:rPr>
          <w:rFonts w:ascii="Book Antiqua" w:hAnsi="Book Antiqua"/>
          <w:i/>
          <w:sz w:val="24"/>
          <w:szCs w:val="24"/>
          <w:lang w:val="en-US"/>
        </w:rPr>
        <w:t>Food Chem Toxicol</w:t>
      </w:r>
      <w:r w:rsidR="00C076F3" w:rsidRPr="001F1399">
        <w:rPr>
          <w:rFonts w:ascii="Book Antiqua" w:hAnsi="Book Antiqua"/>
          <w:sz w:val="24"/>
          <w:szCs w:val="24"/>
          <w:lang w:val="en-US"/>
        </w:rPr>
        <w:t xml:space="preserve"> 2012; </w:t>
      </w:r>
      <w:r w:rsidR="00C076F3" w:rsidRPr="001F1399">
        <w:rPr>
          <w:rFonts w:ascii="Book Antiqua" w:hAnsi="Book Antiqua"/>
          <w:b/>
          <w:sz w:val="24"/>
          <w:szCs w:val="24"/>
          <w:lang w:val="en-US"/>
        </w:rPr>
        <w:t>50</w:t>
      </w:r>
      <w:r w:rsidR="00C076F3" w:rsidRPr="001F1399">
        <w:rPr>
          <w:rFonts w:ascii="Book Antiqua" w:hAnsi="Book Antiqua"/>
          <w:sz w:val="24"/>
          <w:szCs w:val="24"/>
          <w:lang w:val="en-US"/>
        </w:rPr>
        <w:t>: 4097-4102 [PMID: 22906760 DOI: 10.1016/j.fct.2012.07.036]</w:t>
      </w:r>
    </w:p>
    <w:p w14:paraId="3507EFAE" w14:textId="2A15CF84"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201</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Marin S</w:t>
      </w:r>
      <w:r w:rsidR="00C076F3" w:rsidRPr="001F1399">
        <w:rPr>
          <w:rFonts w:ascii="Book Antiqua" w:hAnsi="Book Antiqua"/>
          <w:sz w:val="24"/>
          <w:szCs w:val="24"/>
          <w:lang w:val="en-US"/>
        </w:rPr>
        <w:t xml:space="preserve">, Ramos AJ, Cano-Sancho G, Sanchis V. Mycotoxins: occurrence, toxicology, and exposure assessment. </w:t>
      </w:r>
      <w:r w:rsidR="00C076F3" w:rsidRPr="001F1399">
        <w:rPr>
          <w:rFonts w:ascii="Book Antiqua" w:hAnsi="Book Antiqua"/>
          <w:i/>
          <w:sz w:val="24"/>
          <w:szCs w:val="24"/>
          <w:lang w:val="en-US"/>
        </w:rPr>
        <w:t>Food Chem Toxicol</w:t>
      </w:r>
      <w:r w:rsidR="00C076F3" w:rsidRPr="001F1399">
        <w:rPr>
          <w:rFonts w:ascii="Book Antiqua" w:hAnsi="Book Antiqua"/>
          <w:sz w:val="24"/>
          <w:szCs w:val="24"/>
          <w:lang w:val="en-US"/>
        </w:rPr>
        <w:t xml:space="preserve"> 2013; </w:t>
      </w:r>
      <w:r w:rsidR="00C076F3" w:rsidRPr="001F1399">
        <w:rPr>
          <w:rFonts w:ascii="Book Antiqua" w:hAnsi="Book Antiqua"/>
          <w:b/>
          <w:sz w:val="24"/>
          <w:szCs w:val="24"/>
          <w:lang w:val="en-US"/>
        </w:rPr>
        <w:t>60</w:t>
      </w:r>
      <w:r w:rsidR="00C076F3" w:rsidRPr="001F1399">
        <w:rPr>
          <w:rFonts w:ascii="Book Antiqua" w:hAnsi="Book Antiqua"/>
          <w:sz w:val="24"/>
          <w:szCs w:val="24"/>
          <w:lang w:val="en-US"/>
        </w:rPr>
        <w:t>: 218-237 [PMID: 23907020 DOI: 10.1016/j.fct.2013.07.047]</w:t>
      </w:r>
    </w:p>
    <w:p w14:paraId="0C82C141" w14:textId="63F54062"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20</w:t>
      </w:r>
      <w:r w:rsidR="005E197E" w:rsidRPr="001F1399">
        <w:rPr>
          <w:rFonts w:ascii="Book Antiqua" w:hAnsi="Book Antiqua"/>
          <w:sz w:val="24"/>
          <w:szCs w:val="24"/>
          <w:lang w:val="en-US"/>
        </w:rPr>
        <w:t>2</w:t>
      </w:r>
      <w:r w:rsidRPr="001F1399">
        <w:rPr>
          <w:rFonts w:ascii="Book Antiqua" w:hAnsi="Book Antiqua"/>
          <w:sz w:val="24"/>
          <w:szCs w:val="24"/>
          <w:lang w:val="en-US"/>
        </w:rPr>
        <w:t xml:space="preserve"> </w:t>
      </w:r>
      <w:r w:rsidRPr="001F1399">
        <w:rPr>
          <w:rFonts w:ascii="Book Antiqua" w:hAnsi="Book Antiqua"/>
          <w:b/>
          <w:sz w:val="24"/>
          <w:szCs w:val="24"/>
          <w:lang w:val="en-US"/>
        </w:rPr>
        <w:t>Kim S</w:t>
      </w:r>
      <w:r w:rsidRPr="001F1399">
        <w:rPr>
          <w:rFonts w:ascii="Book Antiqua" w:hAnsi="Book Antiqua"/>
          <w:sz w:val="24"/>
          <w:szCs w:val="24"/>
          <w:lang w:val="en-US"/>
        </w:rPr>
        <w:t xml:space="preserve">, Eom S, Kim HJ, Lee JJ, Choi G, Choi S, Kim S, Kim SY, Cho G, Kim YD, Suh E, Kim SK, Kim S, Kim GH, Moon HB, Park J, Kim S, Choi K, Eun SH. Association </w:t>
      </w:r>
      <w:r w:rsidRPr="001F1399">
        <w:rPr>
          <w:rFonts w:ascii="Book Antiqua" w:hAnsi="Book Antiqua"/>
          <w:sz w:val="24"/>
          <w:szCs w:val="24"/>
          <w:lang w:val="en-US"/>
        </w:rPr>
        <w:lastRenderedPageBreak/>
        <w:t xml:space="preserve">between maternal exposure to major phthalates, heavy metals, and persistent organic pollutants, and the neurodevelopmental performances of their children at 1 to 2years of age- CHECK cohort study. </w:t>
      </w:r>
      <w:r w:rsidRPr="001F1399">
        <w:rPr>
          <w:rFonts w:ascii="Book Antiqua" w:hAnsi="Book Antiqua"/>
          <w:i/>
          <w:sz w:val="24"/>
          <w:szCs w:val="24"/>
          <w:lang w:val="en-US"/>
        </w:rPr>
        <w:t>Sci Total Environ</w:t>
      </w:r>
      <w:r w:rsidRPr="001F1399">
        <w:rPr>
          <w:rFonts w:ascii="Book Antiqua" w:hAnsi="Book Antiqua"/>
          <w:sz w:val="24"/>
          <w:szCs w:val="24"/>
          <w:lang w:val="en-US"/>
        </w:rPr>
        <w:t xml:space="preserve"> 2018; </w:t>
      </w:r>
      <w:r w:rsidRPr="001F1399">
        <w:rPr>
          <w:rFonts w:ascii="Book Antiqua" w:hAnsi="Book Antiqua"/>
          <w:b/>
          <w:sz w:val="24"/>
          <w:szCs w:val="24"/>
          <w:lang w:val="en-US"/>
        </w:rPr>
        <w:t>624</w:t>
      </w:r>
      <w:r w:rsidRPr="001F1399">
        <w:rPr>
          <w:rFonts w:ascii="Book Antiqua" w:hAnsi="Book Antiqua"/>
          <w:sz w:val="24"/>
          <w:szCs w:val="24"/>
          <w:lang w:val="en-US"/>
        </w:rPr>
        <w:t>: 377-384 [PMID: 29258038 DOI: 10.1016/j.scitotenv.2017.12.058]</w:t>
      </w:r>
    </w:p>
    <w:p w14:paraId="0F3C8254" w14:textId="57017D30"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20</w:t>
      </w:r>
      <w:r w:rsidR="005E197E" w:rsidRPr="001F1399">
        <w:rPr>
          <w:rFonts w:ascii="Book Antiqua" w:hAnsi="Book Antiqua"/>
          <w:sz w:val="24"/>
          <w:szCs w:val="24"/>
          <w:lang w:val="en-US"/>
        </w:rPr>
        <w:t>3</w:t>
      </w:r>
      <w:r w:rsidRPr="001F1399">
        <w:rPr>
          <w:rFonts w:ascii="Book Antiqua" w:hAnsi="Book Antiqua"/>
          <w:sz w:val="24"/>
          <w:szCs w:val="24"/>
          <w:lang w:val="en-US"/>
        </w:rPr>
        <w:t xml:space="preserve"> </w:t>
      </w:r>
      <w:r w:rsidRPr="001F1399">
        <w:rPr>
          <w:rFonts w:ascii="Book Antiqua" w:hAnsi="Book Antiqua"/>
          <w:b/>
          <w:sz w:val="24"/>
          <w:szCs w:val="24"/>
          <w:lang w:val="en-US"/>
        </w:rPr>
        <w:t>Defois C</w:t>
      </w:r>
      <w:r w:rsidRPr="001F1399">
        <w:rPr>
          <w:rFonts w:ascii="Book Antiqua" w:hAnsi="Book Antiqua"/>
          <w:sz w:val="24"/>
          <w:szCs w:val="24"/>
          <w:lang w:val="en-US"/>
        </w:rPr>
        <w:t xml:space="preserve">, Ratel J, Garrait G, Denis S, Le Goff O, Talvas J, Mosoni P, Engel E, Peyret P. Food Chemicals Disrupt Human Gut Microbiota Activity And Impact Intestinal Homeostasis As Revealed By In Vitro Systems. </w:t>
      </w:r>
      <w:r w:rsidRPr="001F1399">
        <w:rPr>
          <w:rFonts w:ascii="Book Antiqua" w:hAnsi="Book Antiqua"/>
          <w:i/>
          <w:sz w:val="24"/>
          <w:szCs w:val="24"/>
          <w:lang w:val="en-US"/>
        </w:rPr>
        <w:t>Sci Rep</w:t>
      </w:r>
      <w:r w:rsidRPr="001F1399">
        <w:rPr>
          <w:rFonts w:ascii="Book Antiqua" w:hAnsi="Book Antiqua"/>
          <w:sz w:val="24"/>
          <w:szCs w:val="24"/>
          <w:lang w:val="en-US"/>
        </w:rPr>
        <w:t xml:space="preserve"> 2018; </w:t>
      </w:r>
      <w:r w:rsidRPr="001F1399">
        <w:rPr>
          <w:rFonts w:ascii="Book Antiqua" w:hAnsi="Book Antiqua"/>
          <w:b/>
          <w:sz w:val="24"/>
          <w:szCs w:val="24"/>
          <w:lang w:val="en-US"/>
        </w:rPr>
        <w:t>8</w:t>
      </w:r>
      <w:r w:rsidRPr="001F1399">
        <w:rPr>
          <w:rFonts w:ascii="Book Antiqua" w:hAnsi="Book Antiqua"/>
          <w:sz w:val="24"/>
          <w:szCs w:val="24"/>
          <w:lang w:val="en-US"/>
        </w:rPr>
        <w:t>: 11006 [PMID: 30030472 DOI: 10.1038/s41598-018-29376-9]</w:t>
      </w:r>
    </w:p>
    <w:p w14:paraId="1F608E55" w14:textId="4C9C0E43"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204</w:t>
      </w:r>
      <w:r w:rsidR="00C076F3" w:rsidRPr="001F1399">
        <w:rPr>
          <w:rFonts w:ascii="Book Antiqua" w:hAnsi="Book Antiqua"/>
          <w:sz w:val="24"/>
          <w:szCs w:val="24"/>
          <w:lang w:val="en-US"/>
        </w:rPr>
        <w:t xml:space="preserve"> </w:t>
      </w:r>
      <w:r w:rsidR="00E93A84" w:rsidRPr="001F1399">
        <w:rPr>
          <w:rFonts w:ascii="Book Antiqua" w:hAnsi="Book Antiqua"/>
          <w:b/>
          <w:sz w:val="24"/>
          <w:szCs w:val="24"/>
          <w:lang w:val="en-US"/>
        </w:rPr>
        <w:t xml:space="preserve">Gascon M, </w:t>
      </w:r>
      <w:r w:rsidR="00E93A84" w:rsidRPr="001F1399">
        <w:rPr>
          <w:rFonts w:ascii="Book Antiqua" w:hAnsi="Book Antiqua"/>
          <w:bCs/>
          <w:sz w:val="24"/>
          <w:szCs w:val="24"/>
          <w:lang w:val="en-US"/>
        </w:rPr>
        <w:t>Verner MA, Guxens M, Grimalt JO, Forns J, Ibarluzea J, Lertxundi N, Ballester F, Llop S, Haddad S, Sunyer J, Vrijheid M</w:t>
      </w:r>
      <w:r w:rsidR="00C076F3" w:rsidRPr="001F1399">
        <w:rPr>
          <w:rFonts w:ascii="Book Antiqua" w:hAnsi="Book Antiqua"/>
          <w:bCs/>
          <w:sz w:val="24"/>
          <w:szCs w:val="24"/>
          <w:lang w:val="en-US"/>
        </w:rPr>
        <w:t>.</w:t>
      </w:r>
      <w:r w:rsidR="00C076F3" w:rsidRPr="001F1399">
        <w:rPr>
          <w:rFonts w:ascii="Book Antiqua" w:hAnsi="Book Antiqua"/>
          <w:sz w:val="24"/>
          <w:szCs w:val="24"/>
          <w:lang w:val="en-US"/>
        </w:rPr>
        <w:t xml:space="preserve"> Evaluating the neurotoxic effects of lactational exposure to </w:t>
      </w:r>
      <w:r w:rsidRPr="001F1399">
        <w:rPr>
          <w:rFonts w:ascii="Book Antiqua" w:hAnsi="Book Antiqua"/>
          <w:sz w:val="24"/>
          <w:szCs w:val="24"/>
          <w:lang w:val="en-US"/>
        </w:rPr>
        <w:t>persistent organic pollutants (POPs</w:t>
      </w:r>
      <w:r w:rsidR="00C076F3" w:rsidRPr="001F1399">
        <w:rPr>
          <w:rFonts w:ascii="Book Antiqua" w:hAnsi="Book Antiqua"/>
          <w:sz w:val="24"/>
          <w:szCs w:val="24"/>
          <w:lang w:val="en-US"/>
        </w:rPr>
        <w:t>) in Spanish children</w:t>
      </w:r>
      <w:r w:rsidR="00E93A84" w:rsidRPr="001F1399">
        <w:rPr>
          <w:rFonts w:ascii="Book Antiqua" w:hAnsi="Book Antiqua"/>
          <w:sz w:val="24"/>
          <w:szCs w:val="24"/>
          <w:lang w:val="en-US"/>
        </w:rPr>
        <w:t xml:space="preserve">. </w:t>
      </w:r>
      <w:r w:rsidR="00E93A84" w:rsidRPr="001F1399">
        <w:rPr>
          <w:rFonts w:ascii="Book Antiqua" w:hAnsi="Book Antiqua"/>
          <w:i/>
          <w:iCs/>
          <w:sz w:val="24"/>
          <w:szCs w:val="24"/>
          <w:lang w:val="en-US"/>
        </w:rPr>
        <w:t>Neurotoxicology</w:t>
      </w:r>
      <w:r w:rsidR="00C076F3" w:rsidRPr="001F1399">
        <w:rPr>
          <w:rFonts w:ascii="Book Antiqua" w:hAnsi="Book Antiqua"/>
          <w:sz w:val="24"/>
          <w:szCs w:val="24"/>
          <w:lang w:val="en-US"/>
        </w:rPr>
        <w:t xml:space="preserve"> 2013; </w:t>
      </w:r>
      <w:r w:rsidR="00C076F3" w:rsidRPr="001F1399">
        <w:rPr>
          <w:rFonts w:ascii="Book Antiqua" w:hAnsi="Book Antiqua"/>
          <w:b/>
          <w:bCs/>
          <w:sz w:val="24"/>
          <w:szCs w:val="24"/>
          <w:lang w:val="en-US"/>
        </w:rPr>
        <w:t>34</w:t>
      </w:r>
      <w:r w:rsidR="00C076F3" w:rsidRPr="001F1399">
        <w:rPr>
          <w:rFonts w:ascii="Book Antiqua" w:hAnsi="Book Antiqua"/>
          <w:sz w:val="24"/>
          <w:szCs w:val="24"/>
          <w:lang w:val="en-US"/>
        </w:rPr>
        <w:t>:</w:t>
      </w:r>
      <w:r w:rsidR="00E93A84" w:rsidRPr="001F1399">
        <w:rPr>
          <w:rFonts w:ascii="Book Antiqua" w:hAnsi="Book Antiqua"/>
          <w:sz w:val="24"/>
          <w:szCs w:val="24"/>
          <w:lang w:val="en-US"/>
        </w:rPr>
        <w:t xml:space="preserve"> </w:t>
      </w:r>
      <w:r w:rsidR="00C076F3" w:rsidRPr="001F1399">
        <w:rPr>
          <w:rFonts w:ascii="Book Antiqua" w:hAnsi="Book Antiqua"/>
          <w:sz w:val="24"/>
          <w:szCs w:val="24"/>
          <w:lang w:val="en-US"/>
        </w:rPr>
        <w:t>9</w:t>
      </w:r>
      <w:r w:rsidR="00E93A84" w:rsidRPr="001F1399">
        <w:rPr>
          <w:rFonts w:ascii="Book Antiqua" w:hAnsi="Book Antiqua"/>
          <w:sz w:val="24"/>
          <w:szCs w:val="24"/>
          <w:lang w:val="en-US"/>
        </w:rPr>
        <w:t>-</w:t>
      </w:r>
      <w:r w:rsidR="00C076F3" w:rsidRPr="001F1399">
        <w:rPr>
          <w:rFonts w:ascii="Book Antiqua" w:hAnsi="Book Antiqua"/>
          <w:sz w:val="24"/>
          <w:szCs w:val="24"/>
          <w:lang w:val="en-US"/>
        </w:rPr>
        <w:t>15</w:t>
      </w:r>
      <w:r w:rsidR="00E93A84" w:rsidRPr="001F1399">
        <w:rPr>
          <w:rFonts w:ascii="Book Antiqua" w:hAnsi="Book Antiqua"/>
          <w:sz w:val="24"/>
          <w:szCs w:val="24"/>
          <w:lang w:val="en-US"/>
        </w:rPr>
        <w:t xml:space="preserve"> [PMID: 23085522 DOI: 10.1016/j.neuro.2012.10.006]</w:t>
      </w:r>
    </w:p>
    <w:p w14:paraId="56412719" w14:textId="0495060C"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20</w:t>
      </w:r>
      <w:r w:rsidR="005E197E" w:rsidRPr="001F1399">
        <w:rPr>
          <w:rFonts w:ascii="Book Antiqua" w:hAnsi="Book Antiqua"/>
          <w:sz w:val="24"/>
          <w:szCs w:val="24"/>
          <w:lang w:val="en-US"/>
        </w:rPr>
        <w:t>5</w:t>
      </w:r>
      <w:r w:rsidRPr="001F1399">
        <w:rPr>
          <w:rFonts w:ascii="Book Antiqua" w:hAnsi="Book Antiqua"/>
          <w:sz w:val="24"/>
          <w:szCs w:val="24"/>
          <w:lang w:val="en-US"/>
        </w:rPr>
        <w:t xml:space="preserve"> </w:t>
      </w:r>
      <w:r w:rsidRPr="001F1399">
        <w:rPr>
          <w:rFonts w:ascii="Book Antiqua" w:hAnsi="Book Antiqua"/>
          <w:b/>
          <w:sz w:val="24"/>
          <w:szCs w:val="24"/>
          <w:lang w:val="en-US"/>
        </w:rPr>
        <w:t>Claus SP</w:t>
      </w:r>
      <w:r w:rsidRPr="001F1399">
        <w:rPr>
          <w:rFonts w:ascii="Book Antiqua" w:hAnsi="Book Antiqua"/>
          <w:sz w:val="24"/>
          <w:szCs w:val="24"/>
          <w:lang w:val="en-US"/>
        </w:rPr>
        <w:t xml:space="preserve">, Guillou H, Ellero-Simatos S. Erratum: The gut microbiota: a major player in the toxicity of environmental pollutants? </w:t>
      </w:r>
      <w:r w:rsidRPr="001F1399">
        <w:rPr>
          <w:rFonts w:ascii="Book Antiqua" w:hAnsi="Book Antiqua"/>
          <w:i/>
          <w:sz w:val="24"/>
          <w:szCs w:val="24"/>
          <w:lang w:val="en-US"/>
        </w:rPr>
        <w:t>NPJ Biofilms Microbiomes</w:t>
      </w:r>
      <w:r w:rsidRPr="001F1399">
        <w:rPr>
          <w:rFonts w:ascii="Book Antiqua" w:hAnsi="Book Antiqua"/>
          <w:sz w:val="24"/>
          <w:szCs w:val="24"/>
          <w:lang w:val="en-US"/>
        </w:rPr>
        <w:t xml:space="preserve"> 2017; </w:t>
      </w:r>
      <w:r w:rsidRPr="001F1399">
        <w:rPr>
          <w:rFonts w:ascii="Book Antiqua" w:hAnsi="Book Antiqua"/>
          <w:b/>
          <w:sz w:val="24"/>
          <w:szCs w:val="24"/>
          <w:lang w:val="en-US"/>
        </w:rPr>
        <w:t>3</w:t>
      </w:r>
      <w:r w:rsidRPr="001F1399">
        <w:rPr>
          <w:rFonts w:ascii="Book Antiqua" w:hAnsi="Book Antiqua"/>
          <w:sz w:val="24"/>
          <w:szCs w:val="24"/>
          <w:lang w:val="en-US"/>
        </w:rPr>
        <w:t>: 17001 [PMID: 28726854 DOI: 10.1038/npjbiofilms.2017.1]</w:t>
      </w:r>
    </w:p>
    <w:p w14:paraId="1C85CA38" w14:textId="2CA41478"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206</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Van de Wiele T</w:t>
      </w:r>
      <w:r w:rsidR="00C076F3" w:rsidRPr="001F1399">
        <w:rPr>
          <w:rFonts w:ascii="Book Antiqua" w:hAnsi="Book Antiqua"/>
          <w:sz w:val="24"/>
          <w:szCs w:val="24"/>
          <w:lang w:val="en-US"/>
        </w:rPr>
        <w:t xml:space="preserve">, Vanhaecke L, Boeckaert C, Peru K, Headley J, Verstraete W, Siciliano S. Human colon microbiota transform polycyclic aromatic hydrocarbons to estrogenic metabolites. </w:t>
      </w:r>
      <w:r w:rsidR="00C076F3" w:rsidRPr="001F1399">
        <w:rPr>
          <w:rFonts w:ascii="Book Antiqua" w:hAnsi="Book Antiqua"/>
          <w:i/>
          <w:sz w:val="24"/>
          <w:szCs w:val="24"/>
          <w:lang w:val="en-US"/>
        </w:rPr>
        <w:t>Environ Health Perspect</w:t>
      </w:r>
      <w:r w:rsidR="00C076F3" w:rsidRPr="001F1399">
        <w:rPr>
          <w:rFonts w:ascii="Book Antiqua" w:hAnsi="Book Antiqua"/>
          <w:sz w:val="24"/>
          <w:szCs w:val="24"/>
          <w:lang w:val="en-US"/>
        </w:rPr>
        <w:t xml:space="preserve"> 2005; </w:t>
      </w:r>
      <w:r w:rsidR="00C076F3" w:rsidRPr="001F1399">
        <w:rPr>
          <w:rFonts w:ascii="Book Antiqua" w:hAnsi="Book Antiqua"/>
          <w:b/>
          <w:sz w:val="24"/>
          <w:szCs w:val="24"/>
          <w:lang w:val="en-US"/>
        </w:rPr>
        <w:t>113</w:t>
      </w:r>
      <w:r w:rsidR="00C076F3" w:rsidRPr="001F1399">
        <w:rPr>
          <w:rFonts w:ascii="Book Antiqua" w:hAnsi="Book Antiqua"/>
          <w:sz w:val="24"/>
          <w:szCs w:val="24"/>
          <w:lang w:val="en-US"/>
        </w:rPr>
        <w:t>: 6-10 [PMID: 15626640 DOI: 10.1289/ehp.7259]</w:t>
      </w:r>
    </w:p>
    <w:p w14:paraId="53AB7B8B" w14:textId="24588B11"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207</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Ku HY</w:t>
      </w:r>
      <w:r w:rsidR="00C076F3" w:rsidRPr="001F1399">
        <w:rPr>
          <w:rFonts w:ascii="Book Antiqua" w:hAnsi="Book Antiqua"/>
          <w:sz w:val="24"/>
          <w:szCs w:val="24"/>
          <w:lang w:val="en-US"/>
        </w:rPr>
        <w:t xml:space="preserve">, Tsai TL, Wang PL, Su PH, Sun CW, Wang CJ, Wang SL. Prenatal and childhood phthalate exposure and attention deficit hyperactivity disorder traits in child temperament: A 12-year follow-up birth cohort study. </w:t>
      </w:r>
      <w:r w:rsidR="00C076F3" w:rsidRPr="001F1399">
        <w:rPr>
          <w:rFonts w:ascii="Book Antiqua" w:hAnsi="Book Antiqua"/>
          <w:i/>
          <w:sz w:val="24"/>
          <w:szCs w:val="24"/>
          <w:lang w:val="en-US"/>
        </w:rPr>
        <w:t>Sci Total Environ</w:t>
      </w:r>
      <w:r w:rsidR="00C076F3" w:rsidRPr="001F1399">
        <w:rPr>
          <w:rFonts w:ascii="Book Antiqua" w:hAnsi="Book Antiqua"/>
          <w:sz w:val="24"/>
          <w:szCs w:val="24"/>
          <w:lang w:val="en-US"/>
        </w:rPr>
        <w:t xml:space="preserve"> 2020; </w:t>
      </w:r>
      <w:r w:rsidR="00C076F3" w:rsidRPr="001F1399">
        <w:rPr>
          <w:rFonts w:ascii="Book Antiqua" w:hAnsi="Book Antiqua"/>
          <w:b/>
          <w:sz w:val="24"/>
          <w:szCs w:val="24"/>
          <w:lang w:val="en-US"/>
        </w:rPr>
        <w:t>699</w:t>
      </w:r>
      <w:r w:rsidR="00C076F3" w:rsidRPr="001F1399">
        <w:rPr>
          <w:rFonts w:ascii="Book Antiqua" w:hAnsi="Book Antiqua"/>
          <w:sz w:val="24"/>
          <w:szCs w:val="24"/>
          <w:lang w:val="en-US"/>
        </w:rPr>
        <w:t>: 134053 [PMID: 31678884 DOI: 10.1016/j.scitotenv.2019.134053]</w:t>
      </w:r>
    </w:p>
    <w:p w14:paraId="74AF5BFC" w14:textId="543E6F86"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20</w:t>
      </w:r>
      <w:r w:rsidR="005E197E" w:rsidRPr="001F1399">
        <w:rPr>
          <w:rFonts w:ascii="Book Antiqua" w:hAnsi="Book Antiqua"/>
          <w:sz w:val="24"/>
          <w:szCs w:val="24"/>
          <w:lang w:val="en-US"/>
        </w:rPr>
        <w:t>8</w:t>
      </w:r>
      <w:r w:rsidRPr="001F1399">
        <w:rPr>
          <w:rFonts w:ascii="Book Antiqua" w:hAnsi="Book Antiqua"/>
          <w:sz w:val="24"/>
          <w:szCs w:val="24"/>
          <w:lang w:val="en-US"/>
        </w:rPr>
        <w:t xml:space="preserve"> </w:t>
      </w:r>
      <w:r w:rsidRPr="001F1399">
        <w:rPr>
          <w:rFonts w:ascii="Book Antiqua" w:hAnsi="Book Antiqua"/>
          <w:b/>
          <w:sz w:val="24"/>
          <w:szCs w:val="24"/>
          <w:lang w:val="en-US"/>
        </w:rPr>
        <w:t>Zhang L</w:t>
      </w:r>
      <w:r w:rsidRPr="001F1399">
        <w:rPr>
          <w:rFonts w:ascii="Book Antiqua" w:hAnsi="Book Antiqua"/>
          <w:sz w:val="24"/>
          <w:szCs w:val="24"/>
          <w:lang w:val="en-US"/>
        </w:rPr>
        <w:t xml:space="preserve">, Nichols RG, Correll J, Murray IA, Tanaka N, Smith PB, Hubbard TD, Sebastian A, Albert I, Hatzakis E, Gonzalez FJ, Perdew GH, Patterson AD. Persistent Organic Pollutants Modify Gut Microbiota-Host Metabolic Homeostasis in Mice Through Aryl Hydrocarbon Receptor Activation. </w:t>
      </w:r>
      <w:r w:rsidRPr="001F1399">
        <w:rPr>
          <w:rFonts w:ascii="Book Antiqua" w:hAnsi="Book Antiqua"/>
          <w:i/>
          <w:sz w:val="24"/>
          <w:szCs w:val="24"/>
          <w:lang w:val="en-US"/>
        </w:rPr>
        <w:t>Environ Health Perspect</w:t>
      </w:r>
      <w:r w:rsidRPr="001F1399">
        <w:rPr>
          <w:rFonts w:ascii="Book Antiqua" w:hAnsi="Book Antiqua"/>
          <w:sz w:val="24"/>
          <w:szCs w:val="24"/>
          <w:lang w:val="en-US"/>
        </w:rPr>
        <w:t xml:space="preserve"> 2015; </w:t>
      </w:r>
      <w:r w:rsidRPr="001F1399">
        <w:rPr>
          <w:rFonts w:ascii="Book Antiqua" w:hAnsi="Book Antiqua"/>
          <w:b/>
          <w:sz w:val="24"/>
          <w:szCs w:val="24"/>
          <w:lang w:val="en-US"/>
        </w:rPr>
        <w:t>123</w:t>
      </w:r>
      <w:r w:rsidRPr="001F1399">
        <w:rPr>
          <w:rFonts w:ascii="Book Antiqua" w:hAnsi="Book Antiqua"/>
          <w:sz w:val="24"/>
          <w:szCs w:val="24"/>
          <w:lang w:val="en-US"/>
        </w:rPr>
        <w:t>: 679-688 [PMID: 25768209 DOI: 10.1289/ehp.1409055]</w:t>
      </w:r>
    </w:p>
    <w:p w14:paraId="0668C03F" w14:textId="67F8D643"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209</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Wang IJ</w:t>
      </w:r>
      <w:r w:rsidR="00C076F3" w:rsidRPr="001F1399">
        <w:rPr>
          <w:rFonts w:ascii="Book Antiqua" w:hAnsi="Book Antiqua"/>
          <w:sz w:val="24"/>
          <w:szCs w:val="24"/>
          <w:lang w:val="en-US"/>
        </w:rPr>
        <w:t xml:space="preserve">, Karmaus WJ, Chen SL, Holloway JW, Ewart S. Effects of phthalate exposure on asthma may be mediated through alterations in DNA methylation. </w:t>
      </w:r>
      <w:r w:rsidR="00C076F3" w:rsidRPr="001F1399">
        <w:rPr>
          <w:rFonts w:ascii="Book Antiqua" w:hAnsi="Book Antiqua"/>
          <w:i/>
          <w:sz w:val="24"/>
          <w:szCs w:val="24"/>
          <w:lang w:val="en-US"/>
        </w:rPr>
        <w:t>Clin Epigenetics</w:t>
      </w:r>
      <w:r w:rsidR="00C076F3" w:rsidRPr="001F1399">
        <w:rPr>
          <w:rFonts w:ascii="Book Antiqua" w:hAnsi="Book Antiqua"/>
          <w:sz w:val="24"/>
          <w:szCs w:val="24"/>
          <w:lang w:val="en-US"/>
        </w:rPr>
        <w:t xml:space="preserve"> 2015; </w:t>
      </w:r>
      <w:r w:rsidR="00C076F3" w:rsidRPr="001F1399">
        <w:rPr>
          <w:rFonts w:ascii="Book Antiqua" w:hAnsi="Book Antiqua"/>
          <w:b/>
          <w:sz w:val="24"/>
          <w:szCs w:val="24"/>
          <w:lang w:val="en-US"/>
        </w:rPr>
        <w:t>7</w:t>
      </w:r>
      <w:r w:rsidR="00C076F3" w:rsidRPr="001F1399">
        <w:rPr>
          <w:rFonts w:ascii="Book Antiqua" w:hAnsi="Book Antiqua"/>
          <w:sz w:val="24"/>
          <w:szCs w:val="24"/>
          <w:lang w:val="en-US"/>
        </w:rPr>
        <w:t>: 27 [PMID: 25960783 DOI: 10.1186/s13148-015-0060-x]</w:t>
      </w:r>
    </w:p>
    <w:p w14:paraId="7BA3E15D" w14:textId="5CF0757B"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lastRenderedPageBreak/>
        <w:t>210</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Vrijheid M</w:t>
      </w:r>
      <w:r w:rsidR="00C076F3" w:rsidRPr="001F1399">
        <w:rPr>
          <w:rFonts w:ascii="Book Antiqua" w:hAnsi="Book Antiqua"/>
          <w:sz w:val="24"/>
          <w:szCs w:val="24"/>
          <w:lang w:val="en-US"/>
        </w:rPr>
        <w:t xml:space="preserve">, Casas M, Gascon M, Valvi D, Nieuwenhuijsen M. Environmental pollutants and child health-A review of recent concerns. </w:t>
      </w:r>
      <w:r w:rsidR="00C076F3" w:rsidRPr="001F1399">
        <w:rPr>
          <w:rFonts w:ascii="Book Antiqua" w:hAnsi="Book Antiqua"/>
          <w:i/>
          <w:sz w:val="24"/>
          <w:szCs w:val="24"/>
          <w:lang w:val="en-US"/>
        </w:rPr>
        <w:t>Int J Hyg Environ Health</w:t>
      </w:r>
      <w:r w:rsidR="00C076F3" w:rsidRPr="001F1399">
        <w:rPr>
          <w:rFonts w:ascii="Book Antiqua" w:hAnsi="Book Antiqua"/>
          <w:sz w:val="24"/>
          <w:szCs w:val="24"/>
          <w:lang w:val="en-US"/>
        </w:rPr>
        <w:t xml:space="preserve"> 2016; </w:t>
      </w:r>
      <w:r w:rsidR="00C076F3" w:rsidRPr="001F1399">
        <w:rPr>
          <w:rFonts w:ascii="Book Antiqua" w:hAnsi="Book Antiqua"/>
          <w:b/>
          <w:sz w:val="24"/>
          <w:szCs w:val="24"/>
          <w:lang w:val="en-US"/>
        </w:rPr>
        <w:t>219</w:t>
      </w:r>
      <w:r w:rsidR="00C076F3" w:rsidRPr="001F1399">
        <w:rPr>
          <w:rFonts w:ascii="Book Antiqua" w:hAnsi="Book Antiqua"/>
          <w:sz w:val="24"/>
          <w:szCs w:val="24"/>
          <w:lang w:val="en-US"/>
        </w:rPr>
        <w:t>: 331-342 [PMID: 27216159 DOI: 10.1016/j.ijheh.2016.05.001]</w:t>
      </w:r>
    </w:p>
    <w:p w14:paraId="59099AA1" w14:textId="680F80AC"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211</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Karatela S</w:t>
      </w:r>
      <w:r w:rsidR="00C076F3" w:rsidRPr="001F1399">
        <w:rPr>
          <w:rFonts w:ascii="Book Antiqua" w:hAnsi="Book Antiqua"/>
          <w:sz w:val="24"/>
          <w:szCs w:val="24"/>
          <w:lang w:val="en-US"/>
        </w:rPr>
        <w:t xml:space="preserve">, Paterson J, Ward NI. Domain specific effects of postnatal toenail methylmercury exposure on child behaviour. </w:t>
      </w:r>
      <w:r w:rsidR="00C076F3" w:rsidRPr="001F1399">
        <w:rPr>
          <w:rFonts w:ascii="Book Antiqua" w:hAnsi="Book Antiqua"/>
          <w:i/>
          <w:sz w:val="24"/>
          <w:szCs w:val="24"/>
          <w:lang w:val="en-US"/>
        </w:rPr>
        <w:t>J Trace Elem Med Biol</w:t>
      </w:r>
      <w:r w:rsidR="00C076F3" w:rsidRPr="001F1399">
        <w:rPr>
          <w:rFonts w:ascii="Book Antiqua" w:hAnsi="Book Antiqua"/>
          <w:sz w:val="24"/>
          <w:szCs w:val="24"/>
          <w:lang w:val="en-US"/>
        </w:rPr>
        <w:t xml:space="preserve"> 2017; </w:t>
      </w:r>
      <w:r w:rsidR="00C076F3" w:rsidRPr="001F1399">
        <w:rPr>
          <w:rFonts w:ascii="Book Antiqua" w:hAnsi="Book Antiqua"/>
          <w:b/>
          <w:sz w:val="24"/>
          <w:szCs w:val="24"/>
          <w:lang w:val="en-US"/>
        </w:rPr>
        <w:t>41</w:t>
      </w:r>
      <w:r w:rsidR="00C076F3" w:rsidRPr="001F1399">
        <w:rPr>
          <w:rFonts w:ascii="Book Antiqua" w:hAnsi="Book Antiqua"/>
          <w:sz w:val="24"/>
          <w:szCs w:val="24"/>
          <w:lang w:val="en-US"/>
        </w:rPr>
        <w:t>: 10-15 [PMID: 28347455 DOI: 10.1016/j.jtemb.2017.01.003]</w:t>
      </w:r>
    </w:p>
    <w:p w14:paraId="607DF76A" w14:textId="5CA63E21"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212</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Hamadani JD</w:t>
      </w:r>
      <w:r w:rsidR="00C076F3" w:rsidRPr="001F1399">
        <w:rPr>
          <w:rFonts w:ascii="Book Antiqua" w:hAnsi="Book Antiqua"/>
          <w:sz w:val="24"/>
          <w:szCs w:val="24"/>
          <w:lang w:val="en-US"/>
        </w:rPr>
        <w:t xml:space="preserve">, Tofail F, Nermell B, Gardner R, Shiraji S, Bottai M, Arifeen SE, Huda SN, Vahter M. Critical windows of exposure for arsenic-associated impairment of cognitive function in pre-school girls and boys: a population-based cohort study. </w:t>
      </w:r>
      <w:r w:rsidR="00C076F3" w:rsidRPr="001F1399">
        <w:rPr>
          <w:rFonts w:ascii="Book Antiqua" w:hAnsi="Book Antiqua"/>
          <w:i/>
          <w:sz w:val="24"/>
          <w:szCs w:val="24"/>
          <w:lang w:val="en-US"/>
        </w:rPr>
        <w:t>Int J Epidemiol</w:t>
      </w:r>
      <w:r w:rsidR="00C076F3" w:rsidRPr="001F1399">
        <w:rPr>
          <w:rFonts w:ascii="Book Antiqua" w:hAnsi="Book Antiqua"/>
          <w:sz w:val="24"/>
          <w:szCs w:val="24"/>
          <w:lang w:val="en-US"/>
        </w:rPr>
        <w:t xml:space="preserve"> 2011; </w:t>
      </w:r>
      <w:r w:rsidR="00C076F3" w:rsidRPr="001F1399">
        <w:rPr>
          <w:rFonts w:ascii="Book Antiqua" w:hAnsi="Book Antiqua"/>
          <w:b/>
          <w:sz w:val="24"/>
          <w:szCs w:val="24"/>
          <w:lang w:val="en-US"/>
        </w:rPr>
        <w:t>40</w:t>
      </w:r>
      <w:r w:rsidR="00C076F3" w:rsidRPr="001F1399">
        <w:rPr>
          <w:rFonts w:ascii="Book Antiqua" w:hAnsi="Book Antiqua"/>
          <w:sz w:val="24"/>
          <w:szCs w:val="24"/>
          <w:lang w:val="en-US"/>
        </w:rPr>
        <w:t>: 1593-1604 [PMID: 22158669 DOI: 10.1093/ije/dyr176]</w:t>
      </w:r>
    </w:p>
    <w:p w14:paraId="5B89910C" w14:textId="53062D2F"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213</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Pinyayev TS</w:t>
      </w:r>
      <w:r w:rsidR="00C076F3" w:rsidRPr="001F1399">
        <w:rPr>
          <w:rFonts w:ascii="Book Antiqua" w:hAnsi="Book Antiqua"/>
          <w:sz w:val="24"/>
          <w:szCs w:val="24"/>
          <w:lang w:val="en-US"/>
        </w:rPr>
        <w:t xml:space="preserve">, Kohan MJ, Herbin-Davis K, Creed JT, Thomas DJ. Preabsorptive metabolism of sodium arsenate by anaerobic microbiota of mouse cecum forms a variety of methylated and thiolated arsenicals. </w:t>
      </w:r>
      <w:r w:rsidR="00C076F3" w:rsidRPr="001F1399">
        <w:rPr>
          <w:rFonts w:ascii="Book Antiqua" w:hAnsi="Book Antiqua"/>
          <w:i/>
          <w:sz w:val="24"/>
          <w:szCs w:val="24"/>
          <w:lang w:val="en-US"/>
        </w:rPr>
        <w:t>Chem Res Toxicol</w:t>
      </w:r>
      <w:r w:rsidR="00C076F3" w:rsidRPr="001F1399">
        <w:rPr>
          <w:rFonts w:ascii="Book Antiqua" w:hAnsi="Book Antiqua"/>
          <w:sz w:val="24"/>
          <w:szCs w:val="24"/>
          <w:lang w:val="en-US"/>
        </w:rPr>
        <w:t xml:space="preserve"> 2011; </w:t>
      </w:r>
      <w:r w:rsidR="00C076F3" w:rsidRPr="001F1399">
        <w:rPr>
          <w:rFonts w:ascii="Book Antiqua" w:hAnsi="Book Antiqua"/>
          <w:b/>
          <w:sz w:val="24"/>
          <w:szCs w:val="24"/>
          <w:lang w:val="en-US"/>
        </w:rPr>
        <w:t>24</w:t>
      </w:r>
      <w:r w:rsidR="00C076F3" w:rsidRPr="001F1399">
        <w:rPr>
          <w:rFonts w:ascii="Book Antiqua" w:hAnsi="Book Antiqua"/>
          <w:sz w:val="24"/>
          <w:szCs w:val="24"/>
          <w:lang w:val="en-US"/>
        </w:rPr>
        <w:t>: 475-477 [PMID: 21388151 DOI: 10.1021/tx200040w]</w:t>
      </w:r>
    </w:p>
    <w:p w14:paraId="478E56A5" w14:textId="3908F806"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214</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Tolins M</w:t>
      </w:r>
      <w:r w:rsidR="00C076F3" w:rsidRPr="001F1399">
        <w:rPr>
          <w:rFonts w:ascii="Book Antiqua" w:hAnsi="Book Antiqua"/>
          <w:sz w:val="24"/>
          <w:szCs w:val="24"/>
          <w:lang w:val="en-US"/>
        </w:rPr>
        <w:t xml:space="preserve">, Ruchirawat M, Landrigan P. The developmental neurotoxicity of arsenic: cognitive and behavioral consequences of early life exposure. </w:t>
      </w:r>
      <w:r w:rsidR="00C076F3" w:rsidRPr="001F1399">
        <w:rPr>
          <w:rFonts w:ascii="Book Antiqua" w:hAnsi="Book Antiqua"/>
          <w:i/>
          <w:sz w:val="24"/>
          <w:szCs w:val="24"/>
          <w:lang w:val="en-US"/>
        </w:rPr>
        <w:t>Ann Glob Health</w:t>
      </w:r>
      <w:r w:rsidR="00C076F3" w:rsidRPr="001F1399">
        <w:rPr>
          <w:rFonts w:ascii="Book Antiqua" w:hAnsi="Book Antiqua"/>
          <w:sz w:val="24"/>
          <w:szCs w:val="24"/>
          <w:lang w:val="en-US"/>
        </w:rPr>
        <w:t xml:space="preserve"> 2014; </w:t>
      </w:r>
      <w:r w:rsidR="00C076F3" w:rsidRPr="001F1399">
        <w:rPr>
          <w:rFonts w:ascii="Book Antiqua" w:hAnsi="Book Antiqua"/>
          <w:b/>
          <w:sz w:val="24"/>
          <w:szCs w:val="24"/>
          <w:lang w:val="en-US"/>
        </w:rPr>
        <w:t>80</w:t>
      </w:r>
      <w:r w:rsidR="00C076F3" w:rsidRPr="001F1399">
        <w:rPr>
          <w:rFonts w:ascii="Book Antiqua" w:hAnsi="Book Antiqua"/>
          <w:sz w:val="24"/>
          <w:szCs w:val="24"/>
          <w:lang w:val="en-US"/>
        </w:rPr>
        <w:t>: 303-314 [PMID: 25459332 DOI: 10.1016/j.aogh.2014.09.005]</w:t>
      </w:r>
    </w:p>
    <w:p w14:paraId="3A9ED740" w14:textId="66BADFFD"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215</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Finot PA</w:t>
      </w:r>
      <w:r w:rsidR="00C076F3" w:rsidRPr="001F1399">
        <w:rPr>
          <w:rFonts w:ascii="Book Antiqua" w:hAnsi="Book Antiqua"/>
          <w:sz w:val="24"/>
          <w:szCs w:val="24"/>
          <w:lang w:val="en-US"/>
        </w:rPr>
        <w:t xml:space="preserve">. Historical perspective of the Maillard reaction in food science. </w:t>
      </w:r>
      <w:r w:rsidR="00C076F3" w:rsidRPr="001F1399">
        <w:rPr>
          <w:rFonts w:ascii="Book Antiqua" w:hAnsi="Book Antiqua"/>
          <w:i/>
          <w:sz w:val="24"/>
          <w:szCs w:val="24"/>
          <w:lang w:val="en-US"/>
        </w:rPr>
        <w:t>Ann N Y Acad Sci</w:t>
      </w:r>
      <w:r w:rsidR="00C076F3" w:rsidRPr="001F1399">
        <w:rPr>
          <w:rFonts w:ascii="Book Antiqua" w:hAnsi="Book Antiqua"/>
          <w:sz w:val="24"/>
          <w:szCs w:val="24"/>
          <w:lang w:val="en-US"/>
        </w:rPr>
        <w:t xml:space="preserve"> 2005; </w:t>
      </w:r>
      <w:r w:rsidR="00C076F3" w:rsidRPr="001F1399">
        <w:rPr>
          <w:rFonts w:ascii="Book Antiqua" w:hAnsi="Book Antiqua"/>
          <w:b/>
          <w:sz w:val="24"/>
          <w:szCs w:val="24"/>
          <w:lang w:val="en-US"/>
        </w:rPr>
        <w:t>1043</w:t>
      </w:r>
      <w:r w:rsidR="00C076F3" w:rsidRPr="001F1399">
        <w:rPr>
          <w:rFonts w:ascii="Book Antiqua" w:hAnsi="Book Antiqua"/>
          <w:sz w:val="24"/>
          <w:szCs w:val="24"/>
          <w:lang w:val="en-US"/>
        </w:rPr>
        <w:t>: 1-8 [PMID: 16037216 DOI: 10.1196/annals.1333.001]</w:t>
      </w:r>
    </w:p>
    <w:p w14:paraId="7AB48DE2" w14:textId="09D0D86C" w:rsidR="00C076F3" w:rsidRPr="001F1399" w:rsidRDefault="005E197E"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216</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Kierdorf K</w:t>
      </w:r>
      <w:r w:rsidR="00C076F3" w:rsidRPr="001F1399">
        <w:rPr>
          <w:rFonts w:ascii="Book Antiqua" w:hAnsi="Book Antiqua"/>
          <w:sz w:val="24"/>
          <w:szCs w:val="24"/>
          <w:lang w:val="en-US"/>
        </w:rPr>
        <w:t xml:space="preserve">, Fritz G. RAGE regulation and signaling in inflammation and beyond. </w:t>
      </w:r>
      <w:r w:rsidR="00C076F3" w:rsidRPr="001F1399">
        <w:rPr>
          <w:rFonts w:ascii="Book Antiqua" w:hAnsi="Book Antiqua"/>
          <w:i/>
          <w:sz w:val="24"/>
          <w:szCs w:val="24"/>
          <w:lang w:val="en-US"/>
        </w:rPr>
        <w:t>J Leukoc Biol</w:t>
      </w:r>
      <w:r w:rsidR="00C076F3" w:rsidRPr="001F1399">
        <w:rPr>
          <w:rFonts w:ascii="Book Antiqua" w:hAnsi="Book Antiqua"/>
          <w:sz w:val="24"/>
          <w:szCs w:val="24"/>
          <w:lang w:val="en-US"/>
        </w:rPr>
        <w:t xml:space="preserve"> 2013; </w:t>
      </w:r>
      <w:r w:rsidR="00C076F3" w:rsidRPr="001F1399">
        <w:rPr>
          <w:rFonts w:ascii="Book Antiqua" w:hAnsi="Book Antiqua"/>
          <w:b/>
          <w:sz w:val="24"/>
          <w:szCs w:val="24"/>
          <w:lang w:val="en-US"/>
        </w:rPr>
        <w:t>94</w:t>
      </w:r>
      <w:r w:rsidR="00C076F3" w:rsidRPr="001F1399">
        <w:rPr>
          <w:rFonts w:ascii="Book Antiqua" w:hAnsi="Book Antiqua"/>
          <w:sz w:val="24"/>
          <w:szCs w:val="24"/>
          <w:lang w:val="en-US"/>
        </w:rPr>
        <w:t>: 55-68 [PMID: 23543766 DOI: 10.1189/jlb.1012519]</w:t>
      </w:r>
    </w:p>
    <w:p w14:paraId="47C67375" w14:textId="485F23EA" w:rsidR="00C076F3" w:rsidRPr="001F1399" w:rsidRDefault="005E197E" w:rsidP="002974FA">
      <w:pPr>
        <w:adjustRightInd w:val="0"/>
        <w:snapToGrid w:val="0"/>
        <w:spacing w:after="0" w:line="360" w:lineRule="auto"/>
        <w:jc w:val="both"/>
        <w:rPr>
          <w:rFonts w:ascii="Book Antiqua" w:hAnsi="Book Antiqua"/>
          <w:b/>
          <w:sz w:val="24"/>
          <w:szCs w:val="24"/>
          <w:lang w:val="en-US"/>
        </w:rPr>
      </w:pPr>
      <w:r w:rsidRPr="001F1399">
        <w:rPr>
          <w:rFonts w:ascii="Book Antiqua" w:hAnsi="Book Antiqua"/>
          <w:sz w:val="24"/>
          <w:szCs w:val="24"/>
          <w:lang w:val="en-US"/>
        </w:rPr>
        <w:t>217</w:t>
      </w:r>
      <w:r w:rsidR="00C076F3" w:rsidRPr="001F1399">
        <w:rPr>
          <w:rFonts w:ascii="Book Antiqua" w:hAnsi="Book Antiqua"/>
          <w:sz w:val="24"/>
          <w:szCs w:val="24"/>
          <w:lang w:val="en-US"/>
        </w:rPr>
        <w:t xml:space="preserve"> </w:t>
      </w:r>
      <w:r w:rsidR="00C076F3" w:rsidRPr="001F1399">
        <w:rPr>
          <w:rFonts w:ascii="Book Antiqua" w:hAnsi="Book Antiqua"/>
          <w:b/>
          <w:sz w:val="24"/>
          <w:szCs w:val="24"/>
          <w:lang w:val="en-US"/>
        </w:rPr>
        <w:t>Wang Z</w:t>
      </w:r>
      <w:r w:rsidR="00C076F3" w:rsidRPr="001F1399">
        <w:rPr>
          <w:rFonts w:ascii="Book Antiqua" w:hAnsi="Book Antiqua"/>
          <w:sz w:val="24"/>
          <w:szCs w:val="24"/>
          <w:lang w:val="en-US"/>
        </w:rPr>
        <w:t xml:space="preserve">, Hall SD, Maya JF, Li L, Asghar A, Gorski JC. Diabetes mellitus increases the in vivo activity of cytochrome P450 2E1 in humans. </w:t>
      </w:r>
      <w:r w:rsidR="00C076F3" w:rsidRPr="001F1399">
        <w:rPr>
          <w:rFonts w:ascii="Book Antiqua" w:hAnsi="Book Antiqua"/>
          <w:i/>
          <w:sz w:val="24"/>
          <w:szCs w:val="24"/>
          <w:lang w:val="en-US"/>
        </w:rPr>
        <w:t>Br J Clin Pharmacol</w:t>
      </w:r>
      <w:r w:rsidR="00C076F3" w:rsidRPr="001F1399">
        <w:rPr>
          <w:rFonts w:ascii="Book Antiqua" w:hAnsi="Book Antiqua"/>
          <w:sz w:val="24"/>
          <w:szCs w:val="24"/>
          <w:lang w:val="en-US"/>
        </w:rPr>
        <w:t xml:space="preserve"> 2003; </w:t>
      </w:r>
      <w:r w:rsidR="00C076F3" w:rsidRPr="001F1399">
        <w:rPr>
          <w:rFonts w:ascii="Book Antiqua" w:hAnsi="Book Antiqua"/>
          <w:b/>
          <w:sz w:val="24"/>
          <w:szCs w:val="24"/>
          <w:lang w:val="en-US"/>
        </w:rPr>
        <w:t>55</w:t>
      </w:r>
      <w:r w:rsidR="00C076F3" w:rsidRPr="001F1399">
        <w:rPr>
          <w:rFonts w:ascii="Book Antiqua" w:hAnsi="Book Antiqua"/>
          <w:sz w:val="24"/>
          <w:szCs w:val="24"/>
          <w:lang w:val="en-US"/>
        </w:rPr>
        <w:t>: 77-85 [PMID: 12534643 DOI: 10.1046/j.1365-2125.2003.01731.x]</w:t>
      </w:r>
    </w:p>
    <w:p w14:paraId="234834BC" w14:textId="430EE832"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21</w:t>
      </w:r>
      <w:r w:rsidR="005E197E" w:rsidRPr="001F1399">
        <w:rPr>
          <w:rFonts w:ascii="Book Antiqua" w:hAnsi="Book Antiqua"/>
          <w:sz w:val="24"/>
          <w:szCs w:val="24"/>
          <w:lang w:val="en-US"/>
        </w:rPr>
        <w:t>8</w:t>
      </w:r>
      <w:r w:rsidRPr="001F1399">
        <w:rPr>
          <w:rFonts w:ascii="Book Antiqua" w:hAnsi="Book Antiqua"/>
          <w:sz w:val="24"/>
          <w:szCs w:val="24"/>
          <w:lang w:val="en-US"/>
        </w:rPr>
        <w:t xml:space="preserve"> </w:t>
      </w:r>
      <w:r w:rsidRPr="001F1399">
        <w:rPr>
          <w:rFonts w:ascii="Book Antiqua" w:hAnsi="Book Antiqua"/>
          <w:b/>
          <w:sz w:val="24"/>
          <w:szCs w:val="24"/>
          <w:lang w:val="en-US"/>
        </w:rPr>
        <w:t>Nguyen MU</w:t>
      </w:r>
      <w:r w:rsidRPr="001F1399">
        <w:rPr>
          <w:rFonts w:ascii="Book Antiqua" w:hAnsi="Book Antiqua"/>
          <w:sz w:val="24"/>
          <w:szCs w:val="24"/>
          <w:lang w:val="en-US"/>
        </w:rPr>
        <w:t xml:space="preserve">, Wallace MJ, Pepe S, Menheniott TR, Moss TJ, Burgner D. Perinatal inflammation: a common factor in the early origins of cardiovascular disease? </w:t>
      </w:r>
      <w:r w:rsidRPr="001F1399">
        <w:rPr>
          <w:rFonts w:ascii="Book Antiqua" w:hAnsi="Book Antiqua"/>
          <w:i/>
          <w:sz w:val="24"/>
          <w:szCs w:val="24"/>
          <w:lang w:val="en-US"/>
        </w:rPr>
        <w:t>Clin Sci (Lond)</w:t>
      </w:r>
      <w:r w:rsidRPr="001F1399">
        <w:rPr>
          <w:rFonts w:ascii="Book Antiqua" w:hAnsi="Book Antiqua"/>
          <w:sz w:val="24"/>
          <w:szCs w:val="24"/>
          <w:lang w:val="en-US"/>
        </w:rPr>
        <w:t xml:space="preserve"> 2015; </w:t>
      </w:r>
      <w:r w:rsidRPr="001F1399">
        <w:rPr>
          <w:rFonts w:ascii="Book Antiqua" w:hAnsi="Book Antiqua"/>
          <w:b/>
          <w:sz w:val="24"/>
          <w:szCs w:val="24"/>
          <w:lang w:val="en-US"/>
        </w:rPr>
        <w:t>129</w:t>
      </w:r>
      <w:r w:rsidRPr="001F1399">
        <w:rPr>
          <w:rFonts w:ascii="Book Antiqua" w:hAnsi="Book Antiqua"/>
          <w:sz w:val="24"/>
          <w:szCs w:val="24"/>
          <w:lang w:val="en-US"/>
        </w:rPr>
        <w:t>: 769-784 [PMID: 26223841 DOI: 10.1042/CS20150045]</w:t>
      </w:r>
    </w:p>
    <w:p w14:paraId="241BD2FC" w14:textId="377FCC66"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21</w:t>
      </w:r>
      <w:r w:rsidR="005E197E" w:rsidRPr="001F1399">
        <w:rPr>
          <w:rFonts w:ascii="Book Antiqua" w:hAnsi="Book Antiqua"/>
          <w:sz w:val="24"/>
          <w:szCs w:val="24"/>
          <w:lang w:val="en-US"/>
        </w:rPr>
        <w:t>9</w:t>
      </w:r>
      <w:r w:rsidRPr="001F1399">
        <w:rPr>
          <w:rFonts w:ascii="Book Antiqua" w:hAnsi="Book Antiqua"/>
          <w:sz w:val="24"/>
          <w:szCs w:val="24"/>
          <w:lang w:val="en-US"/>
        </w:rPr>
        <w:t xml:space="preserve"> </w:t>
      </w:r>
      <w:r w:rsidRPr="001F1399">
        <w:rPr>
          <w:rFonts w:ascii="Book Antiqua" w:hAnsi="Book Antiqua"/>
          <w:b/>
          <w:sz w:val="24"/>
          <w:szCs w:val="24"/>
          <w:lang w:val="en-US"/>
        </w:rPr>
        <w:t>Dittrich R</w:t>
      </w:r>
      <w:r w:rsidRPr="001F1399">
        <w:rPr>
          <w:rFonts w:ascii="Book Antiqua" w:hAnsi="Book Antiqua"/>
          <w:sz w:val="24"/>
          <w:szCs w:val="24"/>
          <w:lang w:val="en-US"/>
        </w:rPr>
        <w:t xml:space="preserve">, Hoffmann I, Stahl P, Müller A, Beckmann MW, Pischetsrieder M. Concentrations of Nepsilon-carboxymethyllysine in human breast milk, infant formulas, and urine of infants. </w:t>
      </w:r>
      <w:r w:rsidRPr="001F1399">
        <w:rPr>
          <w:rFonts w:ascii="Book Antiqua" w:hAnsi="Book Antiqua"/>
          <w:i/>
          <w:sz w:val="24"/>
          <w:szCs w:val="24"/>
          <w:lang w:val="en-US"/>
        </w:rPr>
        <w:t>J Agric Food Chem</w:t>
      </w:r>
      <w:r w:rsidRPr="001F1399">
        <w:rPr>
          <w:rFonts w:ascii="Book Antiqua" w:hAnsi="Book Antiqua"/>
          <w:sz w:val="24"/>
          <w:szCs w:val="24"/>
          <w:lang w:val="en-US"/>
        </w:rPr>
        <w:t xml:space="preserve"> 2006; </w:t>
      </w:r>
      <w:r w:rsidRPr="001F1399">
        <w:rPr>
          <w:rFonts w:ascii="Book Antiqua" w:hAnsi="Book Antiqua"/>
          <w:b/>
          <w:sz w:val="24"/>
          <w:szCs w:val="24"/>
          <w:lang w:val="en-US"/>
        </w:rPr>
        <w:t>54</w:t>
      </w:r>
      <w:r w:rsidRPr="001F1399">
        <w:rPr>
          <w:rFonts w:ascii="Book Antiqua" w:hAnsi="Book Antiqua"/>
          <w:sz w:val="24"/>
          <w:szCs w:val="24"/>
          <w:lang w:val="en-US"/>
        </w:rPr>
        <w:t>: 6924-6928 [PMID: 16939359 DOI: 10.1021/jf060905h]</w:t>
      </w:r>
    </w:p>
    <w:p w14:paraId="5A79DA59" w14:textId="5D162937"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lastRenderedPageBreak/>
        <w:t>2</w:t>
      </w:r>
      <w:r w:rsidR="005E197E" w:rsidRPr="001F1399">
        <w:rPr>
          <w:rFonts w:ascii="Book Antiqua" w:hAnsi="Book Antiqua"/>
          <w:sz w:val="24"/>
          <w:szCs w:val="24"/>
          <w:lang w:val="en-US"/>
        </w:rPr>
        <w:t>20</w:t>
      </w:r>
      <w:r w:rsidRPr="001F1399">
        <w:rPr>
          <w:rFonts w:ascii="Book Antiqua" w:hAnsi="Book Antiqua"/>
          <w:sz w:val="24"/>
          <w:szCs w:val="24"/>
          <w:lang w:val="en-US"/>
        </w:rPr>
        <w:t xml:space="preserve"> </w:t>
      </w:r>
      <w:r w:rsidRPr="001F1399">
        <w:rPr>
          <w:rFonts w:ascii="Book Antiqua" w:hAnsi="Book Antiqua"/>
          <w:b/>
          <w:sz w:val="24"/>
          <w:szCs w:val="24"/>
          <w:lang w:val="en-US"/>
        </w:rPr>
        <w:t>Baskara I,</w:t>
      </w:r>
      <w:r w:rsidRPr="001F1399">
        <w:rPr>
          <w:rFonts w:ascii="Book Antiqua" w:hAnsi="Book Antiqua"/>
          <w:sz w:val="24"/>
          <w:szCs w:val="24"/>
          <w:lang w:val="en-US"/>
        </w:rPr>
        <w:t xml:space="preserve"> Niquet-Leridon C, Anton PM, Delayre-Orthez C. Neoformed Compounds From the Maillard Reaction in Infant Formulas: a New Risk Factor for Allergy? </w:t>
      </w:r>
      <w:r w:rsidRPr="001F1399">
        <w:rPr>
          <w:rFonts w:ascii="Book Antiqua" w:hAnsi="Book Antiqua"/>
          <w:i/>
          <w:iCs/>
          <w:sz w:val="24"/>
          <w:szCs w:val="24"/>
          <w:lang w:val="en-US"/>
        </w:rPr>
        <w:t>EMJ Allergy Immunol</w:t>
      </w:r>
      <w:r w:rsidRPr="001F1399">
        <w:rPr>
          <w:rFonts w:ascii="Book Antiqua" w:hAnsi="Book Antiqua"/>
          <w:sz w:val="24"/>
          <w:szCs w:val="24"/>
          <w:lang w:val="en-US"/>
        </w:rPr>
        <w:t xml:space="preserve"> 2017; </w:t>
      </w:r>
      <w:r w:rsidRPr="001F1399">
        <w:rPr>
          <w:rFonts w:ascii="Book Antiqua" w:hAnsi="Book Antiqua"/>
          <w:b/>
          <w:bCs/>
          <w:sz w:val="24"/>
          <w:szCs w:val="24"/>
          <w:lang w:val="en-US"/>
        </w:rPr>
        <w:t>2</w:t>
      </w:r>
      <w:r w:rsidRPr="001F1399">
        <w:rPr>
          <w:rFonts w:ascii="Book Antiqua" w:hAnsi="Book Antiqua"/>
          <w:sz w:val="24"/>
          <w:szCs w:val="24"/>
          <w:lang w:val="en-US"/>
        </w:rPr>
        <w:t>:</w:t>
      </w:r>
      <w:r w:rsidR="00E93A84" w:rsidRPr="001F1399">
        <w:rPr>
          <w:rFonts w:ascii="Book Antiqua" w:hAnsi="Book Antiqua"/>
          <w:sz w:val="24"/>
          <w:szCs w:val="24"/>
          <w:lang w:val="en-US"/>
        </w:rPr>
        <w:t xml:space="preserve"> </w:t>
      </w:r>
      <w:r w:rsidRPr="001F1399">
        <w:rPr>
          <w:rFonts w:ascii="Book Antiqua" w:hAnsi="Book Antiqua"/>
          <w:sz w:val="24"/>
          <w:szCs w:val="24"/>
          <w:lang w:val="en-US"/>
        </w:rPr>
        <w:t>87–93</w:t>
      </w:r>
    </w:p>
    <w:p w14:paraId="0FBA6925" w14:textId="16685783"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22</w:t>
      </w:r>
      <w:r w:rsidR="005E197E" w:rsidRPr="001F1399">
        <w:rPr>
          <w:rFonts w:ascii="Book Antiqua" w:hAnsi="Book Antiqua"/>
          <w:sz w:val="24"/>
          <w:szCs w:val="24"/>
          <w:lang w:val="en-US"/>
        </w:rPr>
        <w:t>1</w:t>
      </w:r>
      <w:r w:rsidRPr="001F1399">
        <w:rPr>
          <w:rFonts w:ascii="Book Antiqua" w:hAnsi="Book Antiqua"/>
          <w:sz w:val="24"/>
          <w:szCs w:val="24"/>
          <w:lang w:val="en-US"/>
        </w:rPr>
        <w:t xml:space="preserve"> </w:t>
      </w:r>
      <w:r w:rsidRPr="001F1399">
        <w:rPr>
          <w:rFonts w:ascii="Book Antiqua" w:hAnsi="Book Antiqua"/>
          <w:b/>
          <w:sz w:val="24"/>
          <w:szCs w:val="24"/>
          <w:lang w:val="en-US"/>
        </w:rPr>
        <w:t>Shimoike T</w:t>
      </w:r>
      <w:r w:rsidRPr="001F1399">
        <w:rPr>
          <w:rFonts w:ascii="Book Antiqua" w:hAnsi="Book Antiqua"/>
          <w:sz w:val="24"/>
          <w:szCs w:val="24"/>
          <w:lang w:val="en-US"/>
        </w:rPr>
        <w:t xml:space="preserve">, Inoguchi T, Umeda F, Nawata H, Kawano K, Ochi H. The meaning of serum levels of advanced glycosylation end products in diabetic nephropathy. </w:t>
      </w:r>
      <w:r w:rsidRPr="001F1399">
        <w:rPr>
          <w:rFonts w:ascii="Book Antiqua" w:hAnsi="Book Antiqua"/>
          <w:i/>
          <w:sz w:val="24"/>
          <w:szCs w:val="24"/>
          <w:lang w:val="en-US"/>
        </w:rPr>
        <w:t>Metabolism</w:t>
      </w:r>
      <w:r w:rsidRPr="001F1399">
        <w:rPr>
          <w:rFonts w:ascii="Book Antiqua" w:hAnsi="Book Antiqua"/>
          <w:sz w:val="24"/>
          <w:szCs w:val="24"/>
          <w:lang w:val="en-US"/>
        </w:rPr>
        <w:t xml:space="preserve"> 2000; </w:t>
      </w:r>
      <w:r w:rsidRPr="001F1399">
        <w:rPr>
          <w:rFonts w:ascii="Book Antiqua" w:hAnsi="Book Antiqua"/>
          <w:b/>
          <w:sz w:val="24"/>
          <w:szCs w:val="24"/>
          <w:lang w:val="en-US"/>
        </w:rPr>
        <w:t>49</w:t>
      </w:r>
      <w:r w:rsidRPr="001F1399">
        <w:rPr>
          <w:rFonts w:ascii="Book Antiqua" w:hAnsi="Book Antiqua"/>
          <w:sz w:val="24"/>
          <w:szCs w:val="24"/>
          <w:lang w:val="en-US"/>
        </w:rPr>
        <w:t>: 1030-1035 [PMID: 10954022 DOI: 10.1053/meta.2000.7738]</w:t>
      </w:r>
    </w:p>
    <w:p w14:paraId="7D6057A0" w14:textId="4EE66791"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22</w:t>
      </w:r>
      <w:r w:rsidR="005E197E" w:rsidRPr="001F1399">
        <w:rPr>
          <w:rFonts w:ascii="Book Antiqua" w:hAnsi="Book Antiqua"/>
          <w:sz w:val="24"/>
          <w:szCs w:val="24"/>
          <w:lang w:val="en-US"/>
        </w:rPr>
        <w:t>2</w:t>
      </w:r>
      <w:r w:rsidRPr="001F1399">
        <w:rPr>
          <w:rFonts w:ascii="Book Antiqua" w:hAnsi="Book Antiqua"/>
          <w:sz w:val="24"/>
          <w:szCs w:val="24"/>
          <w:lang w:val="en-US"/>
        </w:rPr>
        <w:t xml:space="preserve"> </w:t>
      </w:r>
      <w:r w:rsidRPr="001F1399">
        <w:rPr>
          <w:rFonts w:ascii="Book Antiqua" w:hAnsi="Book Antiqua"/>
          <w:b/>
          <w:sz w:val="24"/>
          <w:szCs w:val="24"/>
          <w:lang w:val="en-US"/>
        </w:rPr>
        <w:t>Sharp PS</w:t>
      </w:r>
      <w:r w:rsidRPr="001F1399">
        <w:rPr>
          <w:rFonts w:ascii="Book Antiqua" w:hAnsi="Book Antiqua"/>
          <w:sz w:val="24"/>
          <w:szCs w:val="24"/>
          <w:lang w:val="en-US"/>
        </w:rPr>
        <w:t xml:space="preserve">, Rainbow S, Mukherjee S. Serum levels of low molecular weight advanced glycation end products in diabetic subjects. </w:t>
      </w:r>
      <w:r w:rsidRPr="001F1399">
        <w:rPr>
          <w:rFonts w:ascii="Book Antiqua" w:hAnsi="Book Antiqua"/>
          <w:i/>
          <w:sz w:val="24"/>
          <w:szCs w:val="24"/>
          <w:lang w:val="en-US"/>
        </w:rPr>
        <w:t>Diabet Med</w:t>
      </w:r>
      <w:r w:rsidRPr="001F1399">
        <w:rPr>
          <w:rFonts w:ascii="Book Antiqua" w:hAnsi="Book Antiqua"/>
          <w:sz w:val="24"/>
          <w:szCs w:val="24"/>
          <w:lang w:val="en-US"/>
        </w:rPr>
        <w:t xml:space="preserve"> 2003; </w:t>
      </w:r>
      <w:r w:rsidRPr="001F1399">
        <w:rPr>
          <w:rFonts w:ascii="Book Antiqua" w:hAnsi="Book Antiqua"/>
          <w:b/>
          <w:sz w:val="24"/>
          <w:szCs w:val="24"/>
          <w:lang w:val="en-US"/>
        </w:rPr>
        <w:t>20</w:t>
      </w:r>
      <w:r w:rsidRPr="001F1399">
        <w:rPr>
          <w:rFonts w:ascii="Book Antiqua" w:hAnsi="Book Antiqua"/>
          <w:sz w:val="24"/>
          <w:szCs w:val="24"/>
          <w:lang w:val="en-US"/>
        </w:rPr>
        <w:t>: 575-579 [PMID: 12823240 DOI: 10.1046/j.1464-5491.2003.00973.x]</w:t>
      </w:r>
    </w:p>
    <w:p w14:paraId="740E9540" w14:textId="7FB3EFF3"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22</w:t>
      </w:r>
      <w:r w:rsidR="005E197E" w:rsidRPr="001F1399">
        <w:rPr>
          <w:rFonts w:ascii="Book Antiqua" w:hAnsi="Book Antiqua"/>
          <w:sz w:val="24"/>
          <w:szCs w:val="24"/>
          <w:lang w:val="en-US"/>
        </w:rPr>
        <w:t>3</w:t>
      </w:r>
      <w:r w:rsidRPr="001F1399">
        <w:rPr>
          <w:rFonts w:ascii="Book Antiqua" w:hAnsi="Book Antiqua"/>
          <w:sz w:val="24"/>
          <w:szCs w:val="24"/>
          <w:lang w:val="en-US"/>
        </w:rPr>
        <w:t xml:space="preserve"> </w:t>
      </w:r>
      <w:r w:rsidRPr="001F1399">
        <w:rPr>
          <w:rFonts w:ascii="Book Antiqua" w:hAnsi="Book Antiqua"/>
          <w:b/>
          <w:sz w:val="24"/>
          <w:szCs w:val="24"/>
          <w:lang w:val="en-US"/>
        </w:rPr>
        <w:t>Ge J</w:t>
      </w:r>
      <w:r w:rsidRPr="001F1399">
        <w:rPr>
          <w:rFonts w:ascii="Book Antiqua" w:hAnsi="Book Antiqua"/>
          <w:sz w:val="24"/>
          <w:szCs w:val="24"/>
          <w:lang w:val="en-US"/>
        </w:rPr>
        <w:t xml:space="preserve">, Jia Q, Liang C, Luo Y, Huang D, Sun A, Wang K, Zou Y, Chen H. Advanced glycosylation end products might promote atherosclerosis through inducing the immune maturation of dendritic cells. </w:t>
      </w:r>
      <w:r w:rsidRPr="001F1399">
        <w:rPr>
          <w:rFonts w:ascii="Book Antiqua" w:hAnsi="Book Antiqua"/>
          <w:i/>
          <w:sz w:val="24"/>
          <w:szCs w:val="24"/>
          <w:lang w:val="en-US"/>
        </w:rPr>
        <w:t>Arterioscler Thromb Vasc Biol</w:t>
      </w:r>
      <w:r w:rsidRPr="001F1399">
        <w:rPr>
          <w:rFonts w:ascii="Book Antiqua" w:hAnsi="Book Antiqua"/>
          <w:sz w:val="24"/>
          <w:szCs w:val="24"/>
          <w:lang w:val="en-US"/>
        </w:rPr>
        <w:t xml:space="preserve"> 2005; </w:t>
      </w:r>
      <w:r w:rsidRPr="001F1399">
        <w:rPr>
          <w:rFonts w:ascii="Book Antiqua" w:hAnsi="Book Antiqua"/>
          <w:b/>
          <w:sz w:val="24"/>
          <w:szCs w:val="24"/>
          <w:lang w:val="en-US"/>
        </w:rPr>
        <w:t>25</w:t>
      </w:r>
      <w:r w:rsidRPr="001F1399">
        <w:rPr>
          <w:rFonts w:ascii="Book Antiqua" w:hAnsi="Book Antiqua"/>
          <w:sz w:val="24"/>
          <w:szCs w:val="24"/>
          <w:lang w:val="en-US"/>
        </w:rPr>
        <w:t>: 2157-2163 [PMID: 16100036 DOI: 10.1161/01.ATV.0000181744.58265.63]</w:t>
      </w:r>
    </w:p>
    <w:p w14:paraId="6E80A977" w14:textId="3B6F0D20"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22</w:t>
      </w:r>
      <w:r w:rsidR="005E197E" w:rsidRPr="001F1399">
        <w:rPr>
          <w:rFonts w:ascii="Book Antiqua" w:hAnsi="Book Antiqua"/>
          <w:sz w:val="24"/>
          <w:szCs w:val="24"/>
          <w:lang w:val="en-US"/>
        </w:rPr>
        <w:t>4</w:t>
      </w:r>
      <w:r w:rsidRPr="001F1399">
        <w:rPr>
          <w:rFonts w:ascii="Book Antiqua" w:hAnsi="Book Antiqua"/>
          <w:sz w:val="24"/>
          <w:szCs w:val="24"/>
          <w:lang w:val="en-US"/>
        </w:rPr>
        <w:t xml:space="preserve"> </w:t>
      </w:r>
      <w:r w:rsidRPr="001F1399">
        <w:rPr>
          <w:rFonts w:ascii="Book Antiqua" w:hAnsi="Book Antiqua"/>
          <w:b/>
          <w:sz w:val="24"/>
          <w:szCs w:val="24"/>
          <w:lang w:val="en-US"/>
        </w:rPr>
        <w:t>Hales CN</w:t>
      </w:r>
      <w:r w:rsidRPr="001F1399">
        <w:rPr>
          <w:rFonts w:ascii="Book Antiqua" w:hAnsi="Book Antiqua"/>
          <w:sz w:val="24"/>
          <w:szCs w:val="24"/>
          <w:lang w:val="en-US"/>
        </w:rPr>
        <w:t xml:space="preserve">, Barker DJ, Clark PM, Cox LJ, Fall C, Osmond C, Winter PD. Fetal and infant growth and impaired glucose tolerance at age 64. </w:t>
      </w:r>
      <w:r w:rsidRPr="001F1399">
        <w:rPr>
          <w:rFonts w:ascii="Book Antiqua" w:hAnsi="Book Antiqua"/>
          <w:i/>
          <w:sz w:val="24"/>
          <w:szCs w:val="24"/>
          <w:lang w:val="en-US"/>
        </w:rPr>
        <w:t>BMJ</w:t>
      </w:r>
      <w:r w:rsidRPr="001F1399">
        <w:rPr>
          <w:rFonts w:ascii="Book Antiqua" w:hAnsi="Book Antiqua"/>
          <w:sz w:val="24"/>
          <w:szCs w:val="24"/>
          <w:lang w:val="en-US"/>
        </w:rPr>
        <w:t xml:space="preserve"> 1991; </w:t>
      </w:r>
      <w:r w:rsidRPr="001F1399">
        <w:rPr>
          <w:rFonts w:ascii="Book Antiqua" w:hAnsi="Book Antiqua"/>
          <w:b/>
          <w:sz w:val="24"/>
          <w:szCs w:val="24"/>
          <w:lang w:val="en-US"/>
        </w:rPr>
        <w:t>303</w:t>
      </w:r>
      <w:r w:rsidRPr="001F1399">
        <w:rPr>
          <w:rFonts w:ascii="Book Antiqua" w:hAnsi="Book Antiqua"/>
          <w:sz w:val="24"/>
          <w:szCs w:val="24"/>
          <w:lang w:val="en-US"/>
        </w:rPr>
        <w:t>: 1019-1022 [PMID: 1954451 DOI: 10.1136/bmj.303.6809.1019]</w:t>
      </w:r>
    </w:p>
    <w:p w14:paraId="5C9F29C3" w14:textId="28E53902"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22</w:t>
      </w:r>
      <w:r w:rsidR="005E197E" w:rsidRPr="001F1399">
        <w:rPr>
          <w:rFonts w:ascii="Book Antiqua" w:hAnsi="Book Antiqua"/>
          <w:sz w:val="24"/>
          <w:szCs w:val="24"/>
          <w:lang w:val="en-US"/>
        </w:rPr>
        <w:t>5</w:t>
      </w:r>
      <w:r w:rsidRPr="001F1399">
        <w:rPr>
          <w:rFonts w:ascii="Book Antiqua" w:hAnsi="Book Antiqua"/>
          <w:sz w:val="24"/>
          <w:szCs w:val="24"/>
          <w:lang w:val="en-US"/>
        </w:rPr>
        <w:t xml:space="preserve"> </w:t>
      </w:r>
      <w:r w:rsidRPr="001F1399">
        <w:rPr>
          <w:rFonts w:ascii="Book Antiqua" w:hAnsi="Book Antiqua"/>
          <w:b/>
          <w:sz w:val="24"/>
          <w:szCs w:val="24"/>
          <w:lang w:val="en-US"/>
        </w:rPr>
        <w:t>Forest MG</w:t>
      </w:r>
      <w:r w:rsidRPr="001F1399">
        <w:rPr>
          <w:rFonts w:ascii="Book Antiqua" w:hAnsi="Book Antiqua"/>
          <w:sz w:val="24"/>
          <w:szCs w:val="24"/>
          <w:lang w:val="en-US"/>
        </w:rPr>
        <w:t xml:space="preserve">. Role of androgens in fetal and pubertal development. </w:t>
      </w:r>
      <w:r w:rsidRPr="001F1399">
        <w:rPr>
          <w:rFonts w:ascii="Book Antiqua" w:hAnsi="Book Antiqua"/>
          <w:i/>
          <w:sz w:val="24"/>
          <w:szCs w:val="24"/>
          <w:lang w:val="en-US"/>
        </w:rPr>
        <w:t>Horm Res</w:t>
      </w:r>
      <w:r w:rsidRPr="001F1399">
        <w:rPr>
          <w:rFonts w:ascii="Book Antiqua" w:hAnsi="Book Antiqua"/>
          <w:sz w:val="24"/>
          <w:szCs w:val="24"/>
          <w:lang w:val="en-US"/>
        </w:rPr>
        <w:t xml:space="preserve"> 1983; </w:t>
      </w:r>
      <w:r w:rsidRPr="001F1399">
        <w:rPr>
          <w:rFonts w:ascii="Book Antiqua" w:hAnsi="Book Antiqua"/>
          <w:b/>
          <w:sz w:val="24"/>
          <w:szCs w:val="24"/>
          <w:lang w:val="en-US"/>
        </w:rPr>
        <w:t>18</w:t>
      </w:r>
      <w:r w:rsidRPr="001F1399">
        <w:rPr>
          <w:rFonts w:ascii="Book Antiqua" w:hAnsi="Book Antiqua"/>
          <w:sz w:val="24"/>
          <w:szCs w:val="24"/>
          <w:lang w:val="en-US"/>
        </w:rPr>
        <w:t>: 69-83 [PMID: 6350147 DOI: 10.1159/000179780]</w:t>
      </w:r>
    </w:p>
    <w:p w14:paraId="61121712" w14:textId="3ED5EFC8"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22</w:t>
      </w:r>
      <w:r w:rsidR="00105053" w:rsidRPr="001F1399">
        <w:rPr>
          <w:rFonts w:ascii="Book Antiqua" w:hAnsi="Book Antiqua"/>
          <w:sz w:val="24"/>
          <w:szCs w:val="24"/>
          <w:lang w:val="en-US"/>
        </w:rPr>
        <w:t>6</w:t>
      </w:r>
      <w:r w:rsidRPr="001F1399">
        <w:rPr>
          <w:rFonts w:ascii="Book Antiqua" w:hAnsi="Book Antiqua"/>
          <w:sz w:val="24"/>
          <w:szCs w:val="24"/>
          <w:lang w:val="en-US"/>
        </w:rPr>
        <w:t xml:space="preserve"> </w:t>
      </w:r>
      <w:r w:rsidRPr="001F1399">
        <w:rPr>
          <w:rFonts w:ascii="Book Antiqua" w:hAnsi="Book Antiqua"/>
          <w:b/>
          <w:sz w:val="24"/>
          <w:szCs w:val="24"/>
          <w:lang w:val="en-US"/>
        </w:rPr>
        <w:t>Gorski RA</w:t>
      </w:r>
      <w:r w:rsidRPr="001F1399">
        <w:rPr>
          <w:rFonts w:ascii="Book Antiqua" w:hAnsi="Book Antiqua"/>
          <w:sz w:val="24"/>
          <w:szCs w:val="24"/>
          <w:lang w:val="en-US"/>
        </w:rPr>
        <w:t xml:space="preserve">. Sexual dimorphisms of the brain. </w:t>
      </w:r>
      <w:r w:rsidRPr="001F1399">
        <w:rPr>
          <w:rFonts w:ascii="Book Antiqua" w:hAnsi="Book Antiqua"/>
          <w:i/>
          <w:sz w:val="24"/>
          <w:szCs w:val="24"/>
          <w:lang w:val="en-US"/>
        </w:rPr>
        <w:t>J Anim Sci</w:t>
      </w:r>
      <w:r w:rsidRPr="001F1399">
        <w:rPr>
          <w:rFonts w:ascii="Book Antiqua" w:hAnsi="Book Antiqua"/>
          <w:sz w:val="24"/>
          <w:szCs w:val="24"/>
          <w:lang w:val="en-US"/>
        </w:rPr>
        <w:t xml:space="preserve"> 1985; </w:t>
      </w:r>
      <w:r w:rsidRPr="001F1399">
        <w:rPr>
          <w:rFonts w:ascii="Book Antiqua" w:hAnsi="Book Antiqua"/>
          <w:b/>
          <w:sz w:val="24"/>
          <w:szCs w:val="24"/>
          <w:lang w:val="en-US"/>
        </w:rPr>
        <w:t>61 Suppl 3</w:t>
      </w:r>
      <w:r w:rsidRPr="001F1399">
        <w:rPr>
          <w:rFonts w:ascii="Book Antiqua" w:hAnsi="Book Antiqua"/>
          <w:sz w:val="24"/>
          <w:szCs w:val="24"/>
          <w:lang w:val="en-US"/>
        </w:rPr>
        <w:t>: 38-61 [PMID: 3908433 DOI: 10.1093/ansci/61.Supplement_3.38]</w:t>
      </w:r>
    </w:p>
    <w:p w14:paraId="0E0C09B3" w14:textId="6D0C4D65"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22</w:t>
      </w:r>
      <w:r w:rsidR="00105053" w:rsidRPr="001F1399">
        <w:rPr>
          <w:rFonts w:ascii="Book Antiqua" w:hAnsi="Book Antiqua"/>
          <w:sz w:val="24"/>
          <w:szCs w:val="24"/>
          <w:lang w:val="en-US"/>
        </w:rPr>
        <w:t>7</w:t>
      </w:r>
      <w:r w:rsidRPr="001F1399">
        <w:rPr>
          <w:rFonts w:ascii="Book Antiqua" w:hAnsi="Book Antiqua"/>
          <w:sz w:val="24"/>
          <w:szCs w:val="24"/>
          <w:lang w:val="en-US"/>
        </w:rPr>
        <w:t xml:space="preserve"> </w:t>
      </w:r>
      <w:r w:rsidRPr="001F1399">
        <w:rPr>
          <w:rFonts w:ascii="Book Antiqua" w:hAnsi="Book Antiqua"/>
          <w:b/>
          <w:sz w:val="24"/>
          <w:szCs w:val="24"/>
          <w:lang w:val="en-US"/>
        </w:rPr>
        <w:t>Jost A</w:t>
      </w:r>
      <w:r w:rsidRPr="001F1399">
        <w:rPr>
          <w:rFonts w:ascii="Book Antiqua" w:hAnsi="Book Antiqua"/>
          <w:sz w:val="24"/>
          <w:szCs w:val="24"/>
          <w:lang w:val="en-US"/>
        </w:rPr>
        <w:t xml:space="preserve">. Genetic and hormonal factors in sex differentiation of the brain. </w:t>
      </w:r>
      <w:r w:rsidRPr="001F1399">
        <w:rPr>
          <w:rFonts w:ascii="Book Antiqua" w:hAnsi="Book Antiqua"/>
          <w:i/>
          <w:sz w:val="24"/>
          <w:szCs w:val="24"/>
          <w:lang w:val="en-US"/>
        </w:rPr>
        <w:t>Psychoneuroendocrinology</w:t>
      </w:r>
      <w:r w:rsidRPr="001F1399">
        <w:rPr>
          <w:rFonts w:ascii="Book Antiqua" w:hAnsi="Book Antiqua"/>
          <w:sz w:val="24"/>
          <w:szCs w:val="24"/>
          <w:lang w:val="en-US"/>
        </w:rPr>
        <w:t xml:space="preserve"> 1983; </w:t>
      </w:r>
      <w:r w:rsidRPr="001F1399">
        <w:rPr>
          <w:rFonts w:ascii="Book Antiqua" w:hAnsi="Book Antiqua"/>
          <w:b/>
          <w:sz w:val="24"/>
          <w:szCs w:val="24"/>
          <w:lang w:val="en-US"/>
        </w:rPr>
        <w:t>8</w:t>
      </w:r>
      <w:r w:rsidRPr="001F1399">
        <w:rPr>
          <w:rFonts w:ascii="Book Antiqua" w:hAnsi="Book Antiqua"/>
          <w:sz w:val="24"/>
          <w:szCs w:val="24"/>
          <w:lang w:val="en-US"/>
        </w:rPr>
        <w:t>: 183-193 [PMID: 6353469 DOI: 10.1016/0306-4530(83)90055-0]</w:t>
      </w:r>
    </w:p>
    <w:p w14:paraId="7EDCCAAD" w14:textId="42FE6B1A" w:rsidR="00C076F3"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22</w:t>
      </w:r>
      <w:r w:rsidR="00105053" w:rsidRPr="001F1399">
        <w:rPr>
          <w:rFonts w:ascii="Book Antiqua" w:hAnsi="Book Antiqua"/>
          <w:sz w:val="24"/>
          <w:szCs w:val="24"/>
          <w:lang w:val="en-US"/>
        </w:rPr>
        <w:t>8</w:t>
      </w:r>
      <w:r w:rsidRPr="001F1399">
        <w:rPr>
          <w:rFonts w:ascii="Book Antiqua" w:hAnsi="Book Antiqua"/>
          <w:sz w:val="24"/>
          <w:szCs w:val="24"/>
          <w:lang w:val="en-US"/>
        </w:rPr>
        <w:t xml:space="preserve"> </w:t>
      </w:r>
      <w:r w:rsidRPr="001F1399">
        <w:rPr>
          <w:rFonts w:ascii="Book Antiqua" w:hAnsi="Book Antiqua"/>
          <w:b/>
          <w:sz w:val="24"/>
          <w:szCs w:val="24"/>
          <w:lang w:val="en-US"/>
        </w:rPr>
        <w:t>P</w:t>
      </w:r>
      <w:r w:rsidR="005E197E" w:rsidRPr="001F1399">
        <w:rPr>
          <w:rFonts w:ascii="Book Antiqua" w:hAnsi="Book Antiqua"/>
          <w:b/>
          <w:sz w:val="24"/>
          <w:szCs w:val="24"/>
          <w:lang w:val="en-US"/>
        </w:rPr>
        <w:t>hoenix</w:t>
      </w:r>
      <w:r w:rsidRPr="001F1399">
        <w:rPr>
          <w:rFonts w:ascii="Book Antiqua" w:hAnsi="Book Antiqua"/>
          <w:b/>
          <w:sz w:val="24"/>
          <w:szCs w:val="24"/>
          <w:lang w:val="en-US"/>
        </w:rPr>
        <w:t xml:space="preserve"> CH</w:t>
      </w:r>
      <w:r w:rsidRPr="001F1399">
        <w:rPr>
          <w:rFonts w:ascii="Book Antiqua" w:hAnsi="Book Antiqua"/>
          <w:sz w:val="24"/>
          <w:szCs w:val="24"/>
          <w:lang w:val="en-US"/>
        </w:rPr>
        <w:t>, G</w:t>
      </w:r>
      <w:r w:rsidR="005E197E" w:rsidRPr="001F1399">
        <w:rPr>
          <w:rFonts w:ascii="Book Antiqua" w:hAnsi="Book Antiqua"/>
          <w:sz w:val="24"/>
          <w:szCs w:val="24"/>
          <w:lang w:val="en-US"/>
        </w:rPr>
        <w:t>oy</w:t>
      </w:r>
      <w:r w:rsidRPr="001F1399">
        <w:rPr>
          <w:rFonts w:ascii="Book Antiqua" w:hAnsi="Book Antiqua"/>
          <w:sz w:val="24"/>
          <w:szCs w:val="24"/>
          <w:lang w:val="en-US"/>
        </w:rPr>
        <w:t xml:space="preserve"> RW, G</w:t>
      </w:r>
      <w:r w:rsidR="005E197E" w:rsidRPr="001F1399">
        <w:rPr>
          <w:rFonts w:ascii="Book Antiqua" w:hAnsi="Book Antiqua"/>
          <w:sz w:val="24"/>
          <w:szCs w:val="24"/>
          <w:lang w:val="en-US"/>
        </w:rPr>
        <w:t>erall</w:t>
      </w:r>
      <w:r w:rsidRPr="001F1399">
        <w:rPr>
          <w:rFonts w:ascii="Book Antiqua" w:hAnsi="Book Antiqua"/>
          <w:sz w:val="24"/>
          <w:szCs w:val="24"/>
          <w:lang w:val="en-US"/>
        </w:rPr>
        <w:t xml:space="preserve"> AA, Y</w:t>
      </w:r>
      <w:r w:rsidR="005E197E" w:rsidRPr="001F1399">
        <w:rPr>
          <w:rFonts w:ascii="Book Antiqua" w:hAnsi="Book Antiqua"/>
          <w:sz w:val="24"/>
          <w:szCs w:val="24"/>
          <w:lang w:val="en-US"/>
        </w:rPr>
        <w:t>oung</w:t>
      </w:r>
      <w:r w:rsidRPr="001F1399">
        <w:rPr>
          <w:rFonts w:ascii="Book Antiqua" w:hAnsi="Book Antiqua"/>
          <w:sz w:val="24"/>
          <w:szCs w:val="24"/>
          <w:lang w:val="en-US"/>
        </w:rPr>
        <w:t xml:space="preserve"> WC. Organizing action of prenatally administered testosterone propionate on the tissues mediating mating behavior in the female guinea pig. </w:t>
      </w:r>
      <w:r w:rsidRPr="001F1399">
        <w:rPr>
          <w:rFonts w:ascii="Book Antiqua" w:hAnsi="Book Antiqua"/>
          <w:i/>
          <w:sz w:val="24"/>
          <w:szCs w:val="24"/>
          <w:lang w:val="en-US"/>
        </w:rPr>
        <w:t>Endocrinology</w:t>
      </w:r>
      <w:r w:rsidRPr="001F1399">
        <w:rPr>
          <w:rFonts w:ascii="Book Antiqua" w:hAnsi="Book Antiqua"/>
          <w:sz w:val="24"/>
          <w:szCs w:val="24"/>
          <w:lang w:val="en-US"/>
        </w:rPr>
        <w:t xml:space="preserve"> 1959; </w:t>
      </w:r>
      <w:r w:rsidRPr="001F1399">
        <w:rPr>
          <w:rFonts w:ascii="Book Antiqua" w:hAnsi="Book Antiqua"/>
          <w:b/>
          <w:sz w:val="24"/>
          <w:szCs w:val="24"/>
          <w:lang w:val="en-US"/>
        </w:rPr>
        <w:t>65</w:t>
      </w:r>
      <w:r w:rsidRPr="001F1399">
        <w:rPr>
          <w:rFonts w:ascii="Book Antiqua" w:hAnsi="Book Antiqua"/>
          <w:sz w:val="24"/>
          <w:szCs w:val="24"/>
          <w:lang w:val="en-US"/>
        </w:rPr>
        <w:t>: 369-382 [PMID: 14432658 DOI: 10.1210/endo-65-3-369]</w:t>
      </w:r>
    </w:p>
    <w:p w14:paraId="002D934C" w14:textId="4F3D503F" w:rsidR="00AA4BC8" w:rsidRPr="001F1399" w:rsidRDefault="00C076F3" w:rsidP="002974FA">
      <w:pPr>
        <w:adjustRightInd w:val="0"/>
        <w:snapToGrid w:val="0"/>
        <w:spacing w:after="0" w:line="360" w:lineRule="auto"/>
        <w:jc w:val="both"/>
        <w:rPr>
          <w:rFonts w:ascii="Book Antiqua" w:hAnsi="Book Antiqua"/>
          <w:sz w:val="24"/>
          <w:szCs w:val="24"/>
          <w:lang w:val="en-US"/>
        </w:rPr>
      </w:pPr>
      <w:r w:rsidRPr="001F1399">
        <w:rPr>
          <w:rFonts w:ascii="Book Antiqua" w:hAnsi="Book Antiqua"/>
          <w:sz w:val="24"/>
          <w:szCs w:val="24"/>
          <w:lang w:val="en-US"/>
        </w:rPr>
        <w:t>2</w:t>
      </w:r>
      <w:r w:rsidR="00105053" w:rsidRPr="001F1399">
        <w:rPr>
          <w:rFonts w:ascii="Book Antiqua" w:hAnsi="Book Antiqua"/>
          <w:sz w:val="24"/>
          <w:szCs w:val="24"/>
          <w:lang w:val="en-US"/>
        </w:rPr>
        <w:t>29</w:t>
      </w:r>
      <w:r w:rsidRPr="001F1399">
        <w:rPr>
          <w:rFonts w:ascii="Book Antiqua" w:hAnsi="Book Antiqua"/>
          <w:sz w:val="24"/>
          <w:szCs w:val="24"/>
          <w:lang w:val="en-US"/>
        </w:rPr>
        <w:t xml:space="preserve"> </w:t>
      </w:r>
      <w:r w:rsidRPr="001F1399">
        <w:rPr>
          <w:rFonts w:ascii="Book Antiqua" w:hAnsi="Book Antiqua"/>
          <w:b/>
          <w:sz w:val="24"/>
          <w:szCs w:val="24"/>
          <w:lang w:val="en-US"/>
        </w:rPr>
        <w:t>Wood RI</w:t>
      </w:r>
      <w:r w:rsidRPr="001F1399">
        <w:rPr>
          <w:rFonts w:ascii="Book Antiqua" w:hAnsi="Book Antiqua"/>
          <w:sz w:val="24"/>
          <w:szCs w:val="24"/>
          <w:lang w:val="en-US"/>
        </w:rPr>
        <w:t xml:space="preserve">, Foster DL. Sexual differentiation of reproductive neuroendocrine function in sheep. </w:t>
      </w:r>
      <w:r w:rsidRPr="001F1399">
        <w:rPr>
          <w:rFonts w:ascii="Book Antiqua" w:hAnsi="Book Antiqua"/>
          <w:i/>
          <w:sz w:val="24"/>
          <w:szCs w:val="24"/>
          <w:lang w:val="en-US"/>
        </w:rPr>
        <w:t>Rev Reprod</w:t>
      </w:r>
      <w:r w:rsidRPr="001F1399">
        <w:rPr>
          <w:rFonts w:ascii="Book Antiqua" w:hAnsi="Book Antiqua"/>
          <w:sz w:val="24"/>
          <w:szCs w:val="24"/>
          <w:lang w:val="en-US"/>
        </w:rPr>
        <w:t xml:space="preserve"> 1998; </w:t>
      </w:r>
      <w:r w:rsidRPr="001F1399">
        <w:rPr>
          <w:rFonts w:ascii="Book Antiqua" w:hAnsi="Book Antiqua"/>
          <w:b/>
          <w:sz w:val="24"/>
          <w:szCs w:val="24"/>
          <w:lang w:val="en-US"/>
        </w:rPr>
        <w:t>3</w:t>
      </w:r>
      <w:r w:rsidRPr="001F1399">
        <w:rPr>
          <w:rFonts w:ascii="Book Antiqua" w:hAnsi="Book Antiqua"/>
          <w:sz w:val="24"/>
          <w:szCs w:val="24"/>
          <w:lang w:val="en-US"/>
        </w:rPr>
        <w:t>: 130-140 [PMID: 9685192 DOI: 10.1530/ror.0.0030130]</w:t>
      </w:r>
    </w:p>
    <w:p w14:paraId="5199318B" w14:textId="77777777" w:rsidR="00061FC2" w:rsidRPr="001F1399" w:rsidRDefault="00061FC2" w:rsidP="002974FA">
      <w:pPr>
        <w:snapToGrid w:val="0"/>
        <w:spacing w:after="0" w:line="360" w:lineRule="auto"/>
        <w:jc w:val="both"/>
        <w:rPr>
          <w:rFonts w:ascii="Book Antiqua" w:eastAsia="Calibri" w:hAnsi="Book Antiqua" w:cs="Calibri"/>
          <w:b/>
          <w:bCs/>
          <w:sz w:val="24"/>
          <w:szCs w:val="24"/>
          <w:lang w:val="en-US"/>
        </w:rPr>
      </w:pPr>
      <w:r w:rsidRPr="001F1399">
        <w:rPr>
          <w:rFonts w:ascii="Book Antiqua" w:eastAsia="Calibri" w:hAnsi="Book Antiqua" w:cs="Calibri"/>
          <w:b/>
          <w:bCs/>
          <w:sz w:val="24"/>
          <w:szCs w:val="24"/>
          <w:lang w:val="en-US"/>
        </w:rPr>
        <w:br w:type="page"/>
      </w:r>
    </w:p>
    <w:p w14:paraId="0DACA703" w14:textId="77777777" w:rsidR="00353E91" w:rsidRPr="001F1399" w:rsidRDefault="00353E91" w:rsidP="002974FA">
      <w:pPr>
        <w:adjustRightInd w:val="0"/>
        <w:snapToGrid w:val="0"/>
        <w:spacing w:after="0" w:line="360" w:lineRule="auto"/>
        <w:jc w:val="both"/>
        <w:rPr>
          <w:rFonts w:ascii="Book Antiqua" w:hAnsi="Book Antiqua"/>
          <w:b/>
          <w:sz w:val="24"/>
          <w:szCs w:val="24"/>
        </w:rPr>
      </w:pPr>
      <w:r w:rsidRPr="001F1399">
        <w:rPr>
          <w:rFonts w:ascii="Book Antiqua" w:hAnsi="Book Antiqua"/>
          <w:b/>
          <w:sz w:val="24"/>
          <w:szCs w:val="24"/>
        </w:rPr>
        <w:lastRenderedPageBreak/>
        <w:t>Footnotes</w:t>
      </w:r>
    </w:p>
    <w:p w14:paraId="5CCCEB03" w14:textId="7C942F20" w:rsidR="00A06483" w:rsidRPr="001F1399" w:rsidRDefault="00353E91" w:rsidP="002974FA">
      <w:pPr>
        <w:adjustRightInd w:val="0"/>
        <w:snapToGrid w:val="0"/>
        <w:spacing w:after="0" w:line="360" w:lineRule="auto"/>
        <w:jc w:val="both"/>
        <w:rPr>
          <w:rFonts w:ascii="Book Antiqua" w:eastAsia="Calibri" w:hAnsi="Book Antiqua" w:cs="Calibri"/>
          <w:bCs/>
          <w:sz w:val="24"/>
          <w:szCs w:val="24"/>
          <w:lang w:val="en-US"/>
        </w:rPr>
      </w:pPr>
      <w:r w:rsidRPr="001F1399">
        <w:rPr>
          <w:rFonts w:ascii="Book Antiqua" w:hAnsi="Book Antiqua"/>
          <w:b/>
          <w:color w:val="000000"/>
          <w:sz w:val="24"/>
          <w:szCs w:val="24"/>
        </w:rPr>
        <w:t>Conflict-of-interest statement</w:t>
      </w:r>
      <w:r w:rsidRPr="001F1399">
        <w:rPr>
          <w:rFonts w:ascii="Book Antiqua" w:hAnsi="Book Antiqua"/>
          <w:b/>
          <w:sz w:val="24"/>
          <w:szCs w:val="24"/>
        </w:rPr>
        <w:t>:</w:t>
      </w:r>
      <w:r w:rsidRPr="001F1399">
        <w:rPr>
          <w:rFonts w:ascii="Book Antiqua" w:eastAsia="宋体" w:hAnsi="Book Antiqua" w:cs="TimesNewRomanPS-BoldItalicMT"/>
          <w:b/>
          <w:bCs/>
          <w:iCs/>
          <w:color w:val="000000"/>
          <w:sz w:val="24"/>
          <w:szCs w:val="24"/>
          <w:lang w:eastAsia="zh-CN"/>
        </w:rPr>
        <w:t xml:space="preserve"> </w:t>
      </w:r>
      <w:r w:rsidR="00A06483" w:rsidRPr="001F1399">
        <w:rPr>
          <w:rFonts w:ascii="Book Antiqua" w:eastAsia="Calibri" w:hAnsi="Book Antiqua" w:cs="Calibri"/>
          <w:bCs/>
          <w:sz w:val="24"/>
          <w:szCs w:val="24"/>
          <w:lang w:val="en-US"/>
        </w:rPr>
        <w:t>Authors declare no conflict of interests for this article</w:t>
      </w:r>
      <w:r w:rsidR="00D73513" w:rsidRPr="001F1399">
        <w:rPr>
          <w:rFonts w:ascii="Book Antiqua" w:eastAsia="Calibri" w:hAnsi="Book Antiqua" w:cs="Calibri"/>
          <w:bCs/>
          <w:sz w:val="24"/>
          <w:szCs w:val="24"/>
          <w:lang w:val="en-US"/>
        </w:rPr>
        <w:t>.</w:t>
      </w:r>
    </w:p>
    <w:p w14:paraId="4D1853A5" w14:textId="77777777" w:rsidR="00C73A76" w:rsidRPr="001F1399" w:rsidRDefault="00C73A76" w:rsidP="002974FA">
      <w:pPr>
        <w:adjustRightInd w:val="0"/>
        <w:snapToGrid w:val="0"/>
        <w:spacing w:after="0" w:line="360" w:lineRule="auto"/>
        <w:jc w:val="both"/>
        <w:rPr>
          <w:rFonts w:ascii="Book Antiqua" w:eastAsia="Calibri" w:hAnsi="Book Antiqua" w:cs="Calibri"/>
          <w:bCs/>
          <w:sz w:val="24"/>
          <w:szCs w:val="24"/>
          <w:lang w:val="en-US"/>
        </w:rPr>
      </w:pPr>
    </w:p>
    <w:p w14:paraId="69638EE1" w14:textId="77777777" w:rsidR="00353E91" w:rsidRPr="001F1399" w:rsidRDefault="00353E91" w:rsidP="002974FA">
      <w:pPr>
        <w:snapToGrid w:val="0"/>
        <w:spacing w:after="0" w:line="360" w:lineRule="auto"/>
        <w:jc w:val="both"/>
        <w:rPr>
          <w:rFonts w:ascii="Book Antiqua" w:hAnsi="Book Antiqua"/>
          <w:sz w:val="24"/>
          <w:szCs w:val="24"/>
        </w:rPr>
      </w:pPr>
      <w:r w:rsidRPr="001F1399">
        <w:rPr>
          <w:rFonts w:ascii="Book Antiqua" w:hAnsi="Book Antiqua"/>
          <w:b/>
          <w:color w:val="000000"/>
          <w:sz w:val="24"/>
          <w:szCs w:val="24"/>
        </w:rPr>
        <w:t>Open-Access:</w:t>
      </w:r>
      <w:r w:rsidRPr="001F1399">
        <w:rPr>
          <w:rFonts w:ascii="Book Antiqua" w:hAnsi="Book Antiqua"/>
          <w:color w:val="000000"/>
          <w:sz w:val="24"/>
          <w:szCs w:val="24"/>
        </w:rPr>
        <w:t xml:space="preserve"> This article is an open-access </w:t>
      </w:r>
      <w:r w:rsidRPr="001F1399">
        <w:rPr>
          <w:rFonts w:ascii="Book Antiqua" w:hAnsi="Book Antiqua"/>
          <w:sz w:val="24"/>
          <w:szCs w:val="24"/>
        </w:rPr>
        <w:t xml:space="preserve">article that was selected </w:t>
      </w:r>
      <w:r w:rsidRPr="001F1399">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B6D2E3F" w14:textId="77777777" w:rsidR="00353E91" w:rsidRPr="001F1399" w:rsidRDefault="00353E91" w:rsidP="002974FA">
      <w:pPr>
        <w:pStyle w:val="a9"/>
        <w:snapToGrid w:val="0"/>
        <w:spacing w:after="0" w:line="360" w:lineRule="auto"/>
        <w:jc w:val="both"/>
        <w:rPr>
          <w:rFonts w:ascii="Book Antiqua" w:eastAsia="宋体" w:hAnsi="Book Antiqua" w:cs="Times New Roman"/>
          <w:bCs/>
          <w:color w:val="000000"/>
          <w:sz w:val="24"/>
          <w:szCs w:val="24"/>
          <w:lang w:eastAsia="zh-CN"/>
        </w:rPr>
      </w:pPr>
    </w:p>
    <w:p w14:paraId="1693FEEE" w14:textId="59E7889F" w:rsidR="00353E91" w:rsidRPr="001F1399" w:rsidRDefault="00353E91" w:rsidP="002974FA">
      <w:pPr>
        <w:adjustRightInd w:val="0"/>
        <w:snapToGrid w:val="0"/>
        <w:spacing w:after="0" w:line="360" w:lineRule="auto"/>
        <w:jc w:val="both"/>
        <w:rPr>
          <w:rFonts w:ascii="Book Antiqua" w:hAnsi="Book Antiqua"/>
          <w:bCs/>
          <w:color w:val="000000"/>
          <w:sz w:val="24"/>
          <w:szCs w:val="24"/>
          <w:lang w:eastAsia="zh-CN"/>
        </w:rPr>
      </w:pPr>
      <w:r w:rsidRPr="001F1399">
        <w:rPr>
          <w:rFonts w:ascii="Book Antiqua" w:hAnsi="Book Antiqua"/>
          <w:b/>
          <w:bCs/>
          <w:color w:val="000000"/>
          <w:sz w:val="24"/>
          <w:szCs w:val="24"/>
          <w:lang w:eastAsia="pl-PL"/>
        </w:rPr>
        <w:t>Manuscript source:</w:t>
      </w:r>
      <w:r w:rsidRPr="001F1399">
        <w:rPr>
          <w:rFonts w:ascii="Book Antiqua" w:hAnsi="Book Antiqua"/>
          <w:b/>
          <w:bCs/>
          <w:color w:val="000000"/>
          <w:sz w:val="24"/>
          <w:szCs w:val="24"/>
          <w:lang w:eastAsia="zh-CN"/>
        </w:rPr>
        <w:t xml:space="preserve"> </w:t>
      </w:r>
      <w:r w:rsidRPr="001F1399">
        <w:rPr>
          <w:rFonts w:ascii="Book Antiqua" w:hAnsi="Book Antiqua"/>
          <w:bCs/>
          <w:color w:val="000000"/>
          <w:sz w:val="24"/>
          <w:szCs w:val="24"/>
          <w:lang w:eastAsia="pl-PL"/>
        </w:rPr>
        <w:t>Invited manuscript</w:t>
      </w:r>
    </w:p>
    <w:p w14:paraId="46A7B459" w14:textId="77777777" w:rsidR="00353E91" w:rsidRPr="001F1399" w:rsidRDefault="00353E91" w:rsidP="002974FA">
      <w:pPr>
        <w:adjustRightInd w:val="0"/>
        <w:snapToGrid w:val="0"/>
        <w:spacing w:after="0" w:line="360" w:lineRule="auto"/>
        <w:jc w:val="both"/>
        <w:rPr>
          <w:rFonts w:ascii="Book Antiqua" w:hAnsi="Book Antiqua"/>
          <w:b/>
          <w:bCs/>
          <w:color w:val="000000"/>
          <w:sz w:val="24"/>
          <w:szCs w:val="24"/>
          <w:lang w:eastAsia="zh-CN"/>
        </w:rPr>
      </w:pPr>
    </w:p>
    <w:p w14:paraId="609F8BB1" w14:textId="227125B6" w:rsidR="00353E91" w:rsidRPr="001F1399" w:rsidRDefault="00353E91" w:rsidP="002974FA">
      <w:pPr>
        <w:snapToGrid w:val="0"/>
        <w:spacing w:after="0" w:line="360" w:lineRule="auto"/>
        <w:jc w:val="both"/>
        <w:rPr>
          <w:rFonts w:ascii="Book Antiqua" w:eastAsia="宋体" w:hAnsi="Book Antiqua"/>
          <w:b/>
          <w:sz w:val="24"/>
          <w:szCs w:val="24"/>
          <w:lang w:eastAsia="zh-CN"/>
        </w:rPr>
      </w:pPr>
      <w:r w:rsidRPr="001F1399">
        <w:rPr>
          <w:rFonts w:ascii="Book Antiqua" w:hAnsi="Book Antiqua"/>
          <w:b/>
          <w:sz w:val="24"/>
          <w:szCs w:val="24"/>
        </w:rPr>
        <w:t>Peer-review started:</w:t>
      </w:r>
      <w:r w:rsidRPr="001F1399">
        <w:rPr>
          <w:rFonts w:ascii="Book Antiqua" w:eastAsia="宋体" w:hAnsi="Book Antiqua"/>
          <w:b/>
          <w:sz w:val="24"/>
          <w:szCs w:val="24"/>
          <w:lang w:eastAsia="zh-CN"/>
        </w:rPr>
        <w:t xml:space="preserve"> </w:t>
      </w:r>
      <w:r w:rsidRPr="001F1399">
        <w:rPr>
          <w:rFonts w:ascii="Book Antiqua" w:eastAsia="宋体" w:hAnsi="Book Antiqua"/>
          <w:sz w:val="24"/>
          <w:szCs w:val="24"/>
        </w:rPr>
        <w:t>January</w:t>
      </w:r>
      <w:r w:rsidRPr="001F1399">
        <w:rPr>
          <w:rFonts w:ascii="Book Antiqua" w:eastAsia="宋体" w:hAnsi="Book Antiqua"/>
          <w:sz w:val="24"/>
          <w:szCs w:val="24"/>
          <w:lang w:eastAsia="zh-CN"/>
        </w:rPr>
        <w:t xml:space="preserve"> 3</w:t>
      </w:r>
      <w:r w:rsidRPr="001F1399">
        <w:rPr>
          <w:rFonts w:ascii="Book Antiqua" w:eastAsia="宋体" w:hAnsi="Book Antiqua"/>
          <w:sz w:val="24"/>
          <w:szCs w:val="24"/>
        </w:rPr>
        <w:t>1</w:t>
      </w:r>
      <w:r w:rsidRPr="001F1399">
        <w:rPr>
          <w:rFonts w:ascii="Book Antiqua" w:eastAsia="宋体" w:hAnsi="Book Antiqua"/>
          <w:sz w:val="24"/>
          <w:szCs w:val="24"/>
          <w:lang w:eastAsia="zh-CN"/>
        </w:rPr>
        <w:t>, 20</w:t>
      </w:r>
      <w:r w:rsidRPr="001F1399">
        <w:rPr>
          <w:rFonts w:ascii="Book Antiqua" w:eastAsia="宋体" w:hAnsi="Book Antiqua"/>
          <w:sz w:val="24"/>
          <w:szCs w:val="24"/>
        </w:rPr>
        <w:t>20</w:t>
      </w:r>
    </w:p>
    <w:p w14:paraId="63BEF372" w14:textId="140BB382" w:rsidR="00353E91" w:rsidRPr="001F1399" w:rsidRDefault="00353E91" w:rsidP="002974FA">
      <w:pPr>
        <w:snapToGrid w:val="0"/>
        <w:spacing w:after="0" w:line="360" w:lineRule="auto"/>
        <w:jc w:val="both"/>
        <w:rPr>
          <w:rFonts w:ascii="Book Antiqua" w:eastAsia="宋体" w:hAnsi="Book Antiqua"/>
          <w:b/>
          <w:sz w:val="24"/>
          <w:szCs w:val="24"/>
          <w:lang w:eastAsia="zh-CN"/>
        </w:rPr>
      </w:pPr>
      <w:r w:rsidRPr="001F1399">
        <w:rPr>
          <w:rFonts w:ascii="Book Antiqua" w:hAnsi="Book Antiqua"/>
          <w:b/>
          <w:sz w:val="24"/>
          <w:szCs w:val="24"/>
        </w:rPr>
        <w:t>First decision:</w:t>
      </w:r>
      <w:r w:rsidRPr="001F1399">
        <w:rPr>
          <w:rFonts w:ascii="Book Antiqua" w:eastAsia="宋体" w:hAnsi="Book Antiqua"/>
          <w:b/>
          <w:sz w:val="24"/>
          <w:szCs w:val="24"/>
          <w:lang w:eastAsia="zh-CN"/>
        </w:rPr>
        <w:t xml:space="preserve"> </w:t>
      </w:r>
      <w:r w:rsidRPr="001F1399">
        <w:rPr>
          <w:rFonts w:ascii="Book Antiqua" w:eastAsia="宋体" w:hAnsi="Book Antiqua"/>
          <w:sz w:val="24"/>
          <w:szCs w:val="24"/>
        </w:rPr>
        <w:t>May</w:t>
      </w:r>
      <w:r w:rsidRPr="001F1399">
        <w:rPr>
          <w:rFonts w:ascii="Book Antiqua" w:eastAsia="宋体" w:hAnsi="Book Antiqua"/>
          <w:sz w:val="24"/>
          <w:szCs w:val="24"/>
          <w:lang w:eastAsia="zh-CN"/>
        </w:rPr>
        <w:t xml:space="preserve"> 1, 20</w:t>
      </w:r>
      <w:r w:rsidRPr="001F1399">
        <w:rPr>
          <w:rFonts w:ascii="Book Antiqua" w:eastAsia="宋体" w:hAnsi="Book Antiqua"/>
          <w:sz w:val="24"/>
          <w:szCs w:val="24"/>
        </w:rPr>
        <w:t>20</w:t>
      </w:r>
    </w:p>
    <w:p w14:paraId="2F8E36B4" w14:textId="1964D98A" w:rsidR="00353E91" w:rsidRPr="001F1399" w:rsidRDefault="00353E91" w:rsidP="002974FA">
      <w:pPr>
        <w:snapToGrid w:val="0"/>
        <w:spacing w:after="0" w:line="360" w:lineRule="auto"/>
        <w:jc w:val="both"/>
        <w:rPr>
          <w:rFonts w:ascii="Book Antiqua" w:hAnsi="Book Antiqua"/>
          <w:b/>
          <w:sz w:val="24"/>
          <w:szCs w:val="24"/>
        </w:rPr>
      </w:pPr>
      <w:r w:rsidRPr="001F1399">
        <w:rPr>
          <w:rFonts w:ascii="Book Antiqua" w:hAnsi="Book Antiqua"/>
          <w:b/>
          <w:sz w:val="24"/>
          <w:szCs w:val="24"/>
        </w:rPr>
        <w:t>Article in press:</w:t>
      </w:r>
      <w:r w:rsidR="00BC4DF4" w:rsidRPr="00BC4DF4">
        <w:rPr>
          <w:rFonts w:ascii="Book Antiqua" w:hAnsi="Book Antiqua"/>
          <w:color w:val="000000"/>
          <w:sz w:val="24"/>
          <w:szCs w:val="24"/>
        </w:rPr>
        <w:t xml:space="preserve"> </w:t>
      </w:r>
      <w:r w:rsidR="00BC4DF4" w:rsidRPr="001F1399">
        <w:rPr>
          <w:rFonts w:ascii="Book Antiqua" w:hAnsi="Book Antiqua"/>
          <w:color w:val="000000"/>
          <w:sz w:val="24"/>
          <w:szCs w:val="24"/>
        </w:rPr>
        <w:t>May 30, 2020</w:t>
      </w:r>
    </w:p>
    <w:p w14:paraId="7DD56C81" w14:textId="77777777" w:rsidR="00353E91" w:rsidRPr="001F1399" w:rsidRDefault="00353E91" w:rsidP="002974FA">
      <w:pPr>
        <w:snapToGrid w:val="0"/>
        <w:spacing w:after="0" w:line="360" w:lineRule="auto"/>
        <w:jc w:val="both"/>
        <w:rPr>
          <w:rFonts w:ascii="Book Antiqua" w:eastAsia="宋体" w:hAnsi="Book Antiqua"/>
          <w:color w:val="000000"/>
          <w:sz w:val="24"/>
          <w:szCs w:val="24"/>
          <w:lang w:eastAsia="zh-CN"/>
        </w:rPr>
      </w:pPr>
    </w:p>
    <w:p w14:paraId="7FB09E40" w14:textId="0FA207B6" w:rsidR="00353E91" w:rsidRPr="001F1399" w:rsidRDefault="00353E91" w:rsidP="002974FA">
      <w:pPr>
        <w:widowControl w:val="0"/>
        <w:adjustRightInd w:val="0"/>
        <w:snapToGrid w:val="0"/>
        <w:spacing w:after="0" w:line="360" w:lineRule="auto"/>
        <w:jc w:val="both"/>
        <w:rPr>
          <w:rFonts w:ascii="Book Antiqua" w:eastAsia="微软雅黑" w:hAnsi="Book Antiqua" w:cs="宋体"/>
          <w:sz w:val="24"/>
          <w:szCs w:val="24"/>
          <w:lang w:eastAsia="zh-CN"/>
        </w:rPr>
      </w:pPr>
      <w:r w:rsidRPr="001F1399">
        <w:rPr>
          <w:rFonts w:ascii="Book Antiqua" w:hAnsi="Book Antiqua" w:cs="宋体"/>
          <w:b/>
          <w:sz w:val="24"/>
          <w:szCs w:val="24"/>
          <w:lang w:eastAsia="zh-CN"/>
        </w:rPr>
        <w:t xml:space="preserve">Specialty type: </w:t>
      </w:r>
      <w:r w:rsidRPr="001F1399">
        <w:rPr>
          <w:rFonts w:ascii="Book Antiqua" w:eastAsia="微软雅黑" w:hAnsi="Book Antiqua" w:cs="宋体"/>
          <w:sz w:val="24"/>
          <w:szCs w:val="24"/>
          <w:lang w:eastAsia="zh-CN"/>
        </w:rPr>
        <w:t>Gastroenterology and hepatology</w:t>
      </w:r>
    </w:p>
    <w:p w14:paraId="35B3F42A" w14:textId="2C3CCBD3" w:rsidR="00353E91" w:rsidRPr="001F1399" w:rsidRDefault="00353E91" w:rsidP="002974FA">
      <w:pPr>
        <w:widowControl w:val="0"/>
        <w:adjustRightInd w:val="0"/>
        <w:snapToGrid w:val="0"/>
        <w:spacing w:after="0" w:line="360" w:lineRule="auto"/>
        <w:jc w:val="both"/>
        <w:rPr>
          <w:rFonts w:ascii="Book Antiqua" w:hAnsi="Book Antiqua" w:cs="宋体"/>
          <w:sz w:val="24"/>
          <w:szCs w:val="24"/>
          <w:lang w:eastAsia="zh-CN"/>
        </w:rPr>
      </w:pPr>
      <w:r w:rsidRPr="001F1399">
        <w:rPr>
          <w:rFonts w:ascii="Book Antiqua" w:hAnsi="Book Antiqua" w:cs="宋体"/>
          <w:b/>
          <w:sz w:val="24"/>
          <w:szCs w:val="24"/>
          <w:lang w:eastAsia="zh-CN"/>
        </w:rPr>
        <w:t xml:space="preserve">Country/Territory of origin: </w:t>
      </w:r>
      <w:r w:rsidRPr="001F1399">
        <w:rPr>
          <w:rFonts w:ascii="Book Antiqua" w:eastAsia="宋体" w:hAnsi="Book Antiqua"/>
          <w:sz w:val="24"/>
          <w:szCs w:val="24"/>
          <w:lang w:eastAsia="es-ES_tradnl"/>
        </w:rPr>
        <w:t>France</w:t>
      </w:r>
    </w:p>
    <w:p w14:paraId="53AAACEC" w14:textId="77777777" w:rsidR="00353E91" w:rsidRPr="001F1399" w:rsidRDefault="00353E91" w:rsidP="002974FA">
      <w:pPr>
        <w:widowControl w:val="0"/>
        <w:adjustRightInd w:val="0"/>
        <w:snapToGrid w:val="0"/>
        <w:spacing w:after="0" w:line="360" w:lineRule="auto"/>
        <w:jc w:val="both"/>
        <w:rPr>
          <w:rFonts w:ascii="Book Antiqua" w:hAnsi="Book Antiqua" w:cs="宋体"/>
          <w:b/>
          <w:sz w:val="24"/>
          <w:szCs w:val="24"/>
          <w:lang w:eastAsia="zh-CN"/>
        </w:rPr>
      </w:pPr>
      <w:r w:rsidRPr="001F1399">
        <w:rPr>
          <w:rFonts w:ascii="Book Antiqua" w:hAnsi="Book Antiqua" w:cs="宋体"/>
          <w:b/>
          <w:sz w:val="24"/>
          <w:szCs w:val="24"/>
          <w:lang w:eastAsia="zh-CN"/>
        </w:rPr>
        <w:t>Peer-review report’s scientific quality classification</w:t>
      </w:r>
    </w:p>
    <w:p w14:paraId="55B8C661" w14:textId="1ECB5113" w:rsidR="00353E91" w:rsidRPr="001F1399" w:rsidRDefault="00353E91" w:rsidP="002974FA">
      <w:pPr>
        <w:widowControl w:val="0"/>
        <w:adjustRightInd w:val="0"/>
        <w:snapToGrid w:val="0"/>
        <w:spacing w:after="0" w:line="360" w:lineRule="auto"/>
        <w:jc w:val="both"/>
        <w:rPr>
          <w:rFonts w:ascii="Book Antiqua" w:hAnsi="Book Antiqua" w:cs="宋体"/>
          <w:sz w:val="24"/>
          <w:szCs w:val="24"/>
          <w:lang w:eastAsia="zh-CN"/>
        </w:rPr>
      </w:pPr>
      <w:r w:rsidRPr="001F1399">
        <w:rPr>
          <w:rFonts w:ascii="Book Antiqua" w:hAnsi="Book Antiqua" w:cs="宋体"/>
          <w:sz w:val="24"/>
          <w:szCs w:val="24"/>
          <w:lang w:eastAsia="zh-CN"/>
        </w:rPr>
        <w:t>Grade A (Excellent): 0</w:t>
      </w:r>
    </w:p>
    <w:p w14:paraId="2C9F5F9D" w14:textId="336419BF" w:rsidR="00353E91" w:rsidRPr="001F1399" w:rsidRDefault="00353E91" w:rsidP="002974FA">
      <w:pPr>
        <w:widowControl w:val="0"/>
        <w:adjustRightInd w:val="0"/>
        <w:snapToGrid w:val="0"/>
        <w:spacing w:after="0" w:line="360" w:lineRule="auto"/>
        <w:jc w:val="both"/>
        <w:rPr>
          <w:rFonts w:ascii="Book Antiqua" w:eastAsia="宋体" w:hAnsi="Book Antiqua" w:cs="宋体"/>
          <w:sz w:val="24"/>
          <w:szCs w:val="24"/>
          <w:lang w:eastAsia="zh-CN"/>
        </w:rPr>
      </w:pPr>
      <w:r w:rsidRPr="001F1399">
        <w:rPr>
          <w:rFonts w:ascii="Book Antiqua" w:hAnsi="Book Antiqua" w:cs="宋体"/>
          <w:sz w:val="24"/>
          <w:szCs w:val="24"/>
          <w:lang w:eastAsia="zh-CN"/>
        </w:rPr>
        <w:t xml:space="preserve">Grade B (Very good): </w:t>
      </w:r>
      <w:r w:rsidRPr="001F1399">
        <w:rPr>
          <w:rFonts w:ascii="Book Antiqua" w:eastAsia="宋体" w:hAnsi="Book Antiqua" w:cs="宋体"/>
          <w:sz w:val="24"/>
          <w:szCs w:val="24"/>
          <w:lang w:eastAsia="zh-CN"/>
        </w:rPr>
        <w:t>B</w:t>
      </w:r>
    </w:p>
    <w:p w14:paraId="7923E4D8" w14:textId="064BEE37" w:rsidR="00353E91" w:rsidRPr="001F1399" w:rsidRDefault="00353E91" w:rsidP="002974FA">
      <w:pPr>
        <w:widowControl w:val="0"/>
        <w:adjustRightInd w:val="0"/>
        <w:snapToGrid w:val="0"/>
        <w:spacing w:after="0" w:line="360" w:lineRule="auto"/>
        <w:jc w:val="both"/>
        <w:rPr>
          <w:rFonts w:ascii="Book Antiqua" w:hAnsi="Book Antiqua" w:cs="宋体"/>
          <w:sz w:val="24"/>
          <w:szCs w:val="24"/>
          <w:lang w:eastAsia="zh-CN"/>
        </w:rPr>
      </w:pPr>
      <w:r w:rsidRPr="001F1399">
        <w:rPr>
          <w:rFonts w:ascii="Book Antiqua" w:hAnsi="Book Antiqua" w:cs="宋体"/>
          <w:sz w:val="24"/>
          <w:szCs w:val="24"/>
          <w:lang w:eastAsia="zh-CN"/>
        </w:rPr>
        <w:t>Grade C (Good): 0</w:t>
      </w:r>
    </w:p>
    <w:p w14:paraId="710F385D" w14:textId="77777777" w:rsidR="00353E91" w:rsidRPr="001F1399" w:rsidRDefault="00353E91" w:rsidP="002974FA">
      <w:pPr>
        <w:widowControl w:val="0"/>
        <w:adjustRightInd w:val="0"/>
        <w:snapToGrid w:val="0"/>
        <w:spacing w:after="0" w:line="360" w:lineRule="auto"/>
        <w:jc w:val="both"/>
        <w:rPr>
          <w:rFonts w:ascii="Book Antiqua" w:hAnsi="Book Antiqua" w:cs="宋体"/>
          <w:sz w:val="24"/>
          <w:szCs w:val="24"/>
          <w:lang w:eastAsia="zh-CN"/>
        </w:rPr>
      </w:pPr>
      <w:r w:rsidRPr="001F1399">
        <w:rPr>
          <w:rFonts w:ascii="Book Antiqua" w:hAnsi="Book Antiqua" w:cs="宋体"/>
          <w:sz w:val="24"/>
          <w:szCs w:val="24"/>
          <w:lang w:eastAsia="zh-CN"/>
        </w:rPr>
        <w:t>Grade D (Fair): 0</w:t>
      </w:r>
    </w:p>
    <w:p w14:paraId="6FF23866" w14:textId="77777777" w:rsidR="00353E91" w:rsidRPr="001F1399" w:rsidRDefault="00353E91" w:rsidP="002974FA">
      <w:pPr>
        <w:widowControl w:val="0"/>
        <w:adjustRightInd w:val="0"/>
        <w:snapToGrid w:val="0"/>
        <w:spacing w:after="0" w:line="360" w:lineRule="auto"/>
        <w:jc w:val="both"/>
        <w:rPr>
          <w:rFonts w:ascii="Book Antiqua" w:eastAsia="等线" w:hAnsi="Book Antiqua"/>
          <w:kern w:val="2"/>
          <w:sz w:val="24"/>
          <w:szCs w:val="24"/>
          <w:lang w:val="hu-HU" w:eastAsia="zh-CN"/>
        </w:rPr>
      </w:pPr>
      <w:r w:rsidRPr="001F1399">
        <w:rPr>
          <w:rFonts w:ascii="Book Antiqua" w:hAnsi="Book Antiqua" w:cs="宋体"/>
          <w:sz w:val="24"/>
          <w:szCs w:val="24"/>
          <w:lang w:eastAsia="zh-CN"/>
        </w:rPr>
        <w:t>Grade E (Poor): 0</w:t>
      </w:r>
    </w:p>
    <w:p w14:paraId="3A6AA18F" w14:textId="77777777" w:rsidR="00353E91" w:rsidRPr="001F1399" w:rsidRDefault="00353E91" w:rsidP="002974FA">
      <w:pPr>
        <w:snapToGrid w:val="0"/>
        <w:spacing w:after="0" w:line="360" w:lineRule="auto"/>
        <w:jc w:val="both"/>
        <w:rPr>
          <w:rFonts w:ascii="Book Antiqua" w:eastAsia="宋体" w:hAnsi="Book Antiqua"/>
          <w:b/>
          <w:sz w:val="24"/>
          <w:szCs w:val="24"/>
          <w:lang w:val="hu-HU" w:eastAsia="zh-CN"/>
        </w:rPr>
      </w:pPr>
    </w:p>
    <w:p w14:paraId="27C4B235" w14:textId="66B4ACEC" w:rsidR="00353E91" w:rsidRPr="001F1399" w:rsidRDefault="00353E91" w:rsidP="002974FA">
      <w:pPr>
        <w:snapToGrid w:val="0"/>
        <w:spacing w:after="0" w:line="360" w:lineRule="auto"/>
        <w:jc w:val="both"/>
        <w:rPr>
          <w:rFonts w:ascii="Book Antiqua" w:eastAsia="宋体" w:hAnsi="Book Antiqua" w:cs="宋体" w:hint="eastAsia"/>
          <w:sz w:val="24"/>
          <w:szCs w:val="24"/>
          <w:lang w:val="en-US" w:eastAsia="zh-CN"/>
        </w:rPr>
      </w:pPr>
      <w:r w:rsidRPr="001F1399">
        <w:rPr>
          <w:rFonts w:ascii="Book Antiqua" w:hAnsi="Book Antiqua"/>
          <w:b/>
          <w:sz w:val="24"/>
          <w:szCs w:val="24"/>
        </w:rPr>
        <w:t>P- Reviewer:</w:t>
      </w:r>
      <w:r w:rsidRPr="001F1399">
        <w:rPr>
          <w:rFonts w:ascii="Book Antiqua" w:eastAsia="宋体" w:hAnsi="Book Antiqua"/>
          <w:b/>
          <w:sz w:val="24"/>
          <w:szCs w:val="24"/>
          <w:lang w:eastAsia="zh-CN"/>
        </w:rPr>
        <w:t xml:space="preserve"> </w:t>
      </w:r>
      <w:r w:rsidRPr="001F1399">
        <w:rPr>
          <w:rFonts w:ascii="Book Antiqua" w:eastAsia="宋体" w:hAnsi="Book Antiqua" w:cs="宋体"/>
          <w:color w:val="000000"/>
          <w:sz w:val="24"/>
          <w:szCs w:val="24"/>
          <w:shd w:val="clear" w:color="auto" w:fill="FFFFFF"/>
          <w:lang w:val="en-US" w:eastAsia="zh-CN"/>
        </w:rPr>
        <w:t>Mortazavian</w:t>
      </w:r>
      <w:r w:rsidRPr="001F1399">
        <w:rPr>
          <w:rFonts w:ascii="Book Antiqua" w:eastAsia="宋体" w:hAnsi="Book Antiqua" w:cs="宋体"/>
          <w:sz w:val="24"/>
          <w:szCs w:val="24"/>
          <w:lang w:val="en-US" w:eastAsia="zh-CN"/>
        </w:rPr>
        <w:t xml:space="preserve"> AM</w:t>
      </w:r>
      <w:r w:rsidRPr="001F1399">
        <w:rPr>
          <w:rFonts w:ascii="Book Antiqua" w:eastAsia="宋体" w:hAnsi="Book Antiqua" w:cs="宋体"/>
          <w:color w:val="000000"/>
          <w:sz w:val="24"/>
          <w:szCs w:val="24"/>
          <w:lang w:eastAsia="zh-CN"/>
        </w:rPr>
        <w:t xml:space="preserve"> </w:t>
      </w:r>
      <w:r w:rsidRPr="001F1399">
        <w:rPr>
          <w:rFonts w:ascii="Book Antiqua" w:hAnsi="Book Antiqua"/>
          <w:b/>
          <w:sz w:val="24"/>
          <w:szCs w:val="24"/>
        </w:rPr>
        <w:t>S- Editor:</w:t>
      </w:r>
      <w:r w:rsidRPr="001F1399">
        <w:rPr>
          <w:rFonts w:ascii="Book Antiqua" w:hAnsi="Book Antiqua"/>
          <w:sz w:val="24"/>
          <w:szCs w:val="24"/>
        </w:rPr>
        <w:t xml:space="preserve"> Dou Y</w:t>
      </w:r>
      <w:r w:rsidRPr="001F1399">
        <w:rPr>
          <w:rFonts w:ascii="Book Antiqua" w:hAnsi="Book Antiqua"/>
          <w:b/>
          <w:sz w:val="24"/>
          <w:szCs w:val="24"/>
        </w:rPr>
        <w:t xml:space="preserve"> L- Editor:</w:t>
      </w:r>
      <w:r w:rsidR="00BC4DF4">
        <w:rPr>
          <w:rFonts w:ascii="Book Antiqua" w:hAnsi="Book Antiqua" w:hint="eastAsia"/>
          <w:b/>
          <w:sz w:val="24"/>
          <w:szCs w:val="24"/>
          <w:lang w:eastAsia="zh-CN"/>
        </w:rPr>
        <w:t xml:space="preserve"> A</w:t>
      </w:r>
      <w:bookmarkStart w:id="16" w:name="_GoBack"/>
      <w:bookmarkEnd w:id="16"/>
      <w:r w:rsidR="00BC4DF4">
        <w:rPr>
          <w:rFonts w:ascii="Book Antiqua" w:hAnsi="Book Antiqua" w:hint="eastAsia"/>
          <w:b/>
          <w:sz w:val="24"/>
          <w:szCs w:val="24"/>
          <w:lang w:eastAsia="zh-CN"/>
        </w:rPr>
        <w:t xml:space="preserve">  </w:t>
      </w:r>
      <w:r w:rsidRPr="001F1399">
        <w:rPr>
          <w:rFonts w:ascii="Book Antiqua" w:hAnsi="Book Antiqua"/>
          <w:sz w:val="24"/>
          <w:szCs w:val="24"/>
        </w:rPr>
        <w:t xml:space="preserve"> </w:t>
      </w:r>
      <w:r w:rsidRPr="001F1399">
        <w:rPr>
          <w:rFonts w:ascii="Book Antiqua" w:hAnsi="Book Antiqua"/>
          <w:b/>
          <w:sz w:val="24"/>
          <w:szCs w:val="24"/>
        </w:rPr>
        <w:t>E- Editor:</w:t>
      </w:r>
      <w:r w:rsidR="00BC4DF4">
        <w:rPr>
          <w:rFonts w:ascii="Book Antiqua" w:hAnsi="Book Antiqua" w:hint="eastAsia"/>
          <w:b/>
          <w:sz w:val="24"/>
          <w:szCs w:val="24"/>
          <w:lang w:eastAsia="zh-CN"/>
        </w:rPr>
        <w:t xml:space="preserve"> </w:t>
      </w:r>
      <w:r w:rsidR="00BC4DF4" w:rsidRPr="00BC4DF4">
        <w:rPr>
          <w:rFonts w:ascii="Book Antiqua" w:hAnsi="Book Antiqua" w:hint="eastAsia"/>
          <w:sz w:val="24"/>
          <w:szCs w:val="24"/>
          <w:lang w:eastAsia="zh-CN"/>
        </w:rPr>
        <w:t>Ma YJ</w:t>
      </w:r>
    </w:p>
    <w:p w14:paraId="1DD45BC5" w14:textId="77777777" w:rsidR="00A75AFE" w:rsidRPr="001F1399" w:rsidRDefault="00A75AFE" w:rsidP="002974FA">
      <w:pPr>
        <w:adjustRightInd w:val="0"/>
        <w:snapToGrid w:val="0"/>
        <w:spacing w:after="0" w:line="360" w:lineRule="auto"/>
        <w:jc w:val="both"/>
        <w:rPr>
          <w:rFonts w:ascii="Book Antiqua" w:eastAsia="Calibri" w:hAnsi="Book Antiqua" w:cs="Calibri"/>
          <w:bCs/>
          <w:sz w:val="24"/>
          <w:szCs w:val="24"/>
          <w:lang w:val="en-US"/>
        </w:rPr>
      </w:pPr>
      <w:r w:rsidRPr="001F1399">
        <w:rPr>
          <w:rFonts w:ascii="Book Antiqua" w:eastAsia="Calibri" w:hAnsi="Book Antiqua" w:cs="Calibri"/>
          <w:bCs/>
          <w:sz w:val="24"/>
          <w:szCs w:val="24"/>
          <w:lang w:val="en-US"/>
        </w:rPr>
        <w:br w:type="page"/>
      </w:r>
    </w:p>
    <w:p w14:paraId="5D9F230C" w14:textId="77777777" w:rsidR="00353E91" w:rsidRPr="001F1399" w:rsidRDefault="00353E91" w:rsidP="002974FA">
      <w:pPr>
        <w:adjustRightInd w:val="0"/>
        <w:snapToGrid w:val="0"/>
        <w:spacing w:after="0" w:line="360" w:lineRule="auto"/>
        <w:jc w:val="both"/>
        <w:rPr>
          <w:rFonts w:ascii="Book Antiqua" w:eastAsia="宋体" w:hAnsi="Book Antiqua"/>
          <w:b/>
          <w:sz w:val="24"/>
          <w:szCs w:val="24"/>
          <w:lang w:eastAsia="zh-CN"/>
        </w:rPr>
      </w:pPr>
      <w:r w:rsidRPr="001F1399">
        <w:rPr>
          <w:rFonts w:ascii="Book Antiqua" w:hAnsi="Book Antiqua"/>
          <w:b/>
          <w:sz w:val="24"/>
          <w:szCs w:val="24"/>
        </w:rPr>
        <w:lastRenderedPageBreak/>
        <w:t>Figure Legends</w:t>
      </w:r>
    </w:p>
    <w:p w14:paraId="5E522A15" w14:textId="7A458677" w:rsidR="00A75AFE" w:rsidRPr="001F1399" w:rsidRDefault="00D27119" w:rsidP="002974FA">
      <w:pPr>
        <w:adjustRightInd w:val="0"/>
        <w:snapToGrid w:val="0"/>
        <w:spacing w:after="0" w:line="360" w:lineRule="auto"/>
        <w:jc w:val="both"/>
        <w:rPr>
          <w:rFonts w:ascii="Book Antiqua" w:eastAsia="Calibri" w:hAnsi="Book Antiqua" w:cs="Calibri"/>
          <w:bCs/>
          <w:sz w:val="24"/>
          <w:szCs w:val="24"/>
          <w:lang w:val="en-US"/>
        </w:rPr>
      </w:pPr>
      <w:r w:rsidRPr="001F1399">
        <w:rPr>
          <w:rFonts w:ascii="Book Antiqua" w:eastAsia="Calibri" w:hAnsi="Book Antiqua" w:cs="Calibri"/>
          <w:bCs/>
          <w:noProof/>
          <w:sz w:val="24"/>
          <w:szCs w:val="24"/>
          <w:lang w:val="en-US" w:eastAsia="zh-CN"/>
        </w:rPr>
        <w:drawing>
          <wp:inline distT="0" distB="0" distL="0" distR="0" wp14:anchorId="57C67BF3" wp14:editId="22A26EB1">
            <wp:extent cx="5941060" cy="2902585"/>
            <wp:effectExtent l="0" t="0" r="2540" b="5715"/>
            <wp:docPr id="4" name="图片 4" descr="电视游戏的萤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1060" cy="2902585"/>
                    </a:xfrm>
                    <a:prstGeom prst="rect">
                      <a:avLst/>
                    </a:prstGeom>
                  </pic:spPr>
                </pic:pic>
              </a:graphicData>
            </a:graphic>
          </wp:inline>
        </w:drawing>
      </w:r>
    </w:p>
    <w:p w14:paraId="4CA55703" w14:textId="2CD5566F" w:rsidR="00A75AFE" w:rsidRPr="001F1399" w:rsidRDefault="002528A9" w:rsidP="002974FA">
      <w:pPr>
        <w:adjustRightInd w:val="0"/>
        <w:snapToGrid w:val="0"/>
        <w:spacing w:after="0" w:line="360" w:lineRule="auto"/>
        <w:jc w:val="both"/>
        <w:rPr>
          <w:rFonts w:ascii="Book Antiqua" w:eastAsia="Calibri" w:hAnsi="Book Antiqua" w:cs="Calibri"/>
          <w:sz w:val="24"/>
          <w:szCs w:val="24"/>
          <w:lang w:val="en-US"/>
        </w:rPr>
      </w:pPr>
      <w:r w:rsidRPr="001F1399">
        <w:rPr>
          <w:rFonts w:ascii="Book Antiqua" w:eastAsia="Calibri" w:hAnsi="Book Antiqua" w:cs="Calibri"/>
          <w:b/>
          <w:bCs/>
          <w:sz w:val="24"/>
          <w:szCs w:val="24"/>
          <w:lang w:val="en-US"/>
        </w:rPr>
        <w:t xml:space="preserve">Figure 1 Hypothesis on the impact of food contaminants on prenatal and postnatal gut homeostasis misprogramming and its consequences on the etiology of </w:t>
      </w:r>
      <w:r w:rsidR="00A75AFE" w:rsidRPr="001F1399">
        <w:rPr>
          <w:rFonts w:ascii="Book Antiqua" w:eastAsia="Calibri" w:hAnsi="Book Antiqua" w:cs="Calibri"/>
          <w:b/>
          <w:bCs/>
          <w:sz w:val="24"/>
          <w:szCs w:val="24"/>
          <w:lang w:val="en-US"/>
        </w:rPr>
        <w:t>non-communicable</w:t>
      </w:r>
      <w:r w:rsidRPr="001F1399">
        <w:rPr>
          <w:rFonts w:ascii="Book Antiqua" w:eastAsia="Calibri" w:hAnsi="Book Antiqua" w:cs="Calibri"/>
          <w:b/>
          <w:bCs/>
          <w:sz w:val="24"/>
          <w:szCs w:val="24"/>
          <w:lang w:val="en-US"/>
        </w:rPr>
        <w:t xml:space="preserve"> chronic diseases.</w:t>
      </w:r>
      <w:r w:rsidRPr="001F1399">
        <w:rPr>
          <w:rFonts w:ascii="Book Antiqua" w:eastAsia="Calibri" w:hAnsi="Book Antiqua" w:cs="Calibri"/>
          <w:bCs/>
          <w:sz w:val="24"/>
          <w:szCs w:val="24"/>
          <w:lang w:val="en-US"/>
        </w:rPr>
        <w:t xml:space="preserve"> During pregnancy and infancy, repeated exposure of fetus and then infant to food contaminants is presumed to be at the origin of altered gut homeostasis due to missettlement of neuro</w:t>
      </w:r>
      <w:r w:rsidR="00A75AFE" w:rsidRPr="001F1399">
        <w:rPr>
          <w:rFonts w:ascii="Book Antiqua" w:eastAsia="Calibri" w:hAnsi="Book Antiqua" w:cs="Calibri"/>
          <w:bCs/>
          <w:sz w:val="24"/>
          <w:szCs w:val="24"/>
          <w:lang w:val="en-US"/>
        </w:rPr>
        <w:t>-</w:t>
      </w:r>
      <w:r w:rsidRPr="001F1399">
        <w:rPr>
          <w:rFonts w:ascii="Book Antiqua" w:eastAsia="Calibri" w:hAnsi="Book Antiqua" w:cs="Calibri"/>
          <w:bCs/>
          <w:sz w:val="24"/>
          <w:szCs w:val="24"/>
          <w:lang w:val="en-US"/>
        </w:rPr>
        <w:t>immuno</w:t>
      </w:r>
      <w:r w:rsidR="00A75AFE" w:rsidRPr="001F1399">
        <w:rPr>
          <w:rFonts w:ascii="Book Antiqua" w:eastAsia="Calibri" w:hAnsi="Book Antiqua" w:cs="Calibri"/>
          <w:bCs/>
          <w:sz w:val="24"/>
          <w:szCs w:val="24"/>
          <w:lang w:val="en-US"/>
        </w:rPr>
        <w:t>-</w:t>
      </w:r>
      <w:r w:rsidRPr="001F1399">
        <w:rPr>
          <w:rFonts w:ascii="Book Antiqua" w:eastAsia="Calibri" w:hAnsi="Book Antiqua" w:cs="Calibri"/>
          <w:bCs/>
          <w:sz w:val="24"/>
          <w:szCs w:val="24"/>
          <w:lang w:val="en-US"/>
        </w:rPr>
        <w:t xml:space="preserve">endocrine crosstalks and microbiota diversification and densification. Furthermore, also due to these contaminants, the brain/gut axis exchanges might not settle properly. All these modifications during the perinatal period may later in life predispose to the appearance of </w:t>
      </w:r>
      <w:r w:rsidR="00353E91" w:rsidRPr="001F1399">
        <w:rPr>
          <w:rFonts w:ascii="Book Antiqua" w:eastAsia="Calibri" w:hAnsi="Book Antiqua" w:cs="Calibri"/>
          <w:sz w:val="24"/>
          <w:szCs w:val="24"/>
          <w:lang w:val="en-US"/>
        </w:rPr>
        <w:t xml:space="preserve">non-communicable chronic diseases </w:t>
      </w:r>
      <w:r w:rsidRPr="001F1399">
        <w:rPr>
          <w:rFonts w:ascii="Book Antiqua" w:eastAsia="Calibri" w:hAnsi="Book Antiqua" w:cs="Calibri"/>
          <w:sz w:val="24"/>
          <w:szCs w:val="24"/>
          <w:lang w:val="en-US"/>
        </w:rPr>
        <w:t xml:space="preserve">among which cœliac disease, allergies, </w:t>
      </w:r>
      <w:r w:rsidR="00D27119" w:rsidRPr="001F1399">
        <w:rPr>
          <w:rFonts w:ascii="Book Antiqua" w:eastAsia="Calibri" w:hAnsi="Book Antiqua" w:cs="Calibri"/>
          <w:sz w:val="24"/>
          <w:szCs w:val="24"/>
          <w:lang w:val="en-US"/>
        </w:rPr>
        <w:t>inflammatory bowel disease</w:t>
      </w:r>
      <w:r w:rsidRPr="001F1399">
        <w:rPr>
          <w:rFonts w:ascii="Book Antiqua" w:eastAsia="Calibri" w:hAnsi="Book Antiqua" w:cs="Calibri"/>
          <w:sz w:val="24"/>
          <w:szCs w:val="24"/>
          <w:lang w:val="en-US"/>
        </w:rPr>
        <w:t>, metabolic syndrome, depression</w:t>
      </w:r>
      <w:r w:rsidR="00D27119" w:rsidRPr="001F1399">
        <w:rPr>
          <w:rFonts w:ascii="Book Antiqua" w:eastAsia="Calibri" w:hAnsi="Book Antiqua" w:cs="Calibri"/>
          <w:sz w:val="24"/>
          <w:szCs w:val="24"/>
          <w:lang w:val="en-US"/>
        </w:rPr>
        <w:t xml:space="preserve">, </w:t>
      </w:r>
      <w:r w:rsidR="00D27119" w:rsidRPr="001F1399">
        <w:rPr>
          <w:rFonts w:ascii="Book Antiqua" w:eastAsia="Calibri" w:hAnsi="Book Antiqua" w:cs="Calibri"/>
          <w:i/>
          <w:iCs/>
          <w:sz w:val="24"/>
          <w:szCs w:val="24"/>
          <w:lang w:val="en-US"/>
        </w:rPr>
        <w:t>etc</w:t>
      </w:r>
      <w:r w:rsidR="00D27119" w:rsidRPr="001F1399">
        <w:rPr>
          <w:rFonts w:ascii="Book Antiqua" w:eastAsia="Calibri" w:hAnsi="Book Antiqua" w:cs="Calibri"/>
          <w:sz w:val="24"/>
          <w:szCs w:val="24"/>
          <w:lang w:val="en-US"/>
        </w:rPr>
        <w:t xml:space="preserve">. </w:t>
      </w:r>
      <w:r w:rsidRPr="001F1399">
        <w:rPr>
          <w:rFonts w:ascii="Book Antiqua" w:eastAsia="Calibri" w:hAnsi="Book Antiqua" w:cs="Calibri"/>
          <w:sz w:val="24"/>
          <w:szCs w:val="24"/>
          <w:lang w:val="en-US"/>
        </w:rPr>
        <w:t xml:space="preserve">At the bottom of the figure, are presented the main consequences on gut homeostasis observed at each stage of life. </w:t>
      </w:r>
      <w:r w:rsidR="00D27119" w:rsidRPr="001F1399">
        <w:rPr>
          <w:rFonts w:ascii="Book Antiqua" w:eastAsia="Calibri" w:hAnsi="Book Antiqua" w:cs="Calibri"/>
          <w:sz w:val="24"/>
          <w:szCs w:val="24"/>
          <w:lang w:val="en-US"/>
        </w:rPr>
        <w:t xml:space="preserve">MRPs: </w:t>
      </w:r>
      <w:r w:rsidR="00D27119" w:rsidRPr="001F1399">
        <w:rPr>
          <w:rFonts w:ascii="Book Antiqua" w:hAnsi="Book Antiqua"/>
          <w:sz w:val="24"/>
          <w:szCs w:val="24"/>
          <w:lang w:val="en-US"/>
        </w:rPr>
        <w:t>Maillard reaction products;</w:t>
      </w:r>
      <w:r w:rsidR="00D27119" w:rsidRPr="001F1399">
        <w:rPr>
          <w:rFonts w:ascii="Book Antiqua" w:eastAsia="Calibri" w:hAnsi="Book Antiqua" w:cs="Calibri"/>
          <w:sz w:val="24"/>
          <w:szCs w:val="24"/>
          <w:lang w:val="en-US"/>
        </w:rPr>
        <w:t xml:space="preserve"> POPs:</w:t>
      </w:r>
      <w:r w:rsidR="00D27119" w:rsidRPr="001F1399">
        <w:rPr>
          <w:rFonts w:ascii="Book Antiqua" w:hAnsi="Book Antiqua"/>
          <w:sz w:val="24"/>
          <w:szCs w:val="24"/>
          <w:lang w:val="en-US"/>
        </w:rPr>
        <w:t xml:space="preserve"> Persistent organic pollutants.</w:t>
      </w:r>
    </w:p>
    <w:p w14:paraId="27DCCD00" w14:textId="485294F0" w:rsidR="00A75AFE" w:rsidRPr="001F1399" w:rsidRDefault="00A75AFE" w:rsidP="002974FA">
      <w:pPr>
        <w:adjustRightInd w:val="0"/>
        <w:snapToGrid w:val="0"/>
        <w:spacing w:after="0" w:line="360" w:lineRule="auto"/>
        <w:ind w:left="-567"/>
        <w:jc w:val="both"/>
        <w:rPr>
          <w:rFonts w:ascii="Book Antiqua" w:eastAsia="Calibri" w:hAnsi="Book Antiqua" w:cs="Calibri"/>
          <w:b/>
          <w:bCs/>
          <w:sz w:val="24"/>
          <w:szCs w:val="24"/>
          <w:lang w:val="en-US"/>
        </w:rPr>
      </w:pPr>
    </w:p>
    <w:p w14:paraId="54B2CAD4" w14:textId="533396DF" w:rsidR="00D27119" w:rsidRPr="001F1399" w:rsidRDefault="00D27119" w:rsidP="002974FA">
      <w:pPr>
        <w:adjustRightInd w:val="0"/>
        <w:snapToGrid w:val="0"/>
        <w:spacing w:after="0" w:line="360" w:lineRule="auto"/>
        <w:jc w:val="both"/>
        <w:rPr>
          <w:rFonts w:ascii="Book Antiqua" w:eastAsia="Calibri" w:hAnsi="Book Antiqua" w:cs="Calibri"/>
          <w:b/>
          <w:bCs/>
          <w:sz w:val="24"/>
          <w:szCs w:val="24"/>
          <w:lang w:val="en-US"/>
        </w:rPr>
      </w:pPr>
      <w:r w:rsidRPr="001F1399">
        <w:rPr>
          <w:rFonts w:ascii="Book Antiqua" w:eastAsia="Calibri" w:hAnsi="Book Antiqua" w:cs="Calibri"/>
          <w:b/>
          <w:bCs/>
          <w:noProof/>
          <w:sz w:val="24"/>
          <w:szCs w:val="24"/>
          <w:lang w:val="en-US" w:eastAsia="zh-CN"/>
        </w:rPr>
        <w:lastRenderedPageBreak/>
        <w:drawing>
          <wp:inline distT="0" distB="0" distL="0" distR="0" wp14:anchorId="7D2FC851" wp14:editId="161BECA8">
            <wp:extent cx="5941060" cy="3415665"/>
            <wp:effectExtent l="0" t="0" r="254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1060" cy="3415665"/>
                    </a:xfrm>
                    <a:prstGeom prst="rect">
                      <a:avLst/>
                    </a:prstGeom>
                  </pic:spPr>
                </pic:pic>
              </a:graphicData>
            </a:graphic>
          </wp:inline>
        </w:drawing>
      </w:r>
    </w:p>
    <w:p w14:paraId="2100CAEE" w14:textId="2118D539" w:rsidR="002528A9" w:rsidRPr="002974FA" w:rsidRDefault="002528A9" w:rsidP="002974FA">
      <w:pPr>
        <w:adjustRightInd w:val="0"/>
        <w:snapToGrid w:val="0"/>
        <w:spacing w:after="0" w:line="360" w:lineRule="auto"/>
        <w:jc w:val="both"/>
        <w:rPr>
          <w:rFonts w:ascii="Book Antiqua" w:eastAsia="Calibri" w:hAnsi="Book Antiqua" w:cs="Calibri"/>
          <w:bCs/>
          <w:sz w:val="24"/>
          <w:szCs w:val="24"/>
          <w:lang w:val="en-US"/>
        </w:rPr>
      </w:pPr>
      <w:r w:rsidRPr="001F1399">
        <w:rPr>
          <w:rFonts w:ascii="Book Antiqua" w:eastAsia="Calibri" w:hAnsi="Book Antiqua" w:cs="Calibri"/>
          <w:b/>
          <w:bCs/>
          <w:sz w:val="24"/>
          <w:szCs w:val="24"/>
          <w:lang w:val="en-US"/>
        </w:rPr>
        <w:t xml:space="preserve">Figure 2 Impact of food contaminants on gut homeostasis settlement and stability. </w:t>
      </w:r>
      <w:r w:rsidR="00D27119" w:rsidRPr="001F1399">
        <w:rPr>
          <w:rFonts w:ascii="Book Antiqua" w:eastAsia="Calibri" w:hAnsi="Book Antiqua" w:cs="Calibri"/>
          <w:b/>
          <w:bCs/>
          <w:sz w:val="24"/>
          <w:szCs w:val="24"/>
          <w:lang w:val="en-US"/>
        </w:rPr>
        <w:t xml:space="preserve">A: </w:t>
      </w:r>
      <w:r w:rsidRPr="001F1399">
        <w:rPr>
          <w:rFonts w:ascii="Book Antiqua" w:eastAsia="Calibri" w:hAnsi="Book Antiqua" w:cs="Calibri"/>
          <w:bCs/>
          <w:sz w:val="24"/>
          <w:szCs w:val="24"/>
          <w:lang w:val="en-US"/>
        </w:rPr>
        <w:t>At birth the intestinal epithelial environment is still immature with fairly no secretion, very few microorganisms and immature neuro</w:t>
      </w:r>
      <w:r w:rsidR="00356582" w:rsidRPr="001F1399">
        <w:rPr>
          <w:rFonts w:ascii="Book Antiqua" w:eastAsia="Calibri" w:hAnsi="Book Antiqua" w:cs="Calibri"/>
          <w:bCs/>
          <w:sz w:val="24"/>
          <w:szCs w:val="24"/>
          <w:lang w:val="en-US"/>
        </w:rPr>
        <w:t>-</w:t>
      </w:r>
      <w:r w:rsidRPr="001F1399">
        <w:rPr>
          <w:rFonts w:ascii="Book Antiqua" w:eastAsia="Calibri" w:hAnsi="Book Antiqua" w:cs="Calibri"/>
          <w:bCs/>
          <w:sz w:val="24"/>
          <w:szCs w:val="24"/>
          <w:lang w:val="en-US"/>
        </w:rPr>
        <w:t>immuno</w:t>
      </w:r>
      <w:r w:rsidR="00356582" w:rsidRPr="001F1399">
        <w:rPr>
          <w:rFonts w:ascii="Book Antiqua" w:eastAsia="Calibri" w:hAnsi="Book Antiqua" w:cs="Calibri"/>
          <w:bCs/>
          <w:sz w:val="24"/>
          <w:szCs w:val="24"/>
          <w:lang w:val="en-US"/>
        </w:rPr>
        <w:t>-</w:t>
      </w:r>
      <w:r w:rsidRPr="001F1399">
        <w:rPr>
          <w:rFonts w:ascii="Book Antiqua" w:eastAsia="Calibri" w:hAnsi="Book Antiqua" w:cs="Calibri"/>
          <w:bCs/>
          <w:sz w:val="24"/>
          <w:szCs w:val="24"/>
          <w:lang w:val="en-US"/>
        </w:rPr>
        <w:t>endocrine interactions</w:t>
      </w:r>
      <w:r w:rsidR="00D27119" w:rsidRPr="001F1399">
        <w:rPr>
          <w:rFonts w:ascii="Book Antiqua" w:eastAsia="Calibri" w:hAnsi="Book Antiqua" w:cs="Calibri"/>
          <w:bCs/>
          <w:sz w:val="24"/>
          <w:szCs w:val="24"/>
          <w:lang w:val="en-US"/>
        </w:rPr>
        <w:t>;</w:t>
      </w:r>
      <w:r w:rsidRPr="001F1399">
        <w:rPr>
          <w:rFonts w:ascii="Book Antiqua" w:eastAsia="Calibri" w:hAnsi="Book Antiqua" w:cs="Calibri"/>
          <w:bCs/>
          <w:sz w:val="24"/>
          <w:szCs w:val="24"/>
          <w:lang w:val="en-US"/>
        </w:rPr>
        <w:t xml:space="preserve"> </w:t>
      </w:r>
      <w:r w:rsidR="00D27119" w:rsidRPr="001F1399">
        <w:rPr>
          <w:rFonts w:ascii="Book Antiqua" w:eastAsia="Calibri" w:hAnsi="Book Antiqua" w:cs="Calibri"/>
          <w:bCs/>
          <w:sz w:val="24"/>
          <w:szCs w:val="24"/>
          <w:lang w:val="en-US"/>
        </w:rPr>
        <w:t xml:space="preserve">B: </w:t>
      </w:r>
      <w:r w:rsidRPr="001F1399">
        <w:rPr>
          <w:rFonts w:ascii="Book Antiqua" w:eastAsia="Calibri" w:hAnsi="Book Antiqua" w:cs="Calibri"/>
          <w:bCs/>
          <w:sz w:val="24"/>
          <w:szCs w:val="24"/>
          <w:lang w:val="en-US"/>
        </w:rPr>
        <w:t>These interactions settle progressively during infancy and childhood to be fully functional at adulthood</w:t>
      </w:r>
      <w:r w:rsidR="00D27119" w:rsidRPr="001F1399">
        <w:rPr>
          <w:rFonts w:ascii="Book Antiqua" w:eastAsia="Calibri" w:hAnsi="Book Antiqua" w:cs="Calibri"/>
          <w:bCs/>
          <w:sz w:val="24"/>
          <w:szCs w:val="24"/>
          <w:lang w:val="en-US"/>
        </w:rPr>
        <w:t>;</w:t>
      </w:r>
      <w:r w:rsidRPr="001F1399">
        <w:rPr>
          <w:rFonts w:ascii="Book Antiqua" w:eastAsia="Calibri" w:hAnsi="Book Antiqua" w:cs="Calibri"/>
          <w:bCs/>
          <w:sz w:val="24"/>
          <w:szCs w:val="24"/>
          <w:lang w:val="en-US"/>
        </w:rPr>
        <w:t xml:space="preserve"> </w:t>
      </w:r>
      <w:r w:rsidR="00D27119" w:rsidRPr="001F1399">
        <w:rPr>
          <w:rFonts w:ascii="Book Antiqua" w:eastAsia="Calibri" w:hAnsi="Book Antiqua" w:cs="Calibri"/>
          <w:bCs/>
          <w:sz w:val="24"/>
          <w:szCs w:val="24"/>
          <w:lang w:val="en-US"/>
        </w:rPr>
        <w:t xml:space="preserve">C: </w:t>
      </w:r>
      <w:r w:rsidRPr="001F1399">
        <w:rPr>
          <w:rFonts w:ascii="Book Antiqua" w:eastAsia="Calibri" w:hAnsi="Book Antiqua" w:cs="Calibri"/>
          <w:bCs/>
          <w:sz w:val="24"/>
          <w:szCs w:val="24"/>
          <w:lang w:val="en-US"/>
        </w:rPr>
        <w:t>However, when the conditions are not met and more especially if the child has been submitted during the f</w:t>
      </w:r>
      <w:r w:rsidR="00D27119" w:rsidRPr="001F1399">
        <w:rPr>
          <w:rFonts w:ascii="Book Antiqua" w:eastAsia="Calibri" w:hAnsi="Book Antiqua" w:cs="Calibri"/>
          <w:bCs/>
          <w:sz w:val="24"/>
          <w:szCs w:val="24"/>
          <w:lang w:val="en-US"/>
        </w:rPr>
        <w:t>e</w:t>
      </w:r>
      <w:r w:rsidRPr="001F1399">
        <w:rPr>
          <w:rFonts w:ascii="Book Antiqua" w:eastAsia="Calibri" w:hAnsi="Book Antiqua" w:cs="Calibri"/>
          <w:bCs/>
          <w:sz w:val="24"/>
          <w:szCs w:val="24"/>
          <w:lang w:val="en-US"/>
        </w:rPr>
        <w:t xml:space="preserve">tal stage and infant stage to food contaminants, this might be at the origin of gut homeostasis misshaping observed at adulthood. This could then be responsible for gut permeability increase responsible for a mild </w:t>
      </w:r>
      <w:r w:rsidR="00D27119" w:rsidRPr="001F1399">
        <w:rPr>
          <w:rFonts w:ascii="Book Antiqua" w:eastAsia="Calibri" w:hAnsi="Book Antiqua" w:cs="Calibri"/>
          <w:bCs/>
          <w:sz w:val="24"/>
          <w:szCs w:val="24"/>
          <w:lang w:val="en-US"/>
        </w:rPr>
        <w:t>“</w:t>
      </w:r>
      <w:r w:rsidRPr="001F1399">
        <w:rPr>
          <w:rFonts w:ascii="Book Antiqua" w:eastAsia="Calibri" w:hAnsi="Book Antiqua" w:cs="Calibri"/>
          <w:bCs/>
          <w:sz w:val="24"/>
          <w:szCs w:val="24"/>
          <w:lang w:val="en-US"/>
        </w:rPr>
        <w:t>leaky gut</w:t>
      </w:r>
      <w:r w:rsidR="00D27119" w:rsidRPr="001F1399">
        <w:rPr>
          <w:rFonts w:ascii="Book Antiqua" w:eastAsia="Calibri" w:hAnsi="Book Antiqua" w:cs="Calibri"/>
          <w:bCs/>
          <w:sz w:val="24"/>
          <w:szCs w:val="24"/>
          <w:lang w:val="en-US"/>
        </w:rPr>
        <w:t>”</w:t>
      </w:r>
      <w:r w:rsidRPr="001F1399">
        <w:rPr>
          <w:rFonts w:ascii="Book Antiqua" w:eastAsia="Calibri" w:hAnsi="Book Antiqua" w:cs="Calibri"/>
          <w:bCs/>
          <w:sz w:val="24"/>
          <w:szCs w:val="24"/>
          <w:lang w:val="en-US"/>
        </w:rPr>
        <w:t>, predisposing to intestinal neuro</w:t>
      </w:r>
      <w:r w:rsidR="00356582" w:rsidRPr="001F1399">
        <w:rPr>
          <w:rFonts w:ascii="Book Antiqua" w:eastAsia="Calibri" w:hAnsi="Book Antiqua" w:cs="Calibri"/>
          <w:bCs/>
          <w:sz w:val="24"/>
          <w:szCs w:val="24"/>
          <w:lang w:val="en-US"/>
        </w:rPr>
        <w:t>-</w:t>
      </w:r>
      <w:r w:rsidRPr="001F1399">
        <w:rPr>
          <w:rFonts w:ascii="Book Antiqua" w:eastAsia="Calibri" w:hAnsi="Book Antiqua" w:cs="Calibri"/>
          <w:bCs/>
          <w:sz w:val="24"/>
          <w:szCs w:val="24"/>
          <w:lang w:val="en-US"/>
        </w:rPr>
        <w:t>immuno</w:t>
      </w:r>
      <w:r w:rsidR="00356582" w:rsidRPr="001F1399">
        <w:rPr>
          <w:rFonts w:ascii="Book Antiqua" w:eastAsia="Calibri" w:hAnsi="Book Antiqua" w:cs="Calibri"/>
          <w:bCs/>
          <w:sz w:val="24"/>
          <w:szCs w:val="24"/>
          <w:lang w:val="en-US"/>
        </w:rPr>
        <w:t>-</w:t>
      </w:r>
      <w:r w:rsidRPr="001F1399">
        <w:rPr>
          <w:rFonts w:ascii="Book Antiqua" w:eastAsia="Calibri" w:hAnsi="Book Antiqua" w:cs="Calibri"/>
          <w:bCs/>
          <w:sz w:val="24"/>
          <w:szCs w:val="24"/>
          <w:lang w:val="en-US"/>
        </w:rPr>
        <w:t>endocrine communications alterations.</w:t>
      </w:r>
      <w:r w:rsidR="00356582" w:rsidRPr="001F1399">
        <w:rPr>
          <w:rFonts w:ascii="Book Antiqua" w:eastAsia="Calibri" w:hAnsi="Book Antiqua" w:cs="Calibri"/>
          <w:bCs/>
          <w:sz w:val="24"/>
          <w:szCs w:val="24"/>
          <w:lang w:val="en-US"/>
        </w:rPr>
        <w:t xml:space="preserve"> </w:t>
      </w:r>
      <w:r w:rsidRPr="001F1399">
        <w:rPr>
          <w:rFonts w:ascii="Book Antiqua" w:eastAsia="Calibri" w:hAnsi="Book Antiqua" w:cs="Calibri"/>
          <w:bCs/>
          <w:sz w:val="24"/>
          <w:szCs w:val="24"/>
          <w:lang w:val="en-US"/>
        </w:rPr>
        <w:t>This will in turn be at the origin of systemic neuro</w:t>
      </w:r>
      <w:r w:rsidR="00356582" w:rsidRPr="001F1399">
        <w:rPr>
          <w:rFonts w:ascii="Book Antiqua" w:eastAsia="Calibri" w:hAnsi="Book Antiqua" w:cs="Calibri"/>
          <w:bCs/>
          <w:sz w:val="24"/>
          <w:szCs w:val="24"/>
          <w:lang w:val="en-US"/>
        </w:rPr>
        <w:t>-</w:t>
      </w:r>
      <w:r w:rsidRPr="001F1399">
        <w:rPr>
          <w:rFonts w:ascii="Book Antiqua" w:eastAsia="Calibri" w:hAnsi="Book Antiqua" w:cs="Calibri"/>
          <w:bCs/>
          <w:sz w:val="24"/>
          <w:szCs w:val="24"/>
          <w:lang w:val="en-US"/>
        </w:rPr>
        <w:t>immuno</w:t>
      </w:r>
      <w:r w:rsidR="00356582" w:rsidRPr="001F1399">
        <w:rPr>
          <w:rFonts w:ascii="Book Antiqua" w:eastAsia="Calibri" w:hAnsi="Book Antiqua" w:cs="Calibri"/>
          <w:bCs/>
          <w:sz w:val="24"/>
          <w:szCs w:val="24"/>
          <w:lang w:val="en-US"/>
        </w:rPr>
        <w:t>-</w:t>
      </w:r>
      <w:r w:rsidRPr="001F1399">
        <w:rPr>
          <w:rFonts w:ascii="Book Antiqua" w:eastAsia="Calibri" w:hAnsi="Book Antiqua" w:cs="Calibri"/>
          <w:bCs/>
          <w:sz w:val="24"/>
          <w:szCs w:val="24"/>
          <w:lang w:val="en-US"/>
        </w:rPr>
        <w:t>endocrine communication misshaping contributing to an alteration of crosstalk between the brain and the gut.</w:t>
      </w:r>
      <w:r w:rsidR="00D27119" w:rsidRPr="002974FA">
        <w:rPr>
          <w:rFonts w:ascii="Book Antiqua" w:eastAsia="Calibri" w:hAnsi="Book Antiqua" w:cs="Calibri"/>
          <w:bCs/>
          <w:sz w:val="24"/>
          <w:szCs w:val="24"/>
          <w:lang w:val="en-US"/>
        </w:rPr>
        <w:t xml:space="preserve"> </w:t>
      </w:r>
    </w:p>
    <w:p w14:paraId="230144F0" w14:textId="77777777" w:rsidR="002528A9" w:rsidRPr="002974FA" w:rsidRDefault="002528A9" w:rsidP="002974FA">
      <w:pPr>
        <w:adjustRightInd w:val="0"/>
        <w:snapToGrid w:val="0"/>
        <w:spacing w:after="0" w:line="360" w:lineRule="auto"/>
        <w:jc w:val="both"/>
        <w:rPr>
          <w:rFonts w:ascii="Book Antiqua" w:eastAsia="Calibri" w:hAnsi="Book Antiqua" w:cs="Calibri"/>
          <w:bCs/>
          <w:sz w:val="24"/>
          <w:szCs w:val="24"/>
          <w:lang w:val="en-US"/>
        </w:rPr>
      </w:pPr>
    </w:p>
    <w:sectPr w:rsidR="002528A9" w:rsidRPr="002974FA" w:rsidSect="00CE295A">
      <w:footerReference w:type="default" r:id="rId13"/>
      <w:pgSz w:w="11906" w:h="16838"/>
      <w:pgMar w:top="1276" w:right="1416" w:bottom="1418"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752414" w14:textId="77777777" w:rsidR="000D36A9" w:rsidRDefault="000D36A9" w:rsidP="001F0371">
      <w:pPr>
        <w:spacing w:after="0" w:line="240" w:lineRule="auto"/>
      </w:pPr>
      <w:r>
        <w:separator/>
      </w:r>
    </w:p>
  </w:endnote>
  <w:endnote w:type="continuationSeparator" w:id="0">
    <w:p w14:paraId="75214C5A" w14:textId="77777777" w:rsidR="000D36A9" w:rsidRDefault="000D36A9" w:rsidP="001F0371">
      <w:pPr>
        <w:spacing w:after="0" w:line="240" w:lineRule="auto"/>
      </w:pPr>
      <w:r>
        <w:continuationSeparator/>
      </w:r>
    </w:p>
  </w:endnote>
  <w:endnote w:type="continuationNotice" w:id="1">
    <w:p w14:paraId="1E88EE91" w14:textId="77777777" w:rsidR="000D36A9" w:rsidRDefault="000D36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C70AB" w14:textId="62FE095B" w:rsidR="00105053" w:rsidRPr="008F6135" w:rsidRDefault="00105053" w:rsidP="008F6135">
    <w:pPr>
      <w:pStyle w:val="a6"/>
      <w:jc w:val="right"/>
      <w:rPr>
        <w:rFonts w:ascii="Book Antiqua" w:hAnsi="Book Antiqua"/>
        <w:color w:val="000000" w:themeColor="text1"/>
        <w:sz w:val="24"/>
        <w:szCs w:val="24"/>
      </w:rPr>
    </w:pPr>
    <w:r w:rsidRPr="008F6135">
      <w:rPr>
        <w:rFonts w:ascii="Book Antiqua" w:hAnsi="Book Antiqua"/>
        <w:color w:val="000000" w:themeColor="text1"/>
        <w:sz w:val="24"/>
        <w:szCs w:val="24"/>
      </w:rPr>
      <w:fldChar w:fldCharType="begin"/>
    </w:r>
    <w:r w:rsidRPr="008F6135">
      <w:rPr>
        <w:rFonts w:ascii="Book Antiqua" w:hAnsi="Book Antiqua"/>
        <w:color w:val="000000" w:themeColor="text1"/>
        <w:sz w:val="24"/>
        <w:szCs w:val="24"/>
      </w:rPr>
      <w:instrText>PAGE  \* Arabic  \* MERGEFORMAT</w:instrText>
    </w:r>
    <w:r w:rsidRPr="008F6135">
      <w:rPr>
        <w:rFonts w:ascii="Book Antiqua" w:hAnsi="Book Antiqua"/>
        <w:color w:val="000000" w:themeColor="text1"/>
        <w:sz w:val="24"/>
        <w:szCs w:val="24"/>
      </w:rPr>
      <w:fldChar w:fldCharType="separate"/>
    </w:r>
    <w:r w:rsidR="00BC4DF4" w:rsidRPr="00BC4DF4">
      <w:rPr>
        <w:rFonts w:ascii="Book Antiqua" w:hAnsi="Book Antiqua"/>
        <w:noProof/>
        <w:color w:val="000000" w:themeColor="text1"/>
        <w:sz w:val="24"/>
        <w:szCs w:val="24"/>
        <w:lang w:val="zh-CN"/>
      </w:rPr>
      <w:t>59</w:t>
    </w:r>
    <w:r w:rsidRPr="008F6135">
      <w:rPr>
        <w:rFonts w:ascii="Book Antiqua" w:hAnsi="Book Antiqua"/>
        <w:color w:val="000000" w:themeColor="text1"/>
        <w:sz w:val="24"/>
        <w:szCs w:val="24"/>
      </w:rPr>
      <w:fldChar w:fldCharType="end"/>
    </w:r>
    <w:r w:rsidRPr="008F6135">
      <w:rPr>
        <w:rFonts w:ascii="Book Antiqua" w:hAnsi="Book Antiqua"/>
        <w:color w:val="000000" w:themeColor="text1"/>
        <w:sz w:val="24"/>
        <w:szCs w:val="24"/>
        <w:lang w:val="zh-CN"/>
      </w:rPr>
      <w:t>/</w:t>
    </w:r>
    <w:r w:rsidRPr="008F6135">
      <w:rPr>
        <w:rFonts w:ascii="Book Antiqua" w:hAnsi="Book Antiqua"/>
        <w:color w:val="000000" w:themeColor="text1"/>
        <w:sz w:val="24"/>
        <w:szCs w:val="24"/>
      </w:rPr>
      <w:fldChar w:fldCharType="begin"/>
    </w:r>
    <w:r w:rsidRPr="008F6135">
      <w:rPr>
        <w:rFonts w:ascii="Book Antiqua" w:hAnsi="Book Antiqua"/>
        <w:color w:val="000000" w:themeColor="text1"/>
        <w:sz w:val="24"/>
        <w:szCs w:val="24"/>
      </w:rPr>
      <w:instrText>NUMPAGES  \* Arabic  \* MERGEFORMAT</w:instrText>
    </w:r>
    <w:r w:rsidRPr="008F6135">
      <w:rPr>
        <w:rFonts w:ascii="Book Antiqua" w:hAnsi="Book Antiqua"/>
        <w:color w:val="000000" w:themeColor="text1"/>
        <w:sz w:val="24"/>
        <w:szCs w:val="24"/>
      </w:rPr>
      <w:fldChar w:fldCharType="separate"/>
    </w:r>
    <w:r w:rsidR="00BC4DF4" w:rsidRPr="00BC4DF4">
      <w:rPr>
        <w:rFonts w:ascii="Book Antiqua" w:hAnsi="Book Antiqua"/>
        <w:noProof/>
        <w:color w:val="000000" w:themeColor="text1"/>
        <w:sz w:val="24"/>
        <w:szCs w:val="24"/>
        <w:lang w:val="zh-CN"/>
      </w:rPr>
      <w:t>61</w:t>
    </w:r>
    <w:r w:rsidRPr="008F6135">
      <w:rPr>
        <w:rFonts w:ascii="Book Antiqua" w:hAnsi="Book Antiqua"/>
        <w:color w:val="000000" w:themeColor="text1"/>
        <w:sz w:val="24"/>
        <w:szCs w:val="24"/>
      </w:rPr>
      <w:fldChar w:fldCharType="end"/>
    </w:r>
  </w:p>
  <w:p w14:paraId="1D02F016" w14:textId="77777777" w:rsidR="00105053" w:rsidRDefault="0010505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374A82" w14:textId="77777777" w:rsidR="000D36A9" w:rsidRDefault="000D36A9" w:rsidP="001F0371">
      <w:pPr>
        <w:spacing w:after="0" w:line="240" w:lineRule="auto"/>
      </w:pPr>
      <w:r>
        <w:separator/>
      </w:r>
    </w:p>
  </w:footnote>
  <w:footnote w:type="continuationSeparator" w:id="0">
    <w:p w14:paraId="10FC6C74" w14:textId="77777777" w:rsidR="000D36A9" w:rsidRDefault="000D36A9" w:rsidP="001F0371">
      <w:pPr>
        <w:spacing w:after="0" w:line="240" w:lineRule="auto"/>
      </w:pPr>
      <w:r>
        <w:continuationSeparator/>
      </w:r>
    </w:p>
  </w:footnote>
  <w:footnote w:type="continuationNotice" w:id="1">
    <w:p w14:paraId="313F9608" w14:textId="77777777" w:rsidR="000D36A9" w:rsidRDefault="000D36A9">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8F3F"/>
    <w:rsid w:val="0000200E"/>
    <w:rsid w:val="0000244F"/>
    <w:rsid w:val="00002F02"/>
    <w:rsid w:val="0000374D"/>
    <w:rsid w:val="00007883"/>
    <w:rsid w:val="00011D44"/>
    <w:rsid w:val="00012387"/>
    <w:rsid w:val="00012D70"/>
    <w:rsid w:val="000146A1"/>
    <w:rsid w:val="0001500E"/>
    <w:rsid w:val="00015197"/>
    <w:rsid w:val="000153B3"/>
    <w:rsid w:val="0001555B"/>
    <w:rsid w:val="00015960"/>
    <w:rsid w:val="00017783"/>
    <w:rsid w:val="00020064"/>
    <w:rsid w:val="00021B21"/>
    <w:rsid w:val="0002377E"/>
    <w:rsid w:val="0002393D"/>
    <w:rsid w:val="000276EA"/>
    <w:rsid w:val="00035362"/>
    <w:rsid w:val="00035BDE"/>
    <w:rsid w:val="00037468"/>
    <w:rsid w:val="000440B2"/>
    <w:rsid w:val="00047BE5"/>
    <w:rsid w:val="00050560"/>
    <w:rsid w:val="000507B2"/>
    <w:rsid w:val="00051496"/>
    <w:rsid w:val="00051F5F"/>
    <w:rsid w:val="00053ABC"/>
    <w:rsid w:val="00053FA4"/>
    <w:rsid w:val="00061FC2"/>
    <w:rsid w:val="00062FFC"/>
    <w:rsid w:val="0006388B"/>
    <w:rsid w:val="00067319"/>
    <w:rsid w:val="00071C7C"/>
    <w:rsid w:val="00076B5C"/>
    <w:rsid w:val="00077997"/>
    <w:rsid w:val="0008154A"/>
    <w:rsid w:val="00081600"/>
    <w:rsid w:val="000827A8"/>
    <w:rsid w:val="000838F6"/>
    <w:rsid w:val="00084345"/>
    <w:rsid w:val="00084F8F"/>
    <w:rsid w:val="00092EF5"/>
    <w:rsid w:val="0009316C"/>
    <w:rsid w:val="00093FC4"/>
    <w:rsid w:val="000A02E6"/>
    <w:rsid w:val="000A0D7B"/>
    <w:rsid w:val="000A17F4"/>
    <w:rsid w:val="000A2588"/>
    <w:rsid w:val="000A3512"/>
    <w:rsid w:val="000A6ED0"/>
    <w:rsid w:val="000A7E75"/>
    <w:rsid w:val="000B0247"/>
    <w:rsid w:val="000B683F"/>
    <w:rsid w:val="000B7B01"/>
    <w:rsid w:val="000B7CDB"/>
    <w:rsid w:val="000C542F"/>
    <w:rsid w:val="000C7305"/>
    <w:rsid w:val="000D0385"/>
    <w:rsid w:val="000D3597"/>
    <w:rsid w:val="000D36A9"/>
    <w:rsid w:val="000D6655"/>
    <w:rsid w:val="000E11BC"/>
    <w:rsid w:val="000E3B67"/>
    <w:rsid w:val="000E3C6D"/>
    <w:rsid w:val="000E4402"/>
    <w:rsid w:val="000F097F"/>
    <w:rsid w:val="000F0EC5"/>
    <w:rsid w:val="000F7537"/>
    <w:rsid w:val="00104DAC"/>
    <w:rsid w:val="00105053"/>
    <w:rsid w:val="00106F5D"/>
    <w:rsid w:val="00107417"/>
    <w:rsid w:val="00111F40"/>
    <w:rsid w:val="001126C6"/>
    <w:rsid w:val="00114C14"/>
    <w:rsid w:val="00117CF4"/>
    <w:rsid w:val="001219CC"/>
    <w:rsid w:val="0012395F"/>
    <w:rsid w:val="00123A3E"/>
    <w:rsid w:val="00125796"/>
    <w:rsid w:val="00125C6C"/>
    <w:rsid w:val="001278A6"/>
    <w:rsid w:val="00130534"/>
    <w:rsid w:val="00133136"/>
    <w:rsid w:val="00133B70"/>
    <w:rsid w:val="00136CB7"/>
    <w:rsid w:val="00137C07"/>
    <w:rsid w:val="00140762"/>
    <w:rsid w:val="0014100D"/>
    <w:rsid w:val="001429A5"/>
    <w:rsid w:val="00144FE2"/>
    <w:rsid w:val="001529EA"/>
    <w:rsid w:val="001535A4"/>
    <w:rsid w:val="00153E3C"/>
    <w:rsid w:val="0015627D"/>
    <w:rsid w:val="001575D2"/>
    <w:rsid w:val="00160275"/>
    <w:rsid w:val="0016151F"/>
    <w:rsid w:val="00161E78"/>
    <w:rsid w:val="00165D39"/>
    <w:rsid w:val="00167299"/>
    <w:rsid w:val="00171C43"/>
    <w:rsid w:val="00172877"/>
    <w:rsid w:val="00172C7A"/>
    <w:rsid w:val="001737B9"/>
    <w:rsid w:val="001738F7"/>
    <w:rsid w:val="00176133"/>
    <w:rsid w:val="0017665D"/>
    <w:rsid w:val="00176B3A"/>
    <w:rsid w:val="00176C7F"/>
    <w:rsid w:val="00177BB8"/>
    <w:rsid w:val="00181AA4"/>
    <w:rsid w:val="00182E44"/>
    <w:rsid w:val="00187892"/>
    <w:rsid w:val="00190012"/>
    <w:rsid w:val="00190298"/>
    <w:rsid w:val="001912A3"/>
    <w:rsid w:val="00197E1F"/>
    <w:rsid w:val="001A285B"/>
    <w:rsid w:val="001A3A71"/>
    <w:rsid w:val="001A4D24"/>
    <w:rsid w:val="001A556C"/>
    <w:rsid w:val="001B06E4"/>
    <w:rsid w:val="001B0F04"/>
    <w:rsid w:val="001B11B8"/>
    <w:rsid w:val="001B1ECC"/>
    <w:rsid w:val="001B1F77"/>
    <w:rsid w:val="001B35C1"/>
    <w:rsid w:val="001B4866"/>
    <w:rsid w:val="001B7778"/>
    <w:rsid w:val="001C0F07"/>
    <w:rsid w:val="001C5C63"/>
    <w:rsid w:val="001D3DCE"/>
    <w:rsid w:val="001D5C89"/>
    <w:rsid w:val="001D64E8"/>
    <w:rsid w:val="001E14D0"/>
    <w:rsid w:val="001E1F0B"/>
    <w:rsid w:val="001E2170"/>
    <w:rsid w:val="001E229A"/>
    <w:rsid w:val="001E2F69"/>
    <w:rsid w:val="001E36EA"/>
    <w:rsid w:val="001E42BE"/>
    <w:rsid w:val="001E6FCF"/>
    <w:rsid w:val="001E7A15"/>
    <w:rsid w:val="001E7A57"/>
    <w:rsid w:val="001F0371"/>
    <w:rsid w:val="001F11AC"/>
    <w:rsid w:val="001F1399"/>
    <w:rsid w:val="001F170E"/>
    <w:rsid w:val="001F319C"/>
    <w:rsid w:val="001F6740"/>
    <w:rsid w:val="00200F13"/>
    <w:rsid w:val="00202758"/>
    <w:rsid w:val="00207BCD"/>
    <w:rsid w:val="002116E6"/>
    <w:rsid w:val="00213903"/>
    <w:rsid w:val="002145D7"/>
    <w:rsid w:val="00215860"/>
    <w:rsid w:val="002244E1"/>
    <w:rsid w:val="0022560F"/>
    <w:rsid w:val="002257CB"/>
    <w:rsid w:val="00225869"/>
    <w:rsid w:val="00226543"/>
    <w:rsid w:val="00231632"/>
    <w:rsid w:val="00232848"/>
    <w:rsid w:val="002337A4"/>
    <w:rsid w:val="00235ADE"/>
    <w:rsid w:val="00235B30"/>
    <w:rsid w:val="002425D3"/>
    <w:rsid w:val="0025256E"/>
    <w:rsid w:val="002528A9"/>
    <w:rsid w:val="00254FF0"/>
    <w:rsid w:val="00255788"/>
    <w:rsid w:val="00255FD0"/>
    <w:rsid w:val="00256EC4"/>
    <w:rsid w:val="00257E7D"/>
    <w:rsid w:val="002723F7"/>
    <w:rsid w:val="00273198"/>
    <w:rsid w:val="00277478"/>
    <w:rsid w:val="00283ADA"/>
    <w:rsid w:val="0028468B"/>
    <w:rsid w:val="002848D2"/>
    <w:rsid w:val="00285855"/>
    <w:rsid w:val="00285E0B"/>
    <w:rsid w:val="00286FB1"/>
    <w:rsid w:val="002879D4"/>
    <w:rsid w:val="00287F66"/>
    <w:rsid w:val="002909F9"/>
    <w:rsid w:val="002921D5"/>
    <w:rsid w:val="00292E88"/>
    <w:rsid w:val="002974FA"/>
    <w:rsid w:val="002A022C"/>
    <w:rsid w:val="002A0FDF"/>
    <w:rsid w:val="002A1829"/>
    <w:rsid w:val="002A1F20"/>
    <w:rsid w:val="002A6752"/>
    <w:rsid w:val="002A7F05"/>
    <w:rsid w:val="002B1059"/>
    <w:rsid w:val="002B11B8"/>
    <w:rsid w:val="002B1413"/>
    <w:rsid w:val="002B24BD"/>
    <w:rsid w:val="002B3F7E"/>
    <w:rsid w:val="002B4F26"/>
    <w:rsid w:val="002B53C8"/>
    <w:rsid w:val="002C28F3"/>
    <w:rsid w:val="002C33DF"/>
    <w:rsid w:val="002C4BDF"/>
    <w:rsid w:val="002C4E0D"/>
    <w:rsid w:val="002C7ECC"/>
    <w:rsid w:val="002D01F9"/>
    <w:rsid w:val="002D2D9D"/>
    <w:rsid w:val="002D537C"/>
    <w:rsid w:val="002D60DF"/>
    <w:rsid w:val="002D6C01"/>
    <w:rsid w:val="002D7306"/>
    <w:rsid w:val="002E0014"/>
    <w:rsid w:val="002E1E20"/>
    <w:rsid w:val="002E472D"/>
    <w:rsid w:val="002E7984"/>
    <w:rsid w:val="002E7996"/>
    <w:rsid w:val="002F11FD"/>
    <w:rsid w:val="002F6763"/>
    <w:rsid w:val="002F6F8D"/>
    <w:rsid w:val="003010A9"/>
    <w:rsid w:val="00303482"/>
    <w:rsid w:val="0030455C"/>
    <w:rsid w:val="003048F3"/>
    <w:rsid w:val="00305081"/>
    <w:rsid w:val="003059BA"/>
    <w:rsid w:val="003066BD"/>
    <w:rsid w:val="0030717A"/>
    <w:rsid w:val="00320CE3"/>
    <w:rsid w:val="00322230"/>
    <w:rsid w:val="00322E8A"/>
    <w:rsid w:val="00323663"/>
    <w:rsid w:val="00326471"/>
    <w:rsid w:val="00332286"/>
    <w:rsid w:val="0033541A"/>
    <w:rsid w:val="00342FD2"/>
    <w:rsid w:val="003445B4"/>
    <w:rsid w:val="00344B3B"/>
    <w:rsid w:val="00346320"/>
    <w:rsid w:val="0035048E"/>
    <w:rsid w:val="003531AA"/>
    <w:rsid w:val="00353C0E"/>
    <w:rsid w:val="00353E91"/>
    <w:rsid w:val="00354335"/>
    <w:rsid w:val="003545C7"/>
    <w:rsid w:val="00354793"/>
    <w:rsid w:val="00356582"/>
    <w:rsid w:val="003609D3"/>
    <w:rsid w:val="00363869"/>
    <w:rsid w:val="003645BD"/>
    <w:rsid w:val="003649DD"/>
    <w:rsid w:val="00365D87"/>
    <w:rsid w:val="00366B3C"/>
    <w:rsid w:val="00372614"/>
    <w:rsid w:val="0037404F"/>
    <w:rsid w:val="003751FB"/>
    <w:rsid w:val="00375AE3"/>
    <w:rsid w:val="00376BF4"/>
    <w:rsid w:val="00381A5D"/>
    <w:rsid w:val="003854D5"/>
    <w:rsid w:val="00385A9A"/>
    <w:rsid w:val="00386234"/>
    <w:rsid w:val="00386A43"/>
    <w:rsid w:val="003876C5"/>
    <w:rsid w:val="00387AB8"/>
    <w:rsid w:val="00390720"/>
    <w:rsid w:val="00390F19"/>
    <w:rsid w:val="003938B4"/>
    <w:rsid w:val="003938DF"/>
    <w:rsid w:val="00394AB8"/>
    <w:rsid w:val="00394BF5"/>
    <w:rsid w:val="0039567E"/>
    <w:rsid w:val="00396CD4"/>
    <w:rsid w:val="0039757A"/>
    <w:rsid w:val="003A014E"/>
    <w:rsid w:val="003A05A1"/>
    <w:rsid w:val="003A77DD"/>
    <w:rsid w:val="003B30A6"/>
    <w:rsid w:val="003B635F"/>
    <w:rsid w:val="003B6DF5"/>
    <w:rsid w:val="003B74FF"/>
    <w:rsid w:val="003B794F"/>
    <w:rsid w:val="003C39CA"/>
    <w:rsid w:val="003C4AC6"/>
    <w:rsid w:val="003D007B"/>
    <w:rsid w:val="003D2206"/>
    <w:rsid w:val="003D3868"/>
    <w:rsid w:val="003D434E"/>
    <w:rsid w:val="003D6287"/>
    <w:rsid w:val="003D694D"/>
    <w:rsid w:val="003E0142"/>
    <w:rsid w:val="003E10CF"/>
    <w:rsid w:val="003E11D0"/>
    <w:rsid w:val="003E4058"/>
    <w:rsid w:val="003E6F2D"/>
    <w:rsid w:val="003E77AB"/>
    <w:rsid w:val="003F045F"/>
    <w:rsid w:val="003F3726"/>
    <w:rsid w:val="003F3883"/>
    <w:rsid w:val="003F4344"/>
    <w:rsid w:val="003F470F"/>
    <w:rsid w:val="003F4907"/>
    <w:rsid w:val="003F5A08"/>
    <w:rsid w:val="0040221B"/>
    <w:rsid w:val="00403A39"/>
    <w:rsid w:val="00403E1D"/>
    <w:rsid w:val="00407C0E"/>
    <w:rsid w:val="00412C4A"/>
    <w:rsid w:val="00413495"/>
    <w:rsid w:val="004137A5"/>
    <w:rsid w:val="004160B8"/>
    <w:rsid w:val="004160BB"/>
    <w:rsid w:val="0042462F"/>
    <w:rsid w:val="00424B2F"/>
    <w:rsid w:val="004278CA"/>
    <w:rsid w:val="004304A2"/>
    <w:rsid w:val="00430C50"/>
    <w:rsid w:val="00433C6E"/>
    <w:rsid w:val="004349D5"/>
    <w:rsid w:val="0043610E"/>
    <w:rsid w:val="00440D32"/>
    <w:rsid w:val="00444D13"/>
    <w:rsid w:val="004473E3"/>
    <w:rsid w:val="004476B5"/>
    <w:rsid w:val="00452A74"/>
    <w:rsid w:val="00456C6B"/>
    <w:rsid w:val="004652DC"/>
    <w:rsid w:val="00467410"/>
    <w:rsid w:val="004708A0"/>
    <w:rsid w:val="00472964"/>
    <w:rsid w:val="00475BF5"/>
    <w:rsid w:val="00477DB5"/>
    <w:rsid w:val="00480D52"/>
    <w:rsid w:val="00481304"/>
    <w:rsid w:val="00481661"/>
    <w:rsid w:val="00487BA7"/>
    <w:rsid w:val="00491536"/>
    <w:rsid w:val="004920B4"/>
    <w:rsid w:val="00493FA8"/>
    <w:rsid w:val="004A35ED"/>
    <w:rsid w:val="004A377C"/>
    <w:rsid w:val="004A6407"/>
    <w:rsid w:val="004B0DD4"/>
    <w:rsid w:val="004B1F3A"/>
    <w:rsid w:val="004B25A1"/>
    <w:rsid w:val="004B49CA"/>
    <w:rsid w:val="004B4E04"/>
    <w:rsid w:val="004B58D2"/>
    <w:rsid w:val="004B5A5A"/>
    <w:rsid w:val="004C1B5A"/>
    <w:rsid w:val="004C23F1"/>
    <w:rsid w:val="004C318D"/>
    <w:rsid w:val="004C65D5"/>
    <w:rsid w:val="004C7EE5"/>
    <w:rsid w:val="004D191E"/>
    <w:rsid w:val="004D3B79"/>
    <w:rsid w:val="004D5E6C"/>
    <w:rsid w:val="004D6205"/>
    <w:rsid w:val="004E1A3F"/>
    <w:rsid w:val="004E2B13"/>
    <w:rsid w:val="004E3078"/>
    <w:rsid w:val="004E351A"/>
    <w:rsid w:val="004E440A"/>
    <w:rsid w:val="004E65C1"/>
    <w:rsid w:val="004F05A9"/>
    <w:rsid w:val="004F0B25"/>
    <w:rsid w:val="004F0FB2"/>
    <w:rsid w:val="004F271A"/>
    <w:rsid w:val="004F748C"/>
    <w:rsid w:val="00503062"/>
    <w:rsid w:val="00503E24"/>
    <w:rsid w:val="00504C38"/>
    <w:rsid w:val="00505415"/>
    <w:rsid w:val="005056AB"/>
    <w:rsid w:val="00505D2D"/>
    <w:rsid w:val="005073C0"/>
    <w:rsid w:val="005074C6"/>
    <w:rsid w:val="0051331C"/>
    <w:rsid w:val="00516494"/>
    <w:rsid w:val="00526186"/>
    <w:rsid w:val="00527CB4"/>
    <w:rsid w:val="00531889"/>
    <w:rsid w:val="00532073"/>
    <w:rsid w:val="00533B55"/>
    <w:rsid w:val="0053404B"/>
    <w:rsid w:val="00534853"/>
    <w:rsid w:val="0053538D"/>
    <w:rsid w:val="005360BE"/>
    <w:rsid w:val="005416EF"/>
    <w:rsid w:val="00541809"/>
    <w:rsid w:val="0054357F"/>
    <w:rsid w:val="005466EB"/>
    <w:rsid w:val="00546FDD"/>
    <w:rsid w:val="00550EDE"/>
    <w:rsid w:val="005548AB"/>
    <w:rsid w:val="00554B9B"/>
    <w:rsid w:val="00555303"/>
    <w:rsid w:val="005555FF"/>
    <w:rsid w:val="00555D67"/>
    <w:rsid w:val="0056199A"/>
    <w:rsid w:val="00563CFC"/>
    <w:rsid w:val="00566B5B"/>
    <w:rsid w:val="0056731F"/>
    <w:rsid w:val="0057128A"/>
    <w:rsid w:val="00573D27"/>
    <w:rsid w:val="00574765"/>
    <w:rsid w:val="00576E12"/>
    <w:rsid w:val="00582091"/>
    <w:rsid w:val="005843BA"/>
    <w:rsid w:val="0058644F"/>
    <w:rsid w:val="005867CD"/>
    <w:rsid w:val="005964B6"/>
    <w:rsid w:val="00597CF4"/>
    <w:rsid w:val="005A1697"/>
    <w:rsid w:val="005A4D67"/>
    <w:rsid w:val="005A4EF1"/>
    <w:rsid w:val="005A590E"/>
    <w:rsid w:val="005A6065"/>
    <w:rsid w:val="005A7DD6"/>
    <w:rsid w:val="005B1C00"/>
    <w:rsid w:val="005B23C0"/>
    <w:rsid w:val="005B59BF"/>
    <w:rsid w:val="005C0654"/>
    <w:rsid w:val="005C08C5"/>
    <w:rsid w:val="005C3639"/>
    <w:rsid w:val="005C3C31"/>
    <w:rsid w:val="005C3C9C"/>
    <w:rsid w:val="005C58CF"/>
    <w:rsid w:val="005C6EC9"/>
    <w:rsid w:val="005C797E"/>
    <w:rsid w:val="005D1AAF"/>
    <w:rsid w:val="005D2CAA"/>
    <w:rsid w:val="005D3D89"/>
    <w:rsid w:val="005D5A36"/>
    <w:rsid w:val="005D5E76"/>
    <w:rsid w:val="005D75F3"/>
    <w:rsid w:val="005E0CA7"/>
    <w:rsid w:val="005E197E"/>
    <w:rsid w:val="005E1BAE"/>
    <w:rsid w:val="005E352F"/>
    <w:rsid w:val="005E6297"/>
    <w:rsid w:val="005E6DD1"/>
    <w:rsid w:val="005E7C17"/>
    <w:rsid w:val="005F0D14"/>
    <w:rsid w:val="005F1373"/>
    <w:rsid w:val="005F53A4"/>
    <w:rsid w:val="005F5807"/>
    <w:rsid w:val="005F58A4"/>
    <w:rsid w:val="005F7929"/>
    <w:rsid w:val="00604D11"/>
    <w:rsid w:val="00604FD8"/>
    <w:rsid w:val="00606911"/>
    <w:rsid w:val="00607D55"/>
    <w:rsid w:val="00611951"/>
    <w:rsid w:val="006133DB"/>
    <w:rsid w:val="006160D1"/>
    <w:rsid w:val="0061663E"/>
    <w:rsid w:val="00616987"/>
    <w:rsid w:val="00620DB5"/>
    <w:rsid w:val="00620FE2"/>
    <w:rsid w:val="0062198E"/>
    <w:rsid w:val="00622137"/>
    <w:rsid w:val="00623C78"/>
    <w:rsid w:val="006251A2"/>
    <w:rsid w:val="00627241"/>
    <w:rsid w:val="00633773"/>
    <w:rsid w:val="0063504A"/>
    <w:rsid w:val="0063524C"/>
    <w:rsid w:val="00640F1F"/>
    <w:rsid w:val="0064231F"/>
    <w:rsid w:val="00642D13"/>
    <w:rsid w:val="00642E96"/>
    <w:rsid w:val="00643433"/>
    <w:rsid w:val="00644828"/>
    <w:rsid w:val="0064754B"/>
    <w:rsid w:val="006513AF"/>
    <w:rsid w:val="006515FC"/>
    <w:rsid w:val="00651980"/>
    <w:rsid w:val="0065368A"/>
    <w:rsid w:val="006536CE"/>
    <w:rsid w:val="00654ECF"/>
    <w:rsid w:val="00655537"/>
    <w:rsid w:val="00656FBA"/>
    <w:rsid w:val="00657776"/>
    <w:rsid w:val="00658F3F"/>
    <w:rsid w:val="00661497"/>
    <w:rsid w:val="00661DFB"/>
    <w:rsid w:val="00667AD6"/>
    <w:rsid w:val="006712D9"/>
    <w:rsid w:val="00673334"/>
    <w:rsid w:val="00674AB1"/>
    <w:rsid w:val="00675605"/>
    <w:rsid w:val="00675CAC"/>
    <w:rsid w:val="00676B13"/>
    <w:rsid w:val="00677128"/>
    <w:rsid w:val="00681EDC"/>
    <w:rsid w:val="0068317F"/>
    <w:rsid w:val="00686D07"/>
    <w:rsid w:val="00690C5D"/>
    <w:rsid w:val="00690D3E"/>
    <w:rsid w:val="006915A9"/>
    <w:rsid w:val="00693538"/>
    <w:rsid w:val="0069395D"/>
    <w:rsid w:val="00693AF8"/>
    <w:rsid w:val="00696026"/>
    <w:rsid w:val="006A05AC"/>
    <w:rsid w:val="006A0D0B"/>
    <w:rsid w:val="006A38D5"/>
    <w:rsid w:val="006A4633"/>
    <w:rsid w:val="006C06C7"/>
    <w:rsid w:val="006C40EA"/>
    <w:rsid w:val="006C54BF"/>
    <w:rsid w:val="006C7AF1"/>
    <w:rsid w:val="006D1777"/>
    <w:rsid w:val="006D3CA4"/>
    <w:rsid w:val="006E0470"/>
    <w:rsid w:val="006E22BF"/>
    <w:rsid w:val="006E510E"/>
    <w:rsid w:val="006E5746"/>
    <w:rsid w:val="006E61D4"/>
    <w:rsid w:val="006E7427"/>
    <w:rsid w:val="006F0EF8"/>
    <w:rsid w:val="006F20E2"/>
    <w:rsid w:val="006F2319"/>
    <w:rsid w:val="006F3BC9"/>
    <w:rsid w:val="006F65E2"/>
    <w:rsid w:val="006F7AE7"/>
    <w:rsid w:val="00700AF7"/>
    <w:rsid w:val="00701F83"/>
    <w:rsid w:val="00702636"/>
    <w:rsid w:val="0070458C"/>
    <w:rsid w:val="00707437"/>
    <w:rsid w:val="0071286E"/>
    <w:rsid w:val="0071440C"/>
    <w:rsid w:val="00715428"/>
    <w:rsid w:val="007164C8"/>
    <w:rsid w:val="00716A23"/>
    <w:rsid w:val="00716A4D"/>
    <w:rsid w:val="00717506"/>
    <w:rsid w:val="00717755"/>
    <w:rsid w:val="007271E5"/>
    <w:rsid w:val="0072770B"/>
    <w:rsid w:val="0073051F"/>
    <w:rsid w:val="0073146A"/>
    <w:rsid w:val="007315C4"/>
    <w:rsid w:val="00731AC3"/>
    <w:rsid w:val="00732DB1"/>
    <w:rsid w:val="007351AB"/>
    <w:rsid w:val="00741702"/>
    <w:rsid w:val="00742BDD"/>
    <w:rsid w:val="00751C98"/>
    <w:rsid w:val="007526B5"/>
    <w:rsid w:val="00752BB2"/>
    <w:rsid w:val="00761379"/>
    <w:rsid w:val="007621CE"/>
    <w:rsid w:val="00763E98"/>
    <w:rsid w:val="00764409"/>
    <w:rsid w:val="00764E5D"/>
    <w:rsid w:val="00766445"/>
    <w:rsid w:val="007664EA"/>
    <w:rsid w:val="007709B1"/>
    <w:rsid w:val="00770BED"/>
    <w:rsid w:val="00770ECE"/>
    <w:rsid w:val="00772F29"/>
    <w:rsid w:val="00772FAD"/>
    <w:rsid w:val="007762C4"/>
    <w:rsid w:val="007766E4"/>
    <w:rsid w:val="00784A82"/>
    <w:rsid w:val="00784CEA"/>
    <w:rsid w:val="007863E2"/>
    <w:rsid w:val="00792B46"/>
    <w:rsid w:val="007969D1"/>
    <w:rsid w:val="00797642"/>
    <w:rsid w:val="007A190F"/>
    <w:rsid w:val="007A3C48"/>
    <w:rsid w:val="007A52EB"/>
    <w:rsid w:val="007A79C5"/>
    <w:rsid w:val="007B26D2"/>
    <w:rsid w:val="007B2E3B"/>
    <w:rsid w:val="007B59FC"/>
    <w:rsid w:val="007B7DAA"/>
    <w:rsid w:val="007C0503"/>
    <w:rsid w:val="007C7A32"/>
    <w:rsid w:val="007D1BA3"/>
    <w:rsid w:val="007D7F81"/>
    <w:rsid w:val="007E0A56"/>
    <w:rsid w:val="007E2B94"/>
    <w:rsid w:val="007E3227"/>
    <w:rsid w:val="007E6B1F"/>
    <w:rsid w:val="007F2830"/>
    <w:rsid w:val="00800DA7"/>
    <w:rsid w:val="008024C7"/>
    <w:rsid w:val="00802E75"/>
    <w:rsid w:val="00803F1B"/>
    <w:rsid w:val="00804382"/>
    <w:rsid w:val="00804C05"/>
    <w:rsid w:val="008106D9"/>
    <w:rsid w:val="00811C8A"/>
    <w:rsid w:val="00812C5B"/>
    <w:rsid w:val="00814571"/>
    <w:rsid w:val="00816750"/>
    <w:rsid w:val="00816ABC"/>
    <w:rsid w:val="00830147"/>
    <w:rsid w:val="008322FB"/>
    <w:rsid w:val="00832E62"/>
    <w:rsid w:val="008339B3"/>
    <w:rsid w:val="00835406"/>
    <w:rsid w:val="00835575"/>
    <w:rsid w:val="00836239"/>
    <w:rsid w:val="008370C4"/>
    <w:rsid w:val="0084149B"/>
    <w:rsid w:val="0084219F"/>
    <w:rsid w:val="008422F1"/>
    <w:rsid w:val="0084652F"/>
    <w:rsid w:val="00847621"/>
    <w:rsid w:val="008513DF"/>
    <w:rsid w:val="00852C62"/>
    <w:rsid w:val="00852F79"/>
    <w:rsid w:val="008537AA"/>
    <w:rsid w:val="00853DEB"/>
    <w:rsid w:val="008561BC"/>
    <w:rsid w:val="00857E73"/>
    <w:rsid w:val="00863EF1"/>
    <w:rsid w:val="00865205"/>
    <w:rsid w:val="00866265"/>
    <w:rsid w:val="00866825"/>
    <w:rsid w:val="00867DEF"/>
    <w:rsid w:val="00873E9B"/>
    <w:rsid w:val="00873F91"/>
    <w:rsid w:val="00874050"/>
    <w:rsid w:val="008814DA"/>
    <w:rsid w:val="00883CE5"/>
    <w:rsid w:val="00885F39"/>
    <w:rsid w:val="00886558"/>
    <w:rsid w:val="00886620"/>
    <w:rsid w:val="00887704"/>
    <w:rsid w:val="0089236B"/>
    <w:rsid w:val="00893921"/>
    <w:rsid w:val="0089416C"/>
    <w:rsid w:val="00895268"/>
    <w:rsid w:val="008A1B62"/>
    <w:rsid w:val="008A3F3C"/>
    <w:rsid w:val="008A4D05"/>
    <w:rsid w:val="008B17B3"/>
    <w:rsid w:val="008B2C3D"/>
    <w:rsid w:val="008B434D"/>
    <w:rsid w:val="008B4E80"/>
    <w:rsid w:val="008B5DE1"/>
    <w:rsid w:val="008B7022"/>
    <w:rsid w:val="008C631C"/>
    <w:rsid w:val="008D5512"/>
    <w:rsid w:val="008D5FC2"/>
    <w:rsid w:val="008D5FC7"/>
    <w:rsid w:val="008D6CEC"/>
    <w:rsid w:val="008E0569"/>
    <w:rsid w:val="008E32B0"/>
    <w:rsid w:val="008E4887"/>
    <w:rsid w:val="008E53B0"/>
    <w:rsid w:val="008E70CB"/>
    <w:rsid w:val="008F1519"/>
    <w:rsid w:val="008F5F74"/>
    <w:rsid w:val="008F6135"/>
    <w:rsid w:val="0090441F"/>
    <w:rsid w:val="0090555C"/>
    <w:rsid w:val="009120CF"/>
    <w:rsid w:val="00913852"/>
    <w:rsid w:val="00920259"/>
    <w:rsid w:val="00921BD8"/>
    <w:rsid w:val="00922CDA"/>
    <w:rsid w:val="00923E78"/>
    <w:rsid w:val="009258BD"/>
    <w:rsid w:val="00930329"/>
    <w:rsid w:val="009305DE"/>
    <w:rsid w:val="00935E05"/>
    <w:rsid w:val="00940769"/>
    <w:rsid w:val="009424EC"/>
    <w:rsid w:val="00944CB6"/>
    <w:rsid w:val="00944E7A"/>
    <w:rsid w:val="00945513"/>
    <w:rsid w:val="009465C8"/>
    <w:rsid w:val="0094680C"/>
    <w:rsid w:val="00954429"/>
    <w:rsid w:val="00954FD7"/>
    <w:rsid w:val="009643E5"/>
    <w:rsid w:val="00964E9E"/>
    <w:rsid w:val="009756B1"/>
    <w:rsid w:val="00976FFB"/>
    <w:rsid w:val="00981A74"/>
    <w:rsid w:val="00983BA6"/>
    <w:rsid w:val="009863CD"/>
    <w:rsid w:val="009877E1"/>
    <w:rsid w:val="00987C09"/>
    <w:rsid w:val="00992D4F"/>
    <w:rsid w:val="00993231"/>
    <w:rsid w:val="00994EA6"/>
    <w:rsid w:val="009964C3"/>
    <w:rsid w:val="009A174B"/>
    <w:rsid w:val="009A2CD8"/>
    <w:rsid w:val="009A3E64"/>
    <w:rsid w:val="009A447B"/>
    <w:rsid w:val="009A4DD4"/>
    <w:rsid w:val="009B0A4A"/>
    <w:rsid w:val="009B257B"/>
    <w:rsid w:val="009B2DC2"/>
    <w:rsid w:val="009C07C2"/>
    <w:rsid w:val="009C222B"/>
    <w:rsid w:val="009C2D91"/>
    <w:rsid w:val="009C307A"/>
    <w:rsid w:val="009C40F0"/>
    <w:rsid w:val="009C4B1B"/>
    <w:rsid w:val="009C4ECF"/>
    <w:rsid w:val="009D1B69"/>
    <w:rsid w:val="009D3128"/>
    <w:rsid w:val="009D6407"/>
    <w:rsid w:val="009E0103"/>
    <w:rsid w:val="009E149F"/>
    <w:rsid w:val="009E371F"/>
    <w:rsid w:val="009E62D5"/>
    <w:rsid w:val="009E7068"/>
    <w:rsid w:val="009F1B1B"/>
    <w:rsid w:val="009F2C1C"/>
    <w:rsid w:val="009F40F6"/>
    <w:rsid w:val="009F69B6"/>
    <w:rsid w:val="009F7A28"/>
    <w:rsid w:val="00A00524"/>
    <w:rsid w:val="00A00E71"/>
    <w:rsid w:val="00A00EEA"/>
    <w:rsid w:val="00A01259"/>
    <w:rsid w:val="00A0163A"/>
    <w:rsid w:val="00A03EDB"/>
    <w:rsid w:val="00A0578D"/>
    <w:rsid w:val="00A06483"/>
    <w:rsid w:val="00A073A8"/>
    <w:rsid w:val="00A1095A"/>
    <w:rsid w:val="00A14115"/>
    <w:rsid w:val="00A158E9"/>
    <w:rsid w:val="00A15AC5"/>
    <w:rsid w:val="00A175A1"/>
    <w:rsid w:val="00A17A96"/>
    <w:rsid w:val="00A22DF1"/>
    <w:rsid w:val="00A23C3D"/>
    <w:rsid w:val="00A27352"/>
    <w:rsid w:val="00A31060"/>
    <w:rsid w:val="00A35FEB"/>
    <w:rsid w:val="00A36E22"/>
    <w:rsid w:val="00A41261"/>
    <w:rsid w:val="00A41775"/>
    <w:rsid w:val="00A4495D"/>
    <w:rsid w:val="00A4613F"/>
    <w:rsid w:val="00A46F3A"/>
    <w:rsid w:val="00A50089"/>
    <w:rsid w:val="00A54EB4"/>
    <w:rsid w:val="00A55584"/>
    <w:rsid w:val="00A5623C"/>
    <w:rsid w:val="00A612A7"/>
    <w:rsid w:val="00A61AF7"/>
    <w:rsid w:val="00A674CA"/>
    <w:rsid w:val="00A74A2E"/>
    <w:rsid w:val="00A75332"/>
    <w:rsid w:val="00A75A6B"/>
    <w:rsid w:val="00A75AFE"/>
    <w:rsid w:val="00A75D05"/>
    <w:rsid w:val="00A77826"/>
    <w:rsid w:val="00A8029D"/>
    <w:rsid w:val="00A81254"/>
    <w:rsid w:val="00A82D9A"/>
    <w:rsid w:val="00A83413"/>
    <w:rsid w:val="00A86C3F"/>
    <w:rsid w:val="00A902C6"/>
    <w:rsid w:val="00A91570"/>
    <w:rsid w:val="00A973D7"/>
    <w:rsid w:val="00A97E9C"/>
    <w:rsid w:val="00AA1B0B"/>
    <w:rsid w:val="00AA4B08"/>
    <w:rsid w:val="00AA4BC8"/>
    <w:rsid w:val="00AA6F9B"/>
    <w:rsid w:val="00AB416D"/>
    <w:rsid w:val="00AC0D1E"/>
    <w:rsid w:val="00AC150C"/>
    <w:rsid w:val="00AC3BE4"/>
    <w:rsid w:val="00AC6DD2"/>
    <w:rsid w:val="00AD0C01"/>
    <w:rsid w:val="00AD28BB"/>
    <w:rsid w:val="00AD49EC"/>
    <w:rsid w:val="00AD62B3"/>
    <w:rsid w:val="00AD6FB3"/>
    <w:rsid w:val="00AE09A2"/>
    <w:rsid w:val="00AE1243"/>
    <w:rsid w:val="00AE39C6"/>
    <w:rsid w:val="00AE5512"/>
    <w:rsid w:val="00AE66B5"/>
    <w:rsid w:val="00AF2E2D"/>
    <w:rsid w:val="00AF729F"/>
    <w:rsid w:val="00B01B2F"/>
    <w:rsid w:val="00B05C69"/>
    <w:rsid w:val="00B066B7"/>
    <w:rsid w:val="00B10A0B"/>
    <w:rsid w:val="00B11691"/>
    <w:rsid w:val="00B1214D"/>
    <w:rsid w:val="00B12FBB"/>
    <w:rsid w:val="00B1381F"/>
    <w:rsid w:val="00B15BA7"/>
    <w:rsid w:val="00B2064B"/>
    <w:rsid w:val="00B23E29"/>
    <w:rsid w:val="00B25426"/>
    <w:rsid w:val="00B25B54"/>
    <w:rsid w:val="00B2774C"/>
    <w:rsid w:val="00B312FC"/>
    <w:rsid w:val="00B315AB"/>
    <w:rsid w:val="00B36A0D"/>
    <w:rsid w:val="00B37886"/>
    <w:rsid w:val="00B51708"/>
    <w:rsid w:val="00B60139"/>
    <w:rsid w:val="00B60E3B"/>
    <w:rsid w:val="00B65D9D"/>
    <w:rsid w:val="00B661B2"/>
    <w:rsid w:val="00B769EA"/>
    <w:rsid w:val="00B76C7E"/>
    <w:rsid w:val="00B778ED"/>
    <w:rsid w:val="00B77D5D"/>
    <w:rsid w:val="00B84A6A"/>
    <w:rsid w:val="00B852EC"/>
    <w:rsid w:val="00B86379"/>
    <w:rsid w:val="00B91244"/>
    <w:rsid w:val="00B92CF7"/>
    <w:rsid w:val="00B95FC3"/>
    <w:rsid w:val="00B963EF"/>
    <w:rsid w:val="00B974F5"/>
    <w:rsid w:val="00BA0AB8"/>
    <w:rsid w:val="00BA2524"/>
    <w:rsid w:val="00BA3A29"/>
    <w:rsid w:val="00BA4B3B"/>
    <w:rsid w:val="00BA4F08"/>
    <w:rsid w:val="00BA5ABA"/>
    <w:rsid w:val="00BA690B"/>
    <w:rsid w:val="00BB3581"/>
    <w:rsid w:val="00BB72E9"/>
    <w:rsid w:val="00BC05F4"/>
    <w:rsid w:val="00BC1B07"/>
    <w:rsid w:val="00BC35B9"/>
    <w:rsid w:val="00BC35BB"/>
    <w:rsid w:val="00BC4DF4"/>
    <w:rsid w:val="00BC6694"/>
    <w:rsid w:val="00BC671C"/>
    <w:rsid w:val="00BC73ED"/>
    <w:rsid w:val="00BD13D3"/>
    <w:rsid w:val="00BD1F2E"/>
    <w:rsid w:val="00BD2F07"/>
    <w:rsid w:val="00BE09F6"/>
    <w:rsid w:val="00BE2479"/>
    <w:rsid w:val="00BE2ADB"/>
    <w:rsid w:val="00BE612B"/>
    <w:rsid w:val="00BE6713"/>
    <w:rsid w:val="00BF0385"/>
    <w:rsid w:val="00BF1D62"/>
    <w:rsid w:val="00BF24C0"/>
    <w:rsid w:val="00BF7517"/>
    <w:rsid w:val="00C00CD3"/>
    <w:rsid w:val="00C03CDD"/>
    <w:rsid w:val="00C059E3"/>
    <w:rsid w:val="00C076F3"/>
    <w:rsid w:val="00C07929"/>
    <w:rsid w:val="00C07BD7"/>
    <w:rsid w:val="00C1146D"/>
    <w:rsid w:val="00C1195D"/>
    <w:rsid w:val="00C14742"/>
    <w:rsid w:val="00C149E2"/>
    <w:rsid w:val="00C2365A"/>
    <w:rsid w:val="00C30F29"/>
    <w:rsid w:val="00C35B95"/>
    <w:rsid w:val="00C40773"/>
    <w:rsid w:val="00C4140D"/>
    <w:rsid w:val="00C44054"/>
    <w:rsid w:val="00C465CE"/>
    <w:rsid w:val="00C46F39"/>
    <w:rsid w:val="00C51BFA"/>
    <w:rsid w:val="00C51F6B"/>
    <w:rsid w:val="00C52ACF"/>
    <w:rsid w:val="00C544C7"/>
    <w:rsid w:val="00C5481C"/>
    <w:rsid w:val="00C55222"/>
    <w:rsid w:val="00C61A88"/>
    <w:rsid w:val="00C61D19"/>
    <w:rsid w:val="00C62007"/>
    <w:rsid w:val="00C62FDF"/>
    <w:rsid w:val="00C63949"/>
    <w:rsid w:val="00C73A76"/>
    <w:rsid w:val="00C74AA0"/>
    <w:rsid w:val="00C75B25"/>
    <w:rsid w:val="00C82F92"/>
    <w:rsid w:val="00C85A5E"/>
    <w:rsid w:val="00C869E6"/>
    <w:rsid w:val="00C91BA9"/>
    <w:rsid w:val="00C93CB4"/>
    <w:rsid w:val="00C9658E"/>
    <w:rsid w:val="00C96846"/>
    <w:rsid w:val="00C971A7"/>
    <w:rsid w:val="00C975B7"/>
    <w:rsid w:val="00CA069A"/>
    <w:rsid w:val="00CA24FE"/>
    <w:rsid w:val="00CA504F"/>
    <w:rsid w:val="00CB0906"/>
    <w:rsid w:val="00CB1376"/>
    <w:rsid w:val="00CB2CC0"/>
    <w:rsid w:val="00CB3F04"/>
    <w:rsid w:val="00CB459E"/>
    <w:rsid w:val="00CB4B8D"/>
    <w:rsid w:val="00CB51CB"/>
    <w:rsid w:val="00CB7879"/>
    <w:rsid w:val="00CC22E3"/>
    <w:rsid w:val="00CD14B8"/>
    <w:rsid w:val="00CD1F97"/>
    <w:rsid w:val="00CD2D83"/>
    <w:rsid w:val="00CD3B49"/>
    <w:rsid w:val="00CD4A5A"/>
    <w:rsid w:val="00CD5495"/>
    <w:rsid w:val="00CD72C7"/>
    <w:rsid w:val="00CD75A8"/>
    <w:rsid w:val="00CE295A"/>
    <w:rsid w:val="00CE2FAE"/>
    <w:rsid w:val="00CE7EF5"/>
    <w:rsid w:val="00CF2907"/>
    <w:rsid w:val="00CF32C9"/>
    <w:rsid w:val="00CF5AE3"/>
    <w:rsid w:val="00D00743"/>
    <w:rsid w:val="00D009D1"/>
    <w:rsid w:val="00D00FF6"/>
    <w:rsid w:val="00D03948"/>
    <w:rsid w:val="00D03D16"/>
    <w:rsid w:val="00D12492"/>
    <w:rsid w:val="00D16016"/>
    <w:rsid w:val="00D20FF5"/>
    <w:rsid w:val="00D21C85"/>
    <w:rsid w:val="00D21D95"/>
    <w:rsid w:val="00D22414"/>
    <w:rsid w:val="00D246FC"/>
    <w:rsid w:val="00D253C3"/>
    <w:rsid w:val="00D2606F"/>
    <w:rsid w:val="00D26090"/>
    <w:rsid w:val="00D27119"/>
    <w:rsid w:val="00D41216"/>
    <w:rsid w:val="00D4189C"/>
    <w:rsid w:val="00D4422F"/>
    <w:rsid w:val="00D44C6A"/>
    <w:rsid w:val="00D47A40"/>
    <w:rsid w:val="00D51433"/>
    <w:rsid w:val="00D51788"/>
    <w:rsid w:val="00D51D9D"/>
    <w:rsid w:val="00D535DC"/>
    <w:rsid w:val="00D559AB"/>
    <w:rsid w:val="00D61B95"/>
    <w:rsid w:val="00D63EBF"/>
    <w:rsid w:val="00D647C9"/>
    <w:rsid w:val="00D64CA1"/>
    <w:rsid w:val="00D659F2"/>
    <w:rsid w:val="00D67FD1"/>
    <w:rsid w:val="00D70A96"/>
    <w:rsid w:val="00D71222"/>
    <w:rsid w:val="00D73513"/>
    <w:rsid w:val="00D73B83"/>
    <w:rsid w:val="00D7447F"/>
    <w:rsid w:val="00D75293"/>
    <w:rsid w:val="00D761CF"/>
    <w:rsid w:val="00D76F2F"/>
    <w:rsid w:val="00D77C6C"/>
    <w:rsid w:val="00D77D68"/>
    <w:rsid w:val="00D833F1"/>
    <w:rsid w:val="00D878CB"/>
    <w:rsid w:val="00D90493"/>
    <w:rsid w:val="00D91178"/>
    <w:rsid w:val="00D961A2"/>
    <w:rsid w:val="00D96E4F"/>
    <w:rsid w:val="00D97747"/>
    <w:rsid w:val="00DA0568"/>
    <w:rsid w:val="00DA0845"/>
    <w:rsid w:val="00DA3AA8"/>
    <w:rsid w:val="00DA431F"/>
    <w:rsid w:val="00DA482B"/>
    <w:rsid w:val="00DA6A3C"/>
    <w:rsid w:val="00DA786F"/>
    <w:rsid w:val="00DB0AB8"/>
    <w:rsid w:val="00DB1034"/>
    <w:rsid w:val="00DB1879"/>
    <w:rsid w:val="00DB2232"/>
    <w:rsid w:val="00DB2FE8"/>
    <w:rsid w:val="00DC27AD"/>
    <w:rsid w:val="00DC56ED"/>
    <w:rsid w:val="00DC7B49"/>
    <w:rsid w:val="00DC7F01"/>
    <w:rsid w:val="00DD0E00"/>
    <w:rsid w:val="00DD25B8"/>
    <w:rsid w:val="00DD4202"/>
    <w:rsid w:val="00DD6AA6"/>
    <w:rsid w:val="00DE135D"/>
    <w:rsid w:val="00DE1EBB"/>
    <w:rsid w:val="00DE3340"/>
    <w:rsid w:val="00DE3B8B"/>
    <w:rsid w:val="00DE5CB6"/>
    <w:rsid w:val="00DE7B7A"/>
    <w:rsid w:val="00DF1115"/>
    <w:rsid w:val="00DF1590"/>
    <w:rsid w:val="00DF2989"/>
    <w:rsid w:val="00DF3B11"/>
    <w:rsid w:val="00E006B9"/>
    <w:rsid w:val="00E00FCF"/>
    <w:rsid w:val="00E01AAE"/>
    <w:rsid w:val="00E0306F"/>
    <w:rsid w:val="00E04E9B"/>
    <w:rsid w:val="00E07C2D"/>
    <w:rsid w:val="00E121FC"/>
    <w:rsid w:val="00E12CB6"/>
    <w:rsid w:val="00E14C31"/>
    <w:rsid w:val="00E16DF6"/>
    <w:rsid w:val="00E16F82"/>
    <w:rsid w:val="00E171AA"/>
    <w:rsid w:val="00E178DB"/>
    <w:rsid w:val="00E213F6"/>
    <w:rsid w:val="00E24328"/>
    <w:rsid w:val="00E256DF"/>
    <w:rsid w:val="00E26474"/>
    <w:rsid w:val="00E26D4C"/>
    <w:rsid w:val="00E309EE"/>
    <w:rsid w:val="00E3282B"/>
    <w:rsid w:val="00E36091"/>
    <w:rsid w:val="00E365F1"/>
    <w:rsid w:val="00E36688"/>
    <w:rsid w:val="00E37173"/>
    <w:rsid w:val="00E376C3"/>
    <w:rsid w:val="00E4535C"/>
    <w:rsid w:val="00E45EE8"/>
    <w:rsid w:val="00E548BC"/>
    <w:rsid w:val="00E55794"/>
    <w:rsid w:val="00E55D13"/>
    <w:rsid w:val="00E5767E"/>
    <w:rsid w:val="00E6088E"/>
    <w:rsid w:val="00E615AE"/>
    <w:rsid w:val="00E649E2"/>
    <w:rsid w:val="00E74F80"/>
    <w:rsid w:val="00E80C5D"/>
    <w:rsid w:val="00E81BC5"/>
    <w:rsid w:val="00E83674"/>
    <w:rsid w:val="00E85151"/>
    <w:rsid w:val="00E852ED"/>
    <w:rsid w:val="00E85379"/>
    <w:rsid w:val="00E85401"/>
    <w:rsid w:val="00E86634"/>
    <w:rsid w:val="00E86C0E"/>
    <w:rsid w:val="00E934E7"/>
    <w:rsid w:val="00E93A84"/>
    <w:rsid w:val="00E953CD"/>
    <w:rsid w:val="00E953DE"/>
    <w:rsid w:val="00E95763"/>
    <w:rsid w:val="00E97DF1"/>
    <w:rsid w:val="00EA00B2"/>
    <w:rsid w:val="00EA59A6"/>
    <w:rsid w:val="00EB07DF"/>
    <w:rsid w:val="00EB1DE4"/>
    <w:rsid w:val="00EB2CDC"/>
    <w:rsid w:val="00EB6F37"/>
    <w:rsid w:val="00EC024A"/>
    <w:rsid w:val="00EC0405"/>
    <w:rsid w:val="00EC1DD7"/>
    <w:rsid w:val="00EC30B8"/>
    <w:rsid w:val="00EC31B4"/>
    <w:rsid w:val="00EC5DE6"/>
    <w:rsid w:val="00EC648B"/>
    <w:rsid w:val="00EC6800"/>
    <w:rsid w:val="00ED4432"/>
    <w:rsid w:val="00EE0C4E"/>
    <w:rsid w:val="00EE12B6"/>
    <w:rsid w:val="00EF2784"/>
    <w:rsid w:val="00EF6862"/>
    <w:rsid w:val="00F06A0E"/>
    <w:rsid w:val="00F1246E"/>
    <w:rsid w:val="00F1346C"/>
    <w:rsid w:val="00F1554D"/>
    <w:rsid w:val="00F17FDF"/>
    <w:rsid w:val="00F2103A"/>
    <w:rsid w:val="00F21626"/>
    <w:rsid w:val="00F219C3"/>
    <w:rsid w:val="00F24876"/>
    <w:rsid w:val="00F27C1C"/>
    <w:rsid w:val="00F3039D"/>
    <w:rsid w:val="00F31899"/>
    <w:rsid w:val="00F319AB"/>
    <w:rsid w:val="00F33D26"/>
    <w:rsid w:val="00F36278"/>
    <w:rsid w:val="00F41AA7"/>
    <w:rsid w:val="00F42543"/>
    <w:rsid w:val="00F444BF"/>
    <w:rsid w:val="00F4492B"/>
    <w:rsid w:val="00F44AE7"/>
    <w:rsid w:val="00F45D91"/>
    <w:rsid w:val="00F4775A"/>
    <w:rsid w:val="00F4776C"/>
    <w:rsid w:val="00F51EBB"/>
    <w:rsid w:val="00F52182"/>
    <w:rsid w:val="00F522E3"/>
    <w:rsid w:val="00F5657D"/>
    <w:rsid w:val="00F57B63"/>
    <w:rsid w:val="00F63C42"/>
    <w:rsid w:val="00F64FD9"/>
    <w:rsid w:val="00F67780"/>
    <w:rsid w:val="00F76EF3"/>
    <w:rsid w:val="00F76FAE"/>
    <w:rsid w:val="00F77CA7"/>
    <w:rsid w:val="00F80518"/>
    <w:rsid w:val="00F83B36"/>
    <w:rsid w:val="00F83E71"/>
    <w:rsid w:val="00F85FDC"/>
    <w:rsid w:val="00F86FEC"/>
    <w:rsid w:val="00F872F8"/>
    <w:rsid w:val="00F87C16"/>
    <w:rsid w:val="00F937F6"/>
    <w:rsid w:val="00F952AA"/>
    <w:rsid w:val="00F95940"/>
    <w:rsid w:val="00F95959"/>
    <w:rsid w:val="00F9674E"/>
    <w:rsid w:val="00F9796C"/>
    <w:rsid w:val="00FA0200"/>
    <w:rsid w:val="00FA1827"/>
    <w:rsid w:val="00FA465C"/>
    <w:rsid w:val="00FA6C66"/>
    <w:rsid w:val="00FB34AC"/>
    <w:rsid w:val="00FC019B"/>
    <w:rsid w:val="00FC07BB"/>
    <w:rsid w:val="00FC2EDB"/>
    <w:rsid w:val="00FC4AEC"/>
    <w:rsid w:val="00FC506D"/>
    <w:rsid w:val="00FD1EEC"/>
    <w:rsid w:val="00FD2CFE"/>
    <w:rsid w:val="00FD5169"/>
    <w:rsid w:val="00FD585B"/>
    <w:rsid w:val="00FD76C9"/>
    <w:rsid w:val="00FE0994"/>
    <w:rsid w:val="00FE41A3"/>
    <w:rsid w:val="00FE41F9"/>
    <w:rsid w:val="00FE420B"/>
    <w:rsid w:val="00FF08EC"/>
    <w:rsid w:val="00FF15BB"/>
    <w:rsid w:val="00FF4B8A"/>
    <w:rsid w:val="00FF5E4D"/>
    <w:rsid w:val="00FF67D7"/>
    <w:rsid w:val="01421440"/>
    <w:rsid w:val="01427A79"/>
    <w:rsid w:val="0149951D"/>
    <w:rsid w:val="0167FD0A"/>
    <w:rsid w:val="045E4265"/>
    <w:rsid w:val="06179A04"/>
    <w:rsid w:val="06D4F748"/>
    <w:rsid w:val="070C0074"/>
    <w:rsid w:val="072AEF85"/>
    <w:rsid w:val="07E4E7C8"/>
    <w:rsid w:val="07EF4768"/>
    <w:rsid w:val="08F54356"/>
    <w:rsid w:val="09DE2AE1"/>
    <w:rsid w:val="0A61FF37"/>
    <w:rsid w:val="0AE71724"/>
    <w:rsid w:val="0BAD71CB"/>
    <w:rsid w:val="0C17CC79"/>
    <w:rsid w:val="0D01C192"/>
    <w:rsid w:val="0E293795"/>
    <w:rsid w:val="0EC9C0CC"/>
    <w:rsid w:val="0F3B1DC5"/>
    <w:rsid w:val="1151B1F4"/>
    <w:rsid w:val="11AE1127"/>
    <w:rsid w:val="11B8F955"/>
    <w:rsid w:val="126DFBCB"/>
    <w:rsid w:val="126F16EB"/>
    <w:rsid w:val="128B5C62"/>
    <w:rsid w:val="12ACDBB1"/>
    <w:rsid w:val="12CF0757"/>
    <w:rsid w:val="12EC1480"/>
    <w:rsid w:val="1309C247"/>
    <w:rsid w:val="134D3F70"/>
    <w:rsid w:val="135A018C"/>
    <w:rsid w:val="141D91FD"/>
    <w:rsid w:val="146E38D9"/>
    <w:rsid w:val="152998C3"/>
    <w:rsid w:val="15EFDA26"/>
    <w:rsid w:val="160C90B6"/>
    <w:rsid w:val="1850AAB8"/>
    <w:rsid w:val="18863D23"/>
    <w:rsid w:val="18B54292"/>
    <w:rsid w:val="1AB097C2"/>
    <w:rsid w:val="1AC803F6"/>
    <w:rsid w:val="1B80A53F"/>
    <w:rsid w:val="1BDE065E"/>
    <w:rsid w:val="1D7E9545"/>
    <w:rsid w:val="1DFEE65B"/>
    <w:rsid w:val="1E22EFBC"/>
    <w:rsid w:val="1E2389E3"/>
    <w:rsid w:val="1EFD163B"/>
    <w:rsid w:val="1FF91B68"/>
    <w:rsid w:val="2025E5D3"/>
    <w:rsid w:val="205D00FD"/>
    <w:rsid w:val="20C6DBC8"/>
    <w:rsid w:val="2257F385"/>
    <w:rsid w:val="22B612A4"/>
    <w:rsid w:val="23824162"/>
    <w:rsid w:val="23B55352"/>
    <w:rsid w:val="24656E24"/>
    <w:rsid w:val="261D4E59"/>
    <w:rsid w:val="2664AEEB"/>
    <w:rsid w:val="26CE9E3D"/>
    <w:rsid w:val="27B12D0A"/>
    <w:rsid w:val="27E172C0"/>
    <w:rsid w:val="27EC2287"/>
    <w:rsid w:val="2A978DB6"/>
    <w:rsid w:val="2B11F088"/>
    <w:rsid w:val="2BB0C99B"/>
    <w:rsid w:val="2C107875"/>
    <w:rsid w:val="2C129CB4"/>
    <w:rsid w:val="2C6C13FA"/>
    <w:rsid w:val="2E2AF6EB"/>
    <w:rsid w:val="2F6229A0"/>
    <w:rsid w:val="300919EC"/>
    <w:rsid w:val="30743F7A"/>
    <w:rsid w:val="309189E6"/>
    <w:rsid w:val="323B29B7"/>
    <w:rsid w:val="325562C8"/>
    <w:rsid w:val="335C5486"/>
    <w:rsid w:val="33C7DA96"/>
    <w:rsid w:val="33DF378C"/>
    <w:rsid w:val="34848D45"/>
    <w:rsid w:val="34BB4438"/>
    <w:rsid w:val="35493B8B"/>
    <w:rsid w:val="35747939"/>
    <w:rsid w:val="35DF219A"/>
    <w:rsid w:val="37127417"/>
    <w:rsid w:val="37B49F4F"/>
    <w:rsid w:val="37F94FDB"/>
    <w:rsid w:val="38137423"/>
    <w:rsid w:val="3842CE4D"/>
    <w:rsid w:val="38ABDEF0"/>
    <w:rsid w:val="3A2B4EF6"/>
    <w:rsid w:val="3AFB3C22"/>
    <w:rsid w:val="3C1ECB3E"/>
    <w:rsid w:val="3C5EC48B"/>
    <w:rsid w:val="3D584F44"/>
    <w:rsid w:val="3DEAC107"/>
    <w:rsid w:val="3E738692"/>
    <w:rsid w:val="3FB1275C"/>
    <w:rsid w:val="402031C5"/>
    <w:rsid w:val="41890308"/>
    <w:rsid w:val="41C726D0"/>
    <w:rsid w:val="42952059"/>
    <w:rsid w:val="43490E2A"/>
    <w:rsid w:val="435F2337"/>
    <w:rsid w:val="43FEDA5A"/>
    <w:rsid w:val="4413BFA1"/>
    <w:rsid w:val="442D57C0"/>
    <w:rsid w:val="46BFD6B1"/>
    <w:rsid w:val="47B332A2"/>
    <w:rsid w:val="47FE0D93"/>
    <w:rsid w:val="484314DE"/>
    <w:rsid w:val="484D89CA"/>
    <w:rsid w:val="4ACC3F8E"/>
    <w:rsid w:val="4AF3A140"/>
    <w:rsid w:val="4B21B2FA"/>
    <w:rsid w:val="4C2F67A9"/>
    <w:rsid w:val="4D2BFD37"/>
    <w:rsid w:val="4DBC9907"/>
    <w:rsid w:val="4E93F19C"/>
    <w:rsid w:val="4F11A442"/>
    <w:rsid w:val="4F5FC590"/>
    <w:rsid w:val="4F677F4D"/>
    <w:rsid w:val="4F6AD575"/>
    <w:rsid w:val="5071B113"/>
    <w:rsid w:val="50FC532B"/>
    <w:rsid w:val="51181521"/>
    <w:rsid w:val="5261F9F6"/>
    <w:rsid w:val="52DD005E"/>
    <w:rsid w:val="54CA02A6"/>
    <w:rsid w:val="5559A85D"/>
    <w:rsid w:val="559D2802"/>
    <w:rsid w:val="55A53EA7"/>
    <w:rsid w:val="55B8555E"/>
    <w:rsid w:val="55BA8D49"/>
    <w:rsid w:val="55E386A1"/>
    <w:rsid w:val="57ABFFB1"/>
    <w:rsid w:val="58083C79"/>
    <w:rsid w:val="5854FA20"/>
    <w:rsid w:val="58C337B2"/>
    <w:rsid w:val="5936E7DD"/>
    <w:rsid w:val="5A469F0E"/>
    <w:rsid w:val="5B666DCF"/>
    <w:rsid w:val="5C885008"/>
    <w:rsid w:val="5CB26C38"/>
    <w:rsid w:val="5CB92A37"/>
    <w:rsid w:val="5CF46489"/>
    <w:rsid w:val="5EEFA6C5"/>
    <w:rsid w:val="5FFB73C8"/>
    <w:rsid w:val="60B57681"/>
    <w:rsid w:val="62239742"/>
    <w:rsid w:val="6245E273"/>
    <w:rsid w:val="629FF88F"/>
    <w:rsid w:val="6391E9E0"/>
    <w:rsid w:val="6442FDE5"/>
    <w:rsid w:val="6451B0AE"/>
    <w:rsid w:val="64F8A63C"/>
    <w:rsid w:val="6558488D"/>
    <w:rsid w:val="6573F2CF"/>
    <w:rsid w:val="657734C4"/>
    <w:rsid w:val="67EE8028"/>
    <w:rsid w:val="682DB0FA"/>
    <w:rsid w:val="686FC784"/>
    <w:rsid w:val="6913F6F0"/>
    <w:rsid w:val="69FE2AD7"/>
    <w:rsid w:val="6A2CDBEA"/>
    <w:rsid w:val="6B5A8E3E"/>
    <w:rsid w:val="6B5AC75D"/>
    <w:rsid w:val="6E0C8645"/>
    <w:rsid w:val="6F5491B9"/>
    <w:rsid w:val="6F70EA2E"/>
    <w:rsid w:val="6FB22059"/>
    <w:rsid w:val="70DA4EC8"/>
    <w:rsid w:val="70F28210"/>
    <w:rsid w:val="713458BF"/>
    <w:rsid w:val="719E7DAA"/>
    <w:rsid w:val="727F89C1"/>
    <w:rsid w:val="72CEA3C3"/>
    <w:rsid w:val="72E560AB"/>
    <w:rsid w:val="73026D47"/>
    <w:rsid w:val="7315B86F"/>
    <w:rsid w:val="73900813"/>
    <w:rsid w:val="740552FD"/>
    <w:rsid w:val="743660FA"/>
    <w:rsid w:val="74C14169"/>
    <w:rsid w:val="752BE5C6"/>
    <w:rsid w:val="75405B0C"/>
    <w:rsid w:val="76D5260F"/>
    <w:rsid w:val="77C04267"/>
    <w:rsid w:val="79E20ACF"/>
    <w:rsid w:val="7A7D4BC5"/>
    <w:rsid w:val="7CCCDD5B"/>
    <w:rsid w:val="7D264C66"/>
    <w:rsid w:val="7D6D23C8"/>
    <w:rsid w:val="7D7781E1"/>
    <w:rsid w:val="7D93422E"/>
    <w:rsid w:val="7DC85D41"/>
    <w:rsid w:val="7DDB56D0"/>
    <w:rsid w:val="7E71506C"/>
    <w:rsid w:val="7EAAA9D3"/>
    <w:rsid w:val="7FFCE8B9"/>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52E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CD4A5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a0"/>
    <w:rsid w:val="00CD4A5A"/>
  </w:style>
  <w:style w:type="character" w:customStyle="1" w:styleId="spellingerror">
    <w:name w:val="spellingerror"/>
    <w:basedOn w:val="a0"/>
    <w:rsid w:val="00CD4A5A"/>
  </w:style>
  <w:style w:type="character" w:customStyle="1" w:styleId="eop">
    <w:name w:val="eop"/>
    <w:basedOn w:val="a0"/>
    <w:rsid w:val="00CD4A5A"/>
  </w:style>
  <w:style w:type="paragraph" w:styleId="a3">
    <w:name w:val="Revision"/>
    <w:hidden/>
    <w:uiPriority w:val="99"/>
    <w:semiHidden/>
    <w:rsid w:val="003649DD"/>
    <w:pPr>
      <w:spacing w:after="0" w:line="240" w:lineRule="auto"/>
    </w:pPr>
  </w:style>
  <w:style w:type="paragraph" w:styleId="a4">
    <w:name w:val="Balloon Text"/>
    <w:basedOn w:val="a"/>
    <w:link w:val="Char"/>
    <w:uiPriority w:val="99"/>
    <w:semiHidden/>
    <w:unhideWhenUsed/>
    <w:rsid w:val="003649DD"/>
    <w:pPr>
      <w:spacing w:after="0" w:line="240" w:lineRule="auto"/>
    </w:pPr>
    <w:rPr>
      <w:rFonts w:ascii="Segoe UI" w:hAnsi="Segoe UI" w:cs="Segoe UI"/>
      <w:sz w:val="18"/>
      <w:szCs w:val="18"/>
    </w:rPr>
  </w:style>
  <w:style w:type="character" w:customStyle="1" w:styleId="Char">
    <w:name w:val="批注框文本 Char"/>
    <w:basedOn w:val="a0"/>
    <w:link w:val="a4"/>
    <w:uiPriority w:val="99"/>
    <w:semiHidden/>
    <w:rsid w:val="003649DD"/>
    <w:rPr>
      <w:rFonts w:ascii="Segoe UI" w:hAnsi="Segoe UI" w:cs="Segoe UI"/>
      <w:sz w:val="18"/>
      <w:szCs w:val="18"/>
    </w:rPr>
  </w:style>
  <w:style w:type="paragraph" w:styleId="a5">
    <w:name w:val="header"/>
    <w:basedOn w:val="a"/>
    <w:link w:val="Char0"/>
    <w:uiPriority w:val="99"/>
    <w:unhideWhenUsed/>
    <w:rsid w:val="001F0371"/>
    <w:pPr>
      <w:tabs>
        <w:tab w:val="center" w:pos="4536"/>
        <w:tab w:val="right" w:pos="9072"/>
      </w:tabs>
      <w:spacing w:after="0" w:line="240" w:lineRule="auto"/>
    </w:pPr>
  </w:style>
  <w:style w:type="character" w:customStyle="1" w:styleId="Char0">
    <w:name w:val="页眉 Char"/>
    <w:basedOn w:val="a0"/>
    <w:link w:val="a5"/>
    <w:uiPriority w:val="99"/>
    <w:rsid w:val="001F0371"/>
  </w:style>
  <w:style w:type="paragraph" w:styleId="a6">
    <w:name w:val="footer"/>
    <w:basedOn w:val="a"/>
    <w:link w:val="Char1"/>
    <w:uiPriority w:val="99"/>
    <w:unhideWhenUsed/>
    <w:rsid w:val="001F0371"/>
    <w:pPr>
      <w:tabs>
        <w:tab w:val="center" w:pos="4536"/>
        <w:tab w:val="right" w:pos="9072"/>
      </w:tabs>
      <w:spacing w:after="0" w:line="240" w:lineRule="auto"/>
    </w:pPr>
  </w:style>
  <w:style w:type="character" w:customStyle="1" w:styleId="Char1">
    <w:name w:val="页脚 Char"/>
    <w:basedOn w:val="a0"/>
    <w:link w:val="a6"/>
    <w:uiPriority w:val="99"/>
    <w:rsid w:val="001F0371"/>
  </w:style>
  <w:style w:type="character" w:styleId="a7">
    <w:name w:val="line number"/>
    <w:basedOn w:val="a0"/>
    <w:uiPriority w:val="99"/>
    <w:semiHidden/>
    <w:unhideWhenUsed/>
    <w:rsid w:val="001F0371"/>
  </w:style>
  <w:style w:type="character" w:styleId="a8">
    <w:name w:val="annotation reference"/>
    <w:basedOn w:val="a0"/>
    <w:uiPriority w:val="99"/>
    <w:semiHidden/>
    <w:unhideWhenUsed/>
    <w:rsid w:val="00C40773"/>
    <w:rPr>
      <w:sz w:val="16"/>
      <w:szCs w:val="16"/>
    </w:rPr>
  </w:style>
  <w:style w:type="paragraph" w:styleId="a9">
    <w:name w:val="annotation text"/>
    <w:basedOn w:val="a"/>
    <w:link w:val="Char10"/>
    <w:semiHidden/>
    <w:unhideWhenUsed/>
    <w:rsid w:val="00C40773"/>
    <w:pPr>
      <w:spacing w:line="240" w:lineRule="auto"/>
    </w:pPr>
    <w:rPr>
      <w:sz w:val="20"/>
      <w:szCs w:val="20"/>
    </w:rPr>
  </w:style>
  <w:style w:type="character" w:customStyle="1" w:styleId="Char10">
    <w:name w:val="批注文字 Char1"/>
    <w:basedOn w:val="a0"/>
    <w:link w:val="a9"/>
    <w:uiPriority w:val="99"/>
    <w:semiHidden/>
    <w:rsid w:val="00C40773"/>
    <w:rPr>
      <w:sz w:val="20"/>
      <w:szCs w:val="20"/>
    </w:rPr>
  </w:style>
  <w:style w:type="paragraph" w:styleId="aa">
    <w:name w:val="annotation subject"/>
    <w:basedOn w:val="a9"/>
    <w:next w:val="a9"/>
    <w:link w:val="Char2"/>
    <w:uiPriority w:val="99"/>
    <w:semiHidden/>
    <w:unhideWhenUsed/>
    <w:rsid w:val="00C40773"/>
    <w:rPr>
      <w:b/>
      <w:bCs/>
    </w:rPr>
  </w:style>
  <w:style w:type="character" w:customStyle="1" w:styleId="Char2">
    <w:name w:val="批注主题 Char"/>
    <w:basedOn w:val="Char10"/>
    <w:link w:val="aa"/>
    <w:uiPriority w:val="99"/>
    <w:semiHidden/>
    <w:rsid w:val="00C40773"/>
    <w:rPr>
      <w:b/>
      <w:bCs/>
      <w:sz w:val="20"/>
      <w:szCs w:val="20"/>
    </w:rPr>
  </w:style>
  <w:style w:type="character" w:styleId="ab">
    <w:name w:val="Hyperlink"/>
    <w:basedOn w:val="a0"/>
    <w:uiPriority w:val="99"/>
    <w:unhideWhenUsed/>
    <w:rsid w:val="006D3CA4"/>
    <w:rPr>
      <w:color w:val="0563C1" w:themeColor="hyperlink"/>
      <w:u w:val="single"/>
    </w:rPr>
  </w:style>
  <w:style w:type="paragraph" w:styleId="ac">
    <w:name w:val="Normal (Web)"/>
    <w:basedOn w:val="a"/>
    <w:uiPriority w:val="99"/>
    <w:unhideWhenUsed/>
    <w:rsid w:val="00B8637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entionnonrsolue1">
    <w:name w:val="Mention non résolue1"/>
    <w:basedOn w:val="a0"/>
    <w:uiPriority w:val="99"/>
    <w:semiHidden/>
    <w:unhideWhenUsed/>
    <w:rsid w:val="005555FF"/>
    <w:rPr>
      <w:color w:val="605E5C"/>
      <w:shd w:val="clear" w:color="auto" w:fill="E1DFDD"/>
    </w:rPr>
  </w:style>
  <w:style w:type="table" w:styleId="ad">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entionnonrsolue2">
    <w:name w:val="Mention non résolue2"/>
    <w:basedOn w:val="a0"/>
    <w:uiPriority w:val="99"/>
    <w:semiHidden/>
    <w:unhideWhenUsed/>
    <w:rsid w:val="00A06483"/>
    <w:rPr>
      <w:color w:val="605E5C"/>
      <w:shd w:val="clear" w:color="auto" w:fill="E1DFDD"/>
    </w:rPr>
  </w:style>
  <w:style w:type="character" w:customStyle="1" w:styleId="Char3">
    <w:name w:val="批注文字 Char"/>
    <w:semiHidden/>
    <w:rsid w:val="00353E91"/>
    <w:rPr>
      <w:rFonts w:ascii="Calibri" w:eastAsia="Calibri" w:hAnsi="Calibri" w:cs="Calibri"/>
      <w:sz w:val="22"/>
      <w:szCs w:val="22"/>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CD4A5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a0"/>
    <w:rsid w:val="00CD4A5A"/>
  </w:style>
  <w:style w:type="character" w:customStyle="1" w:styleId="spellingerror">
    <w:name w:val="spellingerror"/>
    <w:basedOn w:val="a0"/>
    <w:rsid w:val="00CD4A5A"/>
  </w:style>
  <w:style w:type="character" w:customStyle="1" w:styleId="eop">
    <w:name w:val="eop"/>
    <w:basedOn w:val="a0"/>
    <w:rsid w:val="00CD4A5A"/>
  </w:style>
  <w:style w:type="paragraph" w:styleId="a3">
    <w:name w:val="Revision"/>
    <w:hidden/>
    <w:uiPriority w:val="99"/>
    <w:semiHidden/>
    <w:rsid w:val="003649DD"/>
    <w:pPr>
      <w:spacing w:after="0" w:line="240" w:lineRule="auto"/>
    </w:pPr>
  </w:style>
  <w:style w:type="paragraph" w:styleId="a4">
    <w:name w:val="Balloon Text"/>
    <w:basedOn w:val="a"/>
    <w:link w:val="Char"/>
    <w:uiPriority w:val="99"/>
    <w:semiHidden/>
    <w:unhideWhenUsed/>
    <w:rsid w:val="003649DD"/>
    <w:pPr>
      <w:spacing w:after="0" w:line="240" w:lineRule="auto"/>
    </w:pPr>
    <w:rPr>
      <w:rFonts w:ascii="Segoe UI" w:hAnsi="Segoe UI" w:cs="Segoe UI"/>
      <w:sz w:val="18"/>
      <w:szCs w:val="18"/>
    </w:rPr>
  </w:style>
  <w:style w:type="character" w:customStyle="1" w:styleId="Char">
    <w:name w:val="批注框文本 Char"/>
    <w:basedOn w:val="a0"/>
    <w:link w:val="a4"/>
    <w:uiPriority w:val="99"/>
    <w:semiHidden/>
    <w:rsid w:val="003649DD"/>
    <w:rPr>
      <w:rFonts w:ascii="Segoe UI" w:hAnsi="Segoe UI" w:cs="Segoe UI"/>
      <w:sz w:val="18"/>
      <w:szCs w:val="18"/>
    </w:rPr>
  </w:style>
  <w:style w:type="paragraph" w:styleId="a5">
    <w:name w:val="header"/>
    <w:basedOn w:val="a"/>
    <w:link w:val="Char0"/>
    <w:uiPriority w:val="99"/>
    <w:unhideWhenUsed/>
    <w:rsid w:val="001F0371"/>
    <w:pPr>
      <w:tabs>
        <w:tab w:val="center" w:pos="4536"/>
        <w:tab w:val="right" w:pos="9072"/>
      </w:tabs>
      <w:spacing w:after="0" w:line="240" w:lineRule="auto"/>
    </w:pPr>
  </w:style>
  <w:style w:type="character" w:customStyle="1" w:styleId="Char0">
    <w:name w:val="页眉 Char"/>
    <w:basedOn w:val="a0"/>
    <w:link w:val="a5"/>
    <w:uiPriority w:val="99"/>
    <w:rsid w:val="001F0371"/>
  </w:style>
  <w:style w:type="paragraph" w:styleId="a6">
    <w:name w:val="footer"/>
    <w:basedOn w:val="a"/>
    <w:link w:val="Char1"/>
    <w:uiPriority w:val="99"/>
    <w:unhideWhenUsed/>
    <w:rsid w:val="001F0371"/>
    <w:pPr>
      <w:tabs>
        <w:tab w:val="center" w:pos="4536"/>
        <w:tab w:val="right" w:pos="9072"/>
      </w:tabs>
      <w:spacing w:after="0" w:line="240" w:lineRule="auto"/>
    </w:pPr>
  </w:style>
  <w:style w:type="character" w:customStyle="1" w:styleId="Char1">
    <w:name w:val="页脚 Char"/>
    <w:basedOn w:val="a0"/>
    <w:link w:val="a6"/>
    <w:uiPriority w:val="99"/>
    <w:rsid w:val="001F0371"/>
  </w:style>
  <w:style w:type="character" w:styleId="a7">
    <w:name w:val="line number"/>
    <w:basedOn w:val="a0"/>
    <w:uiPriority w:val="99"/>
    <w:semiHidden/>
    <w:unhideWhenUsed/>
    <w:rsid w:val="001F0371"/>
  </w:style>
  <w:style w:type="character" w:styleId="a8">
    <w:name w:val="annotation reference"/>
    <w:basedOn w:val="a0"/>
    <w:uiPriority w:val="99"/>
    <w:semiHidden/>
    <w:unhideWhenUsed/>
    <w:rsid w:val="00C40773"/>
    <w:rPr>
      <w:sz w:val="16"/>
      <w:szCs w:val="16"/>
    </w:rPr>
  </w:style>
  <w:style w:type="paragraph" w:styleId="a9">
    <w:name w:val="annotation text"/>
    <w:basedOn w:val="a"/>
    <w:link w:val="Char10"/>
    <w:semiHidden/>
    <w:unhideWhenUsed/>
    <w:rsid w:val="00C40773"/>
    <w:pPr>
      <w:spacing w:line="240" w:lineRule="auto"/>
    </w:pPr>
    <w:rPr>
      <w:sz w:val="20"/>
      <w:szCs w:val="20"/>
    </w:rPr>
  </w:style>
  <w:style w:type="character" w:customStyle="1" w:styleId="Char10">
    <w:name w:val="批注文字 Char1"/>
    <w:basedOn w:val="a0"/>
    <w:link w:val="a9"/>
    <w:uiPriority w:val="99"/>
    <w:semiHidden/>
    <w:rsid w:val="00C40773"/>
    <w:rPr>
      <w:sz w:val="20"/>
      <w:szCs w:val="20"/>
    </w:rPr>
  </w:style>
  <w:style w:type="paragraph" w:styleId="aa">
    <w:name w:val="annotation subject"/>
    <w:basedOn w:val="a9"/>
    <w:next w:val="a9"/>
    <w:link w:val="Char2"/>
    <w:uiPriority w:val="99"/>
    <w:semiHidden/>
    <w:unhideWhenUsed/>
    <w:rsid w:val="00C40773"/>
    <w:rPr>
      <w:b/>
      <w:bCs/>
    </w:rPr>
  </w:style>
  <w:style w:type="character" w:customStyle="1" w:styleId="Char2">
    <w:name w:val="批注主题 Char"/>
    <w:basedOn w:val="Char10"/>
    <w:link w:val="aa"/>
    <w:uiPriority w:val="99"/>
    <w:semiHidden/>
    <w:rsid w:val="00C40773"/>
    <w:rPr>
      <w:b/>
      <w:bCs/>
      <w:sz w:val="20"/>
      <w:szCs w:val="20"/>
    </w:rPr>
  </w:style>
  <w:style w:type="character" w:styleId="ab">
    <w:name w:val="Hyperlink"/>
    <w:basedOn w:val="a0"/>
    <w:uiPriority w:val="99"/>
    <w:unhideWhenUsed/>
    <w:rsid w:val="006D3CA4"/>
    <w:rPr>
      <w:color w:val="0563C1" w:themeColor="hyperlink"/>
      <w:u w:val="single"/>
    </w:rPr>
  </w:style>
  <w:style w:type="paragraph" w:styleId="ac">
    <w:name w:val="Normal (Web)"/>
    <w:basedOn w:val="a"/>
    <w:uiPriority w:val="99"/>
    <w:unhideWhenUsed/>
    <w:rsid w:val="00B8637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entionnonrsolue1">
    <w:name w:val="Mention non résolue1"/>
    <w:basedOn w:val="a0"/>
    <w:uiPriority w:val="99"/>
    <w:semiHidden/>
    <w:unhideWhenUsed/>
    <w:rsid w:val="005555FF"/>
    <w:rPr>
      <w:color w:val="605E5C"/>
      <w:shd w:val="clear" w:color="auto" w:fill="E1DFDD"/>
    </w:rPr>
  </w:style>
  <w:style w:type="table" w:styleId="ad">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entionnonrsolue2">
    <w:name w:val="Mention non résolue2"/>
    <w:basedOn w:val="a0"/>
    <w:uiPriority w:val="99"/>
    <w:semiHidden/>
    <w:unhideWhenUsed/>
    <w:rsid w:val="00A06483"/>
    <w:rPr>
      <w:color w:val="605E5C"/>
      <w:shd w:val="clear" w:color="auto" w:fill="E1DFDD"/>
    </w:rPr>
  </w:style>
  <w:style w:type="character" w:customStyle="1" w:styleId="Char3">
    <w:name w:val="批注文字 Char"/>
    <w:semiHidden/>
    <w:rsid w:val="00353E91"/>
    <w:rPr>
      <w:rFonts w:ascii="Calibri" w:eastAsia="Calibri" w:hAnsi="Calibri" w:cs="Calibri"/>
      <w:sz w:val="22"/>
      <w:szCs w:val="22"/>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55138">
      <w:bodyDiv w:val="1"/>
      <w:marLeft w:val="0"/>
      <w:marRight w:val="0"/>
      <w:marTop w:val="0"/>
      <w:marBottom w:val="0"/>
      <w:divBdr>
        <w:top w:val="none" w:sz="0" w:space="0" w:color="auto"/>
        <w:left w:val="none" w:sz="0" w:space="0" w:color="auto"/>
        <w:bottom w:val="none" w:sz="0" w:space="0" w:color="auto"/>
        <w:right w:val="none" w:sz="0" w:space="0" w:color="auto"/>
      </w:divBdr>
    </w:div>
    <w:div w:id="512112394">
      <w:bodyDiv w:val="1"/>
      <w:marLeft w:val="0"/>
      <w:marRight w:val="0"/>
      <w:marTop w:val="0"/>
      <w:marBottom w:val="0"/>
      <w:divBdr>
        <w:top w:val="none" w:sz="0" w:space="0" w:color="auto"/>
        <w:left w:val="none" w:sz="0" w:space="0" w:color="auto"/>
        <w:bottom w:val="none" w:sz="0" w:space="0" w:color="auto"/>
        <w:right w:val="none" w:sz="0" w:space="0" w:color="auto"/>
      </w:divBdr>
    </w:div>
    <w:div w:id="555049345">
      <w:bodyDiv w:val="1"/>
      <w:marLeft w:val="0"/>
      <w:marRight w:val="0"/>
      <w:marTop w:val="0"/>
      <w:marBottom w:val="0"/>
      <w:divBdr>
        <w:top w:val="none" w:sz="0" w:space="0" w:color="auto"/>
        <w:left w:val="none" w:sz="0" w:space="0" w:color="auto"/>
        <w:bottom w:val="none" w:sz="0" w:space="0" w:color="auto"/>
        <w:right w:val="none" w:sz="0" w:space="0" w:color="auto"/>
      </w:divBdr>
      <w:divsChild>
        <w:div w:id="570505035">
          <w:marLeft w:val="0"/>
          <w:marRight w:val="0"/>
          <w:marTop w:val="0"/>
          <w:marBottom w:val="0"/>
          <w:divBdr>
            <w:top w:val="none" w:sz="0" w:space="0" w:color="auto"/>
            <w:left w:val="none" w:sz="0" w:space="0" w:color="auto"/>
            <w:bottom w:val="none" w:sz="0" w:space="0" w:color="auto"/>
            <w:right w:val="none" w:sz="0" w:space="0" w:color="auto"/>
          </w:divBdr>
        </w:div>
        <w:div w:id="1206793418">
          <w:marLeft w:val="0"/>
          <w:marRight w:val="0"/>
          <w:marTop w:val="0"/>
          <w:marBottom w:val="0"/>
          <w:divBdr>
            <w:top w:val="none" w:sz="0" w:space="0" w:color="auto"/>
            <w:left w:val="none" w:sz="0" w:space="0" w:color="auto"/>
            <w:bottom w:val="none" w:sz="0" w:space="0" w:color="auto"/>
            <w:right w:val="none" w:sz="0" w:space="0" w:color="auto"/>
          </w:divBdr>
        </w:div>
        <w:div w:id="827674927">
          <w:marLeft w:val="0"/>
          <w:marRight w:val="0"/>
          <w:marTop w:val="0"/>
          <w:marBottom w:val="0"/>
          <w:divBdr>
            <w:top w:val="none" w:sz="0" w:space="0" w:color="auto"/>
            <w:left w:val="none" w:sz="0" w:space="0" w:color="auto"/>
            <w:bottom w:val="none" w:sz="0" w:space="0" w:color="auto"/>
            <w:right w:val="none" w:sz="0" w:space="0" w:color="auto"/>
          </w:divBdr>
        </w:div>
      </w:divsChild>
    </w:div>
    <w:div w:id="676537014">
      <w:bodyDiv w:val="1"/>
      <w:marLeft w:val="0"/>
      <w:marRight w:val="0"/>
      <w:marTop w:val="0"/>
      <w:marBottom w:val="0"/>
      <w:divBdr>
        <w:top w:val="none" w:sz="0" w:space="0" w:color="auto"/>
        <w:left w:val="none" w:sz="0" w:space="0" w:color="auto"/>
        <w:bottom w:val="none" w:sz="0" w:space="0" w:color="auto"/>
        <w:right w:val="none" w:sz="0" w:space="0" w:color="auto"/>
      </w:divBdr>
    </w:div>
    <w:div w:id="1333601870">
      <w:bodyDiv w:val="1"/>
      <w:marLeft w:val="0"/>
      <w:marRight w:val="0"/>
      <w:marTop w:val="0"/>
      <w:marBottom w:val="0"/>
      <w:divBdr>
        <w:top w:val="none" w:sz="0" w:space="0" w:color="auto"/>
        <w:left w:val="none" w:sz="0" w:space="0" w:color="auto"/>
        <w:bottom w:val="none" w:sz="0" w:space="0" w:color="auto"/>
        <w:right w:val="none" w:sz="0" w:space="0" w:color="auto"/>
      </w:divBdr>
      <w:divsChild>
        <w:div w:id="1945845816">
          <w:marLeft w:val="0"/>
          <w:marRight w:val="0"/>
          <w:marTop w:val="0"/>
          <w:marBottom w:val="0"/>
          <w:divBdr>
            <w:top w:val="none" w:sz="0" w:space="0" w:color="auto"/>
            <w:left w:val="none" w:sz="0" w:space="0" w:color="auto"/>
            <w:bottom w:val="none" w:sz="0" w:space="0" w:color="auto"/>
            <w:right w:val="none" w:sz="0" w:space="0" w:color="auto"/>
          </w:divBdr>
        </w:div>
        <w:div w:id="1335065327">
          <w:marLeft w:val="0"/>
          <w:marRight w:val="0"/>
          <w:marTop w:val="0"/>
          <w:marBottom w:val="0"/>
          <w:divBdr>
            <w:top w:val="none" w:sz="0" w:space="0" w:color="auto"/>
            <w:left w:val="none" w:sz="0" w:space="0" w:color="auto"/>
            <w:bottom w:val="none" w:sz="0" w:space="0" w:color="auto"/>
            <w:right w:val="none" w:sz="0" w:space="0" w:color="auto"/>
          </w:divBdr>
        </w:div>
        <w:div w:id="1104962826">
          <w:marLeft w:val="0"/>
          <w:marRight w:val="0"/>
          <w:marTop w:val="0"/>
          <w:marBottom w:val="0"/>
          <w:divBdr>
            <w:top w:val="none" w:sz="0" w:space="0" w:color="auto"/>
            <w:left w:val="none" w:sz="0" w:space="0" w:color="auto"/>
            <w:bottom w:val="none" w:sz="0" w:space="0" w:color="auto"/>
            <w:right w:val="none" w:sz="0" w:space="0" w:color="auto"/>
          </w:divBdr>
        </w:div>
        <w:div w:id="1726874394">
          <w:marLeft w:val="0"/>
          <w:marRight w:val="0"/>
          <w:marTop w:val="0"/>
          <w:marBottom w:val="0"/>
          <w:divBdr>
            <w:top w:val="none" w:sz="0" w:space="0" w:color="auto"/>
            <w:left w:val="none" w:sz="0" w:space="0" w:color="auto"/>
            <w:bottom w:val="none" w:sz="0" w:space="0" w:color="auto"/>
            <w:right w:val="none" w:sz="0" w:space="0" w:color="auto"/>
          </w:divBdr>
        </w:div>
        <w:div w:id="252278860">
          <w:marLeft w:val="0"/>
          <w:marRight w:val="0"/>
          <w:marTop w:val="0"/>
          <w:marBottom w:val="0"/>
          <w:divBdr>
            <w:top w:val="none" w:sz="0" w:space="0" w:color="auto"/>
            <w:left w:val="none" w:sz="0" w:space="0" w:color="auto"/>
            <w:bottom w:val="none" w:sz="0" w:space="0" w:color="auto"/>
            <w:right w:val="none" w:sz="0" w:space="0" w:color="auto"/>
          </w:divBdr>
        </w:div>
        <w:div w:id="528110011">
          <w:marLeft w:val="0"/>
          <w:marRight w:val="0"/>
          <w:marTop w:val="0"/>
          <w:marBottom w:val="0"/>
          <w:divBdr>
            <w:top w:val="none" w:sz="0" w:space="0" w:color="auto"/>
            <w:left w:val="none" w:sz="0" w:space="0" w:color="auto"/>
            <w:bottom w:val="none" w:sz="0" w:space="0" w:color="auto"/>
            <w:right w:val="none" w:sz="0" w:space="0" w:color="auto"/>
          </w:divBdr>
        </w:div>
        <w:div w:id="454056077">
          <w:marLeft w:val="0"/>
          <w:marRight w:val="0"/>
          <w:marTop w:val="0"/>
          <w:marBottom w:val="0"/>
          <w:divBdr>
            <w:top w:val="none" w:sz="0" w:space="0" w:color="auto"/>
            <w:left w:val="none" w:sz="0" w:space="0" w:color="auto"/>
            <w:bottom w:val="none" w:sz="0" w:space="0" w:color="auto"/>
            <w:right w:val="none" w:sz="0" w:space="0" w:color="auto"/>
          </w:divBdr>
        </w:div>
        <w:div w:id="854266346">
          <w:marLeft w:val="0"/>
          <w:marRight w:val="0"/>
          <w:marTop w:val="0"/>
          <w:marBottom w:val="0"/>
          <w:divBdr>
            <w:top w:val="none" w:sz="0" w:space="0" w:color="auto"/>
            <w:left w:val="none" w:sz="0" w:space="0" w:color="auto"/>
            <w:bottom w:val="none" w:sz="0" w:space="0" w:color="auto"/>
            <w:right w:val="none" w:sz="0" w:space="0" w:color="auto"/>
          </w:divBdr>
        </w:div>
        <w:div w:id="1295480632">
          <w:marLeft w:val="0"/>
          <w:marRight w:val="0"/>
          <w:marTop w:val="0"/>
          <w:marBottom w:val="0"/>
          <w:divBdr>
            <w:top w:val="none" w:sz="0" w:space="0" w:color="auto"/>
            <w:left w:val="none" w:sz="0" w:space="0" w:color="auto"/>
            <w:bottom w:val="none" w:sz="0" w:space="0" w:color="auto"/>
            <w:right w:val="none" w:sz="0" w:space="0" w:color="auto"/>
          </w:divBdr>
        </w:div>
        <w:div w:id="1000621852">
          <w:marLeft w:val="0"/>
          <w:marRight w:val="0"/>
          <w:marTop w:val="0"/>
          <w:marBottom w:val="0"/>
          <w:divBdr>
            <w:top w:val="none" w:sz="0" w:space="0" w:color="auto"/>
            <w:left w:val="none" w:sz="0" w:space="0" w:color="auto"/>
            <w:bottom w:val="none" w:sz="0" w:space="0" w:color="auto"/>
            <w:right w:val="none" w:sz="0" w:space="0" w:color="auto"/>
          </w:divBdr>
        </w:div>
        <w:div w:id="264650672">
          <w:marLeft w:val="0"/>
          <w:marRight w:val="0"/>
          <w:marTop w:val="0"/>
          <w:marBottom w:val="0"/>
          <w:divBdr>
            <w:top w:val="none" w:sz="0" w:space="0" w:color="auto"/>
            <w:left w:val="none" w:sz="0" w:space="0" w:color="auto"/>
            <w:bottom w:val="none" w:sz="0" w:space="0" w:color="auto"/>
            <w:right w:val="none" w:sz="0" w:space="0" w:color="auto"/>
          </w:divBdr>
        </w:div>
        <w:div w:id="1453867044">
          <w:marLeft w:val="0"/>
          <w:marRight w:val="0"/>
          <w:marTop w:val="0"/>
          <w:marBottom w:val="0"/>
          <w:divBdr>
            <w:top w:val="none" w:sz="0" w:space="0" w:color="auto"/>
            <w:left w:val="none" w:sz="0" w:space="0" w:color="auto"/>
            <w:bottom w:val="none" w:sz="0" w:space="0" w:color="auto"/>
            <w:right w:val="none" w:sz="0" w:space="0" w:color="auto"/>
          </w:divBdr>
        </w:div>
        <w:div w:id="798496601">
          <w:marLeft w:val="0"/>
          <w:marRight w:val="0"/>
          <w:marTop w:val="0"/>
          <w:marBottom w:val="0"/>
          <w:divBdr>
            <w:top w:val="none" w:sz="0" w:space="0" w:color="auto"/>
            <w:left w:val="none" w:sz="0" w:space="0" w:color="auto"/>
            <w:bottom w:val="none" w:sz="0" w:space="0" w:color="auto"/>
            <w:right w:val="none" w:sz="0" w:space="0" w:color="auto"/>
          </w:divBdr>
        </w:div>
        <w:div w:id="1180315152">
          <w:marLeft w:val="0"/>
          <w:marRight w:val="0"/>
          <w:marTop w:val="0"/>
          <w:marBottom w:val="0"/>
          <w:divBdr>
            <w:top w:val="none" w:sz="0" w:space="0" w:color="auto"/>
            <w:left w:val="none" w:sz="0" w:space="0" w:color="auto"/>
            <w:bottom w:val="none" w:sz="0" w:space="0" w:color="auto"/>
            <w:right w:val="none" w:sz="0" w:space="0" w:color="auto"/>
          </w:divBdr>
        </w:div>
        <w:div w:id="991715244">
          <w:marLeft w:val="0"/>
          <w:marRight w:val="0"/>
          <w:marTop w:val="0"/>
          <w:marBottom w:val="0"/>
          <w:divBdr>
            <w:top w:val="none" w:sz="0" w:space="0" w:color="auto"/>
            <w:left w:val="none" w:sz="0" w:space="0" w:color="auto"/>
            <w:bottom w:val="none" w:sz="0" w:space="0" w:color="auto"/>
            <w:right w:val="none" w:sz="0" w:space="0" w:color="auto"/>
          </w:divBdr>
        </w:div>
        <w:div w:id="1677656434">
          <w:marLeft w:val="0"/>
          <w:marRight w:val="0"/>
          <w:marTop w:val="0"/>
          <w:marBottom w:val="0"/>
          <w:divBdr>
            <w:top w:val="none" w:sz="0" w:space="0" w:color="auto"/>
            <w:left w:val="none" w:sz="0" w:space="0" w:color="auto"/>
            <w:bottom w:val="none" w:sz="0" w:space="0" w:color="auto"/>
            <w:right w:val="none" w:sz="0" w:space="0" w:color="auto"/>
          </w:divBdr>
        </w:div>
        <w:div w:id="1808086519">
          <w:marLeft w:val="0"/>
          <w:marRight w:val="0"/>
          <w:marTop w:val="0"/>
          <w:marBottom w:val="0"/>
          <w:divBdr>
            <w:top w:val="none" w:sz="0" w:space="0" w:color="auto"/>
            <w:left w:val="none" w:sz="0" w:space="0" w:color="auto"/>
            <w:bottom w:val="none" w:sz="0" w:space="0" w:color="auto"/>
            <w:right w:val="none" w:sz="0" w:space="0" w:color="auto"/>
          </w:divBdr>
        </w:div>
        <w:div w:id="1753815666">
          <w:marLeft w:val="0"/>
          <w:marRight w:val="0"/>
          <w:marTop w:val="0"/>
          <w:marBottom w:val="0"/>
          <w:divBdr>
            <w:top w:val="none" w:sz="0" w:space="0" w:color="auto"/>
            <w:left w:val="none" w:sz="0" w:space="0" w:color="auto"/>
            <w:bottom w:val="none" w:sz="0" w:space="0" w:color="auto"/>
            <w:right w:val="none" w:sz="0" w:space="0" w:color="auto"/>
          </w:divBdr>
        </w:div>
        <w:div w:id="265891658">
          <w:marLeft w:val="0"/>
          <w:marRight w:val="0"/>
          <w:marTop w:val="0"/>
          <w:marBottom w:val="0"/>
          <w:divBdr>
            <w:top w:val="none" w:sz="0" w:space="0" w:color="auto"/>
            <w:left w:val="none" w:sz="0" w:space="0" w:color="auto"/>
            <w:bottom w:val="none" w:sz="0" w:space="0" w:color="auto"/>
            <w:right w:val="none" w:sz="0" w:space="0" w:color="auto"/>
          </w:divBdr>
        </w:div>
        <w:div w:id="1271356412">
          <w:marLeft w:val="0"/>
          <w:marRight w:val="0"/>
          <w:marTop w:val="0"/>
          <w:marBottom w:val="0"/>
          <w:divBdr>
            <w:top w:val="none" w:sz="0" w:space="0" w:color="auto"/>
            <w:left w:val="none" w:sz="0" w:space="0" w:color="auto"/>
            <w:bottom w:val="none" w:sz="0" w:space="0" w:color="auto"/>
            <w:right w:val="none" w:sz="0" w:space="0" w:color="auto"/>
          </w:divBdr>
        </w:div>
        <w:div w:id="1855223455">
          <w:marLeft w:val="0"/>
          <w:marRight w:val="0"/>
          <w:marTop w:val="0"/>
          <w:marBottom w:val="0"/>
          <w:divBdr>
            <w:top w:val="none" w:sz="0" w:space="0" w:color="auto"/>
            <w:left w:val="none" w:sz="0" w:space="0" w:color="auto"/>
            <w:bottom w:val="none" w:sz="0" w:space="0" w:color="auto"/>
            <w:right w:val="none" w:sz="0" w:space="0" w:color="auto"/>
          </w:divBdr>
        </w:div>
        <w:div w:id="1370640264">
          <w:marLeft w:val="0"/>
          <w:marRight w:val="0"/>
          <w:marTop w:val="0"/>
          <w:marBottom w:val="0"/>
          <w:divBdr>
            <w:top w:val="none" w:sz="0" w:space="0" w:color="auto"/>
            <w:left w:val="none" w:sz="0" w:space="0" w:color="auto"/>
            <w:bottom w:val="none" w:sz="0" w:space="0" w:color="auto"/>
            <w:right w:val="none" w:sz="0" w:space="0" w:color="auto"/>
          </w:divBdr>
        </w:div>
        <w:div w:id="739838012">
          <w:marLeft w:val="0"/>
          <w:marRight w:val="0"/>
          <w:marTop w:val="0"/>
          <w:marBottom w:val="0"/>
          <w:divBdr>
            <w:top w:val="none" w:sz="0" w:space="0" w:color="auto"/>
            <w:left w:val="none" w:sz="0" w:space="0" w:color="auto"/>
            <w:bottom w:val="none" w:sz="0" w:space="0" w:color="auto"/>
            <w:right w:val="none" w:sz="0" w:space="0" w:color="auto"/>
          </w:divBdr>
        </w:div>
        <w:div w:id="2058507305">
          <w:marLeft w:val="0"/>
          <w:marRight w:val="0"/>
          <w:marTop w:val="0"/>
          <w:marBottom w:val="0"/>
          <w:divBdr>
            <w:top w:val="none" w:sz="0" w:space="0" w:color="auto"/>
            <w:left w:val="none" w:sz="0" w:space="0" w:color="auto"/>
            <w:bottom w:val="none" w:sz="0" w:space="0" w:color="auto"/>
            <w:right w:val="none" w:sz="0" w:space="0" w:color="auto"/>
          </w:divBdr>
        </w:div>
      </w:divsChild>
    </w:div>
    <w:div w:id="1404062686">
      <w:bodyDiv w:val="1"/>
      <w:marLeft w:val="0"/>
      <w:marRight w:val="0"/>
      <w:marTop w:val="0"/>
      <w:marBottom w:val="0"/>
      <w:divBdr>
        <w:top w:val="none" w:sz="0" w:space="0" w:color="auto"/>
        <w:left w:val="none" w:sz="0" w:space="0" w:color="auto"/>
        <w:bottom w:val="none" w:sz="0" w:space="0" w:color="auto"/>
        <w:right w:val="none" w:sz="0" w:space="0" w:color="auto"/>
      </w:divBdr>
      <w:divsChild>
        <w:div w:id="1261068698">
          <w:marLeft w:val="0"/>
          <w:marRight w:val="0"/>
          <w:marTop w:val="120"/>
          <w:marBottom w:val="120"/>
          <w:divBdr>
            <w:top w:val="none" w:sz="0" w:space="0" w:color="auto"/>
            <w:left w:val="none" w:sz="0" w:space="0" w:color="auto"/>
            <w:bottom w:val="none" w:sz="0" w:space="0" w:color="auto"/>
            <w:right w:val="none" w:sz="0" w:space="0" w:color="auto"/>
          </w:divBdr>
          <w:divsChild>
            <w:div w:id="1295061886">
              <w:marLeft w:val="0"/>
              <w:marRight w:val="0"/>
              <w:marTop w:val="0"/>
              <w:marBottom w:val="0"/>
              <w:divBdr>
                <w:top w:val="none" w:sz="0" w:space="0" w:color="auto"/>
                <w:left w:val="none" w:sz="0" w:space="0" w:color="auto"/>
                <w:bottom w:val="none" w:sz="0" w:space="0" w:color="auto"/>
                <w:right w:val="none" w:sz="0" w:space="0" w:color="auto"/>
              </w:divBdr>
              <w:divsChild>
                <w:div w:id="611594472">
                  <w:marLeft w:val="0"/>
                  <w:marRight w:val="0"/>
                  <w:marTop w:val="0"/>
                  <w:marBottom w:val="0"/>
                  <w:divBdr>
                    <w:top w:val="none" w:sz="0" w:space="0" w:color="auto"/>
                    <w:left w:val="none" w:sz="0" w:space="0" w:color="auto"/>
                    <w:bottom w:val="none" w:sz="0" w:space="0" w:color="auto"/>
                    <w:right w:val="none" w:sz="0" w:space="0" w:color="auto"/>
                  </w:divBdr>
                </w:div>
                <w:div w:id="1088383199">
                  <w:marLeft w:val="0"/>
                  <w:marRight w:val="0"/>
                  <w:marTop w:val="0"/>
                  <w:marBottom w:val="0"/>
                  <w:divBdr>
                    <w:top w:val="none" w:sz="0" w:space="0" w:color="auto"/>
                    <w:left w:val="none" w:sz="0" w:space="0" w:color="auto"/>
                    <w:bottom w:val="none" w:sz="0" w:space="0" w:color="auto"/>
                    <w:right w:val="none" w:sz="0" w:space="0" w:color="auto"/>
                  </w:divBdr>
                </w:div>
                <w:div w:id="1506825411">
                  <w:marLeft w:val="0"/>
                  <w:marRight w:val="0"/>
                  <w:marTop w:val="0"/>
                  <w:marBottom w:val="0"/>
                  <w:divBdr>
                    <w:top w:val="none" w:sz="0" w:space="0" w:color="auto"/>
                    <w:left w:val="none" w:sz="0" w:space="0" w:color="auto"/>
                    <w:bottom w:val="none" w:sz="0" w:space="0" w:color="auto"/>
                    <w:right w:val="none" w:sz="0" w:space="0" w:color="auto"/>
                  </w:divBdr>
                </w:div>
                <w:div w:id="1875270712">
                  <w:marLeft w:val="0"/>
                  <w:marRight w:val="0"/>
                  <w:marTop w:val="0"/>
                  <w:marBottom w:val="0"/>
                  <w:divBdr>
                    <w:top w:val="none" w:sz="0" w:space="0" w:color="auto"/>
                    <w:left w:val="none" w:sz="0" w:space="0" w:color="auto"/>
                    <w:bottom w:val="none" w:sz="0" w:space="0" w:color="auto"/>
                    <w:right w:val="none" w:sz="0" w:space="0" w:color="auto"/>
                  </w:divBdr>
                </w:div>
                <w:div w:id="1816140120">
                  <w:marLeft w:val="0"/>
                  <w:marRight w:val="0"/>
                  <w:marTop w:val="0"/>
                  <w:marBottom w:val="0"/>
                  <w:divBdr>
                    <w:top w:val="none" w:sz="0" w:space="0" w:color="auto"/>
                    <w:left w:val="none" w:sz="0" w:space="0" w:color="auto"/>
                    <w:bottom w:val="none" w:sz="0" w:space="0" w:color="auto"/>
                    <w:right w:val="none" w:sz="0" w:space="0" w:color="auto"/>
                  </w:divBdr>
                </w:div>
                <w:div w:id="1246262819">
                  <w:marLeft w:val="0"/>
                  <w:marRight w:val="0"/>
                  <w:marTop w:val="0"/>
                  <w:marBottom w:val="0"/>
                  <w:divBdr>
                    <w:top w:val="none" w:sz="0" w:space="0" w:color="auto"/>
                    <w:left w:val="none" w:sz="0" w:space="0" w:color="auto"/>
                    <w:bottom w:val="none" w:sz="0" w:space="0" w:color="auto"/>
                    <w:right w:val="none" w:sz="0" w:space="0" w:color="auto"/>
                  </w:divBdr>
                </w:div>
                <w:div w:id="1041981554">
                  <w:marLeft w:val="0"/>
                  <w:marRight w:val="0"/>
                  <w:marTop w:val="0"/>
                  <w:marBottom w:val="0"/>
                  <w:divBdr>
                    <w:top w:val="none" w:sz="0" w:space="0" w:color="auto"/>
                    <w:left w:val="none" w:sz="0" w:space="0" w:color="auto"/>
                    <w:bottom w:val="none" w:sz="0" w:space="0" w:color="auto"/>
                    <w:right w:val="none" w:sz="0" w:space="0" w:color="auto"/>
                  </w:divBdr>
                </w:div>
                <w:div w:id="438331732">
                  <w:marLeft w:val="0"/>
                  <w:marRight w:val="0"/>
                  <w:marTop w:val="0"/>
                  <w:marBottom w:val="0"/>
                  <w:divBdr>
                    <w:top w:val="none" w:sz="0" w:space="0" w:color="auto"/>
                    <w:left w:val="none" w:sz="0" w:space="0" w:color="auto"/>
                    <w:bottom w:val="none" w:sz="0" w:space="0" w:color="auto"/>
                    <w:right w:val="none" w:sz="0" w:space="0" w:color="auto"/>
                  </w:divBdr>
                </w:div>
                <w:div w:id="1357198300">
                  <w:marLeft w:val="0"/>
                  <w:marRight w:val="0"/>
                  <w:marTop w:val="0"/>
                  <w:marBottom w:val="0"/>
                  <w:divBdr>
                    <w:top w:val="none" w:sz="0" w:space="0" w:color="auto"/>
                    <w:left w:val="none" w:sz="0" w:space="0" w:color="auto"/>
                    <w:bottom w:val="none" w:sz="0" w:space="0" w:color="auto"/>
                    <w:right w:val="none" w:sz="0" w:space="0" w:color="auto"/>
                  </w:divBdr>
                </w:div>
                <w:div w:id="680813414">
                  <w:marLeft w:val="0"/>
                  <w:marRight w:val="0"/>
                  <w:marTop w:val="0"/>
                  <w:marBottom w:val="0"/>
                  <w:divBdr>
                    <w:top w:val="none" w:sz="0" w:space="0" w:color="auto"/>
                    <w:left w:val="none" w:sz="0" w:space="0" w:color="auto"/>
                    <w:bottom w:val="none" w:sz="0" w:space="0" w:color="auto"/>
                    <w:right w:val="none" w:sz="0" w:space="0" w:color="auto"/>
                  </w:divBdr>
                </w:div>
                <w:div w:id="1628462075">
                  <w:marLeft w:val="0"/>
                  <w:marRight w:val="0"/>
                  <w:marTop w:val="0"/>
                  <w:marBottom w:val="0"/>
                  <w:divBdr>
                    <w:top w:val="none" w:sz="0" w:space="0" w:color="auto"/>
                    <w:left w:val="none" w:sz="0" w:space="0" w:color="auto"/>
                    <w:bottom w:val="none" w:sz="0" w:space="0" w:color="auto"/>
                    <w:right w:val="none" w:sz="0" w:space="0" w:color="auto"/>
                  </w:divBdr>
                </w:div>
                <w:div w:id="1027759427">
                  <w:marLeft w:val="0"/>
                  <w:marRight w:val="0"/>
                  <w:marTop w:val="0"/>
                  <w:marBottom w:val="0"/>
                  <w:divBdr>
                    <w:top w:val="none" w:sz="0" w:space="0" w:color="auto"/>
                    <w:left w:val="none" w:sz="0" w:space="0" w:color="auto"/>
                    <w:bottom w:val="none" w:sz="0" w:space="0" w:color="auto"/>
                    <w:right w:val="none" w:sz="0" w:space="0" w:color="auto"/>
                  </w:divBdr>
                </w:div>
                <w:div w:id="1713536908">
                  <w:marLeft w:val="0"/>
                  <w:marRight w:val="0"/>
                  <w:marTop w:val="0"/>
                  <w:marBottom w:val="0"/>
                  <w:divBdr>
                    <w:top w:val="none" w:sz="0" w:space="0" w:color="auto"/>
                    <w:left w:val="none" w:sz="0" w:space="0" w:color="auto"/>
                    <w:bottom w:val="none" w:sz="0" w:space="0" w:color="auto"/>
                    <w:right w:val="none" w:sz="0" w:space="0" w:color="auto"/>
                  </w:divBdr>
                </w:div>
                <w:div w:id="1402673955">
                  <w:marLeft w:val="0"/>
                  <w:marRight w:val="0"/>
                  <w:marTop w:val="0"/>
                  <w:marBottom w:val="0"/>
                  <w:divBdr>
                    <w:top w:val="none" w:sz="0" w:space="0" w:color="auto"/>
                    <w:left w:val="none" w:sz="0" w:space="0" w:color="auto"/>
                    <w:bottom w:val="none" w:sz="0" w:space="0" w:color="auto"/>
                    <w:right w:val="none" w:sz="0" w:space="0" w:color="auto"/>
                  </w:divBdr>
                </w:div>
                <w:div w:id="459424708">
                  <w:marLeft w:val="0"/>
                  <w:marRight w:val="0"/>
                  <w:marTop w:val="0"/>
                  <w:marBottom w:val="0"/>
                  <w:divBdr>
                    <w:top w:val="none" w:sz="0" w:space="0" w:color="auto"/>
                    <w:left w:val="none" w:sz="0" w:space="0" w:color="auto"/>
                    <w:bottom w:val="none" w:sz="0" w:space="0" w:color="auto"/>
                    <w:right w:val="none" w:sz="0" w:space="0" w:color="auto"/>
                  </w:divBdr>
                </w:div>
                <w:div w:id="1107774335">
                  <w:marLeft w:val="0"/>
                  <w:marRight w:val="0"/>
                  <w:marTop w:val="0"/>
                  <w:marBottom w:val="0"/>
                  <w:divBdr>
                    <w:top w:val="none" w:sz="0" w:space="0" w:color="auto"/>
                    <w:left w:val="none" w:sz="0" w:space="0" w:color="auto"/>
                    <w:bottom w:val="none" w:sz="0" w:space="0" w:color="auto"/>
                    <w:right w:val="none" w:sz="0" w:space="0" w:color="auto"/>
                  </w:divBdr>
                </w:div>
                <w:div w:id="1668094393">
                  <w:marLeft w:val="0"/>
                  <w:marRight w:val="0"/>
                  <w:marTop w:val="0"/>
                  <w:marBottom w:val="0"/>
                  <w:divBdr>
                    <w:top w:val="none" w:sz="0" w:space="0" w:color="auto"/>
                    <w:left w:val="none" w:sz="0" w:space="0" w:color="auto"/>
                    <w:bottom w:val="none" w:sz="0" w:space="0" w:color="auto"/>
                    <w:right w:val="none" w:sz="0" w:space="0" w:color="auto"/>
                  </w:divBdr>
                </w:div>
                <w:div w:id="1344017725">
                  <w:marLeft w:val="0"/>
                  <w:marRight w:val="0"/>
                  <w:marTop w:val="0"/>
                  <w:marBottom w:val="0"/>
                  <w:divBdr>
                    <w:top w:val="none" w:sz="0" w:space="0" w:color="auto"/>
                    <w:left w:val="none" w:sz="0" w:space="0" w:color="auto"/>
                    <w:bottom w:val="none" w:sz="0" w:space="0" w:color="auto"/>
                    <w:right w:val="none" w:sz="0" w:space="0" w:color="auto"/>
                  </w:divBdr>
                </w:div>
                <w:div w:id="1566180839">
                  <w:marLeft w:val="0"/>
                  <w:marRight w:val="0"/>
                  <w:marTop w:val="0"/>
                  <w:marBottom w:val="0"/>
                  <w:divBdr>
                    <w:top w:val="none" w:sz="0" w:space="0" w:color="auto"/>
                    <w:left w:val="none" w:sz="0" w:space="0" w:color="auto"/>
                    <w:bottom w:val="none" w:sz="0" w:space="0" w:color="auto"/>
                    <w:right w:val="none" w:sz="0" w:space="0" w:color="auto"/>
                  </w:divBdr>
                </w:div>
                <w:div w:id="163863111">
                  <w:marLeft w:val="0"/>
                  <w:marRight w:val="0"/>
                  <w:marTop w:val="0"/>
                  <w:marBottom w:val="0"/>
                  <w:divBdr>
                    <w:top w:val="none" w:sz="0" w:space="0" w:color="auto"/>
                    <w:left w:val="none" w:sz="0" w:space="0" w:color="auto"/>
                    <w:bottom w:val="none" w:sz="0" w:space="0" w:color="auto"/>
                    <w:right w:val="none" w:sz="0" w:space="0" w:color="auto"/>
                  </w:divBdr>
                </w:div>
                <w:div w:id="82804106">
                  <w:marLeft w:val="0"/>
                  <w:marRight w:val="0"/>
                  <w:marTop w:val="0"/>
                  <w:marBottom w:val="0"/>
                  <w:divBdr>
                    <w:top w:val="none" w:sz="0" w:space="0" w:color="auto"/>
                    <w:left w:val="none" w:sz="0" w:space="0" w:color="auto"/>
                    <w:bottom w:val="none" w:sz="0" w:space="0" w:color="auto"/>
                    <w:right w:val="none" w:sz="0" w:space="0" w:color="auto"/>
                  </w:divBdr>
                </w:div>
                <w:div w:id="1234075331">
                  <w:marLeft w:val="0"/>
                  <w:marRight w:val="0"/>
                  <w:marTop w:val="0"/>
                  <w:marBottom w:val="0"/>
                  <w:divBdr>
                    <w:top w:val="none" w:sz="0" w:space="0" w:color="auto"/>
                    <w:left w:val="none" w:sz="0" w:space="0" w:color="auto"/>
                    <w:bottom w:val="none" w:sz="0" w:space="0" w:color="auto"/>
                    <w:right w:val="none" w:sz="0" w:space="0" w:color="auto"/>
                  </w:divBdr>
                </w:div>
                <w:div w:id="960384211">
                  <w:marLeft w:val="0"/>
                  <w:marRight w:val="0"/>
                  <w:marTop w:val="0"/>
                  <w:marBottom w:val="0"/>
                  <w:divBdr>
                    <w:top w:val="none" w:sz="0" w:space="0" w:color="auto"/>
                    <w:left w:val="none" w:sz="0" w:space="0" w:color="auto"/>
                    <w:bottom w:val="none" w:sz="0" w:space="0" w:color="auto"/>
                    <w:right w:val="none" w:sz="0" w:space="0" w:color="auto"/>
                  </w:divBdr>
                </w:div>
                <w:div w:id="1527409076">
                  <w:marLeft w:val="0"/>
                  <w:marRight w:val="0"/>
                  <w:marTop w:val="0"/>
                  <w:marBottom w:val="0"/>
                  <w:divBdr>
                    <w:top w:val="none" w:sz="0" w:space="0" w:color="auto"/>
                    <w:left w:val="none" w:sz="0" w:space="0" w:color="auto"/>
                    <w:bottom w:val="none" w:sz="0" w:space="0" w:color="auto"/>
                    <w:right w:val="none" w:sz="0" w:space="0" w:color="auto"/>
                  </w:divBdr>
                </w:div>
                <w:div w:id="1058867026">
                  <w:marLeft w:val="0"/>
                  <w:marRight w:val="0"/>
                  <w:marTop w:val="0"/>
                  <w:marBottom w:val="0"/>
                  <w:divBdr>
                    <w:top w:val="none" w:sz="0" w:space="0" w:color="auto"/>
                    <w:left w:val="none" w:sz="0" w:space="0" w:color="auto"/>
                    <w:bottom w:val="none" w:sz="0" w:space="0" w:color="auto"/>
                    <w:right w:val="none" w:sz="0" w:space="0" w:color="auto"/>
                  </w:divBdr>
                </w:div>
                <w:div w:id="1329334214">
                  <w:marLeft w:val="0"/>
                  <w:marRight w:val="0"/>
                  <w:marTop w:val="0"/>
                  <w:marBottom w:val="0"/>
                  <w:divBdr>
                    <w:top w:val="none" w:sz="0" w:space="0" w:color="auto"/>
                    <w:left w:val="none" w:sz="0" w:space="0" w:color="auto"/>
                    <w:bottom w:val="none" w:sz="0" w:space="0" w:color="auto"/>
                    <w:right w:val="none" w:sz="0" w:space="0" w:color="auto"/>
                  </w:divBdr>
                </w:div>
                <w:div w:id="1005131200">
                  <w:marLeft w:val="0"/>
                  <w:marRight w:val="0"/>
                  <w:marTop w:val="0"/>
                  <w:marBottom w:val="0"/>
                  <w:divBdr>
                    <w:top w:val="none" w:sz="0" w:space="0" w:color="auto"/>
                    <w:left w:val="none" w:sz="0" w:space="0" w:color="auto"/>
                    <w:bottom w:val="none" w:sz="0" w:space="0" w:color="auto"/>
                    <w:right w:val="none" w:sz="0" w:space="0" w:color="auto"/>
                  </w:divBdr>
                </w:div>
                <w:div w:id="1774940577">
                  <w:marLeft w:val="0"/>
                  <w:marRight w:val="0"/>
                  <w:marTop w:val="0"/>
                  <w:marBottom w:val="0"/>
                  <w:divBdr>
                    <w:top w:val="none" w:sz="0" w:space="0" w:color="auto"/>
                    <w:left w:val="none" w:sz="0" w:space="0" w:color="auto"/>
                    <w:bottom w:val="none" w:sz="0" w:space="0" w:color="auto"/>
                    <w:right w:val="none" w:sz="0" w:space="0" w:color="auto"/>
                  </w:divBdr>
                </w:div>
                <w:div w:id="1579439858">
                  <w:marLeft w:val="0"/>
                  <w:marRight w:val="0"/>
                  <w:marTop w:val="0"/>
                  <w:marBottom w:val="0"/>
                  <w:divBdr>
                    <w:top w:val="none" w:sz="0" w:space="0" w:color="auto"/>
                    <w:left w:val="none" w:sz="0" w:space="0" w:color="auto"/>
                    <w:bottom w:val="none" w:sz="0" w:space="0" w:color="auto"/>
                    <w:right w:val="none" w:sz="0" w:space="0" w:color="auto"/>
                  </w:divBdr>
                </w:div>
                <w:div w:id="831797551">
                  <w:marLeft w:val="0"/>
                  <w:marRight w:val="0"/>
                  <w:marTop w:val="0"/>
                  <w:marBottom w:val="0"/>
                  <w:divBdr>
                    <w:top w:val="none" w:sz="0" w:space="0" w:color="auto"/>
                    <w:left w:val="none" w:sz="0" w:space="0" w:color="auto"/>
                    <w:bottom w:val="none" w:sz="0" w:space="0" w:color="auto"/>
                    <w:right w:val="none" w:sz="0" w:space="0" w:color="auto"/>
                  </w:divBdr>
                </w:div>
                <w:div w:id="1251695510">
                  <w:marLeft w:val="0"/>
                  <w:marRight w:val="0"/>
                  <w:marTop w:val="0"/>
                  <w:marBottom w:val="0"/>
                  <w:divBdr>
                    <w:top w:val="none" w:sz="0" w:space="0" w:color="auto"/>
                    <w:left w:val="none" w:sz="0" w:space="0" w:color="auto"/>
                    <w:bottom w:val="none" w:sz="0" w:space="0" w:color="auto"/>
                    <w:right w:val="none" w:sz="0" w:space="0" w:color="auto"/>
                  </w:divBdr>
                </w:div>
                <w:div w:id="994145816">
                  <w:marLeft w:val="0"/>
                  <w:marRight w:val="0"/>
                  <w:marTop w:val="0"/>
                  <w:marBottom w:val="0"/>
                  <w:divBdr>
                    <w:top w:val="none" w:sz="0" w:space="0" w:color="auto"/>
                    <w:left w:val="none" w:sz="0" w:space="0" w:color="auto"/>
                    <w:bottom w:val="none" w:sz="0" w:space="0" w:color="auto"/>
                    <w:right w:val="none" w:sz="0" w:space="0" w:color="auto"/>
                  </w:divBdr>
                </w:div>
                <w:div w:id="756437361">
                  <w:marLeft w:val="0"/>
                  <w:marRight w:val="0"/>
                  <w:marTop w:val="0"/>
                  <w:marBottom w:val="0"/>
                  <w:divBdr>
                    <w:top w:val="none" w:sz="0" w:space="0" w:color="auto"/>
                    <w:left w:val="none" w:sz="0" w:space="0" w:color="auto"/>
                    <w:bottom w:val="none" w:sz="0" w:space="0" w:color="auto"/>
                    <w:right w:val="none" w:sz="0" w:space="0" w:color="auto"/>
                  </w:divBdr>
                </w:div>
                <w:div w:id="1882206187">
                  <w:marLeft w:val="0"/>
                  <w:marRight w:val="0"/>
                  <w:marTop w:val="0"/>
                  <w:marBottom w:val="0"/>
                  <w:divBdr>
                    <w:top w:val="none" w:sz="0" w:space="0" w:color="auto"/>
                    <w:left w:val="none" w:sz="0" w:space="0" w:color="auto"/>
                    <w:bottom w:val="none" w:sz="0" w:space="0" w:color="auto"/>
                    <w:right w:val="none" w:sz="0" w:space="0" w:color="auto"/>
                  </w:divBdr>
                </w:div>
                <w:div w:id="1660185808">
                  <w:marLeft w:val="0"/>
                  <w:marRight w:val="0"/>
                  <w:marTop w:val="0"/>
                  <w:marBottom w:val="0"/>
                  <w:divBdr>
                    <w:top w:val="none" w:sz="0" w:space="0" w:color="auto"/>
                    <w:left w:val="none" w:sz="0" w:space="0" w:color="auto"/>
                    <w:bottom w:val="none" w:sz="0" w:space="0" w:color="auto"/>
                    <w:right w:val="none" w:sz="0" w:space="0" w:color="auto"/>
                  </w:divBdr>
                </w:div>
                <w:div w:id="2147357168">
                  <w:marLeft w:val="0"/>
                  <w:marRight w:val="0"/>
                  <w:marTop w:val="0"/>
                  <w:marBottom w:val="0"/>
                  <w:divBdr>
                    <w:top w:val="none" w:sz="0" w:space="0" w:color="auto"/>
                    <w:left w:val="none" w:sz="0" w:space="0" w:color="auto"/>
                    <w:bottom w:val="none" w:sz="0" w:space="0" w:color="auto"/>
                    <w:right w:val="none" w:sz="0" w:space="0" w:color="auto"/>
                  </w:divBdr>
                </w:div>
                <w:div w:id="876897199">
                  <w:marLeft w:val="0"/>
                  <w:marRight w:val="0"/>
                  <w:marTop w:val="0"/>
                  <w:marBottom w:val="0"/>
                  <w:divBdr>
                    <w:top w:val="none" w:sz="0" w:space="0" w:color="auto"/>
                    <w:left w:val="none" w:sz="0" w:space="0" w:color="auto"/>
                    <w:bottom w:val="none" w:sz="0" w:space="0" w:color="auto"/>
                    <w:right w:val="none" w:sz="0" w:space="0" w:color="auto"/>
                  </w:divBdr>
                </w:div>
                <w:div w:id="1653169275">
                  <w:marLeft w:val="0"/>
                  <w:marRight w:val="0"/>
                  <w:marTop w:val="0"/>
                  <w:marBottom w:val="0"/>
                  <w:divBdr>
                    <w:top w:val="none" w:sz="0" w:space="0" w:color="auto"/>
                    <w:left w:val="none" w:sz="0" w:space="0" w:color="auto"/>
                    <w:bottom w:val="none" w:sz="0" w:space="0" w:color="auto"/>
                    <w:right w:val="none" w:sz="0" w:space="0" w:color="auto"/>
                  </w:divBdr>
                </w:div>
                <w:div w:id="1959683167">
                  <w:marLeft w:val="0"/>
                  <w:marRight w:val="0"/>
                  <w:marTop w:val="0"/>
                  <w:marBottom w:val="0"/>
                  <w:divBdr>
                    <w:top w:val="none" w:sz="0" w:space="0" w:color="auto"/>
                    <w:left w:val="none" w:sz="0" w:space="0" w:color="auto"/>
                    <w:bottom w:val="none" w:sz="0" w:space="0" w:color="auto"/>
                    <w:right w:val="none" w:sz="0" w:space="0" w:color="auto"/>
                  </w:divBdr>
                </w:div>
                <w:div w:id="1199733023">
                  <w:marLeft w:val="0"/>
                  <w:marRight w:val="0"/>
                  <w:marTop w:val="0"/>
                  <w:marBottom w:val="0"/>
                  <w:divBdr>
                    <w:top w:val="none" w:sz="0" w:space="0" w:color="auto"/>
                    <w:left w:val="none" w:sz="0" w:space="0" w:color="auto"/>
                    <w:bottom w:val="none" w:sz="0" w:space="0" w:color="auto"/>
                    <w:right w:val="none" w:sz="0" w:space="0" w:color="auto"/>
                  </w:divBdr>
                </w:div>
                <w:div w:id="1389650199">
                  <w:marLeft w:val="0"/>
                  <w:marRight w:val="0"/>
                  <w:marTop w:val="0"/>
                  <w:marBottom w:val="0"/>
                  <w:divBdr>
                    <w:top w:val="none" w:sz="0" w:space="0" w:color="auto"/>
                    <w:left w:val="none" w:sz="0" w:space="0" w:color="auto"/>
                    <w:bottom w:val="none" w:sz="0" w:space="0" w:color="auto"/>
                    <w:right w:val="none" w:sz="0" w:space="0" w:color="auto"/>
                  </w:divBdr>
                </w:div>
                <w:div w:id="1420099734">
                  <w:marLeft w:val="0"/>
                  <w:marRight w:val="0"/>
                  <w:marTop w:val="0"/>
                  <w:marBottom w:val="0"/>
                  <w:divBdr>
                    <w:top w:val="none" w:sz="0" w:space="0" w:color="auto"/>
                    <w:left w:val="none" w:sz="0" w:space="0" w:color="auto"/>
                    <w:bottom w:val="none" w:sz="0" w:space="0" w:color="auto"/>
                    <w:right w:val="none" w:sz="0" w:space="0" w:color="auto"/>
                  </w:divBdr>
                </w:div>
                <w:div w:id="279603795">
                  <w:marLeft w:val="0"/>
                  <w:marRight w:val="0"/>
                  <w:marTop w:val="0"/>
                  <w:marBottom w:val="0"/>
                  <w:divBdr>
                    <w:top w:val="none" w:sz="0" w:space="0" w:color="auto"/>
                    <w:left w:val="none" w:sz="0" w:space="0" w:color="auto"/>
                    <w:bottom w:val="none" w:sz="0" w:space="0" w:color="auto"/>
                    <w:right w:val="none" w:sz="0" w:space="0" w:color="auto"/>
                  </w:divBdr>
                </w:div>
                <w:div w:id="709188165">
                  <w:marLeft w:val="0"/>
                  <w:marRight w:val="0"/>
                  <w:marTop w:val="0"/>
                  <w:marBottom w:val="0"/>
                  <w:divBdr>
                    <w:top w:val="none" w:sz="0" w:space="0" w:color="auto"/>
                    <w:left w:val="none" w:sz="0" w:space="0" w:color="auto"/>
                    <w:bottom w:val="none" w:sz="0" w:space="0" w:color="auto"/>
                    <w:right w:val="none" w:sz="0" w:space="0" w:color="auto"/>
                  </w:divBdr>
                </w:div>
                <w:div w:id="897133192">
                  <w:marLeft w:val="0"/>
                  <w:marRight w:val="0"/>
                  <w:marTop w:val="0"/>
                  <w:marBottom w:val="0"/>
                  <w:divBdr>
                    <w:top w:val="none" w:sz="0" w:space="0" w:color="auto"/>
                    <w:left w:val="none" w:sz="0" w:space="0" w:color="auto"/>
                    <w:bottom w:val="none" w:sz="0" w:space="0" w:color="auto"/>
                    <w:right w:val="none" w:sz="0" w:space="0" w:color="auto"/>
                  </w:divBdr>
                </w:div>
                <w:div w:id="1216742265">
                  <w:marLeft w:val="0"/>
                  <w:marRight w:val="0"/>
                  <w:marTop w:val="0"/>
                  <w:marBottom w:val="0"/>
                  <w:divBdr>
                    <w:top w:val="none" w:sz="0" w:space="0" w:color="auto"/>
                    <w:left w:val="none" w:sz="0" w:space="0" w:color="auto"/>
                    <w:bottom w:val="none" w:sz="0" w:space="0" w:color="auto"/>
                    <w:right w:val="none" w:sz="0" w:space="0" w:color="auto"/>
                  </w:divBdr>
                </w:div>
                <w:div w:id="1251695715">
                  <w:marLeft w:val="0"/>
                  <w:marRight w:val="0"/>
                  <w:marTop w:val="0"/>
                  <w:marBottom w:val="0"/>
                  <w:divBdr>
                    <w:top w:val="none" w:sz="0" w:space="0" w:color="auto"/>
                    <w:left w:val="none" w:sz="0" w:space="0" w:color="auto"/>
                    <w:bottom w:val="none" w:sz="0" w:space="0" w:color="auto"/>
                    <w:right w:val="none" w:sz="0" w:space="0" w:color="auto"/>
                  </w:divBdr>
                </w:div>
                <w:div w:id="1668435302">
                  <w:marLeft w:val="0"/>
                  <w:marRight w:val="0"/>
                  <w:marTop w:val="0"/>
                  <w:marBottom w:val="0"/>
                  <w:divBdr>
                    <w:top w:val="none" w:sz="0" w:space="0" w:color="auto"/>
                    <w:left w:val="none" w:sz="0" w:space="0" w:color="auto"/>
                    <w:bottom w:val="none" w:sz="0" w:space="0" w:color="auto"/>
                    <w:right w:val="none" w:sz="0" w:space="0" w:color="auto"/>
                  </w:divBdr>
                </w:div>
                <w:div w:id="1830972931">
                  <w:marLeft w:val="0"/>
                  <w:marRight w:val="0"/>
                  <w:marTop w:val="0"/>
                  <w:marBottom w:val="0"/>
                  <w:divBdr>
                    <w:top w:val="none" w:sz="0" w:space="0" w:color="auto"/>
                    <w:left w:val="none" w:sz="0" w:space="0" w:color="auto"/>
                    <w:bottom w:val="none" w:sz="0" w:space="0" w:color="auto"/>
                    <w:right w:val="none" w:sz="0" w:space="0" w:color="auto"/>
                  </w:divBdr>
                </w:div>
                <w:div w:id="450367996">
                  <w:marLeft w:val="0"/>
                  <w:marRight w:val="0"/>
                  <w:marTop w:val="0"/>
                  <w:marBottom w:val="0"/>
                  <w:divBdr>
                    <w:top w:val="none" w:sz="0" w:space="0" w:color="auto"/>
                    <w:left w:val="none" w:sz="0" w:space="0" w:color="auto"/>
                    <w:bottom w:val="none" w:sz="0" w:space="0" w:color="auto"/>
                    <w:right w:val="none" w:sz="0" w:space="0" w:color="auto"/>
                  </w:divBdr>
                </w:div>
                <w:div w:id="1954510885">
                  <w:marLeft w:val="0"/>
                  <w:marRight w:val="0"/>
                  <w:marTop w:val="0"/>
                  <w:marBottom w:val="0"/>
                  <w:divBdr>
                    <w:top w:val="none" w:sz="0" w:space="0" w:color="auto"/>
                    <w:left w:val="none" w:sz="0" w:space="0" w:color="auto"/>
                    <w:bottom w:val="none" w:sz="0" w:space="0" w:color="auto"/>
                    <w:right w:val="none" w:sz="0" w:space="0" w:color="auto"/>
                  </w:divBdr>
                </w:div>
                <w:div w:id="1094473238">
                  <w:marLeft w:val="0"/>
                  <w:marRight w:val="0"/>
                  <w:marTop w:val="0"/>
                  <w:marBottom w:val="0"/>
                  <w:divBdr>
                    <w:top w:val="none" w:sz="0" w:space="0" w:color="auto"/>
                    <w:left w:val="none" w:sz="0" w:space="0" w:color="auto"/>
                    <w:bottom w:val="none" w:sz="0" w:space="0" w:color="auto"/>
                    <w:right w:val="none" w:sz="0" w:space="0" w:color="auto"/>
                  </w:divBdr>
                </w:div>
                <w:div w:id="791362849">
                  <w:marLeft w:val="0"/>
                  <w:marRight w:val="0"/>
                  <w:marTop w:val="0"/>
                  <w:marBottom w:val="0"/>
                  <w:divBdr>
                    <w:top w:val="none" w:sz="0" w:space="0" w:color="auto"/>
                    <w:left w:val="none" w:sz="0" w:space="0" w:color="auto"/>
                    <w:bottom w:val="none" w:sz="0" w:space="0" w:color="auto"/>
                    <w:right w:val="none" w:sz="0" w:space="0" w:color="auto"/>
                  </w:divBdr>
                </w:div>
                <w:div w:id="1152871014">
                  <w:marLeft w:val="0"/>
                  <w:marRight w:val="0"/>
                  <w:marTop w:val="0"/>
                  <w:marBottom w:val="0"/>
                  <w:divBdr>
                    <w:top w:val="none" w:sz="0" w:space="0" w:color="auto"/>
                    <w:left w:val="none" w:sz="0" w:space="0" w:color="auto"/>
                    <w:bottom w:val="none" w:sz="0" w:space="0" w:color="auto"/>
                    <w:right w:val="none" w:sz="0" w:space="0" w:color="auto"/>
                  </w:divBdr>
                </w:div>
                <w:div w:id="2076471808">
                  <w:marLeft w:val="0"/>
                  <w:marRight w:val="0"/>
                  <w:marTop w:val="0"/>
                  <w:marBottom w:val="0"/>
                  <w:divBdr>
                    <w:top w:val="none" w:sz="0" w:space="0" w:color="auto"/>
                    <w:left w:val="none" w:sz="0" w:space="0" w:color="auto"/>
                    <w:bottom w:val="none" w:sz="0" w:space="0" w:color="auto"/>
                    <w:right w:val="none" w:sz="0" w:space="0" w:color="auto"/>
                  </w:divBdr>
                </w:div>
                <w:div w:id="13036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102721">
      <w:bodyDiv w:val="1"/>
      <w:marLeft w:val="0"/>
      <w:marRight w:val="0"/>
      <w:marTop w:val="0"/>
      <w:marBottom w:val="0"/>
      <w:divBdr>
        <w:top w:val="none" w:sz="0" w:space="0" w:color="auto"/>
        <w:left w:val="none" w:sz="0" w:space="0" w:color="auto"/>
        <w:bottom w:val="none" w:sz="0" w:space="0" w:color="auto"/>
        <w:right w:val="none" w:sz="0" w:space="0" w:color="auto"/>
      </w:divBdr>
    </w:div>
    <w:div w:id="2084793012">
      <w:bodyDiv w:val="1"/>
      <w:marLeft w:val="0"/>
      <w:marRight w:val="0"/>
      <w:marTop w:val="0"/>
      <w:marBottom w:val="0"/>
      <w:divBdr>
        <w:top w:val="none" w:sz="0" w:space="0" w:color="auto"/>
        <w:left w:val="none" w:sz="0" w:space="0" w:color="auto"/>
        <w:bottom w:val="none" w:sz="0" w:space="0" w:color="auto"/>
        <w:right w:val="none" w:sz="0" w:space="0" w:color="auto"/>
      </w:divBdr>
    </w:div>
    <w:div w:id="2114937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91EE91"/>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1F978185BF3EF4BB1188BC7222197B6" ma:contentTypeVersion="4" ma:contentTypeDescription="Crée un document." ma:contentTypeScope="" ma:versionID="320639b400eab4a9004bb3b623f583a3">
  <xsd:schema xmlns:xsd="http://www.w3.org/2001/XMLSchema" xmlns:xs="http://www.w3.org/2001/XMLSchema" xmlns:p="http://schemas.microsoft.com/office/2006/metadata/properties" xmlns:ns2="de384b76-45cc-4ce0-8c37-529557a9f3e9" targetNamespace="http://schemas.microsoft.com/office/2006/metadata/properties" ma:root="true" ma:fieldsID="d24b53571ad3f3fcfa40380dfa579ddc" ns2:_="">
    <xsd:import namespace="de384b76-45cc-4ce0-8c37-529557a9f3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384b76-45cc-4ce0-8c37-529557a9f3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0E61E-BDB7-4C33-AD2F-CA8A12EEC13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F9004F6-FC9B-485B-84F5-E7EF3363DA57}">
  <ds:schemaRefs>
    <ds:schemaRef ds:uri="http://schemas.microsoft.com/sharepoint/v3/contenttype/forms"/>
  </ds:schemaRefs>
</ds:datastoreItem>
</file>

<file path=customXml/itemProps3.xml><?xml version="1.0" encoding="utf-8"?>
<ds:datastoreItem xmlns:ds="http://schemas.openxmlformats.org/officeDocument/2006/customXml" ds:itemID="{74F8777C-5079-4154-9810-1AC13CF27A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384b76-45cc-4ce0-8c37-529557a9f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404306-7022-4074-BB74-1C1C77772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61</Pages>
  <Words>104893</Words>
  <Characters>597896</Characters>
  <Application>Microsoft Office Word</Application>
  <DocSecurity>0</DocSecurity>
  <Lines>4982</Lines>
  <Paragraphs>1402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701387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Maxime PEROT</dc:creator>
  <cp:lastModifiedBy>Lenovo</cp:lastModifiedBy>
  <cp:revision>4</cp:revision>
  <cp:lastPrinted>2020-01-31T09:43:00Z</cp:lastPrinted>
  <dcterms:created xsi:type="dcterms:W3CDTF">2020-05-29T22:00:00Z</dcterms:created>
  <dcterms:modified xsi:type="dcterms:W3CDTF">2020-06-20T01:31:00Z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0x01010081F978185BF3EF4BB1188BC7222197B6</vt:lpwstr>
  </property>
  <property fmtid="{D5CDD505-2E9C-101B-9397-08002B2CF9AE}" pid="3" name="Mendeley Document_1">
    <vt:lpwstr>True</vt:lpwstr>
  </property>
  <property fmtid="{D5CDD505-2E9C-101B-9397-08002B2CF9AE}" pid="4" name="Mendeley Citation Style_1">
    <vt:lpwstr>http://csl.mendeley.com/styles/23667071/world-journal-of-gastroenterology-Last</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9_1">
    <vt:lpwstr>http://csl.mendeley.com/styles/23667071/world-journal-of-gastroenterology-Last</vt:lpwstr>
  </property>
  <property fmtid="{D5CDD505-2E9C-101B-9397-08002B2CF9AE}" pid="8" name="Mendeley Recent Style Name 9_1">
    <vt:lpwstr>World Journal of Gastroenterology - Pauline ANTON</vt:lpwstr>
  </property>
  <property fmtid="{D5CDD505-2E9C-101B-9397-08002B2CF9AE}" pid="9" name="Mendeley Unique User Id_1">
    <vt:lpwstr>16320696-8cfa-34a3-ae5c-85fedd48dd7e</vt:lpwstr>
  </property>
  <property fmtid="{D5CDD505-2E9C-101B-9397-08002B2CF9AE}" pid="10" name="Mendeley Recent Style Id 1_1">
    <vt:lpwstr>http://www.zotero.org/styles/american-sociological-association</vt:lpwstr>
  </property>
  <property fmtid="{D5CDD505-2E9C-101B-9397-08002B2CF9AE}" pid="11" name="Mendeley Recent Style Name 1_1">
    <vt:lpwstr>American Sociological Association</vt:lpwstr>
  </property>
  <property fmtid="{D5CDD505-2E9C-101B-9397-08002B2CF9AE}" pid="12" name="Mendeley Recent Style Id 2_1">
    <vt:lpwstr>http://www.zotero.org/styles/chicago-author-date</vt:lpwstr>
  </property>
  <property fmtid="{D5CDD505-2E9C-101B-9397-08002B2CF9AE}" pid="13" name="Mendeley Recent Style Name 2_1">
    <vt:lpwstr>Chicago Manual of Style 17th edition (author-date)</vt:lpwstr>
  </property>
  <property fmtid="{D5CDD505-2E9C-101B-9397-08002B2CF9AE}" pid="14" name="Mendeley Recent Style Id 3_1">
    <vt:lpwstr>http://www.zotero.org/styles/foods</vt:lpwstr>
  </property>
  <property fmtid="{D5CDD505-2E9C-101B-9397-08002B2CF9AE}" pid="15" name="Mendeley Recent Style Name 3_1">
    <vt:lpwstr>Foods</vt:lpwstr>
  </property>
  <property fmtid="{D5CDD505-2E9C-101B-9397-08002B2CF9AE}" pid="16" name="Mendeley Recent Style Id 4_1">
    <vt:lpwstr>http://www.zotero.org/styles/ieee</vt:lpwstr>
  </property>
  <property fmtid="{D5CDD505-2E9C-101B-9397-08002B2CF9AE}" pid="17" name="Mendeley Recent Style Name 4_1">
    <vt:lpwstr>IEEE</vt:lpwstr>
  </property>
  <property fmtid="{D5CDD505-2E9C-101B-9397-08002B2CF9AE}" pid="18" name="Mendeley Recent Style Id 5_1">
    <vt:lpwstr>http://www.zotero.org/styles/modern-humanities-research-association</vt:lpwstr>
  </property>
  <property fmtid="{D5CDD505-2E9C-101B-9397-08002B2CF9AE}" pid="19" name="Mendeley Recent Style Name 5_1">
    <vt:lpwstr>Modern Humanities Research Association 3rd edition (note with bibliography)</vt:lpwstr>
  </property>
  <property fmtid="{D5CDD505-2E9C-101B-9397-08002B2CF9AE}" pid="20" name="Mendeley Recent Style Id 6_1">
    <vt:lpwstr>http://www.zotero.org/styles/nature</vt:lpwstr>
  </property>
  <property fmtid="{D5CDD505-2E9C-101B-9397-08002B2CF9AE}" pid="21" name="Mendeley Recent Style Name 6_1">
    <vt:lpwstr>Nature</vt:lpwstr>
  </property>
  <property fmtid="{D5CDD505-2E9C-101B-9397-08002B2CF9AE}" pid="22" name="Mendeley Recent Style Id 7_1">
    <vt:lpwstr>http://www.zotero.org/styles/vancouver</vt:lpwstr>
  </property>
  <property fmtid="{D5CDD505-2E9C-101B-9397-08002B2CF9AE}" pid="23" name="Mendeley Recent Style Name 7_1">
    <vt:lpwstr>Vancouver</vt:lpwstr>
  </property>
  <property fmtid="{D5CDD505-2E9C-101B-9397-08002B2CF9AE}" pid="24" name="Mendeley Recent Style Id 8_1">
    <vt:lpwstr>http://www.zotero.org/styles/world-journal-of-gastroenterology</vt:lpwstr>
  </property>
  <property fmtid="{D5CDD505-2E9C-101B-9397-08002B2CF9AE}" pid="25" name="Mendeley Recent Style Name 8_1">
    <vt:lpwstr>World Journal of Gastroenterology</vt:lpwstr>
  </property>
</Properties>
</file>