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C3A2C" w14:textId="77777777" w:rsidR="00A77B3E" w:rsidRDefault="007A6D27" w:rsidP="00F240F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98056DE" w14:textId="77777777" w:rsidR="00A77B3E" w:rsidRDefault="007A6D27" w:rsidP="00F240F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54549</w:t>
      </w:r>
    </w:p>
    <w:p w14:paraId="0B9154EC" w14:textId="77777777" w:rsidR="00A77B3E" w:rsidRDefault="007A6D27" w:rsidP="00F240F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73A624" w14:textId="77777777" w:rsidR="00A77B3E" w:rsidRDefault="00A77B3E" w:rsidP="00F240F5">
      <w:pPr>
        <w:spacing w:line="360" w:lineRule="auto"/>
        <w:jc w:val="both"/>
      </w:pPr>
    </w:p>
    <w:p w14:paraId="2CB9AD10" w14:textId="77777777" w:rsidR="00A77B3E" w:rsidRDefault="007A6D27" w:rsidP="00F240F5">
      <w:pPr>
        <w:spacing w:line="360" w:lineRule="auto"/>
        <w:jc w:val="both"/>
      </w:pPr>
      <w:r>
        <w:rPr>
          <w:rFonts w:ascii="Book Antiqua" w:eastAsia="Book Antiqua" w:hAnsi="Book Antiqua" w:cs="Book Antiqua"/>
          <w:b/>
          <w:bCs/>
          <w:color w:val="000000"/>
        </w:rPr>
        <w:t xml:space="preserve">Gastrointestinal stromal tumor metastasis at the site of a totally implantable venous access port insertion: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rare case report</w:t>
      </w:r>
    </w:p>
    <w:p w14:paraId="6A310D8F" w14:textId="77777777" w:rsidR="00A77B3E" w:rsidRDefault="00A77B3E" w:rsidP="00F240F5">
      <w:pPr>
        <w:spacing w:line="360" w:lineRule="auto"/>
        <w:jc w:val="both"/>
      </w:pPr>
    </w:p>
    <w:p w14:paraId="76E2237A" w14:textId="66707282" w:rsidR="00A77B3E" w:rsidRDefault="007A6D27" w:rsidP="00F240F5">
      <w:pPr>
        <w:spacing w:line="360" w:lineRule="auto"/>
        <w:jc w:val="both"/>
      </w:pPr>
      <w:r>
        <w:rPr>
          <w:rFonts w:ascii="Book Antiqua" w:eastAsia="Book Antiqua" w:hAnsi="Book Antiqua" w:cs="Book Antiqua"/>
          <w:color w:val="000000"/>
        </w:rPr>
        <w:t xml:space="preserve">Yin XN </w:t>
      </w:r>
      <w:r>
        <w:rPr>
          <w:rFonts w:ascii="Book Antiqua" w:eastAsia="Book Antiqua" w:hAnsi="Book Antiqua" w:cs="Book Antiqua"/>
          <w:i/>
          <w:iCs/>
          <w:color w:val="000000"/>
        </w:rPr>
        <w:t>et al</w:t>
      </w:r>
      <w:r>
        <w:rPr>
          <w:rFonts w:ascii="Book Antiqua" w:eastAsia="Book Antiqua" w:hAnsi="Book Antiqua" w:cs="Book Antiqua"/>
          <w:color w:val="000000"/>
        </w:rPr>
        <w:t>. TIVAP</w:t>
      </w:r>
      <w:r w:rsidR="00F7799F">
        <w:rPr>
          <w:rFonts w:ascii="Book Antiqua" w:eastAsia="Book Antiqua" w:hAnsi="Book Antiqua" w:cs="Book Antiqua"/>
          <w:color w:val="000000"/>
        </w:rPr>
        <w:t>-</w:t>
      </w:r>
      <w:r>
        <w:rPr>
          <w:rFonts w:ascii="Book Antiqua" w:eastAsia="Book Antiqua" w:hAnsi="Book Antiqua" w:cs="Book Antiqua"/>
          <w:color w:val="000000"/>
        </w:rPr>
        <w:t>related metastasis of a GIST</w:t>
      </w:r>
    </w:p>
    <w:p w14:paraId="5C77FB2D" w14:textId="77777777" w:rsidR="00A77B3E" w:rsidRDefault="00A77B3E" w:rsidP="00F240F5">
      <w:pPr>
        <w:spacing w:line="360" w:lineRule="auto"/>
        <w:jc w:val="both"/>
      </w:pPr>
    </w:p>
    <w:p w14:paraId="01EBD0EE" w14:textId="77777777" w:rsidR="00A77B3E" w:rsidRDefault="007A6D27" w:rsidP="00F240F5">
      <w:pPr>
        <w:spacing w:line="360" w:lineRule="auto"/>
        <w:jc w:val="both"/>
      </w:pPr>
      <w:r>
        <w:rPr>
          <w:rFonts w:ascii="Book Antiqua" w:eastAsia="Book Antiqua" w:hAnsi="Book Antiqua" w:cs="Book Antiqua"/>
          <w:color w:val="000000"/>
        </w:rPr>
        <w:t>Xiao-Nan Yin, Yuan Yin, Jiang Wang, Chao-Yong Shen, Xin Chen, Zhou Zhao, Zhao-Lun Cai, Bo Zhang</w:t>
      </w:r>
    </w:p>
    <w:p w14:paraId="4EBAFD4C" w14:textId="77777777" w:rsidR="00A77B3E" w:rsidRDefault="00A77B3E" w:rsidP="00F240F5">
      <w:pPr>
        <w:spacing w:line="360" w:lineRule="auto"/>
        <w:jc w:val="both"/>
      </w:pPr>
    </w:p>
    <w:p w14:paraId="76942759" w14:textId="77777777" w:rsidR="00A77B3E" w:rsidRDefault="007A6D27" w:rsidP="00F240F5">
      <w:pPr>
        <w:spacing w:line="360" w:lineRule="auto"/>
        <w:jc w:val="both"/>
      </w:pPr>
      <w:r>
        <w:rPr>
          <w:rFonts w:ascii="Book Antiqua" w:eastAsia="Book Antiqua" w:hAnsi="Book Antiqua" w:cs="Book Antiqua"/>
          <w:b/>
          <w:bCs/>
          <w:color w:val="000000"/>
        </w:rPr>
        <w:t xml:space="preserve">Xiao-Nan Yin, Yuan Yin, Jiang Wang, Chao-Yong Shen, Xin Chen, Zhou Zhao, Zhao-Lun Cai, Bo Zhang, </w:t>
      </w:r>
      <w:r>
        <w:rPr>
          <w:rFonts w:ascii="Book Antiqua" w:eastAsia="Book Antiqua" w:hAnsi="Book Antiqua" w:cs="Book Antiqua"/>
          <w:color w:val="000000"/>
        </w:rPr>
        <w:t>Department of Gastrointestinal Surgery, West China Hospital, Sichuan University, Chengdu 610041, Sichuan Province, China</w:t>
      </w:r>
    </w:p>
    <w:p w14:paraId="2CB670E7" w14:textId="77777777" w:rsidR="00A77B3E" w:rsidRDefault="00A77B3E" w:rsidP="00F240F5">
      <w:pPr>
        <w:spacing w:line="360" w:lineRule="auto"/>
        <w:jc w:val="both"/>
      </w:pPr>
    </w:p>
    <w:p w14:paraId="6E161339" w14:textId="5DADEB80" w:rsidR="00A77B3E" w:rsidRDefault="007A6D27" w:rsidP="00F240F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B carried out concept design; Yin XN and Yin Y carried out data analysis and wrote the manuscript; Wang J and Shen CY carried out data acquisition and data analysis; Chen X and Zhao Z carried out data acquisition and </w:t>
      </w:r>
      <w:r w:rsidR="00F7799F">
        <w:rPr>
          <w:rFonts w:ascii="Book Antiqua" w:eastAsia="Book Antiqua" w:hAnsi="Book Antiqua" w:cs="Book Antiqua"/>
          <w:color w:val="000000"/>
        </w:rPr>
        <w:t xml:space="preserve">the </w:t>
      </w:r>
      <w:r>
        <w:rPr>
          <w:rFonts w:ascii="Book Antiqua" w:eastAsia="Book Antiqua" w:hAnsi="Book Antiqua" w:cs="Book Antiqua"/>
          <w:color w:val="000000"/>
        </w:rPr>
        <w:t>literature search; Zhao Z and Cai ZL edited and revised the manuscript; all the authors have read and approved the final manuscript.</w:t>
      </w:r>
    </w:p>
    <w:p w14:paraId="5FEC7295" w14:textId="77777777" w:rsidR="00A77B3E" w:rsidRDefault="00A77B3E" w:rsidP="00F240F5">
      <w:pPr>
        <w:spacing w:line="360" w:lineRule="auto"/>
        <w:jc w:val="both"/>
      </w:pPr>
    </w:p>
    <w:p w14:paraId="0CF4A828" w14:textId="77777777" w:rsidR="00A77B3E" w:rsidRDefault="007A6D27" w:rsidP="00F240F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National Natural Science Foundation of China, No. 81572931; and 1.3.5 </w:t>
      </w:r>
      <w:r>
        <w:rPr>
          <w:rFonts w:ascii="Book Antiqua" w:eastAsia="Book Antiqua" w:hAnsi="Book Antiqua" w:cs="Book Antiqua"/>
          <w:caps/>
          <w:color w:val="000000"/>
        </w:rPr>
        <w:t>p</w:t>
      </w:r>
      <w:r>
        <w:rPr>
          <w:rFonts w:ascii="Book Antiqua" w:eastAsia="Book Antiqua" w:hAnsi="Book Antiqua" w:cs="Book Antiqua"/>
          <w:color w:val="000000"/>
        </w:rPr>
        <w:t xml:space="preserve">roject for </w:t>
      </w:r>
      <w:r>
        <w:rPr>
          <w:rFonts w:ascii="Book Antiqua" w:eastAsia="Book Antiqua" w:hAnsi="Book Antiqua" w:cs="Book Antiqua"/>
          <w:caps/>
          <w:color w:val="000000"/>
        </w:rPr>
        <w:t>d</w:t>
      </w:r>
      <w:r>
        <w:rPr>
          <w:rFonts w:ascii="Book Antiqua" w:eastAsia="Book Antiqua" w:hAnsi="Book Antiqua" w:cs="Book Antiqua"/>
          <w:color w:val="000000"/>
        </w:rPr>
        <w:t xml:space="preserve">isciplines of </w:t>
      </w:r>
      <w:r>
        <w:rPr>
          <w:rFonts w:ascii="Book Antiqua" w:eastAsia="Book Antiqua" w:hAnsi="Book Antiqua" w:cs="Book Antiqua"/>
          <w:caps/>
          <w:color w:val="000000"/>
        </w:rPr>
        <w:t>e</w:t>
      </w:r>
      <w:r>
        <w:rPr>
          <w:rFonts w:ascii="Book Antiqua" w:eastAsia="Book Antiqua" w:hAnsi="Book Antiqua" w:cs="Book Antiqua"/>
          <w:color w:val="000000"/>
        </w:rPr>
        <w:t>xcellence, West China Hospital, Sichuan University, No. ZYJC18034.</w:t>
      </w:r>
    </w:p>
    <w:p w14:paraId="20E3BAD5" w14:textId="77777777" w:rsidR="00A77B3E" w:rsidRDefault="00A77B3E" w:rsidP="00F240F5">
      <w:pPr>
        <w:spacing w:line="360" w:lineRule="auto"/>
        <w:jc w:val="both"/>
      </w:pPr>
    </w:p>
    <w:p w14:paraId="5B834EF9" w14:textId="77777777" w:rsidR="00A77B3E" w:rsidRDefault="007A6D27" w:rsidP="00F240F5">
      <w:pPr>
        <w:spacing w:line="360" w:lineRule="auto"/>
        <w:jc w:val="both"/>
      </w:pPr>
      <w:r>
        <w:rPr>
          <w:rFonts w:ascii="Book Antiqua" w:eastAsia="Book Antiqua" w:hAnsi="Book Antiqua" w:cs="Book Antiqua"/>
          <w:b/>
          <w:bCs/>
          <w:color w:val="000000"/>
        </w:rPr>
        <w:t xml:space="preserve">Corresponding author: Bo Zhang, MD, PhD, Professor, </w:t>
      </w:r>
      <w:r>
        <w:rPr>
          <w:rFonts w:ascii="Book Antiqua" w:eastAsia="Book Antiqua" w:hAnsi="Book Antiqua" w:cs="Book Antiqua"/>
          <w:color w:val="000000"/>
        </w:rPr>
        <w:t>Department of Gastrointestinal Surgery, West China Hospital, Sichuan University, No. 37 Guoxue Lane, Chengdu 610041, Sichuan Province, China. hxwcwk@126.com</w:t>
      </w:r>
    </w:p>
    <w:p w14:paraId="57799F3E" w14:textId="77777777" w:rsidR="00A77B3E" w:rsidRDefault="00A77B3E" w:rsidP="00F240F5">
      <w:pPr>
        <w:spacing w:line="360" w:lineRule="auto"/>
        <w:jc w:val="both"/>
      </w:pPr>
    </w:p>
    <w:p w14:paraId="6FDEDFDE" w14:textId="77777777" w:rsidR="00A77B3E" w:rsidRDefault="007A6D27" w:rsidP="00F240F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23, 2020</w:t>
      </w:r>
    </w:p>
    <w:p w14:paraId="543F3964" w14:textId="77777777" w:rsidR="00A77B3E" w:rsidRDefault="007A6D27" w:rsidP="00F240F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28, 2020</w:t>
      </w:r>
    </w:p>
    <w:p w14:paraId="188980FB" w14:textId="2C59FB4A" w:rsidR="00A77B3E" w:rsidRPr="00F27645" w:rsidRDefault="007A6D27" w:rsidP="00F27645">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F27645" w:rsidRPr="00F27645">
        <w:rPr>
          <w:rFonts w:ascii="Book Antiqua" w:hAnsi="Book Antiqua" w:cs="Arial"/>
          <w:color w:val="000000" w:themeColor="text1"/>
          <w:shd w:val="clear" w:color="auto" w:fill="FFFFFF"/>
        </w:rPr>
        <w:t xml:space="preserve"> </w:t>
      </w:r>
      <w:r w:rsidR="00F27645">
        <w:rPr>
          <w:rFonts w:ascii="Book Antiqua" w:hAnsi="Book Antiqua" w:cs="Arial"/>
          <w:color w:val="000000" w:themeColor="text1"/>
          <w:shd w:val="clear" w:color="auto" w:fill="FFFFFF"/>
        </w:rPr>
        <w:t>September 2, 2020</w:t>
      </w:r>
      <w:r>
        <w:rPr>
          <w:rFonts w:ascii="Book Antiqua" w:eastAsia="Book Antiqua" w:hAnsi="Book Antiqua" w:cs="Book Antiqua"/>
          <w:b/>
          <w:bCs/>
          <w:color w:val="000000"/>
        </w:rPr>
        <w:t xml:space="preserve"> </w:t>
      </w:r>
    </w:p>
    <w:p w14:paraId="6E25D3E1" w14:textId="5F0AF232" w:rsidR="00A77B3E" w:rsidRDefault="007A6D27" w:rsidP="00F240F5">
      <w:pPr>
        <w:spacing w:line="360" w:lineRule="auto"/>
        <w:jc w:val="both"/>
      </w:pPr>
      <w:r>
        <w:rPr>
          <w:rFonts w:ascii="Book Antiqua" w:eastAsia="Book Antiqua" w:hAnsi="Book Antiqua" w:cs="Book Antiqua"/>
          <w:b/>
          <w:bCs/>
          <w:color w:val="000000"/>
        </w:rPr>
        <w:t>Published online:</w:t>
      </w:r>
      <w:r w:rsidR="00741FE2">
        <w:rPr>
          <w:rFonts w:ascii="Book Antiqua" w:hAnsi="Book Antiqua" w:cs="Book Antiqua" w:hint="eastAsia"/>
          <w:b/>
          <w:bCs/>
          <w:color w:val="000000"/>
          <w:lang w:eastAsia="zh-CN"/>
        </w:rPr>
        <w:t xml:space="preserve"> </w:t>
      </w:r>
      <w:r w:rsidR="00741FE2" w:rsidRPr="00741FE2">
        <w:rPr>
          <w:rFonts w:ascii="Book Antiqua" w:hAnsi="Book Antiqua" w:cs="Book Antiqua"/>
          <w:bCs/>
          <w:color w:val="000000"/>
          <w:lang w:eastAsia="zh-CN"/>
        </w:rPr>
        <w:t>October</w:t>
      </w:r>
      <w:r w:rsidR="00741FE2" w:rsidRPr="00741FE2">
        <w:rPr>
          <w:rFonts w:ascii="Book Antiqua" w:hAnsi="Book Antiqua" w:cs="Book Antiqua" w:hint="eastAsia"/>
          <w:bCs/>
          <w:color w:val="000000"/>
          <w:lang w:eastAsia="zh-CN"/>
        </w:rPr>
        <w:t xml:space="preserve"> </w:t>
      </w:r>
      <w:r w:rsidR="00803EB5">
        <w:rPr>
          <w:rFonts w:ascii="Book Antiqua" w:hAnsi="Book Antiqua" w:hint="eastAsia"/>
        </w:rPr>
        <w:t>2</w:t>
      </w:r>
      <w:r w:rsidR="00803EB5" w:rsidRPr="007C3EF4">
        <w:rPr>
          <w:rFonts w:ascii="Book Antiqua" w:hAnsi="Book Antiqua"/>
        </w:rPr>
        <w:t>6</w:t>
      </w:r>
      <w:r w:rsidR="00803EB5" w:rsidRPr="007C3EF4">
        <w:rPr>
          <w:rFonts w:ascii="Book Antiqua" w:hAnsi="Book Antiqua" w:hint="eastAsia"/>
        </w:rPr>
        <w:t>, 2020</w:t>
      </w:r>
      <w:r>
        <w:rPr>
          <w:rFonts w:ascii="Book Antiqua" w:eastAsia="Book Antiqua" w:hAnsi="Book Antiqua" w:cs="Book Antiqua"/>
          <w:b/>
          <w:bCs/>
          <w:color w:val="000000"/>
        </w:rPr>
        <w:t xml:space="preserve"> </w:t>
      </w:r>
    </w:p>
    <w:p w14:paraId="3C3E4F82" w14:textId="77777777" w:rsidR="00A77B3E" w:rsidRDefault="00A77B3E" w:rsidP="00F240F5">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3D7CEFF0" w14:textId="77777777" w:rsidR="00A77B3E" w:rsidRDefault="007A6D27" w:rsidP="00F240F5">
      <w:pPr>
        <w:spacing w:line="360" w:lineRule="auto"/>
        <w:jc w:val="both"/>
      </w:pPr>
      <w:r>
        <w:rPr>
          <w:rFonts w:ascii="Book Antiqua" w:eastAsia="Book Antiqua" w:hAnsi="Book Antiqua" w:cs="Book Antiqua"/>
          <w:b/>
          <w:color w:val="000000"/>
        </w:rPr>
        <w:t>Abstract</w:t>
      </w:r>
    </w:p>
    <w:p w14:paraId="7D0DAF7D" w14:textId="77777777" w:rsidR="00A77B3E" w:rsidRDefault="007A6D27" w:rsidP="00F240F5">
      <w:pPr>
        <w:spacing w:line="360" w:lineRule="auto"/>
        <w:jc w:val="both"/>
      </w:pPr>
      <w:r>
        <w:rPr>
          <w:rFonts w:ascii="Book Antiqua" w:eastAsia="Book Antiqua" w:hAnsi="Book Antiqua" w:cs="Book Antiqua"/>
          <w:color w:val="000000"/>
        </w:rPr>
        <w:t>BACKGROUND</w:t>
      </w:r>
    </w:p>
    <w:p w14:paraId="11123E6E" w14:textId="40CD7534" w:rsidR="00A77B3E" w:rsidRDefault="007A6D27" w:rsidP="00F240F5">
      <w:pPr>
        <w:spacing w:line="360" w:lineRule="auto"/>
        <w:jc w:val="both"/>
      </w:pPr>
      <w:r>
        <w:rPr>
          <w:rFonts w:ascii="Book Antiqua" w:eastAsia="Book Antiqua" w:hAnsi="Book Antiqua" w:cs="Book Antiqua"/>
          <w:color w:val="000000"/>
        </w:rPr>
        <w:t xml:space="preserve">The totally implantable venous access port (TIVAP) is an important device </w:t>
      </w:r>
      <w:r w:rsidR="00557E2A">
        <w:rPr>
          <w:rFonts w:ascii="Book Antiqua" w:eastAsia="Book Antiqua" w:hAnsi="Book Antiqua" w:cs="Book Antiqua"/>
          <w:color w:val="000000"/>
        </w:rPr>
        <w:t>in</w:t>
      </w:r>
      <w:r>
        <w:rPr>
          <w:rFonts w:ascii="Book Antiqua" w:eastAsia="Book Antiqua" w:hAnsi="Book Antiqua" w:cs="Book Antiqua"/>
          <w:color w:val="000000"/>
        </w:rPr>
        <w:t xml:space="preserve"> patients </w:t>
      </w:r>
      <w:r w:rsidR="00557E2A">
        <w:rPr>
          <w:rFonts w:ascii="Book Antiqua" w:eastAsia="Book Antiqua" w:hAnsi="Book Antiqua" w:cs="Book Antiqua"/>
          <w:color w:val="000000"/>
        </w:rPr>
        <w:t>for</w:t>
      </w:r>
      <w:r>
        <w:rPr>
          <w:rFonts w:ascii="Book Antiqua" w:eastAsia="Book Antiqua" w:hAnsi="Book Antiqua" w:cs="Book Antiqua"/>
          <w:color w:val="000000"/>
        </w:rPr>
        <w:t xml:space="preserve"> inject</w:t>
      </w:r>
      <w:r w:rsidR="00557E2A">
        <w:rPr>
          <w:rFonts w:ascii="Book Antiqua" w:eastAsia="Book Antiqua" w:hAnsi="Book Antiqua" w:cs="Book Antiqua"/>
          <w:color w:val="000000"/>
        </w:rPr>
        <w:t>ing</w:t>
      </w:r>
      <w:r>
        <w:rPr>
          <w:rFonts w:ascii="Book Antiqua" w:eastAsia="Book Antiqua" w:hAnsi="Book Antiqua" w:cs="Book Antiqua"/>
          <w:color w:val="000000"/>
        </w:rPr>
        <w:t xml:space="preserve"> blood products, parenteral nutrition or antineoplastic chemotherapy. Metastatic spread at the site of the insertion of a TIVAP is extremely rare. </w:t>
      </w:r>
    </w:p>
    <w:p w14:paraId="03F1CAB8" w14:textId="77777777" w:rsidR="00A77B3E" w:rsidRDefault="00A77B3E" w:rsidP="00F240F5">
      <w:pPr>
        <w:spacing w:line="360" w:lineRule="auto"/>
        <w:jc w:val="both"/>
      </w:pPr>
    </w:p>
    <w:p w14:paraId="6DFAB6A1" w14:textId="77777777" w:rsidR="00A77B3E" w:rsidRDefault="007A6D27" w:rsidP="00F240F5">
      <w:pPr>
        <w:spacing w:line="360" w:lineRule="auto"/>
        <w:jc w:val="both"/>
      </w:pPr>
      <w:r>
        <w:rPr>
          <w:rFonts w:ascii="Book Antiqua" w:eastAsia="Book Antiqua" w:hAnsi="Book Antiqua" w:cs="Book Antiqua"/>
          <w:color w:val="000000"/>
        </w:rPr>
        <w:t>CASE SUMMARY</w:t>
      </w:r>
    </w:p>
    <w:p w14:paraId="463D2AC2" w14:textId="79FB6651" w:rsidR="00A77B3E" w:rsidRDefault="007A6D27" w:rsidP="00F240F5">
      <w:pPr>
        <w:spacing w:line="360" w:lineRule="auto"/>
        <w:jc w:val="both"/>
      </w:pPr>
      <w:r>
        <w:rPr>
          <w:rFonts w:ascii="Book Antiqua" w:eastAsia="Book Antiqua" w:hAnsi="Book Antiqua" w:cs="Book Antiqua"/>
          <w:color w:val="000000"/>
        </w:rPr>
        <w:t xml:space="preserve">We report </w:t>
      </w:r>
      <w:r w:rsidR="00F7799F">
        <w:rPr>
          <w:rFonts w:ascii="Book Antiqua" w:eastAsia="Book Antiqua" w:hAnsi="Book Antiqua" w:cs="Book Antiqua"/>
          <w:color w:val="000000"/>
        </w:rPr>
        <w:t>the</w:t>
      </w:r>
      <w:r>
        <w:rPr>
          <w:rFonts w:ascii="Book Antiqua" w:eastAsia="Book Antiqua" w:hAnsi="Book Antiqua" w:cs="Book Antiqua"/>
          <w:color w:val="000000"/>
        </w:rPr>
        <w:t xml:space="preserve"> case of 33-year-old male with advanced gastrointestinal stromal tumor (GIST) </w:t>
      </w:r>
      <w:r w:rsidR="00F7799F">
        <w:rPr>
          <w:rFonts w:ascii="Book Antiqua" w:eastAsia="Book Antiqua" w:hAnsi="Book Antiqua" w:cs="Book Antiqua"/>
          <w:color w:val="000000"/>
        </w:rPr>
        <w:t xml:space="preserve">who </w:t>
      </w:r>
      <w:r>
        <w:rPr>
          <w:rFonts w:ascii="Book Antiqua" w:eastAsia="Book Antiqua" w:hAnsi="Book Antiqua" w:cs="Book Antiqua"/>
          <w:color w:val="000000"/>
        </w:rPr>
        <w:t xml:space="preserve">underwent radical tumor resection after neoadjuvant imatinib therapy. However, a solitary GIST metastasis </w:t>
      </w:r>
      <w:r w:rsidR="00557E2A">
        <w:rPr>
          <w:rFonts w:ascii="Book Antiqua" w:eastAsia="Book Antiqua" w:hAnsi="Book Antiqua" w:cs="Book Antiqua"/>
          <w:color w:val="000000"/>
        </w:rPr>
        <w:t xml:space="preserve">at </w:t>
      </w:r>
      <w:r>
        <w:rPr>
          <w:rFonts w:ascii="Book Antiqua" w:eastAsia="Book Antiqua" w:hAnsi="Book Antiqua" w:cs="Book Antiqua"/>
          <w:color w:val="000000"/>
        </w:rPr>
        <w:t xml:space="preserve">the site of </w:t>
      </w:r>
      <w:r w:rsidR="00557E2A">
        <w:rPr>
          <w:rFonts w:ascii="Book Antiqua" w:eastAsia="Book Antiqua" w:hAnsi="Book Antiqua" w:cs="Book Antiqua"/>
          <w:color w:val="000000"/>
        </w:rPr>
        <w:t xml:space="preserve">a </w:t>
      </w:r>
      <w:r>
        <w:rPr>
          <w:rFonts w:ascii="Book Antiqua" w:eastAsia="Book Antiqua" w:hAnsi="Book Antiqua" w:cs="Book Antiqua"/>
          <w:color w:val="000000"/>
        </w:rPr>
        <w:t xml:space="preserve">TIVAP </w:t>
      </w:r>
      <w:r w:rsidR="00557E2A">
        <w:rPr>
          <w:rFonts w:ascii="Book Antiqua" w:eastAsia="Book Antiqua" w:hAnsi="Book Antiqua" w:cs="Book Antiqua"/>
          <w:color w:val="000000"/>
        </w:rPr>
        <w:t xml:space="preserve">insertion </w:t>
      </w:r>
      <w:r>
        <w:rPr>
          <w:rFonts w:ascii="Book Antiqua" w:eastAsia="Book Antiqua" w:hAnsi="Book Antiqua" w:cs="Book Antiqua"/>
          <w:color w:val="000000"/>
        </w:rPr>
        <w:t xml:space="preserve">developed during adjuvant imatinib treatment. Mutational analysis showed secondary mutation in KIT exon 13 (V564A), which is resistant to imatinib treatment. To our knowledge, this is the first case report of a patient with advanced GIST developing GIST metastasis at the site of </w:t>
      </w:r>
      <w:r w:rsidR="00557E2A">
        <w:rPr>
          <w:rFonts w:ascii="Book Antiqua" w:eastAsia="Book Antiqua" w:hAnsi="Book Antiqua" w:cs="Book Antiqua"/>
          <w:color w:val="000000"/>
        </w:rPr>
        <w:t xml:space="preserve">a </w:t>
      </w:r>
      <w:r>
        <w:rPr>
          <w:rFonts w:ascii="Book Antiqua" w:eastAsia="Book Antiqua" w:hAnsi="Book Antiqua" w:cs="Book Antiqua"/>
          <w:color w:val="000000"/>
        </w:rPr>
        <w:t>TIVAP</w:t>
      </w:r>
      <w:r w:rsidR="00557E2A">
        <w:rPr>
          <w:rFonts w:ascii="Book Antiqua" w:eastAsia="Book Antiqua" w:hAnsi="Book Antiqua" w:cs="Book Antiqua"/>
          <w:color w:val="000000"/>
        </w:rPr>
        <w:t xml:space="preserve"> insertion</w:t>
      </w:r>
      <w:r>
        <w:rPr>
          <w:rFonts w:ascii="Book Antiqua" w:eastAsia="Book Antiqua" w:hAnsi="Book Antiqua" w:cs="Book Antiqua"/>
          <w:color w:val="000000"/>
        </w:rPr>
        <w:t xml:space="preserve">. </w:t>
      </w:r>
    </w:p>
    <w:p w14:paraId="339E4073" w14:textId="77777777" w:rsidR="00A77B3E" w:rsidRDefault="00A77B3E" w:rsidP="00F240F5">
      <w:pPr>
        <w:spacing w:line="360" w:lineRule="auto"/>
        <w:jc w:val="both"/>
      </w:pPr>
    </w:p>
    <w:p w14:paraId="591B4BCD" w14:textId="77777777" w:rsidR="00A77B3E" w:rsidRDefault="007A6D27" w:rsidP="00F240F5">
      <w:pPr>
        <w:spacing w:line="360" w:lineRule="auto"/>
        <w:jc w:val="both"/>
      </w:pPr>
      <w:r>
        <w:rPr>
          <w:rFonts w:ascii="Book Antiqua" w:eastAsia="Book Antiqua" w:hAnsi="Book Antiqua" w:cs="Book Antiqua"/>
          <w:color w:val="000000"/>
        </w:rPr>
        <w:t>CONCLUSION</w:t>
      </w:r>
    </w:p>
    <w:p w14:paraId="0737D104" w14:textId="37D9929F" w:rsidR="00A77B3E" w:rsidRDefault="007A6D27" w:rsidP="00F240F5">
      <w:pPr>
        <w:spacing w:line="360" w:lineRule="auto"/>
        <w:jc w:val="both"/>
      </w:pPr>
      <w:r>
        <w:rPr>
          <w:rFonts w:ascii="Book Antiqua" w:eastAsia="Book Antiqua" w:hAnsi="Book Antiqua" w:cs="Book Antiqua"/>
          <w:color w:val="000000"/>
        </w:rPr>
        <w:t xml:space="preserve">This case highlights that when a patient with advanced, high metastatic GIST </w:t>
      </w:r>
      <w:r w:rsidR="00F7799F">
        <w:rPr>
          <w:rFonts w:ascii="Book Antiqua" w:eastAsia="Book Antiqua" w:hAnsi="Book Antiqua" w:cs="Book Antiqua"/>
          <w:color w:val="000000"/>
        </w:rPr>
        <w:t>requires</w:t>
      </w:r>
      <w:r>
        <w:rPr>
          <w:rFonts w:ascii="Book Antiqua" w:eastAsia="Book Antiqua" w:hAnsi="Book Antiqua" w:cs="Book Antiqua"/>
          <w:color w:val="000000"/>
        </w:rPr>
        <w:t xml:space="preserve"> TIVAP insertion, we should realize that there is a risk of developing tumor metastasis at the site of </w:t>
      </w:r>
      <w:r w:rsidR="00557E2A">
        <w:rPr>
          <w:rFonts w:ascii="Book Antiqua" w:eastAsia="Book Antiqua" w:hAnsi="Book Antiqua" w:cs="Book Antiqua"/>
          <w:color w:val="000000"/>
        </w:rPr>
        <w:t xml:space="preserve">a </w:t>
      </w:r>
      <w:r w:rsidR="00F7799F">
        <w:rPr>
          <w:rFonts w:ascii="Book Antiqua" w:eastAsia="Book Antiqua" w:hAnsi="Book Antiqua" w:cs="Book Antiqua"/>
          <w:color w:val="000000"/>
        </w:rPr>
        <w:t>TIVAP</w:t>
      </w:r>
      <w:r>
        <w:rPr>
          <w:rFonts w:ascii="Book Antiqua" w:eastAsia="Book Antiqua" w:hAnsi="Book Antiqua" w:cs="Book Antiqua"/>
          <w:color w:val="000000"/>
        </w:rPr>
        <w:t xml:space="preserve"> insertion.</w:t>
      </w:r>
    </w:p>
    <w:p w14:paraId="035A3C41" w14:textId="77777777" w:rsidR="00A77B3E" w:rsidRDefault="00A77B3E" w:rsidP="00F240F5">
      <w:pPr>
        <w:spacing w:line="360" w:lineRule="auto"/>
        <w:jc w:val="both"/>
      </w:pPr>
    </w:p>
    <w:p w14:paraId="37C64D20" w14:textId="32849E0D" w:rsidR="00A77B3E" w:rsidRDefault="007A6D27" w:rsidP="00F240F5">
      <w:pPr>
        <w:spacing w:line="360" w:lineRule="auto"/>
        <w:jc w:val="both"/>
      </w:pPr>
      <w:r>
        <w:rPr>
          <w:rFonts w:ascii="Book Antiqua" w:eastAsia="Book Antiqua" w:hAnsi="Book Antiqua" w:cs="Book Antiqua"/>
          <w:b/>
          <w:bCs/>
          <w:color w:val="000000"/>
        </w:rPr>
        <w:t xml:space="preserve">Key </w:t>
      </w:r>
      <w:r w:rsidR="00F34226">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Tumor metastasis; Gastrointestinal stromal tumor; Totally implantable venous access port; Targeted therapy; Mutational analysis; Computed tomography; Case report</w:t>
      </w:r>
    </w:p>
    <w:p w14:paraId="4D89915A" w14:textId="77777777" w:rsidR="00A77B3E" w:rsidRDefault="00A77B3E" w:rsidP="00F240F5">
      <w:pPr>
        <w:spacing w:line="360" w:lineRule="auto"/>
        <w:jc w:val="both"/>
      </w:pPr>
    </w:p>
    <w:p w14:paraId="66088CF7" w14:textId="0D71F87C" w:rsidR="009A0B47" w:rsidRDefault="009A0B47" w:rsidP="00F240F5">
      <w:pPr>
        <w:spacing w:line="360" w:lineRule="auto"/>
        <w:jc w:val="both"/>
        <w:rPr>
          <w:rFonts w:ascii="Book Antiqua" w:hAnsi="Book Antiqua" w:hint="eastAsia"/>
          <w:iCs/>
          <w:lang w:eastAsia="zh-CN"/>
        </w:rPr>
      </w:pPr>
      <w:r w:rsidRPr="009A0B47">
        <w:rPr>
          <w:rFonts w:ascii="Book Antiqua" w:hAnsi="Book Antiqua" w:cs="Book Antiqua" w:hint="eastAsia"/>
          <w:b/>
          <w:color w:val="000000"/>
          <w:lang w:eastAsia="zh-CN"/>
        </w:rPr>
        <w:t xml:space="preserve">Citation: </w:t>
      </w:r>
      <w:r w:rsidR="007A6D27">
        <w:rPr>
          <w:rFonts w:ascii="Book Antiqua" w:eastAsia="Book Antiqua" w:hAnsi="Book Antiqua" w:cs="Book Antiqua"/>
          <w:color w:val="000000"/>
        </w:rPr>
        <w:t xml:space="preserve">Yin XN, Yin Y, Wang J, Shen CY, Chen X, Zhao Z, Cai ZL, Zhang B. Gastrointestinal stromal tumor metastasis at the site of a totally implantable venous access port insertion: A rare case report. </w:t>
      </w:r>
      <w:r w:rsidR="007A6D27">
        <w:rPr>
          <w:rFonts w:ascii="Book Antiqua" w:eastAsia="Book Antiqua" w:hAnsi="Book Antiqua" w:cs="Book Antiqua"/>
          <w:i/>
          <w:iCs/>
          <w:color w:val="000000"/>
        </w:rPr>
        <w:t>World J Clin Cases</w:t>
      </w:r>
      <w:r w:rsidR="007A6D27">
        <w:rPr>
          <w:rFonts w:ascii="Book Antiqua" w:eastAsia="Book Antiqua" w:hAnsi="Book Antiqua" w:cs="Book Antiqua"/>
          <w:color w:val="000000"/>
        </w:rPr>
        <w:t xml:space="preserve"> </w:t>
      </w:r>
      <w:r w:rsidR="00803EB5" w:rsidRPr="00651643">
        <w:rPr>
          <w:rFonts w:ascii="Book Antiqua" w:hAnsi="Book Antiqua"/>
          <w:iCs/>
        </w:rPr>
        <w:t>2020; 8(</w:t>
      </w:r>
      <w:r w:rsidR="00803EB5">
        <w:rPr>
          <w:rFonts w:ascii="Book Antiqua" w:hAnsi="Book Antiqua" w:hint="eastAsia"/>
          <w:iCs/>
          <w:lang w:eastAsia="zh-CN"/>
        </w:rPr>
        <w:t>20</w:t>
      </w:r>
      <w:r w:rsidR="00803EB5" w:rsidRPr="00651643">
        <w:rPr>
          <w:rFonts w:ascii="Book Antiqua" w:hAnsi="Book Antiqua"/>
          <w:iCs/>
        </w:rPr>
        <w:t xml:space="preserve">): </w:t>
      </w:r>
      <w:r w:rsidR="007177E8" w:rsidRPr="007177E8">
        <w:rPr>
          <w:rFonts w:ascii="Book Antiqua" w:hAnsi="Book Antiqua"/>
          <w:iCs/>
        </w:rPr>
        <w:t>5007-5012</w:t>
      </w:r>
      <w:r w:rsidR="00803EB5">
        <w:rPr>
          <w:rFonts w:ascii="Book Antiqua" w:hAnsi="Book Antiqua" w:hint="eastAsia"/>
          <w:iCs/>
        </w:rPr>
        <w:t xml:space="preserve"> </w:t>
      </w:r>
    </w:p>
    <w:p w14:paraId="44001DA0" w14:textId="77777777" w:rsidR="009A0B47" w:rsidRDefault="00803EB5" w:rsidP="00F240F5">
      <w:pPr>
        <w:spacing w:line="360" w:lineRule="auto"/>
        <w:jc w:val="both"/>
        <w:rPr>
          <w:rFonts w:ascii="Book Antiqua" w:hAnsi="Book Antiqua" w:hint="eastAsia"/>
          <w:iCs/>
          <w:lang w:eastAsia="zh-CN"/>
        </w:rPr>
      </w:pPr>
      <w:r w:rsidRPr="009A0B47">
        <w:rPr>
          <w:rFonts w:ascii="Book Antiqua" w:hAnsi="Book Antiqua"/>
          <w:b/>
          <w:iCs/>
        </w:rPr>
        <w:t>URL:</w:t>
      </w:r>
      <w:r w:rsidRPr="00651643">
        <w:rPr>
          <w:rFonts w:ascii="Book Antiqua" w:hAnsi="Book Antiqua"/>
          <w:iCs/>
        </w:rPr>
        <w:t xml:space="preserve"> https://www.wjgnet.com/2307-8960/full/v8/i</w:t>
      </w:r>
      <w:r>
        <w:rPr>
          <w:rFonts w:ascii="Book Antiqua" w:hAnsi="Book Antiqua" w:hint="eastAsia"/>
          <w:iCs/>
          <w:lang w:eastAsia="zh-CN"/>
        </w:rPr>
        <w:t>20</w:t>
      </w:r>
      <w:r w:rsidRPr="00651643">
        <w:rPr>
          <w:rFonts w:ascii="Book Antiqua" w:hAnsi="Book Antiqua"/>
          <w:iCs/>
        </w:rPr>
        <w:t>/</w:t>
      </w:r>
      <w:r w:rsidR="007177E8">
        <w:rPr>
          <w:rFonts w:ascii="Book Antiqua" w:hAnsi="Book Antiqua" w:hint="eastAsia"/>
          <w:iCs/>
          <w:lang w:eastAsia="zh-CN"/>
        </w:rPr>
        <w:t>5007</w:t>
      </w:r>
      <w:r>
        <w:rPr>
          <w:rFonts w:ascii="Book Antiqua" w:hAnsi="Book Antiqua"/>
          <w:iCs/>
        </w:rPr>
        <w:t>.htm</w:t>
      </w:r>
      <w:r>
        <w:rPr>
          <w:rFonts w:ascii="Book Antiqua" w:hAnsi="Book Antiqua" w:hint="eastAsia"/>
          <w:iCs/>
        </w:rPr>
        <w:t xml:space="preserve"> </w:t>
      </w:r>
    </w:p>
    <w:p w14:paraId="319A0389" w14:textId="537D4DFA" w:rsidR="00A77B3E" w:rsidRDefault="00803EB5" w:rsidP="00F240F5">
      <w:pPr>
        <w:spacing w:line="360" w:lineRule="auto"/>
        <w:jc w:val="both"/>
        <w:rPr>
          <w:lang w:eastAsia="zh-CN"/>
        </w:rPr>
      </w:pPr>
      <w:bookmarkStart w:id="0" w:name="_GoBack"/>
      <w:r w:rsidRPr="009A0B47">
        <w:rPr>
          <w:rFonts w:ascii="Book Antiqua" w:hAnsi="Book Antiqua"/>
          <w:b/>
          <w:iCs/>
        </w:rPr>
        <w:t>DOI:</w:t>
      </w:r>
      <w:bookmarkEnd w:id="0"/>
      <w:r w:rsidRPr="00651643">
        <w:rPr>
          <w:rFonts w:ascii="Book Antiqua" w:hAnsi="Book Antiqua"/>
          <w:iCs/>
        </w:rPr>
        <w:t xml:space="preserve"> https://dx.doi.org/10.12998/wjcc.v8.i</w:t>
      </w:r>
      <w:r>
        <w:rPr>
          <w:rFonts w:ascii="Book Antiqua" w:hAnsi="Book Antiqua" w:hint="eastAsia"/>
          <w:iCs/>
          <w:lang w:eastAsia="zh-CN"/>
        </w:rPr>
        <w:t>20</w:t>
      </w:r>
      <w:r w:rsidRPr="00651643">
        <w:rPr>
          <w:rFonts w:ascii="Book Antiqua" w:hAnsi="Book Antiqua"/>
          <w:iCs/>
        </w:rPr>
        <w:t>.</w:t>
      </w:r>
      <w:r w:rsidR="0013627E">
        <w:rPr>
          <w:rFonts w:ascii="Book Antiqua" w:hAnsi="Book Antiqua" w:hint="eastAsia"/>
          <w:iCs/>
          <w:lang w:eastAsia="zh-CN"/>
        </w:rPr>
        <w:t>5007</w:t>
      </w:r>
    </w:p>
    <w:p w14:paraId="7C867070" w14:textId="77777777" w:rsidR="00A77B3E" w:rsidRDefault="00A77B3E" w:rsidP="00F240F5">
      <w:pPr>
        <w:spacing w:line="360" w:lineRule="auto"/>
        <w:jc w:val="both"/>
      </w:pPr>
    </w:p>
    <w:p w14:paraId="4C947871" w14:textId="15EF973B" w:rsidR="00A77B3E" w:rsidRDefault="007A6D27" w:rsidP="00F240F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w:t>
      </w:r>
      <w:r w:rsidR="00F34226">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In this article, we report a man with advanced gastrointestinal stromal tumor (GIST) </w:t>
      </w:r>
      <w:r w:rsidR="00F7799F">
        <w:rPr>
          <w:rFonts w:ascii="Book Antiqua" w:eastAsia="Book Antiqua" w:hAnsi="Book Antiqua" w:cs="Book Antiqua"/>
          <w:color w:val="000000"/>
        </w:rPr>
        <w:t xml:space="preserve">who </w:t>
      </w:r>
      <w:r>
        <w:rPr>
          <w:rFonts w:ascii="Book Antiqua" w:eastAsia="Book Antiqua" w:hAnsi="Book Antiqua" w:cs="Book Antiqua"/>
          <w:color w:val="000000"/>
        </w:rPr>
        <w:t>develop</w:t>
      </w:r>
      <w:r w:rsidR="00F7799F">
        <w:rPr>
          <w:rFonts w:ascii="Book Antiqua" w:eastAsia="Book Antiqua" w:hAnsi="Book Antiqua" w:cs="Book Antiqua"/>
          <w:color w:val="000000"/>
        </w:rPr>
        <w:t>ed</w:t>
      </w:r>
      <w:r>
        <w:rPr>
          <w:rFonts w:ascii="Book Antiqua" w:eastAsia="Book Antiqua" w:hAnsi="Book Antiqua" w:cs="Book Antiqua"/>
          <w:color w:val="000000"/>
        </w:rPr>
        <w:t xml:space="preserve"> GIST metastasis at the site of </w:t>
      </w:r>
      <w:r w:rsidR="00557E2A">
        <w:rPr>
          <w:rFonts w:ascii="Book Antiqua" w:eastAsia="Book Antiqua" w:hAnsi="Book Antiqua" w:cs="Book Antiqua"/>
          <w:color w:val="000000"/>
        </w:rPr>
        <w:t>a</w:t>
      </w:r>
      <w:r>
        <w:rPr>
          <w:rFonts w:ascii="Book Antiqua" w:eastAsia="Book Antiqua" w:hAnsi="Book Antiqua" w:cs="Book Antiqua"/>
          <w:color w:val="000000"/>
        </w:rPr>
        <w:t xml:space="preserve"> totally implantable venous access port (TIVAP)</w:t>
      </w:r>
      <w:r w:rsidR="00557E2A">
        <w:rPr>
          <w:rFonts w:ascii="Book Antiqua" w:eastAsia="Book Antiqua" w:hAnsi="Book Antiqua" w:cs="Book Antiqua"/>
          <w:color w:val="000000"/>
        </w:rPr>
        <w:t xml:space="preserve"> insertion</w:t>
      </w:r>
      <w:r>
        <w:rPr>
          <w:rFonts w:ascii="Book Antiqua" w:eastAsia="Book Antiqua" w:hAnsi="Book Antiqua" w:cs="Book Antiqua"/>
          <w:color w:val="000000"/>
        </w:rPr>
        <w:t xml:space="preserve">. This case highlights that when a patient with advanced, high metastatic GIST </w:t>
      </w:r>
      <w:r w:rsidR="00F7799F">
        <w:rPr>
          <w:rFonts w:ascii="Book Antiqua" w:eastAsia="Book Antiqua" w:hAnsi="Book Antiqua" w:cs="Book Antiqua"/>
          <w:color w:val="000000"/>
        </w:rPr>
        <w:t>requires</w:t>
      </w:r>
      <w:r>
        <w:rPr>
          <w:rFonts w:ascii="Book Antiqua" w:eastAsia="Book Antiqua" w:hAnsi="Book Antiqua" w:cs="Book Antiqua"/>
          <w:color w:val="000000"/>
        </w:rPr>
        <w:t xml:space="preserve"> TIVAP insertion, </w:t>
      </w:r>
      <w:r w:rsidR="00557E2A">
        <w:rPr>
          <w:rFonts w:ascii="Book Antiqua" w:eastAsia="Book Antiqua" w:hAnsi="Book Antiqua" w:cs="Book Antiqua"/>
          <w:color w:val="000000"/>
        </w:rPr>
        <w:t>it</w:t>
      </w:r>
      <w:r>
        <w:rPr>
          <w:rFonts w:ascii="Book Antiqua" w:eastAsia="Book Antiqua" w:hAnsi="Book Antiqua" w:cs="Book Antiqua"/>
          <w:color w:val="000000"/>
        </w:rPr>
        <w:t xml:space="preserve"> should </w:t>
      </w:r>
      <w:r w:rsidR="00557E2A">
        <w:rPr>
          <w:rFonts w:ascii="Book Antiqua" w:eastAsia="Book Antiqua" w:hAnsi="Book Antiqua" w:cs="Book Antiqua"/>
          <w:color w:val="000000"/>
        </w:rPr>
        <w:t xml:space="preserve">be </w:t>
      </w:r>
      <w:r>
        <w:rPr>
          <w:rFonts w:ascii="Book Antiqua" w:eastAsia="Book Antiqua" w:hAnsi="Book Antiqua" w:cs="Book Antiqua"/>
          <w:color w:val="000000"/>
        </w:rPr>
        <w:t>realize</w:t>
      </w:r>
      <w:r w:rsidR="00557E2A">
        <w:rPr>
          <w:rFonts w:ascii="Book Antiqua" w:eastAsia="Book Antiqua" w:hAnsi="Book Antiqua" w:cs="Book Antiqua"/>
          <w:color w:val="000000"/>
        </w:rPr>
        <w:t>d</w:t>
      </w:r>
      <w:r>
        <w:rPr>
          <w:rFonts w:ascii="Book Antiqua" w:eastAsia="Book Antiqua" w:hAnsi="Book Antiqua" w:cs="Book Antiqua"/>
          <w:color w:val="000000"/>
        </w:rPr>
        <w:t xml:space="preserve"> that there is a risk of developing tumor metastasis at the site of </w:t>
      </w:r>
      <w:r w:rsidR="00557E2A">
        <w:rPr>
          <w:rFonts w:ascii="Book Antiqua" w:eastAsia="Book Antiqua" w:hAnsi="Book Antiqua" w:cs="Book Antiqua"/>
          <w:color w:val="000000"/>
        </w:rPr>
        <w:t xml:space="preserve">the </w:t>
      </w:r>
      <w:r>
        <w:rPr>
          <w:rFonts w:ascii="Book Antiqua" w:eastAsia="Book Antiqua" w:hAnsi="Book Antiqua" w:cs="Book Antiqua"/>
          <w:color w:val="000000"/>
        </w:rPr>
        <w:t>TIVAP</w:t>
      </w:r>
      <w:r w:rsidR="00F7799F" w:rsidRPr="00F7799F">
        <w:rPr>
          <w:rFonts w:ascii="Book Antiqua" w:eastAsia="Book Antiqua" w:hAnsi="Book Antiqua" w:cs="Book Antiqua"/>
          <w:color w:val="000000"/>
        </w:rPr>
        <w:t xml:space="preserve"> </w:t>
      </w:r>
      <w:r w:rsidR="00F7799F">
        <w:rPr>
          <w:rFonts w:ascii="Book Antiqua" w:eastAsia="Book Antiqua" w:hAnsi="Book Antiqua" w:cs="Book Antiqua"/>
          <w:color w:val="000000"/>
        </w:rPr>
        <w:t>insertion</w:t>
      </w:r>
      <w:r>
        <w:rPr>
          <w:rFonts w:ascii="Book Antiqua" w:eastAsia="Book Antiqua" w:hAnsi="Book Antiqua" w:cs="Book Antiqua"/>
          <w:color w:val="000000"/>
        </w:rPr>
        <w:t>.</w:t>
      </w:r>
    </w:p>
    <w:p w14:paraId="76DD5559" w14:textId="77777777" w:rsidR="00E21FF4" w:rsidRPr="00E21FF4" w:rsidRDefault="00E21FF4" w:rsidP="00F240F5">
      <w:pPr>
        <w:spacing w:line="360" w:lineRule="auto"/>
        <w:jc w:val="both"/>
        <w:rPr>
          <w:lang w:eastAsia="zh-CN"/>
        </w:rPr>
      </w:pPr>
    </w:p>
    <w:p w14:paraId="2420306B" w14:textId="77777777" w:rsidR="00A77B3E" w:rsidRDefault="00F240F5" w:rsidP="00F240F5">
      <w:pPr>
        <w:spacing w:line="360" w:lineRule="auto"/>
        <w:jc w:val="both"/>
      </w:pPr>
      <w:r>
        <w:br w:type="page"/>
      </w:r>
      <w:r w:rsidR="007A6D27">
        <w:rPr>
          <w:rFonts w:ascii="Book Antiqua" w:eastAsia="Book Antiqua" w:hAnsi="Book Antiqua" w:cs="Book Antiqua"/>
          <w:b/>
          <w:caps/>
          <w:color w:val="000000"/>
          <w:u w:val="single"/>
        </w:rPr>
        <w:t>INTRODUCTION</w:t>
      </w:r>
    </w:p>
    <w:p w14:paraId="01EE40BB" w14:textId="1FEAD9C4" w:rsidR="00A77B3E" w:rsidRDefault="007A6D27" w:rsidP="00F240F5">
      <w:pPr>
        <w:spacing w:line="360" w:lineRule="auto"/>
        <w:jc w:val="both"/>
      </w:pPr>
      <w:r>
        <w:rPr>
          <w:rFonts w:ascii="Book Antiqua" w:eastAsia="Book Antiqua" w:hAnsi="Book Antiqua" w:cs="Book Antiqua"/>
          <w:color w:val="000000"/>
        </w:rPr>
        <w:t>A totally implantable venous access port (TIVAP) is an important device inserted in a large vein, such as the subclavian vein, and is used to inject blood products, parenteral nutrition or antineoplastic chemotherapy that would ravage a smaller peripheral vein. The use of TIVAP is associated with a series of complications including hemorrhage, hemothorax, pneumothorax, venous thrombosis, infection, and arterial puncture or cannulation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occurrence of tumor metastasis at the site of the insertion of a TIVAP is extremely rare. </w:t>
      </w:r>
      <w:r w:rsidR="00A2365A">
        <w:rPr>
          <w:rFonts w:ascii="Book Antiqua" w:eastAsia="Book Antiqua" w:hAnsi="Book Antiqua" w:cs="Book Antiqua"/>
          <w:color w:val="000000"/>
        </w:rPr>
        <w:t>A f</w:t>
      </w:r>
      <w:r>
        <w:rPr>
          <w:rFonts w:ascii="Book Antiqua" w:eastAsia="Book Antiqua" w:hAnsi="Book Antiqua" w:cs="Book Antiqua"/>
          <w:color w:val="000000"/>
        </w:rPr>
        <w:t xml:space="preserve">ew studies </w:t>
      </w:r>
      <w:r w:rsidR="00A2365A">
        <w:rPr>
          <w:rFonts w:ascii="Book Antiqua" w:eastAsia="Book Antiqua" w:hAnsi="Book Antiqua" w:cs="Book Antiqua"/>
          <w:color w:val="000000"/>
        </w:rPr>
        <w:t xml:space="preserve">have </w:t>
      </w:r>
      <w:r>
        <w:rPr>
          <w:rFonts w:ascii="Book Antiqua" w:eastAsia="Book Antiqua" w:hAnsi="Book Antiqua" w:cs="Book Antiqua"/>
          <w:color w:val="000000"/>
        </w:rPr>
        <w:t>report</w:t>
      </w:r>
      <w:r w:rsidR="00A2365A">
        <w:rPr>
          <w:rFonts w:ascii="Book Antiqua" w:eastAsia="Book Antiqua" w:hAnsi="Book Antiqua" w:cs="Book Antiqua"/>
          <w:color w:val="000000"/>
        </w:rPr>
        <w:t>ed</w:t>
      </w:r>
      <w:r>
        <w:rPr>
          <w:rFonts w:ascii="Book Antiqua" w:eastAsia="Book Antiqua" w:hAnsi="Book Antiqua" w:cs="Book Antiqua"/>
          <w:color w:val="000000"/>
        </w:rPr>
        <w:t xml:space="preserve"> patients with head and neck, thoracic or hematological malignant tumor</w:t>
      </w:r>
      <w:r w:rsidR="00A2365A">
        <w:rPr>
          <w:rFonts w:ascii="Book Antiqua" w:eastAsia="Book Antiqua" w:hAnsi="Book Antiqua" w:cs="Book Antiqua"/>
          <w:color w:val="000000"/>
        </w:rPr>
        <w:t>s</w:t>
      </w:r>
      <w:r>
        <w:rPr>
          <w:rFonts w:ascii="Book Antiqua" w:eastAsia="Book Antiqua" w:hAnsi="Book Antiqua" w:cs="Book Antiqua"/>
          <w:color w:val="000000"/>
        </w:rPr>
        <w:t xml:space="preserve"> </w:t>
      </w:r>
      <w:r w:rsidR="00A2365A">
        <w:rPr>
          <w:rFonts w:ascii="Book Antiqua" w:eastAsia="Book Antiqua" w:hAnsi="Book Antiqua" w:cs="Book Antiqua"/>
          <w:color w:val="000000"/>
        </w:rPr>
        <w:t>who</w:t>
      </w:r>
      <w:r>
        <w:rPr>
          <w:rFonts w:ascii="Book Antiqua" w:eastAsia="Book Antiqua" w:hAnsi="Book Antiqua" w:cs="Book Antiqua"/>
          <w:color w:val="000000"/>
        </w:rPr>
        <w:t xml:space="preserve"> develop</w:t>
      </w:r>
      <w:r w:rsidR="00A2365A">
        <w:rPr>
          <w:rFonts w:ascii="Book Antiqua" w:eastAsia="Book Antiqua" w:hAnsi="Book Antiqua" w:cs="Book Antiqua"/>
          <w:color w:val="000000"/>
        </w:rPr>
        <w:t>ed</w:t>
      </w:r>
      <w:r>
        <w:rPr>
          <w:rFonts w:ascii="Book Antiqua" w:eastAsia="Book Antiqua" w:hAnsi="Book Antiqua" w:cs="Book Antiqua"/>
          <w:color w:val="000000"/>
        </w:rPr>
        <w:t xml:space="preserve"> tumor seeding at the site of central venous access</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However, tumor metastases of abdominal solid tumors at the site of the insertion have not been reported thus far. To our knowledge, we report the first case of gastrointestinal stromal tumor (GIST) with metastatic tumor at the site of </w:t>
      </w:r>
      <w:r w:rsidR="00557E2A">
        <w:rPr>
          <w:rFonts w:ascii="Book Antiqua" w:eastAsia="Book Antiqua" w:hAnsi="Book Antiqua" w:cs="Book Antiqua"/>
          <w:color w:val="000000"/>
        </w:rPr>
        <w:t xml:space="preserve">a </w:t>
      </w:r>
      <w:r w:rsidR="00A2365A">
        <w:rPr>
          <w:rFonts w:ascii="Book Antiqua" w:eastAsia="Book Antiqua" w:hAnsi="Book Antiqua" w:cs="Book Antiqua"/>
          <w:color w:val="000000"/>
        </w:rPr>
        <w:t>TIVAP</w:t>
      </w:r>
      <w:r>
        <w:rPr>
          <w:rFonts w:ascii="Book Antiqua" w:eastAsia="Book Antiqua" w:hAnsi="Book Antiqua" w:cs="Book Antiqua"/>
          <w:color w:val="000000"/>
        </w:rPr>
        <w:t xml:space="preserve"> insertion. </w:t>
      </w:r>
    </w:p>
    <w:p w14:paraId="2C3600D4" w14:textId="77777777" w:rsidR="00A77B3E" w:rsidRDefault="00A77B3E" w:rsidP="00F240F5">
      <w:pPr>
        <w:spacing w:line="360" w:lineRule="auto"/>
        <w:jc w:val="both"/>
      </w:pPr>
    </w:p>
    <w:p w14:paraId="2ECA9604" w14:textId="77777777" w:rsidR="00A77B3E" w:rsidRDefault="007A6D27" w:rsidP="00F240F5">
      <w:pPr>
        <w:spacing w:line="360" w:lineRule="auto"/>
        <w:jc w:val="both"/>
      </w:pPr>
      <w:r>
        <w:rPr>
          <w:rFonts w:ascii="Book Antiqua" w:eastAsia="Book Antiqua" w:hAnsi="Book Antiqua" w:cs="Book Antiqua"/>
          <w:b/>
          <w:caps/>
          <w:color w:val="000000"/>
          <w:u w:val="single"/>
        </w:rPr>
        <w:t>CASE PRESENTATION</w:t>
      </w:r>
    </w:p>
    <w:p w14:paraId="2CE9EF7F" w14:textId="77777777" w:rsidR="00A77B3E" w:rsidRDefault="007A6D27" w:rsidP="00F240F5">
      <w:pPr>
        <w:spacing w:line="360" w:lineRule="auto"/>
        <w:jc w:val="both"/>
      </w:pPr>
      <w:r>
        <w:rPr>
          <w:rFonts w:ascii="Book Antiqua" w:eastAsia="Book Antiqua" w:hAnsi="Book Antiqua" w:cs="Book Antiqua"/>
          <w:b/>
          <w:i/>
          <w:color w:val="000000"/>
        </w:rPr>
        <w:t>Chief complaints</w:t>
      </w:r>
    </w:p>
    <w:p w14:paraId="25959F06" w14:textId="77777777" w:rsidR="00A77B3E" w:rsidRDefault="007A6D27" w:rsidP="00F240F5">
      <w:pPr>
        <w:spacing w:line="360" w:lineRule="auto"/>
        <w:jc w:val="both"/>
      </w:pPr>
      <w:r>
        <w:rPr>
          <w:rFonts w:ascii="Book Antiqua" w:eastAsia="Book Antiqua" w:hAnsi="Book Antiqua" w:cs="Book Antiqua"/>
          <w:color w:val="000000"/>
          <w:shd w:val="clear" w:color="auto" w:fill="FFFFFF"/>
        </w:rPr>
        <w:t>A 35-year-old man presented with a painless mass at the right side of the chest wall.</w:t>
      </w:r>
    </w:p>
    <w:p w14:paraId="78027262" w14:textId="77777777" w:rsidR="00A77B3E" w:rsidRDefault="00A77B3E" w:rsidP="00F240F5">
      <w:pPr>
        <w:spacing w:line="360" w:lineRule="auto"/>
        <w:jc w:val="both"/>
      </w:pPr>
    </w:p>
    <w:p w14:paraId="10EB0534" w14:textId="77777777" w:rsidR="00A77B3E" w:rsidRDefault="007A6D27" w:rsidP="00F240F5">
      <w:pPr>
        <w:spacing w:line="360" w:lineRule="auto"/>
        <w:jc w:val="both"/>
      </w:pPr>
      <w:r>
        <w:rPr>
          <w:rFonts w:ascii="Book Antiqua" w:eastAsia="Book Antiqua" w:hAnsi="Book Antiqua" w:cs="Book Antiqua"/>
          <w:b/>
          <w:i/>
          <w:color w:val="000000"/>
        </w:rPr>
        <w:t>History of present illness</w:t>
      </w:r>
    </w:p>
    <w:p w14:paraId="23334913" w14:textId="77777777" w:rsidR="00A77B3E" w:rsidRDefault="007A6D27" w:rsidP="00F240F5">
      <w:pPr>
        <w:spacing w:line="360" w:lineRule="auto"/>
        <w:jc w:val="both"/>
      </w:pPr>
      <w:r>
        <w:rPr>
          <w:rFonts w:ascii="Book Antiqua" w:eastAsia="Book Antiqua" w:hAnsi="Book Antiqua" w:cs="Book Antiqua"/>
          <w:color w:val="000000"/>
        </w:rPr>
        <w:t>One month prior to admission, the patient presented with a raised and painless mass in the right infraclavicular fossa.</w:t>
      </w:r>
    </w:p>
    <w:p w14:paraId="018725B0" w14:textId="77777777" w:rsidR="00A77B3E" w:rsidRDefault="00A77B3E" w:rsidP="00F240F5">
      <w:pPr>
        <w:spacing w:line="360" w:lineRule="auto"/>
        <w:jc w:val="both"/>
      </w:pPr>
    </w:p>
    <w:p w14:paraId="38BD84DD" w14:textId="77777777" w:rsidR="00A77B3E" w:rsidRDefault="007A6D27" w:rsidP="00F240F5">
      <w:pPr>
        <w:spacing w:line="360" w:lineRule="auto"/>
        <w:jc w:val="both"/>
      </w:pPr>
      <w:r>
        <w:rPr>
          <w:rFonts w:ascii="Book Antiqua" w:eastAsia="Book Antiqua" w:hAnsi="Book Antiqua" w:cs="Book Antiqua"/>
          <w:b/>
          <w:i/>
          <w:color w:val="000000"/>
        </w:rPr>
        <w:t>History of past illness</w:t>
      </w:r>
    </w:p>
    <w:p w14:paraId="599EE767" w14:textId="147FA634" w:rsidR="00A77B3E" w:rsidRDefault="007A6D27" w:rsidP="00F240F5">
      <w:pPr>
        <w:spacing w:line="360" w:lineRule="auto"/>
        <w:jc w:val="both"/>
      </w:pPr>
      <w:r>
        <w:rPr>
          <w:rFonts w:ascii="Book Antiqua" w:eastAsia="Book Antiqua" w:hAnsi="Book Antiqua" w:cs="Book Antiqua"/>
          <w:color w:val="000000"/>
        </w:rPr>
        <w:t xml:space="preserve">The patient was diagnosed with a gastric GIST in April 2016. </w:t>
      </w:r>
      <w:r w:rsidR="00A2365A">
        <w:rPr>
          <w:rFonts w:ascii="Book Antiqua" w:eastAsia="Book Antiqua" w:hAnsi="Book Antiqua" w:cs="Book Antiqua"/>
          <w:color w:val="000000"/>
        </w:rPr>
        <w:t>A c</w:t>
      </w:r>
      <w:r>
        <w:rPr>
          <w:rFonts w:ascii="Book Antiqua" w:eastAsia="Book Antiqua" w:hAnsi="Book Antiqua" w:cs="Book Antiqua"/>
          <w:color w:val="000000"/>
        </w:rPr>
        <w:t>omputed tomography (CT) scan showed a huge inhomogeneous soft tissue mass (a</w:t>
      </w:r>
      <w:r w:rsidR="00A2365A">
        <w:rPr>
          <w:rFonts w:ascii="Book Antiqua" w:eastAsia="Book Antiqua" w:hAnsi="Book Antiqua" w:cs="Book Antiqua"/>
          <w:color w:val="000000"/>
        </w:rPr>
        <w:t>pproximately</w:t>
      </w:r>
      <w:r>
        <w:rPr>
          <w:rFonts w:ascii="Book Antiqua" w:eastAsia="Book Antiqua" w:hAnsi="Book Antiqua" w:cs="Book Antiqua"/>
          <w:color w:val="000000"/>
        </w:rPr>
        <w:t xml:space="preserve"> 18.1 cm × 11.9 cm) with central necrosis, occupying the entire left upper abdomen, along with two nodular enhancing liver lesions (the largest lesion </w:t>
      </w:r>
      <w:r w:rsidR="00A2365A">
        <w:rPr>
          <w:rFonts w:ascii="Book Antiqua" w:eastAsia="Book Antiqua" w:hAnsi="Book Antiqua" w:cs="Book Antiqua"/>
          <w:color w:val="000000"/>
        </w:rPr>
        <w:t>was approximately</w:t>
      </w:r>
      <w:r>
        <w:rPr>
          <w:rFonts w:ascii="Book Antiqua" w:eastAsia="Book Antiqua" w:hAnsi="Book Antiqua" w:cs="Book Antiqua"/>
          <w:color w:val="000000"/>
        </w:rPr>
        <w:t xml:space="preserve"> 2.5 cm) suspicious of a metastatic malignancy in the right lobe (Figure 1A</w:t>
      </w:r>
      <w:r w:rsidR="009F199B">
        <w:rPr>
          <w:rFonts w:ascii="Book Antiqua" w:eastAsia="Book Antiqua" w:hAnsi="Book Antiqua" w:cs="Book Antiqua"/>
          <w:color w:val="000000"/>
        </w:rPr>
        <w:t xml:space="preserve"> and </w:t>
      </w:r>
      <w:r>
        <w:rPr>
          <w:rFonts w:ascii="Book Antiqua" w:eastAsia="Book Antiqua" w:hAnsi="Book Antiqua" w:cs="Book Antiqua"/>
          <w:color w:val="000000"/>
        </w:rPr>
        <w:t xml:space="preserve">B). In light of the pathologic diagnosis and the CT scan, the tumor was classified as an advanced GIST. The patient was administered imatinib 400 mg orally daily on a neoadjuvant basis before surgery. After 10 mo of imatinib therapy, the tumor showed </w:t>
      </w:r>
      <w:r w:rsidR="00A2365A">
        <w:rPr>
          <w:rFonts w:ascii="Book Antiqua" w:eastAsia="Book Antiqua" w:hAnsi="Book Antiqua" w:cs="Book Antiqua"/>
          <w:color w:val="000000"/>
        </w:rPr>
        <w:t xml:space="preserve">a </w:t>
      </w:r>
      <w:r>
        <w:rPr>
          <w:rFonts w:ascii="Book Antiqua" w:eastAsia="Book Antiqua" w:hAnsi="Book Antiqua" w:cs="Book Antiqua"/>
          <w:color w:val="000000"/>
        </w:rPr>
        <w:t>marked reduction in size (a</w:t>
      </w:r>
      <w:r w:rsidR="00A2365A">
        <w:rPr>
          <w:rFonts w:ascii="Book Antiqua" w:eastAsia="Book Antiqua" w:hAnsi="Book Antiqua" w:cs="Book Antiqua"/>
          <w:color w:val="000000"/>
        </w:rPr>
        <w:t>pproximately</w:t>
      </w:r>
      <w:r>
        <w:rPr>
          <w:rFonts w:ascii="Book Antiqua" w:eastAsia="Book Antiqua" w:hAnsi="Book Antiqua" w:cs="Book Antiqua"/>
          <w:color w:val="000000"/>
        </w:rPr>
        <w:t xml:space="preserve"> 8.6 cm × 6.7 cm), tumor enhancement at arterial phase CT decreased substantially and hepatic metastatic lesions showed no enhancement (Figure 1C</w:t>
      </w:r>
      <w:r w:rsidR="001A0A72">
        <w:rPr>
          <w:rFonts w:ascii="Book Antiqua" w:eastAsia="Book Antiqua" w:hAnsi="Book Antiqua" w:cs="Book Antiqua"/>
          <w:color w:val="000000"/>
        </w:rPr>
        <w:t xml:space="preserve"> </w:t>
      </w:r>
      <w:r w:rsidR="009F199B">
        <w:rPr>
          <w:rFonts w:ascii="Book Antiqua" w:eastAsia="Book Antiqua" w:hAnsi="Book Antiqua" w:cs="Book Antiqua"/>
          <w:color w:val="000000"/>
        </w:rPr>
        <w:t xml:space="preserve">and </w:t>
      </w:r>
      <w:r>
        <w:rPr>
          <w:rFonts w:ascii="Book Antiqua" w:eastAsia="Book Antiqua" w:hAnsi="Book Antiqua" w:cs="Book Antiqua"/>
          <w:color w:val="000000"/>
        </w:rPr>
        <w:t xml:space="preserve">D). </w:t>
      </w:r>
      <w:r w:rsidR="00A2365A">
        <w:rPr>
          <w:rFonts w:ascii="Book Antiqua" w:eastAsia="Book Antiqua" w:hAnsi="Book Antiqua" w:cs="Book Antiqua"/>
          <w:color w:val="000000"/>
        </w:rPr>
        <w:t>S</w:t>
      </w:r>
      <w:r>
        <w:rPr>
          <w:rFonts w:ascii="Book Antiqua" w:eastAsia="Book Antiqua" w:hAnsi="Book Antiqua" w:cs="Book Antiqua"/>
          <w:color w:val="000000"/>
        </w:rPr>
        <w:t>urg</w:t>
      </w:r>
      <w:r w:rsidR="00A2365A">
        <w:rPr>
          <w:rFonts w:ascii="Book Antiqua" w:eastAsia="Book Antiqua" w:hAnsi="Book Antiqua" w:cs="Book Antiqua"/>
          <w:color w:val="000000"/>
        </w:rPr>
        <w:t xml:space="preserve">ery </w:t>
      </w:r>
      <w:r>
        <w:rPr>
          <w:rFonts w:ascii="Book Antiqua" w:eastAsia="Book Antiqua" w:hAnsi="Book Antiqua" w:cs="Book Antiqua"/>
          <w:color w:val="000000"/>
        </w:rPr>
        <w:t xml:space="preserve">was </w:t>
      </w:r>
      <w:r w:rsidR="00A2365A">
        <w:rPr>
          <w:rFonts w:ascii="Book Antiqua" w:eastAsia="Book Antiqua" w:hAnsi="Book Antiqua" w:cs="Book Antiqua"/>
          <w:color w:val="000000"/>
        </w:rPr>
        <w:t>requested</w:t>
      </w:r>
      <w:r>
        <w:rPr>
          <w:rFonts w:ascii="Book Antiqua" w:eastAsia="Book Antiqua" w:hAnsi="Book Antiqua" w:cs="Book Antiqua"/>
          <w:color w:val="000000"/>
        </w:rPr>
        <w:t xml:space="preserve"> by the patient. At laparotomy, the tumor was located at the gastric fundus and invaded the nearby organs including the spleen, the tail of the pancreas and the left adrenal gland. The tumor was resected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with the spleen, a portion of the stomach and the left adrenal gland, and the tail of the pancreas, and the hepatic metasta</w:t>
      </w:r>
      <w:r w:rsidR="00A2365A">
        <w:rPr>
          <w:rFonts w:ascii="Book Antiqua" w:eastAsia="Book Antiqua" w:hAnsi="Book Antiqua" w:cs="Book Antiqua"/>
          <w:color w:val="000000"/>
        </w:rPr>
        <w:t>tic</w:t>
      </w:r>
      <w:r>
        <w:rPr>
          <w:rFonts w:ascii="Book Antiqua" w:eastAsia="Book Antiqua" w:hAnsi="Book Antiqua" w:cs="Book Antiqua"/>
          <w:color w:val="000000"/>
        </w:rPr>
        <w:t xml:space="preserve"> tumors were also removed according to the findings of intraoperative ultrasonography, achieving an R0 resection. The pathological report of the resected specimen showed a tumor mass with diffuse hyalinization, fibrosis and focal hemorrhage and necrosis. Only a few spindle cells </w:t>
      </w:r>
      <w:r w:rsidR="00A2365A">
        <w:rPr>
          <w:rFonts w:ascii="Book Antiqua" w:eastAsia="Book Antiqua" w:hAnsi="Book Antiqua" w:cs="Book Antiqua"/>
          <w:color w:val="000000"/>
        </w:rPr>
        <w:t xml:space="preserve">were </w:t>
      </w:r>
      <w:r>
        <w:rPr>
          <w:rFonts w:ascii="Book Antiqua" w:eastAsia="Book Antiqua" w:hAnsi="Book Antiqua" w:cs="Book Antiqua"/>
          <w:color w:val="000000"/>
        </w:rPr>
        <w:t xml:space="preserve">distributed in the tumor lesion and the cells were positive for CD117 and DOG-1 (Figure 2). Unfortunately, the patient </w:t>
      </w:r>
      <w:r w:rsidR="00A2365A">
        <w:rPr>
          <w:rFonts w:ascii="Book Antiqua" w:eastAsia="Book Antiqua" w:hAnsi="Book Antiqua" w:cs="Book Antiqua"/>
          <w:color w:val="000000"/>
        </w:rPr>
        <w:t>developed a</w:t>
      </w:r>
      <w:r>
        <w:rPr>
          <w:rFonts w:ascii="Book Antiqua" w:eastAsia="Book Antiqua" w:hAnsi="Book Antiqua" w:cs="Book Antiqua"/>
          <w:color w:val="000000"/>
        </w:rPr>
        <w:t xml:space="preserve"> gastric fistula postoperatively, and a single lumen 16 G TIVAP was inserted into the right subclavian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A2365A">
        <w:rPr>
          <w:rFonts w:ascii="Book Antiqua" w:eastAsia="Book Antiqua" w:hAnsi="Book Antiqua" w:cs="Book Antiqua"/>
          <w:color w:val="000000"/>
        </w:rPr>
        <w:t xml:space="preserve">the </w:t>
      </w:r>
      <w:r>
        <w:rPr>
          <w:rFonts w:ascii="Book Antiqua" w:eastAsia="Book Antiqua" w:hAnsi="Book Antiqua" w:cs="Book Antiqua"/>
          <w:color w:val="000000"/>
        </w:rPr>
        <w:t xml:space="preserve">Seldinger technique, with the aim of prolonged parenteral nutrition. Furthermore, an intestinal feeding tube was placed for enteral nutrition support. One month later, the patient was treated with total enteral nutrition and the TIVAP was removed. Two months after the operation, </w:t>
      </w:r>
      <w:r w:rsidR="00A2365A">
        <w:rPr>
          <w:rFonts w:ascii="Book Antiqua" w:eastAsia="Book Antiqua" w:hAnsi="Book Antiqua" w:cs="Book Antiqua"/>
          <w:color w:val="000000"/>
        </w:rPr>
        <w:t xml:space="preserve">the </w:t>
      </w:r>
      <w:r>
        <w:rPr>
          <w:rFonts w:ascii="Book Antiqua" w:eastAsia="Book Antiqua" w:hAnsi="Book Antiqua" w:cs="Book Antiqua"/>
          <w:color w:val="000000"/>
        </w:rPr>
        <w:t>gastric leak healed, oral feeding and imatinib treatment (400 mg/d) were resumed and the drains removed. The patient had no other significant past history or family history.</w:t>
      </w:r>
    </w:p>
    <w:p w14:paraId="40204CE9" w14:textId="77777777" w:rsidR="00A77B3E" w:rsidRDefault="00A77B3E" w:rsidP="00F240F5">
      <w:pPr>
        <w:spacing w:line="360" w:lineRule="auto"/>
        <w:jc w:val="both"/>
      </w:pPr>
    </w:p>
    <w:p w14:paraId="32334F1A" w14:textId="77777777" w:rsidR="00A77B3E" w:rsidRDefault="007A6D27" w:rsidP="00F240F5">
      <w:pPr>
        <w:spacing w:line="360" w:lineRule="auto"/>
        <w:jc w:val="both"/>
      </w:pPr>
      <w:r>
        <w:rPr>
          <w:rFonts w:ascii="Book Antiqua" w:eastAsia="Book Antiqua" w:hAnsi="Book Antiqua" w:cs="Book Antiqua"/>
          <w:b/>
          <w:i/>
          <w:color w:val="000000"/>
        </w:rPr>
        <w:t>Physical examination</w:t>
      </w:r>
    </w:p>
    <w:p w14:paraId="756E64B8" w14:textId="7925B311" w:rsidR="00A77B3E" w:rsidRDefault="00A2365A" w:rsidP="00F240F5">
      <w:pPr>
        <w:spacing w:line="360" w:lineRule="auto"/>
        <w:jc w:val="both"/>
      </w:pPr>
      <w:r>
        <w:rPr>
          <w:rFonts w:ascii="Book Antiqua" w:eastAsia="Book Antiqua" w:hAnsi="Book Antiqua" w:cs="Book Antiqua"/>
          <w:color w:val="000000"/>
          <w:shd w:val="clear" w:color="auto" w:fill="FFFFFF"/>
        </w:rPr>
        <w:t>P</w:t>
      </w:r>
      <w:r w:rsidR="007A6D27">
        <w:rPr>
          <w:rFonts w:ascii="Book Antiqua" w:eastAsia="Book Antiqua" w:hAnsi="Book Antiqua" w:cs="Book Antiqua"/>
          <w:color w:val="000000"/>
          <w:shd w:val="clear" w:color="auto" w:fill="FFFFFF"/>
        </w:rPr>
        <w:t>hysical examination revealed a raised and painless mass (a</w:t>
      </w:r>
      <w:r>
        <w:rPr>
          <w:rFonts w:ascii="Book Antiqua" w:eastAsia="Book Antiqua" w:hAnsi="Book Antiqua" w:cs="Book Antiqua"/>
          <w:color w:val="000000"/>
          <w:shd w:val="clear" w:color="auto" w:fill="FFFFFF"/>
        </w:rPr>
        <w:t>pproximately</w:t>
      </w:r>
      <w:r w:rsidR="007A6D27">
        <w:rPr>
          <w:rFonts w:ascii="Book Antiqua" w:eastAsia="Book Antiqua" w:hAnsi="Book Antiqua" w:cs="Book Antiqua"/>
          <w:color w:val="000000"/>
          <w:shd w:val="clear" w:color="auto" w:fill="FFFFFF"/>
        </w:rPr>
        <w:t xml:space="preserve"> 6</w:t>
      </w:r>
      <w:r w:rsidR="007A6D27">
        <w:rPr>
          <w:rFonts w:ascii="Book Antiqua" w:eastAsia="Book Antiqua" w:hAnsi="Book Antiqua" w:cs="Book Antiqua"/>
          <w:color w:val="000000"/>
        </w:rPr>
        <w:t xml:space="preserve"> cm × </w:t>
      </w:r>
      <w:r w:rsidR="007A6D27">
        <w:rPr>
          <w:rFonts w:ascii="Book Antiqua" w:eastAsia="Book Antiqua" w:hAnsi="Book Antiqua" w:cs="Book Antiqua"/>
          <w:color w:val="000000"/>
          <w:shd w:val="clear" w:color="auto" w:fill="FFFFFF"/>
        </w:rPr>
        <w:t>5 cm) on the right side of the chest wall.</w:t>
      </w:r>
    </w:p>
    <w:p w14:paraId="271AE39A" w14:textId="77777777" w:rsidR="00A77B3E" w:rsidRDefault="00A77B3E" w:rsidP="00F240F5">
      <w:pPr>
        <w:spacing w:line="360" w:lineRule="auto"/>
        <w:jc w:val="both"/>
      </w:pPr>
    </w:p>
    <w:p w14:paraId="4D9A4F0E" w14:textId="77777777" w:rsidR="00A77B3E" w:rsidRDefault="007A6D27" w:rsidP="00F240F5">
      <w:pPr>
        <w:spacing w:line="360" w:lineRule="auto"/>
        <w:jc w:val="both"/>
      </w:pPr>
      <w:r>
        <w:rPr>
          <w:rFonts w:ascii="Book Antiqua" w:eastAsia="Book Antiqua" w:hAnsi="Book Antiqua" w:cs="Book Antiqua"/>
          <w:b/>
          <w:i/>
          <w:color w:val="000000"/>
        </w:rPr>
        <w:t>Laboratory examinations</w:t>
      </w:r>
    </w:p>
    <w:p w14:paraId="33D7AA32" w14:textId="36537CD3" w:rsidR="00A77B3E" w:rsidRDefault="007A6D27" w:rsidP="00F240F5">
      <w:pPr>
        <w:spacing w:line="360" w:lineRule="auto"/>
        <w:jc w:val="both"/>
      </w:pPr>
      <w:r>
        <w:rPr>
          <w:rFonts w:ascii="Book Antiqua" w:eastAsia="Book Antiqua" w:hAnsi="Book Antiqua" w:cs="Book Antiqua"/>
          <w:color w:val="000000"/>
          <w:shd w:val="clear" w:color="auto" w:fill="FFFFFF"/>
        </w:rPr>
        <w:t xml:space="preserve">Except for </w:t>
      </w:r>
      <w:r w:rsidR="00A2365A">
        <w:rPr>
          <w:rFonts w:ascii="Book Antiqua" w:eastAsia="Book Antiqua" w:hAnsi="Book Antiqua" w:cs="Book Antiqua"/>
          <w:color w:val="000000"/>
          <w:shd w:val="clear" w:color="auto" w:fill="FFFFFF"/>
        </w:rPr>
        <w:t xml:space="preserve">below normal </w:t>
      </w:r>
      <w:r>
        <w:rPr>
          <w:rFonts w:ascii="Book Antiqua" w:eastAsia="Book Antiqua" w:hAnsi="Book Antiqua" w:cs="Book Antiqua"/>
          <w:color w:val="000000"/>
          <w:shd w:val="clear" w:color="auto" w:fill="FFFFFF"/>
        </w:rPr>
        <w:t>average albumin</w:t>
      </w:r>
      <w:r w:rsidR="00A2365A">
        <w:rPr>
          <w:rFonts w:ascii="Book Antiqua" w:eastAsia="Book Antiqua" w:hAnsi="Book Antiqua" w:cs="Book Antiqua"/>
          <w:color w:val="000000"/>
          <w:shd w:val="clear" w:color="auto" w:fill="FFFFFF"/>
        </w:rPr>
        <w:t xml:space="preserve"> level</w:t>
      </w:r>
      <w:r>
        <w:rPr>
          <w:rFonts w:ascii="Book Antiqua" w:eastAsia="Book Antiqua" w:hAnsi="Book Antiqua" w:cs="Book Antiqua"/>
          <w:color w:val="000000"/>
          <w:shd w:val="clear" w:color="auto" w:fill="FFFFFF"/>
        </w:rPr>
        <w:t>, other laboratory examinations were normal.</w:t>
      </w:r>
    </w:p>
    <w:p w14:paraId="73A91F65" w14:textId="77777777" w:rsidR="00A77B3E" w:rsidRDefault="00A77B3E" w:rsidP="00F240F5">
      <w:pPr>
        <w:spacing w:line="360" w:lineRule="auto"/>
        <w:jc w:val="both"/>
      </w:pPr>
    </w:p>
    <w:p w14:paraId="3A2660B9" w14:textId="77777777" w:rsidR="00A77B3E" w:rsidRDefault="007A6D27" w:rsidP="00F240F5">
      <w:pPr>
        <w:spacing w:line="360" w:lineRule="auto"/>
        <w:jc w:val="both"/>
      </w:pPr>
      <w:r>
        <w:rPr>
          <w:rFonts w:ascii="Book Antiqua" w:eastAsia="Book Antiqua" w:hAnsi="Book Antiqua" w:cs="Book Antiqua"/>
          <w:b/>
          <w:i/>
          <w:color w:val="000000"/>
        </w:rPr>
        <w:t>Imaging examinations</w:t>
      </w:r>
    </w:p>
    <w:p w14:paraId="6D597CEF" w14:textId="1886D40B" w:rsidR="00A77B3E" w:rsidRDefault="007A6D27" w:rsidP="00F240F5">
      <w:pPr>
        <w:spacing w:line="360" w:lineRule="auto"/>
        <w:jc w:val="both"/>
      </w:pPr>
      <w:r>
        <w:rPr>
          <w:rFonts w:ascii="Book Antiqua" w:eastAsia="Book Antiqua" w:hAnsi="Book Antiqua" w:cs="Book Antiqua"/>
          <w:color w:val="000000"/>
        </w:rPr>
        <w:t>A raised mass (a</w:t>
      </w:r>
      <w:r w:rsidR="00A2365A">
        <w:rPr>
          <w:rFonts w:ascii="Book Antiqua" w:eastAsia="Book Antiqua" w:hAnsi="Book Antiqua" w:cs="Book Antiqua"/>
          <w:color w:val="000000"/>
        </w:rPr>
        <w:t>pproximately</w:t>
      </w:r>
      <w:r>
        <w:rPr>
          <w:rFonts w:ascii="Book Antiqua" w:eastAsia="Book Antiqua" w:hAnsi="Book Antiqua" w:cs="Book Antiqua"/>
          <w:color w:val="000000"/>
        </w:rPr>
        <w:t xml:space="preserve"> 6 cm × 5 cm) was noted on the right side of the chest wall, which </w:t>
      </w:r>
      <w:r w:rsidR="00A2365A">
        <w:rPr>
          <w:rFonts w:ascii="Book Antiqua" w:eastAsia="Book Antiqua" w:hAnsi="Book Antiqua" w:cs="Book Antiqua"/>
          <w:color w:val="000000"/>
        </w:rPr>
        <w:t>was</w:t>
      </w:r>
      <w:r>
        <w:rPr>
          <w:rFonts w:ascii="Book Antiqua" w:eastAsia="Book Antiqua" w:hAnsi="Book Antiqua" w:cs="Book Antiqua"/>
          <w:color w:val="000000"/>
        </w:rPr>
        <w:t xml:space="preserve"> around the site of </w:t>
      </w:r>
      <w:r w:rsidR="00557E2A">
        <w:rPr>
          <w:rFonts w:ascii="Book Antiqua" w:eastAsia="Book Antiqua" w:hAnsi="Book Antiqua" w:cs="Book Antiqua"/>
          <w:color w:val="000000"/>
        </w:rPr>
        <w:t xml:space="preserve">the </w:t>
      </w:r>
      <w:r w:rsidR="00A2365A">
        <w:rPr>
          <w:rFonts w:ascii="Book Antiqua" w:eastAsia="Book Antiqua" w:hAnsi="Book Antiqua" w:cs="Book Antiqua"/>
          <w:color w:val="000000"/>
        </w:rPr>
        <w:t xml:space="preserve">TIVAP </w:t>
      </w:r>
      <w:r>
        <w:rPr>
          <w:rFonts w:ascii="Book Antiqua" w:eastAsia="Book Antiqua" w:hAnsi="Book Antiqua" w:cs="Book Antiqua"/>
          <w:color w:val="000000"/>
        </w:rPr>
        <w:t xml:space="preserve">insertion. </w:t>
      </w:r>
      <w:r w:rsidR="004C6962">
        <w:rPr>
          <w:rFonts w:ascii="Book Antiqua" w:eastAsia="Book Antiqua" w:hAnsi="Book Antiqua" w:cs="Book Antiqua"/>
          <w:color w:val="000000"/>
        </w:rPr>
        <w:t>A</w:t>
      </w:r>
      <w:r>
        <w:rPr>
          <w:rFonts w:ascii="Book Antiqua" w:eastAsia="Book Antiqua" w:hAnsi="Book Antiqua" w:cs="Book Antiqua"/>
          <w:color w:val="000000"/>
        </w:rPr>
        <w:t xml:space="preserve"> CT scan of the chest showed an inhomogeneous mass (a</w:t>
      </w:r>
      <w:r w:rsidR="004C6962">
        <w:rPr>
          <w:rFonts w:ascii="Book Antiqua" w:eastAsia="Book Antiqua" w:hAnsi="Book Antiqua" w:cs="Book Antiqua"/>
          <w:color w:val="000000"/>
        </w:rPr>
        <w:t>pproximately</w:t>
      </w:r>
      <w:r>
        <w:rPr>
          <w:rFonts w:ascii="Book Antiqua" w:eastAsia="Book Antiqua" w:hAnsi="Book Antiqua" w:cs="Book Antiqua"/>
          <w:color w:val="000000"/>
        </w:rPr>
        <w:t xml:space="preserve"> 5.7 cm × 4.6 cm) in the right infraclavicular fossa, which was supplied by the right subclavian artery and pressed the right subclavian and brachiocephalic veins (Figure 3). A magnetic resonance imaging (MRI) examination demonstrated a mixed signal mass without involvement of surrounding soft tissue and bone (Figure 4). No radiological or clinical evidence of abdominal relapse or metastasis were found </w:t>
      </w:r>
      <w:r w:rsidR="004C6962">
        <w:rPr>
          <w:rFonts w:ascii="Book Antiqua" w:eastAsia="Book Antiqua" w:hAnsi="Book Antiqua" w:cs="Book Antiqua"/>
          <w:color w:val="000000"/>
        </w:rPr>
        <w:t>on</w:t>
      </w:r>
      <w:r>
        <w:rPr>
          <w:rFonts w:ascii="Book Antiqua" w:eastAsia="Book Antiqua" w:hAnsi="Book Antiqua" w:cs="Book Antiqua"/>
          <w:color w:val="000000"/>
        </w:rPr>
        <w:t xml:space="preserve"> abdominal CT. </w:t>
      </w:r>
    </w:p>
    <w:p w14:paraId="1D1AD3F6" w14:textId="77777777" w:rsidR="00A77B3E" w:rsidRPr="00F240F5" w:rsidRDefault="00A77B3E" w:rsidP="00F240F5">
      <w:pPr>
        <w:spacing w:line="360" w:lineRule="auto"/>
        <w:jc w:val="both"/>
        <w:rPr>
          <w:lang w:eastAsia="zh-CN"/>
        </w:rPr>
      </w:pPr>
    </w:p>
    <w:p w14:paraId="29425704" w14:textId="77777777" w:rsidR="00A77B3E" w:rsidRDefault="007A6D27" w:rsidP="00F240F5">
      <w:pPr>
        <w:spacing w:line="360" w:lineRule="auto"/>
        <w:jc w:val="both"/>
      </w:pPr>
      <w:r>
        <w:rPr>
          <w:rFonts w:ascii="Book Antiqua" w:eastAsia="Book Antiqua" w:hAnsi="Book Antiqua" w:cs="Book Antiqua"/>
          <w:b/>
          <w:caps/>
          <w:color w:val="000000"/>
          <w:u w:val="single"/>
        </w:rPr>
        <w:t>FINAL DIAGNOSIS</w:t>
      </w:r>
    </w:p>
    <w:p w14:paraId="7110F557" w14:textId="77777777" w:rsidR="00A77B3E" w:rsidRDefault="007A6D27" w:rsidP="00F240F5">
      <w:pPr>
        <w:spacing w:line="360" w:lineRule="auto"/>
        <w:jc w:val="both"/>
      </w:pPr>
      <w:r>
        <w:rPr>
          <w:rFonts w:ascii="Book Antiqua" w:eastAsia="Book Antiqua" w:hAnsi="Book Antiqua" w:cs="Book Antiqua"/>
          <w:color w:val="000000"/>
        </w:rPr>
        <w:t>The final diagnosis of this infraclavicular mass was metastatic GIST.</w:t>
      </w:r>
    </w:p>
    <w:p w14:paraId="32A0EFFC" w14:textId="77777777" w:rsidR="00A77B3E" w:rsidRDefault="00A77B3E" w:rsidP="00F240F5">
      <w:pPr>
        <w:spacing w:line="360" w:lineRule="auto"/>
        <w:jc w:val="both"/>
      </w:pPr>
    </w:p>
    <w:p w14:paraId="6323673E" w14:textId="77777777" w:rsidR="00A77B3E" w:rsidRDefault="007A6D27" w:rsidP="00F240F5">
      <w:pPr>
        <w:spacing w:line="360" w:lineRule="auto"/>
        <w:jc w:val="both"/>
      </w:pPr>
      <w:r>
        <w:rPr>
          <w:rFonts w:ascii="Book Antiqua" w:eastAsia="Book Antiqua" w:hAnsi="Book Antiqua" w:cs="Book Antiqua"/>
          <w:b/>
          <w:caps/>
          <w:color w:val="000000"/>
          <w:u w:val="single"/>
        </w:rPr>
        <w:t>TREATMENT</w:t>
      </w:r>
    </w:p>
    <w:p w14:paraId="603CA76A" w14:textId="79022BA5" w:rsidR="00A77B3E" w:rsidRDefault="007A6D27" w:rsidP="00F240F5">
      <w:pPr>
        <w:spacing w:line="360" w:lineRule="auto"/>
        <w:jc w:val="both"/>
      </w:pPr>
      <w:r>
        <w:rPr>
          <w:rFonts w:ascii="Book Antiqua" w:eastAsia="Book Antiqua" w:hAnsi="Book Antiqua" w:cs="Book Antiqua"/>
          <w:color w:val="000000"/>
        </w:rPr>
        <w:t xml:space="preserve">Histopathology from core needle biopsy of the mass confirmed a metastatic GIST (Figure 5). Subsequently, the patient underwent radical resection of the metastatic infraclavicular GIST. Mutational analysis showed secondary mutation in KIT exon 13 (V564A), which is resistant to imatinib treatment. Switching </w:t>
      </w:r>
      <w:r w:rsidR="004C6962">
        <w:rPr>
          <w:rFonts w:ascii="Book Antiqua" w:eastAsia="Book Antiqua" w:hAnsi="Book Antiqua" w:cs="Book Antiqua"/>
          <w:color w:val="000000"/>
        </w:rPr>
        <w:t xml:space="preserve">to </w:t>
      </w:r>
      <w:r>
        <w:rPr>
          <w:rFonts w:ascii="Book Antiqua" w:eastAsia="Book Antiqua" w:hAnsi="Book Antiqua" w:cs="Book Antiqua"/>
          <w:color w:val="000000"/>
        </w:rPr>
        <w:t xml:space="preserve">sunitinib treatment was suggested to the patient. The patient started sunitinib (37.5 mg/d) treatment after metastasectomy. </w:t>
      </w:r>
    </w:p>
    <w:p w14:paraId="11EF6AF2" w14:textId="77777777" w:rsidR="00A77B3E" w:rsidRDefault="00A77B3E" w:rsidP="00F240F5">
      <w:pPr>
        <w:spacing w:line="360" w:lineRule="auto"/>
        <w:jc w:val="both"/>
      </w:pPr>
    </w:p>
    <w:p w14:paraId="28E68CCC" w14:textId="77777777" w:rsidR="00A77B3E" w:rsidRDefault="007A6D27" w:rsidP="00F240F5">
      <w:pPr>
        <w:spacing w:line="360" w:lineRule="auto"/>
        <w:jc w:val="both"/>
      </w:pPr>
      <w:r>
        <w:rPr>
          <w:rFonts w:ascii="Book Antiqua" w:eastAsia="Book Antiqua" w:hAnsi="Book Antiqua" w:cs="Book Antiqua"/>
          <w:b/>
          <w:caps/>
          <w:color w:val="000000"/>
          <w:u w:val="single"/>
        </w:rPr>
        <w:t>OUTCOME AND FOLLOW-UP</w:t>
      </w:r>
    </w:p>
    <w:p w14:paraId="2FB44182" w14:textId="078161D2" w:rsidR="00A77B3E" w:rsidRDefault="007A6D27" w:rsidP="00F240F5">
      <w:pPr>
        <w:spacing w:line="360" w:lineRule="auto"/>
        <w:jc w:val="both"/>
      </w:pPr>
      <w:r>
        <w:rPr>
          <w:rFonts w:ascii="Book Antiqua" w:eastAsia="Book Antiqua" w:hAnsi="Book Antiqua" w:cs="Book Antiqua"/>
          <w:color w:val="000000"/>
        </w:rPr>
        <w:t>A postoperative CT examination showed no residual disease. The patient recovered well and has not yet shown signs of recurrence after 14 mo of clinical follow</w:t>
      </w:r>
      <w:r w:rsidR="004C6962">
        <w:rPr>
          <w:rFonts w:ascii="Book Antiqua" w:eastAsia="Book Antiqua" w:hAnsi="Book Antiqua" w:cs="Book Antiqua"/>
          <w:color w:val="000000"/>
        </w:rPr>
        <w:t>-</w:t>
      </w:r>
      <w:r>
        <w:rPr>
          <w:rFonts w:ascii="Book Antiqua" w:eastAsia="Book Antiqua" w:hAnsi="Book Antiqua" w:cs="Book Antiqua"/>
          <w:color w:val="000000"/>
        </w:rPr>
        <w:t>up.</w:t>
      </w:r>
    </w:p>
    <w:p w14:paraId="3141D213" w14:textId="77777777" w:rsidR="00A77B3E" w:rsidRDefault="00A77B3E" w:rsidP="00F240F5">
      <w:pPr>
        <w:spacing w:line="360" w:lineRule="auto"/>
        <w:jc w:val="both"/>
      </w:pPr>
    </w:p>
    <w:p w14:paraId="4524DF12" w14:textId="77777777" w:rsidR="00A77B3E" w:rsidRDefault="007A6D27" w:rsidP="00F240F5">
      <w:pPr>
        <w:spacing w:line="360" w:lineRule="auto"/>
        <w:jc w:val="both"/>
      </w:pPr>
      <w:r>
        <w:rPr>
          <w:rFonts w:ascii="Book Antiqua" w:eastAsia="Book Antiqua" w:hAnsi="Book Antiqua" w:cs="Book Antiqua"/>
          <w:b/>
          <w:caps/>
          <w:color w:val="000000"/>
          <w:u w:val="single"/>
        </w:rPr>
        <w:t>DISCUSSION</w:t>
      </w:r>
    </w:p>
    <w:p w14:paraId="328E89E9" w14:textId="02BFC2BA" w:rsidR="00A77B3E" w:rsidRDefault="007A6D27" w:rsidP="00F240F5">
      <w:pPr>
        <w:spacing w:line="360" w:lineRule="auto"/>
        <w:jc w:val="both"/>
      </w:pPr>
      <w:r>
        <w:rPr>
          <w:rFonts w:ascii="Book Antiqua" w:eastAsia="Book Antiqua" w:hAnsi="Book Antiqua" w:cs="Book Antiqua"/>
          <w:color w:val="000000"/>
        </w:rPr>
        <w:t xml:space="preserve">GIST is the most common mesenchymal tumor originating from the interstitial cells of Cajal </w:t>
      </w:r>
      <w:r w:rsidR="004C6962">
        <w:rPr>
          <w:rFonts w:ascii="Book Antiqua" w:eastAsia="Book Antiqua" w:hAnsi="Book Antiqua" w:cs="Book Antiqua"/>
          <w:color w:val="000000"/>
        </w:rPr>
        <w:t>in</w:t>
      </w:r>
      <w:r>
        <w:rPr>
          <w:rFonts w:ascii="Book Antiqua" w:eastAsia="Book Antiqua" w:hAnsi="Book Antiqua" w:cs="Book Antiqua"/>
          <w:color w:val="000000"/>
        </w:rPr>
        <w:t xml:space="preserve"> the digestive tract. GIST can occur anywhere in the gastrointestinal tract, but is most common in the stomach (65%), small intestine (25%), colon and rectum (5</w:t>
      </w:r>
      <w:r w:rsidR="00F240F5">
        <w:rPr>
          <w:rFonts w:ascii="Book Antiqua" w:hAnsi="Book Antiqua" w:cs="Book Antiqua" w:hint="eastAsia"/>
          <w:color w:val="000000"/>
          <w:lang w:eastAsia="zh-CN"/>
        </w:rPr>
        <w:t>%</w:t>
      </w:r>
      <w:r>
        <w:rPr>
          <w:rFonts w:ascii="Book Antiqua" w:eastAsia="Book Antiqua" w:hAnsi="Book Antiqua" w:cs="Book Antiqua"/>
          <w:color w:val="000000"/>
        </w:rPr>
        <w:t>-10%) and esophagus (5%)</w:t>
      </w:r>
      <w:r>
        <w:rPr>
          <w:rFonts w:ascii="Book Antiqua" w:eastAsia="Book Antiqua" w:hAnsi="Book Antiqua" w:cs="Book Antiqua"/>
          <w:color w:val="000000"/>
          <w:vertAlign w:val="superscript"/>
        </w:rPr>
        <w:t>[7]</w:t>
      </w:r>
      <w:r>
        <w:rPr>
          <w:rFonts w:ascii="Book Antiqua" w:eastAsia="Book Antiqua" w:hAnsi="Book Antiqua" w:cs="Book Antiqua"/>
          <w:color w:val="000000"/>
        </w:rPr>
        <w:t>. Almost all GIST</w:t>
      </w:r>
      <w:r w:rsidR="004C6962">
        <w:rPr>
          <w:rFonts w:ascii="Book Antiqua" w:eastAsia="Book Antiqua" w:hAnsi="Book Antiqua" w:cs="Book Antiqua"/>
          <w:color w:val="000000"/>
        </w:rPr>
        <w:t>s</w:t>
      </w:r>
      <w:r>
        <w:rPr>
          <w:rFonts w:ascii="Book Antiqua" w:eastAsia="Book Antiqua" w:hAnsi="Book Antiqua" w:cs="Book Antiqua"/>
          <w:color w:val="000000"/>
        </w:rPr>
        <w:t xml:space="preserve"> ha</w:t>
      </w:r>
      <w:r w:rsidR="004C6962">
        <w:rPr>
          <w:rFonts w:ascii="Book Antiqua" w:eastAsia="Book Antiqua" w:hAnsi="Book Antiqua" w:cs="Book Antiqua"/>
          <w:color w:val="000000"/>
        </w:rPr>
        <w:t>ve</w:t>
      </w:r>
      <w:r>
        <w:rPr>
          <w:rFonts w:ascii="Book Antiqua" w:eastAsia="Book Antiqua" w:hAnsi="Book Antiqua" w:cs="Book Antiqua"/>
          <w:color w:val="000000"/>
        </w:rPr>
        <w:t xml:space="preserve"> activating mutations of KIT or PDGFRA. Metastases are usually seen in the liver and peritoneum. Lymph node and extra-abdominal metastases are rare and sites include bone, lung, skin and soft tissue</w:t>
      </w:r>
      <w:r w:rsidR="00F240F5">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However, tumor seeding at the site of </w:t>
      </w:r>
      <w:r w:rsidR="004F02CB">
        <w:rPr>
          <w:rFonts w:ascii="Book Antiqua" w:eastAsia="Book Antiqua" w:hAnsi="Book Antiqua" w:cs="Book Antiqua"/>
          <w:color w:val="000000"/>
        </w:rPr>
        <w:t xml:space="preserve">a </w:t>
      </w:r>
      <w:r>
        <w:rPr>
          <w:rFonts w:ascii="Book Antiqua" w:eastAsia="Book Antiqua" w:hAnsi="Book Antiqua" w:cs="Book Antiqua"/>
          <w:color w:val="000000"/>
        </w:rPr>
        <w:t xml:space="preserve">TIVAP implant has not been reported in the literature. </w:t>
      </w:r>
    </w:p>
    <w:p w14:paraId="214D775A" w14:textId="16618D83" w:rsidR="00A77B3E" w:rsidRDefault="004C6962" w:rsidP="00F240F5">
      <w:pPr>
        <w:spacing w:line="360" w:lineRule="auto"/>
        <w:ind w:firstLine="480"/>
        <w:jc w:val="both"/>
      </w:pPr>
      <w:r>
        <w:rPr>
          <w:rFonts w:ascii="Book Antiqua" w:eastAsia="Book Antiqua" w:hAnsi="Book Antiqua" w:cs="Book Antiqua"/>
          <w:color w:val="000000"/>
        </w:rPr>
        <w:t>W</w:t>
      </w:r>
      <w:r w:rsidR="007A6D27">
        <w:rPr>
          <w:rFonts w:ascii="Book Antiqua" w:eastAsia="Book Antiqua" w:hAnsi="Book Antiqua" w:cs="Book Antiqua"/>
          <w:color w:val="000000"/>
        </w:rPr>
        <w:t xml:space="preserve">e report </w:t>
      </w:r>
      <w:r>
        <w:rPr>
          <w:rFonts w:ascii="Book Antiqua" w:eastAsia="Book Antiqua" w:hAnsi="Book Antiqua" w:cs="Book Antiqua"/>
          <w:color w:val="000000"/>
        </w:rPr>
        <w:t xml:space="preserve">the case of </w:t>
      </w:r>
      <w:r w:rsidR="007A6D27">
        <w:rPr>
          <w:rFonts w:ascii="Book Antiqua" w:eastAsia="Book Antiqua" w:hAnsi="Book Antiqua" w:cs="Book Antiqua"/>
          <w:color w:val="000000"/>
        </w:rPr>
        <w:t>a patient w</w:t>
      </w:r>
      <w:r>
        <w:rPr>
          <w:rFonts w:ascii="Book Antiqua" w:eastAsia="Book Antiqua" w:hAnsi="Book Antiqua" w:cs="Book Antiqua"/>
          <w:color w:val="000000"/>
        </w:rPr>
        <w:t>ith</w:t>
      </w:r>
      <w:r w:rsidR="007A6D27">
        <w:rPr>
          <w:rFonts w:ascii="Book Antiqua" w:eastAsia="Book Antiqua" w:hAnsi="Book Antiqua" w:cs="Book Antiqua"/>
          <w:color w:val="000000"/>
        </w:rPr>
        <w:t xml:space="preserve"> subclavian metastasis of gastric GIST at the site of </w:t>
      </w:r>
      <w:r w:rsidR="004F02CB">
        <w:rPr>
          <w:rFonts w:ascii="Book Antiqua" w:eastAsia="Book Antiqua" w:hAnsi="Book Antiqua" w:cs="Book Antiqua"/>
          <w:color w:val="000000"/>
        </w:rPr>
        <w:t xml:space="preserve">a </w:t>
      </w:r>
      <w:r w:rsidR="007A6D27">
        <w:rPr>
          <w:rFonts w:ascii="Book Antiqua" w:eastAsia="Book Antiqua" w:hAnsi="Book Antiqua" w:cs="Book Antiqua"/>
          <w:color w:val="000000"/>
        </w:rPr>
        <w:t xml:space="preserve">TIVAP </w:t>
      </w:r>
      <w:r>
        <w:rPr>
          <w:rFonts w:ascii="Book Antiqua" w:eastAsia="Book Antiqua" w:hAnsi="Book Antiqua" w:cs="Book Antiqua"/>
          <w:color w:val="000000"/>
        </w:rPr>
        <w:t xml:space="preserve">insertion </w:t>
      </w:r>
      <w:r w:rsidR="007A6D27">
        <w:rPr>
          <w:rFonts w:ascii="Book Antiqua" w:eastAsia="Book Antiqua" w:hAnsi="Book Antiqua" w:cs="Book Antiqua"/>
          <w:color w:val="000000"/>
        </w:rPr>
        <w:t xml:space="preserve">during treatment </w:t>
      </w:r>
      <w:r>
        <w:rPr>
          <w:rFonts w:ascii="Book Antiqua" w:eastAsia="Book Antiqua" w:hAnsi="Book Antiqua" w:cs="Book Antiqua"/>
          <w:color w:val="000000"/>
        </w:rPr>
        <w:t>with</w:t>
      </w:r>
      <w:r w:rsidR="007A6D27">
        <w:rPr>
          <w:rFonts w:ascii="Book Antiqua" w:eastAsia="Book Antiqua" w:hAnsi="Book Antiqua" w:cs="Book Antiqua"/>
          <w:color w:val="000000"/>
        </w:rPr>
        <w:t xml:space="preserve"> imatinib. After effective downsizing of an advanced gastric GIST with neoadjuvant imatinib, the patient was successfully treated with tumorectomy and continued imatinib therapy. The patient continued to do well for 23 mo until the subclavian metastatic mass at the site of </w:t>
      </w:r>
      <w:r w:rsidR="004F02CB">
        <w:rPr>
          <w:rFonts w:ascii="Book Antiqua" w:eastAsia="Book Antiqua" w:hAnsi="Book Antiqua" w:cs="Book Antiqua"/>
          <w:color w:val="000000"/>
        </w:rPr>
        <w:t xml:space="preserve">the </w:t>
      </w:r>
      <w:r>
        <w:rPr>
          <w:rFonts w:ascii="Book Antiqua" w:eastAsia="Book Antiqua" w:hAnsi="Book Antiqua" w:cs="Book Antiqua"/>
          <w:color w:val="000000"/>
        </w:rPr>
        <w:t xml:space="preserve">TIVAP </w:t>
      </w:r>
      <w:r w:rsidR="007A6D27">
        <w:rPr>
          <w:rFonts w:ascii="Book Antiqua" w:eastAsia="Book Antiqua" w:hAnsi="Book Antiqua" w:cs="Book Antiqua"/>
          <w:color w:val="000000"/>
        </w:rPr>
        <w:t xml:space="preserve">insertion was found, and there was no radiological or clinical evidence of abdominal relapse or metastasis. In our patient, the most likely explanation for the subclavian metastatic tumor is circulating tumor cells seeding from the catheter when the subclavian vein was punctured. The trauma caused by puncture may provide an inflammatory microenvironment, promoting the implantation and growth of tumor cells. </w:t>
      </w:r>
    </w:p>
    <w:p w14:paraId="33E88B04" w14:textId="402BE65A" w:rsidR="00A77B3E" w:rsidRDefault="004C6962" w:rsidP="00F240F5">
      <w:pPr>
        <w:spacing w:line="360" w:lineRule="auto"/>
        <w:ind w:firstLine="480"/>
        <w:jc w:val="both"/>
      </w:pPr>
      <w:r>
        <w:rPr>
          <w:rFonts w:ascii="Book Antiqua" w:eastAsia="Book Antiqua" w:hAnsi="Book Antiqua" w:cs="Book Antiqua"/>
          <w:color w:val="000000"/>
        </w:rPr>
        <w:t>Following a</w:t>
      </w:r>
      <w:r w:rsidR="007A6D27">
        <w:rPr>
          <w:rFonts w:ascii="Book Antiqua" w:eastAsia="Book Antiqua" w:hAnsi="Book Antiqua" w:cs="Book Antiqua"/>
          <w:color w:val="000000"/>
        </w:rPr>
        <w:t xml:space="preserve"> review of </w:t>
      </w:r>
      <w:r>
        <w:rPr>
          <w:rFonts w:ascii="Book Antiqua" w:eastAsia="Book Antiqua" w:hAnsi="Book Antiqua" w:cs="Book Antiqua"/>
          <w:color w:val="000000"/>
        </w:rPr>
        <w:t xml:space="preserve">the </w:t>
      </w:r>
      <w:r w:rsidR="007A6D27">
        <w:rPr>
          <w:rFonts w:ascii="Book Antiqua" w:eastAsia="Book Antiqua" w:hAnsi="Book Antiqua" w:cs="Book Antiqua"/>
          <w:color w:val="000000"/>
        </w:rPr>
        <w:t xml:space="preserve">literature regarding tumor metastasis at the site of central venous catheter insertion; head and neck malignancy, hematological and intrathoracic malignant tumors most commonly appear </w:t>
      </w:r>
      <w:r>
        <w:rPr>
          <w:rFonts w:ascii="Book Antiqua" w:eastAsia="Book Antiqua" w:hAnsi="Book Antiqua" w:cs="Book Antiqua"/>
          <w:color w:val="000000"/>
        </w:rPr>
        <w:t xml:space="preserve">to result in </w:t>
      </w:r>
      <w:r w:rsidR="007A6D27">
        <w:rPr>
          <w:rFonts w:ascii="Book Antiqua" w:eastAsia="Book Antiqua" w:hAnsi="Book Antiqua" w:cs="Book Antiqua"/>
          <w:color w:val="000000"/>
        </w:rPr>
        <w:t>tumor implants at the site of TIVAP insertion and the most common histology is squamous cell carcinoma. Compared to limited stage tumors and well differentiated tumors, aggressive and advanced tumors and poor differentiated tumors are more likely associated with tumor seeding at the site of insertion</w:t>
      </w:r>
      <w:r w:rsidR="007A6D27">
        <w:rPr>
          <w:rFonts w:ascii="Book Antiqua" w:eastAsia="Book Antiqua" w:hAnsi="Book Antiqua" w:cs="Book Antiqua"/>
          <w:color w:val="000000"/>
          <w:vertAlign w:val="superscript"/>
        </w:rPr>
        <w:t>[3,10-13]</w:t>
      </w:r>
      <w:r w:rsidR="007A6D27">
        <w:rPr>
          <w:rFonts w:ascii="Book Antiqua" w:eastAsia="Book Antiqua" w:hAnsi="Book Antiqua" w:cs="Book Antiqua"/>
          <w:color w:val="000000"/>
        </w:rPr>
        <w:t xml:space="preserve">. Furthermore, the puncture method or technique are also correlated with tumor spread. Previous studies reported that, for TIVAP insertion, </w:t>
      </w:r>
      <w:r>
        <w:rPr>
          <w:rFonts w:ascii="Book Antiqua" w:eastAsia="Book Antiqua" w:hAnsi="Book Antiqua" w:cs="Book Antiqua"/>
          <w:color w:val="000000"/>
        </w:rPr>
        <w:t xml:space="preserve">the </w:t>
      </w:r>
      <w:r w:rsidR="007A6D27">
        <w:rPr>
          <w:rFonts w:ascii="Book Antiqua" w:eastAsia="Book Antiqua" w:hAnsi="Book Antiqua" w:cs="Book Antiqua"/>
          <w:color w:val="000000"/>
        </w:rPr>
        <w:t>Seldinger technique is more likely to cause tumor seeding when compared with direct cephalic vein cut down, and multiple puncture</w:t>
      </w:r>
      <w:r>
        <w:rPr>
          <w:rFonts w:ascii="Book Antiqua" w:eastAsia="Book Antiqua" w:hAnsi="Book Antiqua" w:cs="Book Antiqua"/>
          <w:color w:val="000000"/>
        </w:rPr>
        <w:t>s</w:t>
      </w:r>
      <w:r w:rsidR="007A6D27">
        <w:rPr>
          <w:rFonts w:ascii="Book Antiqua" w:eastAsia="Book Antiqua" w:hAnsi="Book Antiqua" w:cs="Book Antiqua"/>
          <w:color w:val="000000"/>
        </w:rPr>
        <w:t xml:space="preserve"> may also increase the risk of tumor spread</w:t>
      </w:r>
      <w:r w:rsidR="007A6D27">
        <w:rPr>
          <w:rFonts w:ascii="Book Antiqua" w:eastAsia="Book Antiqua" w:hAnsi="Book Antiqua" w:cs="Book Antiqua"/>
          <w:color w:val="000000"/>
          <w:vertAlign w:val="superscript"/>
        </w:rPr>
        <w:t>[5]</w:t>
      </w:r>
      <w:r w:rsidR="007A6D27">
        <w:rPr>
          <w:rFonts w:ascii="Book Antiqua" w:eastAsia="Book Antiqua" w:hAnsi="Book Antiqua" w:cs="Book Antiqua"/>
          <w:color w:val="000000"/>
        </w:rPr>
        <w:t xml:space="preserve">. </w:t>
      </w:r>
    </w:p>
    <w:p w14:paraId="7B29F1B0" w14:textId="77777777" w:rsidR="00A77B3E" w:rsidRDefault="00A77B3E" w:rsidP="00A55B32">
      <w:pPr>
        <w:spacing w:line="360" w:lineRule="auto"/>
        <w:jc w:val="both"/>
      </w:pPr>
    </w:p>
    <w:p w14:paraId="1329F9F5" w14:textId="77777777" w:rsidR="00A77B3E" w:rsidRDefault="007A6D27" w:rsidP="00F240F5">
      <w:pPr>
        <w:spacing w:line="360" w:lineRule="auto"/>
        <w:jc w:val="both"/>
      </w:pPr>
      <w:r>
        <w:rPr>
          <w:rFonts w:ascii="Book Antiqua" w:eastAsia="Book Antiqua" w:hAnsi="Book Antiqua" w:cs="Book Antiqua"/>
          <w:b/>
          <w:caps/>
          <w:color w:val="000000"/>
          <w:u w:val="single"/>
        </w:rPr>
        <w:t>CONCLUSION</w:t>
      </w:r>
    </w:p>
    <w:p w14:paraId="4C66D9C9" w14:textId="05435B3D" w:rsidR="00A77B3E" w:rsidRDefault="007A6D27" w:rsidP="00F240F5">
      <w:pPr>
        <w:spacing w:line="360" w:lineRule="auto"/>
        <w:jc w:val="both"/>
      </w:pPr>
      <w:r>
        <w:rPr>
          <w:rFonts w:ascii="Book Antiqua" w:eastAsia="Book Antiqua" w:hAnsi="Book Antiqua" w:cs="Book Antiqua"/>
          <w:color w:val="000000"/>
        </w:rPr>
        <w:t>In summary, </w:t>
      </w:r>
      <w:r w:rsidR="004C6962">
        <w:rPr>
          <w:rFonts w:ascii="Book Antiqua" w:eastAsia="Book Antiqua" w:hAnsi="Book Antiqua" w:cs="Book Antiqua"/>
          <w:color w:val="000000"/>
        </w:rPr>
        <w:t xml:space="preserve">it </w:t>
      </w:r>
      <w:r>
        <w:rPr>
          <w:rFonts w:ascii="Book Antiqua" w:eastAsia="Book Antiqua" w:hAnsi="Book Antiqua" w:cs="Book Antiqua"/>
          <w:color w:val="000000"/>
        </w:rPr>
        <w:t xml:space="preserve">should </w:t>
      </w:r>
      <w:r w:rsidR="004C6962">
        <w:rPr>
          <w:rFonts w:ascii="Book Antiqua" w:eastAsia="Book Antiqua" w:hAnsi="Book Antiqua" w:cs="Book Antiqua"/>
          <w:color w:val="000000"/>
        </w:rPr>
        <w:t xml:space="preserve">be </w:t>
      </w:r>
      <w:r>
        <w:rPr>
          <w:rFonts w:ascii="Book Antiqua" w:eastAsia="Book Antiqua" w:hAnsi="Book Antiqua" w:cs="Book Antiqua"/>
          <w:color w:val="000000"/>
        </w:rPr>
        <w:t>realize</w:t>
      </w:r>
      <w:r w:rsidR="004C6962">
        <w:rPr>
          <w:rFonts w:ascii="Book Antiqua" w:eastAsia="Book Antiqua" w:hAnsi="Book Antiqua" w:cs="Book Antiqua"/>
          <w:color w:val="000000"/>
        </w:rPr>
        <w:t>d</w:t>
      </w:r>
      <w:r>
        <w:rPr>
          <w:rFonts w:ascii="Book Antiqua" w:eastAsia="Book Antiqua" w:hAnsi="Book Antiqua" w:cs="Book Antiqua"/>
          <w:color w:val="000000"/>
        </w:rPr>
        <w:t xml:space="preserve"> that there is a risk of developing tumor metastasis at the site of insertion when a patient with advanced, high metastatic GIST </w:t>
      </w:r>
      <w:r w:rsidR="004C6962">
        <w:rPr>
          <w:rFonts w:ascii="Book Antiqua" w:eastAsia="Book Antiqua" w:hAnsi="Book Antiqua" w:cs="Book Antiqua"/>
          <w:color w:val="000000"/>
        </w:rPr>
        <w:t>requires</w:t>
      </w:r>
      <w:r>
        <w:rPr>
          <w:rFonts w:ascii="Book Antiqua" w:eastAsia="Book Antiqua" w:hAnsi="Book Antiqua" w:cs="Book Antiqua"/>
          <w:color w:val="000000"/>
        </w:rPr>
        <w:t xml:space="preserve"> </w:t>
      </w:r>
      <w:r w:rsidR="004F02CB">
        <w:rPr>
          <w:rFonts w:ascii="Book Antiqua" w:eastAsia="Book Antiqua" w:hAnsi="Book Antiqua" w:cs="Book Antiqua"/>
          <w:color w:val="000000"/>
        </w:rPr>
        <w:t xml:space="preserve">a </w:t>
      </w:r>
      <w:r>
        <w:rPr>
          <w:rFonts w:ascii="Book Antiqua" w:eastAsia="Book Antiqua" w:hAnsi="Book Antiqua" w:cs="Book Antiqua"/>
          <w:color w:val="000000"/>
        </w:rPr>
        <w:t>TIVAP insertion.</w:t>
      </w:r>
    </w:p>
    <w:p w14:paraId="20BDCD30" w14:textId="77777777" w:rsidR="00A77B3E" w:rsidRDefault="00A77B3E" w:rsidP="00F240F5">
      <w:pPr>
        <w:spacing w:line="360" w:lineRule="auto"/>
        <w:jc w:val="both"/>
      </w:pPr>
    </w:p>
    <w:p w14:paraId="2C7563C2" w14:textId="77777777" w:rsidR="00A77B3E" w:rsidRDefault="007A6D27" w:rsidP="00F240F5">
      <w:pPr>
        <w:spacing w:line="360" w:lineRule="auto"/>
        <w:jc w:val="both"/>
      </w:pPr>
      <w:r>
        <w:rPr>
          <w:rFonts w:ascii="Book Antiqua" w:eastAsia="Book Antiqua" w:hAnsi="Book Antiqua" w:cs="Book Antiqua"/>
          <w:b/>
          <w:color w:val="000000"/>
        </w:rPr>
        <w:t>REFERENCES</w:t>
      </w:r>
    </w:p>
    <w:p w14:paraId="2E80E198" w14:textId="77777777" w:rsidR="00A77B3E" w:rsidRDefault="007A6D27" w:rsidP="00F240F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Yamaguchi RS</w:t>
      </w:r>
      <w:r>
        <w:rPr>
          <w:rFonts w:ascii="Book Antiqua" w:eastAsia="Book Antiqua" w:hAnsi="Book Antiqua" w:cs="Book Antiqua"/>
          <w:color w:val="000000"/>
        </w:rPr>
        <w:t xml:space="preserve">, Noritomi DT, Degaspare NV, Muñoz GOC, Porto APM, Costa SF, Ranzani OT. Peripherally inserted central catheters are associated with lower risk of bloodstream infection compared with central venous catheters in paediatric intensive care patients: a propensity-adjusted analysis.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1097-1104 [PMID: 28584925 DOI: 10.1007/s00134-017-4852-7]</w:t>
      </w:r>
    </w:p>
    <w:p w14:paraId="215B4F13" w14:textId="77777777" w:rsidR="00A77B3E" w:rsidRDefault="007A6D27" w:rsidP="00F240F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McGee DC</w:t>
      </w:r>
      <w:r>
        <w:rPr>
          <w:rFonts w:ascii="Book Antiqua" w:eastAsia="Book Antiqua" w:hAnsi="Book Antiqua" w:cs="Book Antiqua"/>
          <w:color w:val="000000"/>
        </w:rPr>
        <w:t xml:space="preserve">, Gould MK. Preventing complications of central venous catheterization.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348</w:t>
      </w:r>
      <w:r>
        <w:rPr>
          <w:rFonts w:ascii="Book Antiqua" w:eastAsia="Book Antiqua" w:hAnsi="Book Antiqua" w:cs="Book Antiqua"/>
          <w:color w:val="000000"/>
        </w:rPr>
        <w:t>: 1123-1133 [PMID: 12646670 DOI: 10.1056/NEJMra011883]</w:t>
      </w:r>
    </w:p>
    <w:p w14:paraId="46F550FC" w14:textId="77777777" w:rsidR="00A77B3E" w:rsidRDefault="007A6D27" w:rsidP="00F240F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Warner B</w:t>
      </w:r>
      <w:r>
        <w:rPr>
          <w:rFonts w:ascii="Book Antiqua" w:eastAsia="Book Antiqua" w:hAnsi="Book Antiqua" w:cs="Book Antiqua"/>
          <w:color w:val="000000"/>
        </w:rPr>
        <w:t xml:space="preserve">, Cliff S, Shah G, Stern S. Leukaemia cutis at the site of a Groshong line insertion in a patient with acute myeloid leukaemia. </w:t>
      </w:r>
      <w:r>
        <w:rPr>
          <w:rFonts w:ascii="Book Antiqua" w:eastAsia="Book Antiqua" w:hAnsi="Book Antiqua" w:cs="Book Antiqua"/>
          <w:i/>
          <w:iCs/>
          <w:color w:val="000000"/>
        </w:rPr>
        <w:t>Br J Haematol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164</w:t>
      </w:r>
      <w:r>
        <w:rPr>
          <w:rFonts w:ascii="Book Antiqua" w:eastAsia="Book Antiqua" w:hAnsi="Book Antiqua" w:cs="Book Antiqua"/>
          <w:color w:val="000000"/>
        </w:rPr>
        <w:t>: 2 [PMID: 24111558 DOI: 10.1111/bjh.12571]</w:t>
      </w:r>
    </w:p>
    <w:p w14:paraId="4C30BF85" w14:textId="77777777" w:rsidR="00A77B3E" w:rsidRDefault="007A6D27" w:rsidP="00F240F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Crook JL</w:t>
      </w:r>
      <w:r>
        <w:rPr>
          <w:rFonts w:ascii="Book Antiqua" w:eastAsia="Book Antiqua" w:hAnsi="Book Antiqua" w:cs="Book Antiqua"/>
          <w:color w:val="000000"/>
        </w:rPr>
        <w:t xml:space="preserve">, Breathnach OS, Cruser D, Johnson BE. Lung carcinoma metastasis at the site of central venous access. </w:t>
      </w:r>
      <w:r>
        <w:rPr>
          <w:rFonts w:ascii="Book Antiqua" w:eastAsia="Book Antiqua" w:hAnsi="Book Antiqua" w:cs="Book Antiqua"/>
          <w:i/>
          <w:iCs/>
          <w:color w:val="000000"/>
        </w:rPr>
        <w:t>Chest</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1772-1774 [PMID: 9872218 DOI: 10.1378/chest.114.6.1772]</w:t>
      </w:r>
    </w:p>
    <w:p w14:paraId="05302158" w14:textId="77777777" w:rsidR="00A77B3E" w:rsidRDefault="007A6D27" w:rsidP="00F240F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Lee CH</w:t>
      </w:r>
      <w:r>
        <w:rPr>
          <w:rFonts w:ascii="Book Antiqua" w:eastAsia="Book Antiqua" w:hAnsi="Book Antiqua" w:cs="Book Antiqua"/>
          <w:color w:val="000000"/>
        </w:rPr>
        <w:t xml:space="preserve">, Day AS, Hwang TZ. Metastasis over implantable venous access ports.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E314-E316 [PMID: 22972674 DOI: 10.1002/hed.23161]</w:t>
      </w:r>
    </w:p>
    <w:p w14:paraId="227BE026" w14:textId="77777777" w:rsidR="00A77B3E" w:rsidRDefault="007A6D27" w:rsidP="00F240F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Mangla A</w:t>
      </w:r>
      <w:r>
        <w:rPr>
          <w:rFonts w:ascii="Book Antiqua" w:eastAsia="Book Antiqua" w:hAnsi="Book Antiqua" w:cs="Book Antiqua"/>
          <w:color w:val="000000"/>
        </w:rPr>
        <w:t xml:space="preserve">, Agarwal N, Mullane MR. Metastatic spread from squamous cell carcinoma of the hypopharynx to the totally implantable venous access port insertion site: Case report and review of literature.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E118-E122 [PMID: 28990283 DOI: 10.1002/hed.24975]</w:t>
      </w:r>
    </w:p>
    <w:p w14:paraId="0552C79B" w14:textId="77777777" w:rsidR="00A77B3E" w:rsidRDefault="007A6D27" w:rsidP="00F240F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Fletcher CD</w:t>
      </w:r>
      <w:r>
        <w:rPr>
          <w:rFonts w:ascii="Book Antiqua" w:eastAsia="Book Antiqua" w:hAnsi="Book Antiqua" w:cs="Book Antiqua"/>
          <w:color w:val="000000"/>
        </w:rPr>
        <w:t xml:space="preserve">, Berman JJ, Corless C, Gorstein F, Lasota J, Longley BJ, Miettinen M, O'Leary TJ, Remotti H, Rubin BP, Shmookler B, Sobin LH, Weiss SW. Diagnosis of gastrointestinal stromal tumors: A consensus approach.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33</w:t>
      </w:r>
      <w:r>
        <w:rPr>
          <w:rFonts w:ascii="Book Antiqua" w:eastAsia="Book Antiqua" w:hAnsi="Book Antiqua" w:cs="Book Antiqua"/>
          <w:color w:val="000000"/>
        </w:rPr>
        <w:t>: 459-465 [PMID: 12094370 DOI: 10.1053/hupa.2002.123545]</w:t>
      </w:r>
    </w:p>
    <w:p w14:paraId="53C048D1" w14:textId="77777777" w:rsidR="00A77B3E" w:rsidRDefault="007A6D27" w:rsidP="00F240F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Miettinen M</w:t>
      </w:r>
      <w:r>
        <w:rPr>
          <w:rFonts w:ascii="Book Antiqua" w:eastAsia="Book Antiqua" w:hAnsi="Book Antiqua" w:cs="Book Antiqua"/>
          <w:color w:val="000000"/>
        </w:rPr>
        <w:t xml:space="preserve">, Furlong M, Sarlomo-Rikala M, Burke A, Sobin LH, Lasota J. Gastrointestinal stromal tumors, intramural leiomyomas, and leiomyosarcomas in the rectum and anus: a clinicopathologic, immunohistochemical, and molecular genetic study of 144 cases.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1121-1133 [PMID: 11688571 DOI: 10.1097/00000478-200109000-00002]</w:t>
      </w:r>
    </w:p>
    <w:p w14:paraId="12B66D05" w14:textId="77777777" w:rsidR="00A77B3E" w:rsidRDefault="007A6D27" w:rsidP="00F240F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Rubin BP</w:t>
      </w:r>
      <w:r>
        <w:rPr>
          <w:rFonts w:ascii="Book Antiqua" w:eastAsia="Book Antiqua" w:hAnsi="Book Antiqua" w:cs="Book Antiqua"/>
          <w:color w:val="000000"/>
        </w:rPr>
        <w:t xml:space="preserve">, Heinrich MC, Corless CL. Gastrointestinal stromal tumour.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2007; </w:t>
      </w:r>
      <w:r>
        <w:rPr>
          <w:rFonts w:ascii="Book Antiqua" w:eastAsia="Book Antiqua" w:hAnsi="Book Antiqua" w:cs="Book Antiqua"/>
          <w:b/>
          <w:bCs/>
          <w:color w:val="000000"/>
        </w:rPr>
        <w:t>369</w:t>
      </w:r>
      <w:r>
        <w:rPr>
          <w:rFonts w:ascii="Book Antiqua" w:eastAsia="Book Antiqua" w:hAnsi="Book Antiqua" w:cs="Book Antiqua"/>
          <w:color w:val="000000"/>
        </w:rPr>
        <w:t>: 1731-1741 [PMID: 17512858 DOI: 10.1016/S0140-6736(07)60780-6]</w:t>
      </w:r>
    </w:p>
    <w:p w14:paraId="7B810C4A" w14:textId="77777777" w:rsidR="00A77B3E" w:rsidRDefault="007A6D27" w:rsidP="00F240F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Ellrichmann M</w:t>
      </w:r>
      <w:r>
        <w:rPr>
          <w:rFonts w:ascii="Book Antiqua" w:eastAsia="Book Antiqua" w:hAnsi="Book Antiqua" w:cs="Book Antiqua"/>
          <w:color w:val="000000"/>
        </w:rPr>
        <w:t xml:space="preserve">, Sergeev P, Bethge J, Arlt A, Topalidis T, Ambrosch P, Wiltfang J, Fritscher-Ravens A. Prospective evaluation of malignant cell seeding after percutaneous endoscopic gastrostomy in patients with oropharyngeal/esophageal cancers.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526-531 [PMID: 23780843 DOI: 10.1055/s-0033-1344023]</w:t>
      </w:r>
    </w:p>
    <w:p w14:paraId="20C16AEC" w14:textId="77777777" w:rsidR="00A77B3E" w:rsidRDefault="007A6D27" w:rsidP="00F240F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Nisa L</w:t>
      </w:r>
      <w:r>
        <w:rPr>
          <w:rFonts w:ascii="Book Antiqua" w:eastAsia="Book Antiqua" w:hAnsi="Book Antiqua" w:cs="Book Antiqua"/>
          <w:color w:val="000000"/>
        </w:rPr>
        <w:t xml:space="preserve">, Khanfir K, Giger R. Recurrence due to neoplastic seeding in head and neck cancer: report of two cases and review of the literature. </w:t>
      </w:r>
      <w:r>
        <w:rPr>
          <w:rFonts w:ascii="Book Antiqua" w:eastAsia="Book Antiqua" w:hAnsi="Book Antiqua" w:cs="Book Antiqua"/>
          <w:i/>
          <w:iCs/>
          <w:color w:val="000000"/>
        </w:rPr>
        <w:t>Tumori</w:t>
      </w:r>
      <w:r>
        <w:rPr>
          <w:rFonts w:ascii="Book Antiqua" w:eastAsia="Book Antiqua" w:hAnsi="Book Antiqua" w:cs="Book Antiqua"/>
          <w:color w:val="000000"/>
        </w:rPr>
        <w:t xml:space="preserve"> 2013; </w:t>
      </w:r>
      <w:r>
        <w:rPr>
          <w:rFonts w:ascii="Book Antiqua" w:eastAsia="Book Antiqua" w:hAnsi="Book Antiqua" w:cs="Book Antiqua"/>
          <w:b/>
          <w:bCs/>
          <w:color w:val="000000"/>
        </w:rPr>
        <w:t>99</w:t>
      </w:r>
      <w:r>
        <w:rPr>
          <w:rFonts w:ascii="Book Antiqua" w:eastAsia="Book Antiqua" w:hAnsi="Book Antiqua" w:cs="Book Antiqua"/>
          <w:color w:val="000000"/>
        </w:rPr>
        <w:t>: e144-e147 [PMID: 24326849 DOI: 10.1700/1361.15112]</w:t>
      </w:r>
    </w:p>
    <w:p w14:paraId="372F92E9" w14:textId="77777777" w:rsidR="00A77B3E" w:rsidRDefault="007A6D27" w:rsidP="00F240F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Cappell MS</w:t>
      </w:r>
      <w:r>
        <w:rPr>
          <w:rFonts w:ascii="Book Antiqua" w:eastAsia="Book Antiqua" w:hAnsi="Book Antiqua" w:cs="Book Antiqua"/>
          <w:color w:val="000000"/>
        </w:rPr>
        <w:t xml:space="preserve">. Risk factors and risk reduction of malignant seeding of the percutaneous endoscopic gastrostomy track from pharyngoesophageal malignancy: a review of all 44 known reported cases.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1307-1311 [PMID: 17488255 DOI: 10.1111/j.1572-0241.2007.01227.x]</w:t>
      </w:r>
    </w:p>
    <w:p w14:paraId="3723D0CF" w14:textId="77777777" w:rsidR="00A77B3E" w:rsidRDefault="007A6D27" w:rsidP="00F240F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Su HH</w:t>
      </w:r>
      <w:r>
        <w:rPr>
          <w:rFonts w:ascii="Book Antiqua" w:eastAsia="Book Antiqua" w:hAnsi="Book Antiqua" w:cs="Book Antiqua"/>
          <w:color w:val="000000"/>
        </w:rPr>
        <w:t xml:space="preserve">, Chu ST, Hou YY, Chang KP, Chen CJ. Spindle cell carcinoma of the oral cavity and oropharynx: factors affecting outcome.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2006; </w:t>
      </w:r>
      <w:r>
        <w:rPr>
          <w:rFonts w:ascii="Book Antiqua" w:eastAsia="Book Antiqua" w:hAnsi="Book Antiqua" w:cs="Book Antiqua"/>
          <w:b/>
          <w:bCs/>
          <w:color w:val="000000"/>
        </w:rPr>
        <w:t>69</w:t>
      </w:r>
      <w:r>
        <w:rPr>
          <w:rFonts w:ascii="Book Antiqua" w:eastAsia="Book Antiqua" w:hAnsi="Book Antiqua" w:cs="Book Antiqua"/>
          <w:color w:val="000000"/>
        </w:rPr>
        <w:t>: 478-483 [PMID: 17098672 DOI: 10.1016/S1726-4901(09)70312-0]</w:t>
      </w:r>
    </w:p>
    <w:p w14:paraId="740E58B5" w14:textId="77777777" w:rsidR="00A77B3E" w:rsidRDefault="00A77B3E" w:rsidP="00F240F5">
      <w:pPr>
        <w:spacing w:line="360" w:lineRule="auto"/>
        <w:jc w:val="both"/>
        <w:sectPr w:rsidR="00A77B3E">
          <w:pgSz w:w="12240" w:h="15840"/>
          <w:pgMar w:top="1440" w:right="1440" w:bottom="1440" w:left="1440" w:header="720" w:footer="720" w:gutter="0"/>
          <w:cols w:space="720"/>
          <w:docGrid w:linePitch="360"/>
        </w:sectPr>
      </w:pPr>
    </w:p>
    <w:p w14:paraId="656E0AD8" w14:textId="77777777" w:rsidR="00A77B3E" w:rsidRDefault="007A6D27" w:rsidP="00F240F5">
      <w:pPr>
        <w:spacing w:line="360" w:lineRule="auto"/>
        <w:jc w:val="both"/>
      </w:pPr>
      <w:r>
        <w:rPr>
          <w:rFonts w:ascii="Book Antiqua" w:eastAsia="Book Antiqua" w:hAnsi="Book Antiqua" w:cs="Book Antiqua"/>
          <w:b/>
          <w:color w:val="000000"/>
        </w:rPr>
        <w:t>Footnotes</w:t>
      </w:r>
    </w:p>
    <w:p w14:paraId="49A2DA4F" w14:textId="77777777" w:rsidR="00A77B3E" w:rsidRDefault="007A6D27" w:rsidP="00F240F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patient for publication of this report and any accompanying images.</w:t>
      </w:r>
    </w:p>
    <w:p w14:paraId="079DDA60" w14:textId="77777777" w:rsidR="00A77B3E" w:rsidRDefault="00A77B3E" w:rsidP="00F240F5">
      <w:pPr>
        <w:spacing w:line="360" w:lineRule="auto"/>
        <w:jc w:val="both"/>
      </w:pPr>
    </w:p>
    <w:p w14:paraId="4DCF47E7" w14:textId="77777777" w:rsidR="00A77B3E" w:rsidRDefault="007A6D27" w:rsidP="00F240F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Pr>
          <w:rFonts w:ascii="Book Antiqua" w:eastAsia="Book Antiqua" w:hAnsi="Book Antiqua" w:cs="Book Antiqua"/>
          <w:color w:val="000000"/>
          <w:szCs w:val="21"/>
        </w:rPr>
        <w:t xml:space="preserve"> </w:t>
      </w:r>
      <w:r>
        <w:rPr>
          <w:rFonts w:ascii="Book Antiqua" w:eastAsia="Book Antiqua" w:hAnsi="Book Antiqua" w:cs="Book Antiqua"/>
          <w:color w:val="000000"/>
        </w:rPr>
        <w:t>of interest.</w:t>
      </w:r>
    </w:p>
    <w:p w14:paraId="24063725" w14:textId="77777777" w:rsidR="00A77B3E" w:rsidRDefault="00A77B3E" w:rsidP="00F240F5">
      <w:pPr>
        <w:spacing w:line="360" w:lineRule="auto"/>
        <w:jc w:val="both"/>
      </w:pPr>
    </w:p>
    <w:p w14:paraId="1D7E5232" w14:textId="77777777" w:rsidR="00A77B3E" w:rsidRDefault="007A6D27" w:rsidP="00F240F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w:t>
      </w:r>
      <w:r>
        <w:rPr>
          <w:rFonts w:ascii="Book Antiqua" w:eastAsia="Book Antiqua" w:hAnsi="Book Antiqua" w:cs="Book Antiqua"/>
          <w:color w:val="000000"/>
          <w:szCs w:val="21"/>
        </w:rPr>
        <w:t xml:space="preserve"> </w:t>
      </w:r>
      <w:r>
        <w:rPr>
          <w:rFonts w:ascii="Book Antiqua" w:eastAsia="Book Antiqua" w:hAnsi="Book Antiqua" w:cs="Book Antiqua"/>
          <w:color w:val="000000"/>
        </w:rPr>
        <w:t>(2016), and the manuscript was prepared and revised according to the CARE</w:t>
      </w:r>
      <w:r>
        <w:rPr>
          <w:rFonts w:ascii="Book Antiqua" w:eastAsia="Book Antiqua" w:hAnsi="Book Antiqua" w:cs="Book Antiqua"/>
          <w:color w:val="000000"/>
          <w:szCs w:val="21"/>
        </w:rPr>
        <w:t xml:space="preserve"> </w:t>
      </w:r>
      <w:r>
        <w:rPr>
          <w:rFonts w:ascii="Book Antiqua" w:eastAsia="Book Antiqua" w:hAnsi="Book Antiqua" w:cs="Book Antiqua"/>
          <w:color w:val="000000"/>
        </w:rPr>
        <w:t>Checklist (2016).</w:t>
      </w:r>
    </w:p>
    <w:p w14:paraId="12241425" w14:textId="77777777" w:rsidR="00A77B3E" w:rsidRDefault="00A77B3E" w:rsidP="00F240F5">
      <w:pPr>
        <w:spacing w:line="360" w:lineRule="auto"/>
        <w:jc w:val="both"/>
      </w:pPr>
    </w:p>
    <w:p w14:paraId="0D2589F7" w14:textId="77777777" w:rsidR="00A77B3E" w:rsidRDefault="007A6D27" w:rsidP="00F240F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2A76E2" w14:textId="77777777" w:rsidR="00A77B3E" w:rsidRDefault="00A77B3E" w:rsidP="00F240F5">
      <w:pPr>
        <w:spacing w:line="360" w:lineRule="auto"/>
        <w:jc w:val="both"/>
      </w:pPr>
    </w:p>
    <w:p w14:paraId="1C1FB81C" w14:textId="77777777" w:rsidR="00A77B3E" w:rsidRDefault="007A6D27" w:rsidP="00F240F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55B32">
        <w:rPr>
          <w:rFonts w:ascii="Book Antiqua" w:eastAsia="Book Antiqua" w:hAnsi="Book Antiqua" w:cs="Book Antiqua"/>
          <w:color w:val="000000"/>
        </w:rPr>
        <w:t>m</w:t>
      </w:r>
      <w:r>
        <w:rPr>
          <w:rFonts w:ascii="Book Antiqua" w:eastAsia="Book Antiqua" w:hAnsi="Book Antiqua" w:cs="Book Antiqua"/>
          <w:color w:val="000000"/>
        </w:rPr>
        <w:t>anuscript</w:t>
      </w:r>
    </w:p>
    <w:p w14:paraId="07E6D554" w14:textId="77777777" w:rsidR="00A77B3E" w:rsidRDefault="00A77B3E" w:rsidP="00F240F5">
      <w:pPr>
        <w:spacing w:line="360" w:lineRule="auto"/>
        <w:jc w:val="both"/>
      </w:pPr>
    </w:p>
    <w:p w14:paraId="3D92B21C" w14:textId="77777777" w:rsidR="00A77B3E" w:rsidRDefault="007A6D27" w:rsidP="00F240F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2020</w:t>
      </w:r>
    </w:p>
    <w:p w14:paraId="3FC7B7A9" w14:textId="77777777" w:rsidR="00A77B3E" w:rsidRDefault="007A6D27" w:rsidP="00F240F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6BDD9FEA" w14:textId="1D03BAB2" w:rsidR="00A77B3E" w:rsidRDefault="007A6D27" w:rsidP="00F240F5">
      <w:pPr>
        <w:spacing w:line="360" w:lineRule="auto"/>
        <w:jc w:val="both"/>
      </w:pPr>
      <w:r>
        <w:rPr>
          <w:rFonts w:ascii="Book Antiqua" w:eastAsia="Book Antiqua" w:hAnsi="Book Antiqua" w:cs="Book Antiqua"/>
          <w:b/>
          <w:color w:val="000000"/>
        </w:rPr>
        <w:t>Article in press:</w:t>
      </w:r>
      <w:r w:rsidR="00803EB5">
        <w:rPr>
          <w:rFonts w:ascii="Book Antiqua" w:hAnsi="Book Antiqua" w:cs="Book Antiqua" w:hint="eastAsia"/>
          <w:b/>
          <w:color w:val="000000"/>
          <w:lang w:eastAsia="zh-CN"/>
        </w:rPr>
        <w:t xml:space="preserve"> </w:t>
      </w:r>
      <w:r w:rsidR="00803EB5">
        <w:rPr>
          <w:rFonts w:ascii="Book Antiqua" w:hAnsi="Book Antiqua" w:cs="Arial"/>
          <w:color w:val="000000" w:themeColor="text1"/>
          <w:shd w:val="clear" w:color="auto" w:fill="FFFFFF"/>
        </w:rPr>
        <w:t>September 2, 2020</w:t>
      </w:r>
      <w:r>
        <w:rPr>
          <w:rFonts w:ascii="Book Antiqua" w:eastAsia="Book Antiqua" w:hAnsi="Book Antiqua" w:cs="Book Antiqua"/>
          <w:b/>
          <w:color w:val="000000"/>
        </w:rPr>
        <w:t xml:space="preserve"> </w:t>
      </w:r>
    </w:p>
    <w:p w14:paraId="304CC5D3" w14:textId="77777777" w:rsidR="00A77B3E" w:rsidRDefault="00A77B3E" w:rsidP="00F240F5">
      <w:pPr>
        <w:spacing w:line="360" w:lineRule="auto"/>
        <w:jc w:val="both"/>
      </w:pPr>
    </w:p>
    <w:p w14:paraId="0C4E0633" w14:textId="77777777" w:rsidR="00A77B3E" w:rsidRDefault="007A6D27" w:rsidP="00F240F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8507E23" w14:textId="77777777" w:rsidR="00A77B3E" w:rsidRDefault="007A6D27" w:rsidP="00F240F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03D39E" w14:textId="77777777" w:rsidR="00A77B3E" w:rsidRDefault="007A6D27" w:rsidP="00F240F5">
      <w:pPr>
        <w:spacing w:line="360" w:lineRule="auto"/>
        <w:jc w:val="both"/>
      </w:pPr>
      <w:r>
        <w:rPr>
          <w:rFonts w:ascii="Book Antiqua" w:eastAsia="Book Antiqua" w:hAnsi="Book Antiqua" w:cs="Book Antiqua"/>
          <w:b/>
          <w:color w:val="000000"/>
        </w:rPr>
        <w:t>Peer-review report’s scientific quality classification</w:t>
      </w:r>
    </w:p>
    <w:p w14:paraId="34DA1224" w14:textId="77777777" w:rsidR="00A77B3E" w:rsidRDefault="007A6D27" w:rsidP="00F240F5">
      <w:pPr>
        <w:spacing w:line="360" w:lineRule="auto"/>
        <w:jc w:val="both"/>
      </w:pPr>
      <w:r>
        <w:rPr>
          <w:rFonts w:ascii="Book Antiqua" w:eastAsia="Book Antiqua" w:hAnsi="Book Antiqua" w:cs="Book Antiqua"/>
          <w:color w:val="000000"/>
        </w:rPr>
        <w:t>Grade A (Excellent): 0</w:t>
      </w:r>
    </w:p>
    <w:p w14:paraId="2CF6BC55" w14:textId="77777777" w:rsidR="00A77B3E" w:rsidRDefault="007A6D27" w:rsidP="00F240F5">
      <w:pPr>
        <w:spacing w:line="360" w:lineRule="auto"/>
        <w:jc w:val="both"/>
      </w:pPr>
      <w:r>
        <w:rPr>
          <w:rFonts w:ascii="Book Antiqua" w:eastAsia="Book Antiqua" w:hAnsi="Book Antiqua" w:cs="Book Antiqua"/>
          <w:color w:val="000000"/>
        </w:rPr>
        <w:t>Grade B (Very good): B</w:t>
      </w:r>
    </w:p>
    <w:p w14:paraId="10A3C6C6" w14:textId="77777777" w:rsidR="00A77B3E" w:rsidRDefault="007A6D27" w:rsidP="00F240F5">
      <w:pPr>
        <w:spacing w:line="360" w:lineRule="auto"/>
        <w:jc w:val="both"/>
      </w:pPr>
      <w:r>
        <w:rPr>
          <w:rFonts w:ascii="Book Antiqua" w:eastAsia="Book Antiqua" w:hAnsi="Book Antiqua" w:cs="Book Antiqua"/>
          <w:color w:val="000000"/>
        </w:rPr>
        <w:t>Grade C (Good): 0</w:t>
      </w:r>
    </w:p>
    <w:p w14:paraId="760D4EC0" w14:textId="77777777" w:rsidR="00A77B3E" w:rsidRDefault="007A6D27" w:rsidP="00F240F5">
      <w:pPr>
        <w:spacing w:line="360" w:lineRule="auto"/>
        <w:jc w:val="both"/>
      </w:pPr>
      <w:r>
        <w:rPr>
          <w:rFonts w:ascii="Book Antiqua" w:eastAsia="Book Antiqua" w:hAnsi="Book Antiqua" w:cs="Book Antiqua"/>
          <w:color w:val="000000"/>
        </w:rPr>
        <w:t>Grade D (Fair): 0</w:t>
      </w:r>
    </w:p>
    <w:p w14:paraId="77931E1F" w14:textId="77777777" w:rsidR="00A77B3E" w:rsidRDefault="007A6D27" w:rsidP="00F240F5">
      <w:pPr>
        <w:spacing w:line="360" w:lineRule="auto"/>
        <w:jc w:val="both"/>
      </w:pPr>
      <w:r>
        <w:rPr>
          <w:rFonts w:ascii="Book Antiqua" w:eastAsia="Book Antiqua" w:hAnsi="Book Antiqua" w:cs="Book Antiqua"/>
          <w:color w:val="000000"/>
        </w:rPr>
        <w:t>Grade E (Poor): 0</w:t>
      </w:r>
    </w:p>
    <w:p w14:paraId="61F78D8F" w14:textId="77777777" w:rsidR="00A77B3E" w:rsidRDefault="00A77B3E" w:rsidP="00F240F5">
      <w:pPr>
        <w:spacing w:line="360" w:lineRule="auto"/>
        <w:jc w:val="both"/>
      </w:pPr>
    </w:p>
    <w:p w14:paraId="70FEA25A" w14:textId="05D3EE9F" w:rsidR="00A77B3E" w:rsidRDefault="007A6D27" w:rsidP="00F240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Manuel-Vazquez 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4C6962">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803EB5">
        <w:rPr>
          <w:rFonts w:ascii="Book Antiqua" w:hAnsi="Book Antiqua" w:cs="Book Antiqua" w:hint="eastAsia"/>
          <w:b/>
          <w:color w:val="000000"/>
          <w:lang w:eastAsia="zh-CN"/>
        </w:rPr>
        <w:t xml:space="preserve"> </w:t>
      </w:r>
      <w:r w:rsidR="00803EB5" w:rsidRPr="00E60F36">
        <w:rPr>
          <w:rFonts w:ascii="Book Antiqua" w:hAnsi="Book Antiqua"/>
          <w:bCs/>
        </w:rPr>
        <w:t>Zhang YL</w:t>
      </w:r>
      <w:r>
        <w:rPr>
          <w:rFonts w:ascii="Book Antiqua" w:eastAsia="Book Antiqua" w:hAnsi="Book Antiqua" w:cs="Book Antiqua"/>
          <w:b/>
          <w:color w:val="000000"/>
        </w:rPr>
        <w:t xml:space="preserve"> </w:t>
      </w:r>
    </w:p>
    <w:p w14:paraId="73A75D1D" w14:textId="77777777" w:rsidR="00233671" w:rsidRPr="00233671" w:rsidRDefault="00233671" w:rsidP="00F240F5">
      <w:pPr>
        <w:spacing w:line="360" w:lineRule="auto"/>
        <w:jc w:val="both"/>
        <w:rPr>
          <w:lang w:eastAsia="zh-CN"/>
        </w:rPr>
        <w:sectPr w:rsidR="00233671" w:rsidRPr="00233671">
          <w:pgSz w:w="12240" w:h="15840"/>
          <w:pgMar w:top="1440" w:right="1440" w:bottom="1440" w:left="1440" w:header="720" w:footer="720" w:gutter="0"/>
          <w:cols w:space="720"/>
          <w:docGrid w:linePitch="360"/>
        </w:sectPr>
      </w:pPr>
    </w:p>
    <w:p w14:paraId="76AC1CA4" w14:textId="77777777" w:rsidR="00A77B3E" w:rsidRDefault="007A6D27" w:rsidP="00F240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43D3AA34" w14:textId="77777777" w:rsidR="00F240F5" w:rsidRPr="00F240F5" w:rsidRDefault="00F240F5" w:rsidP="00F240F5">
      <w:pPr>
        <w:spacing w:line="360" w:lineRule="auto"/>
        <w:jc w:val="both"/>
        <w:rPr>
          <w:lang w:eastAsia="zh-CN"/>
        </w:rPr>
      </w:pPr>
      <w:r>
        <w:rPr>
          <w:noProof/>
          <w:lang w:eastAsia="zh-CN"/>
        </w:rPr>
        <w:drawing>
          <wp:inline distT="0" distB="0" distL="0" distR="0" wp14:anchorId="0E5F7694" wp14:editId="7F54C0E3">
            <wp:extent cx="5486400" cy="4175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75760"/>
                    </a:xfrm>
                    <a:prstGeom prst="rect">
                      <a:avLst/>
                    </a:prstGeom>
                  </pic:spPr>
                </pic:pic>
              </a:graphicData>
            </a:graphic>
          </wp:inline>
        </w:drawing>
      </w:r>
    </w:p>
    <w:p w14:paraId="2A3552A7" w14:textId="6F244300" w:rsidR="00A77B3E" w:rsidRDefault="007A6D27" w:rsidP="00F240F5">
      <w:pPr>
        <w:spacing w:line="360" w:lineRule="auto"/>
        <w:jc w:val="both"/>
      </w:pPr>
      <w:r>
        <w:rPr>
          <w:rFonts w:ascii="Book Antiqua" w:eastAsia="Book Antiqua" w:hAnsi="Book Antiqua" w:cs="Book Antiqua"/>
          <w:b/>
          <w:bCs/>
          <w:color w:val="000000"/>
        </w:rPr>
        <w:t xml:space="preserve">Figure 1 </w:t>
      </w:r>
      <w:r>
        <w:rPr>
          <w:rFonts w:ascii="Book Antiqua" w:eastAsia="Book Antiqua" w:hAnsi="Book Antiqua" w:cs="Book Antiqua"/>
          <w:b/>
          <w:bCs/>
          <w:caps/>
          <w:color w:val="000000"/>
        </w:rPr>
        <w:t>c</w:t>
      </w:r>
      <w:r>
        <w:rPr>
          <w:rFonts w:ascii="Book Antiqua" w:eastAsia="Book Antiqua" w:hAnsi="Book Antiqua" w:cs="Book Antiqua"/>
          <w:b/>
          <w:bCs/>
          <w:color w:val="000000"/>
        </w:rPr>
        <w:t>omputed tomography image.</w:t>
      </w:r>
      <w:r>
        <w:rPr>
          <w:rFonts w:ascii="Book Antiqua" w:eastAsia="Book Antiqua" w:hAnsi="Book Antiqua" w:cs="Book Antiqua"/>
          <w:color w:val="000000"/>
        </w:rPr>
        <w:t xml:space="preserve"> A</w:t>
      </w:r>
      <w:r w:rsidR="00A55B32">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Pr>
          <w:rFonts w:ascii="Book Antiqua" w:eastAsia="Book Antiqua" w:hAnsi="Book Antiqua" w:cs="Book Antiqua"/>
          <w:caps/>
          <w:color w:val="000000"/>
        </w:rPr>
        <w:t>c</w:t>
      </w:r>
      <w:r>
        <w:rPr>
          <w:rFonts w:ascii="Book Antiqua" w:eastAsia="Book Antiqua" w:hAnsi="Book Antiqua" w:cs="Book Antiqua"/>
          <w:color w:val="000000"/>
        </w:rPr>
        <w:t>omputed tomography (CT) showed a huge inhomogeneous soft tissue mass (a</w:t>
      </w:r>
      <w:r w:rsidR="00557E2A">
        <w:rPr>
          <w:rFonts w:ascii="Book Antiqua" w:eastAsia="Book Antiqua" w:hAnsi="Book Antiqua" w:cs="Book Antiqua"/>
          <w:color w:val="000000"/>
        </w:rPr>
        <w:t>pproximately</w:t>
      </w:r>
      <w:r>
        <w:rPr>
          <w:rFonts w:ascii="Book Antiqua" w:eastAsia="Book Antiqua" w:hAnsi="Book Antiqua" w:cs="Book Antiqua"/>
          <w:color w:val="000000"/>
        </w:rPr>
        <w:t xml:space="preserve"> 18.1 cm × 11.9 cm) with central necrosis, occupying the entire left upper abdomen, along with two nodular enhancing liver lesions; C</w:t>
      </w:r>
      <w:r w:rsidR="00A55B32">
        <w:rPr>
          <w:rFonts w:ascii="Book Antiqua" w:eastAsia="Book Antiqua" w:hAnsi="Book Antiqua" w:cs="Book Antiqua"/>
          <w:color w:val="000000"/>
        </w:rPr>
        <w:t xml:space="preserve"> and </w:t>
      </w:r>
      <w:r>
        <w:rPr>
          <w:rFonts w:ascii="Book Antiqua" w:eastAsia="Book Antiqua" w:hAnsi="Book Antiqua" w:cs="Book Antiqua"/>
          <w:color w:val="000000"/>
        </w:rPr>
        <w:t>D: CT after 10 mo of imatinib therapy showed marked reduction in tumor size (a</w:t>
      </w:r>
      <w:r w:rsidR="00557E2A">
        <w:rPr>
          <w:rFonts w:ascii="Book Antiqua" w:eastAsia="Book Antiqua" w:hAnsi="Book Antiqua" w:cs="Book Antiqua"/>
          <w:color w:val="000000"/>
        </w:rPr>
        <w:t>pproximately</w:t>
      </w:r>
      <w:r>
        <w:rPr>
          <w:rFonts w:ascii="Book Antiqua" w:eastAsia="Book Antiqua" w:hAnsi="Book Antiqua" w:cs="Book Antiqua"/>
          <w:color w:val="000000"/>
        </w:rPr>
        <w:t xml:space="preserve"> 8.6 cm × 6.7 cm), tumor enhancement at arterial phase CT decreased substantially and hepatic metastatic lesions showed no enhancement.</w:t>
      </w:r>
    </w:p>
    <w:p w14:paraId="5AB08843" w14:textId="77777777" w:rsidR="00A77B3E" w:rsidRDefault="00F240F5" w:rsidP="00F240F5">
      <w:pPr>
        <w:spacing w:line="360" w:lineRule="auto"/>
        <w:jc w:val="both"/>
      </w:pPr>
      <w:r>
        <w:br w:type="page"/>
      </w:r>
      <w:r>
        <w:rPr>
          <w:noProof/>
          <w:lang w:eastAsia="zh-CN"/>
        </w:rPr>
        <w:drawing>
          <wp:inline distT="0" distB="0" distL="0" distR="0" wp14:anchorId="7178BC59" wp14:editId="3FDE9426">
            <wp:extent cx="5486400" cy="1383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383665"/>
                    </a:xfrm>
                    <a:prstGeom prst="rect">
                      <a:avLst/>
                    </a:prstGeom>
                  </pic:spPr>
                </pic:pic>
              </a:graphicData>
            </a:graphic>
          </wp:inline>
        </w:drawing>
      </w:r>
    </w:p>
    <w:p w14:paraId="41686A00" w14:textId="77777777" w:rsidR="00A77B3E" w:rsidRDefault="007A6D27" w:rsidP="00F240F5">
      <w:pPr>
        <w:spacing w:line="360" w:lineRule="auto"/>
        <w:jc w:val="both"/>
      </w:pPr>
      <w:r>
        <w:rPr>
          <w:rFonts w:ascii="Book Antiqua" w:eastAsia="Book Antiqua" w:hAnsi="Book Antiqua" w:cs="Book Antiqua"/>
          <w:b/>
          <w:bCs/>
          <w:color w:val="000000"/>
        </w:rPr>
        <w:t>Figure 2 Histology showed a few spindle cells distributed in the tumor lesion and the cells were positive for CD117 and DOG-1.</w:t>
      </w:r>
    </w:p>
    <w:p w14:paraId="5DB75EE9" w14:textId="77777777" w:rsidR="00A77B3E" w:rsidRDefault="00F240F5" w:rsidP="00F240F5">
      <w:pPr>
        <w:spacing w:line="360" w:lineRule="auto"/>
        <w:jc w:val="both"/>
      </w:pPr>
      <w:r>
        <w:br w:type="page"/>
      </w:r>
      <w:r>
        <w:rPr>
          <w:noProof/>
          <w:lang w:eastAsia="zh-CN"/>
        </w:rPr>
        <w:drawing>
          <wp:inline distT="0" distB="0" distL="0" distR="0" wp14:anchorId="58E64C58" wp14:editId="160BC44E">
            <wp:extent cx="5486400" cy="2251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51075"/>
                    </a:xfrm>
                    <a:prstGeom prst="rect">
                      <a:avLst/>
                    </a:prstGeom>
                  </pic:spPr>
                </pic:pic>
              </a:graphicData>
            </a:graphic>
          </wp:inline>
        </w:drawing>
      </w:r>
    </w:p>
    <w:p w14:paraId="5EC0F379" w14:textId="5D2B3E8D" w:rsidR="00A77B3E" w:rsidRDefault="007A6D27" w:rsidP="00F240F5">
      <w:pPr>
        <w:spacing w:line="360" w:lineRule="auto"/>
        <w:jc w:val="both"/>
      </w:pPr>
      <w:r>
        <w:rPr>
          <w:rFonts w:ascii="Book Antiqua" w:eastAsia="Book Antiqua" w:hAnsi="Book Antiqua" w:cs="Book Antiqua"/>
          <w:b/>
          <w:bCs/>
          <w:color w:val="000000"/>
        </w:rPr>
        <w:t xml:space="preserve">Figure 3 </w:t>
      </w:r>
      <w:r>
        <w:rPr>
          <w:rFonts w:ascii="Book Antiqua" w:eastAsia="Book Antiqua" w:hAnsi="Book Antiqua" w:cs="Book Antiqua"/>
          <w:b/>
          <w:bCs/>
          <w:caps/>
          <w:color w:val="000000"/>
        </w:rPr>
        <w:t>c</w:t>
      </w:r>
      <w:r>
        <w:rPr>
          <w:rFonts w:ascii="Book Antiqua" w:eastAsia="Book Antiqua" w:hAnsi="Book Antiqua" w:cs="Book Antiqua"/>
          <w:b/>
          <w:bCs/>
          <w:color w:val="000000"/>
        </w:rPr>
        <w:t>omputed tomography showed an inhomogeneous mass (a</w:t>
      </w:r>
      <w:r w:rsidR="00557E2A">
        <w:rPr>
          <w:rFonts w:ascii="Book Antiqua" w:eastAsia="Book Antiqua" w:hAnsi="Book Antiqua" w:cs="Book Antiqua"/>
          <w:b/>
          <w:bCs/>
          <w:color w:val="000000"/>
        </w:rPr>
        <w:t>pproximately</w:t>
      </w:r>
      <w:r>
        <w:rPr>
          <w:rFonts w:ascii="Book Antiqua" w:eastAsia="Book Antiqua" w:hAnsi="Book Antiqua" w:cs="Book Antiqua"/>
          <w:b/>
          <w:bCs/>
          <w:color w:val="000000"/>
        </w:rPr>
        <w:t xml:space="preserve"> 5.7 cm × 4.6 cm) in the right infraclavicular fossa.</w:t>
      </w:r>
    </w:p>
    <w:p w14:paraId="2B495934" w14:textId="77777777" w:rsidR="00A77B3E" w:rsidRDefault="00F240F5" w:rsidP="00F240F5">
      <w:pPr>
        <w:spacing w:line="360" w:lineRule="auto"/>
        <w:jc w:val="both"/>
      </w:pPr>
      <w:r>
        <w:br w:type="page"/>
      </w:r>
      <w:r>
        <w:rPr>
          <w:noProof/>
          <w:lang w:eastAsia="zh-CN"/>
        </w:rPr>
        <w:drawing>
          <wp:inline distT="0" distB="0" distL="0" distR="0" wp14:anchorId="5C76B33C" wp14:editId="50C6E8E6">
            <wp:extent cx="5486400" cy="24911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491105"/>
                    </a:xfrm>
                    <a:prstGeom prst="rect">
                      <a:avLst/>
                    </a:prstGeom>
                  </pic:spPr>
                </pic:pic>
              </a:graphicData>
            </a:graphic>
          </wp:inline>
        </w:drawing>
      </w:r>
    </w:p>
    <w:p w14:paraId="37EFD71D" w14:textId="77777777" w:rsidR="00A77B3E" w:rsidRDefault="007A6D27" w:rsidP="00F240F5">
      <w:pPr>
        <w:spacing w:line="360" w:lineRule="auto"/>
        <w:jc w:val="both"/>
      </w:pPr>
      <w:r>
        <w:rPr>
          <w:rFonts w:ascii="Book Antiqua" w:eastAsia="Book Antiqua" w:hAnsi="Book Antiqua" w:cs="Book Antiqua"/>
          <w:b/>
          <w:bCs/>
          <w:color w:val="000000"/>
        </w:rPr>
        <w:t xml:space="preserve">Figure 4 </w:t>
      </w:r>
      <w:r>
        <w:rPr>
          <w:rFonts w:ascii="Book Antiqua" w:eastAsia="Book Antiqua" w:hAnsi="Book Antiqua" w:cs="Book Antiqua"/>
          <w:b/>
          <w:bCs/>
          <w:caps/>
          <w:color w:val="000000"/>
        </w:rPr>
        <w:t>m</w:t>
      </w:r>
      <w:r>
        <w:rPr>
          <w:rFonts w:ascii="Book Antiqua" w:eastAsia="Book Antiqua" w:hAnsi="Book Antiqua" w:cs="Book Antiqua"/>
          <w:b/>
          <w:bCs/>
          <w:color w:val="000000"/>
        </w:rPr>
        <w:t>agnetic resonance imaging showed a mixed signal mass without involvement of surrounding soft tissue and bone.</w:t>
      </w:r>
    </w:p>
    <w:p w14:paraId="071C485C" w14:textId="77777777" w:rsidR="00A77B3E" w:rsidRDefault="00F240F5" w:rsidP="00F240F5">
      <w:pPr>
        <w:spacing w:line="360" w:lineRule="auto"/>
        <w:jc w:val="both"/>
      </w:pPr>
      <w:r>
        <w:br w:type="page"/>
      </w:r>
      <w:r>
        <w:rPr>
          <w:noProof/>
          <w:lang w:eastAsia="zh-CN"/>
        </w:rPr>
        <w:drawing>
          <wp:inline distT="0" distB="0" distL="0" distR="0" wp14:anchorId="79E1B32A" wp14:editId="62A35CE0">
            <wp:extent cx="5486400" cy="41173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17340"/>
                    </a:xfrm>
                    <a:prstGeom prst="rect">
                      <a:avLst/>
                    </a:prstGeom>
                  </pic:spPr>
                </pic:pic>
              </a:graphicData>
            </a:graphic>
          </wp:inline>
        </w:drawing>
      </w:r>
    </w:p>
    <w:p w14:paraId="63109636" w14:textId="5791126A" w:rsidR="00A77B3E" w:rsidRDefault="007A6D27" w:rsidP="00F240F5">
      <w:pPr>
        <w:spacing w:line="360" w:lineRule="auto"/>
        <w:jc w:val="both"/>
      </w:pPr>
      <w:r>
        <w:rPr>
          <w:rFonts w:ascii="Book Antiqua" w:eastAsia="Book Antiqua" w:hAnsi="Book Antiqua" w:cs="Book Antiqua"/>
          <w:b/>
          <w:bCs/>
          <w:color w:val="000000"/>
        </w:rPr>
        <w:t>Figure 5 Histopathology revealed strong, diffuse CD117 and DOG-1 expression, which confirmed a metasta</w:t>
      </w:r>
      <w:r w:rsidR="00557E2A">
        <w:rPr>
          <w:rFonts w:ascii="Book Antiqua" w:eastAsia="Book Antiqua" w:hAnsi="Book Antiqua" w:cs="Book Antiqua"/>
          <w:b/>
          <w:bCs/>
          <w:color w:val="000000"/>
        </w:rPr>
        <w:t>tic</w:t>
      </w:r>
      <w:r>
        <w:rPr>
          <w:rFonts w:ascii="Book Antiqua" w:eastAsia="Book Antiqua" w:hAnsi="Book Antiqua" w:cs="Book Antiqua"/>
          <w:b/>
          <w:bCs/>
          <w:color w:val="000000"/>
        </w:rPr>
        <w:t xml:space="preserve"> gastrointestinal stromal tumor.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0616F" w14:textId="77777777" w:rsidR="001F7264" w:rsidRDefault="001F7264" w:rsidP="00F240F5">
      <w:r>
        <w:separator/>
      </w:r>
    </w:p>
  </w:endnote>
  <w:endnote w:type="continuationSeparator" w:id="0">
    <w:p w14:paraId="7F3CF17B" w14:textId="77777777" w:rsidR="001F7264" w:rsidRDefault="001F7264" w:rsidP="00F2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849533"/>
      <w:docPartObj>
        <w:docPartGallery w:val="Page Numbers (Bottom of Page)"/>
        <w:docPartUnique/>
      </w:docPartObj>
    </w:sdtPr>
    <w:sdtEndPr/>
    <w:sdtContent>
      <w:sdt>
        <w:sdtPr>
          <w:id w:val="98381352"/>
          <w:docPartObj>
            <w:docPartGallery w:val="Page Numbers (Top of Page)"/>
            <w:docPartUnique/>
          </w:docPartObj>
        </w:sdtPr>
        <w:sdtEndPr/>
        <w:sdtContent>
          <w:p w14:paraId="0642121D" w14:textId="77777777" w:rsidR="00F240F5" w:rsidRDefault="00F240F5" w:rsidP="00F240F5">
            <w:pPr>
              <w:pStyle w:val="a4"/>
              <w:jc w:val="right"/>
            </w:pPr>
            <w:r w:rsidRPr="00F240F5">
              <w:rPr>
                <w:rFonts w:ascii="Book Antiqua" w:hAnsi="Book Antiqua"/>
                <w:sz w:val="24"/>
                <w:szCs w:val="24"/>
                <w:lang w:val="zh-CN" w:eastAsia="zh-CN"/>
              </w:rPr>
              <w:t xml:space="preserve"> </w:t>
            </w:r>
            <w:r w:rsidRPr="00F240F5">
              <w:rPr>
                <w:rFonts w:ascii="Book Antiqua" w:hAnsi="Book Antiqua"/>
                <w:b/>
                <w:bCs/>
                <w:sz w:val="24"/>
                <w:szCs w:val="24"/>
              </w:rPr>
              <w:fldChar w:fldCharType="begin"/>
            </w:r>
            <w:r w:rsidRPr="00F240F5">
              <w:rPr>
                <w:rFonts w:ascii="Book Antiqua" w:hAnsi="Book Antiqua"/>
                <w:b/>
                <w:bCs/>
                <w:sz w:val="24"/>
                <w:szCs w:val="24"/>
              </w:rPr>
              <w:instrText>PAGE</w:instrText>
            </w:r>
            <w:r w:rsidRPr="00F240F5">
              <w:rPr>
                <w:rFonts w:ascii="Book Antiqua" w:hAnsi="Book Antiqua"/>
                <w:b/>
                <w:bCs/>
                <w:sz w:val="24"/>
                <w:szCs w:val="24"/>
              </w:rPr>
              <w:fldChar w:fldCharType="separate"/>
            </w:r>
            <w:r w:rsidR="001F7264">
              <w:rPr>
                <w:rFonts w:ascii="Book Antiqua" w:hAnsi="Book Antiqua"/>
                <w:b/>
                <w:bCs/>
                <w:noProof/>
                <w:sz w:val="24"/>
                <w:szCs w:val="24"/>
              </w:rPr>
              <w:t>1</w:t>
            </w:r>
            <w:r w:rsidRPr="00F240F5">
              <w:rPr>
                <w:rFonts w:ascii="Book Antiqua" w:hAnsi="Book Antiqua"/>
                <w:b/>
                <w:bCs/>
                <w:sz w:val="24"/>
                <w:szCs w:val="24"/>
              </w:rPr>
              <w:fldChar w:fldCharType="end"/>
            </w:r>
            <w:r w:rsidRPr="00F240F5">
              <w:rPr>
                <w:rFonts w:ascii="Book Antiqua" w:hAnsi="Book Antiqua"/>
                <w:sz w:val="24"/>
                <w:szCs w:val="24"/>
                <w:lang w:val="zh-CN" w:eastAsia="zh-CN"/>
              </w:rPr>
              <w:t xml:space="preserve"> / </w:t>
            </w:r>
            <w:r w:rsidRPr="00F240F5">
              <w:rPr>
                <w:rFonts w:ascii="Book Antiqua" w:hAnsi="Book Antiqua"/>
                <w:b/>
                <w:bCs/>
                <w:sz w:val="24"/>
                <w:szCs w:val="24"/>
              </w:rPr>
              <w:fldChar w:fldCharType="begin"/>
            </w:r>
            <w:r w:rsidRPr="00F240F5">
              <w:rPr>
                <w:rFonts w:ascii="Book Antiqua" w:hAnsi="Book Antiqua"/>
                <w:b/>
                <w:bCs/>
                <w:sz w:val="24"/>
                <w:szCs w:val="24"/>
              </w:rPr>
              <w:instrText>NUMPAGES</w:instrText>
            </w:r>
            <w:r w:rsidRPr="00F240F5">
              <w:rPr>
                <w:rFonts w:ascii="Book Antiqua" w:hAnsi="Book Antiqua"/>
                <w:b/>
                <w:bCs/>
                <w:sz w:val="24"/>
                <w:szCs w:val="24"/>
              </w:rPr>
              <w:fldChar w:fldCharType="separate"/>
            </w:r>
            <w:r w:rsidR="001F7264">
              <w:rPr>
                <w:rFonts w:ascii="Book Antiqua" w:hAnsi="Book Antiqua"/>
                <w:b/>
                <w:bCs/>
                <w:noProof/>
                <w:sz w:val="24"/>
                <w:szCs w:val="24"/>
              </w:rPr>
              <w:t>1</w:t>
            </w:r>
            <w:r w:rsidRPr="00F240F5">
              <w:rPr>
                <w:rFonts w:ascii="Book Antiqua" w:hAnsi="Book Antiqua"/>
                <w:b/>
                <w:bCs/>
                <w:sz w:val="24"/>
                <w:szCs w:val="24"/>
              </w:rPr>
              <w:fldChar w:fldCharType="end"/>
            </w:r>
          </w:p>
        </w:sdtContent>
      </w:sdt>
    </w:sdtContent>
  </w:sdt>
  <w:p w14:paraId="2FBDA286" w14:textId="77777777" w:rsidR="00F240F5" w:rsidRDefault="00F240F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33021" w14:textId="77777777" w:rsidR="001F7264" w:rsidRDefault="001F7264" w:rsidP="00F240F5">
      <w:r>
        <w:separator/>
      </w:r>
    </w:p>
  </w:footnote>
  <w:footnote w:type="continuationSeparator" w:id="0">
    <w:p w14:paraId="1B751D7C" w14:textId="77777777" w:rsidR="001F7264" w:rsidRDefault="001F7264" w:rsidP="00F240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3627E"/>
    <w:rsid w:val="001A0A72"/>
    <w:rsid w:val="001F7264"/>
    <w:rsid w:val="00233671"/>
    <w:rsid w:val="00300356"/>
    <w:rsid w:val="003874A7"/>
    <w:rsid w:val="003F37FB"/>
    <w:rsid w:val="004162EF"/>
    <w:rsid w:val="00436B7E"/>
    <w:rsid w:val="004C6962"/>
    <w:rsid w:val="004F02CB"/>
    <w:rsid w:val="00557E2A"/>
    <w:rsid w:val="00622890"/>
    <w:rsid w:val="007177E8"/>
    <w:rsid w:val="00741FE2"/>
    <w:rsid w:val="00783A4A"/>
    <w:rsid w:val="007A6D27"/>
    <w:rsid w:val="00803EB5"/>
    <w:rsid w:val="00923042"/>
    <w:rsid w:val="009A0B47"/>
    <w:rsid w:val="009F199B"/>
    <w:rsid w:val="00A2365A"/>
    <w:rsid w:val="00A55B32"/>
    <w:rsid w:val="00A77B3E"/>
    <w:rsid w:val="00C53143"/>
    <w:rsid w:val="00CA2A55"/>
    <w:rsid w:val="00D714E3"/>
    <w:rsid w:val="00D82885"/>
    <w:rsid w:val="00DC0A57"/>
    <w:rsid w:val="00E21FF4"/>
    <w:rsid w:val="00E34F15"/>
    <w:rsid w:val="00EC22C9"/>
    <w:rsid w:val="00F240F5"/>
    <w:rsid w:val="00F27645"/>
    <w:rsid w:val="00F34226"/>
    <w:rsid w:val="00F77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437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240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40F5"/>
    <w:rPr>
      <w:sz w:val="18"/>
      <w:szCs w:val="18"/>
    </w:rPr>
  </w:style>
  <w:style w:type="paragraph" w:styleId="a4">
    <w:name w:val="footer"/>
    <w:basedOn w:val="a"/>
    <w:link w:val="Char0"/>
    <w:uiPriority w:val="99"/>
    <w:rsid w:val="00F240F5"/>
    <w:pPr>
      <w:tabs>
        <w:tab w:val="center" w:pos="4153"/>
        <w:tab w:val="right" w:pos="8306"/>
      </w:tabs>
      <w:snapToGrid w:val="0"/>
    </w:pPr>
    <w:rPr>
      <w:sz w:val="18"/>
      <w:szCs w:val="18"/>
    </w:rPr>
  </w:style>
  <w:style w:type="character" w:customStyle="1" w:styleId="Char0">
    <w:name w:val="页脚 Char"/>
    <w:basedOn w:val="a0"/>
    <w:link w:val="a4"/>
    <w:uiPriority w:val="99"/>
    <w:rsid w:val="00F240F5"/>
    <w:rPr>
      <w:sz w:val="18"/>
      <w:szCs w:val="18"/>
    </w:rPr>
  </w:style>
  <w:style w:type="paragraph" w:styleId="a5">
    <w:name w:val="Balloon Text"/>
    <w:basedOn w:val="a"/>
    <w:link w:val="Char1"/>
    <w:rsid w:val="00F240F5"/>
    <w:rPr>
      <w:sz w:val="18"/>
      <w:szCs w:val="18"/>
    </w:rPr>
  </w:style>
  <w:style w:type="character" w:customStyle="1" w:styleId="Char1">
    <w:name w:val="批注框文本 Char"/>
    <w:basedOn w:val="a0"/>
    <w:link w:val="a5"/>
    <w:rsid w:val="00F240F5"/>
    <w:rPr>
      <w:sz w:val="18"/>
      <w:szCs w:val="18"/>
    </w:rPr>
  </w:style>
  <w:style w:type="character" w:styleId="a6">
    <w:name w:val="annotation reference"/>
    <w:uiPriority w:val="99"/>
    <w:qFormat/>
    <w:rsid w:val="00E21FF4"/>
    <w:rPr>
      <w:sz w:val="21"/>
      <w:szCs w:val="21"/>
    </w:rPr>
  </w:style>
  <w:style w:type="character" w:styleId="a7">
    <w:name w:val="Hyperlink"/>
    <w:basedOn w:val="a0"/>
    <w:unhideWhenUsed/>
    <w:rsid w:val="009A0B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240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40F5"/>
    <w:rPr>
      <w:sz w:val="18"/>
      <w:szCs w:val="18"/>
    </w:rPr>
  </w:style>
  <w:style w:type="paragraph" w:styleId="a4">
    <w:name w:val="footer"/>
    <w:basedOn w:val="a"/>
    <w:link w:val="Char0"/>
    <w:uiPriority w:val="99"/>
    <w:rsid w:val="00F240F5"/>
    <w:pPr>
      <w:tabs>
        <w:tab w:val="center" w:pos="4153"/>
        <w:tab w:val="right" w:pos="8306"/>
      </w:tabs>
      <w:snapToGrid w:val="0"/>
    </w:pPr>
    <w:rPr>
      <w:sz w:val="18"/>
      <w:szCs w:val="18"/>
    </w:rPr>
  </w:style>
  <w:style w:type="character" w:customStyle="1" w:styleId="Char0">
    <w:name w:val="页脚 Char"/>
    <w:basedOn w:val="a0"/>
    <w:link w:val="a4"/>
    <w:uiPriority w:val="99"/>
    <w:rsid w:val="00F240F5"/>
    <w:rPr>
      <w:sz w:val="18"/>
      <w:szCs w:val="18"/>
    </w:rPr>
  </w:style>
  <w:style w:type="paragraph" w:styleId="a5">
    <w:name w:val="Balloon Text"/>
    <w:basedOn w:val="a"/>
    <w:link w:val="Char1"/>
    <w:rsid w:val="00F240F5"/>
    <w:rPr>
      <w:sz w:val="18"/>
      <w:szCs w:val="18"/>
    </w:rPr>
  </w:style>
  <w:style w:type="character" w:customStyle="1" w:styleId="Char1">
    <w:name w:val="批注框文本 Char"/>
    <w:basedOn w:val="a0"/>
    <w:link w:val="a5"/>
    <w:rsid w:val="00F240F5"/>
    <w:rPr>
      <w:sz w:val="18"/>
      <w:szCs w:val="18"/>
    </w:rPr>
  </w:style>
  <w:style w:type="character" w:styleId="a6">
    <w:name w:val="annotation reference"/>
    <w:uiPriority w:val="99"/>
    <w:qFormat/>
    <w:rsid w:val="00E21FF4"/>
    <w:rPr>
      <w:sz w:val="21"/>
      <w:szCs w:val="21"/>
    </w:rPr>
  </w:style>
  <w:style w:type="character" w:styleId="a7">
    <w:name w:val="Hyperlink"/>
    <w:basedOn w:val="a0"/>
    <w:unhideWhenUsed/>
    <w:rsid w:val="009A0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837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DACFE-6831-4C8E-B991-D4C8529F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2488</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2020-09-09T16:31:00Z</dcterms:created>
  <dcterms:modified xsi:type="dcterms:W3CDTF">2020-10-22T08:42:00Z</dcterms:modified>
</cp:coreProperties>
</file>