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9496" w14:textId="2D08D094" w:rsidR="005D710D" w:rsidRPr="00263307" w:rsidRDefault="005D710D" w:rsidP="00263307">
      <w:pPr>
        <w:adjustRightInd w:val="0"/>
        <w:snapToGrid w:val="0"/>
        <w:spacing w:line="360" w:lineRule="auto"/>
        <w:jc w:val="both"/>
        <w:rPr>
          <w:rFonts w:ascii="Book Antiqua" w:hAnsi="Book Antiqua" w:cs="Segoe UI"/>
          <w:b/>
          <w:bCs/>
          <w:i/>
          <w:color w:val="000000" w:themeColor="text1"/>
          <w:lang w:eastAsia="zh-CN"/>
        </w:rPr>
      </w:pPr>
      <w:r w:rsidRPr="00263307">
        <w:rPr>
          <w:rFonts w:ascii="Book Antiqua" w:hAnsi="Book Antiqua" w:cs="Tahoma"/>
          <w:b/>
          <w:color w:val="000000" w:themeColor="text1"/>
        </w:rPr>
        <w:t xml:space="preserve">Name of Journal: </w:t>
      </w:r>
      <w:r w:rsidRPr="00263307">
        <w:rPr>
          <w:rFonts w:ascii="Book Antiqua" w:hAnsi="Book Antiqua" w:cs="Tahoma"/>
          <w:i/>
          <w:color w:val="000000" w:themeColor="text1"/>
        </w:rPr>
        <w:t>World Journal of Clinical Cases</w:t>
      </w:r>
    </w:p>
    <w:p w14:paraId="6A352537" w14:textId="24F10EFB" w:rsidR="005D710D" w:rsidRPr="00263307" w:rsidRDefault="005D710D" w:rsidP="00263307">
      <w:pPr>
        <w:adjustRightInd w:val="0"/>
        <w:snapToGrid w:val="0"/>
        <w:spacing w:line="360" w:lineRule="auto"/>
        <w:jc w:val="both"/>
        <w:rPr>
          <w:rFonts w:ascii="Book Antiqua" w:eastAsia="宋体" w:hAnsi="Book Antiqua" w:cs="Tahoma"/>
          <w:b/>
          <w:color w:val="000000" w:themeColor="text1"/>
          <w:lang w:eastAsia="zh-CN"/>
        </w:rPr>
      </w:pPr>
      <w:r w:rsidRPr="00263307">
        <w:rPr>
          <w:rFonts w:ascii="Book Antiqua" w:hAnsi="Book Antiqua" w:cs="Tahoma"/>
          <w:b/>
          <w:color w:val="000000" w:themeColor="text1"/>
        </w:rPr>
        <w:t xml:space="preserve">Manuscript NO: </w:t>
      </w:r>
      <w:r w:rsidRPr="00263307">
        <w:rPr>
          <w:rFonts w:ascii="Book Antiqua" w:eastAsia="宋体" w:hAnsi="Book Antiqua" w:cs="Tahoma"/>
          <w:color w:val="000000" w:themeColor="text1"/>
          <w:lang w:eastAsia="zh-CN"/>
        </w:rPr>
        <w:t>54694</w:t>
      </w:r>
    </w:p>
    <w:p w14:paraId="13E1B04F" w14:textId="77777777" w:rsidR="005D710D" w:rsidRPr="00263307" w:rsidRDefault="005D710D" w:rsidP="00263307">
      <w:pPr>
        <w:adjustRightInd w:val="0"/>
        <w:snapToGrid w:val="0"/>
        <w:spacing w:line="360" w:lineRule="auto"/>
        <w:jc w:val="both"/>
        <w:rPr>
          <w:rFonts w:ascii="Book Antiqua" w:hAnsi="Book Antiqua" w:cs="Segoe UI"/>
          <w:b/>
          <w:bCs/>
          <w:i/>
          <w:color w:val="000000" w:themeColor="text1"/>
          <w:lang w:eastAsia="zh-CN"/>
        </w:rPr>
      </w:pPr>
      <w:bookmarkStart w:id="0" w:name="OLE_LINK3"/>
      <w:r w:rsidRPr="00263307">
        <w:rPr>
          <w:rFonts w:ascii="Book Antiqua" w:hAnsi="Book Antiqua"/>
          <w:b/>
          <w:color w:val="000000" w:themeColor="text1"/>
          <w:shd w:val="clear" w:color="auto" w:fill="FFFFFF"/>
        </w:rPr>
        <w:t>Manuscript Type</w:t>
      </w:r>
      <w:r w:rsidRPr="00263307">
        <w:rPr>
          <w:rFonts w:ascii="Book Antiqua" w:hAnsi="Book Antiqua"/>
          <w:b/>
          <w:color w:val="000000" w:themeColor="text1"/>
        </w:rPr>
        <w:t>:</w:t>
      </w:r>
      <w:bookmarkEnd w:id="0"/>
      <w:r w:rsidRPr="00263307">
        <w:rPr>
          <w:rFonts w:ascii="Book Antiqua" w:hAnsi="Book Antiqua" w:cs="Segoe UI"/>
          <w:b/>
          <w:bCs/>
          <w:i/>
          <w:color w:val="000000" w:themeColor="text1"/>
        </w:rPr>
        <w:t xml:space="preserve"> </w:t>
      </w:r>
      <w:r w:rsidRPr="00263307">
        <w:rPr>
          <w:rFonts w:ascii="Book Antiqua" w:hAnsi="Book Antiqua"/>
          <w:color w:val="000000" w:themeColor="text1"/>
        </w:rPr>
        <w:t>ORIGINAL ARTICLE</w:t>
      </w:r>
    </w:p>
    <w:p w14:paraId="6DD72C96" w14:textId="77777777" w:rsidR="0020568A" w:rsidRPr="00263307" w:rsidRDefault="0020568A" w:rsidP="00263307">
      <w:pPr>
        <w:adjustRightInd w:val="0"/>
        <w:snapToGrid w:val="0"/>
        <w:spacing w:line="360" w:lineRule="auto"/>
        <w:jc w:val="both"/>
        <w:rPr>
          <w:rFonts w:ascii="Book Antiqua" w:hAnsi="Book Antiqua" w:cs="Times New Roman"/>
          <w:b/>
          <w:color w:val="000000" w:themeColor="text1"/>
        </w:rPr>
      </w:pPr>
    </w:p>
    <w:p w14:paraId="63ED61D3" w14:textId="77777777" w:rsidR="0044791D" w:rsidRPr="00263307" w:rsidRDefault="0044791D" w:rsidP="00263307">
      <w:pPr>
        <w:adjustRightInd w:val="0"/>
        <w:snapToGrid w:val="0"/>
        <w:spacing w:line="360" w:lineRule="auto"/>
        <w:jc w:val="both"/>
        <w:rPr>
          <w:rFonts w:ascii="Book Antiqua" w:hAnsi="Book Antiqua" w:cs="Segoe UI"/>
          <w:b/>
          <w:bCs/>
          <w:i/>
          <w:color w:val="000000" w:themeColor="text1"/>
          <w:lang w:eastAsia="zh-CN"/>
        </w:rPr>
      </w:pPr>
      <w:r w:rsidRPr="00263307">
        <w:rPr>
          <w:rFonts w:ascii="Book Antiqua" w:hAnsi="Book Antiqua" w:cs="Segoe UI"/>
          <w:b/>
          <w:bCs/>
          <w:i/>
          <w:color w:val="000000" w:themeColor="text1"/>
        </w:rPr>
        <w:t>Case Control Study</w:t>
      </w:r>
    </w:p>
    <w:p w14:paraId="6C66E250" w14:textId="2AD30067" w:rsidR="00E23D49" w:rsidRPr="00263307" w:rsidRDefault="00BC41B0" w:rsidP="00263307">
      <w:pPr>
        <w:adjustRightInd w:val="0"/>
        <w:snapToGrid w:val="0"/>
        <w:spacing w:line="360" w:lineRule="auto"/>
        <w:jc w:val="both"/>
        <w:rPr>
          <w:rFonts w:ascii="Book Antiqua" w:hAnsi="Book Antiqua" w:cs="Times New Roman"/>
          <w:b/>
          <w:color w:val="000000" w:themeColor="text1"/>
        </w:rPr>
      </w:pPr>
      <w:r w:rsidRPr="00263307">
        <w:rPr>
          <w:rFonts w:ascii="Book Antiqua" w:hAnsi="Book Antiqua" w:cs="Times New Roman"/>
          <w:b/>
          <w:color w:val="000000" w:themeColor="text1"/>
        </w:rPr>
        <w:t xml:space="preserve">Clinical </w:t>
      </w:r>
      <w:r w:rsidR="00F873C0" w:rsidRPr="00263307">
        <w:rPr>
          <w:rFonts w:ascii="Book Antiqua" w:hAnsi="Book Antiqua" w:cs="Times New Roman"/>
          <w:b/>
          <w:color w:val="000000" w:themeColor="text1"/>
        </w:rPr>
        <w:t xml:space="preserve">prediction </w:t>
      </w:r>
      <w:r w:rsidR="009A3C32" w:rsidRPr="00263307">
        <w:rPr>
          <w:rFonts w:ascii="Book Antiqua" w:hAnsi="Book Antiqua" w:cs="Times New Roman"/>
          <w:b/>
          <w:color w:val="000000" w:themeColor="text1"/>
        </w:rPr>
        <w:t>of</w:t>
      </w:r>
      <w:r w:rsidRPr="00263307">
        <w:rPr>
          <w:rFonts w:ascii="Book Antiqua" w:hAnsi="Book Antiqua" w:cs="Times New Roman"/>
          <w:b/>
          <w:color w:val="000000" w:themeColor="text1"/>
        </w:rPr>
        <w:t xml:space="preserve"> </w:t>
      </w:r>
      <w:r w:rsidR="00F873C0" w:rsidRPr="00263307">
        <w:rPr>
          <w:rFonts w:ascii="Book Antiqua" w:hAnsi="Book Antiqua" w:cs="Times New Roman"/>
          <w:b/>
          <w:color w:val="000000" w:themeColor="text1"/>
        </w:rPr>
        <w:t xml:space="preserve">complicated </w:t>
      </w:r>
      <w:r w:rsidRPr="00263307">
        <w:rPr>
          <w:rFonts w:ascii="Book Antiqua" w:hAnsi="Book Antiqua" w:cs="Times New Roman"/>
          <w:b/>
          <w:color w:val="000000" w:themeColor="text1"/>
        </w:rPr>
        <w:t>appendicitis</w:t>
      </w:r>
      <w:r w:rsidR="00E45013" w:rsidRPr="00263307">
        <w:rPr>
          <w:rFonts w:ascii="Book Antiqua" w:hAnsi="Book Antiqua" w:cs="Times New Roman"/>
          <w:b/>
          <w:color w:val="000000" w:themeColor="text1"/>
        </w:rPr>
        <w:t xml:space="preserve">: </w:t>
      </w:r>
      <w:r w:rsidR="0044791D" w:rsidRPr="00263307">
        <w:rPr>
          <w:rFonts w:ascii="Book Antiqua" w:hAnsi="Book Antiqua" w:cs="Times New Roman"/>
          <w:b/>
          <w:color w:val="000000" w:themeColor="text1"/>
        </w:rPr>
        <w:t>A</w:t>
      </w:r>
      <w:r w:rsidR="008547E6" w:rsidRPr="00263307">
        <w:rPr>
          <w:rFonts w:ascii="Book Antiqua" w:hAnsi="Book Antiqua" w:cs="Times New Roman"/>
          <w:b/>
          <w:color w:val="000000" w:themeColor="text1"/>
        </w:rPr>
        <w:t xml:space="preserve"> case-control study utilizing logistic regression</w:t>
      </w:r>
    </w:p>
    <w:p w14:paraId="74A925BF" w14:textId="77777777" w:rsidR="00E45013" w:rsidRPr="00263307" w:rsidRDefault="00E45013" w:rsidP="00263307">
      <w:pPr>
        <w:adjustRightInd w:val="0"/>
        <w:snapToGrid w:val="0"/>
        <w:spacing w:line="360" w:lineRule="auto"/>
        <w:jc w:val="both"/>
        <w:rPr>
          <w:rFonts w:ascii="Book Antiqua" w:hAnsi="Book Antiqua" w:cs="Times New Roman"/>
          <w:color w:val="000000" w:themeColor="text1"/>
        </w:rPr>
      </w:pPr>
    </w:p>
    <w:p w14:paraId="4BE182E2" w14:textId="3B37F831" w:rsidR="00F873C0" w:rsidRPr="00263307" w:rsidRDefault="0044791D"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 xml:space="preserve">Sasaki </w:t>
      </w:r>
      <w:r w:rsidRPr="00263307">
        <w:rPr>
          <w:rFonts w:ascii="Book Antiqua" w:eastAsia="宋体" w:hAnsi="Book Antiqua" w:cs="Times New Roman"/>
          <w:color w:val="000000" w:themeColor="text1"/>
          <w:lang w:eastAsia="zh-CN"/>
        </w:rPr>
        <w:t xml:space="preserve">Y </w:t>
      </w:r>
      <w:r w:rsidRPr="00263307">
        <w:rPr>
          <w:rFonts w:ascii="Book Antiqua" w:eastAsia="宋体" w:hAnsi="Book Antiqua" w:cs="Times New Roman"/>
          <w:i/>
          <w:color w:val="000000" w:themeColor="text1"/>
          <w:lang w:eastAsia="zh-CN"/>
        </w:rPr>
        <w:t>et al</w:t>
      </w:r>
      <w:r w:rsidRPr="00263307">
        <w:rPr>
          <w:rFonts w:ascii="Book Antiqua" w:eastAsia="宋体" w:hAnsi="Book Antiqua" w:cs="Times New Roman"/>
          <w:color w:val="000000" w:themeColor="text1"/>
          <w:lang w:eastAsia="zh-CN"/>
        </w:rPr>
        <w:t xml:space="preserve">. </w:t>
      </w:r>
      <w:r w:rsidRPr="00263307">
        <w:rPr>
          <w:rFonts w:ascii="Book Antiqua" w:hAnsi="Book Antiqua" w:cs="Times New Roman"/>
          <w:color w:val="000000" w:themeColor="text1"/>
        </w:rPr>
        <w:t>Clinical prediction of complicated appendicitis</w:t>
      </w:r>
    </w:p>
    <w:p w14:paraId="7D90F095" w14:textId="77777777" w:rsidR="00E63972" w:rsidRPr="00263307" w:rsidRDefault="00E63972" w:rsidP="00263307">
      <w:pPr>
        <w:adjustRightInd w:val="0"/>
        <w:snapToGrid w:val="0"/>
        <w:spacing w:line="360" w:lineRule="auto"/>
        <w:jc w:val="both"/>
        <w:rPr>
          <w:rFonts w:ascii="Book Antiqua" w:eastAsia="宋体" w:hAnsi="Book Antiqua" w:cs="Times New Roman"/>
          <w:color w:val="000000" w:themeColor="text1"/>
          <w:lang w:eastAsia="zh-CN"/>
        </w:rPr>
      </w:pPr>
    </w:p>
    <w:p w14:paraId="4E928E81" w14:textId="6BB6B20C" w:rsidR="007D143A" w:rsidRPr="00263307" w:rsidRDefault="00BC41B0"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 xml:space="preserve">Yosuke Sasaki, Fumiya Komatsu, </w:t>
      </w:r>
      <w:proofErr w:type="spellStart"/>
      <w:r w:rsidRPr="00263307">
        <w:rPr>
          <w:rFonts w:ascii="Book Antiqua" w:hAnsi="Book Antiqua" w:cs="Times New Roman"/>
          <w:color w:val="000000" w:themeColor="text1"/>
        </w:rPr>
        <w:t>Naoyasu</w:t>
      </w:r>
      <w:proofErr w:type="spellEnd"/>
      <w:r w:rsidRPr="00263307">
        <w:rPr>
          <w:rFonts w:ascii="Book Antiqua" w:hAnsi="Book Antiqua" w:cs="Times New Roman"/>
          <w:color w:val="000000" w:themeColor="text1"/>
        </w:rPr>
        <w:t xml:space="preserve"> Kashima,</w:t>
      </w:r>
      <w:r w:rsidR="000D42F1" w:rsidRPr="00263307">
        <w:rPr>
          <w:rFonts w:ascii="Book Antiqua" w:hAnsi="Book Antiqua" w:cs="Times New Roman"/>
          <w:color w:val="000000" w:themeColor="text1"/>
        </w:rPr>
        <w:t xml:space="preserve"> </w:t>
      </w:r>
      <w:r w:rsidR="00264675" w:rsidRPr="00263307">
        <w:rPr>
          <w:rFonts w:ascii="Book Antiqua" w:hAnsi="Book Antiqua" w:cs="Times New Roman"/>
          <w:color w:val="000000" w:themeColor="text1"/>
        </w:rPr>
        <w:t xml:space="preserve">Takeshi Suzuki, </w:t>
      </w:r>
      <w:proofErr w:type="spellStart"/>
      <w:r w:rsidR="003F17D9" w:rsidRPr="00263307">
        <w:rPr>
          <w:rFonts w:ascii="Book Antiqua" w:hAnsi="Book Antiqua" w:cs="Times New Roman"/>
          <w:color w:val="000000" w:themeColor="text1"/>
        </w:rPr>
        <w:t>Ikutaka</w:t>
      </w:r>
      <w:proofErr w:type="spellEnd"/>
      <w:r w:rsidR="003F17D9" w:rsidRPr="00263307">
        <w:rPr>
          <w:rFonts w:ascii="Book Antiqua" w:hAnsi="Book Antiqua" w:cs="Times New Roman"/>
          <w:color w:val="000000" w:themeColor="text1"/>
        </w:rPr>
        <w:t xml:space="preserve"> Takemoto, </w:t>
      </w:r>
      <w:proofErr w:type="spellStart"/>
      <w:r w:rsidR="00256173" w:rsidRPr="00263307">
        <w:rPr>
          <w:rFonts w:ascii="Book Antiqua" w:hAnsi="Book Antiqua" w:cs="Times New Roman"/>
          <w:color w:val="000000" w:themeColor="text1"/>
        </w:rPr>
        <w:t>Sho</w:t>
      </w:r>
      <w:proofErr w:type="spellEnd"/>
      <w:r w:rsidR="00256173" w:rsidRPr="00263307">
        <w:rPr>
          <w:rFonts w:ascii="Book Antiqua" w:hAnsi="Book Antiqua" w:cs="Times New Roman"/>
          <w:color w:val="000000" w:themeColor="text1"/>
        </w:rPr>
        <w:t xml:space="preserve"> Kijima, </w:t>
      </w:r>
      <w:r w:rsidR="003F17D9" w:rsidRPr="00263307">
        <w:rPr>
          <w:rFonts w:ascii="Book Antiqua" w:hAnsi="Book Antiqua" w:cs="Times New Roman"/>
          <w:color w:val="000000" w:themeColor="text1"/>
        </w:rPr>
        <w:t xml:space="preserve">Tadashi Maeda, </w:t>
      </w:r>
      <w:r w:rsidR="0020754A" w:rsidRPr="00263307">
        <w:rPr>
          <w:rFonts w:ascii="Book Antiqua" w:hAnsi="Book Antiqua" w:cs="Times New Roman"/>
          <w:color w:val="000000" w:themeColor="text1"/>
        </w:rPr>
        <w:t xml:space="preserve">Taito Miyazaki, </w:t>
      </w:r>
      <w:r w:rsidRPr="00263307">
        <w:rPr>
          <w:rFonts w:ascii="Book Antiqua" w:hAnsi="Book Antiqua" w:cs="Times New Roman"/>
          <w:color w:val="000000" w:themeColor="text1"/>
        </w:rPr>
        <w:t>Yoshiko Honda</w:t>
      </w:r>
      <w:r w:rsidR="0020568A" w:rsidRPr="00263307">
        <w:rPr>
          <w:rFonts w:ascii="Book Antiqua" w:hAnsi="Book Antiqua" w:cs="Times New Roman"/>
          <w:color w:val="000000" w:themeColor="text1"/>
        </w:rPr>
        <w:t>,</w:t>
      </w:r>
      <w:r w:rsidRPr="00263307">
        <w:rPr>
          <w:rFonts w:ascii="Book Antiqua" w:hAnsi="Book Antiqua" w:cs="Times New Roman"/>
          <w:color w:val="000000" w:themeColor="text1"/>
        </w:rPr>
        <w:t xml:space="preserve"> </w:t>
      </w:r>
      <w:r w:rsidR="00E7460E" w:rsidRPr="00263307">
        <w:rPr>
          <w:rFonts w:ascii="Book Antiqua" w:hAnsi="Book Antiqua" w:cs="Times New Roman"/>
          <w:color w:val="000000" w:themeColor="text1"/>
        </w:rPr>
        <w:t xml:space="preserve">Hiroaki </w:t>
      </w:r>
      <w:proofErr w:type="spellStart"/>
      <w:r w:rsidR="00E7460E" w:rsidRPr="00263307">
        <w:rPr>
          <w:rFonts w:ascii="Book Antiqua" w:hAnsi="Book Antiqua" w:cs="Times New Roman"/>
          <w:color w:val="000000" w:themeColor="text1"/>
        </w:rPr>
        <w:t>Zai</w:t>
      </w:r>
      <w:proofErr w:type="spellEnd"/>
      <w:r w:rsidR="00E7460E" w:rsidRPr="00263307">
        <w:rPr>
          <w:rFonts w:ascii="Book Antiqua" w:hAnsi="Book Antiqua" w:cs="Times New Roman"/>
          <w:color w:val="000000" w:themeColor="text1"/>
        </w:rPr>
        <w:t xml:space="preserve">, </w:t>
      </w:r>
      <w:r w:rsidR="003F17D9" w:rsidRPr="00263307">
        <w:rPr>
          <w:rFonts w:ascii="Book Antiqua" w:hAnsi="Book Antiqua" w:cs="Times New Roman"/>
          <w:color w:val="000000" w:themeColor="text1"/>
        </w:rPr>
        <w:t xml:space="preserve">Nagato Shimada, </w:t>
      </w:r>
      <w:proofErr w:type="spellStart"/>
      <w:r w:rsidR="00DD484E" w:rsidRPr="00263307">
        <w:rPr>
          <w:rFonts w:ascii="Book Antiqua" w:hAnsi="Book Antiqua" w:cs="Times New Roman"/>
          <w:color w:val="000000" w:themeColor="text1"/>
        </w:rPr>
        <w:t>Kimihiko</w:t>
      </w:r>
      <w:proofErr w:type="spellEnd"/>
      <w:r w:rsidR="00DD484E" w:rsidRPr="00263307">
        <w:rPr>
          <w:rFonts w:ascii="Book Antiqua" w:hAnsi="Book Antiqua" w:cs="Times New Roman"/>
          <w:color w:val="000000" w:themeColor="text1"/>
        </w:rPr>
        <w:t xml:space="preserve"> </w:t>
      </w:r>
      <w:proofErr w:type="spellStart"/>
      <w:r w:rsidR="00DD484E" w:rsidRPr="00263307">
        <w:rPr>
          <w:rFonts w:ascii="Book Antiqua" w:hAnsi="Book Antiqua" w:cs="Times New Roman"/>
          <w:color w:val="000000" w:themeColor="text1"/>
        </w:rPr>
        <w:t>Funahashi</w:t>
      </w:r>
      <w:proofErr w:type="spellEnd"/>
      <w:r w:rsidR="00DD484E" w:rsidRPr="00263307">
        <w:rPr>
          <w:rFonts w:ascii="Book Antiqua" w:hAnsi="Book Antiqua" w:cs="Times New Roman"/>
          <w:color w:val="000000" w:themeColor="text1"/>
        </w:rPr>
        <w:t xml:space="preserve">, </w:t>
      </w:r>
      <w:r w:rsidRPr="00263307">
        <w:rPr>
          <w:rFonts w:ascii="Book Antiqua" w:hAnsi="Book Antiqua" w:cs="Times New Roman"/>
          <w:color w:val="000000" w:themeColor="text1"/>
        </w:rPr>
        <w:t xml:space="preserve">Yoshihisa </w:t>
      </w:r>
      <w:proofErr w:type="spellStart"/>
      <w:r w:rsidRPr="00263307">
        <w:rPr>
          <w:rFonts w:ascii="Book Antiqua" w:hAnsi="Book Antiqua" w:cs="Times New Roman"/>
          <w:color w:val="000000" w:themeColor="text1"/>
        </w:rPr>
        <w:t>Urita</w:t>
      </w:r>
      <w:proofErr w:type="spellEnd"/>
    </w:p>
    <w:p w14:paraId="0CFBD5FB" w14:textId="77777777" w:rsidR="000D42F1" w:rsidRPr="00263307" w:rsidRDefault="000D42F1" w:rsidP="00263307">
      <w:pPr>
        <w:adjustRightInd w:val="0"/>
        <w:snapToGrid w:val="0"/>
        <w:spacing w:line="360" w:lineRule="auto"/>
        <w:jc w:val="both"/>
        <w:rPr>
          <w:rFonts w:ascii="Book Antiqua" w:hAnsi="Book Antiqua" w:cs="Times New Roman"/>
          <w:color w:val="000000" w:themeColor="text1"/>
        </w:rPr>
      </w:pPr>
    </w:p>
    <w:p w14:paraId="76DF27FA" w14:textId="096B9711" w:rsidR="00BC41B0" w:rsidRPr="00263307" w:rsidRDefault="00256173"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cs="Times New Roman"/>
          <w:b/>
          <w:color w:val="000000" w:themeColor="text1"/>
        </w:rPr>
        <w:t xml:space="preserve">Yosuke Sasaki, Fumiya Komatsu, </w:t>
      </w:r>
      <w:proofErr w:type="spellStart"/>
      <w:r w:rsidRPr="00263307">
        <w:rPr>
          <w:rFonts w:ascii="Book Antiqua" w:hAnsi="Book Antiqua" w:cs="Times New Roman"/>
          <w:b/>
          <w:color w:val="000000" w:themeColor="text1"/>
        </w:rPr>
        <w:t>Naoyasu</w:t>
      </w:r>
      <w:proofErr w:type="spellEnd"/>
      <w:r w:rsidRPr="00263307">
        <w:rPr>
          <w:rFonts w:ascii="Book Antiqua" w:hAnsi="Book Antiqua" w:cs="Times New Roman"/>
          <w:b/>
          <w:color w:val="000000" w:themeColor="text1"/>
        </w:rPr>
        <w:t xml:space="preserve"> Kashima, </w:t>
      </w:r>
      <w:r w:rsidR="00264675" w:rsidRPr="00263307">
        <w:rPr>
          <w:rFonts w:ascii="Book Antiqua" w:hAnsi="Book Antiqua" w:cs="Times New Roman"/>
          <w:b/>
          <w:color w:val="000000" w:themeColor="text1"/>
        </w:rPr>
        <w:t>Takeshi Suzuki,</w:t>
      </w:r>
      <w:r w:rsidR="00863A76" w:rsidRPr="00263307">
        <w:rPr>
          <w:rFonts w:ascii="Book Antiqua" w:hAnsi="Book Antiqua" w:cs="Times New Roman"/>
          <w:b/>
          <w:color w:val="000000" w:themeColor="text1"/>
        </w:rPr>
        <w:t xml:space="preserve"> </w:t>
      </w:r>
      <w:proofErr w:type="spellStart"/>
      <w:r w:rsidRPr="00263307">
        <w:rPr>
          <w:rFonts w:ascii="Book Antiqua" w:hAnsi="Book Antiqua" w:cs="Times New Roman"/>
          <w:b/>
          <w:color w:val="000000" w:themeColor="text1"/>
        </w:rPr>
        <w:t>Ikutaka</w:t>
      </w:r>
      <w:proofErr w:type="spellEnd"/>
      <w:r w:rsidRPr="00263307">
        <w:rPr>
          <w:rFonts w:ascii="Book Antiqua" w:hAnsi="Book Antiqua" w:cs="Times New Roman"/>
          <w:b/>
          <w:color w:val="000000" w:themeColor="text1"/>
        </w:rPr>
        <w:t xml:space="preserve"> Takemoto, </w:t>
      </w:r>
      <w:proofErr w:type="spellStart"/>
      <w:r w:rsidRPr="00263307">
        <w:rPr>
          <w:rFonts w:ascii="Book Antiqua" w:hAnsi="Book Antiqua" w:cs="Times New Roman"/>
          <w:b/>
          <w:color w:val="000000" w:themeColor="text1"/>
        </w:rPr>
        <w:t>Sho</w:t>
      </w:r>
      <w:proofErr w:type="spellEnd"/>
      <w:r w:rsidRPr="00263307">
        <w:rPr>
          <w:rFonts w:ascii="Book Antiqua" w:hAnsi="Book Antiqua" w:cs="Times New Roman"/>
          <w:b/>
          <w:color w:val="000000" w:themeColor="text1"/>
        </w:rPr>
        <w:t xml:space="preserve"> Kijima, Tadashi Maeda, </w:t>
      </w:r>
      <w:r w:rsidR="0020754A" w:rsidRPr="00263307">
        <w:rPr>
          <w:rFonts w:ascii="Book Antiqua" w:hAnsi="Book Antiqua" w:cs="Times New Roman"/>
          <w:b/>
          <w:color w:val="000000" w:themeColor="text1"/>
        </w:rPr>
        <w:t xml:space="preserve">Taito Miyazaki, </w:t>
      </w:r>
      <w:r w:rsidRPr="00263307">
        <w:rPr>
          <w:rFonts w:ascii="Book Antiqua" w:hAnsi="Book Antiqua" w:cs="Times New Roman"/>
          <w:b/>
          <w:color w:val="000000" w:themeColor="text1"/>
        </w:rPr>
        <w:t xml:space="preserve">Yoshiko Honda, Nagato Shimada, Yoshihisa </w:t>
      </w:r>
      <w:proofErr w:type="spellStart"/>
      <w:r w:rsidRPr="00263307">
        <w:rPr>
          <w:rFonts w:ascii="Book Antiqua" w:hAnsi="Book Antiqua" w:cs="Times New Roman"/>
          <w:b/>
          <w:color w:val="000000" w:themeColor="text1"/>
        </w:rPr>
        <w:t>Urita</w:t>
      </w:r>
      <w:proofErr w:type="spellEnd"/>
      <w:r w:rsidR="000D42F1" w:rsidRPr="00263307">
        <w:rPr>
          <w:rFonts w:ascii="Book Antiqua" w:hAnsi="Book Antiqua" w:cs="Times New Roman"/>
          <w:b/>
          <w:color w:val="000000" w:themeColor="text1"/>
        </w:rPr>
        <w:t xml:space="preserve">, </w:t>
      </w:r>
      <w:r w:rsidR="00BC41B0" w:rsidRPr="00263307">
        <w:rPr>
          <w:rFonts w:ascii="Book Antiqua" w:hAnsi="Book Antiqua" w:cs="Times New Roman"/>
          <w:color w:val="000000" w:themeColor="text1"/>
        </w:rPr>
        <w:t>Department of General Medicine and Emergency Care, Toho University School of Medicine</w:t>
      </w:r>
      <w:r w:rsidR="005274E7" w:rsidRPr="00263307">
        <w:rPr>
          <w:rFonts w:ascii="Book Antiqua" w:hAnsi="Book Antiqua" w:cs="Times New Roman"/>
          <w:color w:val="000000" w:themeColor="text1"/>
        </w:rPr>
        <w:t>, Ota-</w:t>
      </w:r>
      <w:proofErr w:type="spellStart"/>
      <w:r w:rsidR="005274E7" w:rsidRPr="00263307">
        <w:rPr>
          <w:rFonts w:ascii="Book Antiqua" w:hAnsi="Book Antiqua" w:cs="Times New Roman"/>
          <w:color w:val="000000" w:themeColor="text1"/>
        </w:rPr>
        <w:t>ku</w:t>
      </w:r>
      <w:proofErr w:type="spellEnd"/>
      <w:r w:rsidR="005274E7" w:rsidRPr="00263307">
        <w:rPr>
          <w:rFonts w:ascii="Book Antiqua" w:hAnsi="Book Antiqua" w:cs="Times New Roman"/>
          <w:color w:val="000000" w:themeColor="text1"/>
        </w:rPr>
        <w:t>, Tokyo 143-8541, Japan</w:t>
      </w:r>
    </w:p>
    <w:p w14:paraId="25EA9B6C" w14:textId="77777777" w:rsidR="0044791D" w:rsidRPr="00263307" w:rsidRDefault="0044791D" w:rsidP="00263307">
      <w:pPr>
        <w:adjustRightInd w:val="0"/>
        <w:snapToGrid w:val="0"/>
        <w:spacing w:line="360" w:lineRule="auto"/>
        <w:jc w:val="both"/>
        <w:rPr>
          <w:rFonts w:ascii="Book Antiqua" w:eastAsia="宋体" w:hAnsi="Book Antiqua" w:cs="Times New Roman"/>
          <w:color w:val="000000" w:themeColor="text1"/>
          <w:lang w:eastAsia="zh-CN"/>
        </w:rPr>
      </w:pPr>
    </w:p>
    <w:p w14:paraId="39365C9D" w14:textId="54B0BD5C" w:rsidR="00DD484E" w:rsidRPr="00263307" w:rsidRDefault="00DD484E" w:rsidP="00263307">
      <w:pPr>
        <w:adjustRightInd w:val="0"/>
        <w:snapToGrid w:val="0"/>
        <w:spacing w:line="360" w:lineRule="auto"/>
        <w:jc w:val="both"/>
        <w:rPr>
          <w:rFonts w:ascii="Book Antiqua" w:hAnsi="Book Antiqua" w:cs="Times New Roman"/>
          <w:color w:val="000000" w:themeColor="text1"/>
        </w:rPr>
      </w:pPr>
      <w:proofErr w:type="spellStart"/>
      <w:r w:rsidRPr="00263307">
        <w:rPr>
          <w:rFonts w:ascii="Book Antiqua" w:hAnsi="Book Antiqua" w:cs="Times New Roman"/>
          <w:b/>
          <w:color w:val="000000" w:themeColor="text1"/>
        </w:rPr>
        <w:t>Kimihiko</w:t>
      </w:r>
      <w:proofErr w:type="spellEnd"/>
      <w:r w:rsidRPr="00263307">
        <w:rPr>
          <w:rFonts w:ascii="Book Antiqua" w:hAnsi="Book Antiqua" w:cs="Times New Roman"/>
          <w:b/>
          <w:color w:val="000000" w:themeColor="text1"/>
        </w:rPr>
        <w:t xml:space="preserve"> </w:t>
      </w:r>
      <w:proofErr w:type="spellStart"/>
      <w:r w:rsidRPr="00263307">
        <w:rPr>
          <w:rFonts w:ascii="Book Antiqua" w:hAnsi="Book Antiqua" w:cs="Times New Roman"/>
          <w:b/>
          <w:color w:val="000000" w:themeColor="text1"/>
        </w:rPr>
        <w:t>Funahashi</w:t>
      </w:r>
      <w:proofErr w:type="spellEnd"/>
      <w:r w:rsidRPr="00263307">
        <w:rPr>
          <w:rFonts w:ascii="Book Antiqua" w:hAnsi="Book Antiqua" w:cs="Times New Roman"/>
          <w:b/>
          <w:color w:val="000000" w:themeColor="text1"/>
        </w:rPr>
        <w:t xml:space="preserve">, </w:t>
      </w:r>
      <w:r w:rsidRPr="00263307">
        <w:rPr>
          <w:rFonts w:ascii="Book Antiqua" w:hAnsi="Book Antiqua" w:cs="Times New Roman"/>
          <w:color w:val="000000" w:themeColor="text1"/>
        </w:rPr>
        <w:t>Department of General and Gastroenterological Surgery, Toho University Omori Medical Center, Otaku, Tokyo 143-8541, Japan</w:t>
      </w:r>
    </w:p>
    <w:p w14:paraId="4FBA300D" w14:textId="77777777" w:rsidR="00FF3927" w:rsidRPr="00263307" w:rsidRDefault="00FF3927" w:rsidP="00263307">
      <w:pPr>
        <w:pStyle w:val="HTML"/>
        <w:adjustRightInd w:val="0"/>
        <w:snapToGrid w:val="0"/>
        <w:spacing w:line="360" w:lineRule="auto"/>
        <w:jc w:val="both"/>
        <w:rPr>
          <w:rFonts w:ascii="Book Antiqua" w:eastAsia="宋体" w:hAnsi="Book Antiqua" w:cs="Times New Roman"/>
          <w:color w:val="000000" w:themeColor="text1"/>
          <w:sz w:val="24"/>
          <w:szCs w:val="24"/>
          <w:lang w:eastAsia="zh-CN"/>
        </w:rPr>
      </w:pPr>
    </w:p>
    <w:p w14:paraId="3DE3ED4A" w14:textId="141D5FE9" w:rsidR="005274E7" w:rsidRPr="00263307" w:rsidRDefault="0020568A"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cs="Times New Roman"/>
          <w:b/>
          <w:color w:val="000000" w:themeColor="text1"/>
        </w:rPr>
        <w:t xml:space="preserve">Author contributions: </w:t>
      </w:r>
      <w:r w:rsidRPr="00263307">
        <w:rPr>
          <w:rFonts w:ascii="Book Antiqua" w:hAnsi="Book Antiqua" w:cs="Times New Roman"/>
          <w:color w:val="000000" w:themeColor="text1"/>
        </w:rPr>
        <w:t>Sasaki Y designed the research, collected data, and wrote the manuscript; Komatsu F</w:t>
      </w:r>
      <w:r w:rsidR="00804D6D" w:rsidRPr="00263307">
        <w:rPr>
          <w:rFonts w:ascii="Book Antiqua" w:hAnsi="Book Antiqua" w:cs="Times New Roman"/>
          <w:color w:val="000000" w:themeColor="text1"/>
        </w:rPr>
        <w:t>,</w:t>
      </w:r>
      <w:r w:rsidR="00256173" w:rsidRPr="00263307">
        <w:rPr>
          <w:rFonts w:ascii="Book Antiqua" w:hAnsi="Book Antiqua" w:cs="Times New Roman"/>
          <w:color w:val="000000" w:themeColor="text1"/>
        </w:rPr>
        <w:t xml:space="preserve"> </w:t>
      </w:r>
      <w:r w:rsidRPr="00263307">
        <w:rPr>
          <w:rFonts w:ascii="Book Antiqua" w:hAnsi="Book Antiqua" w:cs="Times New Roman"/>
          <w:color w:val="000000" w:themeColor="text1"/>
        </w:rPr>
        <w:t>Kashima N</w:t>
      </w:r>
      <w:r w:rsidR="00264675" w:rsidRPr="00263307">
        <w:rPr>
          <w:rFonts w:ascii="Book Antiqua" w:hAnsi="Book Antiqua" w:cs="Times New Roman"/>
          <w:color w:val="000000" w:themeColor="text1"/>
        </w:rPr>
        <w:t xml:space="preserve">, and Suzuki T </w:t>
      </w:r>
      <w:r w:rsidR="00256173" w:rsidRPr="00263307">
        <w:rPr>
          <w:rFonts w:ascii="Book Antiqua" w:hAnsi="Book Antiqua" w:cs="Times New Roman"/>
          <w:color w:val="000000" w:themeColor="text1"/>
        </w:rPr>
        <w:t xml:space="preserve">collected data with Sasaki Y; Takemoto I and Kijima S assisted </w:t>
      </w:r>
      <w:r w:rsidR="00804D6D" w:rsidRPr="00263307">
        <w:rPr>
          <w:rFonts w:ascii="Book Antiqua" w:hAnsi="Book Antiqua" w:cs="Times New Roman"/>
          <w:color w:val="000000" w:themeColor="text1"/>
        </w:rPr>
        <w:t xml:space="preserve">in </w:t>
      </w:r>
      <w:r w:rsidR="00256173" w:rsidRPr="00263307">
        <w:rPr>
          <w:rFonts w:ascii="Book Antiqua" w:hAnsi="Book Antiqua" w:cs="Times New Roman"/>
          <w:color w:val="000000" w:themeColor="text1"/>
        </w:rPr>
        <w:t>data collection;</w:t>
      </w:r>
      <w:r w:rsidRPr="00263307">
        <w:rPr>
          <w:rFonts w:ascii="Book Antiqua" w:hAnsi="Book Antiqua" w:cs="Times New Roman"/>
          <w:color w:val="000000" w:themeColor="text1"/>
        </w:rPr>
        <w:t xml:space="preserve"> </w:t>
      </w:r>
      <w:r w:rsidR="0020754A" w:rsidRPr="00263307">
        <w:rPr>
          <w:rFonts w:ascii="Book Antiqua" w:hAnsi="Book Antiqua" w:cs="Times New Roman"/>
          <w:color w:val="000000" w:themeColor="text1"/>
        </w:rPr>
        <w:t>Maeda T and Miyazaki T advised on</w:t>
      </w:r>
      <w:r w:rsidR="00863A76" w:rsidRPr="00263307">
        <w:rPr>
          <w:rFonts w:ascii="Book Antiqua" w:hAnsi="Book Antiqua" w:cs="Times New Roman"/>
          <w:color w:val="000000" w:themeColor="text1"/>
        </w:rPr>
        <w:t xml:space="preserve"> </w:t>
      </w:r>
      <w:r w:rsidR="00804D6D" w:rsidRPr="00263307">
        <w:rPr>
          <w:rFonts w:ascii="Book Antiqua" w:hAnsi="Book Antiqua" w:cs="Times New Roman"/>
          <w:color w:val="000000" w:themeColor="text1"/>
        </w:rPr>
        <w:t xml:space="preserve">the </w:t>
      </w:r>
      <w:r w:rsidR="00863A76" w:rsidRPr="00263307">
        <w:rPr>
          <w:rFonts w:ascii="Book Antiqua" w:hAnsi="Book Antiqua" w:cs="Times New Roman"/>
          <w:color w:val="000000" w:themeColor="text1"/>
        </w:rPr>
        <w:t>discussion</w:t>
      </w:r>
      <w:r w:rsidR="0020754A" w:rsidRPr="00263307">
        <w:rPr>
          <w:rFonts w:ascii="Book Antiqua" w:hAnsi="Book Antiqua" w:cs="Times New Roman"/>
          <w:color w:val="000000" w:themeColor="text1"/>
        </w:rPr>
        <w:t xml:space="preserve"> as experts of infectious diseases; </w:t>
      </w:r>
      <w:r w:rsidR="00256173" w:rsidRPr="00263307">
        <w:rPr>
          <w:rFonts w:ascii="Book Antiqua" w:hAnsi="Book Antiqua" w:cs="Times New Roman"/>
          <w:color w:val="000000" w:themeColor="text1"/>
        </w:rPr>
        <w:t>Honda Y</w:t>
      </w:r>
      <w:r w:rsidR="00264675" w:rsidRPr="00263307">
        <w:rPr>
          <w:rFonts w:ascii="Book Antiqua" w:hAnsi="Book Antiqua" w:cs="Times New Roman"/>
          <w:color w:val="000000" w:themeColor="text1"/>
        </w:rPr>
        <w:t xml:space="preserve">, </w:t>
      </w:r>
      <w:r w:rsidR="003F17D9" w:rsidRPr="00263307">
        <w:rPr>
          <w:rFonts w:ascii="Book Antiqua" w:hAnsi="Book Antiqua" w:cs="Times New Roman"/>
          <w:color w:val="000000" w:themeColor="text1"/>
        </w:rPr>
        <w:t>Shimada N</w:t>
      </w:r>
      <w:r w:rsidR="00264675" w:rsidRPr="00263307">
        <w:rPr>
          <w:rFonts w:ascii="Book Antiqua" w:hAnsi="Book Antiqua" w:cs="Times New Roman"/>
          <w:color w:val="000000" w:themeColor="text1"/>
        </w:rPr>
        <w:t xml:space="preserve">, and </w:t>
      </w:r>
      <w:proofErr w:type="spellStart"/>
      <w:r w:rsidR="00264675" w:rsidRPr="00263307">
        <w:rPr>
          <w:rFonts w:ascii="Book Antiqua" w:hAnsi="Book Antiqua" w:cs="Times New Roman"/>
          <w:color w:val="000000" w:themeColor="text1"/>
        </w:rPr>
        <w:t>Funahashi</w:t>
      </w:r>
      <w:proofErr w:type="spellEnd"/>
      <w:r w:rsidR="00264675" w:rsidRPr="00263307">
        <w:rPr>
          <w:rFonts w:ascii="Book Antiqua" w:hAnsi="Book Antiqua" w:cs="Times New Roman"/>
          <w:color w:val="000000" w:themeColor="text1"/>
        </w:rPr>
        <w:t xml:space="preserve"> K</w:t>
      </w:r>
      <w:r w:rsidR="00256173" w:rsidRPr="00263307">
        <w:rPr>
          <w:rFonts w:ascii="Book Antiqua" w:hAnsi="Book Antiqua" w:cs="Times New Roman"/>
          <w:color w:val="000000" w:themeColor="text1"/>
        </w:rPr>
        <w:t xml:space="preserve"> advised on </w:t>
      </w:r>
      <w:r w:rsidR="00804D6D" w:rsidRPr="00263307">
        <w:rPr>
          <w:rFonts w:ascii="Book Antiqua" w:hAnsi="Book Antiqua" w:cs="Times New Roman"/>
          <w:color w:val="000000" w:themeColor="text1"/>
        </w:rPr>
        <w:t xml:space="preserve">the </w:t>
      </w:r>
      <w:r w:rsidR="00256173" w:rsidRPr="00263307">
        <w:rPr>
          <w:rFonts w:ascii="Book Antiqua" w:hAnsi="Book Antiqua" w:cs="Times New Roman"/>
          <w:color w:val="000000" w:themeColor="text1"/>
        </w:rPr>
        <w:t>discussion as surgeons;</w:t>
      </w:r>
      <w:r w:rsidR="003F17D9" w:rsidRPr="00263307">
        <w:rPr>
          <w:rFonts w:ascii="Book Antiqua" w:hAnsi="Book Antiqua" w:cs="Times New Roman"/>
          <w:color w:val="000000" w:themeColor="text1"/>
        </w:rPr>
        <w:t xml:space="preserve"> </w:t>
      </w:r>
      <w:r w:rsidR="00770F2F" w:rsidRPr="00263307">
        <w:rPr>
          <w:rFonts w:ascii="Book Antiqua" w:hAnsi="Book Antiqua" w:cs="Times New Roman"/>
          <w:color w:val="000000" w:themeColor="text1"/>
        </w:rPr>
        <w:t xml:space="preserve">and </w:t>
      </w:r>
      <w:proofErr w:type="spellStart"/>
      <w:r w:rsidRPr="00263307">
        <w:rPr>
          <w:rFonts w:ascii="Book Antiqua" w:hAnsi="Book Antiqua" w:cs="Times New Roman"/>
          <w:color w:val="000000" w:themeColor="text1"/>
        </w:rPr>
        <w:t>Urita</w:t>
      </w:r>
      <w:proofErr w:type="spellEnd"/>
      <w:r w:rsidRPr="00263307">
        <w:rPr>
          <w:rFonts w:ascii="Book Antiqua" w:hAnsi="Book Antiqua" w:cs="Times New Roman"/>
          <w:color w:val="000000" w:themeColor="text1"/>
        </w:rPr>
        <w:t xml:space="preserve"> Y supervised the research and advised on statistical analyses.</w:t>
      </w:r>
    </w:p>
    <w:p w14:paraId="56DFEE09" w14:textId="15425A56" w:rsidR="00BC41B0" w:rsidRPr="00263307" w:rsidRDefault="006A0917" w:rsidP="00263307">
      <w:pPr>
        <w:adjustRightInd w:val="0"/>
        <w:snapToGrid w:val="0"/>
        <w:spacing w:line="360" w:lineRule="auto"/>
        <w:jc w:val="both"/>
        <w:rPr>
          <w:rFonts w:ascii="Book Antiqua" w:eastAsia="宋体" w:hAnsi="Book Antiqua" w:cs="Times New Roman"/>
          <w:color w:val="000000" w:themeColor="text1"/>
          <w:lang w:eastAsia="zh-CN"/>
        </w:rPr>
      </w:pPr>
      <w:bookmarkStart w:id="1" w:name="OLE_LINK535"/>
      <w:bookmarkStart w:id="2" w:name="OLE_LINK536"/>
      <w:r w:rsidRPr="00263307">
        <w:rPr>
          <w:rFonts w:ascii="Book Antiqua" w:hAnsi="Book Antiqua"/>
          <w:b/>
        </w:rPr>
        <w:lastRenderedPageBreak/>
        <w:t>Corresponding author:</w:t>
      </w:r>
      <w:bookmarkEnd w:id="1"/>
      <w:bookmarkEnd w:id="2"/>
      <w:r w:rsidRPr="00263307">
        <w:rPr>
          <w:rFonts w:ascii="Book Antiqua" w:hAnsi="Book Antiqua"/>
          <w:b/>
          <w:bCs/>
          <w:lang w:eastAsia="fr-FR"/>
        </w:rPr>
        <w:t xml:space="preserve"> </w:t>
      </w:r>
      <w:r w:rsidR="00BC41B0" w:rsidRPr="00263307">
        <w:rPr>
          <w:rFonts w:ascii="Book Antiqua" w:hAnsi="Book Antiqua" w:cs="Times New Roman"/>
          <w:b/>
          <w:color w:val="000000" w:themeColor="text1"/>
        </w:rPr>
        <w:t>Yosuke Sasaki, MD</w:t>
      </w:r>
      <w:r w:rsidR="009E3BA7" w:rsidRPr="00263307">
        <w:rPr>
          <w:rFonts w:ascii="Book Antiqua" w:hAnsi="Book Antiqua" w:cs="Times New Roman"/>
          <w:b/>
          <w:color w:val="000000" w:themeColor="text1"/>
        </w:rPr>
        <w:t>, PhD</w:t>
      </w:r>
      <w:r w:rsidRPr="00263307">
        <w:rPr>
          <w:rFonts w:ascii="Book Antiqua" w:eastAsia="宋体" w:hAnsi="Book Antiqua" w:cs="Times New Roman"/>
          <w:b/>
          <w:color w:val="000000" w:themeColor="text1"/>
          <w:lang w:eastAsia="zh-CN"/>
        </w:rPr>
        <w:t>,</w:t>
      </w:r>
      <w:r w:rsidR="00BC41B0" w:rsidRPr="00263307">
        <w:rPr>
          <w:rFonts w:ascii="Book Antiqua" w:hAnsi="Book Antiqua" w:cs="Times New Roman"/>
          <w:b/>
          <w:color w:val="000000" w:themeColor="text1"/>
        </w:rPr>
        <w:t xml:space="preserve"> </w:t>
      </w:r>
      <w:r w:rsidRPr="00263307">
        <w:rPr>
          <w:rFonts w:ascii="Book Antiqua" w:hAnsi="Book Antiqua" w:cs="Times New Roman"/>
          <w:b/>
          <w:color w:val="000000" w:themeColor="text1"/>
        </w:rPr>
        <w:t>Assistant Professor</w:t>
      </w:r>
      <w:r w:rsidRPr="00263307">
        <w:rPr>
          <w:rFonts w:ascii="Book Antiqua" w:eastAsia="宋体" w:hAnsi="Book Antiqua" w:cs="Times New Roman"/>
          <w:b/>
          <w:color w:val="000000" w:themeColor="text1"/>
          <w:lang w:eastAsia="zh-CN"/>
        </w:rPr>
        <w:t xml:space="preserve">, </w:t>
      </w:r>
      <w:r w:rsidR="00BC41B0" w:rsidRPr="00263307">
        <w:rPr>
          <w:rFonts w:ascii="Book Antiqua" w:hAnsi="Book Antiqua" w:cs="Times New Roman"/>
          <w:color w:val="000000" w:themeColor="text1"/>
        </w:rPr>
        <w:t>Department of General Medicine and Emergency Care</w:t>
      </w:r>
      <w:r w:rsidRPr="00263307">
        <w:rPr>
          <w:rFonts w:ascii="Book Antiqua" w:eastAsia="宋体" w:hAnsi="Book Antiqua" w:cs="Times New Roman"/>
          <w:color w:val="000000" w:themeColor="text1"/>
          <w:lang w:eastAsia="zh-CN"/>
        </w:rPr>
        <w:t xml:space="preserve">, </w:t>
      </w:r>
      <w:r w:rsidR="00BC41B0" w:rsidRPr="00263307">
        <w:rPr>
          <w:rFonts w:ascii="Book Antiqua" w:hAnsi="Book Antiqua" w:cs="Times New Roman"/>
          <w:color w:val="000000" w:themeColor="text1"/>
        </w:rPr>
        <w:t>Toho University School of Medicine, Omori Hospital</w:t>
      </w:r>
      <w:r w:rsidRPr="00263307">
        <w:rPr>
          <w:rFonts w:ascii="Book Antiqua" w:eastAsia="宋体" w:hAnsi="Book Antiqua" w:cs="Times New Roman"/>
          <w:color w:val="000000" w:themeColor="text1"/>
          <w:lang w:eastAsia="zh-CN"/>
        </w:rPr>
        <w:t xml:space="preserve">, </w:t>
      </w:r>
      <w:r w:rsidR="00BC41B0" w:rsidRPr="00263307">
        <w:rPr>
          <w:rFonts w:ascii="Book Antiqua" w:hAnsi="Book Antiqua" w:cs="Times New Roman"/>
          <w:color w:val="000000" w:themeColor="text1"/>
        </w:rPr>
        <w:t>6-11-1 Omori-Nishi</w:t>
      </w:r>
      <w:r w:rsidRPr="00263307">
        <w:rPr>
          <w:rFonts w:ascii="Book Antiqua" w:eastAsia="宋体" w:hAnsi="Book Antiqua" w:cs="Times New Roman"/>
          <w:color w:val="000000" w:themeColor="text1"/>
          <w:lang w:eastAsia="zh-CN"/>
        </w:rPr>
        <w:t xml:space="preserve">, </w:t>
      </w:r>
      <w:r w:rsidR="00BC41B0" w:rsidRPr="00263307">
        <w:rPr>
          <w:rFonts w:ascii="Book Antiqua" w:hAnsi="Book Antiqua" w:cs="Times New Roman"/>
          <w:color w:val="000000" w:themeColor="text1"/>
        </w:rPr>
        <w:t>Ota-Ku, Tokyo 143-8541, Japan</w:t>
      </w:r>
      <w:r w:rsidRPr="00263307">
        <w:rPr>
          <w:rFonts w:ascii="Book Antiqua" w:eastAsia="宋体" w:hAnsi="Book Antiqua" w:cs="Times New Roman"/>
          <w:color w:val="000000" w:themeColor="text1"/>
          <w:lang w:eastAsia="zh-CN"/>
        </w:rPr>
        <w:t xml:space="preserve">. </w:t>
      </w:r>
      <w:hyperlink r:id="rId8" w:history="1">
        <w:r w:rsidRPr="00263307">
          <w:rPr>
            <w:rStyle w:val="a4"/>
            <w:rFonts w:ascii="Book Antiqua" w:hAnsi="Book Antiqua" w:cs="Times New Roman"/>
          </w:rPr>
          <w:t>yousuke.sasaki@med.toho-u.ac.jp</w:t>
        </w:r>
      </w:hyperlink>
    </w:p>
    <w:p w14:paraId="2A49F4D9" w14:textId="77777777" w:rsidR="006A0917" w:rsidRPr="00263307" w:rsidRDefault="006A0917" w:rsidP="00263307">
      <w:pPr>
        <w:adjustRightInd w:val="0"/>
        <w:snapToGrid w:val="0"/>
        <w:spacing w:line="360" w:lineRule="auto"/>
        <w:jc w:val="both"/>
        <w:rPr>
          <w:rFonts w:ascii="Book Antiqua" w:eastAsia="宋体" w:hAnsi="Book Antiqua"/>
          <w:b/>
          <w:lang w:eastAsia="zh-CN"/>
        </w:rPr>
      </w:pPr>
    </w:p>
    <w:p w14:paraId="60D44A66" w14:textId="0ACA37AC" w:rsidR="006A0917" w:rsidRPr="00263307" w:rsidRDefault="006A0917" w:rsidP="00263307">
      <w:pPr>
        <w:adjustRightInd w:val="0"/>
        <w:snapToGrid w:val="0"/>
        <w:spacing w:line="360" w:lineRule="auto"/>
        <w:jc w:val="both"/>
        <w:rPr>
          <w:rFonts w:ascii="Book Antiqua" w:eastAsia="宋体" w:hAnsi="Book Antiqua"/>
          <w:b/>
          <w:lang w:eastAsia="zh-CN"/>
        </w:rPr>
      </w:pPr>
      <w:r w:rsidRPr="00263307">
        <w:rPr>
          <w:rFonts w:ascii="Book Antiqua" w:hAnsi="Book Antiqua"/>
          <w:b/>
        </w:rPr>
        <w:t>Received:</w:t>
      </w:r>
      <w:r w:rsidRPr="00263307">
        <w:rPr>
          <w:rFonts w:ascii="Book Antiqua" w:hAnsi="Book Antiqua"/>
          <w:b/>
          <w:lang w:eastAsia="zh-CN"/>
        </w:rPr>
        <w:t xml:space="preserve"> </w:t>
      </w:r>
      <w:r w:rsidRPr="00263307">
        <w:rPr>
          <w:rFonts w:ascii="Book Antiqua" w:eastAsia="宋体" w:hAnsi="Book Antiqua"/>
          <w:lang w:eastAsia="zh-CN"/>
        </w:rPr>
        <w:t>February 13, 2020</w:t>
      </w:r>
    </w:p>
    <w:p w14:paraId="4B3719E0" w14:textId="40342A2A" w:rsidR="006A0917" w:rsidRPr="00263307" w:rsidRDefault="006A0917" w:rsidP="00263307">
      <w:pPr>
        <w:adjustRightInd w:val="0"/>
        <w:snapToGrid w:val="0"/>
        <w:spacing w:line="360" w:lineRule="auto"/>
        <w:jc w:val="both"/>
        <w:rPr>
          <w:rFonts w:ascii="Book Antiqua" w:eastAsia="宋体" w:hAnsi="Book Antiqua"/>
          <w:b/>
          <w:lang w:eastAsia="zh-CN"/>
        </w:rPr>
      </w:pPr>
      <w:r w:rsidRPr="00263307">
        <w:rPr>
          <w:rFonts w:ascii="Book Antiqua" w:hAnsi="Book Antiqua"/>
          <w:b/>
        </w:rPr>
        <w:t>Revised:</w:t>
      </w:r>
      <w:r w:rsidRPr="00263307">
        <w:rPr>
          <w:rFonts w:ascii="Book Antiqua" w:hAnsi="Book Antiqua"/>
          <w:b/>
          <w:lang w:eastAsia="zh-CN"/>
        </w:rPr>
        <w:t xml:space="preserve"> </w:t>
      </w:r>
      <w:r w:rsidRPr="00263307">
        <w:rPr>
          <w:rFonts w:ascii="Book Antiqua" w:hAnsi="Book Antiqua"/>
          <w:lang w:eastAsia="zh-CN"/>
        </w:rPr>
        <w:t xml:space="preserve">April </w:t>
      </w:r>
      <w:r w:rsidRPr="00263307">
        <w:rPr>
          <w:rFonts w:ascii="Book Antiqua" w:eastAsia="宋体" w:hAnsi="Book Antiqua"/>
          <w:lang w:eastAsia="zh-CN"/>
        </w:rPr>
        <w:t>8</w:t>
      </w:r>
      <w:r w:rsidRPr="00263307">
        <w:rPr>
          <w:rFonts w:ascii="Book Antiqua" w:hAnsi="Book Antiqua"/>
          <w:lang w:eastAsia="zh-CN"/>
        </w:rPr>
        <w:t xml:space="preserve">, </w:t>
      </w:r>
      <w:r w:rsidRPr="00263307">
        <w:rPr>
          <w:rFonts w:ascii="Book Antiqua" w:eastAsia="宋体" w:hAnsi="Book Antiqua"/>
          <w:lang w:eastAsia="zh-CN"/>
        </w:rPr>
        <w:t>2020</w:t>
      </w:r>
    </w:p>
    <w:p w14:paraId="1BE872A8" w14:textId="7666F155" w:rsidR="006A0917" w:rsidRPr="00263307" w:rsidRDefault="006A0917" w:rsidP="00263307">
      <w:pPr>
        <w:adjustRightInd w:val="0"/>
        <w:snapToGrid w:val="0"/>
        <w:spacing w:line="360" w:lineRule="auto"/>
        <w:jc w:val="both"/>
        <w:rPr>
          <w:rFonts w:ascii="Book Antiqua" w:hAnsi="Book Antiqua"/>
          <w:color w:val="000000"/>
        </w:rPr>
      </w:pPr>
      <w:r w:rsidRPr="00263307">
        <w:rPr>
          <w:rFonts w:ascii="Book Antiqua" w:hAnsi="Book Antiqua"/>
          <w:b/>
        </w:rPr>
        <w:t>Accepted:</w:t>
      </w:r>
      <w:r w:rsidR="008747C1" w:rsidRPr="008747C1">
        <w:t xml:space="preserve"> </w:t>
      </w:r>
      <w:r w:rsidR="008747C1" w:rsidRPr="008747C1">
        <w:rPr>
          <w:rFonts w:ascii="Book Antiqua" w:hAnsi="Book Antiqua"/>
          <w:bCs/>
        </w:rPr>
        <w:t>May 13, 2020</w:t>
      </w:r>
      <w:r w:rsidRPr="008747C1">
        <w:rPr>
          <w:rFonts w:ascii="Book Antiqua" w:hAnsi="Book Antiqua"/>
          <w:bCs/>
        </w:rPr>
        <w:t xml:space="preserve"> </w:t>
      </w:r>
    </w:p>
    <w:p w14:paraId="7F4725E3" w14:textId="2C426D51" w:rsidR="00D201DF" w:rsidRPr="00263307" w:rsidRDefault="006A0917" w:rsidP="00263307">
      <w:pPr>
        <w:adjustRightInd w:val="0"/>
        <w:snapToGrid w:val="0"/>
        <w:spacing w:line="360" w:lineRule="auto"/>
        <w:jc w:val="both"/>
        <w:rPr>
          <w:rFonts w:ascii="Book Antiqua" w:eastAsia="宋体" w:hAnsi="Book Antiqua"/>
          <w:b/>
          <w:lang w:eastAsia="zh-CN"/>
        </w:rPr>
      </w:pPr>
      <w:r w:rsidRPr="00263307">
        <w:rPr>
          <w:rFonts w:ascii="Book Antiqua" w:hAnsi="Book Antiqua"/>
          <w:b/>
        </w:rPr>
        <w:t>Published online:</w:t>
      </w:r>
    </w:p>
    <w:p w14:paraId="45C19942" w14:textId="77777777" w:rsidR="0094129D" w:rsidRPr="00263307" w:rsidRDefault="0094129D"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br w:type="page"/>
      </w:r>
    </w:p>
    <w:p w14:paraId="758BA239" w14:textId="0B689106" w:rsidR="00605DA7" w:rsidRPr="00263307" w:rsidRDefault="00605DA7" w:rsidP="00263307">
      <w:pPr>
        <w:adjustRightInd w:val="0"/>
        <w:snapToGrid w:val="0"/>
        <w:spacing w:line="360" w:lineRule="auto"/>
        <w:jc w:val="both"/>
        <w:rPr>
          <w:rFonts w:ascii="Book Antiqua" w:eastAsia="宋体" w:hAnsi="Book Antiqua" w:cs="Times New Roman"/>
          <w:b/>
          <w:color w:val="000000" w:themeColor="text1"/>
          <w:lang w:eastAsia="zh-CN"/>
        </w:rPr>
      </w:pPr>
      <w:r w:rsidRPr="00263307">
        <w:rPr>
          <w:rFonts w:ascii="Book Antiqua" w:hAnsi="Book Antiqua" w:cs="Times New Roman"/>
          <w:b/>
          <w:color w:val="000000" w:themeColor="text1"/>
        </w:rPr>
        <w:lastRenderedPageBreak/>
        <w:t>Abstract</w:t>
      </w:r>
    </w:p>
    <w:p w14:paraId="1C03F68C" w14:textId="2867AEAF" w:rsidR="0020568A" w:rsidRPr="00263307" w:rsidRDefault="0020568A"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BACKGROUND</w:t>
      </w:r>
    </w:p>
    <w:p w14:paraId="7FC8A6F4" w14:textId="491E2DCD" w:rsidR="005E1AFE" w:rsidRPr="00263307" w:rsidRDefault="007312CC"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eastAsia="MS PMincho" w:hAnsi="Book Antiqua" w:cs="Times New Roman"/>
          <w:color w:val="000000" w:themeColor="text1"/>
        </w:rPr>
        <w:t xml:space="preserve">Since high-quality evidence on conservative </w:t>
      </w:r>
      <w:r w:rsidR="00FC6439" w:rsidRPr="00263307">
        <w:rPr>
          <w:rFonts w:ascii="Book Antiqua" w:eastAsia="MS PMincho" w:hAnsi="Book Antiqua" w:cs="Times New Roman"/>
          <w:color w:val="000000" w:themeColor="text1"/>
        </w:rPr>
        <w:t>treatment of acute appendicitis</w:t>
      </w:r>
      <w:r w:rsidR="00FC6439" w:rsidRPr="00263307">
        <w:rPr>
          <w:rFonts w:ascii="Book Antiqua" w:eastAsia="宋体" w:hAnsi="Book Antiqua" w:cs="Times New Roman"/>
          <w:color w:val="000000" w:themeColor="text1"/>
          <w:lang w:eastAsia="zh-CN"/>
        </w:rPr>
        <w:t xml:space="preserve"> </w:t>
      </w:r>
      <w:r w:rsidRPr="00263307">
        <w:rPr>
          <w:rFonts w:ascii="Book Antiqua" w:eastAsia="MS PMincho" w:hAnsi="Book Antiqua" w:cs="Times New Roman"/>
          <w:color w:val="000000" w:themeColor="text1"/>
        </w:rPr>
        <w:t xml:space="preserve">using antibiotics has increased, </w:t>
      </w:r>
      <w:r w:rsidR="00EA47DA" w:rsidRPr="00263307">
        <w:rPr>
          <w:rFonts w:ascii="Book Antiqua" w:eastAsia="MS PMincho" w:hAnsi="Book Antiqua" w:cs="Times New Roman"/>
          <w:color w:val="000000" w:themeColor="text1"/>
        </w:rPr>
        <w:t>differentiation</w:t>
      </w:r>
      <w:r w:rsidR="005E1AFE" w:rsidRPr="00263307">
        <w:rPr>
          <w:rFonts w:ascii="Book Antiqua" w:eastAsia="MS PMincho" w:hAnsi="Book Antiqua" w:cs="Times New Roman"/>
          <w:color w:val="000000" w:themeColor="text1"/>
        </w:rPr>
        <w:t xml:space="preserve"> of patients with complicated appendicitis (CA) </w:t>
      </w:r>
      <w:r w:rsidR="007C06FC" w:rsidRPr="00263307">
        <w:rPr>
          <w:rFonts w:ascii="Book Antiqua" w:eastAsia="MS PMincho" w:hAnsi="Book Antiqua" w:cs="Times New Roman"/>
          <w:color w:val="000000" w:themeColor="text1"/>
        </w:rPr>
        <w:t xml:space="preserve">from </w:t>
      </w:r>
      <w:r w:rsidR="004365AA" w:rsidRPr="00263307">
        <w:rPr>
          <w:rFonts w:ascii="Book Antiqua" w:eastAsia="MS PMincho" w:hAnsi="Book Antiqua" w:cs="Times New Roman"/>
          <w:color w:val="000000" w:themeColor="text1"/>
        </w:rPr>
        <w:t xml:space="preserve">those with </w:t>
      </w:r>
      <w:r w:rsidR="007C06FC" w:rsidRPr="00263307">
        <w:rPr>
          <w:rFonts w:ascii="Book Antiqua" w:eastAsia="MS PMincho" w:hAnsi="Book Antiqua" w:cs="Times New Roman"/>
          <w:color w:val="000000" w:themeColor="text1"/>
        </w:rPr>
        <w:t xml:space="preserve">simple appendicitis (SA) </w:t>
      </w:r>
      <w:r w:rsidR="00770F2F" w:rsidRPr="00263307">
        <w:rPr>
          <w:rFonts w:ascii="Book Antiqua" w:eastAsia="MS PMincho" w:hAnsi="Book Antiqua" w:cs="Times New Roman"/>
          <w:color w:val="000000" w:themeColor="text1"/>
        </w:rPr>
        <w:t xml:space="preserve">has become </w:t>
      </w:r>
      <w:r w:rsidR="005E1AFE" w:rsidRPr="00263307">
        <w:rPr>
          <w:rFonts w:ascii="Book Antiqua" w:eastAsia="MS PMincho" w:hAnsi="Book Antiqua" w:cs="Times New Roman"/>
          <w:color w:val="000000" w:themeColor="text1"/>
        </w:rPr>
        <w:t>increasingly important. Previous studies have revealed that male</w:t>
      </w:r>
      <w:r w:rsidR="00406F1E" w:rsidRPr="00263307">
        <w:rPr>
          <w:rFonts w:ascii="Book Antiqua" w:eastAsia="MS PMincho" w:hAnsi="Book Antiqua" w:cs="Times New Roman"/>
          <w:color w:val="000000" w:themeColor="text1"/>
        </w:rPr>
        <w:t xml:space="preserve"> gender</w:t>
      </w:r>
      <w:r w:rsidR="005E1AFE" w:rsidRPr="00263307">
        <w:rPr>
          <w:rFonts w:ascii="Book Antiqua" w:eastAsia="MS PMincho" w:hAnsi="Book Antiqua" w:cs="Times New Roman"/>
          <w:color w:val="000000" w:themeColor="text1"/>
        </w:rPr>
        <w:t xml:space="preserve">, </w:t>
      </w:r>
      <w:r w:rsidR="001E049E" w:rsidRPr="00263307">
        <w:rPr>
          <w:rFonts w:ascii="Book Antiqua" w:eastAsia="MS PMincho" w:hAnsi="Book Antiqua" w:cs="Times New Roman"/>
          <w:color w:val="000000" w:themeColor="text1"/>
        </w:rPr>
        <w:t xml:space="preserve">advanced </w:t>
      </w:r>
      <w:r w:rsidR="005E1AFE" w:rsidRPr="00263307">
        <w:rPr>
          <w:rFonts w:ascii="Book Antiqua" w:eastAsia="MS PMincho" w:hAnsi="Book Antiqua" w:cs="Times New Roman"/>
          <w:color w:val="000000" w:themeColor="text1"/>
        </w:rPr>
        <w:t xml:space="preserve">age, comorbid conditions, prehospital delay, fever, and anorexia </w:t>
      </w:r>
      <w:r w:rsidR="00804D6D" w:rsidRPr="00263307">
        <w:rPr>
          <w:rFonts w:ascii="Book Antiqua" w:eastAsia="MS PMincho" w:hAnsi="Book Antiqua" w:cs="Times New Roman"/>
          <w:color w:val="000000" w:themeColor="text1"/>
        </w:rPr>
        <w:t xml:space="preserve">are </w:t>
      </w:r>
      <w:r w:rsidR="005E1AFE" w:rsidRPr="00263307">
        <w:rPr>
          <w:rFonts w:ascii="Book Antiqua" w:eastAsia="MS PMincho" w:hAnsi="Book Antiqua" w:cs="Times New Roman"/>
          <w:color w:val="000000" w:themeColor="text1"/>
        </w:rPr>
        <w:t xml:space="preserve">risk factors of perforated appendicitis. Elevated serum C-reactive protein (CRP) level </w:t>
      </w:r>
      <w:r w:rsidR="00D56371" w:rsidRPr="00263307">
        <w:rPr>
          <w:rFonts w:ascii="Book Antiqua" w:eastAsia="MS PMincho" w:hAnsi="Book Antiqua" w:cs="Times New Roman"/>
          <w:color w:val="000000" w:themeColor="text1"/>
        </w:rPr>
        <w:t xml:space="preserve">and hyponatremia </w:t>
      </w:r>
      <w:r w:rsidR="00770F2F" w:rsidRPr="00263307">
        <w:rPr>
          <w:rFonts w:ascii="Book Antiqua" w:eastAsia="MS PMincho" w:hAnsi="Book Antiqua" w:cs="Times New Roman"/>
          <w:color w:val="000000" w:themeColor="text1"/>
        </w:rPr>
        <w:t>ha</w:t>
      </w:r>
      <w:r w:rsidR="00D56371" w:rsidRPr="00263307">
        <w:rPr>
          <w:rFonts w:ascii="Book Antiqua" w:eastAsia="MS PMincho" w:hAnsi="Book Antiqua" w:cs="Times New Roman"/>
          <w:color w:val="000000" w:themeColor="text1"/>
        </w:rPr>
        <w:t>ve</w:t>
      </w:r>
      <w:r w:rsidR="00770F2F" w:rsidRPr="00263307">
        <w:rPr>
          <w:rFonts w:ascii="Book Antiqua" w:eastAsia="MS PMincho" w:hAnsi="Book Antiqua" w:cs="Times New Roman"/>
          <w:color w:val="000000" w:themeColor="text1"/>
        </w:rPr>
        <w:t xml:space="preserve"> </w:t>
      </w:r>
      <w:r w:rsidR="005E1AFE" w:rsidRPr="00263307">
        <w:rPr>
          <w:rFonts w:ascii="Book Antiqua" w:eastAsia="MS PMincho" w:hAnsi="Book Antiqua" w:cs="Times New Roman"/>
          <w:color w:val="000000" w:themeColor="text1"/>
        </w:rPr>
        <w:t>also been reported as predictive biomarker</w:t>
      </w:r>
      <w:r w:rsidR="00D56371" w:rsidRPr="00263307">
        <w:rPr>
          <w:rFonts w:ascii="Book Antiqua" w:eastAsia="MS PMincho" w:hAnsi="Book Antiqua" w:cs="Times New Roman"/>
          <w:color w:val="000000" w:themeColor="text1"/>
        </w:rPr>
        <w:t>s</w:t>
      </w:r>
      <w:r w:rsidR="005E1AFE" w:rsidRPr="00263307">
        <w:rPr>
          <w:rFonts w:ascii="Book Antiqua" w:eastAsia="MS PMincho" w:hAnsi="Book Antiqua" w:cs="Times New Roman"/>
          <w:color w:val="000000" w:themeColor="text1"/>
        </w:rPr>
        <w:t xml:space="preserve"> of CA. However, confounding between various factors is problematic because </w:t>
      </w:r>
      <w:r w:rsidR="00D56371" w:rsidRPr="00263307">
        <w:rPr>
          <w:rFonts w:ascii="Book Antiqua" w:eastAsia="MS PMincho" w:hAnsi="Book Antiqua" w:cs="Times New Roman"/>
          <w:color w:val="000000" w:themeColor="text1"/>
        </w:rPr>
        <w:t xml:space="preserve">most </w:t>
      </w:r>
      <w:r w:rsidR="005E1AFE" w:rsidRPr="00263307">
        <w:rPr>
          <w:rFonts w:ascii="Book Antiqua" w:eastAsia="MS PMincho" w:hAnsi="Book Antiqua" w:cs="Times New Roman"/>
          <w:color w:val="000000" w:themeColor="text1"/>
        </w:rPr>
        <w:t xml:space="preserve">previous studies </w:t>
      </w:r>
      <w:r w:rsidR="00804D6D" w:rsidRPr="00263307">
        <w:rPr>
          <w:rFonts w:ascii="Book Antiqua" w:eastAsia="MS PMincho" w:hAnsi="Book Antiqua" w:cs="Times New Roman"/>
          <w:color w:val="000000" w:themeColor="text1"/>
        </w:rPr>
        <w:t xml:space="preserve">were </w:t>
      </w:r>
      <w:r w:rsidR="005E1AFE" w:rsidRPr="00263307">
        <w:rPr>
          <w:rFonts w:ascii="Book Antiqua" w:eastAsia="MS PMincho" w:hAnsi="Book Antiqua" w:cs="Times New Roman"/>
          <w:color w:val="000000" w:themeColor="text1"/>
        </w:rPr>
        <w:t>l</w:t>
      </w:r>
      <w:r w:rsidR="006A0917" w:rsidRPr="00263307">
        <w:rPr>
          <w:rFonts w:ascii="Book Antiqua" w:eastAsia="MS PMincho" w:hAnsi="Book Antiqua" w:cs="Times New Roman"/>
          <w:color w:val="000000" w:themeColor="text1"/>
        </w:rPr>
        <w:t>imited to univariate analysis.</w:t>
      </w:r>
    </w:p>
    <w:p w14:paraId="67CB5CBC" w14:textId="77777777" w:rsidR="006A0917" w:rsidRPr="00263307" w:rsidRDefault="006A0917" w:rsidP="00263307">
      <w:pPr>
        <w:adjustRightInd w:val="0"/>
        <w:snapToGrid w:val="0"/>
        <w:spacing w:line="360" w:lineRule="auto"/>
        <w:jc w:val="both"/>
        <w:rPr>
          <w:rFonts w:ascii="Book Antiqua" w:eastAsia="宋体" w:hAnsi="Book Antiqua" w:cs="Times New Roman"/>
          <w:color w:val="000000" w:themeColor="text1"/>
          <w:lang w:eastAsia="zh-CN"/>
        </w:rPr>
      </w:pPr>
    </w:p>
    <w:p w14:paraId="3F9E88FF" w14:textId="699494CF" w:rsidR="0020568A" w:rsidRPr="00263307" w:rsidRDefault="0020568A"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cs="Times New Roman"/>
          <w:color w:val="000000" w:themeColor="text1"/>
        </w:rPr>
        <w:t>AIM</w:t>
      </w:r>
    </w:p>
    <w:p w14:paraId="47384A74" w14:textId="2F1C56EF" w:rsidR="005E1AFE" w:rsidRPr="00263307" w:rsidRDefault="001F1B4C"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eastAsia="MS PMincho" w:hAnsi="Book Antiqua" w:cs="Times New Roman"/>
          <w:color w:val="000000" w:themeColor="text1"/>
        </w:rPr>
        <w:t xml:space="preserve">To </w:t>
      </w:r>
      <w:r w:rsidR="005E1AFE" w:rsidRPr="00263307">
        <w:rPr>
          <w:rFonts w:ascii="Book Antiqua" w:eastAsia="MS PMincho" w:hAnsi="Book Antiqua" w:cs="Times New Roman"/>
          <w:color w:val="000000" w:themeColor="text1"/>
        </w:rPr>
        <w:t>evaluate non-laboratory and laboratory predictive factors of CA using logistic regression analyses.</w:t>
      </w:r>
    </w:p>
    <w:p w14:paraId="6D3FE285" w14:textId="77777777" w:rsidR="001F1B4C" w:rsidRPr="00263307" w:rsidRDefault="001F1B4C" w:rsidP="00263307">
      <w:pPr>
        <w:adjustRightInd w:val="0"/>
        <w:snapToGrid w:val="0"/>
        <w:spacing w:line="360" w:lineRule="auto"/>
        <w:jc w:val="both"/>
        <w:rPr>
          <w:rFonts w:ascii="Book Antiqua" w:eastAsia="宋体" w:hAnsi="Book Antiqua" w:cs="Times New Roman"/>
          <w:i/>
          <w:color w:val="000000" w:themeColor="text1"/>
          <w:lang w:eastAsia="zh-CN"/>
        </w:rPr>
      </w:pPr>
    </w:p>
    <w:p w14:paraId="1AE241F6" w14:textId="0BDDE66A" w:rsidR="0020568A" w:rsidRPr="00263307" w:rsidRDefault="0020568A"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METHODS</w:t>
      </w:r>
    </w:p>
    <w:p w14:paraId="67045879" w14:textId="43D11E7E" w:rsidR="0047782F" w:rsidRPr="00263307" w:rsidRDefault="0047782F"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We performed an exploratory</w:t>
      </w:r>
      <w:r w:rsidR="001E049E" w:rsidRPr="00263307">
        <w:rPr>
          <w:rFonts w:ascii="Book Antiqua" w:hAnsi="Book Antiqua" w:cs="Times New Roman"/>
          <w:color w:val="000000" w:themeColor="text1"/>
        </w:rPr>
        <w:t>,</w:t>
      </w:r>
      <w:r w:rsidRPr="00263307">
        <w:rPr>
          <w:rFonts w:ascii="Book Antiqua" w:hAnsi="Book Antiqua" w:cs="Times New Roman"/>
          <w:color w:val="000000" w:themeColor="text1"/>
        </w:rPr>
        <w:t xml:space="preserve"> single-center</w:t>
      </w:r>
      <w:r w:rsidR="001E049E" w:rsidRPr="00263307">
        <w:rPr>
          <w:rFonts w:ascii="Book Antiqua" w:hAnsi="Book Antiqua" w:cs="Times New Roman"/>
          <w:color w:val="000000" w:themeColor="text1"/>
        </w:rPr>
        <w:t>,</w:t>
      </w:r>
      <w:r w:rsidRPr="00263307">
        <w:rPr>
          <w:rFonts w:ascii="Book Antiqua" w:hAnsi="Book Antiqua" w:cs="Times New Roman"/>
          <w:color w:val="000000" w:themeColor="text1"/>
        </w:rPr>
        <w:t xml:space="preserve"> retrospective case-c</w:t>
      </w:r>
      <w:r w:rsidR="00667F39" w:rsidRPr="00263307">
        <w:rPr>
          <w:rFonts w:ascii="Book Antiqua" w:hAnsi="Book Antiqua" w:cs="Times New Roman"/>
          <w:color w:val="000000" w:themeColor="text1"/>
        </w:rPr>
        <w:t>ontrol</w:t>
      </w:r>
      <w:r w:rsidRPr="00263307">
        <w:rPr>
          <w:rFonts w:ascii="Book Antiqua" w:hAnsi="Book Antiqua" w:cs="Times New Roman"/>
          <w:color w:val="000000" w:themeColor="text1"/>
        </w:rPr>
        <w:t xml:space="preserve"> study that evaluated </w:t>
      </w:r>
      <w:r w:rsidR="00FC7BE8" w:rsidRPr="00263307">
        <w:rPr>
          <w:rFonts w:ascii="Book Antiqua" w:hAnsi="Book Antiqua" w:cs="Times New Roman"/>
          <w:color w:val="000000" w:themeColor="text1"/>
        </w:rPr>
        <w:t>198</w:t>
      </w:r>
      <w:r w:rsidR="00FB0D25" w:rsidRPr="00263307">
        <w:rPr>
          <w:rFonts w:ascii="Book Antiqua" w:hAnsi="Book Antiqua" w:cs="Times New Roman"/>
          <w:color w:val="000000" w:themeColor="text1"/>
        </w:rPr>
        <w:t xml:space="preserve"> </w:t>
      </w:r>
      <w:r w:rsidR="008006A8" w:rsidRPr="00263307">
        <w:rPr>
          <w:rFonts w:ascii="Book Antiqua" w:hAnsi="Book Antiqua" w:cs="Times New Roman"/>
          <w:color w:val="000000" w:themeColor="text1"/>
        </w:rPr>
        <w:t>patients</w:t>
      </w:r>
      <w:r w:rsidR="00FB0D25" w:rsidRPr="00263307">
        <w:rPr>
          <w:rFonts w:ascii="Book Antiqua" w:hAnsi="Book Antiqua" w:cs="Times New Roman"/>
          <w:color w:val="000000" w:themeColor="text1"/>
        </w:rPr>
        <w:t xml:space="preserve"> </w:t>
      </w:r>
      <w:r w:rsidR="008006A8" w:rsidRPr="00263307">
        <w:rPr>
          <w:rFonts w:ascii="Book Antiqua" w:hAnsi="Book Antiqua" w:cs="Times New Roman"/>
          <w:color w:val="000000" w:themeColor="text1"/>
        </w:rPr>
        <w:t>(</w:t>
      </w:r>
      <w:r w:rsidR="00FC7BE8" w:rsidRPr="00263307">
        <w:rPr>
          <w:rFonts w:ascii="Book Antiqua" w:hAnsi="Book Antiqua" w:cs="Times New Roman"/>
          <w:color w:val="000000" w:themeColor="text1"/>
        </w:rPr>
        <w:t>83.9</w:t>
      </w:r>
      <w:r w:rsidR="008006A8" w:rsidRPr="00263307">
        <w:rPr>
          <w:rFonts w:ascii="Book Antiqua" w:hAnsi="Book Antiqua" w:cs="Times New Roman"/>
          <w:color w:val="000000" w:themeColor="text1"/>
        </w:rPr>
        <w:t xml:space="preserve">%) </w:t>
      </w:r>
      <w:r w:rsidR="00FB0D25" w:rsidRPr="00263307">
        <w:rPr>
          <w:rFonts w:ascii="Book Antiqua" w:hAnsi="Book Antiqua" w:cs="Times New Roman"/>
          <w:color w:val="000000" w:themeColor="text1"/>
        </w:rPr>
        <w:t xml:space="preserve">with </w:t>
      </w:r>
      <w:r w:rsidR="008006A8" w:rsidRPr="00263307">
        <w:rPr>
          <w:rFonts w:ascii="Book Antiqua" w:hAnsi="Book Antiqua" w:cs="Times New Roman"/>
          <w:color w:val="000000" w:themeColor="text1"/>
        </w:rPr>
        <w:t>S</w:t>
      </w:r>
      <w:r w:rsidR="00FB0D25" w:rsidRPr="00263307">
        <w:rPr>
          <w:rFonts w:ascii="Book Antiqua" w:hAnsi="Book Antiqua" w:cs="Times New Roman"/>
          <w:color w:val="000000" w:themeColor="text1"/>
        </w:rPr>
        <w:t xml:space="preserve">A </w:t>
      </w:r>
      <w:r w:rsidR="008006A8" w:rsidRPr="00263307">
        <w:rPr>
          <w:rFonts w:ascii="Book Antiqua" w:hAnsi="Book Antiqua" w:cs="Times New Roman"/>
          <w:color w:val="000000" w:themeColor="text1"/>
        </w:rPr>
        <w:t xml:space="preserve">and </w:t>
      </w:r>
      <w:r w:rsidR="00FC7BE8" w:rsidRPr="00263307">
        <w:rPr>
          <w:rFonts w:ascii="Book Antiqua" w:hAnsi="Book Antiqua" w:cs="Times New Roman"/>
          <w:color w:val="000000" w:themeColor="text1"/>
        </w:rPr>
        <w:t>38</w:t>
      </w:r>
      <w:r w:rsidR="008006A8" w:rsidRPr="00263307">
        <w:rPr>
          <w:rFonts w:ascii="Book Antiqua" w:hAnsi="Book Antiqua" w:cs="Times New Roman"/>
          <w:color w:val="000000" w:themeColor="text1"/>
        </w:rPr>
        <w:t xml:space="preserve"> patients (</w:t>
      </w:r>
      <w:r w:rsidR="00FC7BE8" w:rsidRPr="00263307">
        <w:rPr>
          <w:rFonts w:ascii="Book Antiqua" w:hAnsi="Book Antiqua" w:cs="Times New Roman"/>
          <w:color w:val="000000" w:themeColor="text1"/>
        </w:rPr>
        <w:t>16.1</w:t>
      </w:r>
      <w:r w:rsidR="008006A8" w:rsidRPr="00263307">
        <w:rPr>
          <w:rFonts w:ascii="Book Antiqua" w:hAnsi="Book Antiqua" w:cs="Times New Roman"/>
          <w:color w:val="000000" w:themeColor="text1"/>
        </w:rPr>
        <w:t>%) with CA</w:t>
      </w:r>
      <w:r w:rsidRPr="00263307">
        <w:rPr>
          <w:rFonts w:ascii="Book Antiqua" w:hAnsi="Book Antiqua" w:cs="Times New Roman"/>
          <w:color w:val="000000" w:themeColor="text1"/>
        </w:rPr>
        <w:t xml:space="preserve">. Diagnoses were confirmed by </w:t>
      </w:r>
      <w:r w:rsidR="008F044D" w:rsidRPr="00263307">
        <w:rPr>
          <w:rFonts w:ascii="Book Antiqua" w:eastAsia="宋体" w:hAnsi="Book Antiqua" w:cs="Times New Roman"/>
          <w:color w:val="000000" w:themeColor="text1"/>
          <w:lang w:eastAsia="zh-CN"/>
        </w:rPr>
        <w:t>computed tomography</w:t>
      </w:r>
      <w:r w:rsidRPr="00263307">
        <w:rPr>
          <w:rFonts w:ascii="Book Antiqua" w:hAnsi="Book Antiqua" w:cs="Times New Roman"/>
          <w:color w:val="000000" w:themeColor="text1"/>
        </w:rPr>
        <w:t xml:space="preserve"> </w:t>
      </w:r>
      <w:r w:rsidR="00667F39" w:rsidRPr="00263307">
        <w:rPr>
          <w:rFonts w:ascii="Book Antiqua" w:hAnsi="Book Antiqua" w:cs="Times New Roman"/>
          <w:color w:val="000000" w:themeColor="text1"/>
        </w:rPr>
        <w:t>images for</w:t>
      </w:r>
      <w:r w:rsidR="00252DB0" w:rsidRPr="00263307">
        <w:rPr>
          <w:rFonts w:ascii="Book Antiqua" w:hAnsi="Book Antiqua" w:cs="Times New Roman"/>
          <w:color w:val="000000" w:themeColor="text1"/>
        </w:rPr>
        <w:t xml:space="preserve"> </w:t>
      </w:r>
      <w:r w:rsidRPr="00263307">
        <w:rPr>
          <w:rFonts w:ascii="Book Antiqua" w:hAnsi="Book Antiqua" w:cs="Times New Roman"/>
          <w:color w:val="000000" w:themeColor="text1"/>
        </w:rPr>
        <w:t>all cases</w:t>
      </w:r>
      <w:r w:rsidR="00667F39" w:rsidRPr="00263307">
        <w:rPr>
          <w:rFonts w:ascii="Book Antiqua" w:hAnsi="Book Antiqua" w:cs="Times New Roman"/>
          <w:color w:val="000000" w:themeColor="text1"/>
        </w:rPr>
        <w:t xml:space="preserve">. </w:t>
      </w:r>
      <w:r w:rsidRPr="00263307">
        <w:rPr>
          <w:rFonts w:ascii="Book Antiqua" w:hAnsi="Book Antiqua" w:cs="Times New Roman"/>
          <w:color w:val="000000" w:themeColor="text1"/>
        </w:rPr>
        <w:t xml:space="preserve">We compared </w:t>
      </w:r>
      <w:r w:rsidR="009240AA" w:rsidRPr="00263307">
        <w:rPr>
          <w:rFonts w:ascii="Book Antiqua" w:hAnsi="Book Antiqua" w:cs="Times New Roman"/>
          <w:color w:val="000000" w:themeColor="text1"/>
        </w:rPr>
        <w:t>age</w:t>
      </w:r>
      <w:r w:rsidRPr="00263307">
        <w:rPr>
          <w:rFonts w:ascii="Book Antiqua" w:hAnsi="Book Antiqua" w:cs="Times New Roman"/>
          <w:color w:val="000000" w:themeColor="text1"/>
        </w:rPr>
        <w:t xml:space="preserve">, </w:t>
      </w:r>
      <w:r w:rsidR="00667F39" w:rsidRPr="00263307">
        <w:rPr>
          <w:rFonts w:ascii="Book Antiqua" w:hAnsi="Book Antiqua" w:cs="Times New Roman"/>
          <w:color w:val="000000" w:themeColor="text1"/>
        </w:rPr>
        <w:t>sex</w:t>
      </w:r>
      <w:r w:rsidRPr="00263307">
        <w:rPr>
          <w:rFonts w:ascii="Book Antiqua" w:hAnsi="Book Antiqua" w:cs="Times New Roman"/>
          <w:color w:val="000000" w:themeColor="text1"/>
        </w:rPr>
        <w:t>, onset-to-visit interval, epigastric/periumbilical pain, right lower quadrant</w:t>
      </w:r>
      <w:r w:rsidR="00990B8D" w:rsidRPr="00263307">
        <w:rPr>
          <w:rFonts w:ascii="Book Antiqua" w:eastAsia="宋体" w:hAnsi="Book Antiqua" w:cs="Times New Roman"/>
          <w:color w:val="000000" w:themeColor="text1"/>
          <w:lang w:eastAsia="zh-CN"/>
        </w:rPr>
        <w:t xml:space="preserve"> </w:t>
      </w:r>
      <w:r w:rsidRPr="00263307">
        <w:rPr>
          <w:rFonts w:ascii="Book Antiqua" w:hAnsi="Book Antiqua" w:cs="Times New Roman"/>
          <w:color w:val="000000" w:themeColor="text1"/>
        </w:rPr>
        <w:t xml:space="preserve">pain, nausea/vomiting, diarrhea, anorexia, medical history (of previous </w:t>
      </w:r>
      <w:r w:rsidR="009240AA" w:rsidRPr="00263307">
        <w:rPr>
          <w:rFonts w:ascii="Book Antiqua" w:hAnsi="Book Antiqua" w:cs="Times New Roman"/>
          <w:color w:val="000000" w:themeColor="text1"/>
        </w:rPr>
        <w:t xml:space="preserve">non-surgically treated </w:t>
      </w:r>
      <w:r w:rsidR="008006A8" w:rsidRPr="00263307">
        <w:rPr>
          <w:rFonts w:ascii="Book Antiqua" w:hAnsi="Book Antiqua" w:cs="Times New Roman"/>
          <w:color w:val="000000" w:themeColor="text1"/>
        </w:rPr>
        <w:t>appendicitis</w:t>
      </w:r>
      <w:r w:rsidRPr="00263307">
        <w:rPr>
          <w:rFonts w:ascii="Book Antiqua" w:hAnsi="Book Antiqua" w:cs="Times New Roman"/>
          <w:color w:val="000000" w:themeColor="text1"/>
        </w:rPr>
        <w:t xml:space="preserve">, diabetes, hypertension, </w:t>
      </w:r>
      <w:r w:rsidR="00F2700E" w:rsidRPr="00263307">
        <w:rPr>
          <w:rFonts w:ascii="Book Antiqua" w:hAnsi="Book Antiqua" w:cs="Times New Roman"/>
          <w:color w:val="000000" w:themeColor="text1"/>
        </w:rPr>
        <w:t>dys</w:t>
      </w:r>
      <w:r w:rsidRPr="00263307">
        <w:rPr>
          <w:rFonts w:ascii="Book Antiqua" w:hAnsi="Book Antiqua" w:cs="Times New Roman"/>
          <w:color w:val="000000" w:themeColor="text1"/>
        </w:rPr>
        <w:t>lipidemia, liver cirrhosis, hemodialysis, chronic lung diseases, malignant tumor</w:t>
      </w:r>
      <w:r w:rsidR="00443EE8" w:rsidRPr="00263307">
        <w:rPr>
          <w:rFonts w:ascii="Book Antiqua" w:hAnsi="Book Antiqua" w:cs="Times New Roman"/>
          <w:color w:val="000000" w:themeColor="text1"/>
        </w:rPr>
        <w:t>s</w:t>
      </w:r>
      <w:r w:rsidRPr="00263307">
        <w:rPr>
          <w:rFonts w:ascii="Book Antiqua" w:hAnsi="Book Antiqua" w:cs="Times New Roman"/>
          <w:color w:val="000000" w:themeColor="text1"/>
        </w:rPr>
        <w:t xml:space="preserve">, immunosuppressant use, and antiplatelet use), </w:t>
      </w:r>
      <w:r w:rsidR="001B730E" w:rsidRPr="00263307">
        <w:rPr>
          <w:rFonts w:ascii="Book Antiqua" w:hAnsi="Book Antiqua" w:cs="Times New Roman"/>
          <w:color w:val="000000" w:themeColor="text1"/>
        </w:rPr>
        <w:t>vital signs</w:t>
      </w:r>
      <w:r w:rsidRPr="00263307">
        <w:rPr>
          <w:rFonts w:ascii="Book Antiqua" w:hAnsi="Book Antiqua" w:cs="Times New Roman"/>
          <w:color w:val="000000" w:themeColor="text1"/>
        </w:rPr>
        <w:t xml:space="preserve">, </w:t>
      </w:r>
      <w:r w:rsidR="001B730E" w:rsidRPr="00263307">
        <w:rPr>
          <w:rFonts w:ascii="Book Antiqua" w:hAnsi="Book Antiqua" w:cs="Times New Roman"/>
          <w:color w:val="000000" w:themeColor="text1"/>
        </w:rPr>
        <w:t xml:space="preserve">physical findings, </w:t>
      </w:r>
      <w:r w:rsidR="008E7615" w:rsidRPr="00263307">
        <w:rPr>
          <w:rFonts w:ascii="Book Antiqua" w:hAnsi="Book Antiqua" w:cs="Times New Roman"/>
          <w:color w:val="000000" w:themeColor="text1"/>
        </w:rPr>
        <w:t xml:space="preserve">and laboratory data </w:t>
      </w:r>
      <w:r w:rsidR="00215119" w:rsidRPr="00263307">
        <w:rPr>
          <w:rFonts w:ascii="Book Antiqua" w:hAnsi="Book Antiqua" w:cs="Times New Roman"/>
          <w:color w:val="000000" w:themeColor="text1"/>
        </w:rPr>
        <w:t xml:space="preserve">to select the explanatory variates </w:t>
      </w:r>
      <w:r w:rsidR="00443EE8" w:rsidRPr="00263307">
        <w:rPr>
          <w:rFonts w:ascii="Book Antiqua" w:hAnsi="Book Antiqua" w:cs="Times New Roman"/>
          <w:color w:val="000000" w:themeColor="text1"/>
        </w:rPr>
        <w:t>for</w:t>
      </w:r>
      <w:r w:rsidR="00215119" w:rsidRPr="00263307">
        <w:rPr>
          <w:rFonts w:ascii="Book Antiqua" w:hAnsi="Book Antiqua" w:cs="Times New Roman"/>
          <w:color w:val="000000" w:themeColor="text1"/>
        </w:rPr>
        <w:t xml:space="preserve"> logistic regression. Based on the univariate comparisons, we performed logistic regression for clinical differentiation </w:t>
      </w:r>
      <w:r w:rsidR="00443EE8" w:rsidRPr="00263307">
        <w:rPr>
          <w:rFonts w:ascii="Book Antiqua" w:hAnsi="Book Antiqua" w:cs="Times New Roman"/>
          <w:color w:val="000000" w:themeColor="text1"/>
        </w:rPr>
        <w:t>between</w:t>
      </w:r>
      <w:r w:rsidR="00215119" w:rsidRPr="00263307">
        <w:rPr>
          <w:rFonts w:ascii="Book Antiqua" w:hAnsi="Book Antiqua" w:cs="Times New Roman"/>
          <w:color w:val="000000" w:themeColor="text1"/>
        </w:rPr>
        <w:t xml:space="preserve"> </w:t>
      </w:r>
      <w:r w:rsidR="008006A8" w:rsidRPr="00263307">
        <w:rPr>
          <w:rFonts w:ascii="Book Antiqua" w:hAnsi="Book Antiqua" w:cs="Times New Roman"/>
          <w:color w:val="000000" w:themeColor="text1"/>
        </w:rPr>
        <w:t xml:space="preserve">CA </w:t>
      </w:r>
      <w:r w:rsidR="00443EE8" w:rsidRPr="00263307">
        <w:rPr>
          <w:rFonts w:ascii="Book Antiqua" w:hAnsi="Book Antiqua" w:cs="Times New Roman"/>
          <w:color w:val="000000" w:themeColor="text1"/>
        </w:rPr>
        <w:t xml:space="preserve">and </w:t>
      </w:r>
      <w:r w:rsidR="008006A8" w:rsidRPr="00263307">
        <w:rPr>
          <w:rFonts w:ascii="Book Antiqua" w:hAnsi="Book Antiqua" w:cs="Times New Roman"/>
          <w:color w:val="000000" w:themeColor="text1"/>
        </w:rPr>
        <w:t>SA</w:t>
      </w:r>
      <w:r w:rsidR="00347727" w:rsidRPr="00263307">
        <w:rPr>
          <w:rFonts w:ascii="Book Antiqua" w:hAnsi="Book Antiqua" w:cs="Times New Roman"/>
          <w:color w:val="000000" w:themeColor="text1"/>
        </w:rPr>
        <w:t xml:space="preserve"> using only </w:t>
      </w:r>
      <w:r w:rsidR="00347727" w:rsidRPr="00263307">
        <w:rPr>
          <w:rFonts w:ascii="Book Antiqua" w:hAnsi="Book Antiqua" w:cs="Times New Roman"/>
          <w:color w:val="000000" w:themeColor="text1"/>
        </w:rPr>
        <w:lastRenderedPageBreak/>
        <w:t>non-laboratory factors a</w:t>
      </w:r>
      <w:r w:rsidR="00C97FCE" w:rsidRPr="00263307">
        <w:rPr>
          <w:rFonts w:ascii="Book Antiqua" w:hAnsi="Book Antiqua" w:cs="Times New Roman"/>
          <w:color w:val="000000" w:themeColor="text1"/>
        </w:rPr>
        <w:t xml:space="preserve">nd </w:t>
      </w:r>
      <w:r w:rsidR="00770F2F" w:rsidRPr="00263307">
        <w:rPr>
          <w:rFonts w:ascii="Book Antiqua" w:hAnsi="Book Antiqua" w:cs="Times New Roman"/>
          <w:color w:val="000000" w:themeColor="text1"/>
        </w:rPr>
        <w:t xml:space="preserve">also </w:t>
      </w:r>
      <w:r w:rsidR="00C97FCE" w:rsidRPr="00263307">
        <w:rPr>
          <w:rFonts w:ascii="Book Antiqua" w:hAnsi="Book Antiqua" w:cs="Times New Roman"/>
          <w:color w:val="000000" w:themeColor="text1"/>
        </w:rPr>
        <w:t>including both non-laboratory and laboratory factors.</w:t>
      </w:r>
    </w:p>
    <w:p w14:paraId="0FD0D163" w14:textId="77777777" w:rsidR="001E049E" w:rsidRPr="00263307" w:rsidRDefault="001E049E" w:rsidP="00263307">
      <w:pPr>
        <w:adjustRightInd w:val="0"/>
        <w:snapToGrid w:val="0"/>
        <w:spacing w:line="360" w:lineRule="auto"/>
        <w:jc w:val="both"/>
        <w:rPr>
          <w:rFonts w:ascii="Book Antiqua" w:hAnsi="Book Antiqua" w:cs="Times New Roman"/>
          <w:color w:val="000000" w:themeColor="text1"/>
        </w:rPr>
      </w:pPr>
    </w:p>
    <w:p w14:paraId="5A839040" w14:textId="56FB905A" w:rsidR="0020568A" w:rsidRPr="00263307" w:rsidRDefault="0020568A"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RESULTS</w:t>
      </w:r>
    </w:p>
    <w:p w14:paraId="156D72DC" w14:textId="7721051D" w:rsidR="00A4535A" w:rsidRPr="00263307" w:rsidRDefault="007312CC" w:rsidP="00263307">
      <w:pPr>
        <w:pStyle w:val="a5"/>
        <w:adjustRightInd w:val="0"/>
        <w:snapToGrid w:val="0"/>
        <w:spacing w:before="0" w:beforeAutospacing="0" w:after="0" w:afterAutospacing="0" w:line="360" w:lineRule="auto"/>
        <w:jc w:val="both"/>
        <w:rPr>
          <w:rFonts w:ascii="Book Antiqua" w:eastAsia="宋体" w:hAnsi="Book Antiqua"/>
          <w:color w:val="000000" w:themeColor="text1"/>
          <w:sz w:val="24"/>
          <w:szCs w:val="24"/>
          <w:lang w:eastAsia="zh-CN"/>
        </w:rPr>
      </w:pPr>
      <w:r w:rsidRPr="00263307">
        <w:rPr>
          <w:rFonts w:ascii="Book Antiqua" w:hAnsi="Book Antiqua"/>
          <w:color w:val="000000" w:themeColor="text1"/>
          <w:sz w:val="24"/>
          <w:szCs w:val="24"/>
        </w:rPr>
        <w:t>The 236 eligible patients consisted of 198 patients (83.9%) with SA and 38 patients (16.1%) with CA. The m</w:t>
      </w:r>
      <w:r w:rsidR="00990B8D" w:rsidRPr="00263307">
        <w:rPr>
          <w:rFonts w:ascii="Book Antiqua" w:hAnsi="Book Antiqua"/>
          <w:color w:val="000000" w:themeColor="text1"/>
          <w:sz w:val="24"/>
          <w:szCs w:val="24"/>
        </w:rPr>
        <w:t xml:space="preserve">edian ages were 34 years old </w:t>
      </w:r>
      <w:r w:rsidR="00990B8D" w:rsidRPr="00263307">
        <w:rPr>
          <w:rFonts w:ascii="Book Antiqua" w:eastAsia="宋体" w:hAnsi="Book Antiqua"/>
          <w:color w:val="000000" w:themeColor="text1"/>
          <w:sz w:val="24"/>
          <w:szCs w:val="24"/>
          <w:lang w:eastAsia="zh-CN"/>
        </w:rPr>
        <w:t>[</w:t>
      </w:r>
      <w:r w:rsidRPr="00263307">
        <w:rPr>
          <w:rFonts w:ascii="Book Antiqua" w:hAnsi="Book Antiqua"/>
          <w:color w:val="000000" w:themeColor="text1"/>
          <w:sz w:val="24"/>
          <w:szCs w:val="24"/>
        </w:rPr>
        <w:t>interqu</w:t>
      </w:r>
      <w:r w:rsidR="00990B8D" w:rsidRPr="00263307">
        <w:rPr>
          <w:rFonts w:ascii="Book Antiqua" w:hAnsi="Book Antiqua"/>
          <w:color w:val="000000" w:themeColor="text1"/>
          <w:sz w:val="24"/>
          <w:szCs w:val="24"/>
        </w:rPr>
        <w:t xml:space="preserve">artile ranges </w:t>
      </w:r>
      <w:r w:rsidR="00990B8D" w:rsidRPr="00263307">
        <w:rPr>
          <w:rFonts w:ascii="Book Antiqua" w:eastAsia="宋体" w:hAnsi="Book Antiqua"/>
          <w:color w:val="000000" w:themeColor="text1"/>
          <w:sz w:val="24"/>
          <w:szCs w:val="24"/>
          <w:lang w:eastAsia="zh-CN"/>
        </w:rPr>
        <w:t>(</w:t>
      </w:r>
      <w:r w:rsidR="00990B8D" w:rsidRPr="00263307">
        <w:rPr>
          <w:rFonts w:ascii="Book Antiqua" w:hAnsi="Book Antiqua"/>
          <w:color w:val="000000" w:themeColor="text1"/>
          <w:sz w:val="24"/>
          <w:szCs w:val="24"/>
        </w:rPr>
        <w:t>IR</w:t>
      </w:r>
      <w:r w:rsidR="00990B8D" w:rsidRPr="00263307">
        <w:rPr>
          <w:rFonts w:ascii="Book Antiqua" w:eastAsia="宋体" w:hAnsi="Book Antiqua"/>
          <w:color w:val="000000" w:themeColor="text1"/>
          <w:sz w:val="24"/>
          <w:szCs w:val="24"/>
          <w:lang w:eastAsia="zh-CN"/>
        </w:rPr>
        <w:t>)</w:t>
      </w:r>
      <w:r w:rsidR="00990B8D" w:rsidRPr="00263307">
        <w:rPr>
          <w:rFonts w:ascii="Book Antiqua" w:hAnsi="Book Antiqua"/>
          <w:color w:val="000000" w:themeColor="text1"/>
          <w:sz w:val="24"/>
          <w:szCs w:val="24"/>
        </w:rPr>
        <w:t>, 24-45 years</w:t>
      </w:r>
      <w:r w:rsidR="00990B8D" w:rsidRPr="00263307">
        <w:rPr>
          <w:rFonts w:ascii="Book Antiqua" w:eastAsia="宋体" w:hAnsi="Book Antiqua"/>
          <w:color w:val="000000" w:themeColor="text1"/>
          <w:sz w:val="24"/>
          <w:szCs w:val="24"/>
          <w:lang w:eastAsia="zh-CN"/>
        </w:rPr>
        <w:t>]</w:t>
      </w:r>
      <w:r w:rsidRPr="00263307">
        <w:rPr>
          <w:rFonts w:ascii="Book Antiqua" w:hAnsi="Book Antiqua"/>
          <w:color w:val="000000" w:themeColor="text1"/>
          <w:sz w:val="24"/>
          <w:szCs w:val="24"/>
        </w:rPr>
        <w:t xml:space="preserve"> in </w:t>
      </w:r>
      <w:r w:rsidR="00804D6D" w:rsidRPr="00263307">
        <w:rPr>
          <w:rFonts w:ascii="Book Antiqua" w:hAnsi="Book Antiqua"/>
          <w:color w:val="000000" w:themeColor="text1"/>
          <w:sz w:val="24"/>
          <w:szCs w:val="24"/>
        </w:rPr>
        <w:t xml:space="preserve">the </w:t>
      </w:r>
      <w:r w:rsidRPr="00263307">
        <w:rPr>
          <w:rFonts w:ascii="Book Antiqua" w:hAnsi="Book Antiqua"/>
          <w:color w:val="000000" w:themeColor="text1"/>
          <w:sz w:val="24"/>
          <w:szCs w:val="24"/>
        </w:rPr>
        <w:t xml:space="preserve">SA group and 49 years old (IR, 35-63 years) in </w:t>
      </w:r>
      <w:r w:rsidR="00804D6D" w:rsidRPr="00263307">
        <w:rPr>
          <w:rFonts w:ascii="Book Antiqua" w:hAnsi="Book Antiqua"/>
          <w:color w:val="000000" w:themeColor="text1"/>
          <w:sz w:val="24"/>
          <w:szCs w:val="24"/>
        </w:rPr>
        <w:t xml:space="preserve">the </w:t>
      </w:r>
      <w:r w:rsidRPr="00263307">
        <w:rPr>
          <w:rFonts w:ascii="Book Antiqua" w:hAnsi="Book Antiqua"/>
          <w:color w:val="000000" w:themeColor="text1"/>
          <w:sz w:val="24"/>
          <w:szCs w:val="24"/>
        </w:rPr>
        <w:t>CA group (</w:t>
      </w:r>
      <w:r w:rsidR="0071698F" w:rsidRPr="00263307">
        <w:rPr>
          <w:rFonts w:ascii="Book Antiqua" w:hAnsi="Book Antiqua"/>
          <w:i/>
          <w:color w:val="000000" w:themeColor="text1"/>
          <w:sz w:val="24"/>
          <w:szCs w:val="24"/>
        </w:rPr>
        <w:t>P</w:t>
      </w:r>
      <w:r w:rsidR="0071698F"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&lt;</w:t>
      </w:r>
      <w:r w:rsidR="00770F2F"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 xml:space="preserve">0.001). The median onset-to-visit interval was 1 </w:t>
      </w:r>
      <w:r w:rsidR="00175F54" w:rsidRPr="00263307">
        <w:rPr>
          <w:rFonts w:ascii="Book Antiqua" w:eastAsia="宋体" w:hAnsi="Book Antiqua"/>
          <w:color w:val="000000" w:themeColor="text1"/>
          <w:sz w:val="24"/>
          <w:szCs w:val="24"/>
          <w:lang w:eastAsia="zh-CN"/>
        </w:rPr>
        <w:t>d</w:t>
      </w:r>
      <w:r w:rsidRPr="00263307">
        <w:rPr>
          <w:rFonts w:ascii="Book Antiqua" w:hAnsi="Book Antiqua"/>
          <w:color w:val="000000" w:themeColor="text1"/>
          <w:sz w:val="24"/>
          <w:szCs w:val="24"/>
        </w:rPr>
        <w:t xml:space="preserve"> (IR, 0-1) and 1 </w:t>
      </w:r>
      <w:r w:rsidR="00175F54" w:rsidRPr="00263307">
        <w:rPr>
          <w:rFonts w:ascii="Book Antiqua" w:eastAsia="宋体" w:hAnsi="Book Antiqua"/>
          <w:color w:val="000000" w:themeColor="text1"/>
          <w:sz w:val="24"/>
          <w:szCs w:val="24"/>
          <w:lang w:eastAsia="zh-CN"/>
        </w:rPr>
        <w:t>d</w:t>
      </w:r>
      <w:r w:rsidRPr="00263307">
        <w:rPr>
          <w:rFonts w:ascii="Book Antiqua" w:hAnsi="Book Antiqua"/>
          <w:color w:val="000000" w:themeColor="text1"/>
          <w:sz w:val="24"/>
          <w:szCs w:val="24"/>
        </w:rPr>
        <w:t xml:space="preserve"> (IR, 1-2) in </w:t>
      </w:r>
      <w:r w:rsidR="00804D6D" w:rsidRPr="00263307">
        <w:rPr>
          <w:rFonts w:ascii="Book Antiqua" w:hAnsi="Book Antiqua"/>
          <w:color w:val="000000" w:themeColor="text1"/>
          <w:sz w:val="24"/>
          <w:szCs w:val="24"/>
        </w:rPr>
        <w:t xml:space="preserve">the </w:t>
      </w:r>
      <w:r w:rsidRPr="00263307">
        <w:rPr>
          <w:rFonts w:ascii="Book Antiqua" w:hAnsi="Book Antiqua"/>
          <w:color w:val="000000" w:themeColor="text1"/>
          <w:sz w:val="24"/>
          <w:szCs w:val="24"/>
        </w:rPr>
        <w:t>SA and CA group</w:t>
      </w:r>
      <w:r w:rsidR="00804D6D" w:rsidRPr="00263307">
        <w:rPr>
          <w:rFonts w:ascii="Book Antiqua" w:hAnsi="Book Antiqua"/>
          <w:color w:val="000000" w:themeColor="text1"/>
          <w:sz w:val="24"/>
          <w:szCs w:val="24"/>
        </w:rPr>
        <w:t>s</w:t>
      </w:r>
      <w:r w:rsidRPr="00263307">
        <w:rPr>
          <w:rFonts w:ascii="Book Antiqua" w:hAnsi="Book Antiqua"/>
          <w:color w:val="000000" w:themeColor="text1"/>
          <w:sz w:val="24"/>
          <w:szCs w:val="24"/>
        </w:rPr>
        <w:t xml:space="preserve">, </w:t>
      </w:r>
      <w:r w:rsidR="00175F54" w:rsidRPr="00263307">
        <w:rPr>
          <w:rFonts w:ascii="Book Antiqua" w:hAnsi="Book Antiqua"/>
          <w:color w:val="000000" w:themeColor="text1"/>
          <w:sz w:val="24"/>
          <w:szCs w:val="24"/>
        </w:rPr>
        <w:t>respectively (</w:t>
      </w:r>
      <w:r w:rsidR="00175F54" w:rsidRPr="00263307">
        <w:rPr>
          <w:rFonts w:ascii="Book Antiqua" w:hAnsi="Book Antiqua"/>
          <w:i/>
          <w:color w:val="000000" w:themeColor="text1"/>
          <w:sz w:val="24"/>
          <w:szCs w:val="24"/>
        </w:rPr>
        <w:t>P</w:t>
      </w:r>
      <w:r w:rsidR="00175F54"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&lt;</w:t>
      </w:r>
      <w:r w:rsidR="00175F54" w:rsidRPr="00263307">
        <w:rPr>
          <w:rFonts w:ascii="Book Antiqua" w:eastAsia="宋体" w:hAnsi="Book Antiqua"/>
          <w:color w:val="000000" w:themeColor="text1"/>
          <w:sz w:val="24"/>
          <w:szCs w:val="24"/>
          <w:lang w:eastAsia="zh-CN"/>
        </w:rPr>
        <w:t xml:space="preserve"> </w:t>
      </w:r>
      <w:r w:rsidRPr="00263307">
        <w:rPr>
          <w:rFonts w:ascii="Book Antiqua" w:hAnsi="Book Antiqua"/>
          <w:color w:val="000000" w:themeColor="text1"/>
          <w:sz w:val="24"/>
          <w:szCs w:val="24"/>
        </w:rPr>
        <w:t xml:space="preserve">0.001). </w:t>
      </w:r>
      <w:r w:rsidR="00F97861" w:rsidRPr="00263307">
        <w:rPr>
          <w:rFonts w:ascii="Book Antiqua" w:hAnsi="Book Antiqua"/>
          <w:color w:val="000000" w:themeColor="text1"/>
          <w:sz w:val="24"/>
          <w:szCs w:val="24"/>
        </w:rPr>
        <w:t>H</w:t>
      </w:r>
      <w:r w:rsidRPr="00263307">
        <w:rPr>
          <w:rFonts w:ascii="Book Antiqua" w:hAnsi="Book Antiqua"/>
          <w:color w:val="000000" w:themeColor="text1"/>
          <w:sz w:val="24"/>
          <w:szCs w:val="24"/>
        </w:rPr>
        <w:t xml:space="preserve">eart rate, body temperature, </w:t>
      </w:r>
      <w:r w:rsidR="00D56371" w:rsidRPr="00263307">
        <w:rPr>
          <w:rFonts w:ascii="Book Antiqua" w:hAnsi="Book Antiqua"/>
          <w:color w:val="000000" w:themeColor="text1"/>
          <w:sz w:val="24"/>
          <w:szCs w:val="24"/>
        </w:rPr>
        <w:t xml:space="preserve">and </w:t>
      </w:r>
      <w:r w:rsidRPr="00263307">
        <w:rPr>
          <w:rFonts w:ascii="Book Antiqua" w:hAnsi="Book Antiqua"/>
          <w:color w:val="000000" w:themeColor="text1"/>
          <w:sz w:val="24"/>
          <w:szCs w:val="24"/>
        </w:rPr>
        <w:t>serum CRP level</w:t>
      </w:r>
      <w:r w:rsidR="00D56371"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 xml:space="preserve">in </w:t>
      </w:r>
      <w:r w:rsidR="00804D6D" w:rsidRPr="00263307">
        <w:rPr>
          <w:rFonts w:ascii="Book Antiqua" w:hAnsi="Book Antiqua"/>
          <w:color w:val="000000" w:themeColor="text1"/>
          <w:sz w:val="24"/>
          <w:szCs w:val="24"/>
        </w:rPr>
        <w:t xml:space="preserve">the </w:t>
      </w:r>
      <w:r w:rsidRPr="00263307">
        <w:rPr>
          <w:rFonts w:ascii="Book Antiqua" w:hAnsi="Book Antiqua"/>
          <w:color w:val="000000" w:themeColor="text1"/>
          <w:sz w:val="24"/>
          <w:szCs w:val="24"/>
        </w:rPr>
        <w:t xml:space="preserve">CA group were significantly higher than in </w:t>
      </w:r>
      <w:r w:rsidR="00804D6D" w:rsidRPr="00263307">
        <w:rPr>
          <w:rFonts w:ascii="Book Antiqua" w:hAnsi="Book Antiqua"/>
          <w:color w:val="000000" w:themeColor="text1"/>
          <w:sz w:val="24"/>
          <w:szCs w:val="24"/>
        </w:rPr>
        <w:t xml:space="preserve">the </w:t>
      </w:r>
      <w:r w:rsidRPr="00263307">
        <w:rPr>
          <w:rFonts w:ascii="Book Antiqua" w:hAnsi="Book Antiqua"/>
          <w:color w:val="000000" w:themeColor="text1"/>
          <w:sz w:val="24"/>
          <w:szCs w:val="24"/>
        </w:rPr>
        <w:t xml:space="preserve">SA group; </w:t>
      </w:r>
      <w:r w:rsidR="008D7EDC" w:rsidRPr="00263307">
        <w:rPr>
          <w:rFonts w:ascii="Book Antiqua" w:hAnsi="Book Antiqua"/>
          <w:color w:val="000000" w:themeColor="text1"/>
          <w:sz w:val="24"/>
          <w:szCs w:val="24"/>
        </w:rPr>
        <w:t>glomerular filtration rate</w:t>
      </w:r>
      <w:r w:rsidRPr="00263307">
        <w:rPr>
          <w:rFonts w:ascii="Book Antiqua" w:hAnsi="Book Antiqua"/>
          <w:color w:val="000000" w:themeColor="text1"/>
          <w:sz w:val="24"/>
          <w:szCs w:val="24"/>
        </w:rPr>
        <w:t xml:space="preserve"> </w:t>
      </w:r>
      <w:r w:rsidR="00D56371" w:rsidRPr="00263307">
        <w:rPr>
          <w:rFonts w:ascii="Book Antiqua" w:hAnsi="Book Antiqua"/>
          <w:color w:val="000000" w:themeColor="text1"/>
          <w:sz w:val="24"/>
          <w:szCs w:val="24"/>
        </w:rPr>
        <w:t xml:space="preserve">and serum sodium </w:t>
      </w:r>
      <w:r w:rsidRPr="00263307">
        <w:rPr>
          <w:rFonts w:ascii="Book Antiqua" w:hAnsi="Book Antiqua"/>
          <w:color w:val="000000" w:themeColor="text1"/>
          <w:sz w:val="24"/>
          <w:szCs w:val="24"/>
        </w:rPr>
        <w:t>w</w:t>
      </w:r>
      <w:r w:rsidR="00D56371" w:rsidRPr="00263307">
        <w:rPr>
          <w:rFonts w:ascii="Book Antiqua" w:hAnsi="Book Antiqua"/>
          <w:color w:val="000000" w:themeColor="text1"/>
          <w:sz w:val="24"/>
          <w:szCs w:val="24"/>
        </w:rPr>
        <w:t>ere</w:t>
      </w:r>
      <w:r w:rsidRPr="00263307">
        <w:rPr>
          <w:rFonts w:ascii="Book Antiqua" w:hAnsi="Book Antiqua"/>
          <w:color w:val="000000" w:themeColor="text1"/>
          <w:sz w:val="24"/>
          <w:szCs w:val="24"/>
        </w:rPr>
        <w:t xml:space="preserve"> significantly </w:t>
      </w:r>
      <w:r w:rsidR="00F97861" w:rsidRPr="00263307">
        <w:rPr>
          <w:rFonts w:ascii="Book Antiqua" w:hAnsi="Book Antiqua"/>
          <w:color w:val="000000" w:themeColor="text1"/>
          <w:sz w:val="24"/>
          <w:szCs w:val="24"/>
        </w:rPr>
        <w:t>low</w:t>
      </w:r>
      <w:r w:rsidRPr="00263307">
        <w:rPr>
          <w:rFonts w:ascii="Book Antiqua" w:hAnsi="Book Antiqua"/>
          <w:color w:val="000000" w:themeColor="text1"/>
          <w:sz w:val="24"/>
          <w:szCs w:val="24"/>
        </w:rPr>
        <w:t>er in</w:t>
      </w:r>
      <w:r w:rsidR="00804D6D" w:rsidRPr="00263307">
        <w:rPr>
          <w:rFonts w:ascii="Book Antiqua" w:hAnsi="Book Antiqua"/>
          <w:color w:val="000000" w:themeColor="text1"/>
          <w:sz w:val="24"/>
          <w:szCs w:val="24"/>
        </w:rPr>
        <w:t xml:space="preserve"> the</w:t>
      </w:r>
      <w:r w:rsidRPr="00263307">
        <w:rPr>
          <w:rFonts w:ascii="Book Antiqua" w:hAnsi="Book Antiqua"/>
          <w:color w:val="000000" w:themeColor="text1"/>
          <w:sz w:val="24"/>
          <w:szCs w:val="24"/>
        </w:rPr>
        <w:t xml:space="preserve"> </w:t>
      </w:r>
      <w:r w:rsidR="00F97861" w:rsidRPr="00263307">
        <w:rPr>
          <w:rFonts w:ascii="Book Antiqua" w:hAnsi="Book Antiqua"/>
          <w:color w:val="000000" w:themeColor="text1"/>
          <w:sz w:val="24"/>
          <w:szCs w:val="24"/>
        </w:rPr>
        <w:t>C</w:t>
      </w:r>
      <w:r w:rsidRPr="00263307">
        <w:rPr>
          <w:rFonts w:ascii="Book Antiqua" w:hAnsi="Book Antiqua"/>
          <w:color w:val="000000" w:themeColor="text1"/>
          <w:sz w:val="24"/>
          <w:szCs w:val="24"/>
        </w:rPr>
        <w:t xml:space="preserve">A group. </w:t>
      </w:r>
      <w:r w:rsidR="008F2FE8" w:rsidRPr="00263307">
        <w:rPr>
          <w:rFonts w:ascii="Book Antiqua" w:hAnsi="Book Antiqua"/>
          <w:color w:val="000000" w:themeColor="text1"/>
          <w:sz w:val="24"/>
          <w:szCs w:val="24"/>
        </w:rPr>
        <w:t>A</w:t>
      </w:r>
      <w:r w:rsidRPr="00263307">
        <w:rPr>
          <w:rFonts w:ascii="Book Antiqua" w:hAnsi="Book Antiqua"/>
          <w:color w:val="000000" w:themeColor="text1"/>
          <w:sz w:val="24"/>
          <w:szCs w:val="24"/>
        </w:rPr>
        <w:t xml:space="preserve">norexia was significantly </w:t>
      </w:r>
      <w:r w:rsidR="008F2FE8" w:rsidRPr="00263307">
        <w:rPr>
          <w:rFonts w:ascii="Book Antiqua" w:hAnsi="Book Antiqua"/>
          <w:color w:val="000000" w:themeColor="text1"/>
          <w:sz w:val="24"/>
          <w:szCs w:val="24"/>
        </w:rPr>
        <w:t xml:space="preserve">more prevalent </w:t>
      </w:r>
      <w:r w:rsidRPr="00263307">
        <w:rPr>
          <w:rFonts w:ascii="Book Antiqua" w:hAnsi="Book Antiqua"/>
          <w:color w:val="000000" w:themeColor="text1"/>
          <w:sz w:val="24"/>
          <w:szCs w:val="24"/>
        </w:rPr>
        <w:t xml:space="preserve">in </w:t>
      </w:r>
      <w:r w:rsidR="00804D6D" w:rsidRPr="00263307">
        <w:rPr>
          <w:rFonts w:ascii="Book Antiqua" w:hAnsi="Book Antiqua"/>
          <w:color w:val="000000" w:themeColor="text1"/>
          <w:sz w:val="24"/>
          <w:szCs w:val="24"/>
        </w:rPr>
        <w:t xml:space="preserve">the </w:t>
      </w:r>
      <w:r w:rsidRPr="00263307">
        <w:rPr>
          <w:rFonts w:ascii="Book Antiqua" w:hAnsi="Book Antiqua"/>
          <w:color w:val="000000" w:themeColor="text1"/>
          <w:sz w:val="24"/>
          <w:szCs w:val="24"/>
        </w:rPr>
        <w:t>CA group.</w:t>
      </w:r>
      <w:r w:rsidR="008F2FE8"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 xml:space="preserve">The regression model including age, onset-to-visit interval, anorexia, tachycardia, and fever as non-laboratory predictive factors of CA </w:t>
      </w:r>
      <w:r w:rsidR="008F2FE8" w:rsidRPr="00263307">
        <w:rPr>
          <w:rFonts w:ascii="Book Antiqua" w:hAnsi="Book Antiqua"/>
          <w:color w:val="000000" w:themeColor="text1"/>
          <w:sz w:val="24"/>
          <w:szCs w:val="24"/>
        </w:rPr>
        <w:t xml:space="preserve">(Model 1) </w:t>
      </w:r>
      <w:r w:rsidRPr="00263307">
        <w:rPr>
          <w:rFonts w:ascii="Book Antiqua" w:hAnsi="Book Antiqua"/>
          <w:color w:val="000000" w:themeColor="text1"/>
          <w:sz w:val="24"/>
          <w:szCs w:val="24"/>
        </w:rPr>
        <w:t xml:space="preserve">showed </w:t>
      </w:r>
      <w:r w:rsidR="00174DC7" w:rsidRPr="00263307">
        <w:rPr>
          <w:rFonts w:ascii="Book Antiqua" w:hAnsi="Book Antiqua"/>
          <w:color w:val="000000" w:themeColor="text1"/>
          <w:sz w:val="24"/>
          <w:szCs w:val="24"/>
        </w:rPr>
        <w:t xml:space="preserve">that </w:t>
      </w:r>
      <w:r w:rsidRPr="00263307">
        <w:rPr>
          <w:rFonts w:ascii="Book Antiqua" w:hAnsi="Book Antiqua"/>
          <w:color w:val="000000" w:themeColor="text1"/>
          <w:sz w:val="24"/>
          <w:szCs w:val="24"/>
        </w:rPr>
        <w:t>age ≥</w:t>
      </w:r>
      <w:r w:rsidR="00174DC7"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65</w:t>
      </w:r>
      <w:r w:rsidR="00804D6D"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year</w:t>
      </w:r>
      <w:r w:rsidR="00804D6D" w:rsidRPr="00263307">
        <w:rPr>
          <w:rFonts w:ascii="Book Antiqua" w:hAnsi="Book Antiqua"/>
          <w:color w:val="000000" w:themeColor="text1"/>
          <w:sz w:val="24"/>
          <w:szCs w:val="24"/>
        </w:rPr>
        <w:t xml:space="preserve">s </w:t>
      </w:r>
      <w:r w:rsidRPr="00263307">
        <w:rPr>
          <w:rFonts w:ascii="Book Antiqua" w:hAnsi="Book Antiqua"/>
          <w:color w:val="000000" w:themeColor="text1"/>
          <w:sz w:val="24"/>
          <w:szCs w:val="24"/>
        </w:rPr>
        <w:t>old, longer onset-to-visit interval, and anorexia had significantly high odds ratio</w:t>
      </w:r>
      <w:r w:rsidR="008F2FE8" w:rsidRPr="00263307">
        <w:rPr>
          <w:rFonts w:ascii="Book Antiqua" w:hAnsi="Book Antiqua"/>
          <w:color w:val="000000" w:themeColor="text1"/>
          <w:sz w:val="24"/>
          <w:szCs w:val="24"/>
        </w:rPr>
        <w:t>s</w:t>
      </w:r>
      <w:r w:rsidRPr="00263307">
        <w:rPr>
          <w:rFonts w:ascii="Book Antiqua" w:hAnsi="Book Antiqua"/>
          <w:color w:val="000000" w:themeColor="text1"/>
          <w:sz w:val="24"/>
          <w:szCs w:val="24"/>
        </w:rPr>
        <w:t xml:space="preserve">. The logistic regression for prediction of CA including age, onset-to-visit interval, anorexia, serum CRP level, </w:t>
      </w:r>
      <w:r w:rsidR="00D56371" w:rsidRPr="00263307">
        <w:rPr>
          <w:rFonts w:ascii="Book Antiqua" w:hAnsi="Book Antiqua"/>
          <w:color w:val="000000" w:themeColor="text1"/>
          <w:sz w:val="24"/>
          <w:szCs w:val="24"/>
        </w:rPr>
        <w:t>hyponatremia (serum sodium &lt; 135</w:t>
      </w:r>
      <w:r w:rsidR="00D40583" w:rsidRPr="00263307">
        <w:rPr>
          <w:rFonts w:ascii="Book Antiqua" w:eastAsia="宋体" w:hAnsi="Book Antiqua"/>
          <w:color w:val="000000" w:themeColor="text1"/>
          <w:sz w:val="24"/>
          <w:szCs w:val="24"/>
          <w:lang w:eastAsia="zh-CN"/>
        </w:rPr>
        <w:t xml:space="preserve"> </w:t>
      </w:r>
      <w:proofErr w:type="spellStart"/>
      <w:r w:rsidR="00D56371" w:rsidRPr="00263307">
        <w:rPr>
          <w:rFonts w:ascii="Book Antiqua" w:hAnsi="Book Antiqua"/>
          <w:color w:val="000000" w:themeColor="text1"/>
          <w:sz w:val="24"/>
          <w:szCs w:val="24"/>
        </w:rPr>
        <w:t>mEq</w:t>
      </w:r>
      <w:proofErr w:type="spellEnd"/>
      <w:r w:rsidR="00D56371" w:rsidRPr="00263307">
        <w:rPr>
          <w:rFonts w:ascii="Book Antiqua" w:hAnsi="Book Antiqua"/>
          <w:color w:val="000000" w:themeColor="text1"/>
          <w:sz w:val="24"/>
          <w:szCs w:val="24"/>
        </w:rPr>
        <w:t xml:space="preserve">/L), </w:t>
      </w:r>
      <w:r w:rsidRPr="00263307">
        <w:rPr>
          <w:rFonts w:ascii="Book Antiqua" w:hAnsi="Book Antiqua"/>
          <w:color w:val="000000" w:themeColor="text1"/>
          <w:sz w:val="24"/>
          <w:szCs w:val="24"/>
        </w:rPr>
        <w:t xml:space="preserve">and </w:t>
      </w:r>
      <w:r w:rsidR="008D7EDC" w:rsidRPr="00263307">
        <w:rPr>
          <w:rFonts w:ascii="Book Antiqua" w:hAnsi="Book Antiqua"/>
          <w:color w:val="000000" w:themeColor="text1"/>
          <w:sz w:val="24"/>
          <w:szCs w:val="24"/>
        </w:rPr>
        <w:t xml:space="preserve">glomerular filtration rate </w:t>
      </w:r>
      <w:r w:rsidR="008F2FE8" w:rsidRPr="00263307">
        <w:rPr>
          <w:rFonts w:ascii="Book Antiqua" w:hAnsi="Book Antiqua"/>
          <w:color w:val="000000" w:themeColor="text1"/>
          <w:sz w:val="24"/>
          <w:szCs w:val="24"/>
        </w:rPr>
        <w:t>&lt;</w:t>
      </w:r>
      <w:r w:rsidR="00770F2F" w:rsidRPr="00263307">
        <w:rPr>
          <w:rFonts w:ascii="Book Antiqua" w:hAnsi="Book Antiqua"/>
          <w:color w:val="000000" w:themeColor="text1"/>
          <w:sz w:val="24"/>
          <w:szCs w:val="24"/>
        </w:rPr>
        <w:t xml:space="preserve"> </w:t>
      </w:r>
      <w:r w:rsidR="008F2FE8" w:rsidRPr="00263307">
        <w:rPr>
          <w:rFonts w:ascii="Book Antiqua" w:hAnsi="Book Antiqua"/>
          <w:color w:val="000000" w:themeColor="text1"/>
          <w:sz w:val="24"/>
          <w:szCs w:val="24"/>
        </w:rPr>
        <w:t>60</w:t>
      </w:r>
      <w:r w:rsidR="001E049E" w:rsidRPr="00263307">
        <w:rPr>
          <w:rFonts w:ascii="Book Antiqua" w:hAnsi="Book Antiqua"/>
          <w:color w:val="000000" w:themeColor="text1"/>
          <w:sz w:val="24"/>
          <w:szCs w:val="24"/>
        </w:rPr>
        <w:t xml:space="preserve"> </w:t>
      </w:r>
      <w:r w:rsidR="008F2FE8" w:rsidRPr="00263307">
        <w:rPr>
          <w:rFonts w:ascii="Book Antiqua" w:hAnsi="Book Antiqua"/>
          <w:color w:val="000000" w:themeColor="text1"/>
          <w:sz w:val="24"/>
          <w:szCs w:val="24"/>
        </w:rPr>
        <w:t>m</w:t>
      </w:r>
      <w:r w:rsidR="00D40583" w:rsidRPr="00263307">
        <w:rPr>
          <w:rFonts w:ascii="Book Antiqua" w:hAnsi="Book Antiqua"/>
          <w:color w:val="000000" w:themeColor="text1"/>
          <w:sz w:val="24"/>
          <w:szCs w:val="24"/>
        </w:rPr>
        <w:t>L</w:t>
      </w:r>
      <w:r w:rsidR="008F2FE8" w:rsidRPr="00263307">
        <w:rPr>
          <w:rFonts w:ascii="Book Antiqua" w:hAnsi="Book Antiqua"/>
          <w:color w:val="000000" w:themeColor="text1"/>
          <w:sz w:val="24"/>
          <w:szCs w:val="24"/>
        </w:rPr>
        <w:t>/min/1.73</w:t>
      </w:r>
      <w:r w:rsidR="001E049E" w:rsidRPr="00263307">
        <w:rPr>
          <w:rFonts w:ascii="Book Antiqua" w:hAnsi="Book Antiqua"/>
          <w:color w:val="000000" w:themeColor="text1"/>
          <w:sz w:val="24"/>
          <w:szCs w:val="24"/>
        </w:rPr>
        <w:t xml:space="preserve"> </w:t>
      </w:r>
      <w:r w:rsidR="008F2FE8" w:rsidRPr="00263307">
        <w:rPr>
          <w:rFonts w:ascii="Book Antiqua" w:hAnsi="Book Antiqua"/>
          <w:color w:val="000000" w:themeColor="text1"/>
          <w:sz w:val="24"/>
          <w:szCs w:val="24"/>
        </w:rPr>
        <w:t>m</w:t>
      </w:r>
      <w:r w:rsidR="008F2FE8" w:rsidRPr="00263307">
        <w:rPr>
          <w:rFonts w:ascii="Book Antiqua" w:hAnsi="Book Antiqua"/>
          <w:color w:val="000000" w:themeColor="text1"/>
          <w:sz w:val="24"/>
          <w:szCs w:val="24"/>
          <w:vertAlign w:val="superscript"/>
        </w:rPr>
        <w:t>2</w:t>
      </w:r>
      <w:r w:rsidRPr="00263307">
        <w:rPr>
          <w:rFonts w:ascii="Book Antiqua" w:hAnsi="Book Antiqua"/>
          <w:color w:val="000000" w:themeColor="text1"/>
          <w:sz w:val="24"/>
          <w:szCs w:val="24"/>
        </w:rPr>
        <w:t xml:space="preserve"> </w:t>
      </w:r>
      <w:r w:rsidR="008F2FE8" w:rsidRPr="00263307">
        <w:rPr>
          <w:rFonts w:ascii="Book Antiqua" w:hAnsi="Book Antiqua"/>
          <w:color w:val="000000" w:themeColor="text1"/>
          <w:sz w:val="24"/>
          <w:szCs w:val="24"/>
        </w:rPr>
        <w:t xml:space="preserve">(Model 2) </w:t>
      </w:r>
      <w:r w:rsidRPr="00263307">
        <w:rPr>
          <w:rFonts w:ascii="Book Antiqua" w:hAnsi="Book Antiqua"/>
          <w:color w:val="000000" w:themeColor="text1"/>
          <w:sz w:val="24"/>
          <w:szCs w:val="24"/>
        </w:rPr>
        <w:t xml:space="preserve">showed that only elevated CRP levels had significantly high </w:t>
      </w:r>
      <w:r w:rsidR="00D40583" w:rsidRPr="00263307">
        <w:rPr>
          <w:rFonts w:ascii="Book Antiqua" w:hAnsi="Book Antiqua"/>
          <w:color w:val="000000" w:themeColor="text1"/>
          <w:sz w:val="24"/>
          <w:szCs w:val="24"/>
        </w:rPr>
        <w:t>odds ratios</w:t>
      </w:r>
      <w:r w:rsidRPr="00263307">
        <w:rPr>
          <w:rFonts w:ascii="Book Antiqua" w:hAnsi="Book Antiqua"/>
          <w:color w:val="000000" w:themeColor="text1"/>
          <w:sz w:val="24"/>
          <w:szCs w:val="24"/>
        </w:rPr>
        <w:t xml:space="preserve">. </w:t>
      </w:r>
      <w:r w:rsidR="00E06CD7" w:rsidRPr="00263307">
        <w:rPr>
          <w:rFonts w:ascii="Book Antiqua" w:hAnsi="Book Antiqua"/>
          <w:color w:val="000000" w:themeColor="text1"/>
          <w:sz w:val="24"/>
          <w:szCs w:val="24"/>
        </w:rPr>
        <w:t xml:space="preserve">Under the curve </w:t>
      </w:r>
      <w:r w:rsidRPr="00263307">
        <w:rPr>
          <w:rFonts w:ascii="Book Antiqua" w:hAnsi="Book Antiqua"/>
          <w:color w:val="000000" w:themeColor="text1"/>
          <w:sz w:val="24"/>
          <w:szCs w:val="24"/>
        </w:rPr>
        <w:t xml:space="preserve">values </w:t>
      </w:r>
      <w:r w:rsidR="008F2FE8" w:rsidRPr="00263307">
        <w:rPr>
          <w:rFonts w:ascii="Book Antiqua" w:hAnsi="Book Antiqua"/>
          <w:color w:val="000000" w:themeColor="text1"/>
          <w:sz w:val="24"/>
          <w:szCs w:val="24"/>
        </w:rPr>
        <w:t>of rec</w:t>
      </w:r>
      <w:r w:rsidR="00D40583" w:rsidRPr="00263307">
        <w:rPr>
          <w:rFonts w:ascii="Book Antiqua" w:hAnsi="Book Antiqua"/>
          <w:color w:val="000000" w:themeColor="text1"/>
          <w:sz w:val="24"/>
          <w:szCs w:val="24"/>
        </w:rPr>
        <w:t>eiver operating characteristics</w:t>
      </w:r>
      <w:r w:rsidR="00D40583" w:rsidRPr="00263307">
        <w:rPr>
          <w:rFonts w:ascii="Book Antiqua" w:eastAsia="宋体" w:hAnsi="Book Antiqua"/>
          <w:color w:val="000000" w:themeColor="text1"/>
          <w:sz w:val="24"/>
          <w:szCs w:val="24"/>
          <w:lang w:eastAsia="zh-CN"/>
        </w:rPr>
        <w:t xml:space="preserve"> </w:t>
      </w:r>
      <w:r w:rsidR="008F2FE8" w:rsidRPr="00263307">
        <w:rPr>
          <w:rFonts w:ascii="Book Antiqua" w:hAnsi="Book Antiqua"/>
          <w:color w:val="000000" w:themeColor="text1"/>
          <w:sz w:val="24"/>
          <w:szCs w:val="24"/>
        </w:rPr>
        <w:t xml:space="preserve">curves of each regression model were </w:t>
      </w:r>
      <w:r w:rsidRPr="00263307">
        <w:rPr>
          <w:rFonts w:ascii="Book Antiqua" w:hAnsi="Book Antiqua"/>
          <w:color w:val="000000" w:themeColor="text1"/>
          <w:sz w:val="24"/>
          <w:szCs w:val="24"/>
        </w:rPr>
        <w:t xml:space="preserve">0.74 for </w:t>
      </w:r>
      <w:r w:rsidR="00804D6D" w:rsidRPr="00263307">
        <w:rPr>
          <w:rFonts w:ascii="Book Antiqua" w:hAnsi="Book Antiqua"/>
          <w:color w:val="000000" w:themeColor="text1"/>
          <w:sz w:val="24"/>
          <w:szCs w:val="24"/>
        </w:rPr>
        <w:t>M</w:t>
      </w:r>
      <w:r w:rsidRPr="00263307">
        <w:rPr>
          <w:rFonts w:ascii="Book Antiqua" w:hAnsi="Book Antiqua"/>
          <w:color w:val="000000" w:themeColor="text1"/>
          <w:sz w:val="24"/>
          <w:szCs w:val="24"/>
        </w:rPr>
        <w:t xml:space="preserve">odel 1 and 0.87 for </w:t>
      </w:r>
      <w:r w:rsidR="00804D6D" w:rsidRPr="00263307">
        <w:rPr>
          <w:rFonts w:ascii="Book Antiqua" w:hAnsi="Book Antiqua"/>
          <w:color w:val="000000" w:themeColor="text1"/>
          <w:sz w:val="24"/>
          <w:szCs w:val="24"/>
        </w:rPr>
        <w:t>M</w:t>
      </w:r>
      <w:r w:rsidRPr="00263307">
        <w:rPr>
          <w:rFonts w:ascii="Book Antiqua" w:hAnsi="Book Antiqua"/>
          <w:color w:val="000000" w:themeColor="text1"/>
          <w:sz w:val="24"/>
          <w:szCs w:val="24"/>
        </w:rPr>
        <w:t xml:space="preserve">odel 2. </w:t>
      </w:r>
    </w:p>
    <w:p w14:paraId="5E366F3D" w14:textId="77777777" w:rsidR="00D40583" w:rsidRPr="00263307" w:rsidRDefault="00D40583" w:rsidP="00263307">
      <w:pPr>
        <w:pStyle w:val="a5"/>
        <w:adjustRightInd w:val="0"/>
        <w:snapToGrid w:val="0"/>
        <w:spacing w:before="0" w:beforeAutospacing="0" w:after="0" w:afterAutospacing="0" w:line="360" w:lineRule="auto"/>
        <w:jc w:val="both"/>
        <w:rPr>
          <w:rFonts w:ascii="Book Antiqua" w:eastAsia="宋体" w:hAnsi="Book Antiqua"/>
          <w:color w:val="000000" w:themeColor="text1"/>
          <w:sz w:val="24"/>
          <w:szCs w:val="24"/>
          <w:lang w:eastAsia="zh-CN"/>
        </w:rPr>
      </w:pPr>
    </w:p>
    <w:p w14:paraId="0BDEFD3E" w14:textId="0396AF83" w:rsidR="00847DDE" w:rsidRPr="00263307" w:rsidRDefault="0020568A"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CONCLUSION</w:t>
      </w:r>
    </w:p>
    <w:p w14:paraId="5F8A61DE" w14:textId="66FE51C5" w:rsidR="008F2FE8" w:rsidRPr="00263307" w:rsidRDefault="008F2FE8" w:rsidP="00263307">
      <w:pPr>
        <w:autoSpaceDE w:val="0"/>
        <w:autoSpaceDN w:val="0"/>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cs="Times New Roman"/>
          <w:color w:val="000000" w:themeColor="text1"/>
        </w:rPr>
        <w:t xml:space="preserve">Our logistic regression analysis on differentiating factors of CA from SA showed that high CRP level was a strong </w:t>
      </w:r>
      <w:r w:rsidR="00AA3148" w:rsidRPr="00263307">
        <w:rPr>
          <w:rFonts w:ascii="Book Antiqua" w:hAnsi="Book Antiqua" w:cs="Times New Roman"/>
          <w:color w:val="000000" w:themeColor="text1"/>
        </w:rPr>
        <w:t>dose-dependent predictor of CA.</w:t>
      </w:r>
    </w:p>
    <w:p w14:paraId="6D58B79D" w14:textId="77777777" w:rsidR="003A3B57" w:rsidRPr="00263307" w:rsidRDefault="003A3B57" w:rsidP="00263307">
      <w:pPr>
        <w:adjustRightInd w:val="0"/>
        <w:snapToGrid w:val="0"/>
        <w:spacing w:line="360" w:lineRule="auto"/>
        <w:jc w:val="both"/>
        <w:rPr>
          <w:rFonts w:ascii="Book Antiqua" w:hAnsi="Book Antiqua" w:cs="Times New Roman"/>
          <w:color w:val="000000" w:themeColor="text1"/>
        </w:rPr>
      </w:pPr>
    </w:p>
    <w:p w14:paraId="04DF8185" w14:textId="1C0E35C1" w:rsidR="006508D4" w:rsidRPr="00263307" w:rsidRDefault="00AA3148"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b/>
          <w:color w:val="000000"/>
        </w:rPr>
        <w:t>Key</w:t>
      </w:r>
      <w:r w:rsidRPr="00263307">
        <w:rPr>
          <w:rFonts w:ascii="Book Antiqua" w:hAnsi="Book Antiqua"/>
          <w:b/>
          <w:color w:val="000000"/>
          <w:lang w:eastAsia="zh-CN"/>
        </w:rPr>
        <w:t xml:space="preserve"> </w:t>
      </w:r>
      <w:r w:rsidRPr="00263307">
        <w:rPr>
          <w:rFonts w:ascii="Book Antiqua" w:hAnsi="Book Antiqua"/>
          <w:b/>
          <w:color w:val="000000"/>
        </w:rPr>
        <w:t>words:</w:t>
      </w:r>
      <w:r w:rsidRPr="00263307">
        <w:rPr>
          <w:rFonts w:ascii="Book Antiqua" w:hAnsi="Book Antiqua"/>
          <w:color w:val="0000FF"/>
          <w:lang w:val="en"/>
        </w:rPr>
        <w:t xml:space="preserve"> </w:t>
      </w:r>
      <w:r w:rsidR="00CC44B9" w:rsidRPr="00CC44B9">
        <w:rPr>
          <w:rStyle w:val="ad"/>
          <w:rFonts w:ascii="Book Antiqua" w:hAnsi="Book Antiqua" w:cs="Arial"/>
          <w:i w:val="0"/>
          <w:iCs w:val="0"/>
          <w:color w:val="000000" w:themeColor="text1"/>
          <w:shd w:val="clear" w:color="auto" w:fill="FFFFFF"/>
        </w:rPr>
        <w:t>A</w:t>
      </w:r>
      <w:r w:rsidR="00CC44B9" w:rsidRPr="00CC44B9">
        <w:rPr>
          <w:rStyle w:val="ad"/>
          <w:rFonts w:ascii="Book Antiqua" w:hAnsi="Book Antiqua" w:cs="Arial"/>
          <w:i w:val="0"/>
          <w:iCs w:val="0"/>
          <w:color w:val="000000" w:themeColor="text1"/>
          <w:shd w:val="clear" w:color="auto" w:fill="FFFFFF"/>
        </w:rPr>
        <w:t>cute abdomen</w:t>
      </w:r>
      <w:r w:rsidRPr="00263307">
        <w:rPr>
          <w:rFonts w:ascii="Book Antiqua" w:eastAsia="宋体" w:hAnsi="Book Antiqua" w:cs="Times New Roman"/>
          <w:color w:val="000000" w:themeColor="text1"/>
          <w:lang w:eastAsia="zh-CN"/>
        </w:rPr>
        <w:t>;</w:t>
      </w:r>
      <w:r w:rsidR="00C063D4" w:rsidRPr="00263307">
        <w:rPr>
          <w:rFonts w:ascii="Book Antiqua" w:hAnsi="Book Antiqua" w:cs="Times New Roman"/>
          <w:color w:val="000000" w:themeColor="text1"/>
        </w:rPr>
        <w:t xml:space="preserve"> Abscess</w:t>
      </w:r>
      <w:r w:rsidRPr="00263307">
        <w:rPr>
          <w:rFonts w:ascii="Book Antiqua" w:eastAsia="宋体" w:hAnsi="Book Antiqua" w:cs="Times New Roman"/>
          <w:color w:val="000000" w:themeColor="text1"/>
          <w:lang w:eastAsia="zh-CN"/>
        </w:rPr>
        <w:t>;</w:t>
      </w:r>
      <w:r w:rsidR="00C063D4" w:rsidRPr="00263307">
        <w:rPr>
          <w:rFonts w:ascii="Book Antiqua" w:hAnsi="Book Antiqua" w:cs="Times New Roman"/>
          <w:color w:val="000000" w:themeColor="text1"/>
        </w:rPr>
        <w:t xml:space="preserve"> Appendicitis</w:t>
      </w:r>
      <w:r w:rsidRPr="00263307">
        <w:rPr>
          <w:rFonts w:ascii="Book Antiqua" w:eastAsia="宋体" w:hAnsi="Book Antiqua" w:cs="Times New Roman"/>
          <w:color w:val="000000" w:themeColor="text1"/>
          <w:lang w:eastAsia="zh-CN"/>
        </w:rPr>
        <w:t>;</w:t>
      </w:r>
      <w:r w:rsidR="00C063D4" w:rsidRPr="00263307">
        <w:rPr>
          <w:rFonts w:ascii="Book Antiqua" w:hAnsi="Book Antiqua" w:cs="Times New Roman"/>
          <w:color w:val="000000" w:themeColor="text1"/>
        </w:rPr>
        <w:t xml:space="preserve"> </w:t>
      </w:r>
      <w:r w:rsidR="00347727" w:rsidRPr="00263307">
        <w:rPr>
          <w:rFonts w:ascii="Book Antiqua" w:hAnsi="Book Antiqua" w:cs="Times New Roman"/>
          <w:color w:val="000000" w:themeColor="text1"/>
        </w:rPr>
        <w:t>C-reactive protein</w:t>
      </w:r>
      <w:r w:rsidRPr="00263307">
        <w:rPr>
          <w:rFonts w:ascii="Book Antiqua" w:eastAsia="宋体" w:hAnsi="Book Antiqua" w:cs="Times New Roman"/>
          <w:color w:val="000000" w:themeColor="text1"/>
          <w:lang w:eastAsia="zh-CN"/>
        </w:rPr>
        <w:t>;</w:t>
      </w:r>
      <w:r w:rsidR="00C063D4" w:rsidRPr="00263307">
        <w:rPr>
          <w:rFonts w:ascii="Book Antiqua" w:hAnsi="Book Antiqua" w:cs="Times New Roman"/>
          <w:color w:val="000000" w:themeColor="text1"/>
        </w:rPr>
        <w:t xml:space="preserve"> Forecasting</w:t>
      </w:r>
      <w:r w:rsidRPr="00263307">
        <w:rPr>
          <w:rFonts w:ascii="Book Antiqua" w:eastAsia="宋体" w:hAnsi="Book Antiqua" w:cs="Times New Roman"/>
          <w:color w:val="000000" w:themeColor="text1"/>
          <w:lang w:eastAsia="zh-CN"/>
        </w:rPr>
        <w:t xml:space="preserve">; </w:t>
      </w:r>
      <w:r w:rsidR="00C063D4" w:rsidRPr="00263307">
        <w:rPr>
          <w:rFonts w:ascii="Book Antiqua" w:hAnsi="Book Antiqua" w:cs="Times New Roman"/>
          <w:color w:val="000000" w:themeColor="text1"/>
        </w:rPr>
        <w:t>Intestinal perforation</w:t>
      </w:r>
    </w:p>
    <w:p w14:paraId="77B81B0C" w14:textId="77777777" w:rsidR="006508D4" w:rsidRPr="00263307" w:rsidRDefault="006508D4" w:rsidP="00263307">
      <w:pPr>
        <w:adjustRightInd w:val="0"/>
        <w:snapToGrid w:val="0"/>
        <w:spacing w:line="360" w:lineRule="auto"/>
        <w:jc w:val="both"/>
        <w:rPr>
          <w:rFonts w:ascii="Book Antiqua" w:eastAsia="宋体" w:hAnsi="Book Antiqua" w:cs="Times New Roman"/>
          <w:color w:val="000000" w:themeColor="text1"/>
          <w:lang w:eastAsia="zh-CN"/>
        </w:rPr>
      </w:pPr>
    </w:p>
    <w:p w14:paraId="38AE60E0" w14:textId="0D78713C" w:rsidR="006508D4" w:rsidRPr="00263307" w:rsidRDefault="007401F1"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cs="Times New Roman"/>
          <w:color w:val="000000" w:themeColor="text1"/>
        </w:rPr>
        <w:t>Sasaki</w:t>
      </w:r>
      <w:r w:rsidRPr="00263307">
        <w:rPr>
          <w:rFonts w:ascii="Book Antiqua" w:eastAsia="宋体" w:hAnsi="Book Antiqua" w:cs="Times New Roman"/>
          <w:color w:val="000000" w:themeColor="text1"/>
          <w:lang w:eastAsia="zh-CN"/>
        </w:rPr>
        <w:t xml:space="preserve"> Y</w:t>
      </w:r>
      <w:r w:rsidRPr="00263307">
        <w:rPr>
          <w:rFonts w:ascii="Book Antiqua" w:hAnsi="Book Antiqua" w:cs="Times New Roman"/>
          <w:color w:val="000000" w:themeColor="text1"/>
        </w:rPr>
        <w:t>, Komatsu</w:t>
      </w:r>
      <w:r w:rsidRPr="00263307">
        <w:rPr>
          <w:rFonts w:ascii="Book Antiqua" w:eastAsia="宋体" w:hAnsi="Book Antiqua" w:cs="Times New Roman"/>
          <w:color w:val="000000" w:themeColor="text1"/>
          <w:lang w:eastAsia="zh-CN"/>
        </w:rPr>
        <w:t xml:space="preserve"> F</w:t>
      </w:r>
      <w:r w:rsidRPr="00263307">
        <w:rPr>
          <w:rFonts w:ascii="Book Antiqua" w:hAnsi="Book Antiqua" w:cs="Times New Roman"/>
          <w:color w:val="000000" w:themeColor="text1"/>
        </w:rPr>
        <w:t>, Kashima</w:t>
      </w:r>
      <w:r w:rsidRPr="00263307">
        <w:rPr>
          <w:rFonts w:ascii="Book Antiqua" w:eastAsia="宋体" w:hAnsi="Book Antiqua" w:cs="Times New Roman"/>
          <w:color w:val="000000" w:themeColor="text1"/>
          <w:lang w:eastAsia="zh-CN"/>
        </w:rPr>
        <w:t xml:space="preserve"> N</w:t>
      </w:r>
      <w:r w:rsidRPr="00263307">
        <w:rPr>
          <w:rFonts w:ascii="Book Antiqua" w:hAnsi="Book Antiqua" w:cs="Times New Roman"/>
          <w:color w:val="000000" w:themeColor="text1"/>
        </w:rPr>
        <w:t>, Sato</w:t>
      </w:r>
      <w:r w:rsidRPr="00263307">
        <w:rPr>
          <w:rFonts w:ascii="Book Antiqua" w:eastAsia="宋体" w:hAnsi="Book Antiqua" w:cs="Times New Roman"/>
          <w:color w:val="000000" w:themeColor="text1"/>
          <w:lang w:eastAsia="zh-CN"/>
        </w:rPr>
        <w:t xml:space="preserve"> T</w:t>
      </w:r>
      <w:r w:rsidRPr="00263307">
        <w:rPr>
          <w:rFonts w:ascii="Book Antiqua" w:hAnsi="Book Antiqua" w:cs="Times New Roman"/>
          <w:color w:val="000000" w:themeColor="text1"/>
        </w:rPr>
        <w:t>, Takemoto</w:t>
      </w:r>
      <w:r w:rsidRPr="00263307">
        <w:rPr>
          <w:rFonts w:ascii="Book Antiqua" w:eastAsia="宋体" w:hAnsi="Book Antiqua" w:cs="Times New Roman"/>
          <w:color w:val="000000" w:themeColor="text1"/>
          <w:lang w:eastAsia="zh-CN"/>
        </w:rPr>
        <w:t xml:space="preserve"> I</w:t>
      </w:r>
      <w:r w:rsidRPr="00263307">
        <w:rPr>
          <w:rFonts w:ascii="Book Antiqua" w:hAnsi="Book Antiqua" w:cs="Times New Roman"/>
          <w:color w:val="000000" w:themeColor="text1"/>
        </w:rPr>
        <w:t>, Kijima</w:t>
      </w:r>
      <w:r w:rsidRPr="00263307">
        <w:rPr>
          <w:rFonts w:ascii="Book Antiqua" w:eastAsia="宋体" w:hAnsi="Book Antiqua" w:cs="Times New Roman"/>
          <w:color w:val="000000" w:themeColor="text1"/>
          <w:lang w:eastAsia="zh-CN"/>
        </w:rPr>
        <w:t xml:space="preserve"> S</w:t>
      </w:r>
      <w:r w:rsidRPr="00263307">
        <w:rPr>
          <w:rFonts w:ascii="Book Antiqua" w:hAnsi="Book Antiqua" w:cs="Times New Roman"/>
          <w:color w:val="000000" w:themeColor="text1"/>
        </w:rPr>
        <w:t>, Maeda</w:t>
      </w:r>
      <w:r w:rsidRPr="00263307">
        <w:rPr>
          <w:rFonts w:ascii="Book Antiqua" w:eastAsia="宋体" w:hAnsi="Book Antiqua" w:cs="Times New Roman"/>
          <w:color w:val="000000" w:themeColor="text1"/>
          <w:lang w:eastAsia="zh-CN"/>
        </w:rPr>
        <w:t xml:space="preserve"> T</w:t>
      </w:r>
      <w:r w:rsidRPr="00263307">
        <w:rPr>
          <w:rFonts w:ascii="Book Antiqua" w:hAnsi="Book Antiqua" w:cs="Times New Roman"/>
          <w:color w:val="000000" w:themeColor="text1"/>
        </w:rPr>
        <w:t>, Ishii</w:t>
      </w:r>
      <w:r w:rsidRPr="00263307">
        <w:rPr>
          <w:rFonts w:ascii="Book Antiqua" w:eastAsia="宋体" w:hAnsi="Book Antiqua" w:cs="Times New Roman"/>
          <w:color w:val="000000" w:themeColor="text1"/>
          <w:lang w:eastAsia="zh-CN"/>
        </w:rPr>
        <w:t xml:space="preserve"> T</w:t>
      </w:r>
      <w:r w:rsidRPr="00263307">
        <w:rPr>
          <w:rFonts w:ascii="Book Antiqua" w:hAnsi="Book Antiqua" w:cs="Times New Roman"/>
          <w:color w:val="000000" w:themeColor="text1"/>
        </w:rPr>
        <w:t>, Miyazaki</w:t>
      </w:r>
      <w:r w:rsidRPr="00263307">
        <w:rPr>
          <w:rFonts w:ascii="Book Antiqua" w:eastAsia="宋体" w:hAnsi="Book Antiqua" w:cs="Times New Roman"/>
          <w:color w:val="000000" w:themeColor="text1"/>
          <w:lang w:eastAsia="zh-CN"/>
        </w:rPr>
        <w:t xml:space="preserve"> T</w:t>
      </w:r>
      <w:r w:rsidRPr="00263307">
        <w:rPr>
          <w:rFonts w:ascii="Book Antiqua" w:hAnsi="Book Antiqua" w:cs="Times New Roman"/>
          <w:color w:val="000000" w:themeColor="text1"/>
        </w:rPr>
        <w:t>, Honda</w:t>
      </w:r>
      <w:r w:rsidRPr="00263307">
        <w:rPr>
          <w:rFonts w:ascii="Book Antiqua" w:eastAsia="宋体" w:hAnsi="Book Antiqua" w:cs="Times New Roman"/>
          <w:color w:val="000000" w:themeColor="text1"/>
          <w:lang w:eastAsia="zh-CN"/>
        </w:rPr>
        <w:t xml:space="preserve"> Y</w:t>
      </w:r>
      <w:r w:rsidRPr="00263307">
        <w:rPr>
          <w:rFonts w:ascii="Book Antiqua" w:hAnsi="Book Antiqua" w:cs="Times New Roman"/>
          <w:color w:val="000000" w:themeColor="text1"/>
        </w:rPr>
        <w:t>, Shimada</w:t>
      </w:r>
      <w:r w:rsidRPr="00263307">
        <w:rPr>
          <w:rFonts w:ascii="Book Antiqua" w:eastAsia="宋体" w:hAnsi="Book Antiqua" w:cs="Times New Roman"/>
          <w:color w:val="000000" w:themeColor="text1"/>
          <w:lang w:eastAsia="zh-CN"/>
        </w:rPr>
        <w:t xml:space="preserve"> N</w:t>
      </w:r>
      <w:r w:rsidRPr="00263307">
        <w:rPr>
          <w:rFonts w:ascii="Book Antiqua" w:hAnsi="Book Antiqua" w:cs="Times New Roman"/>
          <w:color w:val="000000" w:themeColor="text1"/>
        </w:rPr>
        <w:t xml:space="preserve">, </w:t>
      </w:r>
      <w:proofErr w:type="spellStart"/>
      <w:r w:rsidRPr="00263307">
        <w:rPr>
          <w:rFonts w:ascii="Book Antiqua" w:hAnsi="Book Antiqua" w:cs="Times New Roman"/>
          <w:color w:val="000000" w:themeColor="text1"/>
        </w:rPr>
        <w:t>Funahashi</w:t>
      </w:r>
      <w:proofErr w:type="spellEnd"/>
      <w:r w:rsidRPr="00263307">
        <w:rPr>
          <w:rFonts w:ascii="Book Antiqua" w:eastAsia="宋体" w:hAnsi="Book Antiqua" w:cs="Times New Roman"/>
          <w:color w:val="000000" w:themeColor="text1"/>
          <w:lang w:eastAsia="zh-CN"/>
        </w:rPr>
        <w:t xml:space="preserve"> K</w:t>
      </w:r>
      <w:r w:rsidRPr="00263307">
        <w:rPr>
          <w:rFonts w:ascii="Book Antiqua" w:hAnsi="Book Antiqua" w:cs="Times New Roman"/>
          <w:color w:val="000000" w:themeColor="text1"/>
        </w:rPr>
        <w:t xml:space="preserve">, </w:t>
      </w:r>
      <w:proofErr w:type="spellStart"/>
      <w:r w:rsidRPr="00263307">
        <w:rPr>
          <w:rFonts w:ascii="Book Antiqua" w:hAnsi="Book Antiqua" w:cs="Times New Roman"/>
          <w:color w:val="000000" w:themeColor="text1"/>
        </w:rPr>
        <w:t>Urita</w:t>
      </w:r>
      <w:proofErr w:type="spellEnd"/>
      <w:r w:rsidRPr="00263307">
        <w:rPr>
          <w:rFonts w:ascii="Book Antiqua" w:eastAsia="宋体" w:hAnsi="Book Antiqua" w:cs="Times New Roman"/>
          <w:color w:val="000000" w:themeColor="text1"/>
          <w:lang w:eastAsia="zh-CN"/>
        </w:rPr>
        <w:t xml:space="preserve"> Y</w:t>
      </w:r>
      <w:r w:rsidRPr="00263307">
        <w:rPr>
          <w:rFonts w:ascii="Book Antiqua" w:hAnsi="Book Antiqua" w:cs="Times New Roman"/>
          <w:color w:val="000000" w:themeColor="text1"/>
        </w:rPr>
        <w:t xml:space="preserve">. </w:t>
      </w:r>
      <w:r w:rsidR="00070AD8" w:rsidRPr="00263307">
        <w:rPr>
          <w:rFonts w:ascii="Book Antiqua" w:hAnsi="Book Antiqua" w:cs="Times New Roman"/>
          <w:color w:val="000000" w:themeColor="text1"/>
        </w:rPr>
        <w:t>Clinical prediction of complicated appendicitis: A case-control study utilizing logistic regression</w:t>
      </w:r>
      <w:r w:rsidR="00070AD8" w:rsidRPr="00263307">
        <w:rPr>
          <w:rFonts w:ascii="Book Antiqua" w:eastAsia="宋体" w:hAnsi="Book Antiqua" w:cs="Times New Roman"/>
          <w:color w:val="000000" w:themeColor="text1"/>
          <w:lang w:eastAsia="zh-CN"/>
        </w:rPr>
        <w:t>.</w:t>
      </w:r>
      <w:r w:rsidR="006508D4" w:rsidRPr="00263307">
        <w:rPr>
          <w:rFonts w:ascii="Book Antiqua" w:hAnsi="Book Antiqua"/>
          <w:bCs/>
          <w:i/>
          <w:iCs/>
        </w:rPr>
        <w:t xml:space="preserve"> </w:t>
      </w:r>
      <w:r w:rsidR="006508D4" w:rsidRPr="00263307">
        <w:rPr>
          <w:rFonts w:ascii="Book Antiqua" w:eastAsia="宋体" w:hAnsi="Book Antiqua" w:cs="Times New Roman"/>
          <w:i/>
        </w:rPr>
        <w:t>World J Clin Cases</w:t>
      </w:r>
      <w:r w:rsidR="006508D4" w:rsidRPr="00263307">
        <w:rPr>
          <w:rFonts w:ascii="Book Antiqua" w:hAnsi="Book Antiqua"/>
          <w:bCs/>
          <w:i/>
          <w:iCs/>
        </w:rPr>
        <w:t xml:space="preserve"> </w:t>
      </w:r>
      <w:r w:rsidR="006508D4" w:rsidRPr="00263307">
        <w:rPr>
          <w:rFonts w:ascii="Book Antiqua" w:eastAsia="宋体" w:hAnsi="Book Antiqua"/>
          <w:bCs/>
          <w:lang w:eastAsia="zh-CN"/>
        </w:rPr>
        <w:t>2020</w:t>
      </w:r>
      <w:r w:rsidR="006508D4" w:rsidRPr="00263307">
        <w:rPr>
          <w:rFonts w:ascii="Book Antiqua" w:hAnsi="Book Antiqua"/>
          <w:bCs/>
        </w:rPr>
        <w:t xml:space="preserve">; </w:t>
      </w:r>
      <w:r w:rsidR="006508D4" w:rsidRPr="00263307">
        <w:rPr>
          <w:rFonts w:ascii="Book Antiqua" w:hAnsi="Book Antiqua"/>
          <w:bCs/>
          <w:lang w:eastAsia="zh-CN"/>
        </w:rPr>
        <w:t>In press</w:t>
      </w:r>
    </w:p>
    <w:p w14:paraId="7E5B51B3" w14:textId="476B7896" w:rsidR="007401F1" w:rsidRPr="00263307" w:rsidRDefault="007401F1" w:rsidP="00263307">
      <w:pPr>
        <w:widowControl w:val="0"/>
        <w:adjustRightInd w:val="0"/>
        <w:snapToGrid w:val="0"/>
        <w:spacing w:line="360" w:lineRule="auto"/>
        <w:jc w:val="both"/>
        <w:rPr>
          <w:rFonts w:ascii="Book Antiqua" w:eastAsia="宋体" w:hAnsi="Book Antiqua" w:cs="Times New Roman"/>
          <w:color w:val="000000" w:themeColor="text1"/>
          <w:lang w:eastAsia="zh-CN"/>
        </w:rPr>
      </w:pPr>
    </w:p>
    <w:p w14:paraId="15D62A05" w14:textId="77777777" w:rsidR="00AC4272" w:rsidRPr="00263307" w:rsidRDefault="00847DDE"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cs="Times New Roman"/>
          <w:b/>
          <w:color w:val="000000" w:themeColor="text1"/>
        </w:rPr>
        <w:t>Core tip:</w:t>
      </w:r>
      <w:r w:rsidR="007401F1" w:rsidRPr="00263307">
        <w:rPr>
          <w:rFonts w:ascii="Book Antiqua" w:eastAsia="宋体" w:hAnsi="Book Antiqua" w:cs="Times New Roman"/>
          <w:b/>
          <w:color w:val="000000" w:themeColor="text1"/>
          <w:lang w:eastAsia="zh-CN"/>
        </w:rPr>
        <w:t xml:space="preserve"> </w:t>
      </w:r>
      <w:r w:rsidR="00E45C73" w:rsidRPr="00263307">
        <w:rPr>
          <w:rFonts w:ascii="Book Antiqua" w:hAnsi="Book Antiqua" w:cs="Times New Roman"/>
          <w:color w:val="000000" w:themeColor="text1"/>
        </w:rPr>
        <w:t>Given</w:t>
      </w:r>
      <w:r w:rsidR="003218FC" w:rsidRPr="00263307">
        <w:rPr>
          <w:rFonts w:ascii="Book Antiqua" w:hAnsi="Book Antiqua" w:cs="Times New Roman"/>
          <w:color w:val="000000" w:themeColor="text1"/>
        </w:rPr>
        <w:t xml:space="preserve"> few multivariate analyses on </w:t>
      </w:r>
      <w:r w:rsidR="00516895" w:rsidRPr="00263307">
        <w:rPr>
          <w:rFonts w:ascii="Book Antiqua" w:eastAsia="MS PMincho" w:hAnsi="Book Antiqua" w:cs="Times New Roman"/>
          <w:color w:val="000000" w:themeColor="text1"/>
        </w:rPr>
        <w:t>C-reactive protein</w:t>
      </w:r>
      <w:r w:rsidR="00516895" w:rsidRPr="00263307">
        <w:rPr>
          <w:rFonts w:ascii="Book Antiqua" w:hAnsi="Book Antiqua" w:cs="Times New Roman"/>
          <w:color w:val="000000" w:themeColor="text1"/>
        </w:rPr>
        <w:t xml:space="preserve"> </w:t>
      </w:r>
      <w:r w:rsidR="00516895" w:rsidRPr="00263307">
        <w:rPr>
          <w:rFonts w:ascii="Book Antiqua" w:eastAsia="宋体" w:hAnsi="Book Antiqua" w:cs="Times New Roman"/>
          <w:color w:val="000000" w:themeColor="text1"/>
          <w:lang w:eastAsia="zh-CN"/>
        </w:rPr>
        <w:t>(</w:t>
      </w:r>
      <w:r w:rsidR="00E12AE2" w:rsidRPr="00263307">
        <w:rPr>
          <w:rFonts w:ascii="Book Antiqua" w:hAnsi="Book Antiqua" w:cs="Times New Roman"/>
          <w:color w:val="000000" w:themeColor="text1"/>
        </w:rPr>
        <w:t>CRP</w:t>
      </w:r>
      <w:r w:rsidR="00516895" w:rsidRPr="00263307">
        <w:rPr>
          <w:rFonts w:ascii="Book Antiqua" w:eastAsia="宋体" w:hAnsi="Book Antiqua" w:cs="Times New Roman"/>
          <w:color w:val="000000" w:themeColor="text1"/>
          <w:lang w:eastAsia="zh-CN"/>
        </w:rPr>
        <w:t>)</w:t>
      </w:r>
      <w:r w:rsidR="003218FC" w:rsidRPr="00263307">
        <w:rPr>
          <w:rFonts w:ascii="Book Antiqua" w:hAnsi="Book Antiqua" w:cs="Times New Roman"/>
          <w:color w:val="000000" w:themeColor="text1"/>
        </w:rPr>
        <w:t xml:space="preserve"> as a</w:t>
      </w:r>
      <w:r w:rsidR="00E12AE2" w:rsidRPr="00263307">
        <w:rPr>
          <w:rFonts w:ascii="Book Antiqua" w:hAnsi="Book Antiqua" w:cs="Times New Roman"/>
          <w:color w:val="000000" w:themeColor="text1"/>
        </w:rPr>
        <w:t xml:space="preserve"> predictor of </w:t>
      </w:r>
      <w:r w:rsidR="003218FC" w:rsidRPr="00263307">
        <w:rPr>
          <w:rFonts w:ascii="Book Antiqua" w:hAnsi="Book Antiqua" w:cs="Times New Roman"/>
          <w:color w:val="000000" w:themeColor="text1"/>
        </w:rPr>
        <w:t>complicated appendicitis (CA)</w:t>
      </w:r>
      <w:r w:rsidR="00E12AE2" w:rsidRPr="00263307">
        <w:rPr>
          <w:rFonts w:ascii="Book Antiqua" w:hAnsi="Book Antiqua" w:cs="Times New Roman"/>
          <w:color w:val="000000" w:themeColor="text1"/>
        </w:rPr>
        <w:t xml:space="preserve">, we performed a logistic regression analysis of 198 patients with simple appendicitis and 38 patients with CA. The regression model including non-laboratory factors of </w:t>
      </w:r>
      <w:r w:rsidR="003218FC" w:rsidRPr="00263307">
        <w:rPr>
          <w:rFonts w:ascii="Book Antiqua" w:hAnsi="Book Antiqua" w:cs="Times New Roman"/>
          <w:color w:val="000000" w:themeColor="text1"/>
        </w:rPr>
        <w:t>CA showed</w:t>
      </w:r>
      <w:r w:rsidR="00E12AE2" w:rsidRPr="00263307">
        <w:rPr>
          <w:rFonts w:ascii="Book Antiqua" w:hAnsi="Book Antiqua" w:cs="Times New Roman"/>
          <w:color w:val="000000" w:themeColor="text1"/>
        </w:rPr>
        <w:t xml:space="preserve"> </w:t>
      </w:r>
      <w:r w:rsidR="003218FC" w:rsidRPr="00263307">
        <w:rPr>
          <w:rFonts w:ascii="Book Antiqua" w:hAnsi="Book Antiqua" w:cs="Times New Roman"/>
          <w:color w:val="000000" w:themeColor="text1"/>
        </w:rPr>
        <w:t xml:space="preserve">that </w:t>
      </w:r>
      <w:r w:rsidR="00E12AE2" w:rsidRPr="00263307">
        <w:rPr>
          <w:rFonts w:ascii="Book Antiqua" w:hAnsi="Book Antiqua" w:cs="Times New Roman"/>
          <w:color w:val="000000" w:themeColor="text1"/>
        </w:rPr>
        <w:t>age ≥</w:t>
      </w:r>
      <w:r w:rsidR="00174DC7" w:rsidRPr="00263307">
        <w:rPr>
          <w:rFonts w:ascii="Book Antiqua" w:hAnsi="Book Antiqua" w:cs="Times New Roman"/>
          <w:color w:val="000000" w:themeColor="text1"/>
        </w:rPr>
        <w:t xml:space="preserve"> </w:t>
      </w:r>
      <w:r w:rsidR="00E12AE2" w:rsidRPr="00263307">
        <w:rPr>
          <w:rFonts w:ascii="Book Antiqua" w:hAnsi="Book Antiqua" w:cs="Times New Roman"/>
          <w:color w:val="000000" w:themeColor="text1"/>
        </w:rPr>
        <w:t>65</w:t>
      </w:r>
      <w:r w:rsidR="00804D6D" w:rsidRPr="00263307">
        <w:rPr>
          <w:rFonts w:ascii="Book Antiqua" w:hAnsi="Book Antiqua" w:cs="Times New Roman"/>
          <w:color w:val="000000" w:themeColor="text1"/>
        </w:rPr>
        <w:t xml:space="preserve"> </w:t>
      </w:r>
      <w:r w:rsidR="00E12AE2" w:rsidRPr="00263307">
        <w:rPr>
          <w:rFonts w:ascii="Book Antiqua" w:hAnsi="Book Antiqua" w:cs="Times New Roman"/>
          <w:color w:val="000000" w:themeColor="text1"/>
        </w:rPr>
        <w:t>year</w:t>
      </w:r>
      <w:r w:rsidR="001E049E" w:rsidRPr="00263307">
        <w:rPr>
          <w:rFonts w:ascii="Book Antiqua" w:hAnsi="Book Antiqua" w:cs="Times New Roman"/>
          <w:color w:val="000000" w:themeColor="text1"/>
        </w:rPr>
        <w:t>s</w:t>
      </w:r>
      <w:r w:rsidR="00804D6D" w:rsidRPr="00263307">
        <w:rPr>
          <w:rFonts w:ascii="Book Antiqua" w:hAnsi="Book Antiqua" w:cs="Times New Roman"/>
          <w:color w:val="000000" w:themeColor="text1"/>
        </w:rPr>
        <w:t xml:space="preserve"> </w:t>
      </w:r>
      <w:r w:rsidR="00E12AE2" w:rsidRPr="00263307">
        <w:rPr>
          <w:rFonts w:ascii="Book Antiqua" w:hAnsi="Book Antiqua" w:cs="Times New Roman"/>
          <w:color w:val="000000" w:themeColor="text1"/>
        </w:rPr>
        <w:t xml:space="preserve">old, longer onset-to-visit interval, and anorexia had significantly high odds ratios. The logistic regression </w:t>
      </w:r>
      <w:r w:rsidR="001E049E" w:rsidRPr="00263307">
        <w:rPr>
          <w:rFonts w:ascii="Book Antiqua" w:hAnsi="Book Antiqua" w:cs="Times New Roman"/>
          <w:color w:val="000000" w:themeColor="text1"/>
        </w:rPr>
        <w:t xml:space="preserve">that </w:t>
      </w:r>
      <w:r w:rsidR="003218FC" w:rsidRPr="00263307">
        <w:rPr>
          <w:rFonts w:ascii="Book Antiqua" w:hAnsi="Book Antiqua" w:cs="Times New Roman"/>
          <w:color w:val="000000" w:themeColor="text1"/>
        </w:rPr>
        <w:t xml:space="preserve">additionally </w:t>
      </w:r>
      <w:r w:rsidR="00E12AE2" w:rsidRPr="00263307">
        <w:rPr>
          <w:rFonts w:ascii="Book Antiqua" w:hAnsi="Book Antiqua" w:cs="Times New Roman"/>
          <w:color w:val="000000" w:themeColor="text1"/>
        </w:rPr>
        <w:t>includ</w:t>
      </w:r>
      <w:r w:rsidR="001E049E" w:rsidRPr="00263307">
        <w:rPr>
          <w:rFonts w:ascii="Book Antiqua" w:hAnsi="Book Antiqua" w:cs="Times New Roman"/>
          <w:color w:val="000000" w:themeColor="text1"/>
        </w:rPr>
        <w:t>ed</w:t>
      </w:r>
      <w:r w:rsidR="00E12AE2" w:rsidRPr="00263307">
        <w:rPr>
          <w:rFonts w:ascii="Book Antiqua" w:hAnsi="Book Antiqua" w:cs="Times New Roman"/>
          <w:color w:val="000000" w:themeColor="text1"/>
        </w:rPr>
        <w:t xml:space="preserve"> </w:t>
      </w:r>
      <w:r w:rsidR="003218FC" w:rsidRPr="00263307">
        <w:rPr>
          <w:rFonts w:ascii="Book Antiqua" w:hAnsi="Book Antiqua" w:cs="Times New Roman"/>
          <w:color w:val="000000" w:themeColor="text1"/>
        </w:rPr>
        <w:t xml:space="preserve">laboratory data </w:t>
      </w:r>
      <w:r w:rsidR="00E12AE2" w:rsidRPr="00263307">
        <w:rPr>
          <w:rFonts w:ascii="Book Antiqua" w:hAnsi="Book Antiqua" w:cs="Times New Roman"/>
          <w:color w:val="000000" w:themeColor="text1"/>
        </w:rPr>
        <w:t xml:space="preserve">showed that only elevated CRP levels had significantly high </w:t>
      </w:r>
      <w:r w:rsidR="0013566B" w:rsidRPr="00263307">
        <w:rPr>
          <w:rFonts w:ascii="Book Antiqua" w:hAnsi="Book Antiqua"/>
          <w:color w:val="000000" w:themeColor="text1"/>
        </w:rPr>
        <w:t>odds ratios</w:t>
      </w:r>
      <w:r w:rsidR="003218FC" w:rsidRPr="00263307">
        <w:rPr>
          <w:rFonts w:ascii="Book Antiqua" w:hAnsi="Book Antiqua" w:cs="Times New Roman"/>
          <w:color w:val="000000" w:themeColor="text1"/>
        </w:rPr>
        <w:t>, which suggested</w:t>
      </w:r>
      <w:r w:rsidR="00E12AE2" w:rsidRPr="00263307">
        <w:rPr>
          <w:rFonts w:ascii="Book Antiqua" w:hAnsi="Book Antiqua" w:cs="Times New Roman"/>
          <w:color w:val="000000" w:themeColor="text1"/>
        </w:rPr>
        <w:t xml:space="preserve"> that high CRP level can be a dose-dependent predictor of CA.</w:t>
      </w:r>
    </w:p>
    <w:p w14:paraId="2CD1C955" w14:textId="5416B1FF" w:rsidR="0094129D" w:rsidRPr="00263307" w:rsidRDefault="0094129D"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br w:type="page"/>
      </w:r>
    </w:p>
    <w:p w14:paraId="67BBC5BB" w14:textId="79E10793" w:rsidR="00BC41B0" w:rsidRPr="00263307" w:rsidRDefault="00D3622E" w:rsidP="00263307">
      <w:pPr>
        <w:adjustRightInd w:val="0"/>
        <w:snapToGrid w:val="0"/>
        <w:spacing w:line="360" w:lineRule="auto"/>
        <w:jc w:val="both"/>
        <w:rPr>
          <w:rFonts w:ascii="Book Antiqua" w:hAnsi="Book Antiqua" w:cs="Times New Roman"/>
          <w:b/>
          <w:color w:val="000000" w:themeColor="text1"/>
          <w:u w:val="single"/>
        </w:rPr>
      </w:pPr>
      <w:r w:rsidRPr="00263307">
        <w:rPr>
          <w:rFonts w:ascii="Book Antiqua" w:hAnsi="Book Antiqua" w:cs="Times New Roman"/>
          <w:b/>
          <w:color w:val="000000" w:themeColor="text1"/>
          <w:u w:val="single"/>
        </w:rPr>
        <w:lastRenderedPageBreak/>
        <w:t>INTRODUCTION</w:t>
      </w:r>
    </w:p>
    <w:p w14:paraId="78E0A984" w14:textId="5F5F7130" w:rsidR="00D11A88" w:rsidRPr="00263307" w:rsidRDefault="00B07779" w:rsidP="00263307">
      <w:pPr>
        <w:adjustRightInd w:val="0"/>
        <w:snapToGrid w:val="0"/>
        <w:spacing w:line="360" w:lineRule="auto"/>
        <w:jc w:val="both"/>
        <w:rPr>
          <w:rFonts w:ascii="Book Antiqua" w:eastAsia="MS PMincho" w:hAnsi="Book Antiqua" w:cs="Times New Roman"/>
          <w:color w:val="000000" w:themeColor="text1"/>
        </w:rPr>
      </w:pPr>
      <w:r w:rsidRPr="00263307">
        <w:rPr>
          <w:rFonts w:ascii="Book Antiqua" w:eastAsia="MS PMincho" w:hAnsi="Book Antiqua" w:cs="Times New Roman"/>
          <w:color w:val="000000" w:themeColor="text1"/>
        </w:rPr>
        <w:t xml:space="preserve">Emergent appendectomy has been </w:t>
      </w:r>
      <w:r w:rsidR="00831ECC" w:rsidRPr="00263307">
        <w:rPr>
          <w:rFonts w:ascii="Book Antiqua" w:eastAsia="MS PMincho" w:hAnsi="Book Antiqua" w:cs="Times New Roman"/>
          <w:color w:val="000000" w:themeColor="text1"/>
        </w:rPr>
        <w:t xml:space="preserve">the </w:t>
      </w:r>
      <w:r w:rsidRPr="00263307">
        <w:rPr>
          <w:rFonts w:ascii="Book Antiqua" w:eastAsia="MS PMincho" w:hAnsi="Book Antiqua" w:cs="Times New Roman"/>
          <w:color w:val="000000" w:themeColor="text1"/>
        </w:rPr>
        <w:t xml:space="preserve">only standard </w:t>
      </w:r>
      <w:r w:rsidR="00831ECC" w:rsidRPr="00263307">
        <w:rPr>
          <w:rFonts w:ascii="Book Antiqua" w:eastAsia="MS PMincho" w:hAnsi="Book Antiqua" w:cs="Times New Roman"/>
          <w:color w:val="000000" w:themeColor="text1"/>
        </w:rPr>
        <w:t xml:space="preserve">form of </w:t>
      </w:r>
      <w:r w:rsidRPr="00263307">
        <w:rPr>
          <w:rFonts w:ascii="Book Antiqua" w:eastAsia="MS PMincho" w:hAnsi="Book Antiqua" w:cs="Times New Roman"/>
          <w:color w:val="000000" w:themeColor="text1"/>
        </w:rPr>
        <w:t>management for acute appendicitis (AA). However, several well-organized</w:t>
      </w:r>
      <w:r w:rsidR="00831ECC" w:rsidRPr="00263307">
        <w:rPr>
          <w:rFonts w:ascii="Book Antiqua" w:eastAsia="MS PMincho" w:hAnsi="Book Antiqua" w:cs="Times New Roman"/>
          <w:color w:val="000000" w:themeColor="text1"/>
        </w:rPr>
        <w:t>,</w:t>
      </w:r>
      <w:r w:rsidRPr="00263307">
        <w:rPr>
          <w:rFonts w:ascii="Book Antiqua" w:eastAsia="MS PMincho" w:hAnsi="Book Antiqua" w:cs="Times New Roman"/>
          <w:color w:val="000000" w:themeColor="text1"/>
        </w:rPr>
        <w:t xml:space="preserve"> multi-</w:t>
      </w:r>
      <w:r w:rsidR="00CD673B" w:rsidRPr="00263307">
        <w:rPr>
          <w:rFonts w:ascii="Book Antiqua" w:eastAsia="MS PMincho" w:hAnsi="Book Antiqua" w:cs="Times New Roman"/>
          <w:color w:val="000000" w:themeColor="text1"/>
        </w:rPr>
        <w:t>center</w:t>
      </w:r>
      <w:r w:rsidR="00831ECC" w:rsidRPr="00263307">
        <w:rPr>
          <w:rFonts w:ascii="Book Antiqua" w:eastAsia="MS PMincho" w:hAnsi="Book Antiqua" w:cs="Times New Roman"/>
          <w:color w:val="000000" w:themeColor="text1"/>
        </w:rPr>
        <w:t>,</w:t>
      </w:r>
      <w:r w:rsidRPr="00263307">
        <w:rPr>
          <w:rFonts w:ascii="Book Antiqua" w:eastAsia="MS PMincho" w:hAnsi="Book Antiqua" w:cs="Times New Roman"/>
          <w:color w:val="000000" w:themeColor="text1"/>
        </w:rPr>
        <w:t xml:space="preserve"> randomized trials </w:t>
      </w:r>
      <w:r w:rsidR="00D7176B" w:rsidRPr="00263307">
        <w:rPr>
          <w:rFonts w:ascii="Book Antiqua" w:eastAsia="MS PMincho" w:hAnsi="Book Antiqua" w:cs="Times New Roman"/>
          <w:color w:val="000000" w:themeColor="text1"/>
        </w:rPr>
        <w:t xml:space="preserve">comparing </w:t>
      </w:r>
      <w:r w:rsidRPr="00263307">
        <w:rPr>
          <w:rFonts w:ascii="Book Antiqua" w:eastAsia="MS PMincho" w:hAnsi="Book Antiqua" w:cs="Times New Roman"/>
          <w:color w:val="000000" w:themeColor="text1"/>
        </w:rPr>
        <w:t>conservative management</w:t>
      </w:r>
      <w:r w:rsidR="00CD673B" w:rsidRPr="00263307">
        <w:rPr>
          <w:rFonts w:ascii="Book Antiqua" w:eastAsia="MS PMincho" w:hAnsi="Book Antiqua" w:cs="Times New Roman"/>
          <w:color w:val="000000" w:themeColor="text1"/>
        </w:rPr>
        <w:t xml:space="preserve"> </w:t>
      </w:r>
      <w:r w:rsidRPr="00263307">
        <w:rPr>
          <w:rFonts w:ascii="Book Antiqua" w:eastAsia="MS PMincho" w:hAnsi="Book Antiqua" w:cs="Times New Roman"/>
          <w:color w:val="000000" w:themeColor="text1"/>
        </w:rPr>
        <w:t xml:space="preserve">with antibiotics </w:t>
      </w:r>
      <w:r w:rsidR="00CD673B" w:rsidRPr="00263307">
        <w:rPr>
          <w:rFonts w:ascii="Book Antiqua" w:eastAsia="MS PMincho" w:hAnsi="Book Antiqua" w:cs="Times New Roman"/>
          <w:color w:val="000000" w:themeColor="text1"/>
        </w:rPr>
        <w:t xml:space="preserve">to appendectomy </w:t>
      </w:r>
      <w:r w:rsidR="004C41FD" w:rsidRPr="00263307">
        <w:rPr>
          <w:rFonts w:ascii="Book Antiqua" w:eastAsia="MS PMincho" w:hAnsi="Book Antiqua" w:cs="Times New Roman"/>
          <w:color w:val="000000" w:themeColor="text1"/>
        </w:rPr>
        <w:t xml:space="preserve">have shown </w:t>
      </w:r>
      <w:r w:rsidR="00CD673B" w:rsidRPr="00263307">
        <w:rPr>
          <w:rFonts w:ascii="Book Antiqua" w:eastAsia="MS PMincho" w:hAnsi="Book Antiqua" w:cs="Times New Roman"/>
          <w:color w:val="000000" w:themeColor="text1"/>
        </w:rPr>
        <w:t>favorable or comparable results</w:t>
      </w:r>
      <w:r w:rsidR="00E120C2" w:rsidRPr="00263307">
        <w:rPr>
          <w:rFonts w:ascii="Book Antiqua" w:eastAsia="MS PMincho" w:hAnsi="Book Antiqua" w:cs="Times New Roman"/>
          <w:color w:val="000000" w:themeColor="text1"/>
        </w:rPr>
        <w:fldChar w:fldCharType="begin" w:fldLock="1"/>
      </w:r>
      <w:r w:rsidR="00E120C2" w:rsidRPr="00263307">
        <w:rPr>
          <w:rFonts w:ascii="Book Antiqua" w:eastAsia="MS PMincho" w:hAnsi="Book Antiqua" w:cs="Times New Roman"/>
          <w:color w:val="000000" w:themeColor="text1"/>
        </w:rPr>
        <w:instrText>ADDIN CSL_CITATION {"citationItems":[{"id":"ITEM-1","itemData":{"DOI":"10.1002/bjs.1800820207","ISSN":"00071323","author":[{"dropping-particle":"","family":"Eriksson","given":"S.","non-dropping-particle":"","parse-names":false,"suffix":""},{"dropping-particle":"","family":"Granström","given":"L.","non-dropping-particle":"","parse-names":false,"suffix":""}],"container-title":"British Journal of Surgery","id":"ITEM-1","issue":"2","issued":{"date-parts":[["1995","2"]]},"page":"166-169","title":"Randomized controlled trial of appendicectomyversus antibiotic therapy for acute appendicitis","type":"article-journal","volume":"82"},"uris":["http://www.mendeley.com/documents/?uuid=bd486a94-6853-4d3f-ab13-62aa58123e46"]},{"id":"ITEM-2","itemData":{"DOI":"10.1007/s00268-005-0304-6","ISBN":"0026800503046","ISSN":"03642313","abstract":"Background: Appendectomy has been the treatment for acute appendicitis for over 120 years. Antibiotic treatment has occasionally been used in small uncontrolled studies, instead of operation, but this alternative has never before been tried in a multicenter randomized trial. Patients and Methods: Male patients, 18-50 years of age, admitted to six different hospitals in Sweden between 1996 and 1999 were enrolled in the study. No women were enrolled by decision of the local ethics committee. If appendectomy was planned, patients were asked to participate, and those who agreed were randomized either to surgery or to antibiotic therapy. Patients randomized to surgery were operated on with open surgery or laparoscopically. Those randomized to antibiotic therapy were treated intravenously for 2 days, followed by oral treatment for 10 days. If symptoms did not resolve within 24 hours, an appendectomy was performed. Participants were monitored at the end of 1 week, 6 weeks, and 1 year. Results: During the study period 252 men participated, 124 in the surgery group and 128 in the antibiotic group. The frequency of appendicitis was 97% in the surgery group and 5% had a perforated appendix. The complication rate was 14% in the surgery group. In the antibiotic group 86% improved without surgery; 18 patients were operated on within 24 hours, and the diagnosis of acute appendicitis was confirmed in all but one patient, and he was suffering from terminal ileitis. There were seven patients (5%) with a perforated appendix in this group. The rate of recurrence of symptoms of appendicitis among the 111 patients treated with antibiotics was 14% during the 1-year follow-up. Conclusions: Acute nonperforated appendicitis can be treated successfully with antibiotics. However, there is a risk of recurrence in cases of acute appendicitis, and this risk should be compared with the risk of complications after appendectomy. © 2006 by the Société Internationale de Chirurgie.","author":[{"dropping-particle":"","family":"Styrud","given":"Johan","non-dropping-particle":"","parse-names":false,"suffix":""},{"dropping-particle":"","family":"Eriksson","given":"Staffan","non-dropping-particle":"","parse-names":false,"suffix":""},{"dropping-particle":"","family":"Nilsson","given":"Ingemar","non-dropping-particle":"","parse-names":false,"suffix":""},{"dropping-particle":"","family":"Ahlberg","given":"Gunnar","non-dropping-particle":"","parse-names":false,"suffix":""},{"dropping-particle":"","family":"Haapaniemi","given":"Staffan","non-dropping-particle":"","parse-names":false,"suffix":""},{"dropping-particle":"","family":"Neovius","given":"Gunnar","non-dropping-particle":"","parse-names":false,"suffix":""},{"dropping-particle":"","family":"Rex","given":"Lars","non-dropping-particle":"","parse-names":false,"suffix":""},{"dropping-particle":"","family":"Badume","given":"Ibrahim","non-dropping-particle":"","parse-names":false,"suffix":""},{"dropping-particle":"","family":"Granström","given":"Lars","non-dropping-particle":"","parse-names":false,"suffix":""}],"container-title":"World Journal of Surgery","id":"ITEM-2","issue":"6","issued":{"date-parts":[["2006"]]},"page":"1033-1037","title":"Appendectomy versus antibiotic treatment in acute appendicitis. A prospective multicenter randomized controlled trial","type":"article-journal","volume":"30"},"uris":["http://www.mendeley.com/documents/?uuid=4acbc208-cea9-4666-8c0c-489c17488c64"]},{"id":"ITEM-3","itemData":{"ISSN":"1306696X","PMID":"19779986","abstract":"BACKGROUND: In this prospective study, operative and nonoperative management of acute appendicitis were evaluated regarding their safety and cost effectiveness. METHODS: Two hundred ninety patients presenting to our Emergency Department between March 2005 and March 2006 with acute appendicitis were included in this prospective study. Nonoperative medical therapy was performed in 107 patients (Group 1), and 183 patients were treated surgically (Group 2). Routine follow-up controls were done on the 10th day, at the 3rd and 6th months and at the first year after discharge in Group 1. Both groups were compared regarding age, gender, mean hospital stay, modified Alvarado score, morbidity, mortality, and cost effectiveness. RESULTS: The male/female ratio of Groups 1 and 2 were 65/42 (mean age: 30.98±1.30) and 125/58 (mean age: 26.25±0.79), respectively. In Group 1, 19 patients were operated. Operation indications were resistance to therapy, patient's request, and operation in another hospital. Although the mean hospital stay of Group 1 was statistically significantly longer than Group 2, the mean cost of the therapy was $559 in Group 2 and $433 in Group 1. Morbidity rates were similar, with no mortality in either group. CONCLUSION: With its high success rate and cost effectiveness, medical treatment seems to be a good alternative to the gold standard therapy of surgery in management of acute appendicitis.","author":[{"dropping-particle":"","family":"Turhan","given":"Ahmet Nuray","non-dropping-particle":"","parse-names":false,"suffix":""},{"dropping-particle":"","family":"Kapan","given":"Selin","non-dropping-particle":"","parse-names":false,"suffix":""},{"dropping-particle":"","family":"Kütükçü","given":"Ersen","non-dropping-particle":"","parse-names":false,"suffix":""},{"dropping-particle":"","family":"Yi</w:instrText>
      </w:r>
      <w:r w:rsidR="00E120C2" w:rsidRPr="00263307">
        <w:rPr>
          <w:rFonts w:ascii="Times New Roman" w:eastAsia="MS PMincho" w:hAnsi="Times New Roman" w:cs="Times New Roman"/>
          <w:color w:val="000000" w:themeColor="text1"/>
        </w:rPr>
        <w:instrText>ǧ</w:instrText>
      </w:r>
      <w:r w:rsidR="00E120C2" w:rsidRPr="00263307">
        <w:rPr>
          <w:rFonts w:ascii="Book Antiqua" w:eastAsia="MS PMincho" w:hAnsi="Book Antiqua" w:cs="Times New Roman"/>
          <w:color w:val="000000" w:themeColor="text1"/>
        </w:rPr>
        <w:instrText>itba</w:instrText>
      </w:r>
      <w:r w:rsidR="00E120C2" w:rsidRPr="00263307">
        <w:rPr>
          <w:rFonts w:ascii="Book Antiqua" w:eastAsia="MS PMincho" w:hAnsi="Book Antiqua" w:cs="Kohinoor Telugu Semibold"/>
          <w:color w:val="000000" w:themeColor="text1"/>
        </w:rPr>
        <w:instrText>ş</w:instrText>
      </w:r>
      <w:r w:rsidR="00E120C2" w:rsidRPr="00263307">
        <w:rPr>
          <w:rFonts w:ascii="Book Antiqua" w:eastAsia="MS PMincho" w:hAnsi="Book Antiqua" w:cs="Times New Roman"/>
          <w:color w:val="000000" w:themeColor="text1"/>
        </w:rPr>
        <w:instrText>","given":"Hakan","non-dropping-particle":"","parse-names":false,"suffix":""},{"dropping-particle":"","family":"Hatipo</w:instrText>
      </w:r>
      <w:r w:rsidR="00E120C2" w:rsidRPr="00263307">
        <w:rPr>
          <w:rFonts w:ascii="Times New Roman" w:eastAsia="MS PMincho" w:hAnsi="Times New Roman" w:cs="Times New Roman"/>
          <w:color w:val="000000" w:themeColor="text1"/>
        </w:rPr>
        <w:instrText>ǧ</w:instrText>
      </w:r>
      <w:r w:rsidR="00E120C2" w:rsidRPr="00263307">
        <w:rPr>
          <w:rFonts w:ascii="Book Antiqua" w:eastAsia="MS PMincho" w:hAnsi="Book Antiqua" w:cs="Times New Roman"/>
          <w:color w:val="000000" w:themeColor="text1"/>
        </w:rPr>
        <w:instrText>lu","given":"Sinan","non-dropping-particle":"","parse-names":false,"suffix":""},{"dropping-particle":"","family":"Aygün","given":"Er</w:instrText>
      </w:r>
      <w:r w:rsidR="00E120C2" w:rsidRPr="00263307">
        <w:rPr>
          <w:rFonts w:ascii="Book Antiqua" w:eastAsia="MS PMincho" w:hAnsi="Book Antiqua" w:cs="Kohinoor Telugu Semibold"/>
          <w:color w:val="000000" w:themeColor="text1"/>
        </w:rPr>
        <w:instrText>ş</w:instrText>
      </w:r>
      <w:r w:rsidR="00E120C2" w:rsidRPr="00263307">
        <w:rPr>
          <w:rFonts w:ascii="Book Antiqua" w:eastAsia="MS PMincho" w:hAnsi="Book Antiqua" w:cs="Times New Roman"/>
          <w:color w:val="000000" w:themeColor="text1"/>
        </w:rPr>
        <w:instrText>an","non-dropping-particle":"","parse-names":false,"suffix":""}],"container-title":"Ulusal Travma ve Acil Cerrahi Dergisi","id":"ITEM-3","issue":"5","issued":{"date-parts":[["2009"]]},"page":"459-462","title":"Comparison of operative and non operative management of acute appendicitis","type":"article-journal","volume":"15"},"uris":["http://www.mendeley.com/documents/?uuid=2720139c-3478-4087-aa47-3f454e917112"]},{"id":"ITEM-4","itemData":{"DOI":"10.1002/bjs.6482","ISSN":"00071323","abstract":"Background: A trial in selected men suggested that antibiotic therapy could be an alternative to appendicectomy in appendicitis. This study aimed to evaluate antibiotic therapy in unselected men and women with acute appendicitis. Methods: Consecutive patients were allocated to study (antibiotics) or control (surgery) groups according to date of birth. Study patients received intravenous antibiotics for 24 h and continued at home with oral antibiotics for 10 days. Control patients had a standard appendicectomy. Follow-up at 1 and 12 months was carried out according to intention and per protocol. Results: Study and control patients were comparable at inclusion; 106 (52.5 per cent) of 202 patients allocated to antibiotics completed the treatment and 154 (92.2 per cent) of 167 patients allocated to appendicectomy had surgery. Treatment efficacy was 90.8 per cent for antibiotic therapy and 89.2 per cent for surgery. Recurrent appendicitis occurred in 15 patients (13.9 per cent) after a median of 1 year. A third of recurrences appeared within 10 days and two-thirds between 3 and 16 months after hospital discharge. Minor complications were similar between the groups. Major complications were threefold higher in patients who had an appendicectomy (P &lt; 0.050). Conclusion: Antibiotic treatment appears to be a safe first-line therapy in unselected patients with acute appendicitis. Registration number: NCT00469430 (http://www.clinicaltrials.gov). Copyright © 2009 British Journal of Surgery Society Ltd.","author":[{"dropping-particle":"","family":"Hansson","given":"J.","non-dropping-particle":"","parse-names":false,"suffix":""},{"dropping-particle":"","family":"Körner","given":"U.","non-dropping-particle":"","parse-names":false,"suffix":""},{"dropping-particle":"","family":"Khorram-Manesh","given":"A.","non-dropping-particle":"","parse-names":false,"suffix":""},{"dropping-particle":"","family":"Solberg","given":"A.","non-dropping-particle":"","parse-names":false,"suffix":""},{"dropping-particle":"","family":"Lundholm","given":"K.","non-dropping-particle":"","parse-names":false,"suffix":""}],"container-title":"British Journal of Surgery","id":"ITEM-4","issue":"5","issued":{"date-parts":[["2009"]]},"page":"473-481","title":"Randomized clinical trial of antibiotic therapy versus appendicectomy as primary treatment of acute appendicitis in unselected patients","type":"article-journal","volume":"96"},"uris":["http://www.mendeley.com/documents/?uuid=74947209-9df0-44d4-b791-6c811b25e915"]}],"mendeley":{"formattedCitation":"&lt;sup&gt;[&lt;sup&gt;1&lt;/sup&gt;–&lt;sup&gt;4&lt;/sup&gt;]&lt;/sup&gt;","plainTextFormattedCitation":"[1–4]","previouslyFormattedCitation":"&lt;sup&gt;[&lt;sup&gt;1&lt;/sup&gt;–&lt;sup&gt;4&lt;/sup&gt;]&lt;/sup&gt;"},"properties":{"noteIndex":0},"schema":"https://github.com/citation-style-language/schema/raw/master/csl-citation.json"}</w:instrText>
      </w:r>
      <w:r w:rsidR="00E120C2" w:rsidRPr="00263307">
        <w:rPr>
          <w:rFonts w:ascii="Book Antiqua" w:eastAsia="MS PMincho" w:hAnsi="Book Antiqua" w:cs="Times New Roman"/>
          <w:color w:val="000000" w:themeColor="text1"/>
        </w:rPr>
        <w:fldChar w:fldCharType="separate"/>
      </w:r>
      <w:r w:rsidR="0064096F" w:rsidRPr="00263307">
        <w:rPr>
          <w:rFonts w:ascii="Book Antiqua" w:eastAsia="MS PMincho" w:hAnsi="Book Antiqua" w:cs="Times New Roman"/>
          <w:noProof/>
          <w:color w:val="000000" w:themeColor="text1"/>
          <w:vertAlign w:val="superscript"/>
        </w:rPr>
        <w:t>[1</w:t>
      </w:r>
      <w:r w:rsidR="0064096F" w:rsidRPr="00263307">
        <w:rPr>
          <w:rFonts w:ascii="Book Antiqua" w:eastAsia="宋体" w:hAnsi="Book Antiqua" w:cs="Times New Roman"/>
          <w:noProof/>
          <w:color w:val="000000" w:themeColor="text1"/>
          <w:vertAlign w:val="superscript"/>
          <w:lang w:eastAsia="zh-CN"/>
        </w:rPr>
        <w:t>-</w:t>
      </w:r>
      <w:r w:rsidR="00E120C2" w:rsidRPr="00263307">
        <w:rPr>
          <w:rFonts w:ascii="Book Antiqua" w:eastAsia="MS PMincho" w:hAnsi="Book Antiqua" w:cs="Times New Roman"/>
          <w:noProof/>
          <w:color w:val="000000" w:themeColor="text1"/>
          <w:vertAlign w:val="superscript"/>
        </w:rPr>
        <w:t>4]</w:t>
      </w:r>
      <w:r w:rsidR="00E120C2" w:rsidRPr="00263307">
        <w:rPr>
          <w:rFonts w:ascii="Book Antiqua" w:eastAsia="MS PMincho" w:hAnsi="Book Antiqua" w:cs="Times New Roman"/>
          <w:color w:val="000000" w:themeColor="text1"/>
        </w:rPr>
        <w:fldChar w:fldCharType="end"/>
      </w:r>
      <w:r w:rsidRPr="00263307">
        <w:rPr>
          <w:rFonts w:ascii="Book Antiqua" w:eastAsia="MS PMincho" w:hAnsi="Book Antiqua" w:cs="Times New Roman"/>
          <w:color w:val="000000" w:themeColor="text1"/>
        </w:rPr>
        <w:t xml:space="preserve">. </w:t>
      </w:r>
      <w:r w:rsidR="004C41FD" w:rsidRPr="00263307">
        <w:rPr>
          <w:rFonts w:ascii="Book Antiqua" w:eastAsia="MS PMincho" w:hAnsi="Book Antiqua" w:cs="Times New Roman"/>
          <w:color w:val="000000" w:themeColor="text1"/>
        </w:rPr>
        <w:t>Based on</w:t>
      </w:r>
      <w:r w:rsidRPr="00263307">
        <w:rPr>
          <w:rFonts w:ascii="Book Antiqua" w:eastAsia="MS PMincho" w:hAnsi="Book Antiqua" w:cs="Times New Roman"/>
          <w:color w:val="000000" w:themeColor="text1"/>
        </w:rPr>
        <w:t xml:space="preserve"> these </w:t>
      </w:r>
      <w:r w:rsidR="00D7176B" w:rsidRPr="00263307">
        <w:rPr>
          <w:rFonts w:ascii="Book Antiqua" w:eastAsia="MS PMincho" w:hAnsi="Book Antiqua" w:cs="Times New Roman"/>
          <w:color w:val="000000" w:themeColor="text1"/>
        </w:rPr>
        <w:t>findings</w:t>
      </w:r>
      <w:r w:rsidRPr="00263307">
        <w:rPr>
          <w:rFonts w:ascii="Book Antiqua" w:eastAsia="MS PMincho" w:hAnsi="Book Antiqua" w:cs="Times New Roman"/>
          <w:color w:val="000000" w:themeColor="text1"/>
        </w:rPr>
        <w:t xml:space="preserve">, </w:t>
      </w:r>
      <w:r w:rsidR="004C41FD" w:rsidRPr="00263307">
        <w:rPr>
          <w:rFonts w:ascii="Book Antiqua" w:eastAsia="MS PMincho" w:hAnsi="Book Antiqua" w:cs="Times New Roman"/>
          <w:color w:val="000000" w:themeColor="text1"/>
        </w:rPr>
        <w:t xml:space="preserve">a </w:t>
      </w:r>
      <w:r w:rsidRPr="00263307">
        <w:rPr>
          <w:rFonts w:ascii="Book Antiqua" w:eastAsia="MS PMincho" w:hAnsi="Book Antiqua" w:cs="Times New Roman"/>
          <w:color w:val="000000" w:themeColor="text1"/>
        </w:rPr>
        <w:t xml:space="preserve">recent meta-analysis </w:t>
      </w:r>
      <w:r w:rsidR="00D7176B" w:rsidRPr="00263307">
        <w:rPr>
          <w:rFonts w:ascii="Book Antiqua" w:eastAsia="MS PMincho" w:hAnsi="Book Antiqua" w:cs="Times New Roman"/>
          <w:color w:val="000000" w:themeColor="text1"/>
        </w:rPr>
        <w:t xml:space="preserve">reported </w:t>
      </w:r>
      <w:r w:rsidRPr="00263307">
        <w:rPr>
          <w:rFonts w:ascii="Book Antiqua" w:eastAsia="MS PMincho" w:hAnsi="Book Antiqua" w:cs="Times New Roman"/>
          <w:color w:val="000000" w:themeColor="text1"/>
        </w:rPr>
        <w:t>that conservative treatment can be considered a</w:t>
      </w:r>
      <w:r w:rsidR="00BD5F7E" w:rsidRPr="00263307">
        <w:rPr>
          <w:rFonts w:ascii="Book Antiqua" w:eastAsia="MS PMincho" w:hAnsi="Book Antiqua" w:cs="Times New Roman"/>
          <w:color w:val="000000" w:themeColor="text1"/>
        </w:rPr>
        <w:t>n</w:t>
      </w:r>
      <w:r w:rsidRPr="00263307">
        <w:rPr>
          <w:rFonts w:ascii="Book Antiqua" w:eastAsia="MS PMincho" w:hAnsi="Book Antiqua" w:cs="Times New Roman"/>
          <w:color w:val="000000" w:themeColor="text1"/>
        </w:rPr>
        <w:t xml:space="preserve"> alternative </w:t>
      </w:r>
      <w:r w:rsidR="004C41FD" w:rsidRPr="00263307">
        <w:rPr>
          <w:rFonts w:ascii="Book Antiqua" w:eastAsia="MS PMincho" w:hAnsi="Book Antiqua" w:cs="Times New Roman"/>
          <w:color w:val="000000" w:themeColor="text1"/>
        </w:rPr>
        <w:t xml:space="preserve">to </w:t>
      </w:r>
      <w:r w:rsidRPr="00263307">
        <w:rPr>
          <w:rFonts w:ascii="Book Antiqua" w:eastAsia="MS PMincho" w:hAnsi="Book Antiqua" w:cs="Times New Roman"/>
          <w:color w:val="000000" w:themeColor="text1"/>
        </w:rPr>
        <w:t>appendectomy</w:t>
      </w:r>
      <w:r w:rsidR="00E120C2" w:rsidRPr="00263307">
        <w:rPr>
          <w:rFonts w:ascii="Book Antiqua" w:eastAsia="MS PMincho" w:hAnsi="Book Antiqua" w:cs="Times New Roman"/>
          <w:color w:val="000000" w:themeColor="text1"/>
        </w:rPr>
        <w:fldChar w:fldCharType="begin" w:fldLock="1"/>
      </w:r>
      <w:r w:rsidR="00E120C2" w:rsidRPr="00263307">
        <w:rPr>
          <w:rFonts w:ascii="Book Antiqua" w:eastAsia="MS PMincho" w:hAnsi="Book Antiqua" w:cs="Times New Roman"/>
          <w:color w:val="000000" w:themeColor="text1"/>
        </w:rPr>
        <w:instrText>ADDIN CSL_CITATION {"citationItems":[{"id":"ITEM-1","itemData":{"DOI":"10.1002/14651858.cd008359.pub2","ISSN":"1469-493X","abstract":"Acute appendicitis is one of the most common causes of acute abdominal pain. Present day treatment of choice for acute appendicitis is appendectomy, however complications are inherent to operative treatment. Though surgical appendectomy remains the standard treatment, several investigators have investigated conservative antibiotic treatment of acute appendicitis and reported good results. Is antibiotic treatment as effective as surgical appendectomy (laparoscopic or open) in patients with acute appendicitis on recovery within two weeks, without major complications (including recurrence) within one year? We searched the Cochrane Central Register of Controlled Trials (The Cochrane Library Issue 6, 2011); MEDLINE (until June 2011); EMBASE (until June 2011); Prospective Trial Registers (June 2011) and reference lists of articles. Randomised and quasi-randomised clinical trials (RCT and qRCT) comparing antibiotic treatment with appendectomy in patients with suspected appendicitis were included. Excluded were studies which primarily focused on the complications of acute appendicitis. Two authors independently assessed trial quality and extracted data. The review authors contacted the trial authors for additional information if required. Statistical analysis was carried out using Review Manager and MetaAnalyst. A non-inferiority analysis was performed, comparing antibiotic treatment (ABT) to the gold standard (appendectomy). By consensus, a 20% margin of non-inferiority was considered clinically relevant. Five RCT's (901 patients) were assessed. In total 73.4% (95% CI 62.7 to 81.9) of patients who were treated with antibiotics and 97.4 (95% CI 94.4 to 98.8) patients who directly got an appendectomy were cured within two weeks without major complications (including recurrence) within one year. The lower 95% CI was 15.2% below the 20% margin for the primary outcome. The upper bound of the 95% CI of ABT for cure within two weeks without major complications crosses the 20% margin of appendectomy, so the outcome is inconclusive. Also the quality of the studies was low to moderate, for that reason the results should be interpret with caution and definite conclusions cannot be made. Therefore we conclude that appendectomy remains the standard treatment for acute appendicitis. Antibiotic treatment might be used as an alternative treatment in a good quality RCT or in specific patients or conditions were surgery is contraindicated.","author":[{"dropping-particle":"","family":"Wilms","given":"Ingrid MHA","non-dropping-particle":"","parse-names":false,"suffix":""},{"dropping-particle":"","family":"Hoog","given":"Dominique ENM","non-dropping-particle":"de","parse-names":false,"suffix":""},{"dropping-particle":"","family":"Visser","given":"Dianne C","non-dropping-particle":"de","parse-names":false,"suffix":""},{"dropping-particle":"","family":"Janzing","given":"Heinrich MJ","non-dropping-particle":"","parse-names":false,"suffix":""}],"container-title":"Cochrane Database of Systematic Reviews","id":"ITEM-1","issued":{"date-parts":[["2011"]]},"title":"Appendectomy versus antibiotic treatment for acute appendicitis","type":"article-journal"},"uris":["http://www.mendeley.com/documents/?uuid=22a96257-2029-4dc9-b4dc-e886b93f4870"]}],"mendeley":{"formattedCitation":"&lt;sup&gt;[&lt;sup&gt;5&lt;/sup&gt;]&lt;/sup&gt;","plainTextFormattedCitation":"[5]","previouslyFormattedCitation":"&lt;sup&gt;[&lt;sup&gt;5&lt;/sup&gt;]&lt;/sup&gt;"},"properties":{"noteIndex":0},"schema":"https://github.com/citation-style-language/schema/raw/master/csl-citation.json"}</w:instrText>
      </w:r>
      <w:r w:rsidR="00E120C2" w:rsidRPr="00263307">
        <w:rPr>
          <w:rFonts w:ascii="Book Antiqua" w:eastAsia="MS PMincho" w:hAnsi="Book Antiqua" w:cs="Times New Roman"/>
          <w:color w:val="000000" w:themeColor="text1"/>
        </w:rPr>
        <w:fldChar w:fldCharType="separate"/>
      </w:r>
      <w:r w:rsidR="00E120C2" w:rsidRPr="00263307">
        <w:rPr>
          <w:rFonts w:ascii="Book Antiqua" w:eastAsia="MS PMincho" w:hAnsi="Book Antiqua" w:cs="Times New Roman"/>
          <w:noProof/>
          <w:color w:val="000000" w:themeColor="text1"/>
          <w:vertAlign w:val="superscript"/>
        </w:rPr>
        <w:t>[5]</w:t>
      </w:r>
      <w:r w:rsidR="00E120C2" w:rsidRPr="00263307">
        <w:rPr>
          <w:rFonts w:ascii="Book Antiqua" w:eastAsia="MS PMincho" w:hAnsi="Book Antiqua" w:cs="Times New Roman"/>
          <w:color w:val="000000" w:themeColor="text1"/>
        </w:rPr>
        <w:fldChar w:fldCharType="end"/>
      </w:r>
      <w:r w:rsidRPr="00263307">
        <w:rPr>
          <w:rFonts w:ascii="Book Antiqua" w:eastAsia="MS PMincho" w:hAnsi="Book Antiqua" w:cs="Times New Roman"/>
          <w:color w:val="000000" w:themeColor="text1"/>
        </w:rPr>
        <w:t xml:space="preserve">. </w:t>
      </w:r>
      <w:r w:rsidR="005871B3" w:rsidRPr="00263307">
        <w:rPr>
          <w:rFonts w:ascii="Book Antiqua" w:eastAsia="MS PMincho" w:hAnsi="Book Antiqua" w:cs="Times New Roman"/>
          <w:color w:val="000000" w:themeColor="text1"/>
        </w:rPr>
        <w:t>Because conservative management of AA will be</w:t>
      </w:r>
      <w:r w:rsidR="004C41FD" w:rsidRPr="00263307">
        <w:rPr>
          <w:rFonts w:ascii="Book Antiqua" w:eastAsia="MS PMincho" w:hAnsi="Book Antiqua" w:cs="Times New Roman"/>
          <w:color w:val="000000" w:themeColor="text1"/>
        </w:rPr>
        <w:t>come</w:t>
      </w:r>
      <w:r w:rsidR="005871B3" w:rsidRPr="00263307">
        <w:rPr>
          <w:rFonts w:ascii="Book Antiqua" w:eastAsia="MS PMincho" w:hAnsi="Book Antiqua" w:cs="Times New Roman"/>
          <w:color w:val="000000" w:themeColor="text1"/>
        </w:rPr>
        <w:t xml:space="preserve"> more popular thanks to </w:t>
      </w:r>
      <w:r w:rsidR="004C41FD" w:rsidRPr="00263307">
        <w:rPr>
          <w:rFonts w:ascii="Book Antiqua" w:eastAsia="MS PMincho" w:hAnsi="Book Antiqua" w:cs="Times New Roman"/>
          <w:color w:val="000000" w:themeColor="text1"/>
        </w:rPr>
        <w:t xml:space="preserve">this recent </w:t>
      </w:r>
      <w:r w:rsidR="005871B3" w:rsidRPr="00263307">
        <w:rPr>
          <w:rFonts w:ascii="Book Antiqua" w:eastAsia="MS PMincho" w:hAnsi="Book Antiqua" w:cs="Times New Roman"/>
          <w:color w:val="000000" w:themeColor="text1"/>
        </w:rPr>
        <w:t xml:space="preserve">evidence, </w:t>
      </w:r>
      <w:r w:rsidR="00D97307" w:rsidRPr="00263307">
        <w:rPr>
          <w:rFonts w:ascii="Book Antiqua" w:eastAsia="MS PMincho" w:hAnsi="Book Antiqua" w:cs="Times New Roman"/>
          <w:color w:val="000000" w:themeColor="text1"/>
        </w:rPr>
        <w:t>differentiation</w:t>
      </w:r>
      <w:r w:rsidR="00D11A88" w:rsidRPr="00263307">
        <w:rPr>
          <w:rFonts w:ascii="Book Antiqua" w:eastAsia="MS PMincho" w:hAnsi="Book Antiqua" w:cs="Times New Roman"/>
          <w:color w:val="000000" w:themeColor="text1"/>
        </w:rPr>
        <w:t xml:space="preserve"> of </w:t>
      </w:r>
      <w:r w:rsidR="0055643B" w:rsidRPr="00263307">
        <w:rPr>
          <w:rFonts w:ascii="Book Antiqua" w:eastAsia="MS PMincho" w:hAnsi="Book Antiqua" w:cs="Times New Roman"/>
          <w:color w:val="000000" w:themeColor="text1"/>
        </w:rPr>
        <w:t>high-risk</w:t>
      </w:r>
      <w:r w:rsidR="00D11A88" w:rsidRPr="00263307">
        <w:rPr>
          <w:rFonts w:ascii="Book Antiqua" w:eastAsia="MS PMincho" w:hAnsi="Book Antiqua" w:cs="Times New Roman"/>
          <w:color w:val="000000" w:themeColor="text1"/>
        </w:rPr>
        <w:t xml:space="preserve"> patients with complicated appendicitis </w:t>
      </w:r>
      <w:r w:rsidR="0055643B" w:rsidRPr="00263307">
        <w:rPr>
          <w:rFonts w:ascii="Book Antiqua" w:eastAsia="MS PMincho" w:hAnsi="Book Antiqua" w:cs="Times New Roman"/>
          <w:color w:val="000000" w:themeColor="text1"/>
        </w:rPr>
        <w:t xml:space="preserve">(CA) </w:t>
      </w:r>
      <w:r w:rsidR="00D11A88" w:rsidRPr="00263307">
        <w:rPr>
          <w:rFonts w:ascii="Book Antiqua" w:eastAsia="MS PMincho" w:hAnsi="Book Antiqua" w:cs="Times New Roman"/>
          <w:color w:val="000000" w:themeColor="text1"/>
        </w:rPr>
        <w:t xml:space="preserve">such as </w:t>
      </w:r>
      <w:r w:rsidR="001E232A" w:rsidRPr="00263307">
        <w:rPr>
          <w:rFonts w:ascii="Book Antiqua" w:eastAsia="MS PMincho" w:hAnsi="Book Antiqua" w:cs="Times New Roman"/>
          <w:color w:val="000000" w:themeColor="text1"/>
        </w:rPr>
        <w:t xml:space="preserve">gangrenous appendicitis, </w:t>
      </w:r>
      <w:r w:rsidR="00D11A88" w:rsidRPr="00263307">
        <w:rPr>
          <w:rFonts w:ascii="Book Antiqua" w:eastAsia="MS PMincho" w:hAnsi="Book Antiqua" w:cs="Times New Roman"/>
          <w:color w:val="000000" w:themeColor="text1"/>
        </w:rPr>
        <w:t>perforated appendicitis</w:t>
      </w:r>
      <w:r w:rsidR="001E232A" w:rsidRPr="00263307">
        <w:rPr>
          <w:rFonts w:ascii="Book Antiqua" w:eastAsia="MS PMincho" w:hAnsi="Book Antiqua" w:cs="Times New Roman"/>
          <w:color w:val="000000" w:themeColor="text1"/>
        </w:rPr>
        <w:t>,</w:t>
      </w:r>
      <w:r w:rsidR="00D11A88" w:rsidRPr="00263307">
        <w:rPr>
          <w:rFonts w:ascii="Book Antiqua" w:eastAsia="MS PMincho" w:hAnsi="Book Antiqua" w:cs="Times New Roman"/>
          <w:color w:val="000000" w:themeColor="text1"/>
        </w:rPr>
        <w:t xml:space="preserve"> or cases </w:t>
      </w:r>
      <w:r w:rsidR="00347727" w:rsidRPr="00263307">
        <w:rPr>
          <w:rFonts w:ascii="Book Antiqua" w:eastAsia="MS PMincho" w:hAnsi="Book Antiqua" w:cs="Times New Roman"/>
          <w:color w:val="000000" w:themeColor="text1"/>
        </w:rPr>
        <w:t xml:space="preserve">complicated </w:t>
      </w:r>
      <w:r w:rsidR="00D11A88" w:rsidRPr="00263307">
        <w:rPr>
          <w:rFonts w:ascii="Book Antiqua" w:eastAsia="MS PMincho" w:hAnsi="Book Antiqua" w:cs="Times New Roman"/>
          <w:color w:val="000000" w:themeColor="text1"/>
        </w:rPr>
        <w:t xml:space="preserve">with </w:t>
      </w:r>
      <w:r w:rsidR="00347727" w:rsidRPr="00263307">
        <w:rPr>
          <w:rFonts w:ascii="Book Antiqua" w:eastAsia="MS PMincho" w:hAnsi="Book Antiqua" w:cs="Times New Roman"/>
          <w:color w:val="000000" w:themeColor="text1"/>
        </w:rPr>
        <w:t>intra-abdominal</w:t>
      </w:r>
      <w:r w:rsidR="00D11A88" w:rsidRPr="00263307">
        <w:rPr>
          <w:rFonts w:ascii="Book Antiqua" w:eastAsia="MS PMincho" w:hAnsi="Book Antiqua" w:cs="Times New Roman"/>
          <w:color w:val="000000" w:themeColor="text1"/>
        </w:rPr>
        <w:t xml:space="preserve"> abscess</w:t>
      </w:r>
      <w:r w:rsidR="0055643B" w:rsidRPr="00263307">
        <w:rPr>
          <w:rFonts w:ascii="Book Antiqua" w:eastAsia="MS PMincho" w:hAnsi="Book Antiqua" w:cs="Times New Roman"/>
          <w:color w:val="000000" w:themeColor="text1"/>
        </w:rPr>
        <w:t xml:space="preserve"> from simple appendicitis (SA)</w:t>
      </w:r>
      <w:r w:rsidR="005B0982" w:rsidRPr="00263307">
        <w:rPr>
          <w:rFonts w:ascii="Book Antiqua" w:eastAsia="MS PMincho" w:hAnsi="Book Antiqua" w:cs="Times New Roman"/>
          <w:color w:val="000000" w:themeColor="text1"/>
        </w:rPr>
        <w:t xml:space="preserve"> </w:t>
      </w:r>
      <w:r w:rsidR="001E049E" w:rsidRPr="00263307">
        <w:rPr>
          <w:rFonts w:ascii="Book Antiqua" w:eastAsia="MS PMincho" w:hAnsi="Book Antiqua" w:cs="Times New Roman"/>
          <w:color w:val="000000" w:themeColor="text1"/>
        </w:rPr>
        <w:t xml:space="preserve">has </w:t>
      </w:r>
      <w:r w:rsidR="005B0982" w:rsidRPr="00263307">
        <w:rPr>
          <w:rFonts w:ascii="Book Antiqua" w:eastAsia="MS PMincho" w:hAnsi="Book Antiqua" w:cs="Times New Roman"/>
          <w:color w:val="000000" w:themeColor="text1"/>
        </w:rPr>
        <w:t>become increasingly important</w:t>
      </w:r>
      <w:r w:rsidR="0055643B" w:rsidRPr="00263307">
        <w:rPr>
          <w:rFonts w:ascii="Book Antiqua" w:eastAsia="MS PMincho" w:hAnsi="Book Antiqua" w:cs="Times New Roman"/>
          <w:color w:val="000000" w:themeColor="text1"/>
        </w:rPr>
        <w:t xml:space="preserve">. </w:t>
      </w:r>
      <w:r w:rsidR="002972C1" w:rsidRPr="00263307">
        <w:rPr>
          <w:rFonts w:ascii="Book Antiqua" w:eastAsia="MS PMincho" w:hAnsi="Book Antiqua" w:cs="Times New Roman"/>
          <w:color w:val="000000" w:themeColor="text1"/>
        </w:rPr>
        <w:t xml:space="preserve">Many studies on predictive factors of CA in both pediatric and adult patients have </w:t>
      </w:r>
      <w:r w:rsidR="0055643B" w:rsidRPr="00263307">
        <w:rPr>
          <w:rFonts w:ascii="Book Antiqua" w:eastAsia="MS PMincho" w:hAnsi="Book Antiqua" w:cs="Times New Roman"/>
          <w:color w:val="000000" w:themeColor="text1"/>
        </w:rPr>
        <w:t>revealed that male</w:t>
      </w:r>
      <w:r w:rsidR="00903A98" w:rsidRPr="00263307">
        <w:rPr>
          <w:rFonts w:ascii="Book Antiqua" w:eastAsia="MS PMincho" w:hAnsi="Book Antiqua" w:cs="Times New Roman"/>
          <w:color w:val="000000" w:themeColor="text1"/>
        </w:rPr>
        <w:t xml:space="preserve"> gender</w:t>
      </w:r>
      <w:r w:rsidR="0055643B" w:rsidRPr="00263307">
        <w:rPr>
          <w:rFonts w:ascii="Book Antiqua" w:eastAsia="MS PMincho" w:hAnsi="Book Antiqua" w:cs="Times New Roman"/>
          <w:color w:val="000000" w:themeColor="text1"/>
        </w:rPr>
        <w:t xml:space="preserve">, </w:t>
      </w:r>
      <w:r w:rsidR="001E049E" w:rsidRPr="00263307">
        <w:rPr>
          <w:rFonts w:ascii="Book Antiqua" w:eastAsia="MS PMincho" w:hAnsi="Book Antiqua" w:cs="Times New Roman"/>
          <w:color w:val="000000" w:themeColor="text1"/>
        </w:rPr>
        <w:t xml:space="preserve">advanced </w:t>
      </w:r>
      <w:r w:rsidR="0055643B" w:rsidRPr="00263307">
        <w:rPr>
          <w:rFonts w:ascii="Book Antiqua" w:eastAsia="MS PMincho" w:hAnsi="Book Antiqua" w:cs="Times New Roman"/>
          <w:color w:val="000000" w:themeColor="text1"/>
        </w:rPr>
        <w:t>age, comorbid conditions, prehospital delay, fever,</w:t>
      </w:r>
      <w:r w:rsidR="007C071C" w:rsidRPr="00263307">
        <w:rPr>
          <w:rFonts w:ascii="Book Antiqua" w:eastAsia="MS PMincho" w:hAnsi="Book Antiqua" w:cs="Times New Roman"/>
          <w:color w:val="000000" w:themeColor="text1"/>
        </w:rPr>
        <w:t xml:space="preserve"> </w:t>
      </w:r>
      <w:r w:rsidR="0055643B" w:rsidRPr="00263307">
        <w:rPr>
          <w:rFonts w:ascii="Book Antiqua" w:eastAsia="MS PMincho" w:hAnsi="Book Antiqua" w:cs="Times New Roman"/>
          <w:color w:val="000000" w:themeColor="text1"/>
        </w:rPr>
        <w:t>anorexia</w:t>
      </w:r>
      <w:r w:rsidR="002972C1" w:rsidRPr="00263307">
        <w:rPr>
          <w:rFonts w:ascii="Book Antiqua" w:eastAsia="MS PMincho" w:hAnsi="Book Antiqua" w:cs="Times New Roman"/>
          <w:color w:val="000000" w:themeColor="text1"/>
        </w:rPr>
        <w:t>, leukocytosis, elevated serum C-reactive protein (CRP) level</w:t>
      </w:r>
      <w:r w:rsidR="007C071C" w:rsidRPr="00263307">
        <w:rPr>
          <w:rFonts w:ascii="Book Antiqua" w:eastAsia="MS PMincho" w:hAnsi="Book Antiqua" w:cs="Times New Roman"/>
          <w:color w:val="000000" w:themeColor="text1"/>
        </w:rPr>
        <w:t>,</w:t>
      </w:r>
      <w:r w:rsidR="002972C1" w:rsidRPr="00263307">
        <w:rPr>
          <w:rFonts w:ascii="Book Antiqua" w:eastAsia="MS PMincho" w:hAnsi="Book Antiqua" w:cs="Times New Roman"/>
          <w:color w:val="000000" w:themeColor="text1"/>
        </w:rPr>
        <w:t xml:space="preserve"> and hyponatremia </w:t>
      </w:r>
      <w:r w:rsidR="00A23280" w:rsidRPr="00263307">
        <w:rPr>
          <w:rFonts w:ascii="Book Antiqua" w:eastAsia="MS PMincho" w:hAnsi="Book Antiqua" w:cs="Times New Roman"/>
          <w:color w:val="000000" w:themeColor="text1"/>
        </w:rPr>
        <w:t xml:space="preserve">are </w:t>
      </w:r>
      <w:r w:rsidR="0055643B" w:rsidRPr="00263307">
        <w:rPr>
          <w:rFonts w:ascii="Book Antiqua" w:eastAsia="MS PMincho" w:hAnsi="Book Antiqua" w:cs="Times New Roman"/>
          <w:color w:val="000000" w:themeColor="text1"/>
        </w:rPr>
        <w:t xml:space="preserve">risk factors </w:t>
      </w:r>
      <w:r w:rsidR="007C071C" w:rsidRPr="00263307">
        <w:rPr>
          <w:rFonts w:ascii="Book Antiqua" w:eastAsia="MS PMincho" w:hAnsi="Book Antiqua" w:cs="Times New Roman"/>
          <w:color w:val="000000" w:themeColor="text1"/>
        </w:rPr>
        <w:t xml:space="preserve">for </w:t>
      </w:r>
      <w:r w:rsidR="0055643B" w:rsidRPr="00263307">
        <w:rPr>
          <w:rFonts w:ascii="Book Antiqua" w:eastAsia="MS PMincho" w:hAnsi="Book Antiqua" w:cs="Times New Roman"/>
          <w:color w:val="000000" w:themeColor="text1"/>
        </w:rPr>
        <w:t>perforated appendicitis</w:t>
      </w:r>
      <w:r w:rsidR="00E120C2" w:rsidRPr="00263307">
        <w:rPr>
          <w:rFonts w:ascii="Book Antiqua" w:eastAsia="MS PMincho" w:hAnsi="Book Antiqua" w:cs="Times New Roman"/>
          <w:color w:val="000000" w:themeColor="text1"/>
        </w:rPr>
        <w:fldChar w:fldCharType="begin" w:fldLock="1"/>
      </w:r>
      <w:r w:rsidR="00C063D4" w:rsidRPr="00263307">
        <w:rPr>
          <w:rFonts w:ascii="Book Antiqua" w:eastAsia="MS PMincho" w:hAnsi="Book Antiqua" w:cs="Times New Roman"/>
          <w:color w:val="000000" w:themeColor="text1"/>
        </w:rPr>
        <w:instrText>ADDIN CSL_CITATION {"citationItems":[{"id":"ITEM-1","itemData":{"DOI":"10.1001/jamasurg.2014.77","ISSN":"21686254","abstract":"IMPORTANCE In the traditional model of acute appendicitis, time is the major driver of disease progression; luminal obstruction leads inexorably to perforation without timely intervention. This perceived association has long guided clinical behavior related to the timing of appendectomy. OBJECTIVE To evaluate whether there is an association between time and perforation after patients present to the hospital. DESIGN, SETTING, AND PARTICIPANTS Using data from theWashington State Surgical Care and Outcomes Assessment Program (SCOAP), we evaluated patterns of perforation among patients (≥18 years) who underwent appendectomy from January 1, 2010, to December 31, 2011. Patients were treated at 52 diverse hospitals including urban tertiary centers, a university hospital, small community and rural hospitals, and hospitals within multi-institutional organizations. MAIN OUTCOMES AND MEASURES The main outcome of interestwas perforation as diagnosed on final pathology reports. The main predictor of interest was elapsed time as measured between presentation to the hospital and operating room (OR) start time. The relationship between in-hospital time and perforation was adjusted for potential confounding using multivariate logistic regression. Additional predictors of interest included sex, age, number of comorbid conditions, race and/or ethnicity, insurance status, and hospital characteristics such as community type and appendectomy volume. RESULTS A total of 9048 adults underwent appendectomy (15.8% perforated). Mean time from presentation to OR was the same (8.6 hours) for patients with perforated and nonperforated appendicitis. In multivariate analysis, increasing time to OR was not a predictor of perforation, either as a continuous variable (odds ratio = 1.0 [95%CI, 0.99-1.01]) or when considered as a categorical variable (patients ordered by elapsed time and divided into deciles). Factors associated with perforation were male sex, increasing age, 3 or more comorbid conditions, and lack of insurance. CONCLUSIONS AND RELEVANCE There was no association between perforation and in-hospital time prior to surgery among adults treated with appendectomy. These findings may reflect selection of those at higher risk of perforation for earlier intervention or the effect of antibiotics begun at diagnosis but they are also consistent with the hypothesis that perforation is most often a prehospital occurrence and/or not strictly a time-dependent phenomenon. These findings may…","author":[{"dropping-particle":"","family":"Drake","given":"Frederick Thurston","non-dropping-particle":"","parse-names":false,"suffix":""},{"dropping-particle":"","family":"Mottey","given":"Neli E.","non-dropping-particle":"","parse-names":false,"suffix":""},{"dropping-particle":"","family":"Farrokhi","given":"Ellen T.","non-dropping-particle":"","parse-names":false,"suffix":""},{"dropping-particle":"","family":"Florence","given":"Michael G.","non-dropping-particle":"","parse-names":false,"suffix":""},{"dropping-particle":"","family":"Johnson","given":"Morris G.","non-dropping-particle":"","parse-names":false,"suffix":""},{"dropping-particle":"","family":"Mock","given":"Charles","non-dropping-particle":"","parse-names":false,"suffix":""},{"dropping-particle":"","family":"Steele","given":"Scott R.","non-dropping-particle":"","parse-names":false,"suffix":""},{"dropping-particle":"","family":"Thirlby","given":"Richard C.","non-dropping-particle":"","parse-names":false,"suffix":""},{"dropping-particle":"","family":"Flum","given":"David R.","non-dropping-particle":"","parse-names":false,"suffix":""}],"container-title":"JAMA Surgery","id":"ITEM-1","issue":"8","issued":{"date-parts":[["2014"]]},"page":"837-844","title":"Time to appendectomy and risk of perforation in acute appendicitis","type":"article-journal","volume":"149"},"uris":["http://www.mendeley.com/documents/?uuid=58882edf-1daa-4ac6-9303-7f00205d46c8"]},{"id":"ITEM-2","itemData":{"DOI":"10.1155/2015/847681","ISSN":"2356-7759","abstract":"Background . The incidence of perforated appendicitis in elderly patients is high and carries increased morbidity and mortality rates. The aim of this study was to identify risk factors of perforation in elderly patients who presented with clinical of acute appendicitis. Methods . This was a retrospective study, reviewing medical records of patients over the age of 60 years who had a confirmed diagnosis of acute appendicitis. Patients were classified into two groups: those with perforated appendicitis and those with nonperforated appendicitis. Demographic data, clinical presentations, and laboratory analysis were compared. Results . Of the 206 acute appendicitis patients over the age of 60 years, perforated appendicitis was found in 106 (50%) patients. The four factors which predicted appendiceal rupture were as follows: male; duration of pain in preadmission period; fever (&gt;38°C); and anorexia. The overall complication rate was 34% in the perforation group and 12.6% in the nonperforation group. Conclusions . The incidence of perforated appendicitis in elderly patients was higher in males and those who had certain clinical features such as fever and anorexia. Duration of pain in the preadmission period was also an important factor in appendiceal rupture. Early diagnosis may decrease the incidence of perforated appendicitis in elderly patients. ","author":[{"dropping-particle":"","family":"Sirikurnpiboon","given":"Siripong","non-dropping-particle":"","parse-names":false,"suffix":""},{"dropping-particle":"","family":"Amornpornchareon","given":"Suparat","non-dropping-particle":"","parse-names":false,"suffix":""}],"container-title":"Surgery Research and Practice","id":"ITEM-2","issued":{"date-parts":[["2015"]]},"page":"1-6","title":"Factors Associated with Perforated Appendicitis in Elderly Patients in a Tertiary Care Hospital","type":"article-journal","volume":"2015"},"uris":["http://www.mendeley.com/documents/?uuid=6dd04c0b-35c6-4163-b57b-0bf5e8fb0e21"]},{"id":"ITEM-3","itemData":{"DOI":"10.1186/1749-7922-9-6","ISSN":"17497922","abstract":"Background: Acute appendicitis is the most common surgical emergency and becomes serious when it perforates. Perforation is more frequent in the elderly patients. The aim of this study was to identify the risk factors of perforation in elderly patients who presented with acute appendicitis. Methodology: The medical records of 214 patients over the age of 60 years who had a pathologically confirmed diagnosis of acute appendicitis over a period of 10 years (2003-2013) were retrospectively reviewed. Patients were grouped into those with perforated and those with nonperforated appendicitis. Comparison was made between both groups in regard to demography, clinical presentation, and time delay to surgery, diagnosis, hospital stay and postoperative complications. Clinical assessment, Ultrasonography and Computerized tomography, in that order, were used for diagnosis. The incidence of perforation was also compared with a previous report from the same region 10 years earlier. Results: During the study period, a total of 214 patients over the age of 60 years had acute appendicitis, 103 males and 111 females. Appendix was found perforated in 87 (41%) patients, 46 (53%) males and 41 (47%) females. Of all patients, 31% were diagnosed by clinical assessment alone, 40% needed US and 29% CT scan. Of all the risk factors studied, the patient's pre-hospital time delay was the most important risk factor for perforation. Perforation rate was not dependent on the presence of comorbid diseases or in-hospital time delay. Post operative complications occurred in 44 (21%) patients and they were three times more common in the perforated group, 33 (75%) patients in the perforated and 11 (25%) in the nonperforated group. There were 6 deaths (3%), 4 in the perforated and 2 in the nonperforated group.Conclusion: Acute appendicitis in elderly patients is a serious disease that requires early diagnosis and treatment. Appendiceal Perforation increases both mortality and morbidity. All elderly patients presented to the hospital with abdominal pain should be admitted and investigated. The early use of CT scan can cut short the way to the appropriate treatment. © 2014 Omari et al.; licensee BioMed Central Ltd.","author":[{"dropping-particle":"","family":"Omari","given":"Abdelkarim H.","non-dropping-particle":"","parse-names":false,"suffix":""},{"dropping-particle":"","family":"Khammash","given":"Muhammad R.","non-dropping-particle":"","parse-names":false,"suffix":""},{"dropping-particle":"","family":"Qasaimeh","given":"Ghazi R.","non-dropping-particle":"","parse-names":false,"suffix":""},{"dropping-particle":"","family":"Shammari","given":"Ahmad K.","non-dropping-particle":"","parse-names":false,"suffix":""},{"dropping-particle":"","family":"Yaseen","given":"Mohammad K.Bani","non-dropping-particle":"","parse-names":false,"suffix":""},{"dropping-particle":"","family":"Hammori","given":"Sahel K.","non-dropping-particle":"","parse-names":false,"suffix":""}],"container-title":"World Journal of Emergency Surgery","id":"ITEM-3","issue":"1","issued":{"date-parts":[["2014"]]},"page":"1-6","title":"Acute appendicitis in the elderly: Risk factors for perforation","type":"article-journal","volume":"9"},"uris":["http://www.mendeley.com/documents/?uuid=ee6fff5b-06ab-48ee-8c87-34bc0de2d7a1"]},{"id":"ITEM-4","itemData":{"DOI":"10.1001/jamasurg.2015.1258","ISSN":"2168-6254","author":[{"dropping-particle":"","family":"Kim","given":"Dennis Y.","non-dropping-particle":"","parse-names":false,"suffix":""},{"dropping-particle":"","family":"Nassiri","given":"Nariman","non-dropping-particle":"","parse-names":false,"suffix":""},{"dropping-particle":"","family":"Virgilio","given":"Christian","non-dropping-particle":"de","parse-names":false,"suffix":""},{"dropping-particle":"","family":"Ferebee","given":"Michael P.","non-dropping-particle":"","parse-names":false,"suffix":""},{"dropping-particle":"","family":"Kaji","given":"Amy H.","non-dropping-particle":"","parse-names":false,"suffix":""},{"dropping-particle":"","family":"Hamilton","given":"Camille E.","non-dropping-particle":"","parse-names":false,"suffix":""},{"dropping-particle":"","family":"Saltzman","given":"Darin J.","non-dropping-particle":"","parse-names":false,"suffix":""}],"container-title":"JAMA Surgery","id":"ITEM-4","issue":"9","issued":{"date-parts":[["2015","9","1"]]},"page":"911","title":"Association Between Hyponatremia and Complicated Appendicitis","type":"article-journal","volume":"150"},"uris":["http://www.mendeley.com/documents/?uuid=9b504aa2-a3de-49d1-be02-e70897c338ed"]},{"id":"ITEM-5","itemData":{"DOI":"10.1007/s00383-016-3990-2","ISBN":"0038301639902","ISSN":"14379813","abstract":"Appendicitis is a common cause of abdominal pain in children. The diagnosis and treatment of the disease have undergone major changes in the past two decades, primarily as a result of the application of an evidence-based approach. Data from several randomized controlled trials, large database studies, and meta-analyses have fundamentally affected patient care. The best diagnostic approach is a standardized clinical pathway with a scoring system and selective imaging. Non-operative management of simple appendicitis is a reasonable option in selected cases, with the caveat that data in children remain limited. A minimally invasive (laparoscopic) appendectomy is the current standard in US and European children’s hospitals. This article reviews the current ‘state of the art’ in the evaluation and management of pediatric appendicitis.","author":[{"dropping-particle":"","family":"Rentea","given":"Rebecca M.","non-dropping-particle":"","parse-names":false,"suffix":""},{"dropping-particle":"","family":"Peter","given":"Shawn D.St","non-dropping-particle":"","parse-names":false,"suffix":""},{"dropping-particle":"","family":"Snyder","given":"Charles L.","non-dropping-particle":"","parse-names":false,"suffix":""}],"container-title":"Pediatric Surgery International","id":"ITEM-5","issue":"3","issued":{"date-parts":[["2017"]]},"page":"269-283","publisher":"Springer Berlin Heidelberg","title":"Pediatric appendicitis: state of the art review","type":"article-journal","volume":"33"},"uris":["http://www.mendeley.com/documents/?uuid=b1457ca3-a0ac-4ea3-b844-3c40b198bf3a"]},{"id":"ITEM-6","itemData":{"DOI":"10.1016/j.jss.2016.07.023","ISSN":"10958673","abstract":"Background The ability to predict whether a child has complicated appendicitis at initial presentation may influence clinical management. However, whether complicated appendicitis is associated with prehospital or inhospital factors is not clear. We also investigate whether hyponatremia may be a novel prehospital factor associated with complicated appendicitis. Materials and methods A retrospective review of all pediatric patients (≤12 y) with appendicitis treated with appendectomy from 2000 to 2013 was performed. The main outcome measure was intraoperative confirmation of gangrenous or perforated appendicitis. A multivariable analysis was performed, and the main predictors of interest were age &lt;5 y, symptom duration &gt;24 h, leukocytosis (white blood cell count &gt;12 × 103/mL), hyponatremia (sodium ≤135 mEq/L), and time from admission to appendectomy. Results Of 392 patients, 179 (46%) had complicated appendicitis at the time of operation. Univariate analysis demonstrated that patients with complicated appendicitis were younger, had a longer duration of symptoms, higher white blood cell count, and lower sodium levels than patients with noncomplicated appendicitis. Multivariable analysis confirmed that symptom duration &gt;24 h (odds ratio [OR] = 5.5, 95% confidence interval [CI] = 3.5-8.9, P &lt; 0.01), hyponatremia (OR = 3.1, 95% CI = 2.0-4.9, P &lt; 0.01), age &lt;5 y (OR = 2.3, 95% CI = 1.3-4.0, P &lt; 0.01), and leukocytosis (OR = 1.9, 95% CI = 1.0-3.5, P = 0.04) were independent predictors of complicated appendicitis. Increased time from admission to appendectomy was not a predictor of complicated appendicitis (OR = 0.8, 95% CI = 0.5-1.2, P = 0.2). Conclusions Prehospital factors can predict complicated appendicitis in children with suspected appendicitis. Hyponatremia is a novel marker associated with complicated appendicitis. Delaying appendectomy does not increase the risk of complicated appendicitis once intravenous antibiotics are administered. This information may help guide resource/personnel allocation, timing of appendectomy, and decision for nonoperative management of appendicitis in children.","author":[{"dropping-particle":"","family":"Pham","given":"Xuan Binh D.","non-dropping-particle":"","parse-names":false,"suffix":""},{"dropping-particle":"","family":"Sullins","given":"Veronica F.","non-dropping-particle":"","parse-names":false,"suffix":""},{"dropping-particle":"","family":"Kim","given":"Dennis Y.","non-dropping-particle":"","parse-names":false,"suffix":""},{"dropping-particle":"","family":"Range","given":"Blake","non-dropping-particle":"","parse-names":false,"suffix":""},{"dropping-particle":"","family":"Kaji","given":"Amy H.","non-dropping-particle":"","parse-names":false,"suffix":""},{"dropping-particle":"","family":"Virgilio","given":"Christian M.","non-dropping-particle":"de","parse-names":false,"suffix":""},{"dropping-particle":"","family":"Lee","given":"Steven L.","non-dropping-particle":"","parse-names":false,"suffix":""}],"container-title":"Journal of Surgical Research","id":"ITEM-6","issue":"1","issued":{"date-parts":[["2016"]]},"page":"62-66","publisher":"Elsevier Inc","title":"Factors predictive of complicated appendicitis in children","type":"article-journal","volume":"206"},"uris":["http://www.mendeley.com/documents/?uuid=7d75d4c8-4570-4a99-ae17-826cb1f6db01"]}],"mendeley":{"formattedCitation":"&lt;sup&gt;[&lt;sup&gt;6&lt;/sup&gt;–&lt;sup&gt;11&lt;/sup&gt;]&lt;/sup&gt;","plainTextFormattedCitation":"[6–11]","previouslyFormattedCitation":"&lt;sup&gt;[&lt;sup&gt;6&lt;/sup&gt;–&lt;sup&gt;11&lt;/sup&gt;]&lt;/sup&gt;"},"properties":{"noteIndex":0},"schema":"https://github.com/citation-style-language/schema/raw/master/csl-citation.json"}</w:instrText>
      </w:r>
      <w:r w:rsidR="00E120C2" w:rsidRPr="00263307">
        <w:rPr>
          <w:rFonts w:ascii="Book Antiqua" w:eastAsia="MS PMincho" w:hAnsi="Book Antiqua" w:cs="Times New Roman"/>
          <w:color w:val="000000" w:themeColor="text1"/>
        </w:rPr>
        <w:fldChar w:fldCharType="separate"/>
      </w:r>
      <w:r w:rsidR="0064096F" w:rsidRPr="00263307">
        <w:rPr>
          <w:rFonts w:ascii="Book Antiqua" w:eastAsia="MS PMincho" w:hAnsi="Book Antiqua" w:cs="Times New Roman"/>
          <w:noProof/>
          <w:color w:val="000000" w:themeColor="text1"/>
          <w:vertAlign w:val="superscript"/>
        </w:rPr>
        <w:t>[6</w:t>
      </w:r>
      <w:r w:rsidR="0064096F" w:rsidRPr="00263307">
        <w:rPr>
          <w:rFonts w:ascii="Book Antiqua" w:eastAsia="宋体" w:hAnsi="Book Antiqua" w:cs="Times New Roman"/>
          <w:noProof/>
          <w:color w:val="000000" w:themeColor="text1"/>
          <w:vertAlign w:val="superscript"/>
          <w:lang w:eastAsia="zh-CN"/>
        </w:rPr>
        <w:t>-</w:t>
      </w:r>
      <w:r w:rsidR="00E120C2" w:rsidRPr="00263307">
        <w:rPr>
          <w:rFonts w:ascii="Book Antiqua" w:eastAsia="MS PMincho" w:hAnsi="Book Antiqua" w:cs="Times New Roman"/>
          <w:noProof/>
          <w:color w:val="000000" w:themeColor="text1"/>
          <w:vertAlign w:val="superscript"/>
        </w:rPr>
        <w:t>11]</w:t>
      </w:r>
      <w:r w:rsidR="00E120C2" w:rsidRPr="00263307">
        <w:rPr>
          <w:rFonts w:ascii="Book Antiqua" w:eastAsia="MS PMincho" w:hAnsi="Book Antiqua" w:cs="Times New Roman"/>
          <w:color w:val="000000" w:themeColor="text1"/>
        </w:rPr>
        <w:fldChar w:fldCharType="end"/>
      </w:r>
      <w:r w:rsidR="0055643B" w:rsidRPr="00263307">
        <w:rPr>
          <w:rFonts w:ascii="Book Antiqua" w:eastAsia="MS PMincho" w:hAnsi="Book Antiqua" w:cs="Times New Roman"/>
          <w:color w:val="000000" w:themeColor="text1"/>
        </w:rPr>
        <w:t xml:space="preserve">. However, </w:t>
      </w:r>
      <w:r w:rsidR="00DF7D2A" w:rsidRPr="00263307">
        <w:rPr>
          <w:rFonts w:ascii="Book Antiqua" w:eastAsia="MS PMincho" w:hAnsi="Book Antiqua" w:cs="Times New Roman"/>
          <w:color w:val="000000" w:themeColor="text1"/>
        </w:rPr>
        <w:t xml:space="preserve">confounding between various factors is problematic because </w:t>
      </w:r>
      <w:r w:rsidR="00D56371" w:rsidRPr="00263307">
        <w:rPr>
          <w:rFonts w:ascii="Book Antiqua" w:eastAsia="MS PMincho" w:hAnsi="Book Antiqua" w:cs="Times New Roman"/>
          <w:color w:val="000000" w:themeColor="text1"/>
        </w:rPr>
        <w:t xml:space="preserve">most </w:t>
      </w:r>
      <w:r w:rsidR="0055643B" w:rsidRPr="00263307">
        <w:rPr>
          <w:rFonts w:ascii="Book Antiqua" w:eastAsia="MS PMincho" w:hAnsi="Book Antiqua" w:cs="Times New Roman"/>
          <w:color w:val="000000" w:themeColor="text1"/>
        </w:rPr>
        <w:t xml:space="preserve">previous studies </w:t>
      </w:r>
      <w:r w:rsidR="001E049E" w:rsidRPr="00263307">
        <w:rPr>
          <w:rFonts w:ascii="Book Antiqua" w:eastAsia="MS PMincho" w:hAnsi="Book Antiqua" w:cs="Times New Roman"/>
          <w:color w:val="000000" w:themeColor="text1"/>
        </w:rPr>
        <w:t xml:space="preserve">were </w:t>
      </w:r>
      <w:r w:rsidR="0055643B" w:rsidRPr="00263307">
        <w:rPr>
          <w:rFonts w:ascii="Book Antiqua" w:eastAsia="MS PMincho" w:hAnsi="Book Antiqua" w:cs="Times New Roman"/>
          <w:color w:val="000000" w:themeColor="text1"/>
        </w:rPr>
        <w:t>limited to univariate analysis</w:t>
      </w:r>
      <w:r w:rsidR="00E120C2" w:rsidRPr="00263307">
        <w:rPr>
          <w:rFonts w:ascii="Book Antiqua" w:eastAsia="MS PMincho" w:hAnsi="Book Antiqua" w:cs="Times New Roman"/>
          <w:color w:val="000000" w:themeColor="text1"/>
        </w:rPr>
        <w:fldChar w:fldCharType="begin" w:fldLock="1"/>
      </w:r>
      <w:r w:rsidR="005C2861" w:rsidRPr="00263307">
        <w:rPr>
          <w:rFonts w:ascii="Book Antiqua" w:eastAsia="MS PMincho" w:hAnsi="Book Antiqua" w:cs="Times New Roman"/>
          <w:color w:val="000000" w:themeColor="text1"/>
        </w:rPr>
        <w:instrText>ADDIN CSL_CITATION {"citationItems":[{"id":"ITEM-1","itemData":{"DOI":"10.1155/2016/6508619","ISSN":"23146141","abstract":"Background. Acute appendicitis (AA) associated with acute phase reaction is the most prevalent disease which requires emergency surgery. Its delayed diagnosis and unnecessarily performed appendectomies lead to numerous complications. In our study, we aimed to detect the role of WBC and CRP in the exclusion of acute and complicated appendicitis and diagnostic accuracy in pediatric age group. Methods. Appendectomized patient groups were constructed based on the results of histological evaluation. The area under a receiver operating characteristic (ROC) curve (AUC) was performed to examine diagnostic accuracy. Results. When WBC and CRP were used in combination, based on cut-off values of ≥13.1 × 103/</w:instrText>
      </w:r>
      <w:r w:rsidR="005C2861" w:rsidRPr="00263307">
        <w:rPr>
          <w:rFonts w:ascii="Book Antiqua" w:eastAsia="MS PMincho" w:hAnsi="Book Antiqua" w:cs="Lantinghei SC Extralight"/>
          <w:color w:val="000000" w:themeColor="text1"/>
        </w:rPr>
        <w:instrText>μ</w:instrText>
      </w:r>
      <w:r w:rsidR="005C2861" w:rsidRPr="00263307">
        <w:rPr>
          <w:rFonts w:ascii="Book Antiqua" w:eastAsia="MS PMincho" w:hAnsi="Book Antiqua" w:cs="Times New Roman"/>
          <w:color w:val="000000" w:themeColor="text1"/>
        </w:rPr>
        <w:instrText>L for WBC counts and ≥1.17 mg/dL for CRP level, diagnostic parameters were as follows: sensitivity, 98.7%; specificity, 71.3%; PPV, 50.6%; NPV, 99.5%; diagnostic accuracy, 77.6%; LR(+), 3.44; LR(-), 0.017. AUC values were 0.845 (95% CI 0.800-0.891) for WBC and 0.887 (95% CI 0.841-0.932) for CRP. Conclusions. For complicated appendicitis, CRP has the highest degree of diagnostic accuracy. The diagnosis of appendicitis should be made primarily based on clinical examination, and obviously more specific and systemic inflammatory markers are needed. Combined use of cut-off values of WBC (≥13100/</w:instrText>
      </w:r>
      <w:r w:rsidR="005C2861" w:rsidRPr="00263307">
        <w:rPr>
          <w:rFonts w:ascii="Book Antiqua" w:eastAsia="MS PMincho" w:hAnsi="Book Antiqua" w:cs="Lantinghei SC Extralight"/>
          <w:color w:val="000000" w:themeColor="text1"/>
        </w:rPr>
        <w:instrText>μ</w:instrText>
      </w:r>
      <w:r w:rsidR="005C2861" w:rsidRPr="00263307">
        <w:rPr>
          <w:rFonts w:ascii="Book Antiqua" w:eastAsia="MS PMincho" w:hAnsi="Book Antiqua" w:cs="Times New Roman"/>
          <w:color w:val="000000" w:themeColor="text1"/>
        </w:rPr>
        <w:instrText>L) and CRP (≥1.17 mg/L) yields a higher sensitivity and NPV for the diagnosis of complicated appendicitis.","author":[{"dropping-particle":"","family":"Sarsu","given":"Sevgi Buyukbese","non-dropping-particle":"","parse-names":false,"suffix":""},{"dropping-particle":"","family":"Sarac","given":"Fatma","non-dropping-particle":"","parse-names":false,"suffix":""}],"container-title":"BioMed Research International","id":"ITEM-1","issued":{"date-parts":[["2016"]]},"title":"Diagnostic Value of White Blood Cell and C-Reactive Protein in Pediatric Appendicitis","type":"article-journal","volume":"2016"},"uris":["http://www.mendeley.com/documents/?uuid=6ed86822-13a1-4ddb-9e36-55161ef860da"]},{"id":"ITEM-2","itemData":{"DOI":"10.5505/tjtes.2017.36605","ISSN":"1306696X","abstract":"BACKGROUND: This study aimed to investigate the role of inflammatory markers in decreasing negative appendectomy rate (NAR) based on their relation with findings of acute appendicitis (AA) on computed tomography (CT). METHODS: Ninety-two patients who underwent CT examination with suspected AA were included. We investigated the relation between CT findings of AA and laboratory inflammatory markers and also performed receiver operating characteristic (ROC) analysis to calculate cut-off values of inflammatory markers and CT findings of AA. Appendectomy cases were re-evaluated considering cut-off values to make the operation decision and NAR was recalculated. Chi-squared test was used to compare the actual and recalculated NAR. RESULTS: Cut-off values of appendiceal diameter, appendiceal wall thickness, and caecal wall thickness were 7.9, 2, and 2.3 mm, respectively, for the diagnosis of AA. Cut-off values of WBC, NLR, and CRP on ROC analysis were 7.47, 4.06 and 13, respectively, for the diagnosis of AA. When the actual and recalculated NAR (21.9% versus 9.1%) were compared, the difference was found to be almost significant (p=0.058). CONCLUSION: Inflammatory markers are not sufficiently powerful on their own to accurately diagnose AA. However, particularly in equivocal cases, proposed cut-off values may be helpful for accurate diagnosis and a lower NAR can be achieved.","author":[{"dropping-particle":"","family":"Ozan","given":"Ebru","non-dropping-particle":"","parse-names":false,"suffix":""},{"dropping-particle":"","family":"Ataç","given":"Gökçe Kaan","non-dropping-particle":"","parse-names":false,"suffix":""},{"dropping-particle":"","family":"Ali</w:instrText>
      </w:r>
      <w:r w:rsidR="005C2861" w:rsidRPr="00263307">
        <w:rPr>
          <w:rFonts w:ascii="Book Antiqua" w:eastAsia="MS PMincho" w:hAnsi="Book Antiqua" w:cs="Kohinoor Telugu Semibold"/>
          <w:color w:val="000000" w:themeColor="text1"/>
        </w:rPr>
        <w:instrText>ş</w:instrText>
      </w:r>
      <w:r w:rsidR="005C2861" w:rsidRPr="00263307">
        <w:rPr>
          <w:rFonts w:ascii="Book Antiqua" w:eastAsia="MS PMincho" w:hAnsi="Book Antiqua" w:cs="Times New Roman"/>
          <w:color w:val="000000" w:themeColor="text1"/>
        </w:rPr>
        <w:instrText>ar","given":"Kaan","non-dropping-particle":"","parse-names":false,"suffix":""},{"dropping-particle":"","family":"Alhan","given":"Aslıhan","non-dropping-particle":"","parse-names":false,"suffix":""}],"container-title":"Ulusal Travma ve Acil Cerrahi Dergisi","id":"ITEM-2","issue":"6","issued":{"date-parts":[["2017"]]},"page":"477-482","title":"Role of inflammatory markers in decreasing negative appendectomy rate: A study based on computed tomography findings","type":"article-journal","volume":"23"},"uris":["http://www.mendeley.com/documents/?uuid=2c68283d-3bed-4d52-a4b4-137b648dec23"]},{"id":"ITEM-3","itemData":{"DOI":"10.5505/tjtes.2018.57362","ISSN":"1306696X","abstract":"BACKGROUND: The determination of a definitive preoperative diagnosis of acute appendicitis (AA) remains a challenge; however, delays in diagnosis increase complication rates. The aim of this study was to investigate the contribution of the Alvarado score (AS) alone and the AS combined with the use of the biological indicators of C-reactive protein (CRP), procalcitonin (PCT) and neopterin (NP) in the diagnosis. METHODS: Serum was collected from 100 patients who were admitted to the general surgery clinic of Istanbul University, Cerrahpasa Medical Faculty between March 4, 2014 and July 29, 2015 with the pre-diagnosis of AA and who agreed to take part in the study. The serum samples were stored at -70°C. The patients were divided into 2 groups: AA-positive (n=60) and AA-negative (n=40). The AA positive group was divided into subgroups of complicated (n=11), uncomplicated AA (n=49) and the AS, CRP, PCT, NP levels were compared. RESULTS: The study population consisted of 45 men (45%) and 55 women (55%), with a mean age of 32.8±13.7 years (range: 18–92 years). There was no significant difference between the groups in age and gender. There were 24 patients with an AS ≤4 (3 had surgery), 35 patients with an AS of 5–7 (22 had surgery), and 41 patients with an AS of 8–10 (38 had surgery). Three of the 63 patients who underwent surgery were diagnosed with a normal appendix. The serum CRP, PCT, and NP measures were found to be inadequate to make an AA diagnosis alone, these values increased the sensitivity and specificity of the AS. The biological indicators were also significant in differentiating between the complicated and uncomplicated AA groups (p&lt;0.05). CONCLUSION: Although the AS is useful, additional testing and clinical approaches are valuable to inform the diagnostic procedure. When considered alone, serum CRP, PCT and NP values are insufficient for a diagnosis of AA. However, they increased the diagnostic value of the AS and can be helpful in distinguishing complicated AA cases.","author":[{"dropping-particle":"","family":"Dal","given":"Fatih","non-dropping-particle":"","parse-names":false,"suffix":""},{"dropping-particle":"","family":"Çiçek","given":"Yusuf","non-dropping-particle":"","parse-names":false,"suffix":""},{"dropping-particle":"","family":"Pekmezci","given":"Salih","non-dropping-particle":"","parse-names":false,"suffix":""},{"dropping-particle":"","family":"Kocazeybek","given":"Bekir","non-dropping-particle":"","parse-names":false,"suffix":""},{"dropping-particle":"","family":"Tokman","given":"Hrisi Bahar","non-dropping-particle":"","parse-names":false,"suffix":""},{"dropping-particle":"","family":"Konuko</w:instrText>
      </w:r>
      <w:r w:rsidR="005C2861" w:rsidRPr="00263307">
        <w:rPr>
          <w:rFonts w:ascii="Book Antiqua" w:eastAsia="MS PMincho" w:hAnsi="Book Antiqua" w:cs="Kohinoor Telugu Semibold"/>
          <w:color w:val="000000" w:themeColor="text1"/>
        </w:rPr>
        <w:instrText>ğ</w:instrText>
      </w:r>
      <w:r w:rsidR="005C2861" w:rsidRPr="00263307">
        <w:rPr>
          <w:rFonts w:ascii="Book Antiqua" w:eastAsia="MS PMincho" w:hAnsi="Book Antiqua" w:cs="Times New Roman"/>
          <w:color w:val="000000" w:themeColor="text1"/>
        </w:rPr>
        <w:instrText>lu","given":"Dildar","non-dropping-particle":"","parse-names":false,"suffix":""},{"dropping-particle":"","family":"</w:instrText>
      </w:r>
      <w:r w:rsidR="005C2861" w:rsidRPr="00263307">
        <w:rPr>
          <w:rFonts w:ascii="Book Antiqua" w:eastAsia="MS PMincho" w:hAnsi="Book Antiqua" w:cs="Kohinoor Telugu Semibold"/>
          <w:color w:val="000000" w:themeColor="text1"/>
        </w:rPr>
        <w:instrText>Ş</w:instrText>
      </w:r>
      <w:r w:rsidR="005C2861" w:rsidRPr="00263307">
        <w:rPr>
          <w:rFonts w:ascii="Book Antiqua" w:eastAsia="MS PMincho" w:hAnsi="Book Antiqua" w:cs="Times New Roman"/>
          <w:color w:val="000000" w:themeColor="text1"/>
        </w:rPr>
        <w:instrText>im</w:instrText>
      </w:r>
      <w:r w:rsidR="005C2861" w:rsidRPr="00263307">
        <w:rPr>
          <w:rFonts w:ascii="Book Antiqua" w:eastAsia="MS PMincho" w:hAnsi="Book Antiqua" w:cs="Kohinoor Telugu Semibold"/>
          <w:color w:val="000000" w:themeColor="text1"/>
        </w:rPr>
        <w:instrText>ş</w:instrText>
      </w:r>
      <w:r w:rsidR="005C2861" w:rsidRPr="00263307">
        <w:rPr>
          <w:rFonts w:ascii="Book Antiqua" w:eastAsia="MS PMincho" w:hAnsi="Book Antiqua" w:cs="Times New Roman"/>
          <w:color w:val="000000" w:themeColor="text1"/>
        </w:rPr>
        <w:instrText>ek","given":"Osman","non-dropping-particle":"","parse-names":false,"suffix":""},{"dropping-particle":"","family":"Taner","given":"Zeynep","non-dropping-particle":"","parse-names":false,"suffix":""},{"dropping-particle":"","family":"Sirekbasan","given":"Serhat","non-dropping-particle":"","parse-names":false,"suffix":""},{"dropping-particle":"","family":"Uluda</w:instrText>
      </w:r>
      <w:r w:rsidR="005C2861" w:rsidRPr="00263307">
        <w:rPr>
          <w:rFonts w:ascii="Book Antiqua" w:eastAsia="MS PMincho" w:hAnsi="Book Antiqua" w:cs="Kohinoor Telugu Semibold"/>
          <w:color w:val="000000" w:themeColor="text1"/>
        </w:rPr>
        <w:instrText>ğ</w:instrText>
      </w:r>
      <w:r w:rsidR="005C2861" w:rsidRPr="00263307">
        <w:rPr>
          <w:rFonts w:ascii="Book Antiqua" w:eastAsia="MS PMincho" w:hAnsi="Book Antiqua" w:cs="Times New Roman"/>
          <w:color w:val="000000" w:themeColor="text1"/>
        </w:rPr>
        <w:instrText>","given":"Server Sezgin","non-dropping-particle":"","parse-names":false,"suffix":""}],"container-title":"Ulusal Travma ve Acil Cerrahi Dergisi","id":"ITEM-3","issue":"3","issued":{"date-parts":[["2019"]]},"page":"229-237","title":"Role of alvarado score and biological indicators of c-reactive protein, procalicitonin and neopterin in diagnosis of acute appendicitis","type":"article-journal","volume":"25"},"uris":["http://www.mendeley.com/documents/?uuid=ae76cce3-5c15-40a5-b98d-9a92ac5ea2ac"]},{"id":"ITEM-4","itemData":{"DOI":"10.1186/s13017-016-0081-6","ISSN":"17497922","abstract":"Background: Diagnostic approach for complicated appendicitis is still controversial. We planned this study to analyze preoperative laboratory markers that may predict complications of appendicitis. Methods: Patients who underwent appendectomy were retrospectively recruited. They were divided into complicated appendicitis and non-complicated appendicitis groups and their preoperative laboratory results were reviewed. Results: A total of 234 patients were included. Elevated international normalized ratio (INR) and serum C-reactive protein (CRP) were associated with complicated appendicitis (p = 0.001). On ROC curve analysis, area under the curve (AUC) of CRP and INR were 0.796 and 0.723, respectively. Conclusions: INR and CRP increased significantly in patients with complicated appendicitis. Further studies evaluating INR and CRP in patients undergoing conservative management for appendicitis are required.","author":[{"dropping-particle":"","family":"Kim","given":"Maru","non-dropping-particle":"","parse-names":false,"suffix":""},{"dropping-particle":"","family":"Kim","given":"Sung Jeep","non-dropping-particle":"","parse-names":false,"suffix":""},{"dropping-particle":"","family":"Cho","given":"Hang Joo","non-dropping-particle":"","parse-names":false,"suffix":""}],"container-title":"World Journal of Emergency Surgery","id":"ITEM-4","issue":"1","issued":{"date-parts":[["2016"]]},"page":"1-5","publisher":"World Journal of Emergency Surgery","title":"International normalized ratio and serum C-reactive protein are feasible markers to predict complicated appendicitis","type":"article-journal","volume":"11"},"uris":["http://www.mendeley.com/documents/?uuid=97005a2a-f3a8-4486-9922-7f63de88c3a8"]},{"id":"ITEM-5","itemData":{"DOI":"10.5811/westjem.2014.9.21568","ISSN":"1936900X","author":[{"dropping-particle":"","family":"Shogilev","given":"Daniel","non-dropping-particle":"","parse-names":false,"suffix":""},{"dropping-particle":"","family":"Duus","given":"Nicolaj","non-dropping-particle":"","parse-names":false,"suffix":""},{"dropping-particle":"","family":"Odom","given":"Stephen","non-dropping-particle":"","parse-names":false,"suffix":""},{"dropping-particle":"","family":"Shapiro","given":"Nathan","non-dropping-particle":"","parse-names":false,"suffix":""}],"container-title":"Western Journal of Emergency Medicine","id":"ITEM-5","issue":"7","issued":{"date-parts":[["2014","11","1"]]},"page":"859-871","title":"Diagnosing Appendicitis: Evidence-Based Review of the Diagnostic Approach in 2014","type":"article-journal","volume":"15"},"uris":["http://www.mendeley.com/documents/?uuid=eb1f544a-cddb-4284-a4ad-faab1f1793bf"]}],"mendeley":{"formattedCitation":"&lt;sup&gt;[&lt;sup&gt;12&lt;/sup&gt;–&lt;sup&gt;16&lt;/sup&gt;]&lt;/sup&gt;","plainTextFormattedCitation":"[12–16]","previouslyFormattedCitation":"&lt;sup&gt;[&lt;sup&gt;12&lt;/sup&gt;–&lt;sup&gt;16&lt;/sup&gt;]&lt;/sup&gt;"},"properties":{"noteIndex":0},"schema":"https://github.com/citation-style-language/schema/raw/master/csl-citation.json"}</w:instrText>
      </w:r>
      <w:r w:rsidR="00E120C2" w:rsidRPr="00263307">
        <w:rPr>
          <w:rFonts w:ascii="Book Antiqua" w:eastAsia="MS PMincho" w:hAnsi="Book Antiqua" w:cs="Times New Roman"/>
          <w:color w:val="000000" w:themeColor="text1"/>
        </w:rPr>
        <w:fldChar w:fldCharType="separate"/>
      </w:r>
      <w:r w:rsidR="00AB2D64" w:rsidRPr="00263307">
        <w:rPr>
          <w:rFonts w:ascii="Book Antiqua" w:eastAsia="MS PMincho" w:hAnsi="Book Antiqua" w:cs="Times New Roman"/>
          <w:noProof/>
          <w:color w:val="000000" w:themeColor="text1"/>
          <w:vertAlign w:val="superscript"/>
        </w:rPr>
        <w:t>[12</w:t>
      </w:r>
      <w:r w:rsidR="00AB2D64" w:rsidRPr="00263307">
        <w:rPr>
          <w:rFonts w:ascii="Book Antiqua" w:eastAsia="宋体" w:hAnsi="Book Antiqua" w:cs="Times New Roman"/>
          <w:noProof/>
          <w:color w:val="000000" w:themeColor="text1"/>
          <w:vertAlign w:val="superscript"/>
          <w:lang w:eastAsia="zh-CN"/>
        </w:rPr>
        <w:t>-</w:t>
      </w:r>
      <w:r w:rsidR="00E120C2" w:rsidRPr="00263307">
        <w:rPr>
          <w:rFonts w:ascii="Book Antiqua" w:eastAsia="MS PMincho" w:hAnsi="Book Antiqua" w:cs="Times New Roman"/>
          <w:noProof/>
          <w:color w:val="000000" w:themeColor="text1"/>
          <w:vertAlign w:val="superscript"/>
        </w:rPr>
        <w:t>16]</w:t>
      </w:r>
      <w:r w:rsidR="00E120C2" w:rsidRPr="00263307">
        <w:rPr>
          <w:rFonts w:ascii="Book Antiqua" w:eastAsia="MS PMincho" w:hAnsi="Book Antiqua" w:cs="Times New Roman"/>
          <w:color w:val="000000" w:themeColor="text1"/>
        </w:rPr>
        <w:fldChar w:fldCharType="end"/>
      </w:r>
      <w:r w:rsidR="00DF7D2A" w:rsidRPr="00263307">
        <w:rPr>
          <w:rFonts w:ascii="Book Antiqua" w:eastAsia="MS PMincho" w:hAnsi="Book Antiqua" w:cs="Times New Roman"/>
          <w:color w:val="000000" w:themeColor="text1"/>
        </w:rPr>
        <w:t xml:space="preserve">. </w:t>
      </w:r>
      <w:r w:rsidR="0055643B" w:rsidRPr="00263307">
        <w:rPr>
          <w:rFonts w:ascii="Book Antiqua" w:eastAsia="MS PMincho" w:hAnsi="Book Antiqua" w:cs="Times New Roman"/>
          <w:color w:val="000000" w:themeColor="text1"/>
        </w:rPr>
        <w:t>Thus, the aim of the present study was to evaluate clinical predictive factors of CA including non-laboratory and laboratory data using logistic regression analys</w:t>
      </w:r>
      <w:r w:rsidR="00DF7D2A" w:rsidRPr="00263307">
        <w:rPr>
          <w:rFonts w:ascii="Book Antiqua" w:eastAsia="MS PMincho" w:hAnsi="Book Antiqua" w:cs="Times New Roman"/>
          <w:color w:val="000000" w:themeColor="text1"/>
        </w:rPr>
        <w:t>es</w:t>
      </w:r>
      <w:r w:rsidR="0055643B" w:rsidRPr="00263307">
        <w:rPr>
          <w:rFonts w:ascii="Book Antiqua" w:eastAsia="MS PMincho" w:hAnsi="Book Antiqua" w:cs="Times New Roman"/>
          <w:color w:val="000000" w:themeColor="text1"/>
        </w:rPr>
        <w:t>.</w:t>
      </w:r>
    </w:p>
    <w:p w14:paraId="18FC0218" w14:textId="77777777" w:rsidR="00783AFE" w:rsidRPr="00263307" w:rsidRDefault="00783AFE" w:rsidP="00263307">
      <w:pPr>
        <w:adjustRightInd w:val="0"/>
        <w:snapToGrid w:val="0"/>
        <w:spacing w:line="360" w:lineRule="auto"/>
        <w:jc w:val="both"/>
        <w:rPr>
          <w:rFonts w:ascii="Book Antiqua" w:hAnsi="Book Antiqua" w:cs="Times New Roman"/>
          <w:color w:val="000000" w:themeColor="text1"/>
        </w:rPr>
      </w:pPr>
    </w:p>
    <w:p w14:paraId="2734682A" w14:textId="77777777" w:rsidR="00E27125" w:rsidRPr="00263307" w:rsidRDefault="00E27125" w:rsidP="00263307">
      <w:pPr>
        <w:adjustRightInd w:val="0"/>
        <w:snapToGrid w:val="0"/>
        <w:spacing w:line="360" w:lineRule="auto"/>
        <w:jc w:val="both"/>
        <w:rPr>
          <w:rFonts w:ascii="Book Antiqua" w:hAnsi="Book Antiqua"/>
          <w:b/>
          <w:u w:val="single"/>
        </w:rPr>
      </w:pPr>
      <w:bookmarkStart w:id="3" w:name="OLE_LINK337"/>
      <w:bookmarkStart w:id="4" w:name="OLE_LINK338"/>
      <w:bookmarkStart w:id="5" w:name="OLE_LINK378"/>
      <w:bookmarkStart w:id="6" w:name="OLE_LINK388"/>
      <w:r w:rsidRPr="00263307">
        <w:rPr>
          <w:rFonts w:ascii="Book Antiqua" w:hAnsi="Book Antiqua"/>
          <w:b/>
          <w:u w:val="single"/>
        </w:rPr>
        <w:t>MATERIALS AND METHODS</w:t>
      </w:r>
    </w:p>
    <w:bookmarkEnd w:id="3"/>
    <w:bookmarkEnd w:id="4"/>
    <w:bookmarkEnd w:id="5"/>
    <w:bookmarkEnd w:id="6"/>
    <w:p w14:paraId="07150184" w14:textId="18AA60E6" w:rsidR="00580156" w:rsidRPr="00263307" w:rsidRDefault="00580156" w:rsidP="00263307">
      <w:pPr>
        <w:adjustRightInd w:val="0"/>
        <w:snapToGrid w:val="0"/>
        <w:spacing w:line="360" w:lineRule="auto"/>
        <w:jc w:val="both"/>
        <w:rPr>
          <w:rFonts w:ascii="Book Antiqua" w:hAnsi="Book Antiqua" w:cs="Times New Roman"/>
          <w:b/>
          <w:i/>
          <w:color w:val="000000" w:themeColor="text1"/>
        </w:rPr>
      </w:pPr>
      <w:r w:rsidRPr="00263307">
        <w:rPr>
          <w:rFonts w:ascii="Book Antiqua" w:hAnsi="Book Antiqua" w:cs="Times New Roman"/>
          <w:b/>
          <w:i/>
          <w:color w:val="000000" w:themeColor="text1"/>
        </w:rPr>
        <w:t xml:space="preserve">Design and </w:t>
      </w:r>
      <w:r w:rsidR="00944DF0" w:rsidRPr="00263307">
        <w:rPr>
          <w:rFonts w:ascii="Book Antiqua" w:hAnsi="Book Antiqua" w:cs="Times New Roman"/>
          <w:b/>
          <w:i/>
          <w:color w:val="000000" w:themeColor="text1"/>
        </w:rPr>
        <w:t>patients</w:t>
      </w:r>
    </w:p>
    <w:p w14:paraId="1B1006FC" w14:textId="0BC7A44C" w:rsidR="00580156" w:rsidRPr="00263307" w:rsidRDefault="00990EBB"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cs="Times New Roman"/>
          <w:color w:val="000000" w:themeColor="text1"/>
        </w:rPr>
        <w:t>In t</w:t>
      </w:r>
      <w:r w:rsidR="00944DF0" w:rsidRPr="00263307">
        <w:rPr>
          <w:rFonts w:ascii="Book Antiqua" w:hAnsi="Book Antiqua" w:cs="Times New Roman"/>
          <w:color w:val="000000" w:themeColor="text1"/>
        </w:rPr>
        <w:t>his single-center</w:t>
      </w:r>
      <w:r w:rsidR="00A23280" w:rsidRPr="00263307">
        <w:rPr>
          <w:rFonts w:ascii="Book Antiqua" w:hAnsi="Book Antiqua" w:cs="Times New Roman"/>
          <w:color w:val="000000" w:themeColor="text1"/>
        </w:rPr>
        <w:t>,</w:t>
      </w:r>
      <w:r w:rsidR="00944DF0" w:rsidRPr="00263307">
        <w:rPr>
          <w:rFonts w:ascii="Book Antiqua" w:hAnsi="Book Antiqua" w:cs="Times New Roman"/>
          <w:color w:val="000000" w:themeColor="text1"/>
        </w:rPr>
        <w:t xml:space="preserve"> retrospective </w:t>
      </w:r>
      <w:r w:rsidR="0005521F" w:rsidRPr="00263307">
        <w:rPr>
          <w:rFonts w:ascii="Book Antiqua" w:hAnsi="Book Antiqua" w:cs="Times New Roman"/>
          <w:color w:val="000000" w:themeColor="text1"/>
        </w:rPr>
        <w:t>case-</w:t>
      </w:r>
      <w:r w:rsidR="00404688" w:rsidRPr="00263307">
        <w:rPr>
          <w:rFonts w:ascii="Book Antiqua" w:hAnsi="Book Antiqua" w:cs="Times New Roman"/>
          <w:color w:val="000000" w:themeColor="text1"/>
        </w:rPr>
        <w:t>c</w:t>
      </w:r>
      <w:r w:rsidR="00994376" w:rsidRPr="00263307">
        <w:rPr>
          <w:rFonts w:ascii="Book Antiqua" w:hAnsi="Book Antiqua" w:cs="Times New Roman"/>
          <w:color w:val="000000" w:themeColor="text1"/>
        </w:rPr>
        <w:t>ontrol</w:t>
      </w:r>
      <w:r w:rsidR="00944DF0" w:rsidRPr="00263307">
        <w:rPr>
          <w:rFonts w:ascii="Book Antiqua" w:hAnsi="Book Antiqua" w:cs="Times New Roman"/>
          <w:color w:val="000000" w:themeColor="text1"/>
        </w:rPr>
        <w:t xml:space="preserve"> study</w:t>
      </w:r>
      <w:r w:rsidRPr="00263307">
        <w:rPr>
          <w:rFonts w:ascii="Book Antiqua" w:hAnsi="Book Antiqua" w:cs="Times New Roman"/>
          <w:color w:val="000000" w:themeColor="text1"/>
        </w:rPr>
        <w:t>, we</w:t>
      </w:r>
      <w:r w:rsidR="00944DF0" w:rsidRPr="00263307">
        <w:rPr>
          <w:rFonts w:ascii="Book Antiqua" w:hAnsi="Book Antiqua" w:cs="Times New Roman"/>
          <w:color w:val="000000" w:themeColor="text1"/>
        </w:rPr>
        <w:t xml:space="preserve"> evaluated medical records from </w:t>
      </w:r>
      <w:r w:rsidR="00994376" w:rsidRPr="00263307">
        <w:rPr>
          <w:rFonts w:ascii="Book Antiqua" w:hAnsi="Book Antiqua" w:cs="Times New Roman"/>
          <w:color w:val="000000" w:themeColor="text1"/>
        </w:rPr>
        <w:t xml:space="preserve">patients of </w:t>
      </w:r>
      <w:r w:rsidR="00944DF0" w:rsidRPr="00263307">
        <w:rPr>
          <w:rFonts w:ascii="Book Antiqua" w:hAnsi="Book Antiqua" w:cs="Times New Roman"/>
          <w:color w:val="000000" w:themeColor="text1"/>
        </w:rPr>
        <w:t xml:space="preserve">the Toho University Medical Center Omori Hospital, which has 948 beds and is located </w:t>
      </w:r>
      <w:r w:rsidR="00994376" w:rsidRPr="00263307">
        <w:rPr>
          <w:rFonts w:ascii="Book Antiqua" w:hAnsi="Book Antiqua" w:cs="Times New Roman"/>
          <w:color w:val="000000" w:themeColor="text1"/>
        </w:rPr>
        <w:t>in</w:t>
      </w:r>
      <w:r w:rsidR="00944DF0" w:rsidRPr="00263307">
        <w:rPr>
          <w:rFonts w:ascii="Book Antiqua" w:hAnsi="Book Antiqua" w:cs="Times New Roman"/>
          <w:color w:val="000000" w:themeColor="text1"/>
        </w:rPr>
        <w:t xml:space="preserve"> Tokyo</w:t>
      </w:r>
      <w:r w:rsidR="00994376" w:rsidRPr="00263307">
        <w:rPr>
          <w:rFonts w:ascii="Book Antiqua" w:hAnsi="Book Antiqua" w:cs="Times New Roman"/>
          <w:color w:val="000000" w:themeColor="text1"/>
        </w:rPr>
        <w:t>, Japan</w:t>
      </w:r>
      <w:r w:rsidR="00944DF0" w:rsidRPr="00263307">
        <w:rPr>
          <w:rFonts w:ascii="Book Antiqua" w:hAnsi="Book Antiqua" w:cs="Times New Roman"/>
          <w:color w:val="000000" w:themeColor="text1"/>
        </w:rPr>
        <w:t xml:space="preserve">. The center’s </w:t>
      </w:r>
      <w:r w:rsidR="009E3BA7" w:rsidRPr="00263307">
        <w:rPr>
          <w:rFonts w:ascii="Book Antiqua" w:hAnsi="Book Antiqua" w:cs="Times New Roman"/>
          <w:color w:val="000000" w:themeColor="text1"/>
        </w:rPr>
        <w:t>ethics committee</w:t>
      </w:r>
      <w:r w:rsidR="00944DF0" w:rsidRPr="00263307">
        <w:rPr>
          <w:rFonts w:ascii="Book Antiqua" w:hAnsi="Book Antiqua" w:cs="Times New Roman"/>
          <w:color w:val="000000" w:themeColor="text1"/>
        </w:rPr>
        <w:t xml:space="preserve"> approved the study’s protocol (</w:t>
      </w:r>
      <w:r w:rsidR="00F873C0" w:rsidRPr="00263307">
        <w:rPr>
          <w:rFonts w:ascii="Book Antiqua" w:hAnsi="Book Antiqua" w:cs="Times New Roman"/>
          <w:color w:val="000000" w:themeColor="text1"/>
        </w:rPr>
        <w:t>M19023</w:t>
      </w:r>
      <w:r w:rsidR="00944DF0" w:rsidRPr="00263307">
        <w:rPr>
          <w:rFonts w:ascii="Book Antiqua" w:hAnsi="Book Antiqua" w:cs="Times New Roman"/>
          <w:color w:val="000000" w:themeColor="text1"/>
        </w:rPr>
        <w:t xml:space="preserve">). </w:t>
      </w:r>
      <w:r w:rsidR="008E7615" w:rsidRPr="00263307">
        <w:rPr>
          <w:rFonts w:ascii="Book Antiqua" w:hAnsi="Book Antiqua" w:cs="Times New Roman"/>
          <w:color w:val="000000" w:themeColor="text1"/>
        </w:rPr>
        <w:t xml:space="preserve">We initially </w:t>
      </w:r>
      <w:r w:rsidR="007C071C" w:rsidRPr="00263307">
        <w:rPr>
          <w:rFonts w:ascii="Book Antiqua" w:hAnsi="Book Antiqua" w:cs="Times New Roman"/>
          <w:color w:val="000000" w:themeColor="text1"/>
        </w:rPr>
        <w:t xml:space="preserve">considered </w:t>
      </w:r>
      <w:r w:rsidR="008E7615" w:rsidRPr="00263307">
        <w:rPr>
          <w:rFonts w:ascii="Book Antiqua" w:hAnsi="Book Antiqua" w:cs="Times New Roman"/>
          <w:color w:val="000000" w:themeColor="text1"/>
        </w:rPr>
        <w:t xml:space="preserve">all patients who </w:t>
      </w:r>
      <w:r w:rsidR="00944DF0" w:rsidRPr="00263307">
        <w:rPr>
          <w:rFonts w:ascii="Book Antiqua" w:hAnsi="Book Antiqua" w:cs="Times New Roman"/>
          <w:color w:val="000000" w:themeColor="text1"/>
        </w:rPr>
        <w:t>were ≥</w:t>
      </w:r>
      <w:r w:rsidR="00903A98" w:rsidRPr="00263307">
        <w:rPr>
          <w:rFonts w:ascii="Book Antiqua" w:hAnsi="Book Antiqua" w:cs="Times New Roman"/>
          <w:color w:val="000000" w:themeColor="text1"/>
        </w:rPr>
        <w:t xml:space="preserve"> </w:t>
      </w:r>
      <w:r w:rsidR="00944DF0" w:rsidRPr="00263307">
        <w:rPr>
          <w:rFonts w:ascii="Book Antiqua" w:hAnsi="Book Antiqua" w:cs="Times New Roman"/>
          <w:color w:val="000000" w:themeColor="text1"/>
        </w:rPr>
        <w:t>16 years old and</w:t>
      </w:r>
      <w:r w:rsidR="00580156" w:rsidRPr="00263307">
        <w:rPr>
          <w:rFonts w:ascii="Book Antiqua" w:hAnsi="Book Antiqua" w:cs="Times New Roman"/>
          <w:color w:val="000000" w:themeColor="text1"/>
        </w:rPr>
        <w:t xml:space="preserve"> </w:t>
      </w:r>
      <w:r w:rsidR="00944DF0" w:rsidRPr="00263307">
        <w:rPr>
          <w:rFonts w:ascii="Book Antiqua" w:hAnsi="Book Antiqua" w:cs="Times New Roman"/>
          <w:color w:val="000000" w:themeColor="text1"/>
        </w:rPr>
        <w:t>hospitalized for AA between January 2012 and December 201</w:t>
      </w:r>
      <w:r w:rsidR="001550E7" w:rsidRPr="00263307">
        <w:rPr>
          <w:rFonts w:ascii="Book Antiqua" w:hAnsi="Book Antiqua" w:cs="Times New Roman"/>
          <w:color w:val="000000" w:themeColor="text1"/>
        </w:rPr>
        <w:t>6</w:t>
      </w:r>
      <w:r w:rsidR="000253C4" w:rsidRPr="00263307">
        <w:rPr>
          <w:rFonts w:ascii="Book Antiqua" w:hAnsi="Book Antiqua" w:cs="Times New Roman"/>
          <w:color w:val="000000" w:themeColor="text1"/>
        </w:rPr>
        <w:t xml:space="preserve"> from </w:t>
      </w:r>
      <w:r w:rsidR="007C071C" w:rsidRPr="00263307">
        <w:rPr>
          <w:rFonts w:ascii="Book Antiqua" w:hAnsi="Book Antiqua" w:cs="Times New Roman"/>
          <w:color w:val="000000" w:themeColor="text1"/>
        </w:rPr>
        <w:t xml:space="preserve">the </w:t>
      </w:r>
      <w:r w:rsidR="000253C4" w:rsidRPr="00263307">
        <w:rPr>
          <w:rFonts w:ascii="Book Antiqua" w:hAnsi="Book Antiqua" w:cs="Times New Roman"/>
          <w:color w:val="000000" w:themeColor="text1"/>
        </w:rPr>
        <w:t>discharge summary database of the hospital.</w:t>
      </w:r>
      <w:r w:rsidR="00AA4B94" w:rsidRPr="00263307">
        <w:rPr>
          <w:rFonts w:ascii="Book Antiqua" w:hAnsi="Book Antiqua" w:cs="Times New Roman"/>
          <w:color w:val="000000" w:themeColor="text1"/>
        </w:rPr>
        <w:t xml:space="preserve"> </w:t>
      </w:r>
      <w:r w:rsidR="000253C4" w:rsidRPr="00263307">
        <w:rPr>
          <w:rFonts w:ascii="Book Antiqua" w:hAnsi="Book Antiqua" w:cs="Times New Roman"/>
          <w:color w:val="000000" w:themeColor="text1"/>
        </w:rPr>
        <w:t xml:space="preserve">Subsequently, </w:t>
      </w:r>
      <w:r w:rsidR="007C071C" w:rsidRPr="00263307">
        <w:rPr>
          <w:rFonts w:ascii="Book Antiqua" w:hAnsi="Book Antiqua" w:cs="Times New Roman"/>
          <w:color w:val="000000" w:themeColor="text1"/>
        </w:rPr>
        <w:t xml:space="preserve">the </w:t>
      </w:r>
      <w:r w:rsidR="000253C4" w:rsidRPr="00263307">
        <w:rPr>
          <w:rFonts w:ascii="Book Antiqua" w:hAnsi="Book Antiqua" w:cs="Times New Roman"/>
          <w:color w:val="000000" w:themeColor="text1"/>
        </w:rPr>
        <w:t xml:space="preserve">authors (Sasaki Y, Komatsu F, and Kashima N) reviewed </w:t>
      </w:r>
      <w:r w:rsidR="007C071C" w:rsidRPr="00263307">
        <w:rPr>
          <w:rFonts w:ascii="Book Antiqua" w:hAnsi="Book Antiqua" w:cs="Times New Roman"/>
          <w:color w:val="000000" w:themeColor="text1"/>
        </w:rPr>
        <w:t xml:space="preserve">the </w:t>
      </w:r>
      <w:r w:rsidR="000253C4" w:rsidRPr="00263307">
        <w:rPr>
          <w:rFonts w:ascii="Book Antiqua" w:hAnsi="Book Antiqua" w:cs="Times New Roman"/>
          <w:color w:val="000000" w:themeColor="text1"/>
        </w:rPr>
        <w:lastRenderedPageBreak/>
        <w:t xml:space="preserve">medical records of all </w:t>
      </w:r>
      <w:r w:rsidR="007C071C" w:rsidRPr="00263307">
        <w:rPr>
          <w:rFonts w:ascii="Book Antiqua" w:hAnsi="Book Antiqua" w:cs="Times New Roman"/>
          <w:color w:val="000000" w:themeColor="text1"/>
        </w:rPr>
        <w:t xml:space="preserve">the potential </w:t>
      </w:r>
      <w:r w:rsidR="000253C4" w:rsidRPr="00263307">
        <w:rPr>
          <w:rFonts w:ascii="Book Antiqua" w:hAnsi="Book Antiqua" w:cs="Times New Roman"/>
          <w:color w:val="000000" w:themeColor="text1"/>
        </w:rPr>
        <w:t>patients and manually collected pertinent data</w:t>
      </w:r>
      <w:r w:rsidR="002972C1" w:rsidRPr="00263307">
        <w:rPr>
          <w:rFonts w:ascii="Book Antiqua" w:hAnsi="Book Antiqua" w:cs="Times New Roman"/>
          <w:color w:val="000000" w:themeColor="text1"/>
        </w:rPr>
        <w:t xml:space="preserve"> (Patients younger than 16 years old are treated by pediatricians in the hospital)</w:t>
      </w:r>
      <w:r w:rsidR="00E27125" w:rsidRPr="00263307">
        <w:rPr>
          <w:rFonts w:ascii="Book Antiqua" w:eastAsia="宋体" w:hAnsi="Book Antiqua" w:cs="Times New Roman"/>
          <w:color w:val="000000" w:themeColor="text1"/>
          <w:lang w:eastAsia="zh-CN"/>
        </w:rPr>
        <w:t>.</w:t>
      </w:r>
      <w:r w:rsidR="000253C4" w:rsidRPr="00263307">
        <w:rPr>
          <w:rFonts w:ascii="Book Antiqua" w:hAnsi="Book Antiqua" w:cs="Times New Roman"/>
          <w:color w:val="000000" w:themeColor="text1"/>
        </w:rPr>
        <w:t xml:space="preserve"> </w:t>
      </w:r>
      <w:r w:rsidR="00D56371" w:rsidRPr="00263307">
        <w:rPr>
          <w:rFonts w:ascii="Book Antiqua" w:hAnsi="Book Antiqua" w:cs="Times New Roman"/>
          <w:color w:val="000000" w:themeColor="text1"/>
        </w:rPr>
        <w:t xml:space="preserve">We </w:t>
      </w:r>
      <w:r w:rsidR="007C071C" w:rsidRPr="00263307">
        <w:rPr>
          <w:rFonts w:ascii="Book Antiqua" w:hAnsi="Book Antiqua" w:cs="Times New Roman"/>
          <w:color w:val="000000" w:themeColor="text1"/>
        </w:rPr>
        <w:t xml:space="preserve">ultimately </w:t>
      </w:r>
      <w:r w:rsidR="00D56371" w:rsidRPr="00263307">
        <w:rPr>
          <w:rFonts w:ascii="Book Antiqua" w:hAnsi="Book Antiqua" w:cs="Times New Roman"/>
          <w:color w:val="000000" w:themeColor="text1"/>
        </w:rPr>
        <w:t xml:space="preserve">included only patients who were diagnosed as AA </w:t>
      </w:r>
      <w:r w:rsidR="00AA4B94" w:rsidRPr="00263307">
        <w:rPr>
          <w:rFonts w:ascii="Book Antiqua" w:hAnsi="Book Antiqua" w:cs="Times New Roman"/>
          <w:color w:val="000000" w:themeColor="text1"/>
        </w:rPr>
        <w:t xml:space="preserve">by </w:t>
      </w:r>
      <w:r w:rsidR="00F90E6E" w:rsidRPr="00263307">
        <w:rPr>
          <w:rFonts w:ascii="Book Antiqua" w:eastAsia="宋体" w:hAnsi="Book Antiqua" w:cs="Times New Roman"/>
          <w:color w:val="000000" w:themeColor="text1"/>
          <w:lang w:eastAsia="zh-CN"/>
        </w:rPr>
        <w:t>computed tomography (</w:t>
      </w:r>
      <w:r w:rsidR="00AA4B94" w:rsidRPr="00263307">
        <w:rPr>
          <w:rFonts w:ascii="Book Antiqua" w:hAnsi="Book Antiqua" w:cs="Times New Roman"/>
          <w:color w:val="000000" w:themeColor="text1"/>
        </w:rPr>
        <w:t>CT</w:t>
      </w:r>
      <w:r w:rsidR="00F90E6E" w:rsidRPr="00263307">
        <w:rPr>
          <w:rFonts w:ascii="Book Antiqua" w:eastAsia="宋体" w:hAnsi="Book Antiqua" w:cs="Times New Roman"/>
          <w:color w:val="000000" w:themeColor="text1"/>
          <w:lang w:eastAsia="zh-CN"/>
        </w:rPr>
        <w:t>)</w:t>
      </w:r>
      <w:r w:rsidR="00AA4B94" w:rsidRPr="00263307">
        <w:rPr>
          <w:rFonts w:ascii="Book Antiqua" w:hAnsi="Book Antiqua" w:cs="Times New Roman"/>
          <w:color w:val="000000" w:themeColor="text1"/>
        </w:rPr>
        <w:t xml:space="preserve"> scan</w:t>
      </w:r>
      <w:r w:rsidR="00994376" w:rsidRPr="00263307">
        <w:rPr>
          <w:rFonts w:ascii="Book Antiqua" w:hAnsi="Book Antiqua" w:cs="Times New Roman"/>
          <w:color w:val="000000" w:themeColor="text1"/>
        </w:rPr>
        <w:t>s</w:t>
      </w:r>
      <w:r w:rsidR="00382A32" w:rsidRPr="00263307">
        <w:rPr>
          <w:rFonts w:ascii="Book Antiqua" w:hAnsi="Book Antiqua" w:cs="Times New Roman"/>
          <w:color w:val="000000" w:themeColor="text1"/>
        </w:rPr>
        <w:t xml:space="preserve"> instead of </w:t>
      </w:r>
      <w:r w:rsidR="00382A32" w:rsidRPr="00263307">
        <w:rPr>
          <w:rFonts w:ascii="Book Antiqua" w:eastAsia="Meiryo" w:hAnsi="Book Antiqua"/>
          <w:color w:val="000000" w:themeColor="text1"/>
        </w:rPr>
        <w:t>surgical or pathological findings</w:t>
      </w:r>
      <w:r w:rsidR="00382A32" w:rsidRPr="00263307">
        <w:rPr>
          <w:rFonts w:ascii="Book Antiqua" w:hAnsi="Book Antiqua" w:cs="Times New Roman"/>
          <w:color w:val="000000" w:themeColor="text1"/>
        </w:rPr>
        <w:t xml:space="preserve"> because of the low proportion of the patients treated with appendectomy according to the management policy of surge</w:t>
      </w:r>
      <w:r w:rsidR="00E12716" w:rsidRPr="00263307">
        <w:rPr>
          <w:rFonts w:ascii="Book Antiqua" w:hAnsi="Book Antiqua" w:cs="Times New Roman"/>
          <w:color w:val="000000" w:themeColor="text1"/>
        </w:rPr>
        <w:t xml:space="preserve">ons </w:t>
      </w:r>
      <w:r w:rsidR="002F311B" w:rsidRPr="00263307">
        <w:rPr>
          <w:rFonts w:ascii="Book Antiqua" w:hAnsi="Book Antiqua" w:cs="Times New Roman"/>
          <w:color w:val="000000" w:themeColor="text1"/>
        </w:rPr>
        <w:t xml:space="preserve">at </w:t>
      </w:r>
      <w:r w:rsidR="00382A32" w:rsidRPr="00263307">
        <w:rPr>
          <w:rFonts w:ascii="Book Antiqua" w:hAnsi="Book Antiqua" w:cs="Times New Roman"/>
          <w:color w:val="000000" w:themeColor="text1"/>
        </w:rPr>
        <w:t>our hospital</w:t>
      </w:r>
      <w:r w:rsidR="003442EC" w:rsidRPr="00263307">
        <w:rPr>
          <w:rFonts w:ascii="Book Antiqua" w:hAnsi="Book Antiqua" w:cs="Times New Roman"/>
          <w:color w:val="000000" w:themeColor="text1"/>
        </w:rPr>
        <w:t xml:space="preserve"> as an advanced medical center</w:t>
      </w:r>
      <w:r w:rsidR="00F90E6E" w:rsidRPr="00263307">
        <w:rPr>
          <w:rFonts w:ascii="Book Antiqua" w:eastAsia="宋体" w:hAnsi="Book Antiqua" w:cs="Times New Roman"/>
          <w:color w:val="000000" w:themeColor="text1"/>
          <w:lang w:eastAsia="zh-CN"/>
        </w:rPr>
        <w:t xml:space="preserve"> </w:t>
      </w:r>
      <w:r w:rsidR="00E12716" w:rsidRPr="00263307">
        <w:rPr>
          <w:rFonts w:ascii="Book Antiqua" w:hAnsi="Book Antiqua" w:cs="Times New Roman"/>
          <w:color w:val="000000" w:themeColor="text1"/>
        </w:rPr>
        <w:t xml:space="preserve">(We will discuss the </w:t>
      </w:r>
      <w:r w:rsidR="00E1493B" w:rsidRPr="00263307">
        <w:rPr>
          <w:rFonts w:ascii="Book Antiqua" w:hAnsi="Book Antiqua" w:cs="Times New Roman"/>
          <w:color w:val="000000" w:themeColor="text1"/>
        </w:rPr>
        <w:t xml:space="preserve">reason for </w:t>
      </w:r>
      <w:r w:rsidR="004365AA" w:rsidRPr="00263307">
        <w:rPr>
          <w:rFonts w:ascii="Book Antiqua" w:hAnsi="Book Antiqua" w:cs="Times New Roman"/>
          <w:color w:val="000000" w:themeColor="text1"/>
        </w:rPr>
        <w:t xml:space="preserve">the </w:t>
      </w:r>
      <w:r w:rsidR="00E12716" w:rsidRPr="00263307">
        <w:rPr>
          <w:rFonts w:ascii="Book Antiqua" w:hAnsi="Book Antiqua" w:cs="Times New Roman"/>
          <w:color w:val="000000" w:themeColor="text1"/>
        </w:rPr>
        <w:t xml:space="preserve">low proportion of operated patients in </w:t>
      </w:r>
      <w:r w:rsidR="004365AA" w:rsidRPr="00263307">
        <w:rPr>
          <w:rFonts w:ascii="Book Antiqua" w:hAnsi="Book Antiqua" w:cs="Times New Roman"/>
          <w:color w:val="000000" w:themeColor="text1"/>
        </w:rPr>
        <w:t>the D</w:t>
      </w:r>
      <w:r w:rsidR="00E12716" w:rsidRPr="00263307">
        <w:rPr>
          <w:rFonts w:ascii="Book Antiqua" w:hAnsi="Book Antiqua" w:cs="Times New Roman"/>
          <w:color w:val="000000" w:themeColor="text1"/>
        </w:rPr>
        <w:t>iscussion section)</w:t>
      </w:r>
      <w:r w:rsidR="00AA4B94" w:rsidRPr="00263307">
        <w:rPr>
          <w:rFonts w:ascii="Book Antiqua" w:hAnsi="Book Antiqua" w:cs="Times New Roman"/>
          <w:color w:val="000000" w:themeColor="text1"/>
        </w:rPr>
        <w:t>.</w:t>
      </w:r>
      <w:r w:rsidR="00933AD9" w:rsidRPr="00263307">
        <w:rPr>
          <w:rFonts w:ascii="Book Antiqua" w:hAnsi="Book Antiqua" w:cs="Times New Roman"/>
          <w:color w:val="000000" w:themeColor="text1"/>
        </w:rPr>
        <w:t xml:space="preserve"> </w:t>
      </w:r>
      <w:r w:rsidR="00D97307" w:rsidRPr="00263307">
        <w:rPr>
          <w:rFonts w:ascii="Book Antiqua" w:hAnsi="Book Antiqua" w:cs="Times New Roman"/>
          <w:color w:val="000000" w:themeColor="text1"/>
        </w:rPr>
        <w:t xml:space="preserve">We divided the enrolled patients </w:t>
      </w:r>
      <w:r w:rsidR="00000622" w:rsidRPr="00263307">
        <w:rPr>
          <w:rFonts w:ascii="Book Antiqua" w:hAnsi="Book Antiqua" w:cs="Times New Roman"/>
          <w:color w:val="000000" w:themeColor="text1"/>
        </w:rPr>
        <w:t xml:space="preserve">into </w:t>
      </w:r>
      <w:r w:rsidR="00D97307" w:rsidRPr="00263307">
        <w:rPr>
          <w:rFonts w:ascii="Book Antiqua" w:hAnsi="Book Antiqua" w:cs="Times New Roman"/>
          <w:color w:val="000000" w:themeColor="text1"/>
        </w:rPr>
        <w:t xml:space="preserve">SA and CA </w:t>
      </w:r>
      <w:r w:rsidR="00000622" w:rsidRPr="00263307">
        <w:rPr>
          <w:rFonts w:ascii="Book Antiqua" w:hAnsi="Book Antiqua" w:cs="Times New Roman"/>
          <w:color w:val="000000" w:themeColor="text1"/>
        </w:rPr>
        <w:t xml:space="preserve">groups </w:t>
      </w:r>
      <w:r w:rsidR="00D97307" w:rsidRPr="00263307">
        <w:rPr>
          <w:rFonts w:ascii="Book Antiqua" w:hAnsi="Book Antiqua" w:cs="Times New Roman"/>
          <w:color w:val="000000" w:themeColor="text1"/>
        </w:rPr>
        <w:t xml:space="preserve">based </w:t>
      </w:r>
      <w:r w:rsidR="0094792A" w:rsidRPr="00263307">
        <w:rPr>
          <w:rFonts w:ascii="Book Antiqua" w:hAnsi="Book Antiqua" w:cs="Times New Roman"/>
          <w:color w:val="000000" w:themeColor="text1"/>
        </w:rPr>
        <w:t xml:space="preserve">on the </w:t>
      </w:r>
      <w:r w:rsidR="00252DB0" w:rsidRPr="00263307">
        <w:rPr>
          <w:rFonts w:ascii="Book Antiqua" w:hAnsi="Book Antiqua" w:cs="Times New Roman"/>
          <w:color w:val="000000" w:themeColor="text1"/>
        </w:rPr>
        <w:t>findings</w:t>
      </w:r>
      <w:r w:rsidR="0094792A" w:rsidRPr="00263307">
        <w:rPr>
          <w:rFonts w:ascii="Book Antiqua" w:hAnsi="Book Antiqua" w:cs="Times New Roman"/>
          <w:color w:val="000000" w:themeColor="text1"/>
        </w:rPr>
        <w:t xml:space="preserve"> of </w:t>
      </w:r>
      <w:r w:rsidR="00994376" w:rsidRPr="00263307">
        <w:rPr>
          <w:rFonts w:ascii="Book Antiqua" w:hAnsi="Book Antiqua" w:cs="Times New Roman"/>
          <w:color w:val="000000" w:themeColor="text1"/>
        </w:rPr>
        <w:t xml:space="preserve">the </w:t>
      </w:r>
      <w:r w:rsidR="0094792A" w:rsidRPr="00263307">
        <w:rPr>
          <w:rFonts w:ascii="Book Antiqua" w:hAnsi="Book Antiqua" w:cs="Times New Roman"/>
          <w:color w:val="000000" w:themeColor="text1"/>
        </w:rPr>
        <w:t>CT scan</w:t>
      </w:r>
      <w:r w:rsidR="001E232A" w:rsidRPr="00263307">
        <w:rPr>
          <w:rFonts w:ascii="Book Antiqua" w:hAnsi="Book Antiqua" w:cs="Times New Roman"/>
          <w:color w:val="000000" w:themeColor="text1"/>
        </w:rPr>
        <w:t xml:space="preserve"> and ultrasound</w:t>
      </w:r>
      <w:r w:rsidR="00F57835" w:rsidRPr="00263307">
        <w:rPr>
          <w:rFonts w:ascii="Book Antiqua" w:hAnsi="Book Antiqua" w:cs="Times New Roman"/>
          <w:color w:val="000000" w:themeColor="text1"/>
        </w:rPr>
        <w:t xml:space="preserve"> as follow</w:t>
      </w:r>
      <w:r w:rsidR="00000622" w:rsidRPr="00263307">
        <w:rPr>
          <w:rFonts w:ascii="Book Antiqua" w:hAnsi="Book Antiqua" w:cs="Times New Roman"/>
          <w:color w:val="000000" w:themeColor="text1"/>
        </w:rPr>
        <w:t>s</w:t>
      </w:r>
      <w:r w:rsidR="00F57835" w:rsidRPr="00263307">
        <w:rPr>
          <w:rFonts w:ascii="Book Antiqua" w:hAnsi="Book Antiqua" w:cs="Times New Roman"/>
          <w:color w:val="000000" w:themeColor="text1"/>
        </w:rPr>
        <w:t xml:space="preserve">: </w:t>
      </w:r>
      <w:r w:rsidR="00D97307" w:rsidRPr="00263307">
        <w:rPr>
          <w:rFonts w:ascii="Book Antiqua" w:hAnsi="Book Antiqua" w:cs="Times New Roman"/>
          <w:color w:val="000000" w:themeColor="text1"/>
        </w:rPr>
        <w:t>Patients</w:t>
      </w:r>
      <w:r w:rsidR="0094792A" w:rsidRPr="00263307">
        <w:rPr>
          <w:rFonts w:ascii="Book Antiqua" w:hAnsi="Book Antiqua" w:cs="Times New Roman"/>
          <w:color w:val="000000" w:themeColor="text1"/>
        </w:rPr>
        <w:t xml:space="preserve"> </w:t>
      </w:r>
      <w:r w:rsidR="00D97307" w:rsidRPr="00263307">
        <w:rPr>
          <w:rFonts w:ascii="Book Antiqua" w:hAnsi="Book Antiqua" w:cs="Times New Roman"/>
          <w:color w:val="000000" w:themeColor="text1"/>
        </w:rPr>
        <w:t xml:space="preserve">were diagnosed with SA if they were clinically diagnosed </w:t>
      </w:r>
      <w:r w:rsidR="00000622" w:rsidRPr="00263307">
        <w:rPr>
          <w:rFonts w:ascii="Book Antiqua" w:hAnsi="Book Antiqua" w:cs="Times New Roman"/>
          <w:color w:val="000000" w:themeColor="text1"/>
        </w:rPr>
        <w:t xml:space="preserve">with </w:t>
      </w:r>
      <w:r w:rsidR="00D97307" w:rsidRPr="00263307">
        <w:rPr>
          <w:rFonts w:ascii="Book Antiqua" w:hAnsi="Book Antiqua" w:cs="Times New Roman"/>
          <w:color w:val="000000" w:themeColor="text1"/>
        </w:rPr>
        <w:t xml:space="preserve">AA and had </w:t>
      </w:r>
      <w:r w:rsidR="00F57835" w:rsidRPr="00263307">
        <w:rPr>
          <w:rFonts w:ascii="Book Antiqua" w:hAnsi="Book Antiqua" w:cs="Times New Roman"/>
          <w:color w:val="000000" w:themeColor="text1"/>
        </w:rPr>
        <w:t>radiological/</w:t>
      </w:r>
      <w:proofErr w:type="spellStart"/>
      <w:r w:rsidR="00F57835" w:rsidRPr="00263307">
        <w:rPr>
          <w:rFonts w:ascii="Book Antiqua" w:hAnsi="Book Antiqua" w:cs="Times New Roman"/>
          <w:color w:val="000000" w:themeColor="text1"/>
        </w:rPr>
        <w:t>sonographical</w:t>
      </w:r>
      <w:proofErr w:type="spellEnd"/>
      <w:r w:rsidR="00F57835" w:rsidRPr="00263307">
        <w:rPr>
          <w:rFonts w:ascii="Book Antiqua" w:hAnsi="Book Antiqua" w:cs="Times New Roman"/>
          <w:color w:val="000000" w:themeColor="text1"/>
        </w:rPr>
        <w:t xml:space="preserve"> </w:t>
      </w:r>
      <w:r w:rsidR="00D97307" w:rsidRPr="00263307">
        <w:rPr>
          <w:rFonts w:ascii="Book Antiqua" w:hAnsi="Book Antiqua" w:cs="Times New Roman"/>
          <w:color w:val="000000" w:themeColor="text1"/>
        </w:rPr>
        <w:t xml:space="preserve">findings compatible with appendicitis catarrhalis or appendicitis </w:t>
      </w:r>
      <w:proofErr w:type="spellStart"/>
      <w:r w:rsidR="00D97307" w:rsidRPr="00263307">
        <w:rPr>
          <w:rFonts w:ascii="Book Antiqua" w:hAnsi="Book Antiqua" w:cs="Times New Roman"/>
          <w:color w:val="000000" w:themeColor="text1"/>
        </w:rPr>
        <w:t>phlegmonosa</w:t>
      </w:r>
      <w:proofErr w:type="spellEnd"/>
      <w:r w:rsidR="00D97307" w:rsidRPr="00263307">
        <w:rPr>
          <w:rFonts w:ascii="Book Antiqua" w:hAnsi="Book Antiqua" w:cs="Times New Roman"/>
          <w:color w:val="000000" w:themeColor="text1"/>
        </w:rPr>
        <w:t xml:space="preserve"> </w:t>
      </w:r>
      <w:r w:rsidR="00F57835" w:rsidRPr="00263307">
        <w:rPr>
          <w:rFonts w:ascii="Book Antiqua" w:hAnsi="Book Antiqua" w:cs="Times New Roman"/>
          <w:color w:val="000000" w:themeColor="text1"/>
        </w:rPr>
        <w:t xml:space="preserve">such as swelling of appendicitis and inflammatory findings of adjacent adipose tissue without any </w:t>
      </w:r>
      <w:r w:rsidR="00000622" w:rsidRPr="00263307">
        <w:rPr>
          <w:rFonts w:ascii="Book Antiqua" w:hAnsi="Book Antiqua" w:cs="Times New Roman"/>
          <w:color w:val="000000" w:themeColor="text1"/>
        </w:rPr>
        <w:t xml:space="preserve">of the </w:t>
      </w:r>
      <w:r w:rsidR="00F57835" w:rsidRPr="00263307">
        <w:rPr>
          <w:rFonts w:ascii="Book Antiqua" w:hAnsi="Book Antiqua" w:cs="Times New Roman"/>
          <w:color w:val="000000" w:themeColor="text1"/>
        </w:rPr>
        <w:t>following findings of CA</w:t>
      </w:r>
      <w:r w:rsidR="00D97307" w:rsidRPr="00263307">
        <w:rPr>
          <w:rFonts w:ascii="Book Antiqua" w:hAnsi="Book Antiqua" w:cs="Times New Roman"/>
          <w:color w:val="000000" w:themeColor="text1"/>
        </w:rPr>
        <w:t>;</w:t>
      </w:r>
      <w:r w:rsidR="00F57835" w:rsidRPr="00263307">
        <w:rPr>
          <w:rFonts w:ascii="Book Antiqua" w:hAnsi="Book Antiqua" w:cs="Times New Roman"/>
          <w:color w:val="000000" w:themeColor="text1"/>
        </w:rPr>
        <w:t xml:space="preserve"> </w:t>
      </w:r>
      <w:r w:rsidR="0094792A" w:rsidRPr="00263307">
        <w:rPr>
          <w:rFonts w:ascii="Book Antiqua" w:hAnsi="Book Antiqua" w:cs="Times New Roman"/>
          <w:color w:val="000000" w:themeColor="text1"/>
        </w:rPr>
        <w:t>patients w</w:t>
      </w:r>
      <w:r w:rsidR="00994376" w:rsidRPr="00263307">
        <w:rPr>
          <w:rFonts w:ascii="Book Antiqua" w:hAnsi="Book Antiqua" w:cs="Times New Roman"/>
          <w:color w:val="000000" w:themeColor="text1"/>
        </w:rPr>
        <w:t>ere</w:t>
      </w:r>
      <w:r w:rsidR="0094792A" w:rsidRPr="00263307">
        <w:rPr>
          <w:rFonts w:ascii="Book Antiqua" w:hAnsi="Book Antiqua" w:cs="Times New Roman"/>
          <w:color w:val="000000" w:themeColor="text1"/>
        </w:rPr>
        <w:t xml:space="preserve"> diagnosed with </w:t>
      </w:r>
      <w:r w:rsidR="008006A8" w:rsidRPr="00263307">
        <w:rPr>
          <w:rFonts w:ascii="Book Antiqua" w:hAnsi="Book Antiqua" w:cs="Times New Roman"/>
          <w:color w:val="000000" w:themeColor="text1"/>
        </w:rPr>
        <w:t>CA</w:t>
      </w:r>
      <w:r w:rsidR="0094792A" w:rsidRPr="00263307">
        <w:rPr>
          <w:rFonts w:ascii="Book Antiqua" w:hAnsi="Book Antiqua" w:cs="Times New Roman"/>
          <w:color w:val="000000" w:themeColor="text1"/>
        </w:rPr>
        <w:t xml:space="preserve"> if </w:t>
      </w:r>
      <w:r w:rsidR="00252DB0" w:rsidRPr="00263307">
        <w:rPr>
          <w:rFonts w:ascii="Book Antiqua" w:hAnsi="Book Antiqua" w:cs="Times New Roman"/>
          <w:color w:val="000000" w:themeColor="text1"/>
        </w:rPr>
        <w:t xml:space="preserve">they had gangrenous appendicitis, perforated appendicitis, or </w:t>
      </w:r>
      <w:r w:rsidR="00BE2EC0" w:rsidRPr="00263307">
        <w:rPr>
          <w:rFonts w:ascii="Book Antiqua" w:hAnsi="Book Antiqua" w:cs="Times New Roman"/>
          <w:color w:val="000000" w:themeColor="text1"/>
        </w:rPr>
        <w:t xml:space="preserve">appendicitis </w:t>
      </w:r>
      <w:r w:rsidR="00252DB0" w:rsidRPr="00263307">
        <w:rPr>
          <w:rFonts w:ascii="Book Antiqua" w:hAnsi="Book Antiqua" w:cs="Times New Roman"/>
          <w:color w:val="000000" w:themeColor="text1"/>
        </w:rPr>
        <w:t xml:space="preserve">complicated with </w:t>
      </w:r>
      <w:r w:rsidR="00994376" w:rsidRPr="00263307">
        <w:rPr>
          <w:rFonts w:ascii="Book Antiqua" w:hAnsi="Book Antiqua" w:cs="Times New Roman"/>
          <w:color w:val="000000" w:themeColor="text1"/>
        </w:rPr>
        <w:t xml:space="preserve">an </w:t>
      </w:r>
      <w:r w:rsidR="00252DB0" w:rsidRPr="00263307">
        <w:rPr>
          <w:rFonts w:ascii="Book Antiqua" w:hAnsi="Book Antiqua" w:cs="Times New Roman"/>
          <w:color w:val="000000" w:themeColor="text1"/>
        </w:rPr>
        <w:t xml:space="preserve">intra-abdominal abscess. </w:t>
      </w:r>
      <w:r w:rsidR="001E3AD1" w:rsidRPr="00263307">
        <w:rPr>
          <w:rFonts w:ascii="Book Antiqua" w:hAnsi="Book Antiqua" w:cs="Times New Roman"/>
          <w:color w:val="000000" w:themeColor="text1"/>
        </w:rPr>
        <w:t xml:space="preserve">All CT findings were reviewed by several </w:t>
      </w:r>
      <w:r w:rsidR="00A34F9B" w:rsidRPr="00263307">
        <w:rPr>
          <w:rFonts w:ascii="Book Antiqua" w:hAnsi="Book Antiqua" w:cs="Times New Roman"/>
          <w:color w:val="000000" w:themeColor="text1"/>
        </w:rPr>
        <w:t xml:space="preserve">different </w:t>
      </w:r>
      <w:r w:rsidR="001E3AD1" w:rsidRPr="00263307">
        <w:rPr>
          <w:rFonts w:ascii="Book Antiqua" w:hAnsi="Book Antiqua" w:cs="Times New Roman"/>
          <w:color w:val="000000" w:themeColor="text1"/>
        </w:rPr>
        <w:t xml:space="preserve">radiologists and surgeons. </w:t>
      </w:r>
      <w:r w:rsidR="005D3097" w:rsidRPr="00263307">
        <w:rPr>
          <w:rFonts w:ascii="Book Antiqua" w:hAnsi="Book Antiqua" w:cs="Times New Roman"/>
          <w:color w:val="000000" w:themeColor="text1"/>
        </w:rPr>
        <w:t>Gastroenterologists and surgeons reviewed all sonographic findings</w:t>
      </w:r>
      <w:r w:rsidR="001E232A" w:rsidRPr="00263307">
        <w:rPr>
          <w:rFonts w:ascii="Book Antiqua" w:hAnsi="Book Antiqua" w:cs="Times New Roman"/>
          <w:color w:val="000000" w:themeColor="text1"/>
        </w:rPr>
        <w:t>.</w:t>
      </w:r>
      <w:r w:rsidR="005D3097" w:rsidRPr="00263307">
        <w:rPr>
          <w:rFonts w:ascii="Book Antiqua" w:hAnsi="Book Antiqua" w:cs="Times New Roman"/>
          <w:color w:val="000000" w:themeColor="text1"/>
        </w:rPr>
        <w:t xml:space="preserve"> </w:t>
      </w:r>
      <w:r w:rsidR="00E07882" w:rsidRPr="00263307">
        <w:rPr>
          <w:rFonts w:ascii="Book Antiqua" w:hAnsi="Book Antiqua" w:cs="Times New Roman"/>
          <w:color w:val="000000" w:themeColor="text1"/>
        </w:rPr>
        <w:t xml:space="preserve">These reviewing processes were </w:t>
      </w:r>
      <w:r w:rsidR="00EA0BDD" w:rsidRPr="00263307">
        <w:rPr>
          <w:rFonts w:ascii="Book Antiqua" w:hAnsi="Book Antiqua" w:cs="Times New Roman"/>
          <w:color w:val="000000" w:themeColor="text1"/>
        </w:rPr>
        <w:t xml:space="preserve">timely or retrospectively </w:t>
      </w:r>
      <w:r w:rsidR="00E07882" w:rsidRPr="00263307">
        <w:rPr>
          <w:rFonts w:ascii="Book Antiqua" w:hAnsi="Book Antiqua" w:cs="Times New Roman"/>
          <w:color w:val="000000" w:themeColor="text1"/>
        </w:rPr>
        <w:t>performed within 48 h</w:t>
      </w:r>
      <w:r w:rsidR="001837EE">
        <w:rPr>
          <w:rFonts w:ascii="Book Antiqua" w:hAnsi="Book Antiqua" w:cs="Times New Roman"/>
          <w:color w:val="000000" w:themeColor="text1"/>
        </w:rPr>
        <w:t xml:space="preserve"> </w:t>
      </w:r>
      <w:r w:rsidR="00104F10" w:rsidRPr="00263307">
        <w:rPr>
          <w:rFonts w:ascii="Book Antiqua" w:hAnsi="Book Antiqua" w:cs="Times New Roman"/>
          <w:color w:val="000000" w:themeColor="text1"/>
        </w:rPr>
        <w:t xml:space="preserve">after the imaging studies. </w:t>
      </w:r>
    </w:p>
    <w:p w14:paraId="7C22E852" w14:textId="77777777" w:rsidR="00925E2C" w:rsidRPr="00263307" w:rsidRDefault="00925E2C" w:rsidP="00263307">
      <w:pPr>
        <w:adjustRightInd w:val="0"/>
        <w:snapToGrid w:val="0"/>
        <w:spacing w:line="360" w:lineRule="auto"/>
        <w:jc w:val="both"/>
        <w:rPr>
          <w:rFonts w:ascii="Book Antiqua" w:eastAsia="宋体" w:hAnsi="Book Antiqua" w:cs="Times New Roman"/>
          <w:strike/>
          <w:color w:val="000000" w:themeColor="text1"/>
          <w:lang w:eastAsia="zh-CN"/>
        </w:rPr>
      </w:pPr>
    </w:p>
    <w:p w14:paraId="27031E73" w14:textId="3F741A4E" w:rsidR="00043B1E" w:rsidRPr="00263307" w:rsidRDefault="00FE2A37" w:rsidP="00263307">
      <w:pPr>
        <w:autoSpaceDE w:val="0"/>
        <w:autoSpaceDN w:val="0"/>
        <w:adjustRightInd w:val="0"/>
        <w:snapToGrid w:val="0"/>
        <w:spacing w:line="360" w:lineRule="auto"/>
        <w:jc w:val="both"/>
        <w:rPr>
          <w:rFonts w:ascii="Book Antiqua" w:hAnsi="Book Antiqua" w:cs="Times New Roman"/>
          <w:b/>
          <w:i/>
          <w:color w:val="000000" w:themeColor="text1"/>
        </w:rPr>
      </w:pPr>
      <w:r w:rsidRPr="00263307">
        <w:rPr>
          <w:rFonts w:ascii="Book Antiqua" w:hAnsi="Book Antiqua" w:cs="Times New Roman"/>
          <w:b/>
          <w:i/>
          <w:color w:val="000000" w:themeColor="text1"/>
        </w:rPr>
        <w:t>Study variables</w:t>
      </w:r>
    </w:p>
    <w:p w14:paraId="3F2A7526" w14:textId="3E7AECE7" w:rsidR="00616469" w:rsidRPr="00263307" w:rsidRDefault="00A210F8"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The patients’ records were searched to collect data</w:t>
      </w:r>
      <w:r w:rsidR="005004F9" w:rsidRPr="00263307">
        <w:rPr>
          <w:rFonts w:ascii="Book Antiqua" w:hAnsi="Book Antiqua" w:cs="Times New Roman"/>
          <w:color w:val="000000" w:themeColor="text1"/>
        </w:rPr>
        <w:t xml:space="preserve"> from their first visit</w:t>
      </w:r>
      <w:r w:rsidR="00994376" w:rsidRPr="00263307">
        <w:rPr>
          <w:rFonts w:ascii="Book Antiqua" w:hAnsi="Book Antiqua" w:cs="Times New Roman"/>
          <w:color w:val="000000" w:themeColor="text1"/>
        </w:rPr>
        <w:t xml:space="preserve">, such as </w:t>
      </w:r>
      <w:r w:rsidR="009240AA" w:rsidRPr="00263307">
        <w:rPr>
          <w:rFonts w:ascii="Book Antiqua" w:hAnsi="Book Antiqua" w:cs="Times New Roman"/>
          <w:color w:val="000000" w:themeColor="text1"/>
        </w:rPr>
        <w:t>age</w:t>
      </w:r>
      <w:r w:rsidRPr="00263307">
        <w:rPr>
          <w:rFonts w:ascii="Book Antiqua" w:hAnsi="Book Antiqua" w:cs="Times New Roman"/>
          <w:color w:val="000000" w:themeColor="text1"/>
        </w:rPr>
        <w:t xml:space="preserve">, </w:t>
      </w:r>
      <w:r w:rsidR="00994376" w:rsidRPr="00263307">
        <w:rPr>
          <w:rFonts w:ascii="Book Antiqua" w:hAnsi="Book Antiqua" w:cs="Times New Roman"/>
          <w:color w:val="000000" w:themeColor="text1"/>
        </w:rPr>
        <w:t>sex</w:t>
      </w:r>
      <w:r w:rsidRPr="00263307">
        <w:rPr>
          <w:rFonts w:ascii="Book Antiqua" w:hAnsi="Book Antiqua" w:cs="Times New Roman"/>
          <w:color w:val="000000" w:themeColor="text1"/>
        </w:rPr>
        <w:t xml:space="preserve">, </w:t>
      </w:r>
      <w:r w:rsidR="00994376" w:rsidRPr="00263307">
        <w:rPr>
          <w:rFonts w:ascii="Book Antiqua" w:hAnsi="Book Antiqua" w:cs="Times New Roman"/>
          <w:color w:val="000000" w:themeColor="text1"/>
        </w:rPr>
        <w:t xml:space="preserve">time </w:t>
      </w:r>
      <w:r w:rsidRPr="00263307">
        <w:rPr>
          <w:rFonts w:ascii="Book Antiqua" w:hAnsi="Book Antiqua" w:cs="Times New Roman"/>
          <w:color w:val="000000" w:themeColor="text1"/>
        </w:rPr>
        <w:t>interval</w:t>
      </w:r>
      <w:r w:rsidR="009C5F07" w:rsidRPr="00263307">
        <w:rPr>
          <w:rFonts w:ascii="Book Antiqua" w:hAnsi="Book Antiqua" w:cs="Times New Roman"/>
          <w:color w:val="000000" w:themeColor="text1"/>
        </w:rPr>
        <w:t xml:space="preserve"> from </w:t>
      </w:r>
      <w:r w:rsidR="00994376" w:rsidRPr="00263307">
        <w:rPr>
          <w:rFonts w:ascii="Book Antiqua" w:hAnsi="Book Antiqua" w:cs="Times New Roman"/>
          <w:color w:val="000000" w:themeColor="text1"/>
        </w:rPr>
        <w:t xml:space="preserve">the </w:t>
      </w:r>
      <w:r w:rsidR="009C5F07" w:rsidRPr="00263307">
        <w:rPr>
          <w:rFonts w:ascii="Book Antiqua" w:hAnsi="Book Antiqua" w:cs="Times New Roman"/>
          <w:color w:val="000000" w:themeColor="text1"/>
        </w:rPr>
        <w:t xml:space="preserve">onset of symptoms </w:t>
      </w:r>
      <w:r w:rsidR="00994376" w:rsidRPr="00263307">
        <w:rPr>
          <w:rFonts w:ascii="Book Antiqua" w:hAnsi="Book Antiqua" w:cs="Times New Roman"/>
          <w:color w:val="000000" w:themeColor="text1"/>
        </w:rPr>
        <w:t>until the time of</w:t>
      </w:r>
      <w:r w:rsidR="009C5F07" w:rsidRPr="00263307">
        <w:rPr>
          <w:rFonts w:ascii="Book Antiqua" w:hAnsi="Book Antiqua" w:cs="Times New Roman"/>
          <w:color w:val="000000" w:themeColor="text1"/>
        </w:rPr>
        <w:t xml:space="preserve"> </w:t>
      </w:r>
      <w:r w:rsidRPr="00263307">
        <w:rPr>
          <w:rFonts w:ascii="Book Antiqua" w:hAnsi="Book Antiqua" w:cs="Times New Roman"/>
          <w:color w:val="000000" w:themeColor="text1"/>
        </w:rPr>
        <w:t xml:space="preserve">the </w:t>
      </w:r>
      <w:r w:rsidR="009C5F07" w:rsidRPr="00263307">
        <w:rPr>
          <w:rFonts w:ascii="Book Antiqua" w:hAnsi="Book Antiqua" w:cs="Times New Roman"/>
          <w:color w:val="000000" w:themeColor="text1"/>
        </w:rPr>
        <w:t>visit</w:t>
      </w:r>
      <w:r w:rsidR="004D1731" w:rsidRPr="00263307">
        <w:rPr>
          <w:rFonts w:ascii="Book Antiqua" w:hAnsi="Book Antiqua" w:cs="Times New Roman"/>
          <w:color w:val="000000" w:themeColor="text1"/>
        </w:rPr>
        <w:t xml:space="preserve"> (onset-to-visit interval)</w:t>
      </w:r>
      <w:r w:rsidR="009C5F07" w:rsidRPr="00263307">
        <w:rPr>
          <w:rFonts w:ascii="Book Antiqua" w:hAnsi="Book Antiqua" w:cs="Times New Roman"/>
          <w:color w:val="000000" w:themeColor="text1"/>
        </w:rPr>
        <w:t>, epigastric</w:t>
      </w:r>
      <w:r w:rsidR="00A9370B" w:rsidRPr="00263307">
        <w:rPr>
          <w:rFonts w:ascii="Book Antiqua" w:hAnsi="Book Antiqua" w:cs="Times New Roman"/>
          <w:color w:val="000000" w:themeColor="text1"/>
        </w:rPr>
        <w:t>/periumbilical</w:t>
      </w:r>
      <w:r w:rsidR="009C5F07" w:rsidRPr="00263307">
        <w:rPr>
          <w:rFonts w:ascii="Book Antiqua" w:hAnsi="Book Antiqua" w:cs="Times New Roman"/>
          <w:color w:val="000000" w:themeColor="text1"/>
        </w:rPr>
        <w:t xml:space="preserve"> pain, </w:t>
      </w:r>
      <w:r w:rsidR="00925E2C" w:rsidRPr="00263307">
        <w:rPr>
          <w:rFonts w:ascii="Book Antiqua" w:hAnsi="Book Antiqua" w:cs="Times New Roman"/>
          <w:color w:val="000000" w:themeColor="text1"/>
        </w:rPr>
        <w:t>right lower quadrant</w:t>
      </w:r>
      <w:r w:rsidR="00925E2C" w:rsidRPr="00263307">
        <w:rPr>
          <w:rFonts w:ascii="Book Antiqua" w:eastAsia="宋体" w:hAnsi="Book Antiqua" w:cs="Times New Roman"/>
          <w:color w:val="000000" w:themeColor="text1"/>
          <w:lang w:eastAsia="zh-CN"/>
        </w:rPr>
        <w:t xml:space="preserve"> </w:t>
      </w:r>
      <w:r w:rsidR="009C5F07" w:rsidRPr="00263307">
        <w:rPr>
          <w:rFonts w:ascii="Book Antiqua" w:hAnsi="Book Antiqua" w:cs="Times New Roman"/>
          <w:color w:val="000000" w:themeColor="text1"/>
        </w:rPr>
        <w:t>pain, nausea/vomiting, diarrhea,</w:t>
      </w:r>
      <w:r w:rsidR="00E417AB" w:rsidRPr="00263307">
        <w:rPr>
          <w:rFonts w:ascii="Book Antiqua" w:hAnsi="Book Antiqua" w:cs="Times New Roman"/>
          <w:color w:val="000000" w:themeColor="text1"/>
        </w:rPr>
        <w:t xml:space="preserve"> anorexia</w:t>
      </w:r>
      <w:r w:rsidRPr="00263307">
        <w:rPr>
          <w:rFonts w:ascii="Book Antiqua" w:hAnsi="Book Antiqua" w:cs="Times New Roman"/>
          <w:color w:val="000000" w:themeColor="text1"/>
        </w:rPr>
        <w:t>, p</w:t>
      </w:r>
      <w:r w:rsidR="00E64D09" w:rsidRPr="00263307">
        <w:rPr>
          <w:rFonts w:ascii="Book Antiqua" w:hAnsi="Book Antiqua" w:cs="Times New Roman"/>
          <w:color w:val="000000" w:themeColor="text1"/>
        </w:rPr>
        <w:t>ast</w:t>
      </w:r>
      <w:r w:rsidR="009C5F07" w:rsidRPr="00263307">
        <w:rPr>
          <w:rFonts w:ascii="Book Antiqua" w:hAnsi="Book Antiqua" w:cs="Times New Roman"/>
          <w:color w:val="000000" w:themeColor="text1"/>
        </w:rPr>
        <w:t xml:space="preserve"> medical history</w:t>
      </w:r>
      <w:r w:rsidRPr="00263307">
        <w:rPr>
          <w:rFonts w:ascii="Book Antiqua" w:hAnsi="Book Antiqua" w:cs="Times New Roman"/>
          <w:color w:val="000000" w:themeColor="text1"/>
        </w:rPr>
        <w:t xml:space="preserve"> </w:t>
      </w:r>
      <w:r w:rsidR="00C31E7D" w:rsidRPr="00263307">
        <w:rPr>
          <w:rFonts w:ascii="Book Antiqua" w:hAnsi="Book Antiqua" w:cs="Times New Roman"/>
          <w:color w:val="000000" w:themeColor="text1"/>
        </w:rPr>
        <w:t>(</w:t>
      </w:r>
      <w:r w:rsidR="0069507E" w:rsidRPr="00263307">
        <w:rPr>
          <w:rFonts w:ascii="Book Antiqua" w:hAnsi="Book Antiqua" w:cs="Times New Roman"/>
          <w:color w:val="000000" w:themeColor="text1"/>
        </w:rPr>
        <w:t xml:space="preserve">of previous </w:t>
      </w:r>
      <w:r w:rsidR="00667D77" w:rsidRPr="00263307">
        <w:rPr>
          <w:rFonts w:ascii="Book Antiqua" w:hAnsi="Book Antiqua" w:cs="Times New Roman"/>
          <w:color w:val="000000" w:themeColor="text1"/>
        </w:rPr>
        <w:t>AA</w:t>
      </w:r>
      <w:r w:rsidR="00FE3AB7" w:rsidRPr="00263307">
        <w:rPr>
          <w:rFonts w:ascii="Book Antiqua" w:hAnsi="Book Antiqua" w:cs="Times New Roman"/>
          <w:color w:val="000000" w:themeColor="text1"/>
        </w:rPr>
        <w:t xml:space="preserve"> treated without appendectomy</w:t>
      </w:r>
      <w:r w:rsidR="009C5F07" w:rsidRPr="00263307">
        <w:rPr>
          <w:rFonts w:ascii="Book Antiqua" w:hAnsi="Book Antiqua" w:cs="Times New Roman"/>
          <w:color w:val="000000" w:themeColor="text1"/>
        </w:rPr>
        <w:t>, diabetes, hypertension, hyperlipidemia, liver cirrhosis, hemodialysis, chronic lung diseases, malignant tumor</w:t>
      </w:r>
      <w:r w:rsidR="005004F9" w:rsidRPr="00263307">
        <w:rPr>
          <w:rFonts w:ascii="Book Antiqua" w:hAnsi="Book Antiqua" w:cs="Times New Roman"/>
          <w:color w:val="000000" w:themeColor="text1"/>
        </w:rPr>
        <w:t>s</w:t>
      </w:r>
      <w:r w:rsidR="009C5F07" w:rsidRPr="00263307">
        <w:rPr>
          <w:rFonts w:ascii="Book Antiqua" w:hAnsi="Book Antiqua" w:cs="Times New Roman"/>
          <w:color w:val="000000" w:themeColor="text1"/>
        </w:rPr>
        <w:t xml:space="preserve">, </w:t>
      </w:r>
      <w:r w:rsidR="00E417AB" w:rsidRPr="00263307">
        <w:rPr>
          <w:rFonts w:ascii="Book Antiqua" w:hAnsi="Book Antiqua" w:cs="Times New Roman"/>
          <w:color w:val="000000" w:themeColor="text1"/>
        </w:rPr>
        <w:t>immunosuppressant</w:t>
      </w:r>
      <w:r w:rsidR="009C5F07" w:rsidRPr="00263307">
        <w:rPr>
          <w:rFonts w:ascii="Book Antiqua" w:hAnsi="Book Antiqua" w:cs="Times New Roman"/>
          <w:color w:val="000000" w:themeColor="text1"/>
        </w:rPr>
        <w:t xml:space="preserve"> use, </w:t>
      </w:r>
      <w:r w:rsidRPr="00263307">
        <w:rPr>
          <w:rFonts w:ascii="Book Antiqua" w:hAnsi="Book Antiqua" w:cs="Times New Roman"/>
          <w:color w:val="000000" w:themeColor="text1"/>
        </w:rPr>
        <w:t>and antiplatelet use</w:t>
      </w:r>
      <w:r w:rsidR="00C31E7D" w:rsidRPr="00263307">
        <w:rPr>
          <w:rFonts w:ascii="Book Antiqua" w:hAnsi="Book Antiqua" w:cs="Times New Roman"/>
          <w:color w:val="000000" w:themeColor="text1"/>
        </w:rPr>
        <w:t>)</w:t>
      </w:r>
      <w:r w:rsidRPr="00263307">
        <w:rPr>
          <w:rFonts w:ascii="Book Antiqua" w:hAnsi="Book Antiqua" w:cs="Times New Roman"/>
          <w:color w:val="000000" w:themeColor="text1"/>
        </w:rPr>
        <w:t xml:space="preserve">, </w:t>
      </w:r>
      <w:r w:rsidR="00E417AB" w:rsidRPr="00263307">
        <w:rPr>
          <w:rFonts w:ascii="Book Antiqua" w:hAnsi="Book Antiqua" w:cs="Times New Roman"/>
          <w:color w:val="000000" w:themeColor="text1"/>
        </w:rPr>
        <w:t xml:space="preserve">body temperature, blood pressure, heart rate, </w:t>
      </w:r>
      <w:r w:rsidR="00925E2C" w:rsidRPr="00263307">
        <w:rPr>
          <w:rFonts w:ascii="Book Antiqua" w:hAnsi="Book Antiqua" w:cs="Times New Roman"/>
          <w:color w:val="000000" w:themeColor="text1"/>
        </w:rPr>
        <w:t xml:space="preserve">right lower quadrant </w:t>
      </w:r>
      <w:r w:rsidR="00E417AB" w:rsidRPr="00263307">
        <w:rPr>
          <w:rFonts w:ascii="Book Antiqua" w:hAnsi="Book Antiqua" w:cs="Times New Roman"/>
          <w:color w:val="000000" w:themeColor="text1"/>
        </w:rPr>
        <w:t>tenderness, peritoneal signs</w:t>
      </w:r>
      <w:r w:rsidR="00FE2A37" w:rsidRPr="00263307">
        <w:rPr>
          <w:rFonts w:ascii="Book Antiqua" w:hAnsi="Book Antiqua" w:cs="Times New Roman"/>
          <w:color w:val="000000" w:themeColor="text1"/>
        </w:rPr>
        <w:t xml:space="preserve">, </w:t>
      </w:r>
      <w:r w:rsidR="00F056C2" w:rsidRPr="00263307">
        <w:rPr>
          <w:rFonts w:ascii="Book Antiqua" w:hAnsi="Book Antiqua" w:cs="Times New Roman"/>
          <w:color w:val="000000" w:themeColor="text1"/>
        </w:rPr>
        <w:lastRenderedPageBreak/>
        <w:t>leukocyt</w:t>
      </w:r>
      <w:r w:rsidR="00E417AB" w:rsidRPr="00263307">
        <w:rPr>
          <w:rFonts w:ascii="Book Antiqua" w:hAnsi="Book Antiqua" w:cs="Times New Roman"/>
          <w:color w:val="000000" w:themeColor="text1"/>
        </w:rPr>
        <w:t xml:space="preserve">e count, </w:t>
      </w:r>
      <w:r w:rsidR="00347727" w:rsidRPr="00263307">
        <w:rPr>
          <w:rFonts w:ascii="Book Antiqua" w:hAnsi="Book Antiqua" w:cs="Times New Roman"/>
          <w:color w:val="000000" w:themeColor="text1"/>
        </w:rPr>
        <w:t>glomerular filtration rate (GFR)</w:t>
      </w:r>
      <w:r w:rsidR="00E417AB" w:rsidRPr="00263307">
        <w:rPr>
          <w:rFonts w:ascii="Book Antiqua" w:hAnsi="Book Antiqua" w:cs="Times New Roman"/>
          <w:color w:val="000000" w:themeColor="text1"/>
        </w:rPr>
        <w:t xml:space="preserve">, serum </w:t>
      </w:r>
      <w:r w:rsidR="00347727" w:rsidRPr="00263307">
        <w:rPr>
          <w:rFonts w:ascii="Book Antiqua" w:hAnsi="Book Antiqua" w:cs="Times New Roman"/>
          <w:color w:val="000000" w:themeColor="text1"/>
        </w:rPr>
        <w:t>CRP level</w:t>
      </w:r>
      <w:r w:rsidR="00E417AB" w:rsidRPr="00263307">
        <w:rPr>
          <w:rFonts w:ascii="Book Antiqua" w:hAnsi="Book Antiqua" w:cs="Times New Roman"/>
          <w:color w:val="000000" w:themeColor="text1"/>
        </w:rPr>
        <w:t xml:space="preserve">, </w:t>
      </w:r>
      <w:r w:rsidR="005004F9" w:rsidRPr="00263307">
        <w:rPr>
          <w:rFonts w:ascii="Book Antiqua" w:hAnsi="Book Antiqua" w:cs="Times New Roman"/>
          <w:color w:val="000000" w:themeColor="text1"/>
        </w:rPr>
        <w:t xml:space="preserve">and </w:t>
      </w:r>
      <w:r w:rsidR="00E417AB" w:rsidRPr="00263307">
        <w:rPr>
          <w:rFonts w:ascii="Book Antiqua" w:hAnsi="Book Antiqua" w:cs="Times New Roman"/>
          <w:color w:val="000000" w:themeColor="text1"/>
        </w:rPr>
        <w:t>serum alanine aminotransferase</w:t>
      </w:r>
      <w:r w:rsidR="00DF56FC" w:rsidRPr="00263307">
        <w:rPr>
          <w:rFonts w:ascii="Book Antiqua" w:hAnsi="Book Antiqua" w:cs="Times New Roman"/>
          <w:color w:val="000000" w:themeColor="text1"/>
        </w:rPr>
        <w:t xml:space="preserve"> </w:t>
      </w:r>
      <w:r w:rsidR="00347727" w:rsidRPr="00263307">
        <w:rPr>
          <w:rFonts w:ascii="Book Antiqua" w:hAnsi="Book Antiqua" w:cs="Times New Roman"/>
          <w:color w:val="000000" w:themeColor="text1"/>
        </w:rPr>
        <w:t>level</w:t>
      </w:r>
      <w:r w:rsidR="00E417AB" w:rsidRPr="00263307">
        <w:rPr>
          <w:rFonts w:ascii="Book Antiqua" w:hAnsi="Book Antiqua" w:cs="Times New Roman"/>
          <w:color w:val="000000" w:themeColor="text1"/>
        </w:rPr>
        <w:t xml:space="preserve">, </w:t>
      </w:r>
      <w:r w:rsidR="001E049E" w:rsidRPr="00263307">
        <w:rPr>
          <w:rFonts w:ascii="Book Antiqua" w:hAnsi="Book Antiqua" w:cs="Times New Roman"/>
          <w:color w:val="000000" w:themeColor="text1"/>
        </w:rPr>
        <w:t xml:space="preserve">along with </w:t>
      </w:r>
      <w:r w:rsidR="00FE2A37" w:rsidRPr="00263307">
        <w:rPr>
          <w:rFonts w:ascii="Book Antiqua" w:hAnsi="Book Antiqua" w:cs="Times New Roman"/>
          <w:color w:val="000000" w:themeColor="text1"/>
        </w:rPr>
        <w:t>f</w:t>
      </w:r>
      <w:r w:rsidR="00E417AB" w:rsidRPr="00263307">
        <w:rPr>
          <w:rFonts w:ascii="Book Antiqua" w:hAnsi="Book Antiqua" w:cs="Times New Roman"/>
          <w:color w:val="000000" w:themeColor="text1"/>
        </w:rPr>
        <w:t>indings of CT sca</w:t>
      </w:r>
      <w:r w:rsidR="00C46432" w:rsidRPr="00263307">
        <w:rPr>
          <w:rFonts w:ascii="Book Antiqua" w:hAnsi="Book Antiqua" w:cs="Times New Roman"/>
          <w:color w:val="000000" w:themeColor="text1"/>
        </w:rPr>
        <w:t xml:space="preserve">n and </w:t>
      </w:r>
      <w:r w:rsidR="009A2C09" w:rsidRPr="00263307">
        <w:rPr>
          <w:rFonts w:ascii="Book Antiqua" w:hAnsi="Book Antiqua" w:cs="Times New Roman"/>
          <w:color w:val="000000" w:themeColor="text1"/>
        </w:rPr>
        <w:t>ultrasound</w:t>
      </w:r>
      <w:r w:rsidR="00C46432" w:rsidRPr="00263307">
        <w:rPr>
          <w:rFonts w:ascii="Book Antiqua" w:hAnsi="Book Antiqua" w:cs="Times New Roman"/>
          <w:color w:val="000000" w:themeColor="text1"/>
        </w:rPr>
        <w:t xml:space="preserve"> </w:t>
      </w:r>
      <w:r w:rsidR="005004F9" w:rsidRPr="00263307">
        <w:rPr>
          <w:rFonts w:ascii="Book Antiqua" w:hAnsi="Book Antiqua" w:cs="Times New Roman"/>
          <w:color w:val="000000" w:themeColor="text1"/>
        </w:rPr>
        <w:t>at</w:t>
      </w:r>
      <w:r w:rsidR="00C46432" w:rsidRPr="00263307">
        <w:rPr>
          <w:rFonts w:ascii="Book Antiqua" w:hAnsi="Book Antiqua" w:cs="Times New Roman"/>
          <w:color w:val="000000" w:themeColor="text1"/>
        </w:rPr>
        <w:t xml:space="preserve"> admission.</w:t>
      </w:r>
      <w:r w:rsidR="007B7268" w:rsidRPr="00263307">
        <w:rPr>
          <w:rFonts w:ascii="Book Antiqua" w:hAnsi="Book Antiqua" w:cs="Times New Roman"/>
          <w:color w:val="000000" w:themeColor="text1"/>
        </w:rPr>
        <w:t xml:space="preserve"> </w:t>
      </w:r>
      <w:r w:rsidR="007B7268" w:rsidRPr="00263307">
        <w:rPr>
          <w:rFonts w:ascii="Book Antiqua" w:eastAsia="MS Mincho" w:hAnsi="Book Antiqua" w:cs="Times New Roman"/>
          <w:color w:val="000000" w:themeColor="text1"/>
          <w:shd w:val="clear" w:color="auto" w:fill="FFFFFF"/>
        </w:rPr>
        <w:t>We regarded clinical symptoms including pain, nausea/vomiting, diarrhea</w:t>
      </w:r>
      <w:r w:rsidR="007C071C" w:rsidRPr="00263307">
        <w:rPr>
          <w:rFonts w:ascii="Book Antiqua" w:eastAsia="MS Mincho" w:hAnsi="Book Antiqua" w:cs="Times New Roman"/>
          <w:color w:val="000000" w:themeColor="text1"/>
          <w:shd w:val="clear" w:color="auto" w:fill="FFFFFF"/>
        </w:rPr>
        <w:t>,</w:t>
      </w:r>
      <w:r w:rsidR="007B7268" w:rsidRPr="00263307">
        <w:rPr>
          <w:rFonts w:ascii="Book Antiqua" w:eastAsia="MS Mincho" w:hAnsi="Book Antiqua" w:cs="Times New Roman"/>
          <w:color w:val="000000" w:themeColor="text1"/>
          <w:shd w:val="clear" w:color="auto" w:fill="FFFFFF"/>
        </w:rPr>
        <w:t xml:space="preserve"> and anorexia as positive if the patients complained </w:t>
      </w:r>
      <w:r w:rsidR="007C071C" w:rsidRPr="00263307">
        <w:rPr>
          <w:rFonts w:ascii="Book Antiqua" w:eastAsia="MS Mincho" w:hAnsi="Book Antiqua" w:cs="Times New Roman"/>
          <w:color w:val="000000" w:themeColor="text1"/>
          <w:shd w:val="clear" w:color="auto" w:fill="FFFFFF"/>
        </w:rPr>
        <w:t xml:space="preserve">of these symptoms </w:t>
      </w:r>
      <w:r w:rsidR="007B7268" w:rsidRPr="00263307">
        <w:rPr>
          <w:rFonts w:ascii="Book Antiqua" w:eastAsia="MS Mincho" w:hAnsi="Book Antiqua" w:cs="Times New Roman"/>
          <w:color w:val="000000" w:themeColor="text1"/>
          <w:shd w:val="clear" w:color="auto" w:fill="FFFFFF"/>
        </w:rPr>
        <w:t>at initial history taking.</w:t>
      </w:r>
    </w:p>
    <w:p w14:paraId="64E41D00" w14:textId="77777777" w:rsidR="003C6E7A" w:rsidRPr="00263307" w:rsidRDefault="003C6E7A" w:rsidP="00263307">
      <w:pPr>
        <w:adjustRightInd w:val="0"/>
        <w:snapToGrid w:val="0"/>
        <w:spacing w:line="360" w:lineRule="auto"/>
        <w:jc w:val="both"/>
        <w:rPr>
          <w:rFonts w:ascii="Book Antiqua" w:hAnsi="Book Antiqua" w:cs="Times New Roman"/>
          <w:color w:val="000000" w:themeColor="text1"/>
        </w:rPr>
      </w:pPr>
    </w:p>
    <w:p w14:paraId="6FB73EAA" w14:textId="05B2CE12" w:rsidR="000D4746" w:rsidRPr="00263307" w:rsidRDefault="00616469" w:rsidP="00263307">
      <w:pPr>
        <w:adjustRightInd w:val="0"/>
        <w:snapToGrid w:val="0"/>
        <w:spacing w:line="360" w:lineRule="auto"/>
        <w:jc w:val="both"/>
        <w:rPr>
          <w:rFonts w:ascii="Book Antiqua" w:hAnsi="Book Antiqua" w:cs="Times New Roman"/>
          <w:b/>
          <w:i/>
          <w:color w:val="000000" w:themeColor="text1"/>
        </w:rPr>
      </w:pPr>
      <w:r w:rsidRPr="00263307">
        <w:rPr>
          <w:rFonts w:ascii="Book Antiqua" w:hAnsi="Book Antiqua" w:cs="Times New Roman"/>
          <w:b/>
          <w:i/>
          <w:color w:val="000000" w:themeColor="text1"/>
        </w:rPr>
        <w:t xml:space="preserve">Categorization of </w:t>
      </w:r>
      <w:r w:rsidR="002C64DF" w:rsidRPr="00263307">
        <w:rPr>
          <w:rFonts w:ascii="Book Antiqua" w:hAnsi="Book Antiqua" w:cs="Times New Roman"/>
          <w:b/>
          <w:i/>
          <w:color w:val="000000" w:themeColor="text1"/>
        </w:rPr>
        <w:t xml:space="preserve">continuous </w:t>
      </w:r>
      <w:r w:rsidRPr="00263307">
        <w:rPr>
          <w:rFonts w:ascii="Book Antiqua" w:hAnsi="Book Antiqua" w:cs="Times New Roman"/>
          <w:b/>
          <w:i/>
          <w:color w:val="000000" w:themeColor="text1"/>
        </w:rPr>
        <w:t>variables</w:t>
      </w:r>
    </w:p>
    <w:p w14:paraId="0D56F69A" w14:textId="1B9E9435" w:rsidR="00AE0B4D" w:rsidRPr="00263307" w:rsidRDefault="00616469"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 xml:space="preserve">All continuous variables except for </w:t>
      </w:r>
      <w:r w:rsidR="004D1731" w:rsidRPr="00263307">
        <w:rPr>
          <w:rFonts w:ascii="Book Antiqua" w:hAnsi="Book Antiqua" w:cs="Times New Roman"/>
          <w:color w:val="000000" w:themeColor="text1"/>
        </w:rPr>
        <w:t xml:space="preserve">onset-to-visit </w:t>
      </w:r>
      <w:r w:rsidRPr="00263307">
        <w:rPr>
          <w:rFonts w:ascii="Book Antiqua" w:hAnsi="Book Antiqua" w:cs="Times New Roman"/>
          <w:color w:val="000000" w:themeColor="text1"/>
        </w:rPr>
        <w:t xml:space="preserve">interval were categorized for statistical analyses as follows: </w:t>
      </w:r>
      <w:r w:rsidR="00AE0B4D" w:rsidRPr="00263307">
        <w:rPr>
          <w:rFonts w:ascii="Book Antiqua" w:hAnsi="Book Antiqua" w:cs="Times New Roman"/>
          <w:color w:val="000000" w:themeColor="text1"/>
        </w:rPr>
        <w:t xml:space="preserve">We defined patient as old if his/her age was </w:t>
      </w:r>
      <w:bookmarkStart w:id="7" w:name="_Hlk3363560"/>
      <w:r w:rsidR="00AE0B4D" w:rsidRPr="00263307">
        <w:rPr>
          <w:rFonts w:ascii="Book Antiqua" w:hAnsi="Book Antiqua" w:cs="Times New Roman"/>
          <w:color w:val="000000" w:themeColor="text1"/>
        </w:rPr>
        <w:t>≥</w:t>
      </w:r>
      <w:r w:rsidR="00174DC7" w:rsidRPr="00263307">
        <w:rPr>
          <w:rFonts w:ascii="Book Antiqua" w:hAnsi="Book Antiqua" w:cs="Times New Roman"/>
          <w:color w:val="000000" w:themeColor="text1"/>
        </w:rPr>
        <w:t xml:space="preserve"> </w:t>
      </w:r>
      <w:r w:rsidR="00AE0B4D" w:rsidRPr="00263307">
        <w:rPr>
          <w:rFonts w:ascii="Book Antiqua" w:hAnsi="Book Antiqua" w:cs="Times New Roman"/>
          <w:color w:val="000000" w:themeColor="text1"/>
        </w:rPr>
        <w:t>65 years</w:t>
      </w:r>
      <w:bookmarkEnd w:id="7"/>
      <w:r w:rsidR="00AE0B4D" w:rsidRPr="00263307">
        <w:rPr>
          <w:rFonts w:ascii="Book Antiqua" w:hAnsi="Book Antiqua" w:cs="Times New Roman"/>
          <w:color w:val="000000" w:themeColor="text1"/>
        </w:rPr>
        <w:t xml:space="preserve"> according to previous researches</w:t>
      </w:r>
      <w:r w:rsidR="00E120C2" w:rsidRPr="00263307">
        <w:rPr>
          <w:rFonts w:ascii="Book Antiqua" w:hAnsi="Book Antiqua" w:cs="Times New Roman"/>
          <w:color w:val="000000" w:themeColor="text1"/>
        </w:rPr>
        <w:fldChar w:fldCharType="begin" w:fldLock="1"/>
      </w:r>
      <w:r w:rsidR="00E120C2" w:rsidRPr="00263307">
        <w:rPr>
          <w:rFonts w:ascii="Book Antiqua" w:hAnsi="Book Antiqua" w:cs="Times New Roman"/>
          <w:color w:val="000000" w:themeColor="text1"/>
        </w:rPr>
        <w:instrText>ADDIN CSL_CITATION {"citationItems":[{"id":"ITEM-1","itemData":{"DOI":"10.1111/j.1447-0594.2006.00341.x","ISSN":"1444-1586","abstract":"Conventionally, \" elderly \" has been defined as a chronological age of 65 years old or older, while those from 65 through 74 years old are referred to as \" early elderly \" and those over 75 years old as \" late elderly. \" However, the evidence on which this definition is based is unknown. We have attempted to review the definition of elderly by analyzing data from long-term longitudinal epidemiological studies, and clinical and pathological studies that have been accumulated at the Tokyo Metropolitan Geriatric Hospital and the Tokyo Met-ropolitan Institute of Gerontology. Our recommendation might be a starting point in developing a strategy for a successful society by reviewing the definition of elderly based on comprehensive evidence in all aspects of social, cultural and medical sciences.","author":[{"dropping-particle":"","family":"Orimo","given":"Hajime","non-dropping-particle":"","parse-names":false,"suffix":""},{"dropping-particle":"","family":"Ito","given":"Hideki","non-dropping-particle":"","parse-names":false,"suffix":""},{"dropping-particle":"","family":"Suzuki","given":"Takao","non-dropping-particle":"","parse-names":false,"suffix":""},{"dropping-particle":"","family":"Araki","given":"Atsushi","non-dropping-particle":"","parse-names":false,"suffix":""},{"dropping-particle":"","family":"Hosoi","given":"Takayuki","non-dropping-particle":"","parse-names":false,"suffix":""},{"dropping-particle":"","family":"Sawabe","given":"Motoji","non-dropping-particle":"","parse-names":false,"suffix":""}],"container-title":"Geriatrics and Gerontology International","id":"ITEM-1","issue":"3","issued":{"date-parts":[["2006"]]},"page":"149-158","title":"Reviewing the definition of \"elderly\"","type":"article-journal","volume":"6"},"uris":["http://www.mendeley.com/documents/?uuid=ca290c4a-4099-4c5e-9444-a6c9092dcab1"]}],"mendeley":{"formattedCitation":"&lt;sup&gt;[&lt;sup&gt;17&lt;/sup&gt;]&lt;/sup&gt;","plainTextFormattedCitation":"[17]","previouslyFormattedCitation":"&lt;sup&gt;[&lt;sup&gt;17&lt;/sup&gt;]&lt;/sup&gt;"},"properties":{"noteIndex":0},"schema":"https://github.com/citation-style-language/schema/raw/master/csl-citation.json"}</w:instrText>
      </w:r>
      <w:r w:rsidR="00E120C2" w:rsidRPr="00263307">
        <w:rPr>
          <w:rFonts w:ascii="Book Antiqua" w:hAnsi="Book Antiqua" w:cs="Times New Roman"/>
          <w:color w:val="000000" w:themeColor="text1"/>
        </w:rPr>
        <w:fldChar w:fldCharType="separate"/>
      </w:r>
      <w:r w:rsidR="00E120C2" w:rsidRPr="00263307">
        <w:rPr>
          <w:rFonts w:ascii="Book Antiqua" w:hAnsi="Book Antiqua" w:cs="Times New Roman"/>
          <w:noProof/>
          <w:color w:val="000000" w:themeColor="text1"/>
          <w:vertAlign w:val="superscript"/>
        </w:rPr>
        <w:t>[17]</w:t>
      </w:r>
      <w:r w:rsidR="00E120C2" w:rsidRPr="00263307">
        <w:rPr>
          <w:rFonts w:ascii="Book Antiqua" w:hAnsi="Book Antiqua" w:cs="Times New Roman"/>
          <w:color w:val="000000" w:themeColor="text1"/>
        </w:rPr>
        <w:fldChar w:fldCharType="end"/>
      </w:r>
      <w:r w:rsidR="00AE0B4D" w:rsidRPr="00263307">
        <w:rPr>
          <w:rFonts w:ascii="Book Antiqua" w:hAnsi="Book Antiqua" w:cs="Times New Roman"/>
          <w:color w:val="000000" w:themeColor="text1"/>
        </w:rPr>
        <w:t xml:space="preserve">. </w:t>
      </w:r>
      <w:r w:rsidR="00DF56FC" w:rsidRPr="00263307">
        <w:rPr>
          <w:rFonts w:ascii="Book Antiqua" w:hAnsi="Book Antiqua" w:cs="Times New Roman"/>
          <w:color w:val="000000" w:themeColor="text1"/>
        </w:rPr>
        <w:t>Fever was defined as a</w:t>
      </w:r>
      <w:r w:rsidR="00081CEF" w:rsidRPr="00263307">
        <w:rPr>
          <w:rFonts w:ascii="Book Antiqua" w:hAnsi="Book Antiqua" w:cs="Times New Roman"/>
          <w:color w:val="000000" w:themeColor="text1"/>
        </w:rPr>
        <w:t>n axillary measured</w:t>
      </w:r>
      <w:r w:rsidR="00DF56FC" w:rsidRPr="00263307">
        <w:rPr>
          <w:rFonts w:ascii="Book Antiqua" w:hAnsi="Book Antiqua" w:cs="Times New Roman"/>
          <w:color w:val="000000" w:themeColor="text1"/>
        </w:rPr>
        <w:t xml:space="preserve"> body temperature of ≥</w:t>
      </w:r>
      <w:r w:rsidR="00903A98" w:rsidRPr="00263307">
        <w:rPr>
          <w:rFonts w:ascii="Book Antiqua" w:hAnsi="Book Antiqua" w:cs="Times New Roman"/>
          <w:color w:val="000000" w:themeColor="text1"/>
        </w:rPr>
        <w:t xml:space="preserve"> </w:t>
      </w:r>
      <w:r w:rsidR="00DF56FC" w:rsidRPr="00263307">
        <w:rPr>
          <w:rFonts w:ascii="Book Antiqua" w:hAnsi="Book Antiqua" w:cs="Times New Roman"/>
          <w:color w:val="000000" w:themeColor="text1"/>
        </w:rPr>
        <w:t>38.0°C</w:t>
      </w:r>
      <w:r w:rsidR="00081CEF" w:rsidRPr="00263307">
        <w:rPr>
          <w:rFonts w:ascii="Book Antiqua" w:hAnsi="Book Antiqua" w:cs="Times New Roman"/>
          <w:color w:val="000000" w:themeColor="text1"/>
        </w:rPr>
        <w:t xml:space="preserve"> based on </w:t>
      </w:r>
      <w:r w:rsidR="001E049E" w:rsidRPr="00263307">
        <w:rPr>
          <w:rFonts w:ascii="Book Antiqua" w:hAnsi="Book Antiqua" w:cs="Times New Roman"/>
          <w:color w:val="000000" w:themeColor="text1"/>
        </w:rPr>
        <w:t xml:space="preserve">a </w:t>
      </w:r>
      <w:r w:rsidR="00081CEF" w:rsidRPr="00263307">
        <w:rPr>
          <w:rFonts w:ascii="Book Antiqua" w:hAnsi="Book Antiqua" w:cs="Times New Roman"/>
          <w:color w:val="000000" w:themeColor="text1"/>
        </w:rPr>
        <w:t xml:space="preserve">previous study on </w:t>
      </w:r>
      <w:r w:rsidR="001E049E" w:rsidRPr="00263307">
        <w:rPr>
          <w:rFonts w:ascii="Book Antiqua" w:hAnsi="Book Antiqua" w:cs="Times New Roman"/>
          <w:color w:val="000000" w:themeColor="text1"/>
        </w:rPr>
        <w:t xml:space="preserve">the </w:t>
      </w:r>
      <w:r w:rsidR="00081CEF" w:rsidRPr="00263307">
        <w:rPr>
          <w:rFonts w:ascii="Book Antiqua" w:hAnsi="Book Antiqua" w:cs="Times New Roman"/>
          <w:color w:val="000000" w:themeColor="text1"/>
        </w:rPr>
        <w:t>diagnosis of acute appendicitis</w:t>
      </w:r>
      <w:r w:rsidR="00E120C2" w:rsidRPr="00263307">
        <w:rPr>
          <w:rFonts w:ascii="Book Antiqua" w:hAnsi="Book Antiqua" w:cs="Times New Roman"/>
          <w:color w:val="000000" w:themeColor="text1"/>
        </w:rPr>
        <w:fldChar w:fldCharType="begin" w:fldLock="1"/>
      </w:r>
      <w:r w:rsidR="00E120C2" w:rsidRPr="00263307">
        <w:rPr>
          <w:rFonts w:ascii="Book Antiqua" w:hAnsi="Book Antiqua" w:cs="Times New Roman"/>
          <w:color w:val="000000" w:themeColor="text1"/>
        </w:rPr>
        <w:instrText>ADDIN CSL_CITATION {"citationItems":[{"id":"ITEM-1","itemData":{"ISSN":"0929-6646","PMID":"7920071","abstract":"Cecal diverticulitis is a rare disease entity, the diagnosis of which remains a difficult problem. The clinical picture of cecal diverticulitis is almost indistinguishable from acute appendicitis. We reviewed 11 cases of pathologically documented cecal diverticulitis who underwent treatment from May 1981 to April 1992. They were diagnosed incorrectly as acute appendicitis, ruptured appendicitis or appendiceal abscess prior to operative intervention. Thirty patients diagnosed correctly with acute appendicitis from March 1992 to April 1992 were included for a comparative study. We found that cecal diverticulitis presented with a longer duration of symptoms, initial pain over the right lower quadrant of the abdomen, older age, less migration of pain, nausea, vomiting, fever and leukocytosis, and an incidence of Alvarado's score &gt; or = 7 than acute appendicitis.","author":[{"dropping-particle":"","family":"Chen","given":"S C","non-dropping-particle":"","parse-names":false,"suffix":""},{"dropping-particle":"","family":"Chang","given":"K J","non-dropping-particle":"","parse-names":false,"suffix":""},{"dropping-particle":"","family":"Wei","given":"T C","non-dropping-particle":"","parse-names":false,"suffix":""},{"dropping-particle":"","family":"Yu","given":"S C","non-dropping-particle":"","parse-names":false,"suffix":""},{"dropping-particle":"","family":"Wang","given":"S M","non-dropping-particle":"","parse-names":false,"suffix":""}],"container-title":"Journal of the Formosan Medical Association","id":"ITEM-1","issue":"3","issued":{"date-parts":[["1994","3"]]},"page":"263-5","title":"Can cecal diverticulitis be differentiated from acute appendicitis?","type":"article-journal","volume":"93"},"uris":["http://www.mendeley.com/documents/?uuid=2e0bf078-865f-3c61-bb36-c377834f4f9e"]}],"mendeley":{"formattedCitation":"&lt;sup&gt;[&lt;sup&gt;18&lt;/sup&gt;]&lt;/sup&gt;","plainTextFormattedCitation":"[18]","previouslyFormattedCitation":"&lt;sup&gt;[&lt;sup&gt;18&lt;/sup&gt;]&lt;/sup&gt;"},"properties":{"noteIndex":0},"schema":"https://github.com/citation-style-language/schema/raw/master/csl-citation.json"}</w:instrText>
      </w:r>
      <w:r w:rsidR="00E120C2" w:rsidRPr="00263307">
        <w:rPr>
          <w:rFonts w:ascii="Book Antiqua" w:hAnsi="Book Antiqua" w:cs="Times New Roman"/>
          <w:color w:val="000000" w:themeColor="text1"/>
        </w:rPr>
        <w:fldChar w:fldCharType="separate"/>
      </w:r>
      <w:r w:rsidR="00E120C2" w:rsidRPr="00263307">
        <w:rPr>
          <w:rFonts w:ascii="Book Antiqua" w:hAnsi="Book Antiqua" w:cs="Times New Roman"/>
          <w:noProof/>
          <w:color w:val="000000" w:themeColor="text1"/>
          <w:vertAlign w:val="superscript"/>
        </w:rPr>
        <w:t>[18]</w:t>
      </w:r>
      <w:r w:rsidR="00E120C2" w:rsidRPr="00263307">
        <w:rPr>
          <w:rFonts w:ascii="Book Antiqua" w:hAnsi="Book Antiqua" w:cs="Times New Roman"/>
          <w:color w:val="000000" w:themeColor="text1"/>
        </w:rPr>
        <w:fldChar w:fldCharType="end"/>
      </w:r>
      <w:r w:rsidR="00DF56FC" w:rsidRPr="00263307">
        <w:rPr>
          <w:rFonts w:ascii="Book Antiqua" w:hAnsi="Book Antiqua" w:cs="Times New Roman"/>
          <w:color w:val="000000" w:themeColor="text1"/>
        </w:rPr>
        <w:t xml:space="preserve">. Shock was defined as systolic blood pressure </w:t>
      </w:r>
      <w:r w:rsidR="009D76C6" w:rsidRPr="00263307">
        <w:rPr>
          <w:rFonts w:ascii="Book Antiqua" w:hAnsi="Book Antiqua" w:cs="Times New Roman"/>
          <w:color w:val="000000" w:themeColor="text1"/>
        </w:rPr>
        <w:t>&lt;</w:t>
      </w:r>
      <w:r w:rsidR="00903A98" w:rsidRPr="00263307">
        <w:rPr>
          <w:rFonts w:ascii="Book Antiqua" w:hAnsi="Book Antiqua" w:cs="Times New Roman"/>
          <w:color w:val="000000" w:themeColor="text1"/>
        </w:rPr>
        <w:t xml:space="preserve"> </w:t>
      </w:r>
      <w:r w:rsidR="009D76C6" w:rsidRPr="00263307">
        <w:rPr>
          <w:rFonts w:ascii="Book Antiqua" w:hAnsi="Book Antiqua" w:cs="Times New Roman"/>
          <w:color w:val="000000" w:themeColor="text1"/>
        </w:rPr>
        <w:t>1</w:t>
      </w:r>
      <w:r w:rsidR="009D614B" w:rsidRPr="00263307">
        <w:rPr>
          <w:rFonts w:ascii="Book Antiqua" w:hAnsi="Book Antiqua" w:cs="Times New Roman"/>
          <w:color w:val="000000" w:themeColor="text1"/>
        </w:rPr>
        <w:t>2</w:t>
      </w:r>
      <w:r w:rsidR="009D76C6" w:rsidRPr="00263307">
        <w:rPr>
          <w:rFonts w:ascii="Book Antiqua" w:hAnsi="Book Antiqua" w:cs="Times New Roman"/>
          <w:color w:val="000000" w:themeColor="text1"/>
        </w:rPr>
        <w:t>.</w:t>
      </w:r>
      <w:r w:rsidR="009D614B" w:rsidRPr="00263307">
        <w:rPr>
          <w:rFonts w:ascii="Book Antiqua" w:hAnsi="Book Antiqua" w:cs="Times New Roman"/>
          <w:color w:val="000000" w:themeColor="text1"/>
        </w:rPr>
        <w:t>0</w:t>
      </w:r>
      <w:r w:rsidR="009D76C6" w:rsidRPr="00263307">
        <w:rPr>
          <w:rFonts w:ascii="Book Antiqua" w:hAnsi="Book Antiqua" w:cs="Times New Roman"/>
          <w:color w:val="000000" w:themeColor="text1"/>
        </w:rPr>
        <w:t xml:space="preserve"> kPa (</w:t>
      </w:r>
      <w:r w:rsidR="00DF56FC" w:rsidRPr="00263307">
        <w:rPr>
          <w:rFonts w:ascii="Book Antiqua" w:hAnsi="Book Antiqua" w:cs="Times New Roman"/>
          <w:color w:val="000000" w:themeColor="text1"/>
        </w:rPr>
        <w:t>&lt;</w:t>
      </w:r>
      <w:r w:rsidR="00903A98" w:rsidRPr="00263307">
        <w:rPr>
          <w:rFonts w:ascii="Book Antiqua" w:hAnsi="Book Antiqua" w:cs="Times New Roman"/>
          <w:color w:val="000000" w:themeColor="text1"/>
        </w:rPr>
        <w:t xml:space="preserve"> </w:t>
      </w:r>
      <w:r w:rsidR="00DF56FC" w:rsidRPr="00263307">
        <w:rPr>
          <w:rFonts w:ascii="Book Antiqua" w:hAnsi="Book Antiqua" w:cs="Times New Roman"/>
          <w:color w:val="000000" w:themeColor="text1"/>
        </w:rPr>
        <w:t>90 mmHg</w:t>
      </w:r>
      <w:r w:rsidR="009D76C6" w:rsidRPr="00263307">
        <w:rPr>
          <w:rFonts w:ascii="Book Antiqua" w:hAnsi="Book Antiqua" w:cs="Times New Roman"/>
          <w:color w:val="000000" w:themeColor="text1"/>
        </w:rPr>
        <w:t>)</w:t>
      </w:r>
      <w:r w:rsidR="00E120C2" w:rsidRPr="00263307">
        <w:rPr>
          <w:rFonts w:ascii="Book Antiqua" w:hAnsi="Book Antiqua" w:cs="Times New Roman"/>
          <w:color w:val="000000" w:themeColor="text1"/>
        </w:rPr>
        <w:fldChar w:fldCharType="begin" w:fldLock="1"/>
      </w:r>
      <w:r w:rsidR="00E120C2" w:rsidRPr="00263307">
        <w:rPr>
          <w:rFonts w:ascii="Book Antiqua" w:hAnsi="Book Antiqua" w:cs="Times New Roman"/>
          <w:color w:val="000000" w:themeColor="text1"/>
        </w:rPr>
        <w:instrText>ADDIN CSL_CITATION {"citationItems":[{"id":"ITEM-1","itemData":{"DOI":"10.1097/01.shk.0000239772.18151.18","ISBN":"1073-2322","ISSN":"1073-2322","PMID":"10796905","abstract":"Acute appendicitis is a common clinical problem. Accurate and prompt diagnosis is essential to minimize morbidity. While the clinical diagnosis may be straightforward in patients who present with classic signs and symptoms, atypical presentations may result in diagnostic confusion and delay in treatment. Helical computed tomography (CT) and graded compression color Doppler ultrasonography (US) are highly accurate means of establishing the diagnosis. These imaging modalities have now assumed critical roles in the treatment of patients suspected to have appendicitis. The purpose of this article is threefold: to provide an update on new information regarding the pathophysiology, clinical diagnosis, and laparoscopic treatment of acute appendicitis; to describe the state-of-the art use of CT and US in diagnosing this disease entity; and to address the role of medical imaging in this patient population.","author":[{"dropping-particle":"","family":"Edelman","given":"David A.","non-dropping-particle":"","parse-names":false,"suffix":""},{"dropping-particle":"","family":"White","given":"Michael T.","non-dropping-particle":"","parse-names":false,"suffix":""},{"dropping-particle":"","family":"Tyburski","given":"James G.","non-dropping-particle":"","parse-names":false,"suffix":""},{"dropping-particle":"","family":"Wilson","given":"Robert F.","non-dropping-particle":"","parse-names":false,"suffix":""}],"container-title":"Shock","id":"ITEM-1","issue":"2","issued":{"date-parts":[["2007","2"]]},"page":"134-138","title":"Post-traumatic hypotension","type":"article-journal","volume":"27"},"uris":["http://www.mendeley.com/documents/?uuid=92e6e4da-dc60-4a67-9cf2-1f8395eb9d9c"]}],"mendeley":{"formattedCitation":"&lt;sup&gt;[&lt;sup&gt;19&lt;/sup&gt;]&lt;/sup&gt;","plainTextFormattedCitation":"[19]","previouslyFormattedCitation":"&lt;sup&gt;[&lt;sup&gt;19&lt;/sup&gt;]&lt;/sup&gt;"},"properties":{"noteIndex":0},"schema":"https://github.com/citation-style-language/schema/raw/master/csl-citation.json"}</w:instrText>
      </w:r>
      <w:r w:rsidR="00E120C2" w:rsidRPr="00263307">
        <w:rPr>
          <w:rFonts w:ascii="Book Antiqua" w:hAnsi="Book Antiqua" w:cs="Times New Roman"/>
          <w:color w:val="000000" w:themeColor="text1"/>
        </w:rPr>
        <w:fldChar w:fldCharType="separate"/>
      </w:r>
      <w:r w:rsidR="00E120C2" w:rsidRPr="00263307">
        <w:rPr>
          <w:rFonts w:ascii="Book Antiqua" w:hAnsi="Book Antiqua" w:cs="Times New Roman"/>
          <w:noProof/>
          <w:color w:val="000000" w:themeColor="text1"/>
          <w:vertAlign w:val="superscript"/>
        </w:rPr>
        <w:t>[19]</w:t>
      </w:r>
      <w:r w:rsidR="00E120C2" w:rsidRPr="00263307">
        <w:rPr>
          <w:rFonts w:ascii="Book Antiqua" w:hAnsi="Book Antiqua" w:cs="Times New Roman"/>
          <w:color w:val="000000" w:themeColor="text1"/>
        </w:rPr>
        <w:fldChar w:fldCharType="end"/>
      </w:r>
      <w:r w:rsidR="00DF56FC" w:rsidRPr="00263307">
        <w:rPr>
          <w:rFonts w:ascii="Book Antiqua" w:hAnsi="Book Antiqua" w:cs="Times New Roman"/>
          <w:color w:val="000000" w:themeColor="text1"/>
        </w:rPr>
        <w:t xml:space="preserve">. Tachycardia was defined as </w:t>
      </w:r>
      <w:r w:rsidR="00B0174F" w:rsidRPr="00263307">
        <w:rPr>
          <w:rFonts w:ascii="Book Antiqua" w:hAnsi="Book Antiqua" w:cs="Times New Roman"/>
          <w:color w:val="000000" w:themeColor="text1"/>
        </w:rPr>
        <w:t xml:space="preserve">a </w:t>
      </w:r>
      <w:r w:rsidR="00DF56FC" w:rsidRPr="00263307">
        <w:rPr>
          <w:rFonts w:ascii="Book Antiqua" w:hAnsi="Book Antiqua" w:cs="Times New Roman"/>
          <w:color w:val="000000" w:themeColor="text1"/>
        </w:rPr>
        <w:t>heart rate ≥</w:t>
      </w:r>
      <w:r w:rsidR="00903A98" w:rsidRPr="00263307">
        <w:rPr>
          <w:rFonts w:ascii="Book Antiqua" w:hAnsi="Book Antiqua" w:cs="Times New Roman"/>
          <w:color w:val="000000" w:themeColor="text1"/>
        </w:rPr>
        <w:t xml:space="preserve"> </w:t>
      </w:r>
      <w:r w:rsidR="00DF56FC" w:rsidRPr="00263307">
        <w:rPr>
          <w:rFonts w:ascii="Book Antiqua" w:hAnsi="Book Antiqua" w:cs="Times New Roman"/>
          <w:color w:val="000000" w:themeColor="text1"/>
        </w:rPr>
        <w:t>100 beat</w:t>
      </w:r>
      <w:r w:rsidR="005004F9" w:rsidRPr="00263307">
        <w:rPr>
          <w:rFonts w:ascii="Book Antiqua" w:hAnsi="Book Antiqua" w:cs="Times New Roman"/>
          <w:color w:val="000000" w:themeColor="text1"/>
        </w:rPr>
        <w:t>s</w:t>
      </w:r>
      <w:r w:rsidR="00C016DB" w:rsidRPr="00263307">
        <w:rPr>
          <w:rFonts w:ascii="Book Antiqua" w:hAnsi="Book Antiqua" w:cs="Times New Roman"/>
          <w:color w:val="000000" w:themeColor="text1"/>
        </w:rPr>
        <w:t>/</w:t>
      </w:r>
      <w:r w:rsidR="00DF56FC" w:rsidRPr="00263307">
        <w:rPr>
          <w:rFonts w:ascii="Book Antiqua" w:hAnsi="Book Antiqua" w:cs="Times New Roman"/>
          <w:color w:val="000000" w:themeColor="text1"/>
        </w:rPr>
        <w:t xml:space="preserve">minute. </w:t>
      </w:r>
      <w:r w:rsidR="00F056C2" w:rsidRPr="00263307">
        <w:rPr>
          <w:rFonts w:ascii="Book Antiqua" w:hAnsi="Book Antiqua" w:cs="Times New Roman"/>
          <w:color w:val="000000" w:themeColor="text1"/>
        </w:rPr>
        <w:t>Leukocytosis was defined as</w:t>
      </w:r>
      <w:r w:rsidR="005004F9" w:rsidRPr="00263307">
        <w:rPr>
          <w:rFonts w:ascii="Book Antiqua" w:hAnsi="Book Antiqua" w:cs="Times New Roman"/>
          <w:color w:val="000000" w:themeColor="text1"/>
        </w:rPr>
        <w:t xml:space="preserve"> a</w:t>
      </w:r>
      <w:r w:rsidR="00C016DB" w:rsidRPr="00263307">
        <w:rPr>
          <w:rFonts w:ascii="Book Antiqua" w:hAnsi="Book Antiqua" w:cs="Times New Roman"/>
          <w:color w:val="000000" w:themeColor="text1"/>
        </w:rPr>
        <w:t xml:space="preserve"> leukocyte count &gt;</w:t>
      </w:r>
      <w:r w:rsidR="00903A98" w:rsidRPr="00263307">
        <w:rPr>
          <w:rFonts w:ascii="Book Antiqua" w:hAnsi="Book Antiqua" w:cs="Times New Roman"/>
          <w:color w:val="000000" w:themeColor="text1"/>
        </w:rPr>
        <w:t xml:space="preserve"> </w:t>
      </w:r>
      <w:r w:rsidR="00C016DB" w:rsidRPr="00263307">
        <w:rPr>
          <w:rFonts w:ascii="Book Antiqua" w:hAnsi="Book Antiqua" w:cs="Times New Roman"/>
          <w:color w:val="000000" w:themeColor="text1"/>
        </w:rPr>
        <w:t>10</w:t>
      </w:r>
      <w:r w:rsidR="00F056C2" w:rsidRPr="00263307">
        <w:rPr>
          <w:rFonts w:ascii="Book Antiqua" w:hAnsi="Book Antiqua" w:cs="Times New Roman"/>
          <w:color w:val="000000" w:themeColor="text1"/>
        </w:rPr>
        <w:t>000/mm</w:t>
      </w:r>
      <w:r w:rsidR="00F056C2" w:rsidRPr="00263307">
        <w:rPr>
          <w:rFonts w:ascii="Book Antiqua" w:hAnsi="Book Antiqua" w:cs="Times New Roman"/>
          <w:color w:val="000000" w:themeColor="text1"/>
          <w:vertAlign w:val="superscript"/>
        </w:rPr>
        <w:t>3</w:t>
      </w:r>
      <w:r w:rsidR="00F572D8" w:rsidRPr="00263307">
        <w:rPr>
          <w:rFonts w:ascii="Book Antiqua" w:hAnsi="Book Antiqua" w:cs="Times New Roman"/>
          <w:color w:val="000000" w:themeColor="text1"/>
        </w:rPr>
        <w:t xml:space="preserve"> </w:t>
      </w:r>
      <w:r w:rsidR="00C016DB" w:rsidRPr="00263307">
        <w:rPr>
          <w:rFonts w:ascii="Book Antiqua" w:hAnsi="Book Antiqua" w:cs="Times New Roman"/>
          <w:color w:val="000000" w:themeColor="text1"/>
        </w:rPr>
        <w:t>based</w:t>
      </w:r>
      <w:r w:rsidR="00C016DB" w:rsidRPr="00263307">
        <w:rPr>
          <w:rFonts w:ascii="Book Antiqua" w:hAnsi="Book Antiqua" w:cs="Times New Roman"/>
          <w:color w:val="000000" w:themeColor="text1"/>
          <w:vertAlign w:val="superscript"/>
        </w:rPr>
        <w:t xml:space="preserve"> </w:t>
      </w:r>
      <w:r w:rsidR="00C016DB" w:rsidRPr="00263307">
        <w:rPr>
          <w:rFonts w:ascii="Book Antiqua" w:hAnsi="Book Antiqua" w:cs="Times New Roman"/>
          <w:color w:val="000000" w:themeColor="text1"/>
        </w:rPr>
        <w:t xml:space="preserve">on </w:t>
      </w:r>
      <w:r w:rsidR="00B0174F" w:rsidRPr="00263307">
        <w:rPr>
          <w:rFonts w:ascii="Book Antiqua" w:hAnsi="Book Antiqua" w:cs="Times New Roman"/>
          <w:color w:val="000000" w:themeColor="text1"/>
        </w:rPr>
        <w:t xml:space="preserve">a </w:t>
      </w:r>
      <w:r w:rsidR="00C016DB" w:rsidRPr="00263307">
        <w:rPr>
          <w:rFonts w:ascii="Book Antiqua" w:hAnsi="Book Antiqua" w:cs="Times New Roman"/>
          <w:color w:val="000000" w:themeColor="text1"/>
        </w:rPr>
        <w:t>previous study on</w:t>
      </w:r>
      <w:r w:rsidR="00B0174F" w:rsidRPr="00263307">
        <w:rPr>
          <w:rFonts w:ascii="Book Antiqua" w:hAnsi="Book Antiqua" w:cs="Times New Roman"/>
          <w:color w:val="000000" w:themeColor="text1"/>
        </w:rPr>
        <w:t xml:space="preserve"> the</w:t>
      </w:r>
      <w:r w:rsidR="00C016DB" w:rsidRPr="00263307">
        <w:rPr>
          <w:rFonts w:ascii="Book Antiqua" w:hAnsi="Book Antiqua" w:cs="Times New Roman"/>
          <w:color w:val="000000" w:themeColor="text1"/>
        </w:rPr>
        <w:t xml:space="preserve"> diagnosis of appendicitis</w:t>
      </w:r>
      <w:r w:rsidR="00E120C2" w:rsidRPr="00263307">
        <w:rPr>
          <w:rFonts w:ascii="Book Antiqua" w:hAnsi="Book Antiqua" w:cs="Times New Roman"/>
          <w:color w:val="000000" w:themeColor="text1"/>
        </w:rPr>
        <w:fldChar w:fldCharType="begin" w:fldLock="1"/>
      </w:r>
      <w:r w:rsidR="00E120C2" w:rsidRPr="00263307">
        <w:rPr>
          <w:rFonts w:ascii="Book Antiqua" w:hAnsi="Book Antiqua" w:cs="Times New Roman"/>
          <w:color w:val="000000" w:themeColor="text1"/>
        </w:rPr>
        <w:instrText>ADDIN CSL_CITATION {"citationItems":[{"id":"ITEM-1","itemData":{"DOI":"10.1016/S0196-0644(86)80993-3","ISSN":"01960644","PMID":"3963537","abstract":"We conducted a retrospective study of 305 patients hospitalized with abdominal pain suggestive of acute appendicitis. Signs, symptoms, and laboratory findings were analyzed for specificity, sensitivity, predictive value, and joint probability. The total joint probability, the sum of a true-positive and a true-negative result, was chosen as a diagnostic weight indicative of the accuracy of the test. Eight predictive factors were found to be useful in making the diagnosis of acute appendicitis. Their importance, according to their diagnostic weight, was determined as follows: localized tenderness in the right lower quadrant, leukocytosis, migration of pain, shift to the left, temperature elevation, nausea-vomiting, anorexia-acetone, and direct rebound pain. Based on this weight, we devised a practical diagnostic score that may help in interpreting the confusing picture of acute appendicitis.","author":[{"dropping-particle":"","family":"Alvarado","given":"Alfredo","non-dropping-particle":"","parse-names":false,"suffix":""}],"container-title":"Annals of Emergency Medicine","id":"ITEM-1","issue":"5","issued":{"date-parts":[["1986","5","18"]]},"page":"557-564","title":"A practical score for the early diagnosis of acute appendicitis","type":"article-journal","volume":"15"},"uris":["http://www.mendeley.com/documents/?uuid=dd34841f-37e8-4af9-a709-cb6e93705b10"]}],"mendeley":{"formattedCitation":"&lt;sup&gt;[&lt;sup&gt;20&lt;/sup&gt;]&lt;/sup&gt;","plainTextFormattedCitation":"[20]","previouslyFormattedCitation":"&lt;sup&gt;[&lt;sup&gt;20&lt;/sup&gt;]&lt;/sup&gt;"},"properties":{"noteIndex":0},"schema":"https://github.com/citation-style-language/schema/raw/master/csl-citation.json"}</w:instrText>
      </w:r>
      <w:r w:rsidR="00E120C2" w:rsidRPr="00263307">
        <w:rPr>
          <w:rFonts w:ascii="Book Antiqua" w:hAnsi="Book Antiqua" w:cs="Times New Roman"/>
          <w:color w:val="000000" w:themeColor="text1"/>
        </w:rPr>
        <w:fldChar w:fldCharType="separate"/>
      </w:r>
      <w:r w:rsidR="00E120C2" w:rsidRPr="00263307">
        <w:rPr>
          <w:rFonts w:ascii="Book Antiqua" w:hAnsi="Book Antiqua" w:cs="Times New Roman"/>
          <w:noProof/>
          <w:color w:val="000000" w:themeColor="text1"/>
          <w:vertAlign w:val="superscript"/>
        </w:rPr>
        <w:t>[20]</w:t>
      </w:r>
      <w:r w:rsidR="00E120C2" w:rsidRPr="00263307">
        <w:rPr>
          <w:rFonts w:ascii="Book Antiqua" w:hAnsi="Book Antiqua" w:cs="Times New Roman"/>
          <w:color w:val="000000" w:themeColor="text1"/>
        </w:rPr>
        <w:fldChar w:fldCharType="end"/>
      </w:r>
      <w:r w:rsidR="00F056C2" w:rsidRPr="00263307">
        <w:rPr>
          <w:rFonts w:ascii="Book Antiqua" w:hAnsi="Book Antiqua" w:cs="Times New Roman"/>
          <w:color w:val="000000" w:themeColor="text1"/>
        </w:rPr>
        <w:t xml:space="preserve">. </w:t>
      </w:r>
      <w:r w:rsidR="00667227" w:rsidRPr="00263307">
        <w:rPr>
          <w:rFonts w:ascii="Book Antiqua" w:hAnsi="Book Antiqua" w:cs="Times New Roman"/>
          <w:color w:val="000000" w:themeColor="text1"/>
        </w:rPr>
        <w:t>Elevated liver enzyme</w:t>
      </w:r>
      <w:r w:rsidR="004D40A9" w:rsidRPr="00263307">
        <w:rPr>
          <w:rFonts w:ascii="Book Antiqua" w:hAnsi="Book Antiqua" w:cs="Times New Roman"/>
          <w:color w:val="000000" w:themeColor="text1"/>
        </w:rPr>
        <w:t xml:space="preserve"> was defined </w:t>
      </w:r>
      <w:r w:rsidR="00DF56FC" w:rsidRPr="00263307">
        <w:rPr>
          <w:rFonts w:ascii="Book Antiqua" w:hAnsi="Book Antiqua" w:cs="Times New Roman"/>
          <w:color w:val="000000" w:themeColor="text1"/>
        </w:rPr>
        <w:t>as</w:t>
      </w:r>
      <w:r w:rsidR="00667227" w:rsidRPr="00263307">
        <w:rPr>
          <w:rFonts w:ascii="Book Antiqua" w:hAnsi="Book Antiqua" w:cs="Times New Roman"/>
          <w:color w:val="000000" w:themeColor="text1"/>
        </w:rPr>
        <w:t xml:space="preserve"> </w:t>
      </w:r>
      <w:r w:rsidR="00C376B3" w:rsidRPr="00263307">
        <w:rPr>
          <w:rFonts w:ascii="Book Antiqua" w:hAnsi="Book Antiqua" w:cs="Times New Roman"/>
          <w:color w:val="000000" w:themeColor="text1"/>
        </w:rPr>
        <w:t xml:space="preserve">alanine aminotransferase </w:t>
      </w:r>
      <w:r w:rsidR="00667227" w:rsidRPr="00263307">
        <w:rPr>
          <w:rFonts w:ascii="Book Antiqua" w:hAnsi="Book Antiqua" w:cs="Times New Roman"/>
          <w:color w:val="000000" w:themeColor="text1"/>
        </w:rPr>
        <w:t>&gt;</w:t>
      </w:r>
      <w:r w:rsidR="00903A98" w:rsidRPr="00263307">
        <w:rPr>
          <w:rFonts w:ascii="Book Antiqua" w:hAnsi="Book Antiqua" w:cs="Times New Roman"/>
          <w:color w:val="000000" w:themeColor="text1"/>
        </w:rPr>
        <w:t xml:space="preserve"> </w:t>
      </w:r>
      <w:r w:rsidR="003B527A" w:rsidRPr="00263307">
        <w:rPr>
          <w:rFonts w:ascii="Book Antiqua" w:hAnsi="Book Antiqua" w:cs="Times New Roman"/>
          <w:color w:val="000000" w:themeColor="text1"/>
        </w:rPr>
        <w:t>29</w:t>
      </w:r>
      <w:r w:rsidR="00E44DF6" w:rsidRPr="00263307">
        <w:rPr>
          <w:rFonts w:ascii="Book Antiqua" w:hAnsi="Book Antiqua" w:cs="Times New Roman"/>
          <w:color w:val="000000" w:themeColor="text1"/>
        </w:rPr>
        <w:t xml:space="preserve"> IU/L</w:t>
      </w:r>
      <w:r w:rsidR="00E120C2" w:rsidRPr="00263307">
        <w:rPr>
          <w:rFonts w:ascii="Book Antiqua" w:hAnsi="Book Antiqua" w:cs="Times New Roman"/>
          <w:color w:val="000000" w:themeColor="text1"/>
        </w:rPr>
        <w:fldChar w:fldCharType="begin" w:fldLock="1"/>
      </w:r>
      <w:r w:rsidR="00E120C2" w:rsidRPr="00263307">
        <w:rPr>
          <w:rFonts w:ascii="Book Antiqua" w:hAnsi="Book Antiqua" w:cs="Times New Roman"/>
          <w:color w:val="000000" w:themeColor="text1"/>
        </w:rPr>
        <w:instrText>ADDIN CSL_CITATION {"citationItems":[{"id":"ITEM-1","itemData":{"DOI":"10.1038/ajg.2016.517","ISBN":"0002-9270","ISSN":"15720241","PMID":"27995906","abstract":"Clinicians are required to assess abnormal liver chemistries on a daily basis. The most common liver chemistries ordered are serum alanine aminotransferase (ALT), aspartate aminotransferase (AST), alkaline phosphatase and bilirubin. These tests should be termed liver chemistries or liver tests. Hepatocellular injury is defined as disproportionate elevation of AST and ALT levels compared with alkaline phosphatase levels. Cholestatic injury is defined as disproportionate elevation of alkaline phosphatase level as compared with AST and ALT levels. The majority of bilirubin circulates as unconjugated bilirubin and an elevated conjugated bilirubin implies hepatocellular disease or cholestasis. Multiple studies have demonstrated that the presence of an elevated ALT has been associated with increased liver-related mortality. A true healthy normal ALT level ranges from 29 to 33 IU/l for males, 19 to 25 IU/l for females and levels above this should be assessed. The degree of elevation of ALT and or AST in the clinical setting helps guide the evaluation. The evaluation of hepatocellular injury includes testing for viral hepatitis A, B, and C, assessment for nonalcoholic fatty liver disease and alcoholic liver disease, screening for hereditary hemochromatosis, autoimmune hepatitis, Wilson's disease, and alpha-1 antitrypsin deficiency. In addition, a history of prescribed and over-the-counter medicines should be sought. For the evaluation of an alkaline phosphatase elevation determined to be of hepatic origin, testing for primary biliary cholangitis and primary sclerosing cholangitis should be undertaken. Total bilirubin elevation can occur in either cholestatic or hepatocellular diseases. Elevated total serum bilirubin levels should be fractionated to direct and indirect bilirubin fractions and an elevated serum conjugated bilirubin implies hepatocellular disease or biliary obstruction in most settings. A liver biopsy may be considered when serologic testing and imaging fails to elucidate a diagnosis, to stage a condition, or when multiple diagnoses are possible.","author":[{"dropping-particle":"","family":"Kwo","given":"Paul Y.","non-dropping-particle":"","parse-names":false,"suffix":""},{"dropping-particle":"","family":"Cohen","given":"Stanley M.","non-dropping-particle":"","parse-names":false,"suffix":""},{"dropping-particle":"","family":"Lim","given":"Joseph K.","non-dropping-particle":"","parse-names":false,"suffix":""}],"container-title":"American Journal of Gastroenterology","id":"ITEM-1","issue":"1","issued":{"date-parts":[["2017"]]},"page":"18-35","publisher":"Nature Publishing Group","title":"ACG Clinical Guideline: Evaluation of Abnormal Liver Chemistries","type":"article-journal","volume":"112"},"uris":["http://www.mendeley.com/documents/?uuid=77e21ccb-fa87-47ab-a596-94a75f98a085"]}],"mendeley":{"formattedCitation":"&lt;sup&gt;[&lt;sup&gt;21&lt;/sup&gt;]&lt;/sup&gt;","plainTextFormattedCitation":"[21]","previouslyFormattedCitation":"&lt;sup&gt;[&lt;sup&gt;21&lt;/sup&gt;]&lt;/sup&gt;"},"properties":{"noteIndex":0},"schema":"https://github.com/citation-style-language/schema/raw/master/csl-citation.json"}</w:instrText>
      </w:r>
      <w:r w:rsidR="00E120C2" w:rsidRPr="00263307">
        <w:rPr>
          <w:rFonts w:ascii="Book Antiqua" w:hAnsi="Book Antiqua" w:cs="Times New Roman"/>
          <w:color w:val="000000" w:themeColor="text1"/>
        </w:rPr>
        <w:fldChar w:fldCharType="separate"/>
      </w:r>
      <w:r w:rsidR="00E120C2" w:rsidRPr="00263307">
        <w:rPr>
          <w:rFonts w:ascii="Book Antiqua" w:hAnsi="Book Antiqua" w:cs="Times New Roman"/>
          <w:noProof/>
          <w:color w:val="000000" w:themeColor="text1"/>
          <w:vertAlign w:val="superscript"/>
        </w:rPr>
        <w:t>[21]</w:t>
      </w:r>
      <w:r w:rsidR="00E120C2" w:rsidRPr="00263307">
        <w:rPr>
          <w:rFonts w:ascii="Book Antiqua" w:hAnsi="Book Antiqua" w:cs="Times New Roman"/>
          <w:color w:val="000000" w:themeColor="text1"/>
        </w:rPr>
        <w:fldChar w:fldCharType="end"/>
      </w:r>
      <w:r w:rsidR="00E44DF6" w:rsidRPr="00263307">
        <w:rPr>
          <w:rFonts w:ascii="Book Antiqua" w:hAnsi="Book Antiqua" w:cs="Times New Roman"/>
          <w:color w:val="000000" w:themeColor="text1"/>
        </w:rPr>
        <w:t xml:space="preserve">. </w:t>
      </w:r>
      <w:r w:rsidR="00667227" w:rsidRPr="00263307">
        <w:rPr>
          <w:rFonts w:ascii="Book Antiqua" w:hAnsi="Book Antiqua" w:cs="Times New Roman"/>
          <w:color w:val="000000" w:themeColor="text1"/>
        </w:rPr>
        <w:t xml:space="preserve">Renal dysfunction was defined as </w:t>
      </w:r>
      <w:r w:rsidR="00B0174F" w:rsidRPr="00263307">
        <w:rPr>
          <w:rFonts w:ascii="Book Antiqua" w:hAnsi="Book Antiqua" w:cs="Times New Roman"/>
          <w:color w:val="000000" w:themeColor="text1"/>
        </w:rPr>
        <w:t xml:space="preserve">a </w:t>
      </w:r>
      <w:r w:rsidR="000D4746" w:rsidRPr="00263307">
        <w:rPr>
          <w:rFonts w:ascii="Book Antiqua" w:hAnsi="Book Antiqua" w:cs="Times New Roman"/>
          <w:color w:val="000000" w:themeColor="text1"/>
        </w:rPr>
        <w:t>GFR</w:t>
      </w:r>
      <w:r w:rsidR="00731AE0" w:rsidRPr="00263307">
        <w:rPr>
          <w:rFonts w:ascii="Book Antiqua" w:hAnsi="Book Antiqua" w:cs="Times New Roman"/>
          <w:color w:val="000000" w:themeColor="text1"/>
        </w:rPr>
        <w:t xml:space="preserve"> </w:t>
      </w:r>
      <w:r w:rsidR="00347727" w:rsidRPr="00263307">
        <w:rPr>
          <w:rFonts w:ascii="Book Antiqua" w:hAnsi="Book Antiqua" w:cs="Times New Roman"/>
          <w:color w:val="000000" w:themeColor="text1"/>
        </w:rPr>
        <w:t>&lt;</w:t>
      </w:r>
      <w:r w:rsidR="00903A98" w:rsidRPr="00263307">
        <w:rPr>
          <w:rFonts w:ascii="Book Antiqua" w:hAnsi="Book Antiqua" w:cs="Times New Roman"/>
          <w:color w:val="000000" w:themeColor="text1"/>
        </w:rPr>
        <w:t xml:space="preserve"> </w:t>
      </w:r>
      <w:r w:rsidR="00731AE0" w:rsidRPr="00263307">
        <w:rPr>
          <w:rFonts w:ascii="Book Antiqua" w:hAnsi="Book Antiqua" w:cs="Times New Roman"/>
          <w:color w:val="000000" w:themeColor="text1"/>
        </w:rPr>
        <w:t>60 mL/min/1.73</w:t>
      </w:r>
      <w:r w:rsidR="00B0174F" w:rsidRPr="00263307">
        <w:rPr>
          <w:rFonts w:ascii="Book Antiqua" w:hAnsi="Book Antiqua" w:cs="Times New Roman"/>
          <w:color w:val="000000" w:themeColor="text1"/>
        </w:rPr>
        <w:t xml:space="preserve"> </w:t>
      </w:r>
      <w:r w:rsidR="00731AE0" w:rsidRPr="00263307">
        <w:rPr>
          <w:rFonts w:ascii="Book Antiqua" w:hAnsi="Book Antiqua" w:cs="Times New Roman"/>
          <w:color w:val="000000" w:themeColor="text1"/>
        </w:rPr>
        <w:t>m</w:t>
      </w:r>
      <w:r w:rsidR="00731AE0" w:rsidRPr="00263307">
        <w:rPr>
          <w:rFonts w:ascii="Book Antiqua" w:hAnsi="Book Antiqua" w:cs="Times New Roman"/>
          <w:color w:val="000000" w:themeColor="text1"/>
          <w:vertAlign w:val="superscript"/>
        </w:rPr>
        <w:t>2</w:t>
      </w:r>
      <w:r w:rsidR="00731AE0" w:rsidRPr="00263307">
        <w:rPr>
          <w:rFonts w:ascii="Book Antiqua" w:hAnsi="Book Antiqua" w:cs="Times New Roman"/>
          <w:color w:val="000000" w:themeColor="text1"/>
        </w:rPr>
        <w:t xml:space="preserve"> </w:t>
      </w:r>
      <w:r w:rsidR="002A5C58" w:rsidRPr="00263307">
        <w:rPr>
          <w:rFonts w:ascii="Book Antiqua" w:hAnsi="Book Antiqua" w:cs="Times New Roman"/>
          <w:color w:val="000000" w:themeColor="text1"/>
        </w:rPr>
        <w:t xml:space="preserve">based on </w:t>
      </w:r>
      <w:r w:rsidR="00B0174F" w:rsidRPr="00263307">
        <w:rPr>
          <w:rFonts w:ascii="Book Antiqua" w:hAnsi="Book Antiqua" w:cs="Times New Roman"/>
          <w:color w:val="000000" w:themeColor="text1"/>
        </w:rPr>
        <w:t xml:space="preserve">the </w:t>
      </w:r>
      <w:r w:rsidR="002A5C58" w:rsidRPr="00263307">
        <w:rPr>
          <w:rFonts w:ascii="Book Antiqua" w:hAnsi="Book Antiqua" w:cs="Times New Roman"/>
          <w:color w:val="000000" w:themeColor="text1"/>
        </w:rPr>
        <w:t>guidelines of chronic kidney diseases</w:t>
      </w:r>
      <w:r w:rsidR="00E120C2" w:rsidRPr="00263307">
        <w:rPr>
          <w:rFonts w:ascii="Book Antiqua" w:hAnsi="Book Antiqua" w:cs="Times New Roman"/>
          <w:color w:val="000000" w:themeColor="text1"/>
        </w:rPr>
        <w:fldChar w:fldCharType="begin" w:fldLock="1"/>
      </w:r>
      <w:r w:rsidR="00E120C2" w:rsidRPr="00263307">
        <w:rPr>
          <w:rFonts w:ascii="Book Antiqua" w:hAnsi="Book Antiqua" w:cs="Times New Roman"/>
          <w:color w:val="000000" w:themeColor="text1"/>
        </w:rPr>
        <w:instrText>ADDIN CSL_CITATION {"citationItems":[{"id":"ITEM-1","itemData":{"DOI":"10.1038/kisup.2012.64","ISSN":"21571716","PMID":"25018975","abstract":"The 2009 Kidney Disease: Improving Global Outcomes (KDIGO) clinical practice guideline on the management of chronic kidney disease–mineral and bone disorder (CKD–MBD) is intended to assist the practitioner caring for adults and children with CKD stages 3–5, on chronic dialysis therapy, or with a kidney transplant. The guideline contains recommendations on evaluation and treatment for abnormalities of CKD–MBD. This disease concept of CKD–MBD is based on a prior KDIGO consensus conference. Tests considered are those that relate to the detection and monitoring of laboratory, bone, and cardiovascular abnormalities. Treatments considered are interventions to treat hyperphosphatemia, hyperparathyroidism, and bone disease in patients with CKD stages 3–5D and 1–5T. The guideline development process followed an evidence based approach and treatment recommendations are based on systematic reviews of relevant treatment trials. Recommendations for testing used evidence based on diagnostic accuracy or risk prediction and linked it indirectly with how this would be expected to achieve better outcomes for patients through better detection, evaluation or treatment of disease. Critical appraisal of the quality of the evidence and the strength of recommendations followed the GRADE approach. An ungraded statement was provided when a question did not lend itself to systematic literature review. Limitations of the evidence, especially the lack of definitive clinical outcome trials, are discussed and suggestions are provided for future research.","container-title":"Kidney International Supplements","id":"ITEM-1","issue":"1","issued":{"date-parts":[["2013"]]},"page":"19-62","title":"KDIGO 2012 Clinical practice guidelines for evaluation and management of chronic kidney disease. Chapter 1: Definition and classification of CKD","type":"article","volume":"3"},"uris":["http://www.mendeley.com/documents/?uuid=ad183000-fb5c-4d32-848b-7cd3a9bc2213"]}],"mendeley":{"formattedCitation":"&lt;sup&gt;[&lt;sup&gt;22&lt;/sup&gt;]&lt;/sup&gt;","plainTextFormattedCitation":"[22]","previouslyFormattedCitation":"&lt;sup&gt;[&lt;sup&gt;22&lt;/sup&gt;]&lt;/sup&gt;"},"properties":{"noteIndex":0},"schema":"https://github.com/citation-style-language/schema/raw/master/csl-citation.json"}</w:instrText>
      </w:r>
      <w:r w:rsidR="00E120C2" w:rsidRPr="00263307">
        <w:rPr>
          <w:rFonts w:ascii="Book Antiqua" w:hAnsi="Book Antiqua" w:cs="Times New Roman"/>
          <w:color w:val="000000" w:themeColor="text1"/>
        </w:rPr>
        <w:fldChar w:fldCharType="separate"/>
      </w:r>
      <w:r w:rsidR="00E120C2" w:rsidRPr="00263307">
        <w:rPr>
          <w:rFonts w:ascii="Book Antiqua" w:hAnsi="Book Antiqua" w:cs="Times New Roman"/>
          <w:noProof/>
          <w:color w:val="000000" w:themeColor="text1"/>
          <w:vertAlign w:val="superscript"/>
        </w:rPr>
        <w:t>[22]</w:t>
      </w:r>
      <w:r w:rsidR="00E120C2" w:rsidRPr="00263307">
        <w:rPr>
          <w:rFonts w:ascii="Book Antiqua" w:hAnsi="Book Antiqua" w:cs="Times New Roman"/>
          <w:color w:val="000000" w:themeColor="text1"/>
        </w:rPr>
        <w:fldChar w:fldCharType="end"/>
      </w:r>
      <w:r w:rsidR="00667227" w:rsidRPr="00263307">
        <w:rPr>
          <w:rFonts w:ascii="Book Antiqua" w:hAnsi="Book Antiqua" w:cs="Times New Roman"/>
          <w:color w:val="000000" w:themeColor="text1"/>
        </w:rPr>
        <w:t>.</w:t>
      </w:r>
      <w:r w:rsidR="00AE0B4D" w:rsidRPr="00263307">
        <w:rPr>
          <w:rFonts w:ascii="Book Antiqua" w:hAnsi="Book Antiqua" w:cs="Times New Roman"/>
          <w:color w:val="000000" w:themeColor="text1"/>
        </w:rPr>
        <w:t xml:space="preserve"> CRP </w:t>
      </w:r>
      <w:r w:rsidR="00370913" w:rsidRPr="00263307">
        <w:rPr>
          <w:rFonts w:ascii="Book Antiqua" w:hAnsi="Book Antiqua" w:cs="Times New Roman"/>
          <w:color w:val="000000" w:themeColor="text1"/>
        </w:rPr>
        <w:t xml:space="preserve">level </w:t>
      </w:r>
      <w:r w:rsidR="00AE0B4D" w:rsidRPr="00263307">
        <w:rPr>
          <w:rFonts w:ascii="Book Antiqua" w:hAnsi="Book Antiqua" w:cs="Times New Roman"/>
          <w:color w:val="000000" w:themeColor="text1"/>
        </w:rPr>
        <w:t xml:space="preserve">was categorized into </w:t>
      </w:r>
      <w:r w:rsidR="00B0174F" w:rsidRPr="00263307">
        <w:rPr>
          <w:rFonts w:ascii="Book Antiqua" w:hAnsi="Book Antiqua" w:cs="Times New Roman"/>
          <w:color w:val="000000" w:themeColor="text1"/>
        </w:rPr>
        <w:t xml:space="preserve">the following three </w:t>
      </w:r>
      <w:r w:rsidR="00AE0B4D" w:rsidRPr="00263307">
        <w:rPr>
          <w:rFonts w:ascii="Book Antiqua" w:hAnsi="Book Antiqua" w:cs="Times New Roman"/>
          <w:color w:val="000000" w:themeColor="text1"/>
        </w:rPr>
        <w:t xml:space="preserve">groups: </w:t>
      </w:r>
      <w:r w:rsidR="00370913" w:rsidRPr="00263307">
        <w:rPr>
          <w:rFonts w:ascii="Book Antiqua" w:hAnsi="Book Antiqua" w:cs="Times New Roman"/>
          <w:color w:val="000000" w:themeColor="text1"/>
        </w:rPr>
        <w:t xml:space="preserve">0.0 to </w:t>
      </w:r>
      <w:r w:rsidR="00AE0B4D" w:rsidRPr="00263307">
        <w:rPr>
          <w:rFonts w:ascii="Book Antiqua" w:hAnsi="Book Antiqua" w:cs="Times New Roman"/>
          <w:color w:val="000000" w:themeColor="text1"/>
        </w:rPr>
        <w:t>1</w:t>
      </w:r>
      <w:r w:rsidR="00370913" w:rsidRPr="00263307">
        <w:rPr>
          <w:rFonts w:ascii="Book Antiqua" w:hAnsi="Book Antiqua" w:cs="Times New Roman"/>
          <w:color w:val="000000" w:themeColor="text1"/>
        </w:rPr>
        <w:t>.0</w:t>
      </w:r>
      <w:r w:rsidR="00AE0B4D" w:rsidRPr="00263307">
        <w:rPr>
          <w:rFonts w:ascii="Book Antiqua" w:hAnsi="Book Antiqua" w:cs="Times New Roman"/>
          <w:color w:val="000000" w:themeColor="text1"/>
        </w:rPr>
        <w:t xml:space="preserve"> mg/dL, 1</w:t>
      </w:r>
      <w:r w:rsidR="00370913" w:rsidRPr="00263307">
        <w:rPr>
          <w:rFonts w:ascii="Book Antiqua" w:hAnsi="Book Antiqua" w:cs="Times New Roman"/>
          <w:color w:val="000000" w:themeColor="text1"/>
        </w:rPr>
        <w:t>.1</w:t>
      </w:r>
      <w:r w:rsidR="0058428E" w:rsidRPr="00263307">
        <w:rPr>
          <w:rFonts w:ascii="Book Antiqua" w:hAnsi="Book Antiqua" w:cs="Times New Roman"/>
          <w:color w:val="000000" w:themeColor="text1"/>
        </w:rPr>
        <w:t xml:space="preserve"> to</w:t>
      </w:r>
      <w:r w:rsidR="00AE0B4D" w:rsidRPr="00263307">
        <w:rPr>
          <w:rFonts w:ascii="Book Antiqua" w:hAnsi="Book Antiqua" w:cs="Times New Roman"/>
          <w:color w:val="000000" w:themeColor="text1"/>
        </w:rPr>
        <w:t xml:space="preserve"> </w:t>
      </w:r>
      <w:r w:rsidR="00370913" w:rsidRPr="00263307">
        <w:rPr>
          <w:rFonts w:ascii="Book Antiqua" w:hAnsi="Book Antiqua" w:cs="Times New Roman"/>
          <w:color w:val="000000" w:themeColor="text1"/>
        </w:rPr>
        <w:t xml:space="preserve">5.0 mg/dL, </w:t>
      </w:r>
      <w:r w:rsidR="0058428E" w:rsidRPr="00263307">
        <w:rPr>
          <w:rFonts w:ascii="Book Antiqua" w:hAnsi="Book Antiqua" w:cs="Times New Roman"/>
          <w:color w:val="000000" w:themeColor="text1"/>
        </w:rPr>
        <w:t>and over 5</w:t>
      </w:r>
      <w:r w:rsidR="00AE0B4D" w:rsidRPr="00263307">
        <w:rPr>
          <w:rFonts w:ascii="Book Antiqua" w:hAnsi="Book Antiqua" w:cs="Times New Roman"/>
          <w:color w:val="000000" w:themeColor="text1"/>
        </w:rPr>
        <w:t xml:space="preserve"> mg/dL</w:t>
      </w:r>
      <w:r w:rsidR="00370913" w:rsidRPr="00263307">
        <w:rPr>
          <w:rFonts w:ascii="Book Antiqua" w:hAnsi="Book Antiqua" w:cs="Times New Roman"/>
          <w:color w:val="000000" w:themeColor="text1"/>
        </w:rPr>
        <w:t>,</w:t>
      </w:r>
      <w:r w:rsidR="00AE0B4D" w:rsidRPr="00263307">
        <w:rPr>
          <w:rFonts w:ascii="Book Antiqua" w:hAnsi="Book Antiqua" w:cs="Times New Roman"/>
          <w:color w:val="000000" w:themeColor="text1"/>
        </w:rPr>
        <w:t xml:space="preserve"> based on the distribution of CRP level of the participants and previous stud</w:t>
      </w:r>
      <w:r w:rsidR="0058428E" w:rsidRPr="00263307">
        <w:rPr>
          <w:rFonts w:ascii="Book Antiqua" w:hAnsi="Book Antiqua" w:cs="Times New Roman"/>
          <w:color w:val="000000" w:themeColor="text1"/>
        </w:rPr>
        <w:t>ies</w:t>
      </w:r>
      <w:r w:rsidR="00AE0B4D" w:rsidRPr="00263307">
        <w:rPr>
          <w:rFonts w:ascii="Book Antiqua" w:hAnsi="Book Antiqua" w:cs="Times New Roman"/>
          <w:color w:val="000000" w:themeColor="text1"/>
        </w:rPr>
        <w:t xml:space="preserve"> on </w:t>
      </w:r>
      <w:r w:rsidR="00B0174F" w:rsidRPr="00263307">
        <w:rPr>
          <w:rFonts w:ascii="Book Antiqua" w:hAnsi="Book Antiqua" w:cs="Times New Roman"/>
          <w:color w:val="000000" w:themeColor="text1"/>
        </w:rPr>
        <w:t xml:space="preserve">the </w:t>
      </w:r>
      <w:r w:rsidR="00AE0B4D" w:rsidRPr="00263307">
        <w:rPr>
          <w:rFonts w:ascii="Book Antiqua" w:hAnsi="Book Antiqua" w:cs="Times New Roman"/>
          <w:color w:val="000000" w:themeColor="text1"/>
        </w:rPr>
        <w:t>cut-off value of CRP</w:t>
      </w:r>
      <w:r w:rsidR="00E120C2" w:rsidRPr="00263307">
        <w:rPr>
          <w:rFonts w:ascii="Book Antiqua" w:hAnsi="Book Antiqua" w:cs="Times New Roman"/>
          <w:color w:val="000000" w:themeColor="text1"/>
        </w:rPr>
        <w:fldChar w:fldCharType="begin" w:fldLock="1"/>
      </w:r>
      <w:r w:rsidR="00E120C2" w:rsidRPr="00263307">
        <w:rPr>
          <w:rFonts w:ascii="Book Antiqua" w:hAnsi="Book Antiqua" w:cs="Times New Roman"/>
          <w:color w:val="000000" w:themeColor="text1"/>
        </w:rPr>
        <w:instrText>ADDIN CSL_CITATION {"citationItems":[{"id":"ITEM-1","itemData":{"DOI":"10.1186/1749-7922-9-6","ISSN":"17497922","abstract":"Background: Acute appendicitis is the most common surgical emergency and becomes serious when it perforates. Perforation is more frequent in the elderly patients. The aim of this study was to identify the risk factors of perforation in elderly patients who presented with acute appendicitis. Methodology: The medical records of 214 patients over the age of 60 years who had a pathologically confirmed diagnosis of acute appendicitis over a period of 10 years (2003-2013) were retrospectively reviewed. Patients were grouped into those with perforated and those with nonperforated appendicitis. Comparison was made between both groups in regard to demography, clinical presentation, and time delay to surgery, diagnosis, hospital stay and postoperative complications. Clinical assessment, Ultrasonography and Computerized tomography, in that order, were used for diagnosis. The incidence of perforation was also compared with a previous report from the same region 10 years earlier. Results: During the study period, a total of 214 patients over the age of 60 years had acute appendicitis, 103 males and 111 females. Appendix was found perforated in 87 (41%) patients, 46 (53%) males and 41 (47%) females. Of all patients, 31% were diagnosed by clinical assessment alone, 40% needed US and 29% CT scan. Of all the risk factors studied, the patient's pre-hospital time delay was the most important risk factor for perforation. Perforation rate was not dependent on the presence of comorbid diseases or in-hospital time delay. Post operative complications occurred in 44 (21%) patients and they were three times more common in the perforated group, 33 (75%) patients in the perforated and 11 (25%) in the nonperforated group. There were 6 deaths (3%), 4 in the perforated and 2 in the nonperforated group.Conclusion: Acute appendicitis in elderly patients is a serious disease that requires early diagnosis and treatment. Appendiceal Perforation increases both mortality and morbidity. All elderly patients presented to the hospital with abdominal pain should be admitted and investigated. The early use of CT scan can cut short the way to the appropriate treatment. © 2014 Omari et al.; licensee BioMed Central Ltd.","author":[{"dropping-particle":"","family":"Omari","given":"Abdelkarim H.","non-dropping-particle":"","parse-names":false,"suffix":""},{"dropping-particle":"","family":"Khammash","given":"Muhammad R.","non-dropping-particle":"","parse-names":false,"suffix":""},{"dropping-particle":"","family":"Qasaimeh","given":"Ghazi R.","non-dropping-particle":"","parse-names":false,"suffix":""},{"dropping-particle":"","family":"Shammari","given":"Ahmad K.","non-dropping-particle":"","parse-names":false,"suffix":""},{"dropping-particle":"","family":"Yaseen","given":"Mohammad K.Bani","non-dropping-particle":"","parse-names":false,"suffix":""},{"dropping-particle":"","family":"Hammori","given":"Sahel K.","non-dropping-particle":"","parse-names":false,"suffix":""}],"container-title":"World Journal of Emergency Surgery","id":"ITEM-1","issue":"1","issued":{"date-parts":[["2014"]]},"page":"1-6","title":"Acute appendicitis in the elderly: Risk factors for perforation","type":"article-journal","volume":"9"},"uris":["http://www.mendeley.com/documents/?uuid=ee6fff5b-06ab-48ee-8c87-34bc0de2d7a1"]},{"id":"ITEM-2","itemData":{"DOI":"10.1155/2016/6508619","ISSN":"23146141","abstract":"Background. Acute appendicitis (AA) associated with acute phase reaction is the most prevalent disease which requires emergency surgery. Its delayed diagnosis and unnecessarily performed appendectomies lead to numerous complications. In our study, we aimed to detect the role of WBC and CRP in the exclusion of acute and complicated appendicitis and diagnostic accuracy in pediatric age group. Methods. Appendectomized patient groups were constructed based on the results of histological evaluation. The area under a receiver operating characteristic (ROC) curve (AUC) was performed to examine diagnostic accuracy. Results. When WBC and CRP were used in combination, based on cut-off values of ≥13.1 × 103/</w:instrText>
      </w:r>
      <w:r w:rsidR="00E120C2" w:rsidRPr="00263307">
        <w:rPr>
          <w:rFonts w:ascii="Book Antiqua" w:hAnsi="Book Antiqua" w:cs="Lantinghei SC Extralight"/>
          <w:color w:val="000000" w:themeColor="text1"/>
        </w:rPr>
        <w:instrText>μ</w:instrText>
      </w:r>
      <w:r w:rsidR="00E120C2" w:rsidRPr="00263307">
        <w:rPr>
          <w:rFonts w:ascii="Book Antiqua" w:hAnsi="Book Antiqua" w:cs="Times New Roman"/>
          <w:color w:val="000000" w:themeColor="text1"/>
        </w:rPr>
        <w:instrText>L for WBC counts and ≥1.17 mg/dL for CRP level, diagnostic parameters were as follows: sensitivity, 98.7%; specificity, 71.3%; PPV, 50.6%; NPV, 99.5%; diagnostic accuracy, 77.6%; LR(+), 3.44; LR(-), 0.017. AUC values were 0.845 (95% CI 0.800-0.891) for WBC and 0.887 (95% CI 0.841-0.932) for CRP. Conclusions. For complicated appendicitis, CRP has the highest degree of diagnostic accuracy. The diagnosis of appendicitis should be made primarily based on clinical examination, and obviously more specific and systemic inflammatory markers are needed. Combined use of cut-off values of WBC (≥13100/</w:instrText>
      </w:r>
      <w:r w:rsidR="00E120C2" w:rsidRPr="00263307">
        <w:rPr>
          <w:rFonts w:ascii="Book Antiqua" w:hAnsi="Book Antiqua" w:cs="Lantinghei SC Extralight"/>
          <w:color w:val="000000" w:themeColor="text1"/>
        </w:rPr>
        <w:instrText>μ</w:instrText>
      </w:r>
      <w:r w:rsidR="00E120C2" w:rsidRPr="00263307">
        <w:rPr>
          <w:rFonts w:ascii="Book Antiqua" w:hAnsi="Book Antiqua" w:cs="Times New Roman"/>
          <w:color w:val="000000" w:themeColor="text1"/>
        </w:rPr>
        <w:instrText>L) and CRP (≥1.17 mg/L) yields a higher sensitivity and NPV for the diagnosis of complicated appendicitis.","author":[{"dropping-particle":"","family":"Sarsu","given":"Sevgi Buyukbese","non-dropping-particle":"","parse-names":false,"suffix":""},{"dropping-particle":"","family":"Sarac","given":"Fatma","non-dropping-particle":"","parse-names":false,"suffix":""}],"container-title":"BioMed Research International","id":"ITEM-2","issued":{"date-parts":[["2016"]]},"title":"Diagnostic Value of White Blood Cell and C-Reactive Protein in Pediatric Appendicitis","type":"article-journal","volume":"2016"},"uris":["http://www.mendeley.com/documents/?uuid=6ed86822-13a1-4ddb-9e36-55161ef860da"]},{"id":"ITEM-3","itemData":{"DOI":"10.5505/tjtes.2018.57362","ISSN":"1306696X","abstract":"BACKGROUND: The determination of a definitive preoperative diagnosis of acute appendicitis (AA) remains a challenge; however, delays in diagnosis increase complication rates. The aim of this study was to investigate the contribution of the Alvarado score (AS) alone and the AS combined with the use of the biological indicators of C-reactive protein (CRP), procalcitonin (PCT) and neopterin (NP) in the diagnosis. METHODS: Serum was collected from 100 patients who were admitted to the general surgery clinic of Istanbul University, Cerrahpasa Medical Faculty between March 4, 2014 and July 29, 2015 with the pre-diagnosis of AA and who agreed to take part in the study. The serum samples were stored at -70°C. The patients were divided into 2 groups: AA-positive (n=60) and AA-negative (n=40). The AA positive group was divided into subgroups of complicated (n=11), uncomplicated AA (n=49) and the AS, CRP, PCT, NP levels were compared. RESULTS: The study population consisted of 45 men (45%) and 55 women (55%), with a mean age of 32.8±13.7 years (range: 18–92 years). There was no significant difference between the groups in age and gender. There were 24 patients with an AS ≤4 (3 had surgery), 35 patients with an AS of 5–7 (22 had surgery), and 41 patients with an AS of 8–10 (38 had surgery). Three of the 63 patients who underwent surgery were diagnosed with a normal appendix. The serum CRP, PCT, and NP measures were found to be inadequate to make an AA diagnosis alone, these values increased the sensitivity and specificity of the AS. The biological indicators were also significant in differentiating between the complicated and uncomplicated AA groups (p&lt;0.05). CONCLUSION: Although the AS is useful, additional testing and clinical approaches are valuable to inform the diagnostic procedure. When considered alone, serum CRP, PCT and NP values are insufficient for a diagnosis of AA. However, they increased the diagnostic value of the AS and can be helpful in distinguishing complicated AA cases.","author":[{"dropping-particle":"","family":"Dal","given":"Fatih","non-dropping-particle":"","parse-names":false,"suffix":""},{"dropping-particle":"","family":"Çiçek","given":"Yusuf","non-dropping-particle":"","parse-names":false,"suffix":""},{"dropping-particle":"","family":"Pekmezci","given":"Salih","non-dropping-particle":"","parse-names":false,"suffix":""},{"dropping-particle":"","family":"Kocazeybek","given":"Bekir","non-dropping-particle":"","parse-names":false,"suffix":""},{"dropping-particle":"","family":"Tokman","given":"Hrisi Bahar","non-dropping-particle":"","parse-names":false,"suffix":""},{"dropping-particle":"","family":"Konuko</w:instrText>
      </w:r>
      <w:r w:rsidR="00E120C2" w:rsidRPr="00263307">
        <w:rPr>
          <w:rFonts w:ascii="Book Antiqua" w:hAnsi="Book Antiqua" w:cs="Kohinoor Telugu Semibold"/>
          <w:color w:val="000000" w:themeColor="text1"/>
        </w:rPr>
        <w:instrText>ğ</w:instrText>
      </w:r>
      <w:r w:rsidR="00E120C2" w:rsidRPr="00263307">
        <w:rPr>
          <w:rFonts w:ascii="Book Antiqua" w:hAnsi="Book Antiqua" w:cs="Times New Roman"/>
          <w:color w:val="000000" w:themeColor="text1"/>
        </w:rPr>
        <w:instrText>lu","given":"Dildar","non-dropping-particle":"","parse-names":false,"suffix":""},{"dropping-particle":"","family":"</w:instrText>
      </w:r>
      <w:r w:rsidR="00E120C2" w:rsidRPr="00263307">
        <w:rPr>
          <w:rFonts w:ascii="Book Antiqua" w:hAnsi="Book Antiqua" w:cs="Kohinoor Telugu Semibold"/>
          <w:color w:val="000000" w:themeColor="text1"/>
        </w:rPr>
        <w:instrText>Ş</w:instrText>
      </w:r>
      <w:r w:rsidR="00E120C2" w:rsidRPr="00263307">
        <w:rPr>
          <w:rFonts w:ascii="Book Antiqua" w:hAnsi="Book Antiqua" w:cs="Times New Roman"/>
          <w:color w:val="000000" w:themeColor="text1"/>
        </w:rPr>
        <w:instrText>im</w:instrText>
      </w:r>
      <w:r w:rsidR="00E120C2" w:rsidRPr="00263307">
        <w:rPr>
          <w:rFonts w:ascii="Book Antiqua" w:hAnsi="Book Antiqua" w:cs="Kohinoor Telugu Semibold"/>
          <w:color w:val="000000" w:themeColor="text1"/>
        </w:rPr>
        <w:instrText>ş</w:instrText>
      </w:r>
      <w:r w:rsidR="00E120C2" w:rsidRPr="00263307">
        <w:rPr>
          <w:rFonts w:ascii="Book Antiqua" w:hAnsi="Book Antiqua" w:cs="Times New Roman"/>
          <w:color w:val="000000" w:themeColor="text1"/>
        </w:rPr>
        <w:instrText>ek","given":"Osman","non-dropping-particle":"","parse-names":false,"suffix":""},{"dropping-particle":"","family":"Taner","given":"Zeynep","non-dropping-particle":"","parse-names":false,"suffix":""},{"dropping-particle":"","family":"Sirekbasan","given":"Serhat","non-dropping-particle":"","parse-names":false,"suffix":""},{"dropping-particle":"","family":"Uluda</w:instrText>
      </w:r>
      <w:r w:rsidR="00E120C2" w:rsidRPr="00263307">
        <w:rPr>
          <w:rFonts w:ascii="Book Antiqua" w:hAnsi="Book Antiqua" w:cs="Kohinoor Telugu Semibold"/>
          <w:color w:val="000000" w:themeColor="text1"/>
        </w:rPr>
        <w:instrText>ğ</w:instrText>
      </w:r>
      <w:r w:rsidR="00E120C2" w:rsidRPr="00263307">
        <w:rPr>
          <w:rFonts w:ascii="Book Antiqua" w:hAnsi="Book Antiqua" w:cs="Times New Roman"/>
          <w:color w:val="000000" w:themeColor="text1"/>
        </w:rPr>
        <w:instrText>","given":"Server Sezgin","non-dropping-particle":"","parse-names":false,"suffix":""}],"container-title":"Ulusal Travma ve Acil Cerrahi Dergisi","id":"ITEM-3","issue":"3","issued":{"date-parts":[["2019"]]},"page":"229-237","title":"Role of alvarado score and biological indicators of c-reactive protein, procalicitonin and neopterin in diagnosis of acute appendicitis","type":"article-journal","volume":"25"},"uris":["http://www.mendeley.com/documents/?uuid=ae76cce3-5c15-40a5-b98d-9a92ac5ea2ac"]},{"id":"ITEM-4","itemData":{"DOI":"10.1186/s13017-016-0081-6","ISSN":"17497922","abstract":"Background: Diagnostic approach for complicated appendicitis is still controversial. We planned this study to analyze preoperative laboratory markers that may predict complications of appendicitis. Methods: Patients who underwent appendectomy were retrospectively recruited. They were divided into complicated appendicitis and non-complicated appendicitis groups and their preoperative laboratory results were reviewed. Results: A total of 234 patients were included. Elevated international normalized ratio (INR) and serum C-reactive protein (CRP) were associated with complicated appendicitis (p = 0.001). On ROC curve analysis, area under the curve (AUC) of CRP and INR were 0.796 and 0.723, respectively. Conclusions: INR and CRP increased significantly in patients with complicated appendicitis. Further studies evaluating INR and CRP in patients undergoing conservative management for appendicitis are required.","author":[{"dropping-particle":"","family":"Kim","given":"Maru","non-dropping-particle":"","parse-names":false,"suffix":""},{"dropping-particle":"","family":"Kim","given":"Sung Jeep","non-dropping-particle":"","parse-names":false,"suffix":""},{"dropping-particle":"","family":"Cho","given":"Hang Joo","non-dropping-particle":"","parse-names":false,"suffix":""}],"container-title":"World Journal of Emergency Surgery","id":"ITEM-4","issue":"1","issued":{"date-parts":[["2016"]]},"page":"1-5","publisher":"World Journal of Emergency Surgery","title":"International normalized ratio and serum C-reactive protein are feasible markers to predict complicated appendicitis","type":"article-journal","volume":"11"},"uris":["http://www.mendeley.com/documents/?uuid=97005a2a-f3a8-4486-9922-7f63de88c3a8"]},{"id":"ITEM-5","itemData":{"DOI":"10.1007/s12262-016-1558-y","ISSN":"09739793","abstract":"Unnecessary appendectomy can cause complications; ways of reducing negative appendectomy rates (NAR) using biochemical and imaging methods are desirable. We retrospectively examined 640 patients who underwent appendectomy for suspected AA. Patients with histologically confirmed appendicitis were designated the positive appendectomy group (n = 565), whereas those with unconfirmed appendicitis were designated the negative appendectomy group (n = 75). The positive appendectomy group was subdivided into the non-perforated (n = 511) and perforated (n = 54) appendectomy groups according to pathology reports. We compared the age, sex, lymphocyte count, neutrophil percentage, pathologic positivity or negativity for appendicitis, C-reactive protein (CRP) level, neutrophil-to-lymphocyte ratio (NLR), and platelet-to-lymphocyte ratio (PLR) of the patients. When the perforated, non-perforated, and negative appendectomy groups were compared, the highest CRP level, NLR, and PLR were evident in the perforated appendectomy group (p = 0.001), whereas the lowest neutrophil percentage was found in the non-perforated appendectomy group (p = 0.001). Multiple logistic regression analysis identified neutrophil percentage, CRP value, and NLR as independent variables and demonstrated that AA could be diagnosed with 88.9 % accuracy using the cutoff values determined. In patients with suspected AA, particularly in rural areas with limited access to advanced imaging modalities, the evaluation of neutrophil percentage, CRP level, and NLR, in combination with the findings of a physical examination, may aid diagnosis and reduce NAR.","author":[{"dropping-particle":"","family":"Yazar","given":"Fatih Mehmet","non-dropping-particle":"","parse-names":false,"suffix":""},{"dropping-particle":"","family":"Urfalioglu","given":"Aykut","non-dropping-particle":"","parse-names":false,"suffix":""},{"dropping-particle":"","family":"Bakacak","given":"Murat","non-dropping-particle":"","parse-names":false,"suffix":""},{"dropping-particle":"","family":"Boran","given":"Ömer Faruk","non-dropping-particle":"","parse-names":false,"suffix":""},{"dropping-particle":"","family":"Bülbülo</w:instrText>
      </w:r>
      <w:r w:rsidR="00E120C2" w:rsidRPr="00263307">
        <w:rPr>
          <w:rFonts w:ascii="Book Antiqua" w:hAnsi="Book Antiqua" w:cs="Kohinoor Telugu Semibold"/>
          <w:color w:val="000000" w:themeColor="text1"/>
        </w:rPr>
        <w:instrText>ğ</w:instrText>
      </w:r>
      <w:r w:rsidR="00E120C2" w:rsidRPr="00263307">
        <w:rPr>
          <w:rFonts w:ascii="Book Antiqua" w:hAnsi="Book Antiqua" w:cs="Times New Roman"/>
          <w:color w:val="000000" w:themeColor="text1"/>
        </w:rPr>
        <w:instrText>lu","given":"Ertan","non-dropping-particle":"","parse-names":false,"suffix":""}],"container-title":"Indian Journal of Surgery","id":"ITEM-5","issue":"1","issued":{"date-parts":[["2018"]]},"page":"61-67","title":"Efficacy of the Evaluation of Inflammatory Markers for the Reduction of Negative Appendectomy Rates","type":"article-journal","volume":"80"},"uris":["http://www.mendeley.com/documents/?uuid=ea309a94-c126-4dd0-bd01-4606a60366bb"]},{"id":"ITEM-6","itemData":{"ISSN":"10259589","PMID":"28718241","abstract":"BACKGROUND: Delayed or wrong diagnosis of acute appendicitis in patients results in complications like perforation, gangrene, etc. which carries a significant amount of morbidity and mortality to the patients. Thus, timely diagnosis of acute appendicitis is crucial to prevent these complications. Recently, it was found that serum C-reactive protein (CRP) individually can be a useful marker, thus in resource limited settings (i.e., access to ultrasonography) simple laboratory investigation can be of extreme utility for the diagnosis of acute appendicitis. Current study aimed to ascertain and determine the role of C Reactive Protein (CRP) as a complementary test to decrease the rate of negative appendectomies in tertiary care hospitals of Pakistan. METHODS: Using non-probability consecutive sampling, 112 patients with the initial diagnosis of acute appendicitis on history and clinical examination were enrolled. A blood sample was taken for serum level of CRP. RESULTS: Mean age was 20.8±8.6 years and 51 (45.5 %) patients were males. Pathologic review revealed 100 cases (89.3%) of acute appendicitis, 4 patients (3.6%) had perforated appendix while 8 patients (7.1%) had normal appendix. Sensitivity, specificity, positive and negative predictive value and diagnostic accuracy of C reactive protein &gt;24 mg/lit taking histology as gold standard came out 25.9%, 100%, 100%, 9.4% and 31.25% respectively. CONCLUSIONS: It was concluded that CRP &gt;48 mg/lit is an indication of perforated appendix and when the surgeon is in fix whether to go conservatively or apply some intervention, CRP can be a good diagnostic aid.","author":[{"dropping-particle":"","family":"Ahmed","given":"Nauman","non-dropping-particle":"","parse-names":false,"suffix":""}],"container-title":"Journal of Ayub Medical College, Abbottabad : JAMC","id":"ITEM-6","issue":"2","issued":{"date-parts":[["2017"]]},"page":"250-253","title":"C-Reactive Protein: An Aid For Diagnosis Of Acute Appendicitis","type":"article-journal","volume":"29"},"uris":["http://www.mendeley.com/documents/?uuid=c38ec1da-b552-4698-ad1a-49a3b626495b"]}],"mendeley":{"formattedCitation":"&lt;sup&gt;[&lt;sup&gt;8&lt;/sup&gt;,&lt;sup&gt;12&lt;/sup&gt;,&lt;sup&gt;14&lt;/sup&gt;,&lt;sup&gt;15&lt;/sup&gt;,&lt;sup&gt;23&lt;/sup&gt;,&lt;sup&gt;24&lt;/sup&gt;]&lt;/sup&gt;","plainTextFormattedCitation":"[8,12,14,15,23,24]","previouslyFormattedCitation":"&lt;sup&gt;[&lt;sup&gt;8&lt;/sup&gt;,&lt;sup&gt;12&lt;/sup&gt;,&lt;sup&gt;14&lt;/sup&gt;,&lt;sup&gt;15&lt;/sup&gt;,&lt;sup&gt;23&lt;/sup&gt;,&lt;sup&gt;24&lt;/sup&gt;]&lt;/sup&gt;"},"properties":{"noteIndex":0},"schema":"https://github.com/citation-style-language/schema/raw/master/csl-citation.json"}</w:instrText>
      </w:r>
      <w:r w:rsidR="00E120C2" w:rsidRPr="00263307">
        <w:rPr>
          <w:rFonts w:ascii="Book Antiqua" w:hAnsi="Book Antiqua" w:cs="Times New Roman"/>
          <w:color w:val="000000" w:themeColor="text1"/>
        </w:rPr>
        <w:fldChar w:fldCharType="separate"/>
      </w:r>
      <w:r w:rsidR="00E120C2" w:rsidRPr="00263307">
        <w:rPr>
          <w:rFonts w:ascii="Book Antiqua" w:hAnsi="Book Antiqua" w:cs="Times New Roman"/>
          <w:noProof/>
          <w:color w:val="000000" w:themeColor="text1"/>
          <w:vertAlign w:val="superscript"/>
        </w:rPr>
        <w:t>[8,12,14,15,23,24]</w:t>
      </w:r>
      <w:r w:rsidR="00E120C2" w:rsidRPr="00263307">
        <w:rPr>
          <w:rFonts w:ascii="Book Antiqua" w:hAnsi="Book Antiqua" w:cs="Times New Roman"/>
          <w:color w:val="000000" w:themeColor="text1"/>
        </w:rPr>
        <w:fldChar w:fldCharType="end"/>
      </w:r>
      <w:r w:rsidR="00AE0B4D" w:rsidRPr="00263307">
        <w:rPr>
          <w:rFonts w:ascii="Book Antiqua" w:hAnsi="Book Antiqua" w:cs="Times New Roman"/>
          <w:color w:val="000000" w:themeColor="text1"/>
        </w:rPr>
        <w:t>.</w:t>
      </w:r>
      <w:r w:rsidR="00D56371" w:rsidRPr="00263307">
        <w:rPr>
          <w:rFonts w:ascii="Book Antiqua" w:hAnsi="Book Antiqua" w:cs="Times New Roman"/>
          <w:color w:val="000000" w:themeColor="text1"/>
        </w:rPr>
        <w:t xml:space="preserve"> Hyponatremia was defined as serum sodium &lt; 135 </w:t>
      </w:r>
      <w:proofErr w:type="spellStart"/>
      <w:r w:rsidR="00D56371" w:rsidRPr="00263307">
        <w:rPr>
          <w:rFonts w:ascii="Book Antiqua" w:hAnsi="Book Antiqua" w:cs="Times New Roman"/>
          <w:color w:val="000000" w:themeColor="text1"/>
        </w:rPr>
        <w:t>mEq</w:t>
      </w:r>
      <w:proofErr w:type="spellEnd"/>
      <w:r w:rsidR="00D56371" w:rsidRPr="00263307">
        <w:rPr>
          <w:rFonts w:ascii="Book Antiqua" w:hAnsi="Book Antiqua" w:cs="Times New Roman"/>
          <w:color w:val="000000" w:themeColor="text1"/>
        </w:rPr>
        <w:t>/L</w:t>
      </w:r>
      <w:r w:rsidR="00E120C2" w:rsidRPr="00263307">
        <w:rPr>
          <w:rFonts w:ascii="Book Antiqua" w:hAnsi="Book Antiqua" w:cs="Times New Roman"/>
          <w:color w:val="000000" w:themeColor="text1"/>
        </w:rPr>
        <w:fldChar w:fldCharType="begin" w:fldLock="1"/>
      </w:r>
      <w:r w:rsidR="00E120C2" w:rsidRPr="00263307">
        <w:rPr>
          <w:rFonts w:ascii="Book Antiqua" w:hAnsi="Book Antiqua" w:cs="Times New Roman"/>
          <w:color w:val="000000" w:themeColor="text1"/>
        </w:rPr>
        <w:instrText>ADDIN CSL_CITATION {"citationItems":[{"id":"ITEM-1","itemData":{"DOI":"10.1056/NEJM200005253422107","ISSN":"0028-4793","abstract":"Hyponatremia is defined as a decrease in the serum sodium concentration to a level below 136 mmol per liter. Whereas hypernatremia always denotes hypertonicity, hyponatremia can be associated with ...","author":[{"dropping-particle":"","family":"Adrogué","given":"Horacio J.","non-dropping-particle":"","parse-names":false,"suffix":""},{"dropping-particle":"","family":"Madias","given":"Nicolaos E.","non-dropping-particle":"","parse-names":false,"suffix":""}],"container-title":"New England Journal of Medicine","id":"ITEM-1","issue":"21","issued":{"date-parts":[["2000","5","25"]]},"page":"1581-1589","publisher":" Massachusetts Medical Society ","title":"Hyponatremia","type":"article-journal","volume":"342"},"uris":["http://www.mendeley.com/documents/?uuid=ac992e89-0b48-36f7-9784-d3e20aa92f00"]}],"mendeley":{"formattedCitation":"&lt;sup&gt;[&lt;sup&gt;25&lt;/sup&gt;]&lt;/sup&gt;","plainTextFormattedCitation":"[25]","previouslyFormattedCitation":"&lt;sup&gt;[&lt;sup&gt;25&lt;/sup&gt;]&lt;/sup&gt;"},"properties":{"noteIndex":0},"schema":"https://github.com/citation-style-language/schema/raw/master/csl-citation.json"}</w:instrText>
      </w:r>
      <w:r w:rsidR="00E120C2" w:rsidRPr="00263307">
        <w:rPr>
          <w:rFonts w:ascii="Book Antiqua" w:hAnsi="Book Antiqua" w:cs="Times New Roman"/>
          <w:color w:val="000000" w:themeColor="text1"/>
        </w:rPr>
        <w:fldChar w:fldCharType="separate"/>
      </w:r>
      <w:r w:rsidR="00E120C2" w:rsidRPr="00263307">
        <w:rPr>
          <w:rFonts w:ascii="Book Antiqua" w:hAnsi="Book Antiqua" w:cs="Times New Roman"/>
          <w:noProof/>
          <w:color w:val="000000" w:themeColor="text1"/>
          <w:vertAlign w:val="superscript"/>
        </w:rPr>
        <w:t>[25]</w:t>
      </w:r>
      <w:r w:rsidR="00E120C2" w:rsidRPr="00263307">
        <w:rPr>
          <w:rFonts w:ascii="Book Antiqua" w:hAnsi="Book Antiqua" w:cs="Times New Roman"/>
          <w:color w:val="000000" w:themeColor="text1"/>
        </w:rPr>
        <w:fldChar w:fldCharType="end"/>
      </w:r>
      <w:r w:rsidR="00D56371" w:rsidRPr="00263307">
        <w:rPr>
          <w:rFonts w:ascii="Book Antiqua" w:hAnsi="Book Antiqua" w:cs="Times New Roman"/>
          <w:color w:val="000000" w:themeColor="text1"/>
        </w:rPr>
        <w:t>.</w:t>
      </w:r>
    </w:p>
    <w:p w14:paraId="5CBF4F57" w14:textId="2F9532C4" w:rsidR="00E417AB" w:rsidRPr="00263307" w:rsidRDefault="00E417AB" w:rsidP="00263307">
      <w:pPr>
        <w:adjustRightInd w:val="0"/>
        <w:snapToGrid w:val="0"/>
        <w:spacing w:line="360" w:lineRule="auto"/>
        <w:jc w:val="both"/>
        <w:rPr>
          <w:rFonts w:ascii="Book Antiqua" w:hAnsi="Book Antiqua" w:cs="Times New Roman"/>
          <w:color w:val="000000" w:themeColor="text1"/>
        </w:rPr>
      </w:pPr>
    </w:p>
    <w:p w14:paraId="2CFC3739" w14:textId="77777777" w:rsidR="00A8461D" w:rsidRPr="00263307" w:rsidRDefault="00FE2A37" w:rsidP="00263307">
      <w:pPr>
        <w:autoSpaceDE w:val="0"/>
        <w:autoSpaceDN w:val="0"/>
        <w:adjustRightInd w:val="0"/>
        <w:snapToGrid w:val="0"/>
        <w:spacing w:line="360" w:lineRule="auto"/>
        <w:jc w:val="both"/>
        <w:rPr>
          <w:rFonts w:ascii="Book Antiqua" w:eastAsia="宋体" w:hAnsi="Book Antiqua" w:cs="Times New Roman"/>
          <w:b/>
          <w:i/>
          <w:color w:val="000000" w:themeColor="text1"/>
          <w:lang w:eastAsia="zh-CN"/>
        </w:rPr>
      </w:pPr>
      <w:r w:rsidRPr="00263307">
        <w:rPr>
          <w:rFonts w:ascii="Book Antiqua" w:hAnsi="Book Antiqua" w:cs="Times New Roman"/>
          <w:b/>
          <w:i/>
          <w:color w:val="000000" w:themeColor="text1"/>
        </w:rPr>
        <w:t>Statistical analys</w:t>
      </w:r>
      <w:r w:rsidR="003B0CA2" w:rsidRPr="00263307">
        <w:rPr>
          <w:rFonts w:ascii="Book Antiqua" w:hAnsi="Book Antiqua" w:cs="Times New Roman"/>
          <w:b/>
          <w:i/>
          <w:color w:val="000000" w:themeColor="text1"/>
        </w:rPr>
        <w:t>e</w:t>
      </w:r>
      <w:r w:rsidR="00A8461D" w:rsidRPr="00263307">
        <w:rPr>
          <w:rFonts w:ascii="Book Antiqua" w:hAnsi="Book Antiqua" w:cs="Times New Roman"/>
          <w:b/>
          <w:i/>
          <w:color w:val="000000" w:themeColor="text1"/>
        </w:rPr>
        <w:t>s</w:t>
      </w:r>
    </w:p>
    <w:p w14:paraId="6440099F" w14:textId="77777777" w:rsidR="00A8461D" w:rsidRPr="00263307" w:rsidRDefault="00A11E6A" w:rsidP="00263307">
      <w:pPr>
        <w:autoSpaceDE w:val="0"/>
        <w:autoSpaceDN w:val="0"/>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cs="Times New Roman"/>
          <w:b/>
          <w:color w:val="000000" w:themeColor="text1"/>
        </w:rPr>
        <w:t>Univariate comparison</w:t>
      </w:r>
      <w:r w:rsidR="009F68FB" w:rsidRPr="00263307">
        <w:rPr>
          <w:rFonts w:ascii="Book Antiqua" w:hAnsi="Book Antiqua" w:cs="Times New Roman"/>
          <w:b/>
          <w:color w:val="000000" w:themeColor="text1"/>
        </w:rPr>
        <w:t>s</w:t>
      </w:r>
      <w:r w:rsidR="00A8461D" w:rsidRPr="00263307">
        <w:rPr>
          <w:rFonts w:ascii="Book Antiqua" w:eastAsia="宋体" w:hAnsi="Book Antiqua" w:cs="Times New Roman"/>
          <w:b/>
          <w:color w:val="000000" w:themeColor="text1"/>
          <w:lang w:eastAsia="zh-CN"/>
        </w:rPr>
        <w:t xml:space="preserve">: </w:t>
      </w:r>
      <w:r w:rsidR="00B5269C" w:rsidRPr="00263307">
        <w:rPr>
          <w:rFonts w:ascii="Book Antiqua" w:hAnsi="Book Antiqua" w:cs="Times New Roman"/>
          <w:color w:val="000000" w:themeColor="text1"/>
        </w:rPr>
        <w:t>We compared</w:t>
      </w:r>
      <w:r w:rsidR="00FE2A37" w:rsidRPr="00263307">
        <w:rPr>
          <w:rFonts w:ascii="Book Antiqua" w:hAnsi="Book Antiqua" w:cs="Times New Roman"/>
          <w:color w:val="000000" w:themeColor="text1"/>
        </w:rPr>
        <w:t xml:space="preserve"> </w:t>
      </w:r>
      <w:r w:rsidR="00547E6E" w:rsidRPr="00263307">
        <w:rPr>
          <w:rFonts w:ascii="Book Antiqua" w:hAnsi="Book Antiqua" w:cs="Times New Roman"/>
          <w:color w:val="000000" w:themeColor="text1"/>
        </w:rPr>
        <w:t>all evaluated</w:t>
      </w:r>
      <w:r w:rsidR="00FE2A37" w:rsidRPr="00263307">
        <w:rPr>
          <w:rFonts w:ascii="Book Antiqua" w:hAnsi="Book Antiqua" w:cs="Times New Roman"/>
          <w:color w:val="000000" w:themeColor="text1"/>
        </w:rPr>
        <w:t xml:space="preserve"> </w:t>
      </w:r>
      <w:r w:rsidR="008F3718" w:rsidRPr="00263307">
        <w:rPr>
          <w:rFonts w:ascii="Book Antiqua" w:hAnsi="Book Antiqua" w:cs="Times New Roman"/>
          <w:color w:val="000000" w:themeColor="text1"/>
        </w:rPr>
        <w:t>patient characteristics</w:t>
      </w:r>
      <w:r w:rsidR="00FE2A37" w:rsidRPr="00263307">
        <w:rPr>
          <w:rFonts w:ascii="Book Antiqua" w:hAnsi="Book Antiqua" w:cs="Times New Roman"/>
          <w:color w:val="000000" w:themeColor="text1"/>
        </w:rPr>
        <w:t xml:space="preserve"> with </w:t>
      </w:r>
      <w:r w:rsidR="000D4746" w:rsidRPr="00263307">
        <w:rPr>
          <w:rFonts w:ascii="Book Antiqua" w:hAnsi="Book Antiqua" w:cs="Times New Roman"/>
          <w:color w:val="000000" w:themeColor="text1"/>
        </w:rPr>
        <w:t xml:space="preserve">SA </w:t>
      </w:r>
      <w:r w:rsidR="00FE2A37" w:rsidRPr="00263307">
        <w:rPr>
          <w:rFonts w:ascii="Book Antiqua" w:hAnsi="Book Antiqua" w:cs="Times New Roman"/>
          <w:color w:val="000000" w:themeColor="text1"/>
        </w:rPr>
        <w:t xml:space="preserve">and </w:t>
      </w:r>
      <w:r w:rsidR="000D4746" w:rsidRPr="00263307">
        <w:rPr>
          <w:rFonts w:ascii="Book Antiqua" w:hAnsi="Book Antiqua" w:cs="Times New Roman"/>
          <w:color w:val="000000" w:themeColor="text1"/>
        </w:rPr>
        <w:t xml:space="preserve">CA </w:t>
      </w:r>
      <w:r w:rsidRPr="00263307">
        <w:rPr>
          <w:rFonts w:ascii="Book Antiqua" w:hAnsi="Book Antiqua" w:cs="Times New Roman"/>
          <w:color w:val="000000" w:themeColor="text1"/>
        </w:rPr>
        <w:t xml:space="preserve">to select candidates </w:t>
      </w:r>
      <w:r w:rsidR="00B0174F" w:rsidRPr="00263307">
        <w:rPr>
          <w:rFonts w:ascii="Book Antiqua" w:hAnsi="Book Antiqua" w:cs="Times New Roman"/>
          <w:color w:val="000000" w:themeColor="text1"/>
        </w:rPr>
        <w:t xml:space="preserve">for </w:t>
      </w:r>
      <w:r w:rsidRPr="00263307">
        <w:rPr>
          <w:rFonts w:ascii="Book Antiqua" w:hAnsi="Book Antiqua" w:cs="Times New Roman"/>
          <w:color w:val="000000" w:themeColor="text1"/>
        </w:rPr>
        <w:t>independent variables of logistic regression</w:t>
      </w:r>
      <w:r w:rsidR="000D4746" w:rsidRPr="00263307">
        <w:rPr>
          <w:rFonts w:ascii="Book Antiqua" w:hAnsi="Book Antiqua" w:cs="Times New Roman"/>
          <w:color w:val="000000" w:themeColor="text1"/>
        </w:rPr>
        <w:t>s</w:t>
      </w:r>
      <w:r w:rsidR="00F965C1" w:rsidRPr="00263307">
        <w:rPr>
          <w:rFonts w:ascii="Book Antiqua" w:hAnsi="Book Antiqua" w:cs="Times New Roman"/>
          <w:color w:val="000000" w:themeColor="text1"/>
        </w:rPr>
        <w:t>.</w:t>
      </w:r>
      <w:r w:rsidR="00547E6E" w:rsidRPr="00263307">
        <w:rPr>
          <w:rFonts w:ascii="Book Antiqua" w:hAnsi="Book Antiqua" w:cs="Times New Roman"/>
          <w:color w:val="000000" w:themeColor="text1"/>
        </w:rPr>
        <w:t xml:space="preserve"> </w:t>
      </w:r>
      <w:r w:rsidR="003B0CA2" w:rsidRPr="00263307">
        <w:rPr>
          <w:rFonts w:ascii="Book Antiqua" w:hAnsi="Book Antiqua" w:cs="Times New Roman"/>
          <w:color w:val="000000" w:themeColor="text1"/>
        </w:rPr>
        <w:t>The</w:t>
      </w:r>
      <w:r w:rsidR="00A8461D" w:rsidRPr="00263307">
        <w:rPr>
          <w:rFonts w:ascii="Book Antiqua" w:eastAsia="宋体" w:hAnsi="Book Antiqua" w:cs="Times New Roman"/>
          <w:color w:val="000000" w:themeColor="text1"/>
          <w:lang w:eastAsia="zh-CN"/>
        </w:rPr>
        <w:t xml:space="preserve"> </w:t>
      </w:r>
      <w:r w:rsidR="00A8461D" w:rsidRPr="00263307">
        <w:rPr>
          <w:rFonts w:ascii="Book Antiqua" w:hAnsi="Book Antiqua" w:cs="Times New Roman"/>
          <w:i/>
          <w:color w:val="000000" w:themeColor="text1"/>
        </w:rPr>
        <w:t>χ</w:t>
      </w:r>
      <w:r w:rsidR="00A8461D" w:rsidRPr="00263307">
        <w:rPr>
          <w:rFonts w:ascii="Book Antiqua" w:hAnsi="Book Antiqua" w:cs="Times New Roman"/>
          <w:color w:val="000000" w:themeColor="text1"/>
          <w:vertAlign w:val="superscript"/>
        </w:rPr>
        <w:t>2</w:t>
      </w:r>
      <w:r w:rsidR="00B5269C" w:rsidRPr="00263307">
        <w:rPr>
          <w:rFonts w:ascii="Book Antiqua" w:hAnsi="Book Antiqua" w:cs="Times New Roman"/>
          <w:color w:val="000000" w:themeColor="text1"/>
        </w:rPr>
        <w:t xml:space="preserve"> test</w:t>
      </w:r>
      <w:r w:rsidR="00F965C1" w:rsidRPr="00263307">
        <w:rPr>
          <w:rFonts w:ascii="Book Antiqua" w:hAnsi="Book Antiqua" w:cs="Times New Roman"/>
          <w:color w:val="000000" w:themeColor="text1"/>
        </w:rPr>
        <w:t xml:space="preserve"> </w:t>
      </w:r>
      <w:r w:rsidR="00547E6E" w:rsidRPr="00263307">
        <w:rPr>
          <w:rFonts w:ascii="Book Antiqua" w:hAnsi="Book Antiqua" w:cs="Times New Roman"/>
          <w:color w:val="000000" w:themeColor="text1"/>
        </w:rPr>
        <w:t>was</w:t>
      </w:r>
      <w:r w:rsidR="00F965C1" w:rsidRPr="00263307">
        <w:rPr>
          <w:rFonts w:ascii="Book Antiqua" w:hAnsi="Book Antiqua" w:cs="Times New Roman"/>
          <w:color w:val="000000" w:themeColor="text1"/>
        </w:rPr>
        <w:t xml:space="preserve"> used for all </w:t>
      </w:r>
      <w:r w:rsidR="00410B64" w:rsidRPr="00263307">
        <w:rPr>
          <w:rFonts w:ascii="Book Antiqua" w:hAnsi="Book Antiqua" w:cs="Times New Roman"/>
          <w:color w:val="000000" w:themeColor="text1"/>
        </w:rPr>
        <w:t>dichotomous/</w:t>
      </w:r>
      <w:r w:rsidR="00F965C1" w:rsidRPr="00263307">
        <w:rPr>
          <w:rFonts w:ascii="Book Antiqua" w:hAnsi="Book Antiqua" w:cs="Times New Roman"/>
          <w:color w:val="000000" w:themeColor="text1"/>
        </w:rPr>
        <w:t>categorical variables</w:t>
      </w:r>
      <w:r w:rsidR="005E6855" w:rsidRPr="00263307">
        <w:rPr>
          <w:rFonts w:ascii="Book Antiqua" w:hAnsi="Book Antiqua" w:cs="Times New Roman"/>
          <w:color w:val="000000" w:themeColor="text1"/>
        </w:rPr>
        <w:t xml:space="preserve">, while the </w:t>
      </w:r>
      <w:r w:rsidR="00547E6E" w:rsidRPr="00263307">
        <w:rPr>
          <w:rFonts w:ascii="Book Antiqua" w:hAnsi="Book Antiqua" w:cs="Times New Roman"/>
          <w:color w:val="000000" w:themeColor="text1"/>
        </w:rPr>
        <w:t>W</w:t>
      </w:r>
      <w:r w:rsidR="0017481D" w:rsidRPr="00263307">
        <w:rPr>
          <w:rFonts w:ascii="Book Antiqua" w:hAnsi="Book Antiqua" w:cs="Times New Roman"/>
          <w:color w:val="000000" w:themeColor="text1"/>
        </w:rPr>
        <w:t>ilcoxon rank</w:t>
      </w:r>
      <w:r w:rsidR="005E6855" w:rsidRPr="00263307">
        <w:rPr>
          <w:rFonts w:ascii="Book Antiqua" w:hAnsi="Book Antiqua" w:cs="Times New Roman"/>
          <w:color w:val="000000" w:themeColor="text1"/>
        </w:rPr>
        <w:t>-</w:t>
      </w:r>
      <w:r w:rsidR="0017481D" w:rsidRPr="00263307">
        <w:rPr>
          <w:rFonts w:ascii="Book Antiqua" w:hAnsi="Book Antiqua" w:cs="Times New Roman"/>
          <w:color w:val="000000" w:themeColor="text1"/>
        </w:rPr>
        <w:t xml:space="preserve">sum test was used for </w:t>
      </w:r>
      <w:r w:rsidR="002C64DF" w:rsidRPr="00263307">
        <w:rPr>
          <w:rFonts w:ascii="Book Antiqua" w:hAnsi="Book Antiqua" w:cs="Times New Roman"/>
          <w:color w:val="000000" w:themeColor="text1"/>
        </w:rPr>
        <w:t xml:space="preserve">continuous </w:t>
      </w:r>
      <w:r w:rsidR="00C4509C" w:rsidRPr="00263307">
        <w:rPr>
          <w:rFonts w:ascii="Book Antiqua" w:hAnsi="Book Antiqua" w:cs="Times New Roman"/>
          <w:color w:val="000000" w:themeColor="text1"/>
        </w:rPr>
        <w:t>variables</w:t>
      </w:r>
      <w:r w:rsidR="0017481D" w:rsidRPr="00263307">
        <w:rPr>
          <w:rFonts w:ascii="Book Antiqua" w:hAnsi="Book Antiqua" w:cs="Times New Roman"/>
          <w:color w:val="000000" w:themeColor="text1"/>
        </w:rPr>
        <w:t xml:space="preserve"> because of </w:t>
      </w:r>
      <w:r w:rsidR="00C4509C" w:rsidRPr="00263307">
        <w:rPr>
          <w:rFonts w:ascii="Book Antiqua" w:hAnsi="Book Antiqua" w:cs="Times New Roman"/>
          <w:color w:val="000000" w:themeColor="text1"/>
        </w:rPr>
        <w:t>their</w:t>
      </w:r>
      <w:r w:rsidR="0017481D" w:rsidRPr="00263307">
        <w:rPr>
          <w:rFonts w:ascii="Book Antiqua" w:hAnsi="Book Antiqua" w:cs="Times New Roman"/>
          <w:color w:val="000000" w:themeColor="text1"/>
        </w:rPr>
        <w:t xml:space="preserve"> skewed distribution</w:t>
      </w:r>
      <w:r w:rsidR="00C4509C" w:rsidRPr="00263307">
        <w:rPr>
          <w:rFonts w:ascii="Book Antiqua" w:hAnsi="Book Antiqua" w:cs="Times New Roman"/>
          <w:color w:val="000000" w:themeColor="text1"/>
        </w:rPr>
        <w:t>s</w:t>
      </w:r>
      <w:r w:rsidR="00107E76" w:rsidRPr="00263307">
        <w:rPr>
          <w:rFonts w:ascii="Book Antiqua" w:hAnsi="Book Antiqua" w:cs="Times New Roman"/>
          <w:color w:val="000000" w:themeColor="text1"/>
        </w:rPr>
        <w:t>.</w:t>
      </w:r>
    </w:p>
    <w:p w14:paraId="21C25990" w14:textId="77777777" w:rsidR="00A8461D" w:rsidRPr="00263307" w:rsidRDefault="00A8461D" w:rsidP="00263307">
      <w:pPr>
        <w:autoSpaceDE w:val="0"/>
        <w:autoSpaceDN w:val="0"/>
        <w:adjustRightInd w:val="0"/>
        <w:snapToGrid w:val="0"/>
        <w:spacing w:line="360" w:lineRule="auto"/>
        <w:jc w:val="both"/>
        <w:rPr>
          <w:rFonts w:ascii="Book Antiqua" w:eastAsia="宋体" w:hAnsi="Book Antiqua" w:cs="Times New Roman"/>
          <w:color w:val="000000" w:themeColor="text1"/>
          <w:lang w:eastAsia="zh-CN"/>
        </w:rPr>
      </w:pPr>
    </w:p>
    <w:p w14:paraId="6975EC38" w14:textId="07BE11ED" w:rsidR="00A11E6A" w:rsidRPr="00263307" w:rsidRDefault="00A11E6A" w:rsidP="00263307">
      <w:pPr>
        <w:autoSpaceDE w:val="0"/>
        <w:autoSpaceDN w:val="0"/>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cs="Times New Roman"/>
          <w:b/>
          <w:color w:val="000000" w:themeColor="text1"/>
        </w:rPr>
        <w:t>Logistic regression</w:t>
      </w:r>
      <w:r w:rsidR="009F68FB" w:rsidRPr="00263307">
        <w:rPr>
          <w:rFonts w:ascii="Book Antiqua" w:hAnsi="Book Antiqua" w:cs="Times New Roman"/>
          <w:b/>
          <w:color w:val="000000" w:themeColor="text1"/>
        </w:rPr>
        <w:t xml:space="preserve"> model</w:t>
      </w:r>
      <w:r w:rsidR="00A8461D" w:rsidRPr="00263307">
        <w:rPr>
          <w:rFonts w:ascii="Book Antiqua" w:eastAsia="宋体" w:hAnsi="Book Antiqua" w:cs="Times New Roman"/>
          <w:b/>
          <w:color w:val="000000" w:themeColor="text1"/>
          <w:lang w:eastAsia="zh-CN"/>
        </w:rPr>
        <w:t>:</w:t>
      </w:r>
      <w:r w:rsidR="00A8461D" w:rsidRPr="00263307">
        <w:rPr>
          <w:rFonts w:ascii="Book Antiqua" w:eastAsia="宋体" w:hAnsi="Book Antiqua" w:cs="Times New Roman"/>
          <w:b/>
          <w:i/>
          <w:color w:val="000000" w:themeColor="text1"/>
          <w:lang w:eastAsia="zh-CN"/>
        </w:rPr>
        <w:t xml:space="preserve"> </w:t>
      </w:r>
      <w:r w:rsidR="00B5269C" w:rsidRPr="00263307">
        <w:rPr>
          <w:rFonts w:ascii="Book Antiqua" w:hAnsi="Book Antiqua" w:cs="Times New Roman"/>
          <w:color w:val="000000" w:themeColor="text1"/>
        </w:rPr>
        <w:t xml:space="preserve">Logistic regression analysis was subsequently performed based on the results of the univariate analyses. </w:t>
      </w:r>
      <w:r w:rsidR="00C4509C" w:rsidRPr="00263307">
        <w:rPr>
          <w:rFonts w:ascii="Book Antiqua" w:hAnsi="Book Antiqua" w:cs="Times New Roman"/>
          <w:color w:val="000000" w:themeColor="text1"/>
        </w:rPr>
        <w:t xml:space="preserve">As mentioned above, </w:t>
      </w:r>
      <w:r w:rsidR="00CE0883" w:rsidRPr="00263307">
        <w:rPr>
          <w:rFonts w:ascii="Book Antiqua" w:hAnsi="Book Antiqua" w:cs="Times New Roman"/>
          <w:color w:val="000000" w:themeColor="text1"/>
        </w:rPr>
        <w:t xml:space="preserve">we converted </w:t>
      </w:r>
      <w:r w:rsidR="008F3718" w:rsidRPr="00263307">
        <w:rPr>
          <w:rFonts w:ascii="Book Antiqua" w:hAnsi="Book Antiqua" w:cs="Times New Roman"/>
          <w:color w:val="000000" w:themeColor="text1"/>
        </w:rPr>
        <w:t xml:space="preserve">all </w:t>
      </w:r>
      <w:r w:rsidR="00C4509C" w:rsidRPr="00263307">
        <w:rPr>
          <w:rFonts w:ascii="Book Antiqua" w:hAnsi="Book Antiqua" w:cs="Times New Roman"/>
          <w:color w:val="000000" w:themeColor="text1"/>
        </w:rPr>
        <w:t>continuous variables</w:t>
      </w:r>
      <w:r w:rsidR="008F3718" w:rsidRPr="00263307">
        <w:rPr>
          <w:rFonts w:ascii="Book Antiqua" w:hAnsi="Book Antiqua" w:cs="Times New Roman"/>
          <w:color w:val="000000" w:themeColor="text1"/>
        </w:rPr>
        <w:t>,</w:t>
      </w:r>
      <w:r w:rsidR="00C4509C" w:rsidRPr="00263307">
        <w:rPr>
          <w:rFonts w:ascii="Book Antiqua" w:hAnsi="Book Antiqua" w:cs="Times New Roman"/>
          <w:color w:val="000000" w:themeColor="text1"/>
        </w:rPr>
        <w:t xml:space="preserve"> except for onset-to-visit interval</w:t>
      </w:r>
      <w:r w:rsidR="008F3718" w:rsidRPr="00263307">
        <w:rPr>
          <w:rFonts w:ascii="Book Antiqua" w:hAnsi="Book Antiqua" w:cs="Times New Roman"/>
          <w:color w:val="000000" w:themeColor="text1"/>
        </w:rPr>
        <w:t>,</w:t>
      </w:r>
      <w:r w:rsidR="00C4509C" w:rsidRPr="00263307">
        <w:rPr>
          <w:rFonts w:ascii="Book Antiqua" w:hAnsi="Book Antiqua" w:cs="Times New Roman"/>
          <w:color w:val="000000" w:themeColor="text1"/>
        </w:rPr>
        <w:t xml:space="preserve"> </w:t>
      </w:r>
      <w:r w:rsidR="00CE0883" w:rsidRPr="00263307">
        <w:rPr>
          <w:rFonts w:ascii="Book Antiqua" w:hAnsi="Book Antiqua" w:cs="Times New Roman"/>
          <w:color w:val="000000" w:themeColor="text1"/>
        </w:rPr>
        <w:t>into</w:t>
      </w:r>
      <w:r w:rsidR="00C4509C" w:rsidRPr="00263307">
        <w:rPr>
          <w:rFonts w:ascii="Book Antiqua" w:hAnsi="Book Antiqua" w:cs="Times New Roman"/>
          <w:color w:val="000000" w:themeColor="text1"/>
        </w:rPr>
        <w:t xml:space="preserve"> categorized </w:t>
      </w:r>
      <w:r w:rsidR="00CE0883" w:rsidRPr="00263307">
        <w:rPr>
          <w:rFonts w:ascii="Book Antiqua" w:hAnsi="Book Antiqua" w:cs="Times New Roman"/>
          <w:color w:val="000000" w:themeColor="text1"/>
        </w:rPr>
        <w:t xml:space="preserve">variables </w:t>
      </w:r>
      <w:r w:rsidR="00C4509C" w:rsidRPr="00263307">
        <w:rPr>
          <w:rFonts w:ascii="Book Antiqua" w:hAnsi="Book Antiqua" w:cs="Times New Roman"/>
          <w:color w:val="000000" w:themeColor="text1"/>
        </w:rPr>
        <w:t xml:space="preserve">for logistic regression. </w:t>
      </w:r>
      <w:r w:rsidR="00813325" w:rsidRPr="00263307">
        <w:rPr>
          <w:rFonts w:ascii="Book Antiqua" w:hAnsi="Book Antiqua" w:cs="Times New Roman"/>
          <w:color w:val="000000" w:themeColor="text1"/>
        </w:rPr>
        <w:t xml:space="preserve">To evaluate predictive factors of </w:t>
      </w:r>
      <w:r w:rsidR="000D4746" w:rsidRPr="00263307">
        <w:rPr>
          <w:rFonts w:ascii="Book Antiqua" w:hAnsi="Book Antiqua" w:cs="Times New Roman"/>
          <w:color w:val="000000" w:themeColor="text1"/>
        </w:rPr>
        <w:t>CA</w:t>
      </w:r>
      <w:r w:rsidR="00813325" w:rsidRPr="00263307">
        <w:rPr>
          <w:rFonts w:ascii="Book Antiqua" w:hAnsi="Book Antiqua" w:cs="Times New Roman"/>
          <w:color w:val="000000" w:themeColor="text1"/>
        </w:rPr>
        <w:t xml:space="preserve"> </w:t>
      </w:r>
      <w:r w:rsidR="000D4746" w:rsidRPr="00263307">
        <w:rPr>
          <w:rFonts w:ascii="Book Antiqua" w:hAnsi="Book Antiqua" w:cs="Times New Roman"/>
          <w:color w:val="000000" w:themeColor="text1"/>
        </w:rPr>
        <w:t xml:space="preserve">that </w:t>
      </w:r>
      <w:r w:rsidR="00B0174F" w:rsidRPr="00263307">
        <w:rPr>
          <w:rFonts w:ascii="Book Antiqua" w:hAnsi="Book Antiqua" w:cs="Times New Roman"/>
          <w:color w:val="000000" w:themeColor="text1"/>
        </w:rPr>
        <w:t xml:space="preserve">were </w:t>
      </w:r>
      <w:r w:rsidR="00813325" w:rsidRPr="00263307">
        <w:rPr>
          <w:rFonts w:ascii="Book Antiqua" w:hAnsi="Book Antiqua" w:cs="Times New Roman"/>
          <w:color w:val="000000" w:themeColor="text1"/>
        </w:rPr>
        <w:t xml:space="preserve">available </w:t>
      </w:r>
      <w:r w:rsidR="000D4746" w:rsidRPr="00263307">
        <w:rPr>
          <w:rFonts w:ascii="Book Antiqua" w:hAnsi="Book Antiqua" w:cs="Times New Roman"/>
          <w:color w:val="000000" w:themeColor="text1"/>
        </w:rPr>
        <w:t>prior to</w:t>
      </w:r>
      <w:r w:rsidR="00813325" w:rsidRPr="00263307">
        <w:rPr>
          <w:rFonts w:ascii="Book Antiqua" w:hAnsi="Book Antiqua" w:cs="Times New Roman"/>
          <w:color w:val="000000" w:themeColor="text1"/>
        </w:rPr>
        <w:t xml:space="preserve"> </w:t>
      </w:r>
      <w:r w:rsidR="00DD484E" w:rsidRPr="00263307">
        <w:rPr>
          <w:rFonts w:ascii="Book Antiqua" w:hAnsi="Book Antiqua" w:cs="Times New Roman"/>
          <w:color w:val="000000" w:themeColor="text1"/>
        </w:rPr>
        <w:t xml:space="preserve">obtain </w:t>
      </w:r>
      <w:r w:rsidR="00813325" w:rsidRPr="00263307">
        <w:rPr>
          <w:rFonts w:ascii="Book Antiqua" w:hAnsi="Book Antiqua" w:cs="Times New Roman"/>
          <w:color w:val="000000" w:themeColor="text1"/>
        </w:rPr>
        <w:t xml:space="preserve">laboratory </w:t>
      </w:r>
      <w:r w:rsidR="00DD484E" w:rsidRPr="00263307">
        <w:rPr>
          <w:rFonts w:ascii="Book Antiqua" w:hAnsi="Book Antiqua" w:cs="Times New Roman"/>
          <w:color w:val="000000" w:themeColor="text1"/>
        </w:rPr>
        <w:t>results</w:t>
      </w:r>
      <w:r w:rsidR="00813325" w:rsidRPr="00263307">
        <w:rPr>
          <w:rFonts w:ascii="Book Antiqua" w:hAnsi="Book Antiqua" w:cs="Times New Roman"/>
          <w:color w:val="000000" w:themeColor="text1"/>
        </w:rPr>
        <w:t xml:space="preserve">, we initially performed logistic regression using non-laboratory data </w:t>
      </w:r>
      <w:r w:rsidR="00DD484E" w:rsidRPr="00263307">
        <w:rPr>
          <w:rFonts w:ascii="Book Antiqua" w:hAnsi="Book Antiqua" w:cs="Times New Roman"/>
          <w:color w:val="000000" w:themeColor="text1"/>
        </w:rPr>
        <w:t xml:space="preserve">including </w:t>
      </w:r>
      <w:r w:rsidR="000D4746" w:rsidRPr="00263307">
        <w:rPr>
          <w:rFonts w:ascii="Book Antiqua" w:hAnsi="Book Antiqua" w:cs="Times New Roman"/>
          <w:color w:val="000000" w:themeColor="text1"/>
        </w:rPr>
        <w:t xml:space="preserve">patient profiles, symptoms, and physical findings </w:t>
      </w:r>
      <w:r w:rsidR="00813325" w:rsidRPr="00263307">
        <w:rPr>
          <w:rFonts w:ascii="Book Antiqua" w:hAnsi="Book Antiqua" w:cs="Times New Roman"/>
          <w:color w:val="000000" w:themeColor="text1"/>
        </w:rPr>
        <w:t xml:space="preserve">as explanatory variables (Model 1). Subsequently, we performed logistic regression using both laboratory factors and non-laboratory factors that were significant in Model 1 </w:t>
      </w:r>
      <w:r w:rsidR="002B30AE" w:rsidRPr="00263307">
        <w:rPr>
          <w:rFonts w:ascii="Book Antiqua" w:hAnsi="Book Antiqua" w:cs="Times New Roman"/>
          <w:color w:val="000000" w:themeColor="text1"/>
        </w:rPr>
        <w:t xml:space="preserve">as explanatory variables </w:t>
      </w:r>
      <w:r w:rsidR="00813325" w:rsidRPr="00263307">
        <w:rPr>
          <w:rFonts w:ascii="Book Antiqua" w:hAnsi="Book Antiqua" w:cs="Times New Roman"/>
          <w:color w:val="000000" w:themeColor="text1"/>
        </w:rPr>
        <w:t xml:space="preserve">(Model 2). </w:t>
      </w:r>
      <w:r w:rsidR="00B5269C" w:rsidRPr="00263307">
        <w:rPr>
          <w:rFonts w:ascii="Book Antiqua" w:hAnsi="Book Antiqua" w:cs="Times New Roman"/>
          <w:color w:val="000000" w:themeColor="text1"/>
        </w:rPr>
        <w:t>We examined the variance inflation factors</w:t>
      </w:r>
      <w:r w:rsidR="001550E7" w:rsidRPr="00263307">
        <w:rPr>
          <w:rFonts w:ascii="Book Antiqua" w:hAnsi="Book Antiqua" w:cs="Times New Roman"/>
          <w:color w:val="000000" w:themeColor="text1"/>
        </w:rPr>
        <w:t xml:space="preserve"> (VIF)</w:t>
      </w:r>
      <w:r w:rsidRPr="00263307">
        <w:rPr>
          <w:rFonts w:ascii="Book Antiqua" w:hAnsi="Book Antiqua" w:cs="Times New Roman"/>
          <w:color w:val="000000" w:themeColor="text1"/>
        </w:rPr>
        <w:t xml:space="preserve"> to evaluate </w:t>
      </w:r>
      <w:r w:rsidR="00174DC7" w:rsidRPr="00263307">
        <w:rPr>
          <w:rFonts w:ascii="Book Antiqua" w:hAnsi="Book Antiqua" w:cs="Times New Roman"/>
          <w:color w:val="000000" w:themeColor="text1"/>
        </w:rPr>
        <w:t xml:space="preserve">the </w:t>
      </w:r>
      <w:r w:rsidRPr="00263307">
        <w:rPr>
          <w:rFonts w:ascii="Book Antiqua" w:hAnsi="Book Antiqua" w:cs="Times New Roman"/>
          <w:color w:val="000000" w:themeColor="text1"/>
        </w:rPr>
        <w:t>multicollinearity</w:t>
      </w:r>
      <w:r w:rsidR="00C4509C" w:rsidRPr="00263307">
        <w:rPr>
          <w:rFonts w:ascii="Book Antiqua" w:hAnsi="Book Antiqua" w:cs="Times New Roman"/>
          <w:color w:val="000000" w:themeColor="text1"/>
        </w:rPr>
        <w:t xml:space="preserve"> of the regression model</w:t>
      </w:r>
      <w:r w:rsidR="00813325" w:rsidRPr="00263307">
        <w:rPr>
          <w:rFonts w:ascii="Book Antiqua" w:hAnsi="Book Antiqua" w:cs="Times New Roman"/>
          <w:color w:val="000000" w:themeColor="text1"/>
        </w:rPr>
        <w:t>s</w:t>
      </w:r>
      <w:r w:rsidRPr="00263307">
        <w:rPr>
          <w:rFonts w:ascii="Book Antiqua" w:hAnsi="Book Antiqua" w:cs="Times New Roman"/>
          <w:color w:val="000000" w:themeColor="text1"/>
        </w:rPr>
        <w:t>.</w:t>
      </w:r>
    </w:p>
    <w:p w14:paraId="3C03E48B" w14:textId="77777777" w:rsidR="00A8461D" w:rsidRPr="00263307" w:rsidRDefault="00A8461D" w:rsidP="00263307">
      <w:pPr>
        <w:pStyle w:val="a3"/>
        <w:adjustRightInd w:val="0"/>
        <w:snapToGrid w:val="0"/>
        <w:spacing w:line="360" w:lineRule="auto"/>
        <w:ind w:leftChars="0" w:left="0"/>
        <w:rPr>
          <w:rFonts w:ascii="Book Antiqua" w:eastAsia="宋体" w:hAnsi="Book Antiqua" w:cs="Times New Roman"/>
          <w:color w:val="000000" w:themeColor="text1"/>
          <w:kern w:val="0"/>
          <w:lang w:eastAsia="zh-CN"/>
        </w:rPr>
      </w:pPr>
    </w:p>
    <w:p w14:paraId="6524391E" w14:textId="77777777" w:rsidR="00A8461D" w:rsidRPr="00263307" w:rsidRDefault="00A11E6A" w:rsidP="00263307">
      <w:pPr>
        <w:pStyle w:val="a3"/>
        <w:adjustRightInd w:val="0"/>
        <w:snapToGrid w:val="0"/>
        <w:spacing w:line="360" w:lineRule="auto"/>
        <w:ind w:leftChars="0" w:left="0"/>
        <w:rPr>
          <w:rFonts w:ascii="Book Antiqua" w:eastAsia="宋体" w:hAnsi="Book Antiqua"/>
          <w:color w:val="000000" w:themeColor="text1"/>
          <w:lang w:eastAsia="zh-CN"/>
        </w:rPr>
      </w:pPr>
      <w:r w:rsidRPr="00263307">
        <w:rPr>
          <w:rFonts w:ascii="Book Antiqua" w:hAnsi="Book Antiqua" w:cs="Times New Roman"/>
          <w:b/>
          <w:color w:val="000000" w:themeColor="text1"/>
        </w:rPr>
        <w:t>Discrimination, calibration, and internal validation of the regression model</w:t>
      </w:r>
      <w:r w:rsidR="00A8461D" w:rsidRPr="00263307">
        <w:rPr>
          <w:rFonts w:ascii="Book Antiqua" w:eastAsia="宋体" w:hAnsi="Book Antiqua" w:cs="Times New Roman"/>
          <w:b/>
          <w:color w:val="000000" w:themeColor="text1"/>
          <w:lang w:eastAsia="zh-CN"/>
        </w:rPr>
        <w:t xml:space="preserve">: </w:t>
      </w:r>
      <w:r w:rsidR="00B5269C" w:rsidRPr="00263307">
        <w:rPr>
          <w:rFonts w:ascii="Book Antiqua" w:hAnsi="Book Antiqua"/>
          <w:color w:val="000000" w:themeColor="text1"/>
        </w:rPr>
        <w:t xml:space="preserve">We </w:t>
      </w:r>
      <w:r w:rsidRPr="00263307">
        <w:rPr>
          <w:rFonts w:ascii="Book Antiqua" w:hAnsi="Book Antiqua"/>
          <w:color w:val="000000" w:themeColor="text1"/>
        </w:rPr>
        <w:t>performed discrimination of the regression model</w:t>
      </w:r>
      <w:r w:rsidR="000D4746" w:rsidRPr="00263307">
        <w:rPr>
          <w:rFonts w:ascii="Book Antiqua" w:hAnsi="Book Antiqua"/>
          <w:color w:val="000000" w:themeColor="text1"/>
        </w:rPr>
        <w:t>s</w:t>
      </w:r>
      <w:r w:rsidRPr="00263307">
        <w:rPr>
          <w:rFonts w:ascii="Book Antiqua" w:hAnsi="Book Antiqua"/>
          <w:color w:val="000000" w:themeColor="text1"/>
        </w:rPr>
        <w:t xml:space="preserve"> by </w:t>
      </w:r>
      <w:r w:rsidR="00B5269C" w:rsidRPr="00263307">
        <w:rPr>
          <w:rFonts w:ascii="Book Antiqua" w:hAnsi="Book Antiqua"/>
          <w:color w:val="000000" w:themeColor="text1"/>
        </w:rPr>
        <w:t>creat</w:t>
      </w:r>
      <w:r w:rsidRPr="00263307">
        <w:rPr>
          <w:rFonts w:ascii="Book Antiqua" w:hAnsi="Book Antiqua"/>
          <w:color w:val="000000" w:themeColor="text1"/>
        </w:rPr>
        <w:t xml:space="preserve">ing </w:t>
      </w:r>
      <w:r w:rsidR="00B5269C" w:rsidRPr="00263307">
        <w:rPr>
          <w:rFonts w:ascii="Book Antiqua" w:hAnsi="Book Antiqua"/>
          <w:color w:val="000000" w:themeColor="text1"/>
        </w:rPr>
        <w:t xml:space="preserve">a </w:t>
      </w:r>
      <w:r w:rsidR="001515CE" w:rsidRPr="00263307">
        <w:rPr>
          <w:rFonts w:ascii="Book Antiqua" w:hAnsi="Book Antiqua"/>
          <w:color w:val="000000" w:themeColor="text1"/>
        </w:rPr>
        <w:t>receiver operating characteristic (</w:t>
      </w:r>
      <w:r w:rsidRPr="00263307">
        <w:rPr>
          <w:rFonts w:ascii="Book Antiqua" w:hAnsi="Book Antiqua"/>
          <w:color w:val="000000" w:themeColor="text1"/>
        </w:rPr>
        <w:t>ROC</w:t>
      </w:r>
      <w:r w:rsidR="001515CE" w:rsidRPr="00263307">
        <w:rPr>
          <w:rFonts w:ascii="Book Antiqua" w:hAnsi="Book Antiqua"/>
          <w:color w:val="000000" w:themeColor="text1"/>
        </w:rPr>
        <w:t>)</w:t>
      </w:r>
      <w:r w:rsidR="00B5269C" w:rsidRPr="00263307">
        <w:rPr>
          <w:rFonts w:ascii="Book Antiqua" w:hAnsi="Book Antiqua"/>
          <w:color w:val="000000" w:themeColor="text1"/>
        </w:rPr>
        <w:t xml:space="preserve"> curve</w:t>
      </w:r>
      <w:r w:rsidR="009F68FB" w:rsidRPr="00263307">
        <w:rPr>
          <w:rFonts w:ascii="Book Antiqua" w:hAnsi="Book Antiqua"/>
          <w:color w:val="000000" w:themeColor="text1"/>
        </w:rPr>
        <w:t xml:space="preserve">. </w:t>
      </w:r>
      <w:r w:rsidR="00174DC7" w:rsidRPr="00263307">
        <w:rPr>
          <w:rFonts w:ascii="Book Antiqua" w:hAnsi="Book Antiqua"/>
          <w:color w:val="000000" w:themeColor="text1"/>
        </w:rPr>
        <w:t xml:space="preserve">The </w:t>
      </w:r>
      <w:r w:rsidR="001515CE" w:rsidRPr="00263307">
        <w:rPr>
          <w:rFonts w:ascii="Book Antiqua" w:hAnsi="Book Antiqua"/>
          <w:color w:val="000000" w:themeColor="text1"/>
        </w:rPr>
        <w:t xml:space="preserve">differentiation abilities of the two regression models were compared using the methods </w:t>
      </w:r>
      <w:r w:rsidR="00174DC7" w:rsidRPr="00263307">
        <w:rPr>
          <w:rFonts w:ascii="Book Antiqua" w:hAnsi="Book Antiqua"/>
          <w:color w:val="000000" w:themeColor="text1"/>
        </w:rPr>
        <w:t xml:space="preserve">described by </w:t>
      </w:r>
      <w:r w:rsidR="001515CE" w:rsidRPr="00263307">
        <w:rPr>
          <w:rFonts w:ascii="Book Antiqua" w:hAnsi="Book Antiqua"/>
          <w:color w:val="000000" w:themeColor="text1"/>
        </w:rPr>
        <w:t xml:space="preserve">DeLong </w:t>
      </w:r>
      <w:r w:rsidR="001515CE" w:rsidRPr="00263307">
        <w:rPr>
          <w:rFonts w:ascii="Book Antiqua" w:hAnsi="Book Antiqua"/>
          <w:i/>
          <w:color w:val="000000" w:themeColor="text1"/>
        </w:rPr>
        <w:t>et al</w:t>
      </w:r>
      <w:r w:rsidR="00E120C2" w:rsidRPr="00263307">
        <w:rPr>
          <w:rFonts w:ascii="Book Antiqua" w:hAnsi="Book Antiqua"/>
          <w:color w:val="000000" w:themeColor="text1"/>
        </w:rPr>
        <w:fldChar w:fldCharType="begin" w:fldLock="1"/>
      </w:r>
      <w:r w:rsidR="00E120C2" w:rsidRPr="00263307">
        <w:rPr>
          <w:rFonts w:ascii="Book Antiqua" w:hAnsi="Book Antiqua"/>
          <w:color w:val="000000" w:themeColor="text1"/>
        </w:rPr>
        <w:instrText>ADDIN CSL_CITATION {"citationItems":[{"id":"ITEM-1","itemData":{"ISSN":"0006-341X","PMID":"3203132","abstract":"Methods of evaluating and comparing the performance of diagnostic tests are of increasing importance as new tests are developed and marketed. When a test is based on an observed variable that lies on a continuous or graded scale, an assessment of the overall value of the test can be made through the use of a receiver operating characteristic (ROC) curve. The curve is constructed by varying the cutpoint used to determine which values of the observed variable will be considered abnormal and then plotting the resulting sensitivities against the corresponding false positive rates. When two or more empirical curves are constructed based on tests performed on the same individuals, statistical analysis on differences between curves must take into account the correlated nature of the data. This paper presents a nonparametric approach to the analysis of areas under correlated ROC curves, by using the theory on generalized U-statistics to generate an estimated covariance matrix.","author":[{"dropping-particle":"","family":"DeLong","given":"E R","non-dropping-particle":"","parse-names":false,"suffix":""},{"dropping-particle":"","family":"DeLong","given":"D M","non-dropping-particle":"","parse-names":false,"suffix":""},{"dropping-particle":"","family":"Clarke-Pearson","given":"D L","non-dropping-particle":"","parse-names":false,"suffix":""}],"container-title":"Biometrics","id":"ITEM-1","issue":"3","issued":{"date-parts":[["1988","9"]]},"page":"837-45","title":"Comparing the areas under two or more correlated receiver operating characteristic curves: a nonparametric approach.","type":"article-journal","volume":"44"},"uris":["http://www.mendeley.com/documents/?uuid=1649a860-9547-3db2-ad42-e64c945d8cc0"]}],"mendeley":{"formattedCitation":"&lt;sup&gt;[&lt;sup&gt;26&lt;/sup&gt;]&lt;/sup&gt;","plainTextFormattedCitation":"[26]","previouslyFormattedCitation":"&lt;sup&gt;[&lt;sup&gt;26&lt;/sup&gt;]&lt;/sup&gt;"},"properties":{"noteIndex":0},"schema":"https://github.com/citation-style-language/schema/raw/master/csl-citation.json"}</w:instrText>
      </w:r>
      <w:r w:rsidR="00E120C2" w:rsidRPr="00263307">
        <w:rPr>
          <w:rFonts w:ascii="Book Antiqua" w:hAnsi="Book Antiqua"/>
          <w:color w:val="000000" w:themeColor="text1"/>
        </w:rPr>
        <w:fldChar w:fldCharType="separate"/>
      </w:r>
      <w:r w:rsidR="00E120C2" w:rsidRPr="00263307">
        <w:rPr>
          <w:rFonts w:ascii="Book Antiqua" w:hAnsi="Book Antiqua"/>
          <w:noProof/>
          <w:color w:val="000000" w:themeColor="text1"/>
          <w:vertAlign w:val="superscript"/>
        </w:rPr>
        <w:t>[26]</w:t>
      </w:r>
      <w:r w:rsidR="00E120C2" w:rsidRPr="00263307">
        <w:rPr>
          <w:rFonts w:ascii="Book Antiqua" w:hAnsi="Book Antiqua"/>
          <w:color w:val="000000" w:themeColor="text1"/>
        </w:rPr>
        <w:fldChar w:fldCharType="end"/>
      </w:r>
      <w:r w:rsidR="00007755" w:rsidRPr="00263307">
        <w:rPr>
          <w:rFonts w:ascii="Book Antiqua" w:hAnsi="Book Antiqua"/>
          <w:color w:val="000000" w:themeColor="text1"/>
        </w:rPr>
        <w:t>.</w:t>
      </w:r>
      <w:r w:rsidR="001515CE" w:rsidRPr="00263307">
        <w:rPr>
          <w:rFonts w:ascii="Book Antiqua" w:hAnsi="Book Antiqua"/>
          <w:color w:val="000000" w:themeColor="text1"/>
        </w:rPr>
        <w:t xml:space="preserve"> </w:t>
      </w:r>
      <w:r w:rsidR="009F68FB" w:rsidRPr="00263307">
        <w:rPr>
          <w:rFonts w:ascii="Book Antiqua" w:hAnsi="Book Antiqua"/>
          <w:color w:val="000000" w:themeColor="text1"/>
        </w:rPr>
        <w:t>We also</w:t>
      </w:r>
      <w:r w:rsidRPr="00263307">
        <w:rPr>
          <w:rFonts w:ascii="Book Antiqua" w:hAnsi="Book Antiqua"/>
          <w:color w:val="000000" w:themeColor="text1"/>
        </w:rPr>
        <w:t xml:space="preserve"> </w:t>
      </w:r>
      <w:r w:rsidR="009F68FB" w:rsidRPr="00263307">
        <w:rPr>
          <w:rFonts w:ascii="Book Antiqua" w:hAnsi="Book Antiqua"/>
          <w:color w:val="000000" w:themeColor="text1"/>
        </w:rPr>
        <w:t>calibrated the model</w:t>
      </w:r>
      <w:r w:rsidR="000D4746" w:rsidRPr="00263307">
        <w:rPr>
          <w:rFonts w:ascii="Book Antiqua" w:hAnsi="Book Antiqua"/>
          <w:color w:val="000000" w:themeColor="text1"/>
        </w:rPr>
        <w:t>s</w:t>
      </w:r>
      <w:r w:rsidR="009F68FB" w:rsidRPr="00263307">
        <w:rPr>
          <w:rFonts w:ascii="Book Antiqua" w:hAnsi="Book Antiqua"/>
          <w:color w:val="000000" w:themeColor="text1"/>
        </w:rPr>
        <w:t xml:space="preserve"> using </w:t>
      </w:r>
      <w:r w:rsidR="008F3718" w:rsidRPr="00263307">
        <w:rPr>
          <w:rFonts w:ascii="Book Antiqua" w:hAnsi="Book Antiqua"/>
          <w:color w:val="000000" w:themeColor="text1"/>
        </w:rPr>
        <w:t xml:space="preserve">the </w:t>
      </w:r>
      <w:r w:rsidR="009F68FB" w:rsidRPr="00263307">
        <w:rPr>
          <w:rFonts w:ascii="Book Antiqua" w:hAnsi="Book Antiqua"/>
          <w:color w:val="000000" w:themeColor="text1"/>
        </w:rPr>
        <w:t>Hosmer</w:t>
      </w:r>
      <w:r w:rsidR="00174DC7" w:rsidRPr="00263307">
        <w:rPr>
          <w:rFonts w:ascii="Book Antiqua" w:hAnsi="Book Antiqua"/>
          <w:color w:val="000000" w:themeColor="text1"/>
        </w:rPr>
        <w:t>–</w:t>
      </w:r>
      <w:proofErr w:type="spellStart"/>
      <w:r w:rsidR="009F68FB" w:rsidRPr="00263307">
        <w:rPr>
          <w:rFonts w:ascii="Book Antiqua" w:hAnsi="Book Antiqua"/>
          <w:color w:val="000000" w:themeColor="text1"/>
        </w:rPr>
        <w:t>Lemeshow</w:t>
      </w:r>
      <w:proofErr w:type="spellEnd"/>
      <w:r w:rsidR="00DB662F" w:rsidRPr="00263307">
        <w:rPr>
          <w:rFonts w:ascii="Book Antiqua" w:hAnsi="Book Antiqua"/>
          <w:color w:val="000000" w:themeColor="text1"/>
        </w:rPr>
        <w:t xml:space="preserve"> (HL)</w:t>
      </w:r>
      <w:r w:rsidR="009F68FB" w:rsidRPr="00263307">
        <w:rPr>
          <w:rFonts w:ascii="Book Antiqua" w:hAnsi="Book Antiqua"/>
          <w:color w:val="000000" w:themeColor="text1"/>
        </w:rPr>
        <w:t xml:space="preserve"> goodness</w:t>
      </w:r>
      <w:r w:rsidR="00174DC7" w:rsidRPr="00263307">
        <w:rPr>
          <w:rFonts w:ascii="Book Antiqua" w:hAnsi="Book Antiqua"/>
          <w:color w:val="000000" w:themeColor="text1"/>
        </w:rPr>
        <w:t>-</w:t>
      </w:r>
      <w:r w:rsidR="009F68FB" w:rsidRPr="00263307">
        <w:rPr>
          <w:rFonts w:ascii="Book Antiqua" w:hAnsi="Book Antiqua"/>
          <w:color w:val="000000" w:themeColor="text1"/>
        </w:rPr>
        <w:t>of</w:t>
      </w:r>
      <w:r w:rsidR="00174DC7" w:rsidRPr="00263307">
        <w:rPr>
          <w:rFonts w:ascii="Book Antiqua" w:hAnsi="Book Antiqua"/>
          <w:color w:val="000000" w:themeColor="text1"/>
        </w:rPr>
        <w:t>-</w:t>
      </w:r>
      <w:r w:rsidR="009F68FB" w:rsidRPr="00263307">
        <w:rPr>
          <w:rFonts w:ascii="Book Antiqua" w:hAnsi="Book Antiqua"/>
          <w:color w:val="000000" w:themeColor="text1"/>
        </w:rPr>
        <w:t>fit</w:t>
      </w:r>
      <w:r w:rsidR="00E224F4" w:rsidRPr="00263307">
        <w:rPr>
          <w:rFonts w:ascii="Book Antiqua" w:hAnsi="Book Antiqua"/>
          <w:color w:val="000000" w:themeColor="text1"/>
        </w:rPr>
        <w:t xml:space="preserve"> test</w:t>
      </w:r>
      <w:r w:rsidR="009F68FB" w:rsidRPr="00263307">
        <w:rPr>
          <w:rFonts w:ascii="Book Antiqua" w:hAnsi="Book Antiqua"/>
          <w:color w:val="000000" w:themeColor="text1"/>
        </w:rPr>
        <w:t>.</w:t>
      </w:r>
      <w:r w:rsidR="005C00A9" w:rsidRPr="00263307">
        <w:rPr>
          <w:rFonts w:ascii="Book Antiqua" w:hAnsi="Book Antiqua"/>
          <w:color w:val="000000" w:themeColor="text1"/>
        </w:rPr>
        <w:t xml:space="preserve"> </w:t>
      </w:r>
      <w:r w:rsidR="008F3718" w:rsidRPr="00263307">
        <w:rPr>
          <w:rFonts w:ascii="Book Antiqua" w:hAnsi="Book Antiqua"/>
          <w:color w:val="000000" w:themeColor="text1"/>
        </w:rPr>
        <w:t>Finally, we</w:t>
      </w:r>
      <w:r w:rsidR="009F68FB" w:rsidRPr="00263307">
        <w:rPr>
          <w:rFonts w:ascii="Book Antiqua" w:hAnsi="Book Antiqua"/>
          <w:color w:val="000000" w:themeColor="text1"/>
        </w:rPr>
        <w:t xml:space="preserve"> performed internal validation </w:t>
      </w:r>
      <w:r w:rsidR="00174DC7" w:rsidRPr="00263307">
        <w:rPr>
          <w:rFonts w:ascii="Book Antiqua" w:hAnsi="Book Antiqua"/>
          <w:color w:val="000000" w:themeColor="text1"/>
        </w:rPr>
        <w:t xml:space="preserve">using </w:t>
      </w:r>
      <w:r w:rsidR="009F68FB" w:rsidRPr="00263307">
        <w:rPr>
          <w:rFonts w:ascii="Book Antiqua" w:hAnsi="Book Antiqua"/>
          <w:color w:val="000000" w:themeColor="text1"/>
        </w:rPr>
        <w:t xml:space="preserve">bootstrap methods </w:t>
      </w:r>
      <w:r w:rsidR="00174DC7" w:rsidRPr="00263307">
        <w:rPr>
          <w:rFonts w:ascii="Book Antiqua" w:hAnsi="Book Antiqua"/>
          <w:color w:val="000000" w:themeColor="text1"/>
        </w:rPr>
        <w:t xml:space="preserve">involving </w:t>
      </w:r>
      <w:r w:rsidR="009F68FB" w:rsidRPr="00263307">
        <w:rPr>
          <w:rFonts w:ascii="Book Antiqua" w:hAnsi="Book Antiqua"/>
          <w:color w:val="000000" w:themeColor="text1"/>
        </w:rPr>
        <w:t xml:space="preserve">100 samples </w:t>
      </w:r>
      <w:r w:rsidR="00B348C4" w:rsidRPr="00263307">
        <w:rPr>
          <w:rFonts w:ascii="Book Antiqua" w:hAnsi="Book Antiqua"/>
          <w:color w:val="000000" w:themeColor="text1"/>
        </w:rPr>
        <w:t>tested</w:t>
      </w:r>
      <w:r w:rsidR="00174DC7" w:rsidRPr="00263307">
        <w:rPr>
          <w:rFonts w:ascii="Book Antiqua" w:hAnsi="Book Antiqua"/>
          <w:color w:val="000000" w:themeColor="text1"/>
        </w:rPr>
        <w:t xml:space="preserve"> five </w:t>
      </w:r>
      <w:r w:rsidR="009F68FB" w:rsidRPr="00263307">
        <w:rPr>
          <w:rFonts w:ascii="Book Antiqua" w:hAnsi="Book Antiqua"/>
          <w:color w:val="000000" w:themeColor="text1"/>
        </w:rPr>
        <w:t>times.</w:t>
      </w:r>
    </w:p>
    <w:p w14:paraId="2B2F7261" w14:textId="2A5C6A7D" w:rsidR="00B32095" w:rsidRPr="00263307" w:rsidRDefault="005C00A9" w:rsidP="00263307">
      <w:pPr>
        <w:pStyle w:val="a3"/>
        <w:adjustRightInd w:val="0"/>
        <w:snapToGrid w:val="0"/>
        <w:spacing w:line="360" w:lineRule="auto"/>
        <w:ind w:leftChars="0" w:left="0" w:firstLineChars="100" w:firstLine="240"/>
        <w:rPr>
          <w:rFonts w:ascii="Book Antiqua" w:hAnsi="Book Antiqua"/>
          <w:color w:val="000000" w:themeColor="text1"/>
        </w:rPr>
      </w:pPr>
      <w:r w:rsidRPr="00263307">
        <w:rPr>
          <w:rFonts w:ascii="Book Antiqua" w:hAnsi="Book Antiqua"/>
          <w:color w:val="000000" w:themeColor="text1"/>
        </w:rPr>
        <w:t>All statistical analyse</w:t>
      </w:r>
      <w:r w:rsidR="00A466E6" w:rsidRPr="00263307">
        <w:rPr>
          <w:rFonts w:ascii="Book Antiqua" w:hAnsi="Book Antiqua"/>
          <w:color w:val="000000" w:themeColor="text1"/>
        </w:rPr>
        <w:t xml:space="preserve">s </w:t>
      </w:r>
      <w:r w:rsidRPr="00263307">
        <w:rPr>
          <w:rFonts w:ascii="Book Antiqua" w:hAnsi="Book Antiqua"/>
          <w:color w:val="000000" w:themeColor="text1"/>
        </w:rPr>
        <w:t>were</w:t>
      </w:r>
      <w:r w:rsidR="00A466E6" w:rsidRPr="00263307">
        <w:rPr>
          <w:rFonts w:ascii="Book Antiqua" w:hAnsi="Book Antiqua"/>
          <w:color w:val="000000" w:themeColor="text1"/>
        </w:rPr>
        <w:t xml:space="preserve"> performed using </w:t>
      </w:r>
      <w:r w:rsidRPr="00263307">
        <w:rPr>
          <w:rFonts w:ascii="Book Antiqua" w:hAnsi="Book Antiqua"/>
          <w:color w:val="000000" w:themeColor="text1"/>
        </w:rPr>
        <w:t>Stata/IC softwa</w:t>
      </w:r>
      <w:r w:rsidR="004D2141">
        <w:rPr>
          <w:rFonts w:ascii="Book Antiqua" w:hAnsi="Book Antiqua"/>
          <w:color w:val="000000" w:themeColor="text1"/>
        </w:rPr>
        <w:t>re (version 15.1; Stata Corp, United States</w:t>
      </w:r>
      <w:r w:rsidRPr="00263307">
        <w:rPr>
          <w:rFonts w:ascii="Book Antiqua" w:hAnsi="Book Antiqua"/>
          <w:color w:val="000000" w:themeColor="text1"/>
        </w:rPr>
        <w:t>).</w:t>
      </w:r>
      <w:r w:rsidR="003F16B5" w:rsidRPr="00263307">
        <w:rPr>
          <w:rFonts w:ascii="Book Antiqua" w:hAnsi="Book Antiqua"/>
          <w:color w:val="000000" w:themeColor="text1"/>
        </w:rPr>
        <w:t xml:space="preserve"> A </w:t>
      </w:r>
      <w:r w:rsidR="00A8461D" w:rsidRPr="00263307">
        <w:rPr>
          <w:rFonts w:ascii="Book Antiqua" w:hAnsi="Book Antiqua"/>
          <w:i/>
          <w:color w:val="000000" w:themeColor="text1"/>
        </w:rPr>
        <w:t>P</w:t>
      </w:r>
      <w:r w:rsidR="003F16B5" w:rsidRPr="00263307">
        <w:rPr>
          <w:rFonts w:ascii="Book Antiqua" w:hAnsi="Book Antiqua"/>
          <w:color w:val="000000" w:themeColor="text1"/>
        </w:rPr>
        <w:t>-value &lt; 0.05 was considered statistically significant.</w:t>
      </w:r>
      <w:r w:rsidR="00C9796D" w:rsidRPr="00263307">
        <w:rPr>
          <w:rFonts w:ascii="Book Antiqua" w:hAnsi="Book Antiqua"/>
          <w:color w:val="000000" w:themeColor="text1"/>
        </w:rPr>
        <w:t xml:space="preserve"> </w:t>
      </w:r>
      <w:r w:rsidR="00C9796D" w:rsidRPr="00263307">
        <w:rPr>
          <w:rFonts w:ascii="Book Antiqua" w:eastAsia="MS PGothic" w:hAnsi="Book Antiqua"/>
          <w:color w:val="000000" w:themeColor="text1"/>
        </w:rPr>
        <w:t xml:space="preserve">The statistical methods of this study were reviewed by </w:t>
      </w:r>
      <w:proofErr w:type="spellStart"/>
      <w:r w:rsidR="00C9796D" w:rsidRPr="00263307">
        <w:rPr>
          <w:rFonts w:ascii="Book Antiqua" w:eastAsia="MS PGothic" w:hAnsi="Book Antiqua"/>
          <w:color w:val="000000" w:themeColor="text1"/>
        </w:rPr>
        <w:t>Takuhiro</w:t>
      </w:r>
      <w:proofErr w:type="spellEnd"/>
      <w:r w:rsidR="00C9796D" w:rsidRPr="00263307">
        <w:rPr>
          <w:rFonts w:ascii="Book Antiqua" w:eastAsia="MS PGothic" w:hAnsi="Book Antiqua"/>
          <w:color w:val="000000" w:themeColor="text1"/>
        </w:rPr>
        <w:t xml:space="preserve"> </w:t>
      </w:r>
      <w:proofErr w:type="spellStart"/>
      <w:r w:rsidR="00C9796D" w:rsidRPr="00263307">
        <w:rPr>
          <w:rFonts w:ascii="Book Antiqua" w:eastAsia="MS PGothic" w:hAnsi="Book Antiqua"/>
          <w:color w:val="000000" w:themeColor="text1"/>
        </w:rPr>
        <w:t>Moromizato</w:t>
      </w:r>
      <w:proofErr w:type="spellEnd"/>
      <w:r w:rsidR="00C9796D" w:rsidRPr="00263307">
        <w:rPr>
          <w:rFonts w:ascii="Book Antiqua" w:eastAsia="MS PGothic" w:hAnsi="Book Antiqua"/>
          <w:color w:val="000000" w:themeColor="text1"/>
        </w:rPr>
        <w:t xml:space="preserve"> from </w:t>
      </w:r>
      <w:r w:rsidR="00174DC7" w:rsidRPr="00263307">
        <w:rPr>
          <w:rFonts w:ascii="Book Antiqua" w:eastAsia="MS PGothic" w:hAnsi="Book Antiqua"/>
          <w:color w:val="000000" w:themeColor="text1"/>
        </w:rPr>
        <w:t xml:space="preserve">the </w:t>
      </w:r>
      <w:r w:rsidR="00C9796D" w:rsidRPr="00263307">
        <w:rPr>
          <w:rFonts w:ascii="Book Antiqua" w:hAnsi="Book Antiqua"/>
          <w:color w:val="000000" w:themeColor="text1"/>
        </w:rPr>
        <w:t>Inter</w:t>
      </w:r>
      <w:r w:rsidR="00A8461D" w:rsidRPr="00263307">
        <w:rPr>
          <w:rFonts w:ascii="Book Antiqua" w:hAnsi="Book Antiqua"/>
          <w:color w:val="000000" w:themeColor="text1"/>
        </w:rPr>
        <w:t xml:space="preserve">nal Medicine Department, Renal </w:t>
      </w:r>
      <w:r w:rsidR="00A8461D" w:rsidRPr="00263307">
        <w:rPr>
          <w:rFonts w:ascii="Book Antiqua" w:eastAsia="宋体" w:hAnsi="Book Antiqua"/>
          <w:color w:val="000000" w:themeColor="text1"/>
          <w:lang w:eastAsia="zh-CN"/>
        </w:rPr>
        <w:t>and</w:t>
      </w:r>
      <w:r w:rsidR="00C9796D" w:rsidRPr="00263307">
        <w:rPr>
          <w:rFonts w:ascii="Book Antiqua" w:hAnsi="Book Antiqua"/>
          <w:color w:val="000000" w:themeColor="text1"/>
        </w:rPr>
        <w:t xml:space="preserve"> Rheumatology Division at the Okinawa </w:t>
      </w:r>
      <w:proofErr w:type="spellStart"/>
      <w:r w:rsidR="00C9796D" w:rsidRPr="00263307">
        <w:rPr>
          <w:rFonts w:ascii="Book Antiqua" w:hAnsi="Book Antiqua"/>
          <w:color w:val="000000" w:themeColor="text1"/>
        </w:rPr>
        <w:t>Nanbu</w:t>
      </w:r>
      <w:proofErr w:type="spellEnd"/>
      <w:r w:rsidR="00C9796D" w:rsidRPr="00263307">
        <w:rPr>
          <w:rFonts w:ascii="Book Antiqua" w:hAnsi="Book Antiqua"/>
          <w:color w:val="000000" w:themeColor="text1"/>
        </w:rPr>
        <w:t xml:space="preserve"> Medical Center and Children's Medical Center</w:t>
      </w:r>
      <w:r w:rsidR="00C9796D" w:rsidRPr="00263307">
        <w:rPr>
          <w:rFonts w:ascii="Book Antiqua" w:eastAsia="MS PGothic" w:hAnsi="Book Antiqua"/>
          <w:color w:val="000000" w:themeColor="text1"/>
        </w:rPr>
        <w:t xml:space="preserve">. </w:t>
      </w:r>
    </w:p>
    <w:p w14:paraId="009406E6" w14:textId="77777777" w:rsidR="0034335D" w:rsidRPr="00263307" w:rsidRDefault="0034335D" w:rsidP="00263307">
      <w:pPr>
        <w:adjustRightInd w:val="0"/>
        <w:snapToGrid w:val="0"/>
        <w:spacing w:line="360" w:lineRule="auto"/>
        <w:jc w:val="both"/>
        <w:rPr>
          <w:rFonts w:ascii="Book Antiqua" w:hAnsi="Book Antiqua" w:cs="Times New Roman"/>
          <w:color w:val="000000" w:themeColor="text1"/>
        </w:rPr>
      </w:pPr>
    </w:p>
    <w:p w14:paraId="0DDE5B53" w14:textId="00C5C5B2" w:rsidR="005B1E49" w:rsidRPr="00263307" w:rsidRDefault="000F7952" w:rsidP="00263307">
      <w:pPr>
        <w:adjustRightInd w:val="0"/>
        <w:snapToGrid w:val="0"/>
        <w:spacing w:line="360" w:lineRule="auto"/>
        <w:jc w:val="both"/>
        <w:rPr>
          <w:rFonts w:ascii="Book Antiqua" w:hAnsi="Book Antiqua" w:cs="Times New Roman"/>
          <w:b/>
          <w:color w:val="000000" w:themeColor="text1"/>
          <w:u w:val="single"/>
        </w:rPr>
      </w:pPr>
      <w:r w:rsidRPr="00263307">
        <w:rPr>
          <w:rFonts w:ascii="Book Antiqua" w:hAnsi="Book Antiqua" w:cs="Times New Roman"/>
          <w:b/>
          <w:color w:val="000000" w:themeColor="text1"/>
          <w:u w:val="single"/>
        </w:rPr>
        <w:t>RESULTS</w:t>
      </w:r>
    </w:p>
    <w:p w14:paraId="25CF1104" w14:textId="77777777" w:rsidR="00CA56D3" w:rsidRPr="00263307" w:rsidRDefault="005B1E49" w:rsidP="00263307">
      <w:pPr>
        <w:pStyle w:val="a5"/>
        <w:adjustRightInd w:val="0"/>
        <w:snapToGrid w:val="0"/>
        <w:spacing w:before="0" w:beforeAutospacing="0" w:after="0" w:afterAutospacing="0" w:line="360" w:lineRule="auto"/>
        <w:jc w:val="both"/>
        <w:rPr>
          <w:rFonts w:ascii="Book Antiqua" w:eastAsia="宋体" w:hAnsi="Book Antiqua"/>
          <w:color w:val="000000" w:themeColor="text1"/>
          <w:sz w:val="24"/>
          <w:szCs w:val="24"/>
          <w:lang w:eastAsia="zh-CN"/>
        </w:rPr>
      </w:pPr>
      <w:r w:rsidRPr="00263307">
        <w:rPr>
          <w:rFonts w:ascii="Book Antiqua" w:hAnsi="Book Antiqua"/>
          <w:color w:val="000000" w:themeColor="text1"/>
          <w:sz w:val="24"/>
          <w:szCs w:val="24"/>
        </w:rPr>
        <w:t xml:space="preserve">The </w:t>
      </w:r>
      <w:r w:rsidR="00A4535A" w:rsidRPr="00263307">
        <w:rPr>
          <w:rFonts w:ascii="Book Antiqua" w:hAnsi="Book Antiqua"/>
          <w:color w:val="000000" w:themeColor="text1"/>
          <w:sz w:val="24"/>
          <w:szCs w:val="24"/>
        </w:rPr>
        <w:t xml:space="preserve">236 </w:t>
      </w:r>
      <w:r w:rsidRPr="00263307">
        <w:rPr>
          <w:rFonts w:ascii="Book Antiqua" w:hAnsi="Book Antiqua"/>
          <w:color w:val="000000" w:themeColor="text1"/>
          <w:sz w:val="24"/>
          <w:szCs w:val="24"/>
        </w:rPr>
        <w:t>eligible pati</w:t>
      </w:r>
      <w:r w:rsidR="00015E25" w:rsidRPr="00263307">
        <w:rPr>
          <w:rFonts w:ascii="Book Antiqua" w:hAnsi="Book Antiqua"/>
          <w:color w:val="000000" w:themeColor="text1"/>
          <w:sz w:val="24"/>
          <w:szCs w:val="24"/>
        </w:rPr>
        <w:t xml:space="preserve">ents </w:t>
      </w:r>
      <w:r w:rsidR="00F2700E" w:rsidRPr="00263307">
        <w:rPr>
          <w:rFonts w:ascii="Book Antiqua" w:hAnsi="Book Antiqua"/>
          <w:color w:val="000000" w:themeColor="text1"/>
          <w:sz w:val="24"/>
          <w:szCs w:val="24"/>
        </w:rPr>
        <w:t>consisted of</w:t>
      </w:r>
      <w:r w:rsidRPr="00263307">
        <w:rPr>
          <w:rFonts w:ascii="Book Antiqua" w:hAnsi="Book Antiqua"/>
          <w:color w:val="000000" w:themeColor="text1"/>
          <w:sz w:val="24"/>
          <w:szCs w:val="24"/>
        </w:rPr>
        <w:t xml:space="preserve"> </w:t>
      </w:r>
      <w:r w:rsidR="00A4535A" w:rsidRPr="00263307">
        <w:rPr>
          <w:rFonts w:ascii="Book Antiqua" w:hAnsi="Book Antiqua"/>
          <w:color w:val="000000" w:themeColor="text1"/>
          <w:sz w:val="24"/>
          <w:szCs w:val="24"/>
        </w:rPr>
        <w:t xml:space="preserve">198 </w:t>
      </w:r>
      <w:r w:rsidRPr="00263307">
        <w:rPr>
          <w:rFonts w:ascii="Book Antiqua" w:hAnsi="Book Antiqua"/>
          <w:color w:val="000000" w:themeColor="text1"/>
          <w:sz w:val="24"/>
          <w:szCs w:val="24"/>
        </w:rPr>
        <w:t>patients (</w:t>
      </w:r>
      <w:r w:rsidR="00A4535A" w:rsidRPr="00263307">
        <w:rPr>
          <w:rFonts w:ascii="Book Antiqua" w:hAnsi="Book Antiqua"/>
          <w:color w:val="000000" w:themeColor="text1"/>
          <w:sz w:val="24"/>
          <w:szCs w:val="24"/>
        </w:rPr>
        <w:t>83.9</w:t>
      </w:r>
      <w:r w:rsidRPr="00263307">
        <w:rPr>
          <w:rFonts w:ascii="Book Antiqua" w:hAnsi="Book Antiqua"/>
          <w:color w:val="000000" w:themeColor="text1"/>
          <w:sz w:val="24"/>
          <w:szCs w:val="24"/>
        </w:rPr>
        <w:t xml:space="preserve">%) with </w:t>
      </w:r>
      <w:r w:rsidR="00A4535A" w:rsidRPr="00263307">
        <w:rPr>
          <w:rFonts w:ascii="Book Antiqua" w:hAnsi="Book Antiqua"/>
          <w:color w:val="000000" w:themeColor="text1"/>
          <w:sz w:val="24"/>
          <w:szCs w:val="24"/>
        </w:rPr>
        <w:t xml:space="preserve">SA </w:t>
      </w:r>
      <w:r w:rsidRPr="00263307">
        <w:rPr>
          <w:rFonts w:ascii="Book Antiqua" w:hAnsi="Book Antiqua"/>
          <w:color w:val="000000" w:themeColor="text1"/>
          <w:sz w:val="24"/>
          <w:szCs w:val="24"/>
        </w:rPr>
        <w:t xml:space="preserve">and </w:t>
      </w:r>
      <w:r w:rsidR="00A4535A" w:rsidRPr="00263307">
        <w:rPr>
          <w:rFonts w:ascii="Book Antiqua" w:hAnsi="Book Antiqua"/>
          <w:color w:val="000000" w:themeColor="text1"/>
          <w:sz w:val="24"/>
          <w:szCs w:val="24"/>
        </w:rPr>
        <w:t xml:space="preserve">38 </w:t>
      </w:r>
      <w:r w:rsidRPr="00263307">
        <w:rPr>
          <w:rFonts w:ascii="Book Antiqua" w:hAnsi="Book Antiqua"/>
          <w:color w:val="000000" w:themeColor="text1"/>
          <w:sz w:val="24"/>
          <w:szCs w:val="24"/>
        </w:rPr>
        <w:t>patients (</w:t>
      </w:r>
      <w:r w:rsidR="00A4535A" w:rsidRPr="00263307">
        <w:rPr>
          <w:rFonts w:ascii="Book Antiqua" w:hAnsi="Book Antiqua"/>
          <w:color w:val="000000" w:themeColor="text1"/>
          <w:sz w:val="24"/>
          <w:szCs w:val="24"/>
        </w:rPr>
        <w:t>16.1</w:t>
      </w:r>
      <w:r w:rsidRPr="00263307">
        <w:rPr>
          <w:rFonts w:ascii="Book Antiqua" w:hAnsi="Book Antiqua"/>
          <w:color w:val="000000" w:themeColor="text1"/>
          <w:sz w:val="24"/>
          <w:szCs w:val="24"/>
        </w:rPr>
        <w:t xml:space="preserve">%) with </w:t>
      </w:r>
      <w:r w:rsidR="00A4535A" w:rsidRPr="00263307">
        <w:rPr>
          <w:rFonts w:ascii="Book Antiqua" w:hAnsi="Book Antiqua"/>
          <w:color w:val="000000" w:themeColor="text1"/>
          <w:sz w:val="24"/>
          <w:szCs w:val="24"/>
        </w:rPr>
        <w:t>CA</w:t>
      </w:r>
      <w:r w:rsidRPr="00263307">
        <w:rPr>
          <w:rFonts w:ascii="Book Antiqua" w:hAnsi="Book Antiqua"/>
          <w:color w:val="000000" w:themeColor="text1"/>
          <w:sz w:val="24"/>
          <w:szCs w:val="24"/>
        </w:rPr>
        <w:t xml:space="preserve">. </w:t>
      </w:r>
      <w:r w:rsidR="008F3718" w:rsidRPr="00263307">
        <w:rPr>
          <w:rFonts w:ascii="Book Antiqua" w:hAnsi="Book Antiqua"/>
          <w:color w:val="000000" w:themeColor="text1"/>
          <w:sz w:val="24"/>
          <w:szCs w:val="24"/>
        </w:rPr>
        <w:t>P</w:t>
      </w:r>
      <w:r w:rsidR="00015E25" w:rsidRPr="00263307">
        <w:rPr>
          <w:rFonts w:ascii="Book Antiqua" w:hAnsi="Book Antiqua"/>
          <w:color w:val="000000" w:themeColor="text1"/>
          <w:sz w:val="24"/>
          <w:szCs w:val="24"/>
        </w:rPr>
        <w:t xml:space="preserve">atient characteristics and the results of the </w:t>
      </w:r>
      <w:r w:rsidR="00015E25" w:rsidRPr="00263307">
        <w:rPr>
          <w:rFonts w:ascii="Book Antiqua" w:hAnsi="Book Antiqua"/>
          <w:color w:val="000000" w:themeColor="text1"/>
          <w:sz w:val="24"/>
          <w:szCs w:val="24"/>
        </w:rPr>
        <w:lastRenderedPageBreak/>
        <w:t>univariate analyses are shown in Table 1.</w:t>
      </w:r>
      <w:r w:rsidR="002B30AE" w:rsidRPr="00263307">
        <w:rPr>
          <w:rFonts w:ascii="Book Antiqua" w:hAnsi="Book Antiqua"/>
          <w:color w:val="000000" w:themeColor="text1"/>
          <w:sz w:val="24"/>
          <w:szCs w:val="24"/>
        </w:rPr>
        <w:t xml:space="preserve"> </w:t>
      </w:r>
      <w:r w:rsidR="00A75AD7" w:rsidRPr="00263307">
        <w:rPr>
          <w:rFonts w:ascii="Book Antiqua" w:hAnsi="Book Antiqua"/>
          <w:color w:val="000000" w:themeColor="text1"/>
          <w:sz w:val="24"/>
          <w:szCs w:val="24"/>
          <w:shd w:val="clear" w:color="auto" w:fill="FFFFFF"/>
        </w:rPr>
        <w:t xml:space="preserve">There </w:t>
      </w:r>
      <w:r w:rsidR="007C071C" w:rsidRPr="00263307">
        <w:rPr>
          <w:rFonts w:ascii="Book Antiqua" w:hAnsi="Book Antiqua"/>
          <w:color w:val="000000" w:themeColor="text1"/>
          <w:sz w:val="24"/>
          <w:szCs w:val="24"/>
          <w:shd w:val="clear" w:color="auto" w:fill="FFFFFF"/>
        </w:rPr>
        <w:t xml:space="preserve">were </w:t>
      </w:r>
      <w:r w:rsidR="00A75AD7" w:rsidRPr="00263307">
        <w:rPr>
          <w:rFonts w:ascii="Book Antiqua" w:hAnsi="Book Antiqua"/>
          <w:color w:val="000000" w:themeColor="text1"/>
          <w:sz w:val="24"/>
          <w:szCs w:val="24"/>
          <w:shd w:val="clear" w:color="auto" w:fill="FFFFFF"/>
        </w:rPr>
        <w:t>no patient</w:t>
      </w:r>
      <w:r w:rsidR="007C071C" w:rsidRPr="00263307">
        <w:rPr>
          <w:rFonts w:ascii="Book Antiqua" w:hAnsi="Book Antiqua"/>
          <w:color w:val="000000" w:themeColor="text1"/>
          <w:sz w:val="24"/>
          <w:szCs w:val="24"/>
          <w:shd w:val="clear" w:color="auto" w:fill="FFFFFF"/>
        </w:rPr>
        <w:t>s</w:t>
      </w:r>
      <w:r w:rsidR="00A75AD7" w:rsidRPr="00263307">
        <w:rPr>
          <w:rFonts w:ascii="Book Antiqua" w:hAnsi="Book Antiqua"/>
          <w:color w:val="000000" w:themeColor="text1"/>
          <w:sz w:val="24"/>
          <w:szCs w:val="24"/>
          <w:shd w:val="clear" w:color="auto" w:fill="FFFFFF"/>
        </w:rPr>
        <w:t xml:space="preserve"> with liver cirrhosis, receiving hemodialysis, and taking antiplatelets in </w:t>
      </w:r>
      <w:r w:rsidR="007C071C" w:rsidRPr="00263307">
        <w:rPr>
          <w:rFonts w:ascii="Book Antiqua" w:hAnsi="Book Antiqua"/>
          <w:color w:val="000000" w:themeColor="text1"/>
          <w:sz w:val="24"/>
          <w:szCs w:val="24"/>
          <w:shd w:val="clear" w:color="auto" w:fill="FFFFFF"/>
        </w:rPr>
        <w:t xml:space="preserve">either of the </w:t>
      </w:r>
      <w:r w:rsidR="00A75AD7" w:rsidRPr="00263307">
        <w:rPr>
          <w:rFonts w:ascii="Book Antiqua" w:hAnsi="Book Antiqua"/>
          <w:color w:val="000000" w:themeColor="text1"/>
          <w:sz w:val="24"/>
          <w:szCs w:val="24"/>
          <w:shd w:val="clear" w:color="auto" w:fill="FFFFFF"/>
        </w:rPr>
        <w:t xml:space="preserve">groups. </w:t>
      </w:r>
      <w:r w:rsidR="00030DD9" w:rsidRPr="00263307">
        <w:rPr>
          <w:rFonts w:ascii="Book Antiqua" w:hAnsi="Book Antiqua"/>
          <w:color w:val="000000" w:themeColor="text1"/>
          <w:sz w:val="24"/>
          <w:szCs w:val="24"/>
        </w:rPr>
        <w:t xml:space="preserve">Patients </w:t>
      </w:r>
      <w:r w:rsidR="007653A7" w:rsidRPr="00263307">
        <w:rPr>
          <w:rFonts w:ascii="Book Antiqua" w:hAnsi="Book Antiqua"/>
          <w:color w:val="000000" w:themeColor="text1"/>
          <w:sz w:val="24"/>
          <w:szCs w:val="24"/>
        </w:rPr>
        <w:t>≥</w:t>
      </w:r>
      <w:r w:rsidR="00174DC7" w:rsidRPr="00263307">
        <w:rPr>
          <w:rFonts w:ascii="Book Antiqua" w:hAnsi="Book Antiqua"/>
          <w:color w:val="000000" w:themeColor="text1"/>
          <w:sz w:val="24"/>
          <w:szCs w:val="24"/>
        </w:rPr>
        <w:t xml:space="preserve"> </w:t>
      </w:r>
      <w:r w:rsidR="00030DD9" w:rsidRPr="00263307">
        <w:rPr>
          <w:rFonts w:ascii="Book Antiqua" w:hAnsi="Book Antiqua"/>
          <w:color w:val="000000" w:themeColor="text1"/>
          <w:sz w:val="24"/>
          <w:szCs w:val="24"/>
        </w:rPr>
        <w:t>65</w:t>
      </w:r>
      <w:r w:rsidR="00174DC7" w:rsidRPr="00263307">
        <w:rPr>
          <w:rFonts w:ascii="Book Antiqua" w:hAnsi="Book Antiqua"/>
          <w:color w:val="000000" w:themeColor="text1"/>
          <w:sz w:val="24"/>
          <w:szCs w:val="24"/>
        </w:rPr>
        <w:t xml:space="preserve"> </w:t>
      </w:r>
      <w:r w:rsidR="00030DD9" w:rsidRPr="00263307">
        <w:rPr>
          <w:rFonts w:ascii="Book Antiqua" w:hAnsi="Book Antiqua"/>
          <w:color w:val="000000" w:themeColor="text1"/>
          <w:sz w:val="24"/>
          <w:szCs w:val="24"/>
        </w:rPr>
        <w:t>year</w:t>
      </w:r>
      <w:r w:rsidR="00174DC7" w:rsidRPr="00263307">
        <w:rPr>
          <w:rFonts w:ascii="Book Antiqua" w:hAnsi="Book Antiqua"/>
          <w:color w:val="000000" w:themeColor="text1"/>
          <w:sz w:val="24"/>
          <w:szCs w:val="24"/>
        </w:rPr>
        <w:t xml:space="preserve">s </w:t>
      </w:r>
      <w:r w:rsidR="00030DD9" w:rsidRPr="00263307">
        <w:rPr>
          <w:rFonts w:ascii="Book Antiqua" w:hAnsi="Book Antiqua"/>
          <w:color w:val="000000" w:themeColor="text1"/>
          <w:sz w:val="24"/>
          <w:szCs w:val="24"/>
        </w:rPr>
        <w:t xml:space="preserve">old were significantly prevalent in the </w:t>
      </w:r>
      <w:r w:rsidR="00BF128C" w:rsidRPr="00263307">
        <w:rPr>
          <w:rFonts w:ascii="Book Antiqua" w:hAnsi="Book Antiqua"/>
          <w:color w:val="000000" w:themeColor="text1"/>
          <w:sz w:val="24"/>
          <w:szCs w:val="24"/>
        </w:rPr>
        <w:t>C</w:t>
      </w:r>
      <w:r w:rsidR="00030DD9" w:rsidRPr="00263307">
        <w:rPr>
          <w:rFonts w:ascii="Book Antiqua" w:hAnsi="Book Antiqua"/>
          <w:color w:val="000000" w:themeColor="text1"/>
          <w:sz w:val="24"/>
          <w:szCs w:val="24"/>
        </w:rPr>
        <w:t>A group; the</w:t>
      </w:r>
      <w:r w:rsidR="006D3EF0" w:rsidRPr="00263307">
        <w:rPr>
          <w:rFonts w:ascii="Book Antiqua" w:hAnsi="Book Antiqua"/>
          <w:color w:val="000000" w:themeColor="text1"/>
          <w:sz w:val="24"/>
          <w:szCs w:val="24"/>
        </w:rPr>
        <w:t xml:space="preserve"> median ages were 34 years old </w:t>
      </w:r>
      <w:r w:rsidR="006D3EF0" w:rsidRPr="00263307">
        <w:rPr>
          <w:rFonts w:ascii="Book Antiqua" w:eastAsia="宋体" w:hAnsi="Book Antiqua"/>
          <w:color w:val="000000" w:themeColor="text1"/>
          <w:sz w:val="24"/>
          <w:szCs w:val="24"/>
          <w:lang w:eastAsia="zh-CN"/>
        </w:rPr>
        <w:t>[</w:t>
      </w:r>
      <w:r w:rsidR="006D3EF0" w:rsidRPr="00263307">
        <w:rPr>
          <w:rFonts w:ascii="Book Antiqua" w:hAnsi="Book Antiqua"/>
          <w:color w:val="000000" w:themeColor="text1"/>
          <w:sz w:val="24"/>
          <w:szCs w:val="24"/>
        </w:rPr>
        <w:t xml:space="preserve">interquartile ranges </w:t>
      </w:r>
      <w:r w:rsidR="006D3EF0" w:rsidRPr="00263307">
        <w:rPr>
          <w:rFonts w:ascii="Book Antiqua" w:eastAsia="宋体" w:hAnsi="Book Antiqua"/>
          <w:color w:val="000000" w:themeColor="text1"/>
          <w:sz w:val="24"/>
          <w:szCs w:val="24"/>
          <w:lang w:eastAsia="zh-CN"/>
        </w:rPr>
        <w:t>(</w:t>
      </w:r>
      <w:r w:rsidR="00030DD9" w:rsidRPr="00263307">
        <w:rPr>
          <w:rFonts w:ascii="Book Antiqua" w:hAnsi="Book Antiqua"/>
          <w:color w:val="000000" w:themeColor="text1"/>
          <w:sz w:val="24"/>
          <w:szCs w:val="24"/>
        </w:rPr>
        <w:t>IR</w:t>
      </w:r>
      <w:r w:rsidR="006D3EF0" w:rsidRPr="00263307">
        <w:rPr>
          <w:rFonts w:ascii="Book Antiqua" w:eastAsia="宋体" w:hAnsi="Book Antiqua"/>
          <w:color w:val="000000" w:themeColor="text1"/>
          <w:sz w:val="24"/>
          <w:szCs w:val="24"/>
          <w:lang w:eastAsia="zh-CN"/>
        </w:rPr>
        <w:t>)</w:t>
      </w:r>
      <w:r w:rsidR="00030DD9" w:rsidRPr="00263307">
        <w:rPr>
          <w:rFonts w:ascii="Book Antiqua" w:hAnsi="Book Antiqua"/>
          <w:color w:val="000000" w:themeColor="text1"/>
          <w:sz w:val="24"/>
          <w:szCs w:val="24"/>
        </w:rPr>
        <w:t>, 24-45 years</w:t>
      </w:r>
      <w:r w:rsidR="006D3EF0" w:rsidRPr="00263307">
        <w:rPr>
          <w:rFonts w:ascii="Book Antiqua" w:eastAsia="宋体" w:hAnsi="Book Antiqua"/>
          <w:color w:val="000000" w:themeColor="text1"/>
          <w:sz w:val="24"/>
          <w:szCs w:val="24"/>
          <w:lang w:eastAsia="zh-CN"/>
        </w:rPr>
        <w:t>]</w:t>
      </w:r>
      <w:r w:rsidR="00030DD9" w:rsidRPr="00263307">
        <w:rPr>
          <w:rFonts w:ascii="Book Antiqua" w:hAnsi="Book Antiqua"/>
          <w:color w:val="000000" w:themeColor="text1"/>
          <w:sz w:val="24"/>
          <w:szCs w:val="24"/>
        </w:rPr>
        <w:t xml:space="preserve"> in </w:t>
      </w:r>
      <w:r w:rsidR="00174DC7" w:rsidRPr="00263307">
        <w:rPr>
          <w:rFonts w:ascii="Book Antiqua" w:hAnsi="Book Antiqua"/>
          <w:color w:val="000000" w:themeColor="text1"/>
          <w:sz w:val="24"/>
          <w:szCs w:val="24"/>
        </w:rPr>
        <w:t xml:space="preserve">the </w:t>
      </w:r>
      <w:r w:rsidR="00030DD9" w:rsidRPr="00263307">
        <w:rPr>
          <w:rFonts w:ascii="Book Antiqua" w:hAnsi="Book Antiqua"/>
          <w:color w:val="000000" w:themeColor="text1"/>
          <w:sz w:val="24"/>
          <w:szCs w:val="24"/>
        </w:rPr>
        <w:t xml:space="preserve">SA group and 49 years old (IR, 35-63 years) in </w:t>
      </w:r>
      <w:r w:rsidR="00174DC7" w:rsidRPr="00263307">
        <w:rPr>
          <w:rFonts w:ascii="Book Antiqua" w:hAnsi="Book Antiqua"/>
          <w:color w:val="000000" w:themeColor="text1"/>
          <w:sz w:val="24"/>
          <w:szCs w:val="24"/>
        </w:rPr>
        <w:t xml:space="preserve">the </w:t>
      </w:r>
      <w:r w:rsidR="00030DD9" w:rsidRPr="00263307">
        <w:rPr>
          <w:rFonts w:ascii="Book Antiqua" w:hAnsi="Book Antiqua"/>
          <w:color w:val="000000" w:themeColor="text1"/>
          <w:sz w:val="24"/>
          <w:szCs w:val="24"/>
        </w:rPr>
        <w:t>CA group (</w:t>
      </w:r>
      <w:r w:rsidR="008A3D78" w:rsidRPr="00263307">
        <w:rPr>
          <w:rFonts w:ascii="Book Antiqua" w:hAnsi="Book Antiqua"/>
          <w:i/>
          <w:color w:val="000000" w:themeColor="text1"/>
          <w:sz w:val="24"/>
          <w:szCs w:val="24"/>
        </w:rPr>
        <w:t>P</w:t>
      </w:r>
      <w:r w:rsidR="008A3D78" w:rsidRPr="00263307">
        <w:rPr>
          <w:rFonts w:ascii="Book Antiqua" w:hAnsi="Book Antiqua"/>
          <w:color w:val="000000" w:themeColor="text1"/>
          <w:sz w:val="24"/>
          <w:szCs w:val="24"/>
        </w:rPr>
        <w:t xml:space="preserve"> </w:t>
      </w:r>
      <w:r w:rsidR="00030DD9" w:rsidRPr="00263307">
        <w:rPr>
          <w:rFonts w:ascii="Book Antiqua" w:hAnsi="Book Antiqua"/>
          <w:color w:val="000000" w:themeColor="text1"/>
          <w:sz w:val="24"/>
          <w:szCs w:val="24"/>
        </w:rPr>
        <w:t>&lt;</w:t>
      </w:r>
      <w:r w:rsidR="00174DC7" w:rsidRPr="00263307">
        <w:rPr>
          <w:rFonts w:ascii="Book Antiqua" w:hAnsi="Book Antiqua"/>
          <w:color w:val="000000" w:themeColor="text1"/>
          <w:sz w:val="24"/>
          <w:szCs w:val="24"/>
        </w:rPr>
        <w:t xml:space="preserve"> </w:t>
      </w:r>
      <w:r w:rsidR="00030DD9" w:rsidRPr="00263307">
        <w:rPr>
          <w:rFonts w:ascii="Book Antiqua" w:hAnsi="Book Antiqua"/>
          <w:color w:val="000000" w:themeColor="text1"/>
          <w:sz w:val="24"/>
          <w:szCs w:val="24"/>
        </w:rPr>
        <w:t xml:space="preserve">0.001). The median onset-to-visit interval was 1 </w:t>
      </w:r>
      <w:r w:rsidR="009D4EEE" w:rsidRPr="00263307">
        <w:rPr>
          <w:rFonts w:ascii="Book Antiqua" w:eastAsia="宋体" w:hAnsi="Book Antiqua"/>
          <w:color w:val="000000" w:themeColor="text1"/>
          <w:sz w:val="24"/>
          <w:szCs w:val="24"/>
          <w:lang w:eastAsia="zh-CN"/>
        </w:rPr>
        <w:t>d</w:t>
      </w:r>
      <w:r w:rsidR="00030DD9" w:rsidRPr="00263307">
        <w:rPr>
          <w:rFonts w:ascii="Book Antiqua" w:hAnsi="Book Antiqua"/>
          <w:color w:val="000000" w:themeColor="text1"/>
          <w:sz w:val="24"/>
          <w:szCs w:val="24"/>
        </w:rPr>
        <w:t xml:space="preserve"> (IR, 0-1) and 1 </w:t>
      </w:r>
      <w:r w:rsidR="009D4EEE" w:rsidRPr="00263307">
        <w:rPr>
          <w:rFonts w:ascii="Book Antiqua" w:eastAsia="宋体" w:hAnsi="Book Antiqua"/>
          <w:color w:val="000000" w:themeColor="text1"/>
          <w:sz w:val="24"/>
          <w:szCs w:val="24"/>
          <w:lang w:eastAsia="zh-CN"/>
        </w:rPr>
        <w:t>d</w:t>
      </w:r>
      <w:r w:rsidR="00030DD9" w:rsidRPr="00263307">
        <w:rPr>
          <w:rFonts w:ascii="Book Antiqua" w:hAnsi="Book Antiqua"/>
          <w:color w:val="000000" w:themeColor="text1"/>
          <w:sz w:val="24"/>
          <w:szCs w:val="24"/>
        </w:rPr>
        <w:t xml:space="preserve"> (IR, 1-2) in </w:t>
      </w:r>
      <w:r w:rsidR="00174DC7" w:rsidRPr="00263307">
        <w:rPr>
          <w:rFonts w:ascii="Book Antiqua" w:hAnsi="Book Antiqua"/>
          <w:color w:val="000000" w:themeColor="text1"/>
          <w:sz w:val="24"/>
          <w:szCs w:val="24"/>
        </w:rPr>
        <w:t xml:space="preserve">the </w:t>
      </w:r>
      <w:r w:rsidR="00030DD9" w:rsidRPr="00263307">
        <w:rPr>
          <w:rFonts w:ascii="Book Antiqua" w:hAnsi="Book Antiqua"/>
          <w:color w:val="000000" w:themeColor="text1"/>
          <w:sz w:val="24"/>
          <w:szCs w:val="24"/>
        </w:rPr>
        <w:t>SA and CA group</w:t>
      </w:r>
      <w:r w:rsidR="00174DC7" w:rsidRPr="00263307">
        <w:rPr>
          <w:rFonts w:ascii="Book Antiqua" w:hAnsi="Book Antiqua"/>
          <w:color w:val="000000" w:themeColor="text1"/>
          <w:sz w:val="24"/>
          <w:szCs w:val="24"/>
        </w:rPr>
        <w:t>s</w:t>
      </w:r>
      <w:r w:rsidR="00030DD9" w:rsidRPr="00263307">
        <w:rPr>
          <w:rFonts w:ascii="Book Antiqua" w:hAnsi="Book Antiqua"/>
          <w:color w:val="000000" w:themeColor="text1"/>
          <w:sz w:val="24"/>
          <w:szCs w:val="24"/>
        </w:rPr>
        <w:t>, respectively (</w:t>
      </w:r>
      <w:r w:rsidR="008A3D78" w:rsidRPr="00263307">
        <w:rPr>
          <w:rFonts w:ascii="Book Antiqua" w:hAnsi="Book Antiqua"/>
          <w:i/>
          <w:color w:val="000000" w:themeColor="text1"/>
          <w:sz w:val="24"/>
          <w:szCs w:val="24"/>
        </w:rPr>
        <w:t>P</w:t>
      </w:r>
      <w:r w:rsidR="00174DC7" w:rsidRPr="00263307">
        <w:rPr>
          <w:rFonts w:ascii="Book Antiqua" w:hAnsi="Book Antiqua"/>
          <w:color w:val="000000" w:themeColor="text1"/>
          <w:sz w:val="24"/>
          <w:szCs w:val="24"/>
        </w:rPr>
        <w:t xml:space="preserve"> </w:t>
      </w:r>
      <w:r w:rsidR="00030DD9" w:rsidRPr="00263307">
        <w:rPr>
          <w:rFonts w:ascii="Book Antiqua" w:hAnsi="Book Antiqua"/>
          <w:color w:val="000000" w:themeColor="text1"/>
          <w:sz w:val="24"/>
          <w:szCs w:val="24"/>
        </w:rPr>
        <w:t>&lt;</w:t>
      </w:r>
      <w:r w:rsidR="00174DC7" w:rsidRPr="00263307">
        <w:rPr>
          <w:rFonts w:ascii="Book Antiqua" w:hAnsi="Book Antiqua"/>
          <w:color w:val="000000" w:themeColor="text1"/>
          <w:sz w:val="24"/>
          <w:szCs w:val="24"/>
        </w:rPr>
        <w:t xml:space="preserve"> </w:t>
      </w:r>
      <w:r w:rsidR="00030DD9" w:rsidRPr="00263307">
        <w:rPr>
          <w:rFonts w:ascii="Book Antiqua" w:hAnsi="Book Antiqua"/>
          <w:color w:val="000000" w:themeColor="text1"/>
          <w:sz w:val="24"/>
          <w:szCs w:val="24"/>
        </w:rPr>
        <w:t xml:space="preserve">0.001). </w:t>
      </w:r>
      <w:r w:rsidR="00645E05" w:rsidRPr="00263307">
        <w:rPr>
          <w:rFonts w:ascii="Book Antiqua" w:hAnsi="Book Antiqua"/>
          <w:color w:val="000000" w:themeColor="text1"/>
          <w:sz w:val="24"/>
          <w:szCs w:val="24"/>
        </w:rPr>
        <w:t>Because even most cases with CA were conservatively treated with antibiotics in our hospital, a</w:t>
      </w:r>
      <w:r w:rsidR="00F31877" w:rsidRPr="00263307">
        <w:rPr>
          <w:rFonts w:ascii="Book Antiqua" w:hAnsi="Book Antiqua"/>
          <w:color w:val="000000" w:themeColor="text1"/>
          <w:sz w:val="24"/>
          <w:szCs w:val="24"/>
        </w:rPr>
        <w:t xml:space="preserve">ppendectomy was performed in </w:t>
      </w:r>
      <w:r w:rsidR="00ED1A33" w:rsidRPr="00263307">
        <w:rPr>
          <w:rFonts w:ascii="Book Antiqua" w:hAnsi="Book Antiqua"/>
          <w:color w:val="000000" w:themeColor="text1"/>
          <w:sz w:val="24"/>
          <w:szCs w:val="24"/>
        </w:rPr>
        <w:t xml:space="preserve">only </w:t>
      </w:r>
      <w:r w:rsidR="00F40C1B" w:rsidRPr="00263307">
        <w:rPr>
          <w:rFonts w:ascii="Book Antiqua" w:hAnsi="Book Antiqua"/>
          <w:color w:val="000000" w:themeColor="text1"/>
          <w:sz w:val="24"/>
          <w:szCs w:val="24"/>
        </w:rPr>
        <w:t>22</w:t>
      </w:r>
      <w:r w:rsidR="00F31877" w:rsidRPr="00263307">
        <w:rPr>
          <w:rFonts w:ascii="Book Antiqua" w:hAnsi="Book Antiqua"/>
          <w:color w:val="000000" w:themeColor="text1"/>
          <w:sz w:val="24"/>
          <w:szCs w:val="24"/>
        </w:rPr>
        <w:t>/</w:t>
      </w:r>
      <w:r w:rsidR="00207E44" w:rsidRPr="00263307">
        <w:rPr>
          <w:rFonts w:ascii="Book Antiqua" w:hAnsi="Book Antiqua"/>
          <w:color w:val="000000" w:themeColor="text1"/>
          <w:sz w:val="24"/>
          <w:szCs w:val="24"/>
        </w:rPr>
        <w:t>1</w:t>
      </w:r>
      <w:r w:rsidR="00F40C1B" w:rsidRPr="00263307">
        <w:rPr>
          <w:rFonts w:ascii="Book Antiqua" w:hAnsi="Book Antiqua"/>
          <w:color w:val="000000" w:themeColor="text1"/>
          <w:sz w:val="24"/>
          <w:szCs w:val="24"/>
        </w:rPr>
        <w:t>98</w:t>
      </w:r>
      <w:r w:rsidR="00F31877" w:rsidRPr="00263307">
        <w:rPr>
          <w:rFonts w:ascii="Book Antiqua" w:hAnsi="Book Antiqua"/>
          <w:color w:val="000000" w:themeColor="text1"/>
          <w:sz w:val="24"/>
          <w:szCs w:val="24"/>
        </w:rPr>
        <w:t xml:space="preserve"> patients </w:t>
      </w:r>
      <w:r w:rsidR="00207E44" w:rsidRPr="00263307">
        <w:rPr>
          <w:rFonts w:ascii="Book Antiqua" w:hAnsi="Book Antiqua"/>
          <w:color w:val="000000" w:themeColor="text1"/>
          <w:sz w:val="24"/>
          <w:szCs w:val="24"/>
        </w:rPr>
        <w:t>(</w:t>
      </w:r>
      <w:r w:rsidR="00F40C1B" w:rsidRPr="00263307">
        <w:rPr>
          <w:rFonts w:ascii="Book Antiqua" w:hAnsi="Book Antiqua"/>
          <w:color w:val="000000" w:themeColor="text1"/>
          <w:sz w:val="24"/>
          <w:szCs w:val="24"/>
        </w:rPr>
        <w:t>11.1</w:t>
      </w:r>
      <w:r w:rsidR="00207E44" w:rsidRPr="00263307">
        <w:rPr>
          <w:rFonts w:ascii="Book Antiqua" w:hAnsi="Book Antiqua"/>
          <w:color w:val="000000" w:themeColor="text1"/>
          <w:sz w:val="24"/>
          <w:szCs w:val="24"/>
        </w:rPr>
        <w:t xml:space="preserve">%) </w:t>
      </w:r>
      <w:r w:rsidR="00F31877" w:rsidRPr="00263307">
        <w:rPr>
          <w:rFonts w:ascii="Book Antiqua" w:hAnsi="Book Antiqua"/>
          <w:color w:val="000000" w:themeColor="text1"/>
          <w:sz w:val="24"/>
          <w:szCs w:val="24"/>
        </w:rPr>
        <w:t xml:space="preserve">and </w:t>
      </w:r>
      <w:r w:rsidR="00F40C1B" w:rsidRPr="00263307">
        <w:rPr>
          <w:rFonts w:ascii="Book Antiqua" w:hAnsi="Book Antiqua"/>
          <w:color w:val="000000" w:themeColor="text1"/>
          <w:sz w:val="24"/>
          <w:szCs w:val="24"/>
        </w:rPr>
        <w:t>12</w:t>
      </w:r>
      <w:r w:rsidR="00F31877" w:rsidRPr="00263307">
        <w:rPr>
          <w:rFonts w:ascii="Book Antiqua" w:hAnsi="Book Antiqua"/>
          <w:color w:val="000000" w:themeColor="text1"/>
          <w:sz w:val="24"/>
          <w:szCs w:val="24"/>
        </w:rPr>
        <w:t>/</w:t>
      </w:r>
      <w:r w:rsidR="00207E44" w:rsidRPr="00263307">
        <w:rPr>
          <w:rFonts w:ascii="Book Antiqua" w:hAnsi="Book Antiqua"/>
          <w:color w:val="000000" w:themeColor="text1"/>
          <w:sz w:val="24"/>
          <w:szCs w:val="24"/>
        </w:rPr>
        <w:t>38</w:t>
      </w:r>
      <w:r w:rsidR="00F31877" w:rsidRPr="00263307">
        <w:rPr>
          <w:rFonts w:ascii="Book Antiqua" w:hAnsi="Book Antiqua"/>
          <w:color w:val="000000" w:themeColor="text1"/>
          <w:sz w:val="24"/>
          <w:szCs w:val="24"/>
        </w:rPr>
        <w:t xml:space="preserve"> patients </w:t>
      </w:r>
      <w:r w:rsidR="00207E44" w:rsidRPr="00263307">
        <w:rPr>
          <w:rFonts w:ascii="Book Antiqua" w:hAnsi="Book Antiqua"/>
          <w:color w:val="000000" w:themeColor="text1"/>
          <w:sz w:val="24"/>
          <w:szCs w:val="24"/>
        </w:rPr>
        <w:t>(</w:t>
      </w:r>
      <w:r w:rsidR="00F40C1B" w:rsidRPr="00263307">
        <w:rPr>
          <w:rFonts w:ascii="Book Antiqua" w:hAnsi="Book Antiqua"/>
          <w:color w:val="000000" w:themeColor="text1"/>
          <w:sz w:val="24"/>
          <w:szCs w:val="24"/>
        </w:rPr>
        <w:t>31.6</w:t>
      </w:r>
      <w:r w:rsidR="00207E44" w:rsidRPr="00263307">
        <w:rPr>
          <w:rFonts w:ascii="Book Antiqua" w:hAnsi="Book Antiqua"/>
          <w:color w:val="000000" w:themeColor="text1"/>
          <w:sz w:val="24"/>
          <w:szCs w:val="24"/>
        </w:rPr>
        <w:t xml:space="preserve">%) </w:t>
      </w:r>
      <w:r w:rsidR="00F31877" w:rsidRPr="00263307">
        <w:rPr>
          <w:rFonts w:ascii="Book Antiqua" w:hAnsi="Book Antiqua"/>
          <w:color w:val="000000" w:themeColor="text1"/>
          <w:sz w:val="24"/>
          <w:szCs w:val="24"/>
        </w:rPr>
        <w:t xml:space="preserve">in </w:t>
      </w:r>
      <w:r w:rsidR="00174DC7" w:rsidRPr="00263307">
        <w:rPr>
          <w:rFonts w:ascii="Book Antiqua" w:hAnsi="Book Antiqua"/>
          <w:color w:val="000000" w:themeColor="text1"/>
          <w:sz w:val="24"/>
          <w:szCs w:val="24"/>
        </w:rPr>
        <w:t xml:space="preserve">the </w:t>
      </w:r>
      <w:r w:rsidR="00F31877" w:rsidRPr="00263307">
        <w:rPr>
          <w:rFonts w:ascii="Book Antiqua" w:hAnsi="Book Antiqua"/>
          <w:color w:val="000000" w:themeColor="text1"/>
          <w:sz w:val="24"/>
          <w:szCs w:val="24"/>
        </w:rPr>
        <w:t>SA and CA group</w:t>
      </w:r>
      <w:r w:rsidR="00174DC7" w:rsidRPr="00263307">
        <w:rPr>
          <w:rFonts w:ascii="Book Antiqua" w:hAnsi="Book Antiqua"/>
          <w:color w:val="000000" w:themeColor="text1"/>
          <w:sz w:val="24"/>
          <w:szCs w:val="24"/>
        </w:rPr>
        <w:t>s</w:t>
      </w:r>
      <w:r w:rsidR="00F31877" w:rsidRPr="00263307">
        <w:rPr>
          <w:rFonts w:ascii="Book Antiqua" w:hAnsi="Book Antiqua"/>
          <w:color w:val="000000" w:themeColor="text1"/>
          <w:sz w:val="24"/>
          <w:szCs w:val="24"/>
        </w:rPr>
        <w:t>, respectively (</w:t>
      </w:r>
      <w:r w:rsidR="007B455F" w:rsidRPr="00263307">
        <w:rPr>
          <w:rFonts w:ascii="Book Antiqua" w:hAnsi="Book Antiqua"/>
          <w:i/>
          <w:color w:val="000000" w:themeColor="text1"/>
          <w:sz w:val="24"/>
          <w:szCs w:val="24"/>
        </w:rPr>
        <w:t>P</w:t>
      </w:r>
      <w:r w:rsidR="007B455F" w:rsidRPr="00263307">
        <w:rPr>
          <w:rFonts w:ascii="Book Antiqua" w:hAnsi="Book Antiqua"/>
          <w:color w:val="000000" w:themeColor="text1"/>
          <w:sz w:val="24"/>
          <w:szCs w:val="24"/>
        </w:rPr>
        <w:t xml:space="preserve"> </w:t>
      </w:r>
      <w:r w:rsidR="00F31877" w:rsidRPr="00263307">
        <w:rPr>
          <w:rFonts w:ascii="Book Antiqua" w:hAnsi="Book Antiqua"/>
          <w:color w:val="000000" w:themeColor="text1"/>
          <w:sz w:val="24"/>
          <w:szCs w:val="24"/>
        </w:rPr>
        <w:t>=</w:t>
      </w:r>
      <w:r w:rsidR="00174DC7" w:rsidRPr="00263307">
        <w:rPr>
          <w:rFonts w:ascii="Book Antiqua" w:hAnsi="Book Antiqua"/>
          <w:color w:val="000000" w:themeColor="text1"/>
          <w:sz w:val="24"/>
          <w:szCs w:val="24"/>
        </w:rPr>
        <w:t xml:space="preserve"> </w:t>
      </w:r>
      <w:r w:rsidR="00207E44" w:rsidRPr="00263307">
        <w:rPr>
          <w:rFonts w:ascii="Book Antiqua" w:hAnsi="Book Antiqua"/>
          <w:color w:val="000000" w:themeColor="text1"/>
          <w:sz w:val="24"/>
          <w:szCs w:val="24"/>
        </w:rPr>
        <w:t>0.0</w:t>
      </w:r>
      <w:r w:rsidR="00F40C1B" w:rsidRPr="00263307">
        <w:rPr>
          <w:rFonts w:ascii="Book Antiqua" w:hAnsi="Book Antiqua"/>
          <w:color w:val="000000" w:themeColor="text1"/>
          <w:sz w:val="24"/>
          <w:szCs w:val="24"/>
        </w:rPr>
        <w:t>01</w:t>
      </w:r>
      <w:r w:rsidR="00F31877" w:rsidRPr="00263307">
        <w:rPr>
          <w:rFonts w:ascii="Book Antiqua" w:hAnsi="Book Antiqua"/>
          <w:color w:val="000000" w:themeColor="text1"/>
          <w:sz w:val="24"/>
          <w:szCs w:val="24"/>
        </w:rPr>
        <w:t xml:space="preserve">). </w:t>
      </w:r>
      <w:r w:rsidR="003442EC" w:rsidRPr="00263307">
        <w:rPr>
          <w:rFonts w:ascii="Book Antiqua" w:hAnsi="Book Antiqua"/>
          <w:color w:val="000000" w:themeColor="text1"/>
          <w:sz w:val="24"/>
          <w:szCs w:val="24"/>
        </w:rPr>
        <w:t xml:space="preserve">Judgment on indication, reason, and selection of operated patients were based on </w:t>
      </w:r>
      <w:r w:rsidR="00000622" w:rsidRPr="00263307">
        <w:rPr>
          <w:rFonts w:ascii="Book Antiqua" w:hAnsi="Book Antiqua"/>
          <w:color w:val="000000" w:themeColor="text1"/>
          <w:sz w:val="24"/>
          <w:szCs w:val="24"/>
        </w:rPr>
        <w:t xml:space="preserve">the </w:t>
      </w:r>
      <w:r w:rsidR="002067B0" w:rsidRPr="00263307">
        <w:rPr>
          <w:rFonts w:ascii="Book Antiqua" w:hAnsi="Book Antiqua"/>
          <w:color w:val="000000" w:themeColor="text1"/>
          <w:sz w:val="24"/>
          <w:szCs w:val="24"/>
        </w:rPr>
        <w:t>expert</w:t>
      </w:r>
      <w:r w:rsidR="003442EC" w:rsidRPr="00263307">
        <w:rPr>
          <w:rFonts w:ascii="Book Antiqua" w:hAnsi="Book Antiqua"/>
          <w:color w:val="000000" w:themeColor="text1"/>
          <w:sz w:val="24"/>
          <w:szCs w:val="24"/>
        </w:rPr>
        <w:t xml:space="preserve"> opinion </w:t>
      </w:r>
      <w:r w:rsidR="00000622" w:rsidRPr="00263307">
        <w:rPr>
          <w:rFonts w:ascii="Book Antiqua" w:hAnsi="Book Antiqua"/>
          <w:color w:val="000000" w:themeColor="text1"/>
          <w:sz w:val="24"/>
          <w:szCs w:val="24"/>
        </w:rPr>
        <w:t xml:space="preserve">of the </w:t>
      </w:r>
      <w:r w:rsidR="003442EC" w:rsidRPr="00263307">
        <w:rPr>
          <w:rFonts w:ascii="Book Antiqua" w:hAnsi="Book Antiqua"/>
          <w:color w:val="000000" w:themeColor="text1"/>
          <w:sz w:val="24"/>
          <w:szCs w:val="24"/>
        </w:rPr>
        <w:t xml:space="preserve">surgeons on each individual </w:t>
      </w:r>
      <w:r w:rsidR="00CC0A89" w:rsidRPr="00263307">
        <w:rPr>
          <w:rFonts w:ascii="Book Antiqua" w:hAnsi="Book Antiqua"/>
          <w:color w:val="000000" w:themeColor="text1"/>
          <w:sz w:val="24"/>
          <w:szCs w:val="24"/>
        </w:rPr>
        <w:t>case</w:t>
      </w:r>
      <w:r w:rsidR="003442EC" w:rsidRPr="00263307">
        <w:rPr>
          <w:rFonts w:ascii="Book Antiqua" w:hAnsi="Book Antiqua"/>
          <w:color w:val="000000" w:themeColor="text1"/>
          <w:sz w:val="24"/>
          <w:szCs w:val="24"/>
        </w:rPr>
        <w:t xml:space="preserve">. </w:t>
      </w:r>
      <w:r w:rsidR="00F40C1B" w:rsidRPr="00263307">
        <w:rPr>
          <w:rFonts w:ascii="Book Antiqua" w:hAnsi="Book Antiqua"/>
          <w:color w:val="000000" w:themeColor="text1"/>
          <w:sz w:val="24"/>
          <w:szCs w:val="24"/>
        </w:rPr>
        <w:t xml:space="preserve">In 34 operated patients, </w:t>
      </w:r>
      <w:r w:rsidR="00410328" w:rsidRPr="00263307">
        <w:rPr>
          <w:rFonts w:ascii="Book Antiqua" w:hAnsi="Book Antiqua"/>
          <w:color w:val="000000" w:themeColor="text1"/>
          <w:sz w:val="24"/>
          <w:szCs w:val="24"/>
        </w:rPr>
        <w:t>complication</w:t>
      </w:r>
      <w:r w:rsidR="00174DC7" w:rsidRPr="00263307">
        <w:rPr>
          <w:rFonts w:ascii="Book Antiqua" w:hAnsi="Book Antiqua"/>
          <w:color w:val="000000" w:themeColor="text1"/>
          <w:sz w:val="24"/>
          <w:szCs w:val="24"/>
        </w:rPr>
        <w:t>s</w:t>
      </w:r>
      <w:r w:rsidR="00410328" w:rsidRPr="00263307">
        <w:rPr>
          <w:rFonts w:ascii="Book Antiqua" w:hAnsi="Book Antiqua"/>
          <w:color w:val="000000" w:themeColor="text1"/>
          <w:sz w:val="24"/>
          <w:szCs w:val="24"/>
        </w:rPr>
        <w:t xml:space="preserve"> such as abscess formation, perforation</w:t>
      </w:r>
      <w:r w:rsidR="00174DC7" w:rsidRPr="00263307">
        <w:rPr>
          <w:rFonts w:ascii="Book Antiqua" w:hAnsi="Book Antiqua"/>
          <w:color w:val="000000" w:themeColor="text1"/>
          <w:sz w:val="24"/>
          <w:szCs w:val="24"/>
        </w:rPr>
        <w:t>,</w:t>
      </w:r>
      <w:r w:rsidR="00410328" w:rsidRPr="00263307">
        <w:rPr>
          <w:rFonts w:ascii="Book Antiqua" w:hAnsi="Book Antiqua"/>
          <w:color w:val="000000" w:themeColor="text1"/>
          <w:sz w:val="24"/>
          <w:szCs w:val="24"/>
        </w:rPr>
        <w:t xml:space="preserve"> and wall necrosis (gangrenous appendicitis) </w:t>
      </w:r>
      <w:r w:rsidR="00174DC7" w:rsidRPr="00263307">
        <w:rPr>
          <w:rFonts w:ascii="Book Antiqua" w:hAnsi="Book Antiqua"/>
          <w:color w:val="000000" w:themeColor="text1"/>
          <w:sz w:val="24"/>
          <w:szCs w:val="24"/>
        </w:rPr>
        <w:t xml:space="preserve">were </w:t>
      </w:r>
      <w:r w:rsidR="00F40C1B" w:rsidRPr="00263307">
        <w:rPr>
          <w:rFonts w:ascii="Book Antiqua" w:hAnsi="Book Antiqua"/>
          <w:color w:val="000000" w:themeColor="text1"/>
          <w:sz w:val="24"/>
          <w:szCs w:val="24"/>
        </w:rPr>
        <w:t xml:space="preserve">pathologically </w:t>
      </w:r>
      <w:r w:rsidR="00174DC7" w:rsidRPr="00263307">
        <w:rPr>
          <w:rFonts w:ascii="Book Antiqua" w:hAnsi="Book Antiqua"/>
          <w:color w:val="000000" w:themeColor="text1"/>
          <w:sz w:val="24"/>
          <w:szCs w:val="24"/>
        </w:rPr>
        <w:t xml:space="preserve">verified </w:t>
      </w:r>
      <w:r w:rsidR="00F40C1B" w:rsidRPr="00263307">
        <w:rPr>
          <w:rFonts w:ascii="Book Antiqua" w:hAnsi="Book Antiqua"/>
          <w:color w:val="000000" w:themeColor="text1"/>
          <w:sz w:val="24"/>
          <w:szCs w:val="24"/>
        </w:rPr>
        <w:t xml:space="preserve">in </w:t>
      </w:r>
      <w:r w:rsidR="00410328" w:rsidRPr="00263307">
        <w:rPr>
          <w:rFonts w:ascii="Book Antiqua" w:hAnsi="Book Antiqua"/>
          <w:color w:val="000000" w:themeColor="text1"/>
          <w:sz w:val="24"/>
          <w:szCs w:val="24"/>
        </w:rPr>
        <w:t>15</w:t>
      </w:r>
      <w:r w:rsidR="00F40C1B" w:rsidRPr="00263307">
        <w:rPr>
          <w:rFonts w:ascii="Book Antiqua" w:hAnsi="Book Antiqua"/>
          <w:color w:val="000000" w:themeColor="text1"/>
          <w:sz w:val="24"/>
          <w:szCs w:val="24"/>
        </w:rPr>
        <w:t>/</w:t>
      </w:r>
      <w:r w:rsidR="00410328" w:rsidRPr="00263307">
        <w:rPr>
          <w:rFonts w:ascii="Book Antiqua" w:hAnsi="Book Antiqua"/>
          <w:color w:val="000000" w:themeColor="text1"/>
          <w:sz w:val="24"/>
          <w:szCs w:val="24"/>
        </w:rPr>
        <w:t>22</w:t>
      </w:r>
      <w:r w:rsidR="00F40C1B" w:rsidRPr="00263307">
        <w:rPr>
          <w:rFonts w:ascii="Book Antiqua" w:hAnsi="Book Antiqua"/>
          <w:color w:val="000000" w:themeColor="text1"/>
          <w:sz w:val="24"/>
          <w:szCs w:val="24"/>
        </w:rPr>
        <w:t xml:space="preserve"> cases (</w:t>
      </w:r>
      <w:r w:rsidR="00410328" w:rsidRPr="00263307">
        <w:rPr>
          <w:rFonts w:ascii="Book Antiqua" w:hAnsi="Book Antiqua"/>
          <w:color w:val="000000" w:themeColor="text1"/>
          <w:sz w:val="24"/>
          <w:szCs w:val="24"/>
        </w:rPr>
        <w:t>68.2</w:t>
      </w:r>
      <w:r w:rsidR="00F40C1B" w:rsidRPr="00263307">
        <w:rPr>
          <w:rFonts w:ascii="Book Antiqua" w:hAnsi="Book Antiqua"/>
          <w:color w:val="000000" w:themeColor="text1"/>
          <w:sz w:val="24"/>
          <w:szCs w:val="24"/>
        </w:rPr>
        <w:t xml:space="preserve">%) and </w:t>
      </w:r>
      <w:r w:rsidR="00410328" w:rsidRPr="00263307">
        <w:rPr>
          <w:rFonts w:ascii="Book Antiqua" w:hAnsi="Book Antiqua"/>
          <w:color w:val="000000" w:themeColor="text1"/>
          <w:sz w:val="24"/>
          <w:szCs w:val="24"/>
        </w:rPr>
        <w:t>11/12 cases (91.7%)</w:t>
      </w:r>
      <w:r w:rsidR="00F40C1B" w:rsidRPr="00263307">
        <w:rPr>
          <w:rFonts w:ascii="Book Antiqua" w:hAnsi="Book Antiqua"/>
          <w:color w:val="000000" w:themeColor="text1"/>
          <w:sz w:val="24"/>
          <w:szCs w:val="24"/>
        </w:rPr>
        <w:t xml:space="preserve"> in </w:t>
      </w:r>
      <w:r w:rsidR="00174DC7" w:rsidRPr="00263307">
        <w:rPr>
          <w:rFonts w:ascii="Book Antiqua" w:hAnsi="Book Antiqua"/>
          <w:color w:val="000000" w:themeColor="text1"/>
          <w:sz w:val="24"/>
          <w:szCs w:val="24"/>
        </w:rPr>
        <w:t xml:space="preserve">the </w:t>
      </w:r>
      <w:r w:rsidR="00F40C1B" w:rsidRPr="00263307">
        <w:rPr>
          <w:rFonts w:ascii="Book Antiqua" w:hAnsi="Book Antiqua"/>
          <w:color w:val="000000" w:themeColor="text1"/>
          <w:sz w:val="24"/>
          <w:szCs w:val="24"/>
        </w:rPr>
        <w:t>SA and CA group</w:t>
      </w:r>
      <w:r w:rsidR="00174DC7" w:rsidRPr="00263307">
        <w:rPr>
          <w:rFonts w:ascii="Book Antiqua" w:hAnsi="Book Antiqua"/>
          <w:color w:val="000000" w:themeColor="text1"/>
          <w:sz w:val="24"/>
          <w:szCs w:val="24"/>
        </w:rPr>
        <w:t>s</w:t>
      </w:r>
      <w:r w:rsidR="00F40C1B" w:rsidRPr="00263307">
        <w:rPr>
          <w:rFonts w:ascii="Book Antiqua" w:hAnsi="Book Antiqua"/>
          <w:color w:val="000000" w:themeColor="text1"/>
          <w:sz w:val="24"/>
          <w:szCs w:val="24"/>
        </w:rPr>
        <w:t>, respectively</w:t>
      </w:r>
      <w:r w:rsidR="00F12F99" w:rsidRPr="00263307">
        <w:rPr>
          <w:rFonts w:ascii="Book Antiqua" w:hAnsi="Book Antiqua"/>
          <w:color w:val="000000" w:themeColor="text1"/>
          <w:sz w:val="24"/>
          <w:szCs w:val="24"/>
        </w:rPr>
        <w:t>.</w:t>
      </w:r>
      <w:r w:rsidR="00410328" w:rsidRPr="00263307">
        <w:rPr>
          <w:rFonts w:ascii="Book Antiqua" w:hAnsi="Book Antiqua"/>
          <w:color w:val="000000" w:themeColor="text1"/>
          <w:sz w:val="24"/>
          <w:szCs w:val="24"/>
        </w:rPr>
        <w:t xml:space="preserve"> </w:t>
      </w:r>
      <w:r w:rsidR="00F12F99" w:rsidRPr="00263307">
        <w:rPr>
          <w:rFonts w:ascii="Book Antiqua" w:hAnsi="Book Antiqua"/>
          <w:color w:val="000000" w:themeColor="text1"/>
          <w:sz w:val="24"/>
          <w:szCs w:val="24"/>
        </w:rPr>
        <w:t xml:space="preserve">According to these results, sensitivity and specificity for differentiation of SA and CA based on </w:t>
      </w:r>
      <w:r w:rsidR="00174DC7" w:rsidRPr="00263307">
        <w:rPr>
          <w:rFonts w:ascii="Book Antiqua" w:hAnsi="Book Antiqua"/>
          <w:color w:val="000000" w:themeColor="text1"/>
          <w:sz w:val="24"/>
          <w:szCs w:val="24"/>
        </w:rPr>
        <w:t xml:space="preserve">the </w:t>
      </w:r>
      <w:r w:rsidR="00F12F99" w:rsidRPr="00263307">
        <w:rPr>
          <w:rFonts w:ascii="Book Antiqua" w:hAnsi="Book Antiqua"/>
          <w:color w:val="000000" w:themeColor="text1"/>
          <w:sz w:val="24"/>
          <w:szCs w:val="24"/>
        </w:rPr>
        <w:t>CT findings were 91.7% and 31.8%, respectively.</w:t>
      </w:r>
    </w:p>
    <w:p w14:paraId="5FD40EF8" w14:textId="77777777" w:rsidR="00CA56D3" w:rsidRPr="00263307" w:rsidRDefault="00030DD9" w:rsidP="00263307">
      <w:pPr>
        <w:pStyle w:val="a5"/>
        <w:adjustRightInd w:val="0"/>
        <w:snapToGrid w:val="0"/>
        <w:spacing w:before="0" w:beforeAutospacing="0" w:after="0" w:afterAutospacing="0" w:line="360" w:lineRule="auto"/>
        <w:ind w:firstLineChars="100" w:firstLine="240"/>
        <w:jc w:val="both"/>
        <w:rPr>
          <w:rFonts w:ascii="Book Antiqua" w:eastAsia="宋体" w:hAnsi="Book Antiqua"/>
          <w:color w:val="000000" w:themeColor="text1"/>
          <w:sz w:val="24"/>
          <w:szCs w:val="24"/>
          <w:lang w:eastAsia="zh-CN"/>
        </w:rPr>
      </w:pPr>
      <w:r w:rsidRPr="00263307">
        <w:rPr>
          <w:rFonts w:ascii="Book Antiqua" w:hAnsi="Book Antiqua"/>
          <w:color w:val="000000" w:themeColor="text1"/>
          <w:sz w:val="24"/>
          <w:szCs w:val="24"/>
        </w:rPr>
        <w:t xml:space="preserve">As shown in Table 1, heart rate, body temperature, and serum CRP level in </w:t>
      </w:r>
      <w:r w:rsidR="008A1145" w:rsidRPr="00263307">
        <w:rPr>
          <w:rFonts w:ascii="Book Antiqua" w:hAnsi="Book Antiqua"/>
          <w:color w:val="000000" w:themeColor="text1"/>
          <w:sz w:val="24"/>
          <w:szCs w:val="24"/>
        </w:rPr>
        <w:t xml:space="preserve">the </w:t>
      </w:r>
      <w:r w:rsidRPr="00263307">
        <w:rPr>
          <w:rFonts w:ascii="Book Antiqua" w:hAnsi="Book Antiqua"/>
          <w:color w:val="000000" w:themeColor="text1"/>
          <w:sz w:val="24"/>
          <w:szCs w:val="24"/>
        </w:rPr>
        <w:t xml:space="preserve">CA group were significantly higher than in </w:t>
      </w:r>
      <w:r w:rsidR="008A1145" w:rsidRPr="00263307">
        <w:rPr>
          <w:rFonts w:ascii="Book Antiqua" w:hAnsi="Book Antiqua"/>
          <w:color w:val="000000" w:themeColor="text1"/>
          <w:sz w:val="24"/>
          <w:szCs w:val="24"/>
        </w:rPr>
        <w:t xml:space="preserve">the </w:t>
      </w:r>
      <w:r w:rsidRPr="00263307">
        <w:rPr>
          <w:rFonts w:ascii="Book Antiqua" w:hAnsi="Book Antiqua"/>
          <w:color w:val="000000" w:themeColor="text1"/>
          <w:sz w:val="24"/>
          <w:szCs w:val="24"/>
        </w:rPr>
        <w:t>SA group (Table 1).</w:t>
      </w:r>
      <w:r w:rsidR="00813325" w:rsidRPr="00263307">
        <w:rPr>
          <w:rFonts w:ascii="Book Antiqua" w:hAnsi="Book Antiqua"/>
          <w:color w:val="000000" w:themeColor="text1"/>
          <w:sz w:val="24"/>
          <w:szCs w:val="24"/>
        </w:rPr>
        <w:t xml:space="preserve"> On the other hand, GFR </w:t>
      </w:r>
      <w:r w:rsidR="00D56371" w:rsidRPr="00263307">
        <w:rPr>
          <w:rFonts w:ascii="Book Antiqua" w:hAnsi="Book Antiqua"/>
          <w:color w:val="000000" w:themeColor="text1"/>
          <w:sz w:val="24"/>
          <w:szCs w:val="24"/>
        </w:rPr>
        <w:t xml:space="preserve">and serum sodium level </w:t>
      </w:r>
      <w:r w:rsidR="00813325" w:rsidRPr="00263307">
        <w:rPr>
          <w:rFonts w:ascii="Book Antiqua" w:hAnsi="Book Antiqua"/>
          <w:color w:val="000000" w:themeColor="text1"/>
          <w:sz w:val="24"/>
          <w:szCs w:val="24"/>
        </w:rPr>
        <w:t>w</w:t>
      </w:r>
      <w:r w:rsidR="00D56371" w:rsidRPr="00263307">
        <w:rPr>
          <w:rFonts w:ascii="Book Antiqua" w:hAnsi="Book Antiqua"/>
          <w:color w:val="000000" w:themeColor="text1"/>
          <w:sz w:val="24"/>
          <w:szCs w:val="24"/>
        </w:rPr>
        <w:t>ere</w:t>
      </w:r>
      <w:r w:rsidR="00813325" w:rsidRPr="00263307">
        <w:rPr>
          <w:rFonts w:ascii="Book Antiqua" w:hAnsi="Book Antiqua"/>
          <w:color w:val="000000" w:themeColor="text1"/>
          <w:sz w:val="24"/>
          <w:szCs w:val="24"/>
        </w:rPr>
        <w:t xml:space="preserve"> significantly </w:t>
      </w:r>
      <w:r w:rsidR="00F97861" w:rsidRPr="00263307">
        <w:rPr>
          <w:rFonts w:ascii="Book Antiqua" w:hAnsi="Book Antiqua"/>
          <w:color w:val="000000" w:themeColor="text1"/>
          <w:sz w:val="24"/>
          <w:szCs w:val="24"/>
        </w:rPr>
        <w:t>low</w:t>
      </w:r>
      <w:r w:rsidR="00813325" w:rsidRPr="00263307">
        <w:rPr>
          <w:rFonts w:ascii="Book Antiqua" w:hAnsi="Book Antiqua"/>
          <w:color w:val="000000" w:themeColor="text1"/>
          <w:sz w:val="24"/>
          <w:szCs w:val="24"/>
        </w:rPr>
        <w:t xml:space="preserve">er in </w:t>
      </w:r>
      <w:r w:rsidR="008A1145" w:rsidRPr="00263307">
        <w:rPr>
          <w:rFonts w:ascii="Book Antiqua" w:hAnsi="Book Antiqua"/>
          <w:color w:val="000000" w:themeColor="text1"/>
          <w:sz w:val="24"/>
          <w:szCs w:val="24"/>
        </w:rPr>
        <w:t xml:space="preserve">the </w:t>
      </w:r>
      <w:r w:rsidR="00F97861" w:rsidRPr="00263307">
        <w:rPr>
          <w:rFonts w:ascii="Book Antiqua" w:hAnsi="Book Antiqua"/>
          <w:color w:val="000000" w:themeColor="text1"/>
          <w:sz w:val="24"/>
          <w:szCs w:val="24"/>
        </w:rPr>
        <w:t>C</w:t>
      </w:r>
      <w:r w:rsidR="00813325" w:rsidRPr="00263307">
        <w:rPr>
          <w:rFonts w:ascii="Book Antiqua" w:hAnsi="Book Antiqua"/>
          <w:color w:val="000000" w:themeColor="text1"/>
          <w:sz w:val="24"/>
          <w:szCs w:val="24"/>
        </w:rPr>
        <w:t>A group (Table 1).</w:t>
      </w:r>
      <w:r w:rsidRPr="00263307">
        <w:rPr>
          <w:rFonts w:ascii="Book Antiqua" w:hAnsi="Book Antiqua"/>
          <w:color w:val="000000" w:themeColor="text1"/>
          <w:sz w:val="24"/>
          <w:szCs w:val="24"/>
        </w:rPr>
        <w:t xml:space="preserve"> The prevalence of anorexia </w:t>
      </w:r>
      <w:r w:rsidR="00645E05" w:rsidRPr="00263307">
        <w:rPr>
          <w:rFonts w:ascii="Book Antiqua" w:hAnsi="Book Antiqua"/>
          <w:color w:val="000000" w:themeColor="text1"/>
          <w:sz w:val="24"/>
          <w:szCs w:val="24"/>
        </w:rPr>
        <w:t>was</w:t>
      </w:r>
      <w:r w:rsidRPr="00263307">
        <w:rPr>
          <w:rFonts w:ascii="Book Antiqua" w:hAnsi="Book Antiqua"/>
          <w:color w:val="000000" w:themeColor="text1"/>
          <w:sz w:val="24"/>
          <w:szCs w:val="24"/>
        </w:rPr>
        <w:t xml:space="preserve"> significantly </w:t>
      </w:r>
      <w:r w:rsidR="00C466CE" w:rsidRPr="00263307">
        <w:rPr>
          <w:rFonts w:ascii="Book Antiqua" w:hAnsi="Book Antiqua"/>
          <w:color w:val="000000" w:themeColor="text1"/>
          <w:sz w:val="24"/>
          <w:szCs w:val="24"/>
        </w:rPr>
        <w:t>higher</w:t>
      </w:r>
      <w:r w:rsidRPr="00263307">
        <w:rPr>
          <w:rFonts w:ascii="Book Antiqua" w:hAnsi="Book Antiqua"/>
          <w:color w:val="000000" w:themeColor="text1"/>
          <w:sz w:val="24"/>
          <w:szCs w:val="24"/>
        </w:rPr>
        <w:t xml:space="preserve"> in </w:t>
      </w:r>
      <w:r w:rsidR="008A1145" w:rsidRPr="00263307">
        <w:rPr>
          <w:rFonts w:ascii="Book Antiqua" w:hAnsi="Book Antiqua"/>
          <w:color w:val="000000" w:themeColor="text1"/>
          <w:sz w:val="24"/>
          <w:szCs w:val="24"/>
        </w:rPr>
        <w:t xml:space="preserve">the </w:t>
      </w:r>
      <w:r w:rsidRPr="00263307">
        <w:rPr>
          <w:rFonts w:ascii="Book Antiqua" w:hAnsi="Book Antiqua"/>
          <w:color w:val="000000" w:themeColor="text1"/>
          <w:sz w:val="24"/>
          <w:szCs w:val="24"/>
        </w:rPr>
        <w:t xml:space="preserve">CA group compared to </w:t>
      </w:r>
      <w:r w:rsidR="008A1145" w:rsidRPr="00263307">
        <w:rPr>
          <w:rFonts w:ascii="Book Antiqua" w:hAnsi="Book Antiqua"/>
          <w:color w:val="000000" w:themeColor="text1"/>
          <w:sz w:val="24"/>
          <w:szCs w:val="24"/>
        </w:rPr>
        <w:t xml:space="preserve">the </w:t>
      </w:r>
      <w:r w:rsidRPr="00263307">
        <w:rPr>
          <w:rFonts w:ascii="Book Antiqua" w:hAnsi="Book Antiqua"/>
          <w:color w:val="000000" w:themeColor="text1"/>
          <w:sz w:val="24"/>
          <w:szCs w:val="24"/>
        </w:rPr>
        <w:t>SA group (Table 1).</w:t>
      </w:r>
    </w:p>
    <w:p w14:paraId="038034C6" w14:textId="7709FC0B" w:rsidR="007159C2" w:rsidRPr="00263307" w:rsidRDefault="002B30AE" w:rsidP="00263307">
      <w:pPr>
        <w:pStyle w:val="a5"/>
        <w:adjustRightInd w:val="0"/>
        <w:snapToGrid w:val="0"/>
        <w:spacing w:before="0" w:beforeAutospacing="0" w:after="0" w:afterAutospacing="0" w:line="360" w:lineRule="auto"/>
        <w:ind w:firstLineChars="100" w:firstLine="240"/>
        <w:jc w:val="both"/>
        <w:rPr>
          <w:rFonts w:ascii="Book Antiqua" w:eastAsia="宋体" w:hAnsi="Book Antiqua"/>
          <w:color w:val="000000" w:themeColor="text1"/>
          <w:sz w:val="24"/>
          <w:szCs w:val="24"/>
          <w:lang w:eastAsia="zh-CN"/>
        </w:rPr>
      </w:pPr>
      <w:r w:rsidRPr="00263307">
        <w:rPr>
          <w:rFonts w:ascii="Book Antiqua" w:hAnsi="Book Antiqua"/>
          <w:color w:val="000000" w:themeColor="text1"/>
          <w:sz w:val="24"/>
          <w:szCs w:val="24"/>
        </w:rPr>
        <w:t>Based on the result</w:t>
      </w:r>
      <w:r w:rsidR="00ED1A33" w:rsidRPr="00263307">
        <w:rPr>
          <w:rFonts w:ascii="Book Antiqua" w:hAnsi="Book Antiqua"/>
          <w:color w:val="000000" w:themeColor="text1"/>
          <w:sz w:val="24"/>
          <w:szCs w:val="24"/>
        </w:rPr>
        <w:t>s</w:t>
      </w:r>
      <w:r w:rsidRPr="00263307">
        <w:rPr>
          <w:rFonts w:ascii="Book Antiqua" w:hAnsi="Book Antiqua"/>
          <w:color w:val="000000" w:themeColor="text1"/>
          <w:sz w:val="24"/>
          <w:szCs w:val="24"/>
        </w:rPr>
        <w:t xml:space="preserve"> of univariate comparisons, we selected age, onset-to-visit interval, anorexia, tachycardia, and fever as non-laboratory predictive factors of CA </w:t>
      </w:r>
      <w:r w:rsidR="00F31877" w:rsidRPr="00263307">
        <w:rPr>
          <w:rFonts w:ascii="Book Antiqua" w:hAnsi="Book Antiqua"/>
          <w:color w:val="000000" w:themeColor="text1"/>
          <w:sz w:val="24"/>
          <w:szCs w:val="24"/>
        </w:rPr>
        <w:t xml:space="preserve">and performed </w:t>
      </w:r>
      <w:r w:rsidR="00440889" w:rsidRPr="00263307">
        <w:rPr>
          <w:rFonts w:ascii="Book Antiqua" w:hAnsi="Book Antiqua"/>
          <w:color w:val="000000" w:themeColor="text1"/>
          <w:sz w:val="24"/>
          <w:szCs w:val="24"/>
        </w:rPr>
        <w:t xml:space="preserve">a </w:t>
      </w:r>
      <w:r w:rsidR="00F31877" w:rsidRPr="00263307">
        <w:rPr>
          <w:rFonts w:ascii="Book Antiqua" w:hAnsi="Book Antiqua"/>
          <w:color w:val="000000" w:themeColor="text1"/>
          <w:sz w:val="24"/>
          <w:szCs w:val="24"/>
        </w:rPr>
        <w:t xml:space="preserve">logistic regression </w:t>
      </w:r>
      <w:r w:rsidRPr="00263307">
        <w:rPr>
          <w:rFonts w:ascii="Book Antiqua" w:hAnsi="Book Antiqua"/>
          <w:color w:val="000000" w:themeColor="text1"/>
          <w:sz w:val="24"/>
          <w:szCs w:val="24"/>
        </w:rPr>
        <w:t xml:space="preserve">(Model 1). The regression model showed that </w:t>
      </w:r>
      <w:r w:rsidR="00440889" w:rsidRPr="00263307">
        <w:rPr>
          <w:rFonts w:ascii="Book Antiqua" w:hAnsi="Book Antiqua"/>
          <w:color w:val="000000" w:themeColor="text1"/>
          <w:sz w:val="24"/>
          <w:szCs w:val="24"/>
        </w:rPr>
        <w:t xml:space="preserve">advanced </w:t>
      </w:r>
      <w:r w:rsidR="00060701" w:rsidRPr="00263307">
        <w:rPr>
          <w:rFonts w:ascii="Book Antiqua" w:hAnsi="Book Antiqua"/>
          <w:color w:val="000000" w:themeColor="text1"/>
          <w:sz w:val="24"/>
          <w:szCs w:val="24"/>
        </w:rPr>
        <w:t>age (</w:t>
      </w:r>
      <w:r w:rsidR="007653A7" w:rsidRPr="00263307">
        <w:rPr>
          <w:rFonts w:ascii="Book Antiqua" w:hAnsi="Book Antiqua"/>
          <w:color w:val="000000" w:themeColor="text1"/>
          <w:sz w:val="24"/>
          <w:szCs w:val="24"/>
        </w:rPr>
        <w:t>≥</w:t>
      </w:r>
      <w:r w:rsidR="00440889" w:rsidRPr="00263307">
        <w:rPr>
          <w:rFonts w:ascii="Book Antiqua" w:hAnsi="Book Antiqua"/>
          <w:color w:val="000000" w:themeColor="text1"/>
          <w:sz w:val="24"/>
          <w:szCs w:val="24"/>
        </w:rPr>
        <w:t xml:space="preserve"> </w:t>
      </w:r>
      <w:r w:rsidR="00CC37C5" w:rsidRPr="00263307">
        <w:rPr>
          <w:rFonts w:ascii="Book Antiqua" w:hAnsi="Book Antiqua"/>
          <w:color w:val="000000" w:themeColor="text1"/>
          <w:sz w:val="24"/>
          <w:szCs w:val="24"/>
        </w:rPr>
        <w:t>65</w:t>
      </w:r>
      <w:r w:rsidR="00440889" w:rsidRPr="00263307">
        <w:rPr>
          <w:rFonts w:ascii="Book Antiqua" w:hAnsi="Book Antiqua"/>
          <w:color w:val="000000" w:themeColor="text1"/>
          <w:sz w:val="24"/>
          <w:szCs w:val="24"/>
        </w:rPr>
        <w:t xml:space="preserve"> </w:t>
      </w:r>
      <w:r w:rsidR="00CC37C5" w:rsidRPr="00263307">
        <w:rPr>
          <w:rFonts w:ascii="Book Antiqua" w:hAnsi="Book Antiqua"/>
          <w:color w:val="000000" w:themeColor="text1"/>
          <w:sz w:val="24"/>
          <w:szCs w:val="24"/>
        </w:rPr>
        <w:t>year</w:t>
      </w:r>
      <w:r w:rsidR="00440889" w:rsidRPr="00263307">
        <w:rPr>
          <w:rFonts w:ascii="Book Antiqua" w:hAnsi="Book Antiqua"/>
          <w:color w:val="000000" w:themeColor="text1"/>
          <w:sz w:val="24"/>
          <w:szCs w:val="24"/>
        </w:rPr>
        <w:t xml:space="preserve">s </w:t>
      </w:r>
      <w:r w:rsidR="00CC37C5" w:rsidRPr="00263307">
        <w:rPr>
          <w:rFonts w:ascii="Book Antiqua" w:hAnsi="Book Antiqua"/>
          <w:color w:val="000000" w:themeColor="text1"/>
          <w:sz w:val="24"/>
          <w:szCs w:val="24"/>
        </w:rPr>
        <w:t>old</w:t>
      </w:r>
      <w:r w:rsidR="00060701" w:rsidRPr="00263307">
        <w:rPr>
          <w:rFonts w:ascii="Book Antiqua" w:hAnsi="Book Antiqua"/>
          <w:color w:val="000000" w:themeColor="text1"/>
          <w:sz w:val="24"/>
          <w:szCs w:val="24"/>
        </w:rPr>
        <w:t xml:space="preserve">), longer onset-to-visit interval, </w:t>
      </w:r>
      <w:r w:rsidR="007653A7" w:rsidRPr="00263307">
        <w:rPr>
          <w:rFonts w:ascii="Book Antiqua" w:hAnsi="Book Antiqua"/>
          <w:color w:val="000000" w:themeColor="text1"/>
          <w:sz w:val="24"/>
          <w:szCs w:val="24"/>
        </w:rPr>
        <w:t>and anorexia</w:t>
      </w:r>
      <w:r w:rsidR="00060701" w:rsidRPr="00263307">
        <w:rPr>
          <w:rFonts w:ascii="Book Antiqua" w:hAnsi="Book Antiqua"/>
          <w:color w:val="000000" w:themeColor="text1"/>
          <w:sz w:val="24"/>
          <w:szCs w:val="24"/>
        </w:rPr>
        <w:t xml:space="preserve"> had significantly high OR</w:t>
      </w:r>
      <w:r w:rsidR="00440889" w:rsidRPr="00263307">
        <w:rPr>
          <w:rFonts w:ascii="Book Antiqua" w:hAnsi="Book Antiqua"/>
          <w:color w:val="000000" w:themeColor="text1"/>
          <w:sz w:val="24"/>
          <w:szCs w:val="24"/>
        </w:rPr>
        <w:t>s</w:t>
      </w:r>
      <w:r w:rsidR="00CC37C5" w:rsidRPr="00263307">
        <w:rPr>
          <w:rFonts w:ascii="Book Antiqua" w:hAnsi="Book Antiqua"/>
          <w:color w:val="000000" w:themeColor="text1"/>
          <w:sz w:val="24"/>
          <w:szCs w:val="24"/>
        </w:rPr>
        <w:t xml:space="preserve"> </w:t>
      </w:r>
      <w:r w:rsidR="00440889" w:rsidRPr="00263307">
        <w:rPr>
          <w:rFonts w:ascii="Book Antiqua" w:hAnsi="Book Antiqua"/>
          <w:color w:val="000000" w:themeColor="text1"/>
          <w:sz w:val="24"/>
          <w:szCs w:val="24"/>
        </w:rPr>
        <w:t>(</w:t>
      </w:r>
      <w:r w:rsidR="00207E44" w:rsidRPr="00263307">
        <w:rPr>
          <w:rFonts w:ascii="Book Antiqua" w:hAnsi="Book Antiqua"/>
          <w:color w:val="000000" w:themeColor="text1"/>
          <w:sz w:val="24"/>
          <w:szCs w:val="24"/>
        </w:rPr>
        <w:t>Figure 1</w:t>
      </w:r>
      <w:r w:rsidR="006F54A2">
        <w:rPr>
          <w:rFonts w:ascii="Book Antiqua" w:eastAsia="宋体" w:hAnsi="Book Antiqua" w:hint="eastAsia"/>
          <w:color w:val="000000" w:themeColor="text1"/>
          <w:sz w:val="24"/>
          <w:szCs w:val="24"/>
          <w:lang w:eastAsia="zh-CN"/>
        </w:rPr>
        <w:t>A</w:t>
      </w:r>
      <w:r w:rsidR="00060701" w:rsidRPr="00263307">
        <w:rPr>
          <w:rFonts w:ascii="Book Antiqua" w:hAnsi="Book Antiqua"/>
          <w:color w:val="000000" w:themeColor="text1"/>
          <w:sz w:val="24"/>
          <w:szCs w:val="24"/>
        </w:rPr>
        <w:t xml:space="preserve">). The logistic regression for prediction of CA including age, onset-to-visit interval, anorexia, </w:t>
      </w:r>
      <w:r w:rsidR="00CC37C5" w:rsidRPr="00263307">
        <w:rPr>
          <w:rFonts w:ascii="Book Antiqua" w:hAnsi="Book Antiqua"/>
          <w:color w:val="000000" w:themeColor="text1"/>
          <w:sz w:val="24"/>
          <w:szCs w:val="24"/>
        </w:rPr>
        <w:t>serum CRP level, renal dysfunction (defined as GFR</w:t>
      </w:r>
      <w:r w:rsidR="00440889" w:rsidRPr="00263307">
        <w:rPr>
          <w:rFonts w:ascii="Book Antiqua" w:hAnsi="Book Antiqua"/>
          <w:color w:val="000000" w:themeColor="text1"/>
          <w:sz w:val="24"/>
          <w:szCs w:val="24"/>
        </w:rPr>
        <w:t xml:space="preserve"> </w:t>
      </w:r>
      <w:r w:rsidR="00CC37C5" w:rsidRPr="00263307">
        <w:rPr>
          <w:rFonts w:ascii="Book Antiqua" w:hAnsi="Book Antiqua"/>
          <w:color w:val="000000" w:themeColor="text1"/>
          <w:sz w:val="24"/>
          <w:szCs w:val="24"/>
        </w:rPr>
        <w:t>&lt;</w:t>
      </w:r>
      <w:r w:rsidR="00440889" w:rsidRPr="00263307">
        <w:rPr>
          <w:rFonts w:ascii="Book Antiqua" w:hAnsi="Book Antiqua"/>
          <w:color w:val="000000" w:themeColor="text1"/>
          <w:sz w:val="24"/>
          <w:szCs w:val="24"/>
        </w:rPr>
        <w:t xml:space="preserve"> </w:t>
      </w:r>
      <w:r w:rsidR="00CC37C5" w:rsidRPr="00263307">
        <w:rPr>
          <w:rFonts w:ascii="Book Antiqua" w:hAnsi="Book Antiqua"/>
          <w:color w:val="000000" w:themeColor="text1"/>
          <w:sz w:val="24"/>
          <w:szCs w:val="24"/>
        </w:rPr>
        <w:t>60</w:t>
      </w:r>
      <w:r w:rsidR="00440889" w:rsidRPr="00263307">
        <w:rPr>
          <w:rFonts w:ascii="Book Antiqua" w:hAnsi="Book Antiqua"/>
          <w:color w:val="000000" w:themeColor="text1"/>
          <w:sz w:val="24"/>
          <w:szCs w:val="24"/>
        </w:rPr>
        <w:t xml:space="preserve"> </w:t>
      </w:r>
      <w:r w:rsidR="00CC37C5" w:rsidRPr="00263307">
        <w:rPr>
          <w:rFonts w:ascii="Book Antiqua" w:hAnsi="Book Antiqua"/>
          <w:color w:val="000000" w:themeColor="text1"/>
          <w:sz w:val="24"/>
          <w:szCs w:val="24"/>
        </w:rPr>
        <w:t>m</w:t>
      </w:r>
      <w:r w:rsidR="00CA56D3" w:rsidRPr="00263307">
        <w:rPr>
          <w:rFonts w:ascii="Book Antiqua" w:hAnsi="Book Antiqua"/>
          <w:color w:val="000000" w:themeColor="text1"/>
          <w:sz w:val="24"/>
          <w:szCs w:val="24"/>
        </w:rPr>
        <w:t>L</w:t>
      </w:r>
      <w:r w:rsidR="00CC37C5" w:rsidRPr="00263307">
        <w:rPr>
          <w:rFonts w:ascii="Book Antiqua" w:hAnsi="Book Antiqua"/>
          <w:color w:val="000000" w:themeColor="text1"/>
          <w:sz w:val="24"/>
          <w:szCs w:val="24"/>
        </w:rPr>
        <w:t>/min/1.73</w:t>
      </w:r>
      <w:r w:rsidR="00440889" w:rsidRPr="00263307">
        <w:rPr>
          <w:rFonts w:ascii="Book Antiqua" w:hAnsi="Book Antiqua"/>
          <w:color w:val="000000" w:themeColor="text1"/>
          <w:sz w:val="24"/>
          <w:szCs w:val="24"/>
        </w:rPr>
        <w:t xml:space="preserve"> </w:t>
      </w:r>
      <w:r w:rsidR="00CC37C5" w:rsidRPr="00263307">
        <w:rPr>
          <w:rFonts w:ascii="Book Antiqua" w:hAnsi="Book Antiqua"/>
          <w:color w:val="000000" w:themeColor="text1"/>
          <w:sz w:val="24"/>
          <w:szCs w:val="24"/>
        </w:rPr>
        <w:t>m</w:t>
      </w:r>
      <w:r w:rsidR="00CC37C5" w:rsidRPr="00263307">
        <w:rPr>
          <w:rFonts w:ascii="Book Antiqua" w:hAnsi="Book Antiqua"/>
          <w:color w:val="000000" w:themeColor="text1"/>
          <w:sz w:val="24"/>
          <w:szCs w:val="24"/>
          <w:vertAlign w:val="superscript"/>
        </w:rPr>
        <w:t>2</w:t>
      </w:r>
      <w:r w:rsidR="00CC37C5" w:rsidRPr="00263307">
        <w:rPr>
          <w:rFonts w:ascii="Book Antiqua" w:hAnsi="Book Antiqua"/>
          <w:color w:val="000000" w:themeColor="text1"/>
          <w:sz w:val="24"/>
          <w:szCs w:val="24"/>
        </w:rPr>
        <w:t>)</w:t>
      </w:r>
      <w:r w:rsidR="00D56371" w:rsidRPr="00263307">
        <w:rPr>
          <w:rFonts w:ascii="Book Antiqua" w:hAnsi="Book Antiqua"/>
          <w:color w:val="000000" w:themeColor="text1"/>
          <w:sz w:val="24"/>
          <w:szCs w:val="24"/>
        </w:rPr>
        <w:t xml:space="preserve">, and </w:t>
      </w:r>
      <w:r w:rsidR="00D56371" w:rsidRPr="00263307">
        <w:rPr>
          <w:rFonts w:ascii="Book Antiqua" w:hAnsi="Book Antiqua"/>
          <w:color w:val="000000" w:themeColor="text1"/>
          <w:sz w:val="24"/>
          <w:szCs w:val="24"/>
        </w:rPr>
        <w:lastRenderedPageBreak/>
        <w:t xml:space="preserve">hyponatremia (defined as serum sodium &lt; 135 </w:t>
      </w:r>
      <w:proofErr w:type="spellStart"/>
      <w:r w:rsidR="00D56371" w:rsidRPr="00263307">
        <w:rPr>
          <w:rFonts w:ascii="Book Antiqua" w:hAnsi="Book Antiqua"/>
          <w:color w:val="000000" w:themeColor="text1"/>
          <w:sz w:val="24"/>
          <w:szCs w:val="24"/>
        </w:rPr>
        <w:t>mEq</w:t>
      </w:r>
      <w:proofErr w:type="spellEnd"/>
      <w:r w:rsidR="00D56371" w:rsidRPr="00263307">
        <w:rPr>
          <w:rFonts w:ascii="Book Antiqua" w:hAnsi="Book Antiqua"/>
          <w:color w:val="000000" w:themeColor="text1"/>
          <w:sz w:val="24"/>
          <w:szCs w:val="24"/>
        </w:rPr>
        <w:t>/L</w:t>
      </w:r>
      <w:r w:rsidR="007F050B" w:rsidRPr="00263307">
        <w:rPr>
          <w:rFonts w:ascii="Book Antiqua" w:hAnsi="Book Antiqua"/>
          <w:color w:val="000000" w:themeColor="text1"/>
          <w:sz w:val="24"/>
          <w:szCs w:val="24"/>
        </w:rPr>
        <w:t>) showed</w:t>
      </w:r>
      <w:r w:rsidR="00CC37C5" w:rsidRPr="00263307">
        <w:rPr>
          <w:rFonts w:ascii="Book Antiqua" w:hAnsi="Book Antiqua"/>
          <w:color w:val="000000" w:themeColor="text1"/>
          <w:sz w:val="24"/>
          <w:szCs w:val="24"/>
        </w:rPr>
        <w:t xml:space="preserve"> that only elevated CRP levels had significantly high ORs (</w:t>
      </w:r>
      <w:r w:rsidR="00207E44" w:rsidRPr="00263307">
        <w:rPr>
          <w:rFonts w:ascii="Book Antiqua" w:hAnsi="Book Antiqua"/>
          <w:color w:val="000000" w:themeColor="text1"/>
          <w:sz w:val="24"/>
          <w:szCs w:val="24"/>
        </w:rPr>
        <w:t xml:space="preserve">Figure </w:t>
      </w:r>
      <w:r w:rsidR="006F54A2">
        <w:rPr>
          <w:rFonts w:ascii="Book Antiqua" w:eastAsia="宋体" w:hAnsi="Book Antiqua" w:hint="eastAsia"/>
          <w:color w:val="000000" w:themeColor="text1"/>
          <w:sz w:val="24"/>
          <w:szCs w:val="24"/>
          <w:lang w:eastAsia="zh-CN"/>
        </w:rPr>
        <w:t>1B</w:t>
      </w:r>
      <w:r w:rsidR="00CC37C5" w:rsidRPr="00263307">
        <w:rPr>
          <w:rFonts w:ascii="Book Antiqua" w:hAnsi="Book Antiqua"/>
          <w:color w:val="000000" w:themeColor="text1"/>
          <w:sz w:val="24"/>
          <w:szCs w:val="24"/>
        </w:rPr>
        <w:t>).</w:t>
      </w:r>
      <w:r w:rsidR="007159C2" w:rsidRPr="00263307">
        <w:rPr>
          <w:rFonts w:ascii="Book Antiqua" w:hAnsi="Book Antiqua"/>
          <w:color w:val="000000" w:themeColor="text1"/>
          <w:sz w:val="24"/>
          <w:szCs w:val="24"/>
        </w:rPr>
        <w:t xml:space="preserve"> The methods of DeLong </w:t>
      </w:r>
      <w:r w:rsidR="007159C2" w:rsidRPr="00263307">
        <w:rPr>
          <w:rFonts w:ascii="Book Antiqua" w:hAnsi="Book Antiqua"/>
          <w:i/>
          <w:color w:val="000000" w:themeColor="text1"/>
          <w:sz w:val="24"/>
          <w:szCs w:val="24"/>
        </w:rPr>
        <w:t>et al</w:t>
      </w:r>
      <w:r w:rsidR="00E120C2" w:rsidRPr="00263307">
        <w:rPr>
          <w:rFonts w:ascii="Book Antiqua" w:hAnsi="Book Antiqua"/>
          <w:color w:val="000000" w:themeColor="text1"/>
          <w:sz w:val="24"/>
          <w:szCs w:val="24"/>
        </w:rPr>
        <w:fldChar w:fldCharType="begin" w:fldLock="1"/>
      </w:r>
      <w:r w:rsidR="00E120C2" w:rsidRPr="00263307">
        <w:rPr>
          <w:rFonts w:ascii="Book Antiqua" w:hAnsi="Book Antiqua"/>
          <w:color w:val="000000" w:themeColor="text1"/>
          <w:sz w:val="24"/>
          <w:szCs w:val="24"/>
        </w:rPr>
        <w:instrText>ADDIN CSL_CITATION {"citationItems":[{"id":"ITEM-1","itemData":{"ISSN":"0006-341X","PMID":"3203132","abstract":"Methods of evaluating and comparing the performance of diagnostic tests are of increasing importance as new tests are developed and marketed. When a test is based on an observed variable that lies on a continuous or graded scale, an assessment of the overall value of the test can be made through the use of a receiver operating characteristic (ROC) curve. The curve is constructed by varying the cutpoint used to determine which values of the observed variable will be considered abnormal and then plotting the resulting sensitivities against the corresponding false positive rates. When two or more empirical curves are constructed based on tests performed on the same individuals, statistical analysis on differences between curves must take into account the correlated nature of the data. This paper presents a nonparametric approach to the analysis of areas under correlated ROC curves, by using the theory on generalized U-statistics to generate an estimated covariance matrix.","author":[{"dropping-particle":"","family":"DeLong","given":"E R","non-dropping-particle":"","parse-names":false,"suffix":""},{"dropping-particle":"","family":"DeLong","given":"D M","non-dropping-particle":"","parse-names":false,"suffix":""},{"dropping-particle":"","family":"Clarke-Pearson","given":"D L","non-dropping-particle":"","parse-names":false,"suffix":""}],"container-title":"Biometrics","id":"ITEM-1","issue":"3","issued":{"date-parts":[["1988","9"]]},"page":"837-45","title":"Comparing the areas under two or more correlated receiver operating characteristic curves: a nonparametric approach.","type":"article-journal","volume":"44"},"uris":["http://www.mendeley.com/documents/?uuid=1649a860-9547-3db2-ad42-e64c945d8cc0"]}],"mendeley":{"formattedCitation":"&lt;sup&gt;[&lt;sup&gt;26&lt;/sup&gt;]&lt;/sup&gt;","plainTextFormattedCitation":"[26]","previouslyFormattedCitation":"&lt;sup&gt;[&lt;sup&gt;26&lt;/sup&gt;]&lt;/sup&gt;"},"properties":{"noteIndex":0},"schema":"https://github.com/citation-style-language/schema/raw/master/csl-citation.json"}</w:instrText>
      </w:r>
      <w:r w:rsidR="00E120C2" w:rsidRPr="00263307">
        <w:rPr>
          <w:rFonts w:ascii="Book Antiqua" w:hAnsi="Book Antiqua"/>
          <w:color w:val="000000" w:themeColor="text1"/>
          <w:sz w:val="24"/>
          <w:szCs w:val="24"/>
        </w:rPr>
        <w:fldChar w:fldCharType="separate"/>
      </w:r>
      <w:r w:rsidR="00E120C2" w:rsidRPr="00263307">
        <w:rPr>
          <w:rFonts w:ascii="Book Antiqua" w:hAnsi="Book Antiqua"/>
          <w:noProof/>
          <w:color w:val="000000" w:themeColor="text1"/>
          <w:sz w:val="24"/>
          <w:szCs w:val="24"/>
          <w:vertAlign w:val="superscript"/>
        </w:rPr>
        <w:t>[26]</w:t>
      </w:r>
      <w:r w:rsidR="00E120C2" w:rsidRPr="00263307">
        <w:rPr>
          <w:rFonts w:ascii="Book Antiqua" w:hAnsi="Book Antiqua"/>
          <w:color w:val="000000" w:themeColor="text1"/>
          <w:sz w:val="24"/>
          <w:szCs w:val="24"/>
        </w:rPr>
        <w:fldChar w:fldCharType="end"/>
      </w:r>
      <w:r w:rsidR="001515CE" w:rsidRPr="00263307">
        <w:rPr>
          <w:rFonts w:ascii="Book Antiqua" w:hAnsi="Book Antiqua"/>
          <w:color w:val="000000" w:themeColor="text1"/>
          <w:sz w:val="24"/>
          <w:szCs w:val="24"/>
        </w:rPr>
        <w:t xml:space="preserve"> revealed that the area under the curve (AUC) values were 0.7</w:t>
      </w:r>
      <w:r w:rsidR="007653A7" w:rsidRPr="00263307">
        <w:rPr>
          <w:rFonts w:ascii="Book Antiqua" w:hAnsi="Book Antiqua"/>
          <w:color w:val="000000" w:themeColor="text1"/>
          <w:sz w:val="24"/>
          <w:szCs w:val="24"/>
        </w:rPr>
        <w:t>4</w:t>
      </w:r>
      <w:r w:rsidR="001515CE" w:rsidRPr="00263307">
        <w:rPr>
          <w:rFonts w:ascii="Book Antiqua" w:hAnsi="Book Antiqua"/>
          <w:color w:val="000000" w:themeColor="text1"/>
          <w:sz w:val="24"/>
          <w:szCs w:val="24"/>
        </w:rPr>
        <w:t xml:space="preserve"> for </w:t>
      </w:r>
      <w:r w:rsidR="00440889" w:rsidRPr="00263307">
        <w:rPr>
          <w:rFonts w:ascii="Book Antiqua" w:hAnsi="Book Antiqua"/>
          <w:color w:val="000000" w:themeColor="text1"/>
          <w:sz w:val="24"/>
          <w:szCs w:val="24"/>
        </w:rPr>
        <w:t>M</w:t>
      </w:r>
      <w:r w:rsidR="001515CE" w:rsidRPr="00263307">
        <w:rPr>
          <w:rFonts w:ascii="Book Antiqua" w:hAnsi="Book Antiqua"/>
          <w:color w:val="000000" w:themeColor="text1"/>
          <w:sz w:val="24"/>
          <w:szCs w:val="24"/>
        </w:rPr>
        <w:t xml:space="preserve">odel 1 and 0.87 for </w:t>
      </w:r>
      <w:r w:rsidR="00440889" w:rsidRPr="00263307">
        <w:rPr>
          <w:rFonts w:ascii="Book Antiqua" w:hAnsi="Book Antiqua"/>
          <w:color w:val="000000" w:themeColor="text1"/>
          <w:sz w:val="24"/>
          <w:szCs w:val="24"/>
        </w:rPr>
        <w:t>M</w:t>
      </w:r>
      <w:r w:rsidR="001515CE" w:rsidRPr="00263307">
        <w:rPr>
          <w:rFonts w:ascii="Book Antiqua" w:hAnsi="Book Antiqua"/>
          <w:color w:val="000000" w:themeColor="text1"/>
          <w:sz w:val="24"/>
          <w:szCs w:val="24"/>
        </w:rPr>
        <w:t xml:space="preserve">odel 2 (Figure </w:t>
      </w:r>
      <w:r w:rsidR="006F54A2">
        <w:rPr>
          <w:rFonts w:ascii="Book Antiqua" w:eastAsia="宋体" w:hAnsi="Book Antiqua" w:hint="eastAsia"/>
          <w:color w:val="000000" w:themeColor="text1"/>
          <w:sz w:val="24"/>
          <w:szCs w:val="24"/>
          <w:lang w:eastAsia="zh-CN"/>
        </w:rPr>
        <w:t>2</w:t>
      </w:r>
      <w:r w:rsidR="001515CE" w:rsidRPr="00263307">
        <w:rPr>
          <w:rFonts w:ascii="Book Antiqua" w:hAnsi="Book Antiqua"/>
          <w:color w:val="000000" w:themeColor="text1"/>
          <w:sz w:val="24"/>
          <w:szCs w:val="24"/>
        </w:rPr>
        <w:t xml:space="preserve">). </w:t>
      </w:r>
      <w:r w:rsidR="00742598" w:rsidRPr="00263307">
        <w:rPr>
          <w:rFonts w:ascii="Book Antiqua" w:hAnsi="Book Antiqua"/>
          <w:color w:val="000000" w:themeColor="text1"/>
          <w:sz w:val="24"/>
          <w:szCs w:val="24"/>
        </w:rPr>
        <w:t xml:space="preserve">Although </w:t>
      </w:r>
      <w:r w:rsidR="00440889" w:rsidRPr="00263307">
        <w:rPr>
          <w:rFonts w:ascii="Book Antiqua" w:eastAsia="MS PGothic" w:hAnsi="Book Antiqua"/>
          <w:color w:val="000000" w:themeColor="text1"/>
          <w:sz w:val="24"/>
          <w:szCs w:val="24"/>
        </w:rPr>
        <w:t>the</w:t>
      </w:r>
      <w:r w:rsidR="00742598" w:rsidRPr="00263307">
        <w:rPr>
          <w:rFonts w:ascii="Book Antiqua" w:eastAsia="MS PGothic" w:hAnsi="Book Antiqua"/>
          <w:color w:val="000000" w:themeColor="text1"/>
          <w:sz w:val="24"/>
          <w:szCs w:val="24"/>
        </w:rPr>
        <w:t xml:space="preserve"> discrimination ability</w:t>
      </w:r>
      <w:r w:rsidR="00440889" w:rsidRPr="00263307">
        <w:rPr>
          <w:rFonts w:ascii="Book Antiqua" w:eastAsia="MS PGothic" w:hAnsi="Book Antiqua"/>
          <w:color w:val="000000" w:themeColor="text1"/>
          <w:sz w:val="24"/>
          <w:szCs w:val="24"/>
        </w:rPr>
        <w:t xml:space="preserve"> of Model 2 was better </w:t>
      </w:r>
      <w:r w:rsidR="00742598" w:rsidRPr="00263307">
        <w:rPr>
          <w:rFonts w:ascii="Book Antiqua" w:eastAsia="MS PGothic" w:hAnsi="Book Antiqua"/>
          <w:color w:val="000000" w:themeColor="text1"/>
          <w:sz w:val="24"/>
          <w:szCs w:val="24"/>
        </w:rPr>
        <w:t xml:space="preserve">than </w:t>
      </w:r>
      <w:r w:rsidR="00440889" w:rsidRPr="00263307">
        <w:rPr>
          <w:rFonts w:ascii="Book Antiqua" w:eastAsia="MS PGothic" w:hAnsi="Book Antiqua"/>
          <w:color w:val="000000" w:themeColor="text1"/>
          <w:sz w:val="24"/>
          <w:szCs w:val="24"/>
        </w:rPr>
        <w:t xml:space="preserve">that of </w:t>
      </w:r>
      <w:r w:rsidR="00742598" w:rsidRPr="00263307">
        <w:rPr>
          <w:rFonts w:ascii="Book Antiqua" w:eastAsia="MS PGothic" w:hAnsi="Book Antiqua"/>
          <w:color w:val="000000" w:themeColor="text1"/>
          <w:sz w:val="24"/>
          <w:szCs w:val="24"/>
        </w:rPr>
        <w:t>Model 1, b</w:t>
      </w:r>
      <w:r w:rsidR="001515CE" w:rsidRPr="00263307">
        <w:rPr>
          <w:rFonts w:ascii="Book Antiqua" w:eastAsia="MS PGothic" w:hAnsi="Book Antiqua"/>
          <w:color w:val="000000" w:themeColor="text1"/>
          <w:sz w:val="24"/>
          <w:szCs w:val="24"/>
        </w:rPr>
        <w:t xml:space="preserve">oth models were considered moderately accurate because the AUC values </w:t>
      </w:r>
      <w:r w:rsidR="00F31877" w:rsidRPr="00263307">
        <w:rPr>
          <w:rFonts w:ascii="Book Antiqua" w:eastAsia="MS PGothic" w:hAnsi="Book Antiqua"/>
          <w:color w:val="000000" w:themeColor="text1"/>
          <w:sz w:val="24"/>
          <w:szCs w:val="24"/>
        </w:rPr>
        <w:t>were</w:t>
      </w:r>
      <w:r w:rsidR="001515CE" w:rsidRPr="00263307">
        <w:rPr>
          <w:rFonts w:ascii="Book Antiqua" w:eastAsia="MS PGothic" w:hAnsi="Book Antiqua"/>
          <w:color w:val="000000" w:themeColor="text1"/>
          <w:sz w:val="24"/>
          <w:szCs w:val="24"/>
        </w:rPr>
        <w:t xml:space="preserve"> &gt;</w:t>
      </w:r>
      <w:r w:rsidR="00440889" w:rsidRPr="00263307">
        <w:rPr>
          <w:rFonts w:ascii="Book Antiqua" w:eastAsia="MS PGothic" w:hAnsi="Book Antiqua"/>
          <w:color w:val="000000" w:themeColor="text1"/>
          <w:sz w:val="24"/>
          <w:szCs w:val="24"/>
        </w:rPr>
        <w:t xml:space="preserve"> </w:t>
      </w:r>
      <w:r w:rsidR="001515CE" w:rsidRPr="00263307">
        <w:rPr>
          <w:rFonts w:ascii="Book Antiqua" w:eastAsia="MS PGothic" w:hAnsi="Book Antiqua"/>
          <w:color w:val="000000" w:themeColor="text1"/>
          <w:sz w:val="24"/>
          <w:szCs w:val="24"/>
        </w:rPr>
        <w:t>0.7.</w:t>
      </w:r>
    </w:p>
    <w:p w14:paraId="67248358" w14:textId="363DA435" w:rsidR="001D27DA" w:rsidRPr="00263307" w:rsidRDefault="00DB662F" w:rsidP="00263307">
      <w:pPr>
        <w:pStyle w:val="a5"/>
        <w:adjustRightInd w:val="0"/>
        <w:snapToGrid w:val="0"/>
        <w:spacing w:before="0" w:beforeAutospacing="0" w:after="0" w:afterAutospacing="0" w:line="360" w:lineRule="auto"/>
        <w:ind w:firstLineChars="100" w:firstLine="240"/>
        <w:jc w:val="both"/>
        <w:rPr>
          <w:rFonts w:ascii="Book Antiqua" w:eastAsia="宋体" w:hAnsi="Book Antiqua"/>
          <w:color w:val="000000" w:themeColor="text1"/>
          <w:sz w:val="24"/>
          <w:szCs w:val="24"/>
          <w:lang w:eastAsia="zh-CN"/>
        </w:rPr>
      </w:pPr>
      <w:r w:rsidRPr="00263307">
        <w:rPr>
          <w:rFonts w:ascii="Book Antiqua" w:hAnsi="Book Antiqua"/>
          <w:color w:val="000000" w:themeColor="text1"/>
          <w:sz w:val="24"/>
          <w:szCs w:val="24"/>
        </w:rPr>
        <w:t xml:space="preserve">The </w:t>
      </w:r>
      <w:r w:rsidR="00440889" w:rsidRPr="00263307">
        <w:rPr>
          <w:rFonts w:ascii="Book Antiqua" w:hAnsi="Book Antiqua"/>
          <w:color w:val="000000" w:themeColor="text1"/>
          <w:sz w:val="24"/>
          <w:szCs w:val="24"/>
        </w:rPr>
        <w:t>M</w:t>
      </w:r>
      <w:r w:rsidRPr="00263307">
        <w:rPr>
          <w:rFonts w:ascii="Book Antiqua" w:hAnsi="Book Antiqua"/>
          <w:color w:val="000000" w:themeColor="text1"/>
          <w:sz w:val="24"/>
          <w:szCs w:val="24"/>
        </w:rPr>
        <w:t xml:space="preserve">odel </w:t>
      </w:r>
      <w:r w:rsidR="00CC37C5" w:rsidRPr="00263307">
        <w:rPr>
          <w:rFonts w:ascii="Book Antiqua" w:hAnsi="Book Antiqua"/>
          <w:color w:val="000000" w:themeColor="text1"/>
          <w:sz w:val="24"/>
          <w:szCs w:val="24"/>
        </w:rPr>
        <w:t xml:space="preserve">1 </w:t>
      </w:r>
      <w:r w:rsidR="00440889" w:rsidRPr="00263307">
        <w:rPr>
          <w:rFonts w:ascii="Book Antiqua" w:hAnsi="Book Antiqua"/>
          <w:color w:val="000000" w:themeColor="text1"/>
          <w:sz w:val="24"/>
          <w:szCs w:val="24"/>
        </w:rPr>
        <w:t xml:space="preserve">regression </w:t>
      </w:r>
      <w:r w:rsidRPr="00263307">
        <w:rPr>
          <w:rFonts w:ascii="Book Antiqua" w:hAnsi="Book Antiqua"/>
          <w:color w:val="000000" w:themeColor="text1"/>
          <w:sz w:val="24"/>
          <w:szCs w:val="24"/>
        </w:rPr>
        <w:t>showed good calibration (HL</w:t>
      </w:r>
      <w:r w:rsidR="006D3EF0" w:rsidRPr="00263307">
        <w:rPr>
          <w:rFonts w:ascii="Book Antiqua" w:eastAsia="宋体" w:hAnsi="Book Antiqua"/>
          <w:color w:val="000000" w:themeColor="text1"/>
          <w:sz w:val="24"/>
          <w:szCs w:val="24"/>
          <w:lang w:eastAsia="zh-CN"/>
        </w:rPr>
        <w:t xml:space="preserve"> </w:t>
      </w:r>
      <w:r w:rsidR="006D3EF0" w:rsidRPr="00263307">
        <w:rPr>
          <w:rFonts w:ascii="Book Antiqua" w:hAnsi="Book Antiqua"/>
          <w:i/>
          <w:color w:val="000000" w:themeColor="text1"/>
          <w:sz w:val="24"/>
          <w:szCs w:val="24"/>
        </w:rPr>
        <w:t>χ</w:t>
      </w:r>
      <w:r w:rsidR="006D3EF0" w:rsidRPr="00263307">
        <w:rPr>
          <w:rFonts w:ascii="Book Antiqua" w:hAnsi="Book Antiqua"/>
          <w:color w:val="000000" w:themeColor="text1"/>
          <w:sz w:val="24"/>
          <w:szCs w:val="24"/>
          <w:vertAlign w:val="superscript"/>
        </w:rPr>
        <w:t>2</w:t>
      </w:r>
      <w:r w:rsidR="003709A9" w:rsidRPr="00263307">
        <w:rPr>
          <w:rFonts w:ascii="Book Antiqua" w:hAnsi="Book Antiqua"/>
          <w:color w:val="000000" w:themeColor="text1"/>
          <w:sz w:val="24"/>
          <w:szCs w:val="24"/>
        </w:rPr>
        <w:t>:</w:t>
      </w:r>
      <w:r w:rsidRPr="00263307">
        <w:rPr>
          <w:rFonts w:ascii="Book Antiqua" w:hAnsi="Book Antiqua"/>
          <w:color w:val="000000" w:themeColor="text1"/>
          <w:sz w:val="24"/>
          <w:szCs w:val="24"/>
        </w:rPr>
        <w:t xml:space="preserve"> </w:t>
      </w:r>
      <w:r w:rsidR="00CC37C5" w:rsidRPr="00263307">
        <w:rPr>
          <w:rFonts w:ascii="Book Antiqua" w:hAnsi="Book Antiqua"/>
          <w:color w:val="000000" w:themeColor="text1"/>
          <w:sz w:val="24"/>
          <w:szCs w:val="24"/>
        </w:rPr>
        <w:t>5</w:t>
      </w:r>
      <w:r w:rsidRPr="00263307">
        <w:rPr>
          <w:rFonts w:ascii="Book Antiqua" w:hAnsi="Book Antiqua"/>
          <w:color w:val="000000" w:themeColor="text1"/>
          <w:sz w:val="24"/>
          <w:szCs w:val="24"/>
        </w:rPr>
        <w:t>.</w:t>
      </w:r>
      <w:r w:rsidR="00CB1E9C" w:rsidRPr="00263307">
        <w:rPr>
          <w:rFonts w:ascii="Book Antiqua" w:hAnsi="Book Antiqua"/>
          <w:color w:val="000000" w:themeColor="text1"/>
          <w:sz w:val="24"/>
          <w:szCs w:val="24"/>
        </w:rPr>
        <w:t>8</w:t>
      </w:r>
      <w:r w:rsidR="00BD02AB" w:rsidRPr="00263307">
        <w:rPr>
          <w:rFonts w:ascii="Book Antiqua" w:hAnsi="Book Antiqua"/>
          <w:color w:val="000000" w:themeColor="text1"/>
          <w:sz w:val="24"/>
          <w:szCs w:val="24"/>
        </w:rPr>
        <w:t>8</w:t>
      </w:r>
      <w:r w:rsidRPr="00263307">
        <w:rPr>
          <w:rFonts w:ascii="Book Antiqua" w:hAnsi="Book Antiqua"/>
          <w:color w:val="000000" w:themeColor="text1"/>
          <w:sz w:val="24"/>
          <w:szCs w:val="24"/>
        </w:rPr>
        <w:t xml:space="preserve">, </w:t>
      </w:r>
      <w:r w:rsidR="00820F5B" w:rsidRPr="00263307">
        <w:rPr>
          <w:rFonts w:ascii="Book Antiqua" w:hAnsi="Book Antiqua"/>
          <w:i/>
          <w:color w:val="000000" w:themeColor="text1"/>
          <w:sz w:val="24"/>
          <w:szCs w:val="24"/>
        </w:rPr>
        <w:t>P</w:t>
      </w:r>
      <w:r w:rsidR="00440889"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w:t>
      </w:r>
      <w:r w:rsidR="00440889"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0.</w:t>
      </w:r>
      <w:r w:rsidR="00BD02AB" w:rsidRPr="00263307">
        <w:rPr>
          <w:rFonts w:ascii="Book Antiqua" w:hAnsi="Book Antiqua"/>
          <w:color w:val="000000" w:themeColor="text1"/>
          <w:sz w:val="24"/>
          <w:szCs w:val="24"/>
        </w:rPr>
        <w:t>4</w:t>
      </w:r>
      <w:r w:rsidR="00CB1E9C" w:rsidRPr="00263307">
        <w:rPr>
          <w:rFonts w:ascii="Book Antiqua" w:hAnsi="Book Antiqua"/>
          <w:color w:val="000000" w:themeColor="text1"/>
          <w:sz w:val="24"/>
          <w:szCs w:val="24"/>
        </w:rPr>
        <w:t>37</w:t>
      </w:r>
      <w:r w:rsidRPr="00263307">
        <w:rPr>
          <w:rFonts w:ascii="Book Antiqua" w:hAnsi="Book Antiqua"/>
          <w:color w:val="000000" w:themeColor="text1"/>
          <w:sz w:val="24"/>
          <w:szCs w:val="24"/>
        </w:rPr>
        <w:t xml:space="preserve">), and there was no multicollinearity because the </w:t>
      </w:r>
      <w:r w:rsidR="00FE33B9" w:rsidRPr="00263307">
        <w:rPr>
          <w:rFonts w:ascii="Book Antiqua" w:hAnsi="Book Antiqua"/>
          <w:color w:val="000000" w:themeColor="text1"/>
          <w:sz w:val="24"/>
          <w:szCs w:val="24"/>
        </w:rPr>
        <w:t xml:space="preserve">VIF of all explanatory variables </w:t>
      </w:r>
      <w:r w:rsidR="00175C81" w:rsidRPr="00263307">
        <w:rPr>
          <w:rFonts w:ascii="Book Antiqua" w:hAnsi="Book Antiqua"/>
          <w:color w:val="000000" w:themeColor="text1"/>
          <w:sz w:val="24"/>
          <w:szCs w:val="24"/>
        </w:rPr>
        <w:t xml:space="preserve">was </w:t>
      </w:r>
      <w:r w:rsidR="00FE33B9" w:rsidRPr="00263307">
        <w:rPr>
          <w:rFonts w:ascii="Book Antiqua" w:hAnsi="Book Antiqua"/>
          <w:color w:val="000000" w:themeColor="text1"/>
          <w:sz w:val="24"/>
          <w:szCs w:val="24"/>
        </w:rPr>
        <w:t xml:space="preserve">1.2 or less and </w:t>
      </w:r>
      <w:r w:rsidR="002C6CCE" w:rsidRPr="00263307">
        <w:rPr>
          <w:rFonts w:ascii="Book Antiqua" w:hAnsi="Book Antiqua"/>
          <w:color w:val="000000" w:themeColor="text1"/>
          <w:sz w:val="24"/>
          <w:szCs w:val="24"/>
        </w:rPr>
        <w:t xml:space="preserve">the </w:t>
      </w:r>
      <w:r w:rsidR="00FE33B9" w:rsidRPr="00263307">
        <w:rPr>
          <w:rFonts w:ascii="Book Antiqua" w:hAnsi="Book Antiqua"/>
          <w:color w:val="000000" w:themeColor="text1"/>
          <w:sz w:val="24"/>
          <w:szCs w:val="24"/>
        </w:rPr>
        <w:t>me</w:t>
      </w:r>
      <w:r w:rsidR="003876AF" w:rsidRPr="00263307">
        <w:rPr>
          <w:rFonts w:ascii="Book Antiqua" w:hAnsi="Book Antiqua"/>
          <w:color w:val="000000" w:themeColor="text1"/>
          <w:sz w:val="24"/>
          <w:szCs w:val="24"/>
        </w:rPr>
        <w:t>an V</w:t>
      </w:r>
      <w:r w:rsidR="00FE33B9" w:rsidRPr="00263307">
        <w:rPr>
          <w:rFonts w:ascii="Book Antiqua" w:hAnsi="Book Antiqua"/>
          <w:color w:val="000000" w:themeColor="text1"/>
          <w:sz w:val="24"/>
          <w:szCs w:val="24"/>
        </w:rPr>
        <w:t>IF was 1.</w:t>
      </w:r>
      <w:r w:rsidR="00CC37C5" w:rsidRPr="00263307">
        <w:rPr>
          <w:rFonts w:ascii="Book Antiqua" w:hAnsi="Book Antiqua"/>
          <w:color w:val="000000" w:themeColor="text1"/>
          <w:sz w:val="24"/>
          <w:szCs w:val="24"/>
        </w:rPr>
        <w:t>0</w:t>
      </w:r>
      <w:r w:rsidR="00BD02AB" w:rsidRPr="00263307">
        <w:rPr>
          <w:rFonts w:ascii="Book Antiqua" w:hAnsi="Book Antiqua"/>
          <w:color w:val="000000" w:themeColor="text1"/>
          <w:sz w:val="24"/>
          <w:szCs w:val="24"/>
        </w:rPr>
        <w:t>7</w:t>
      </w:r>
      <w:r w:rsidR="00FE33B9" w:rsidRPr="00263307">
        <w:rPr>
          <w:rFonts w:ascii="Book Antiqua" w:hAnsi="Book Antiqua"/>
          <w:color w:val="000000" w:themeColor="text1"/>
          <w:sz w:val="24"/>
          <w:szCs w:val="24"/>
        </w:rPr>
        <w:t>.</w:t>
      </w:r>
      <w:r w:rsidR="00854B62" w:rsidRPr="00263307">
        <w:rPr>
          <w:rFonts w:ascii="Book Antiqua" w:hAnsi="Book Antiqua"/>
          <w:color w:val="000000" w:themeColor="text1"/>
          <w:sz w:val="24"/>
          <w:szCs w:val="24"/>
        </w:rPr>
        <w:t xml:space="preserve"> </w:t>
      </w:r>
      <w:r w:rsidR="00247898" w:rsidRPr="00263307">
        <w:rPr>
          <w:rFonts w:ascii="Book Antiqua" w:hAnsi="Book Antiqua"/>
          <w:color w:val="000000" w:themeColor="text1"/>
          <w:sz w:val="24"/>
          <w:szCs w:val="24"/>
        </w:rPr>
        <w:t>Optimism</w:t>
      </w:r>
      <w:r w:rsidR="003709A9" w:rsidRPr="00263307">
        <w:rPr>
          <w:rFonts w:ascii="Book Antiqua" w:hAnsi="Book Antiqua"/>
          <w:color w:val="000000" w:themeColor="text1"/>
          <w:sz w:val="24"/>
          <w:szCs w:val="24"/>
        </w:rPr>
        <w:t>, as</w:t>
      </w:r>
      <w:r w:rsidR="00247898" w:rsidRPr="00263307">
        <w:rPr>
          <w:rFonts w:ascii="Book Antiqua" w:hAnsi="Book Antiqua"/>
          <w:color w:val="000000" w:themeColor="text1"/>
          <w:sz w:val="24"/>
          <w:szCs w:val="24"/>
        </w:rPr>
        <w:t xml:space="preserve"> calculated by</w:t>
      </w:r>
      <w:r w:rsidR="003709A9" w:rsidRPr="00263307">
        <w:rPr>
          <w:rFonts w:ascii="Book Antiqua" w:hAnsi="Book Antiqua"/>
          <w:color w:val="000000" w:themeColor="text1"/>
          <w:sz w:val="24"/>
          <w:szCs w:val="24"/>
        </w:rPr>
        <w:t xml:space="preserve"> the</w:t>
      </w:r>
      <w:r w:rsidR="00247898" w:rsidRPr="00263307">
        <w:rPr>
          <w:rFonts w:ascii="Book Antiqua" w:hAnsi="Book Antiqua"/>
          <w:color w:val="000000" w:themeColor="text1"/>
          <w:sz w:val="24"/>
          <w:szCs w:val="24"/>
        </w:rPr>
        <w:t xml:space="preserve"> bootstrap method</w:t>
      </w:r>
      <w:r w:rsidR="003709A9" w:rsidRPr="00263307">
        <w:rPr>
          <w:rFonts w:ascii="Book Antiqua" w:hAnsi="Book Antiqua"/>
          <w:color w:val="000000" w:themeColor="text1"/>
          <w:sz w:val="24"/>
          <w:szCs w:val="24"/>
        </w:rPr>
        <w:t>,</w:t>
      </w:r>
      <w:r w:rsidR="00247898" w:rsidRPr="00263307">
        <w:rPr>
          <w:rFonts w:ascii="Book Antiqua" w:hAnsi="Book Antiqua"/>
          <w:color w:val="000000" w:themeColor="text1"/>
          <w:sz w:val="24"/>
          <w:szCs w:val="24"/>
        </w:rPr>
        <w:t xml:space="preserve"> was </w:t>
      </w:r>
      <w:r w:rsidR="00BD02AB" w:rsidRPr="00263307">
        <w:rPr>
          <w:rFonts w:ascii="Book Antiqua" w:hAnsi="Book Antiqua"/>
          <w:color w:val="000000" w:themeColor="text1"/>
          <w:sz w:val="24"/>
          <w:szCs w:val="24"/>
        </w:rPr>
        <w:t xml:space="preserve">2.0 </w:t>
      </w:r>
      <w:r w:rsidR="00554878" w:rsidRPr="00554878">
        <w:rPr>
          <w:rFonts w:ascii="Book Antiqua" w:hAnsi="Book Antiqua"/>
          <w:color w:val="000000" w:themeColor="text1"/>
          <w:sz w:val="24"/>
          <w:szCs w:val="24"/>
          <w:lang w:val="pl-PL"/>
        </w:rPr>
        <w:t>×</w:t>
      </w:r>
      <w:r w:rsidR="00554878">
        <w:rPr>
          <w:rFonts w:ascii="Book Antiqua" w:hAnsi="Book Antiqua"/>
          <w:color w:val="000000" w:themeColor="text1"/>
          <w:sz w:val="24"/>
          <w:szCs w:val="24"/>
        </w:rPr>
        <w:t xml:space="preserve"> </w:t>
      </w:r>
      <w:r w:rsidR="00BD02AB" w:rsidRPr="00263307">
        <w:rPr>
          <w:rFonts w:ascii="Book Antiqua" w:hAnsi="Book Antiqua"/>
          <w:color w:val="000000" w:themeColor="text1"/>
          <w:sz w:val="24"/>
          <w:szCs w:val="24"/>
        </w:rPr>
        <w:t>10</w:t>
      </w:r>
      <w:r w:rsidR="00BD02AB" w:rsidRPr="00263307">
        <w:rPr>
          <w:rFonts w:ascii="Book Antiqua" w:hAnsi="Book Antiqua"/>
          <w:color w:val="000000" w:themeColor="text1"/>
          <w:sz w:val="24"/>
          <w:szCs w:val="24"/>
          <w:vertAlign w:val="superscript"/>
        </w:rPr>
        <w:t>-6</w:t>
      </w:r>
      <w:r w:rsidR="00247898" w:rsidRPr="00263307">
        <w:rPr>
          <w:rFonts w:ascii="Book Antiqua" w:hAnsi="Book Antiqua"/>
          <w:color w:val="000000" w:themeColor="text1"/>
          <w:sz w:val="24"/>
          <w:szCs w:val="24"/>
        </w:rPr>
        <w:t>.</w:t>
      </w:r>
      <w:r w:rsidR="00F03297" w:rsidRPr="00263307">
        <w:rPr>
          <w:rFonts w:ascii="Book Antiqua" w:hAnsi="Book Antiqua"/>
          <w:color w:val="000000" w:themeColor="text1"/>
          <w:sz w:val="24"/>
          <w:szCs w:val="24"/>
        </w:rPr>
        <w:t xml:space="preserve"> </w:t>
      </w:r>
      <w:r w:rsidR="00440889" w:rsidRPr="00263307">
        <w:rPr>
          <w:rFonts w:ascii="Book Antiqua" w:hAnsi="Book Antiqua"/>
          <w:color w:val="000000" w:themeColor="text1"/>
          <w:sz w:val="24"/>
          <w:szCs w:val="24"/>
        </w:rPr>
        <w:t>M</w:t>
      </w:r>
      <w:r w:rsidR="00D55F72" w:rsidRPr="00263307">
        <w:rPr>
          <w:rFonts w:ascii="Book Antiqua" w:hAnsi="Book Antiqua"/>
          <w:color w:val="000000" w:themeColor="text1"/>
          <w:sz w:val="24"/>
          <w:szCs w:val="24"/>
        </w:rPr>
        <w:t>odel 2 also showed good calibration (HL</w:t>
      </w:r>
      <w:r w:rsidR="006D3EF0" w:rsidRPr="00263307">
        <w:rPr>
          <w:rFonts w:ascii="Book Antiqua" w:eastAsia="宋体" w:hAnsi="Book Antiqua"/>
          <w:color w:val="000000" w:themeColor="text1"/>
          <w:sz w:val="24"/>
          <w:szCs w:val="24"/>
          <w:lang w:eastAsia="zh-CN"/>
        </w:rPr>
        <w:t xml:space="preserve"> </w:t>
      </w:r>
      <w:r w:rsidR="006D3EF0" w:rsidRPr="00263307">
        <w:rPr>
          <w:rFonts w:ascii="Book Antiqua" w:hAnsi="Book Antiqua"/>
          <w:i/>
          <w:color w:val="000000" w:themeColor="text1"/>
          <w:sz w:val="24"/>
          <w:szCs w:val="24"/>
        </w:rPr>
        <w:t>χ</w:t>
      </w:r>
      <w:r w:rsidR="006D3EF0" w:rsidRPr="00263307">
        <w:rPr>
          <w:rFonts w:ascii="Book Antiqua" w:hAnsi="Book Antiqua"/>
          <w:color w:val="000000" w:themeColor="text1"/>
          <w:sz w:val="24"/>
          <w:szCs w:val="24"/>
          <w:vertAlign w:val="superscript"/>
        </w:rPr>
        <w:t>2</w:t>
      </w:r>
      <w:r w:rsidR="00D55F72" w:rsidRPr="00263307">
        <w:rPr>
          <w:rFonts w:ascii="Book Antiqua" w:hAnsi="Book Antiqua"/>
          <w:color w:val="000000" w:themeColor="text1"/>
          <w:sz w:val="24"/>
          <w:szCs w:val="24"/>
        </w:rPr>
        <w:t xml:space="preserve">: </w:t>
      </w:r>
      <w:r w:rsidR="007F050B" w:rsidRPr="00263307">
        <w:rPr>
          <w:rFonts w:ascii="Book Antiqua" w:hAnsi="Book Antiqua"/>
          <w:color w:val="000000" w:themeColor="text1"/>
          <w:sz w:val="24"/>
          <w:szCs w:val="24"/>
        </w:rPr>
        <w:t>7.08</w:t>
      </w:r>
      <w:r w:rsidR="00D55F72" w:rsidRPr="00263307">
        <w:rPr>
          <w:rFonts w:ascii="Book Antiqua" w:hAnsi="Book Antiqua"/>
          <w:color w:val="000000" w:themeColor="text1"/>
          <w:sz w:val="24"/>
          <w:szCs w:val="24"/>
        </w:rPr>
        <w:t xml:space="preserve">, </w:t>
      </w:r>
      <w:r w:rsidR="00D55F72" w:rsidRPr="00554878">
        <w:rPr>
          <w:rFonts w:ascii="Book Antiqua" w:hAnsi="Book Antiqua"/>
          <w:i/>
          <w:caps/>
          <w:color w:val="000000" w:themeColor="text1"/>
          <w:sz w:val="24"/>
          <w:szCs w:val="24"/>
        </w:rPr>
        <w:t>p</w:t>
      </w:r>
      <w:r w:rsidR="00D55F72" w:rsidRPr="00263307">
        <w:rPr>
          <w:rFonts w:ascii="Book Antiqua" w:hAnsi="Book Antiqua"/>
          <w:color w:val="000000" w:themeColor="text1"/>
          <w:sz w:val="24"/>
          <w:szCs w:val="24"/>
        </w:rPr>
        <w:t>-value</w:t>
      </w:r>
      <w:r w:rsidR="00440889" w:rsidRPr="00263307">
        <w:rPr>
          <w:rFonts w:ascii="Book Antiqua" w:hAnsi="Book Antiqua"/>
          <w:color w:val="000000" w:themeColor="text1"/>
          <w:sz w:val="24"/>
          <w:szCs w:val="24"/>
        </w:rPr>
        <w:t xml:space="preserve"> </w:t>
      </w:r>
      <w:r w:rsidR="00D55F72" w:rsidRPr="00263307">
        <w:rPr>
          <w:rFonts w:ascii="Book Antiqua" w:hAnsi="Book Antiqua"/>
          <w:color w:val="000000" w:themeColor="text1"/>
          <w:sz w:val="24"/>
          <w:szCs w:val="24"/>
        </w:rPr>
        <w:t>=</w:t>
      </w:r>
      <w:r w:rsidR="00440889" w:rsidRPr="00263307">
        <w:rPr>
          <w:rFonts w:ascii="Book Antiqua" w:hAnsi="Book Antiqua"/>
          <w:color w:val="000000" w:themeColor="text1"/>
          <w:sz w:val="24"/>
          <w:szCs w:val="24"/>
        </w:rPr>
        <w:t xml:space="preserve"> </w:t>
      </w:r>
      <w:r w:rsidR="00D55F72" w:rsidRPr="00263307">
        <w:rPr>
          <w:rFonts w:ascii="Book Antiqua" w:hAnsi="Book Antiqua"/>
          <w:color w:val="000000" w:themeColor="text1"/>
          <w:sz w:val="24"/>
          <w:szCs w:val="24"/>
        </w:rPr>
        <w:t>0.</w:t>
      </w:r>
      <w:r w:rsidR="007F050B" w:rsidRPr="00263307">
        <w:rPr>
          <w:rFonts w:ascii="Book Antiqua" w:hAnsi="Book Antiqua"/>
          <w:color w:val="000000" w:themeColor="text1"/>
          <w:sz w:val="24"/>
          <w:szCs w:val="24"/>
        </w:rPr>
        <w:t>420</w:t>
      </w:r>
      <w:r w:rsidR="00D55F72" w:rsidRPr="00263307">
        <w:rPr>
          <w:rFonts w:ascii="Book Antiqua" w:hAnsi="Book Antiqua"/>
          <w:color w:val="000000" w:themeColor="text1"/>
          <w:sz w:val="24"/>
          <w:szCs w:val="24"/>
        </w:rPr>
        <w:t>) and there was no multicollinearity (</w:t>
      </w:r>
      <w:r w:rsidR="00207E44" w:rsidRPr="00263307">
        <w:rPr>
          <w:rFonts w:ascii="Book Antiqua" w:hAnsi="Book Antiqua"/>
          <w:color w:val="000000" w:themeColor="text1"/>
          <w:sz w:val="24"/>
          <w:szCs w:val="24"/>
        </w:rPr>
        <w:t xml:space="preserve">all </w:t>
      </w:r>
      <w:r w:rsidR="00D55F72" w:rsidRPr="00263307">
        <w:rPr>
          <w:rFonts w:ascii="Book Antiqua" w:hAnsi="Book Antiqua"/>
          <w:color w:val="000000" w:themeColor="text1"/>
          <w:sz w:val="24"/>
          <w:szCs w:val="24"/>
        </w:rPr>
        <w:t>VIF</w:t>
      </w:r>
      <w:r w:rsidR="00207E44" w:rsidRPr="00263307">
        <w:rPr>
          <w:rFonts w:ascii="Book Antiqua" w:hAnsi="Book Antiqua"/>
          <w:color w:val="000000" w:themeColor="text1"/>
          <w:sz w:val="24"/>
          <w:szCs w:val="24"/>
        </w:rPr>
        <w:t>s</w:t>
      </w:r>
      <w:r w:rsidR="00440889" w:rsidRPr="00263307">
        <w:rPr>
          <w:rFonts w:ascii="Book Antiqua" w:hAnsi="Book Antiqua"/>
          <w:color w:val="000000" w:themeColor="text1"/>
          <w:sz w:val="24"/>
          <w:szCs w:val="24"/>
        </w:rPr>
        <w:t xml:space="preserve"> </w:t>
      </w:r>
      <w:r w:rsidR="00D55F72" w:rsidRPr="00263307">
        <w:rPr>
          <w:rFonts w:ascii="Book Antiqua" w:hAnsi="Book Antiqua"/>
          <w:color w:val="000000" w:themeColor="text1"/>
          <w:sz w:val="24"/>
          <w:szCs w:val="24"/>
        </w:rPr>
        <w:t>&lt; 1.3, mean VIF =</w:t>
      </w:r>
      <w:r w:rsidR="00440889" w:rsidRPr="00263307">
        <w:rPr>
          <w:rFonts w:ascii="Book Antiqua" w:hAnsi="Book Antiqua"/>
          <w:color w:val="000000" w:themeColor="text1"/>
          <w:sz w:val="24"/>
          <w:szCs w:val="24"/>
        </w:rPr>
        <w:t xml:space="preserve"> </w:t>
      </w:r>
      <w:r w:rsidR="00D55F72" w:rsidRPr="00263307">
        <w:rPr>
          <w:rFonts w:ascii="Book Antiqua" w:hAnsi="Book Antiqua"/>
          <w:color w:val="000000" w:themeColor="text1"/>
          <w:sz w:val="24"/>
          <w:szCs w:val="24"/>
        </w:rPr>
        <w:t>1.1</w:t>
      </w:r>
      <w:r w:rsidR="007F050B" w:rsidRPr="00263307">
        <w:rPr>
          <w:rFonts w:ascii="Book Antiqua" w:hAnsi="Book Antiqua"/>
          <w:color w:val="000000" w:themeColor="text1"/>
          <w:sz w:val="24"/>
          <w:szCs w:val="24"/>
        </w:rPr>
        <w:t>2</w:t>
      </w:r>
      <w:r w:rsidR="00D55F72" w:rsidRPr="00263307">
        <w:rPr>
          <w:rFonts w:ascii="Book Antiqua" w:hAnsi="Book Antiqua"/>
          <w:color w:val="000000" w:themeColor="text1"/>
          <w:sz w:val="24"/>
          <w:szCs w:val="24"/>
        </w:rPr>
        <w:t>). Optimism was</w:t>
      </w:r>
      <w:r w:rsidR="0079239E" w:rsidRPr="00263307">
        <w:rPr>
          <w:rFonts w:ascii="Book Antiqua" w:hAnsi="Book Antiqua"/>
          <w:color w:val="000000" w:themeColor="text1"/>
          <w:sz w:val="24"/>
          <w:szCs w:val="24"/>
        </w:rPr>
        <w:t xml:space="preserve"> 0.0001</w:t>
      </w:r>
      <w:r w:rsidR="00D55F72" w:rsidRPr="00263307">
        <w:rPr>
          <w:rFonts w:ascii="Book Antiqua" w:hAnsi="Book Antiqua"/>
          <w:color w:val="000000" w:themeColor="text1"/>
          <w:sz w:val="24"/>
          <w:szCs w:val="24"/>
        </w:rPr>
        <w:t>.</w:t>
      </w:r>
    </w:p>
    <w:p w14:paraId="19336237" w14:textId="416A636D" w:rsidR="00F3598C" w:rsidRPr="00263307" w:rsidRDefault="000B3BD5" w:rsidP="00263307">
      <w:pPr>
        <w:pStyle w:val="a5"/>
        <w:adjustRightInd w:val="0"/>
        <w:snapToGrid w:val="0"/>
        <w:spacing w:before="0" w:beforeAutospacing="0" w:after="0" w:afterAutospacing="0" w:line="360" w:lineRule="auto"/>
        <w:ind w:firstLineChars="100" w:firstLine="240"/>
        <w:jc w:val="both"/>
        <w:rPr>
          <w:rFonts w:ascii="Book Antiqua" w:hAnsi="Book Antiqua"/>
          <w:color w:val="000000" w:themeColor="text1"/>
          <w:sz w:val="24"/>
          <w:szCs w:val="24"/>
        </w:rPr>
      </w:pPr>
      <w:r w:rsidRPr="00263307">
        <w:rPr>
          <w:rFonts w:ascii="Book Antiqua" w:hAnsi="Book Antiqua"/>
          <w:color w:val="000000" w:themeColor="text1"/>
          <w:sz w:val="24"/>
          <w:szCs w:val="24"/>
        </w:rPr>
        <w:t xml:space="preserve">Because CRP was the only significant predictive factor of CA in our regression model (Model 2), we additionally performed </w:t>
      </w:r>
      <w:r w:rsidR="00DC5404" w:rsidRPr="00263307">
        <w:rPr>
          <w:rFonts w:ascii="Book Antiqua" w:hAnsi="Book Antiqua"/>
          <w:color w:val="000000" w:themeColor="text1"/>
          <w:sz w:val="24"/>
          <w:szCs w:val="24"/>
        </w:rPr>
        <w:t xml:space="preserve">ROC analyses to evaluate the discrimination ability of serum CRP level for </w:t>
      </w:r>
      <w:r w:rsidR="00440889" w:rsidRPr="00263307">
        <w:rPr>
          <w:rFonts w:ascii="Book Antiqua" w:hAnsi="Book Antiqua"/>
          <w:color w:val="000000" w:themeColor="text1"/>
          <w:sz w:val="24"/>
          <w:szCs w:val="24"/>
        </w:rPr>
        <w:t xml:space="preserve">the </w:t>
      </w:r>
      <w:r w:rsidR="00DC5404" w:rsidRPr="00263307">
        <w:rPr>
          <w:rFonts w:ascii="Book Antiqua" w:hAnsi="Book Antiqua"/>
          <w:color w:val="000000" w:themeColor="text1"/>
          <w:sz w:val="24"/>
          <w:szCs w:val="24"/>
        </w:rPr>
        <w:t>prediction of CA</w:t>
      </w:r>
      <w:r w:rsidRPr="00263307">
        <w:rPr>
          <w:rFonts w:ascii="Book Antiqua" w:hAnsi="Book Antiqua"/>
          <w:color w:val="000000" w:themeColor="text1"/>
          <w:sz w:val="24"/>
          <w:szCs w:val="24"/>
        </w:rPr>
        <w:t>, which revealed</w:t>
      </w:r>
      <w:r w:rsidR="00DC5404"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 xml:space="preserve">the </w:t>
      </w:r>
      <w:r w:rsidR="00DC5404" w:rsidRPr="00263307">
        <w:rPr>
          <w:rFonts w:ascii="Book Antiqua" w:hAnsi="Book Antiqua"/>
          <w:color w:val="000000" w:themeColor="text1"/>
          <w:sz w:val="24"/>
          <w:szCs w:val="24"/>
        </w:rPr>
        <w:t xml:space="preserve">AUC </w:t>
      </w:r>
      <w:r w:rsidRPr="00263307">
        <w:rPr>
          <w:rFonts w:ascii="Book Antiqua" w:hAnsi="Book Antiqua"/>
          <w:color w:val="000000" w:themeColor="text1"/>
          <w:sz w:val="24"/>
          <w:szCs w:val="24"/>
        </w:rPr>
        <w:t xml:space="preserve">value </w:t>
      </w:r>
      <w:r w:rsidR="00DC5404" w:rsidRPr="00263307">
        <w:rPr>
          <w:rFonts w:ascii="Book Antiqua" w:hAnsi="Book Antiqua"/>
          <w:color w:val="000000" w:themeColor="text1"/>
          <w:sz w:val="24"/>
          <w:szCs w:val="24"/>
        </w:rPr>
        <w:t xml:space="preserve">was </w:t>
      </w:r>
      <w:r w:rsidRPr="00263307">
        <w:rPr>
          <w:rFonts w:ascii="Book Antiqua" w:hAnsi="Book Antiqua"/>
          <w:color w:val="000000" w:themeColor="text1"/>
          <w:sz w:val="24"/>
          <w:szCs w:val="24"/>
        </w:rPr>
        <w:t>0.85</w:t>
      </w:r>
      <w:r w:rsidR="00DC5404" w:rsidRPr="00263307">
        <w:rPr>
          <w:rFonts w:ascii="Book Antiqua" w:hAnsi="Book Antiqua"/>
          <w:color w:val="000000" w:themeColor="text1"/>
          <w:sz w:val="24"/>
          <w:szCs w:val="24"/>
        </w:rPr>
        <w:t xml:space="preserve">. The sensitivity and specificity of each serum CRP value were as follows: </w:t>
      </w:r>
      <w:r w:rsidRPr="00263307">
        <w:rPr>
          <w:rFonts w:ascii="Book Antiqua" w:hAnsi="Book Antiqua"/>
          <w:color w:val="000000" w:themeColor="text1"/>
          <w:sz w:val="24"/>
          <w:szCs w:val="24"/>
        </w:rPr>
        <w:t xml:space="preserve">sensitivity and specificity </w:t>
      </w:r>
      <w:r w:rsidR="00440889" w:rsidRPr="00263307">
        <w:rPr>
          <w:rFonts w:ascii="Book Antiqua" w:hAnsi="Book Antiqua"/>
          <w:color w:val="000000" w:themeColor="text1"/>
          <w:sz w:val="24"/>
          <w:szCs w:val="24"/>
        </w:rPr>
        <w:t xml:space="preserve">of </w:t>
      </w:r>
      <w:r w:rsidRPr="00263307">
        <w:rPr>
          <w:rFonts w:ascii="Book Antiqua" w:hAnsi="Book Antiqua"/>
          <w:color w:val="000000" w:themeColor="text1"/>
          <w:sz w:val="24"/>
          <w:szCs w:val="24"/>
        </w:rPr>
        <w:t xml:space="preserve">94.7% and 55.1 % </w:t>
      </w:r>
      <w:r w:rsidR="00440889" w:rsidRPr="00263307">
        <w:rPr>
          <w:rFonts w:ascii="Book Antiqua" w:hAnsi="Book Antiqua"/>
          <w:color w:val="000000" w:themeColor="text1"/>
          <w:sz w:val="24"/>
          <w:szCs w:val="24"/>
        </w:rPr>
        <w:t xml:space="preserve">when </w:t>
      </w:r>
      <w:r w:rsidR="00175C81" w:rsidRPr="00263307">
        <w:rPr>
          <w:rFonts w:ascii="Book Antiqua" w:hAnsi="Book Antiqua"/>
          <w:color w:val="000000" w:themeColor="text1"/>
          <w:sz w:val="24"/>
          <w:szCs w:val="24"/>
        </w:rPr>
        <w:t xml:space="preserve">was </w:t>
      </w:r>
      <w:r w:rsidRPr="00263307">
        <w:rPr>
          <w:rFonts w:ascii="Book Antiqua" w:hAnsi="Book Antiqua"/>
          <w:color w:val="000000" w:themeColor="text1"/>
          <w:sz w:val="24"/>
          <w:szCs w:val="24"/>
        </w:rPr>
        <w:t>CRP ≥ 1.0 mg/dL</w:t>
      </w:r>
      <w:r w:rsidR="00440889" w:rsidRPr="00263307">
        <w:rPr>
          <w:rFonts w:ascii="Book Antiqua" w:hAnsi="Book Antiqua"/>
          <w:color w:val="000000" w:themeColor="text1"/>
          <w:sz w:val="24"/>
          <w:szCs w:val="24"/>
        </w:rPr>
        <w:t xml:space="preserve"> and</w:t>
      </w:r>
      <w:r w:rsidRPr="00263307">
        <w:rPr>
          <w:rFonts w:ascii="Book Antiqua" w:hAnsi="Book Antiqua"/>
          <w:color w:val="000000" w:themeColor="text1"/>
          <w:sz w:val="24"/>
          <w:szCs w:val="24"/>
        </w:rPr>
        <w:t xml:space="preserve"> </w:t>
      </w:r>
      <w:r w:rsidR="00360E39" w:rsidRPr="00263307">
        <w:rPr>
          <w:rFonts w:ascii="Book Antiqua" w:hAnsi="Book Antiqua"/>
          <w:color w:val="000000" w:themeColor="text1"/>
          <w:sz w:val="24"/>
          <w:szCs w:val="24"/>
        </w:rPr>
        <w:t xml:space="preserve">sensitivity and specificity </w:t>
      </w:r>
      <w:r w:rsidR="00440889" w:rsidRPr="00263307">
        <w:rPr>
          <w:rFonts w:ascii="Book Antiqua" w:hAnsi="Book Antiqua"/>
          <w:color w:val="000000" w:themeColor="text1"/>
          <w:sz w:val="24"/>
          <w:szCs w:val="24"/>
        </w:rPr>
        <w:t xml:space="preserve">of </w:t>
      </w:r>
      <w:r w:rsidR="00360E39" w:rsidRPr="00263307">
        <w:rPr>
          <w:rFonts w:ascii="Book Antiqua" w:hAnsi="Book Antiqua"/>
          <w:color w:val="000000" w:themeColor="text1"/>
          <w:sz w:val="24"/>
          <w:szCs w:val="24"/>
        </w:rPr>
        <w:t xml:space="preserve">68.4% and 86.9% </w:t>
      </w:r>
      <w:r w:rsidR="00440889" w:rsidRPr="00263307">
        <w:rPr>
          <w:rFonts w:ascii="Book Antiqua" w:hAnsi="Book Antiqua"/>
          <w:color w:val="000000" w:themeColor="text1"/>
          <w:sz w:val="24"/>
          <w:szCs w:val="24"/>
        </w:rPr>
        <w:t xml:space="preserve">when </w:t>
      </w:r>
      <w:r w:rsidR="00175C81" w:rsidRPr="00263307">
        <w:rPr>
          <w:rFonts w:ascii="Book Antiqua" w:hAnsi="Book Antiqua"/>
          <w:color w:val="000000" w:themeColor="text1"/>
          <w:sz w:val="24"/>
          <w:szCs w:val="24"/>
        </w:rPr>
        <w:t xml:space="preserve">was </w:t>
      </w:r>
      <w:r w:rsidR="00360E39" w:rsidRPr="00263307">
        <w:rPr>
          <w:rFonts w:ascii="Book Antiqua" w:hAnsi="Book Antiqua"/>
          <w:color w:val="000000" w:themeColor="text1"/>
          <w:sz w:val="24"/>
          <w:szCs w:val="24"/>
        </w:rPr>
        <w:t>CRP ≥ 4.9</w:t>
      </w:r>
      <w:r w:rsidRPr="00263307">
        <w:rPr>
          <w:rFonts w:ascii="Book Antiqua" w:hAnsi="Book Antiqua"/>
          <w:color w:val="000000" w:themeColor="text1"/>
          <w:sz w:val="24"/>
          <w:szCs w:val="24"/>
        </w:rPr>
        <w:t xml:space="preserve"> </w:t>
      </w:r>
      <w:r w:rsidR="00DC5404" w:rsidRPr="00263307">
        <w:rPr>
          <w:rFonts w:ascii="Book Antiqua" w:hAnsi="Book Antiqua"/>
          <w:color w:val="000000" w:themeColor="text1"/>
          <w:sz w:val="24"/>
          <w:szCs w:val="24"/>
        </w:rPr>
        <w:t>(</w:t>
      </w:r>
      <w:r w:rsidR="007D029A" w:rsidRPr="00263307">
        <w:rPr>
          <w:rFonts w:ascii="Book Antiqua" w:hAnsi="Book Antiqua"/>
          <w:color w:val="000000" w:themeColor="text1"/>
          <w:sz w:val="24"/>
          <w:szCs w:val="24"/>
        </w:rPr>
        <w:t xml:space="preserve">Figure </w:t>
      </w:r>
      <w:r w:rsidR="00964326">
        <w:rPr>
          <w:rFonts w:ascii="Book Antiqua" w:eastAsia="宋体" w:hAnsi="Book Antiqua" w:hint="eastAsia"/>
          <w:color w:val="000000" w:themeColor="text1"/>
          <w:sz w:val="24"/>
          <w:szCs w:val="24"/>
          <w:lang w:eastAsia="zh-CN"/>
        </w:rPr>
        <w:t>3</w:t>
      </w:r>
      <w:r w:rsidR="00DC5404" w:rsidRPr="00263307">
        <w:rPr>
          <w:rFonts w:ascii="Book Antiqua" w:hAnsi="Book Antiqua"/>
          <w:color w:val="000000" w:themeColor="text1"/>
          <w:sz w:val="24"/>
          <w:szCs w:val="24"/>
        </w:rPr>
        <w:t>).</w:t>
      </w:r>
    </w:p>
    <w:p w14:paraId="2C0DF323" w14:textId="77777777" w:rsidR="00DC5404" w:rsidRPr="00964326" w:rsidRDefault="00DC5404" w:rsidP="00263307">
      <w:pPr>
        <w:adjustRightInd w:val="0"/>
        <w:snapToGrid w:val="0"/>
        <w:spacing w:line="360" w:lineRule="auto"/>
        <w:jc w:val="both"/>
        <w:rPr>
          <w:rFonts w:ascii="Book Antiqua" w:hAnsi="Book Antiqua" w:cs="Times New Roman"/>
          <w:color w:val="000000" w:themeColor="text1"/>
        </w:rPr>
      </w:pPr>
    </w:p>
    <w:p w14:paraId="1485B2E0" w14:textId="40DAE6B6" w:rsidR="005B60AD" w:rsidRPr="00263307" w:rsidRDefault="003D731A" w:rsidP="00263307">
      <w:pPr>
        <w:adjustRightInd w:val="0"/>
        <w:snapToGrid w:val="0"/>
        <w:spacing w:line="360" w:lineRule="auto"/>
        <w:jc w:val="both"/>
        <w:rPr>
          <w:rFonts w:ascii="Book Antiqua" w:hAnsi="Book Antiqua" w:cs="Times New Roman"/>
          <w:b/>
          <w:color w:val="000000" w:themeColor="text1"/>
          <w:u w:val="single"/>
        </w:rPr>
      </w:pPr>
      <w:r w:rsidRPr="00263307">
        <w:rPr>
          <w:rFonts w:ascii="Book Antiqua" w:hAnsi="Book Antiqua" w:cs="Times New Roman"/>
          <w:b/>
          <w:color w:val="000000" w:themeColor="text1"/>
          <w:u w:val="single"/>
        </w:rPr>
        <w:t>DISCUSSION</w:t>
      </w:r>
    </w:p>
    <w:p w14:paraId="10CBCD81" w14:textId="77777777" w:rsidR="003D731A" w:rsidRPr="00263307" w:rsidRDefault="00360E39" w:rsidP="00263307">
      <w:pPr>
        <w:pStyle w:val="a5"/>
        <w:adjustRightInd w:val="0"/>
        <w:snapToGrid w:val="0"/>
        <w:spacing w:before="0" w:beforeAutospacing="0" w:after="0" w:afterAutospacing="0" w:line="360" w:lineRule="auto"/>
        <w:jc w:val="both"/>
        <w:rPr>
          <w:rFonts w:ascii="Book Antiqua" w:eastAsia="宋体" w:hAnsi="Book Antiqua"/>
          <w:color w:val="000000" w:themeColor="text1"/>
          <w:sz w:val="24"/>
          <w:szCs w:val="24"/>
          <w:lang w:eastAsia="zh-CN"/>
        </w:rPr>
      </w:pPr>
      <w:r w:rsidRPr="00263307">
        <w:rPr>
          <w:rFonts w:ascii="Book Antiqua" w:hAnsi="Book Antiqua"/>
          <w:color w:val="000000" w:themeColor="text1"/>
          <w:sz w:val="24"/>
          <w:szCs w:val="24"/>
        </w:rPr>
        <w:t>We performed a single-center</w:t>
      </w:r>
      <w:r w:rsidR="00440889" w:rsidRPr="00263307">
        <w:rPr>
          <w:rFonts w:ascii="Book Antiqua" w:hAnsi="Book Antiqua"/>
          <w:color w:val="000000" w:themeColor="text1"/>
          <w:sz w:val="24"/>
          <w:szCs w:val="24"/>
        </w:rPr>
        <w:t>,</w:t>
      </w:r>
      <w:r w:rsidRPr="00263307">
        <w:rPr>
          <w:rFonts w:ascii="Book Antiqua" w:hAnsi="Book Antiqua"/>
          <w:color w:val="000000" w:themeColor="text1"/>
          <w:sz w:val="24"/>
          <w:szCs w:val="24"/>
        </w:rPr>
        <w:t xml:space="preserve"> retrospective cohort study to evaluate clinical predictive factors of CA using univariate comparison and logistic regression. Univariate compar</w:t>
      </w:r>
      <w:r w:rsidR="00E870B6" w:rsidRPr="00263307">
        <w:rPr>
          <w:rFonts w:ascii="Book Antiqua" w:hAnsi="Book Antiqua"/>
          <w:color w:val="000000" w:themeColor="text1"/>
          <w:sz w:val="24"/>
          <w:szCs w:val="24"/>
        </w:rPr>
        <w:t>i</w:t>
      </w:r>
      <w:r w:rsidRPr="00263307">
        <w:rPr>
          <w:rFonts w:ascii="Book Antiqua" w:hAnsi="Book Antiqua"/>
          <w:color w:val="000000" w:themeColor="text1"/>
          <w:sz w:val="24"/>
          <w:szCs w:val="24"/>
        </w:rPr>
        <w:t xml:space="preserve">sons showed that </w:t>
      </w:r>
      <w:r w:rsidR="00440889" w:rsidRPr="00263307">
        <w:rPr>
          <w:rFonts w:ascii="Book Antiqua" w:hAnsi="Book Antiqua"/>
          <w:color w:val="000000" w:themeColor="text1"/>
          <w:sz w:val="24"/>
          <w:szCs w:val="24"/>
        </w:rPr>
        <w:t xml:space="preserve">advanced </w:t>
      </w:r>
      <w:r w:rsidRPr="00263307">
        <w:rPr>
          <w:rFonts w:ascii="Book Antiqua" w:hAnsi="Book Antiqua"/>
          <w:color w:val="000000" w:themeColor="text1"/>
          <w:sz w:val="24"/>
          <w:szCs w:val="24"/>
        </w:rPr>
        <w:t>age, longer onset-to-visit interval, anorexia, tachycardia, fever, elevated CRP level, renal dysfunction</w:t>
      </w:r>
      <w:r w:rsidR="00D56371" w:rsidRPr="00263307">
        <w:rPr>
          <w:rFonts w:ascii="Book Antiqua" w:hAnsi="Book Antiqua"/>
          <w:color w:val="000000" w:themeColor="text1"/>
          <w:sz w:val="24"/>
          <w:szCs w:val="24"/>
        </w:rPr>
        <w:t xml:space="preserve">, and </w:t>
      </w:r>
      <w:r w:rsidR="00F47839" w:rsidRPr="00263307">
        <w:rPr>
          <w:rFonts w:ascii="Book Antiqua" w:hAnsi="Book Antiqua"/>
          <w:color w:val="000000" w:themeColor="text1"/>
          <w:sz w:val="24"/>
          <w:szCs w:val="24"/>
        </w:rPr>
        <w:t>hyponatremia</w:t>
      </w:r>
      <w:r w:rsidRPr="00263307">
        <w:rPr>
          <w:rFonts w:ascii="Book Antiqua" w:hAnsi="Book Antiqua"/>
          <w:color w:val="000000" w:themeColor="text1"/>
          <w:sz w:val="24"/>
          <w:szCs w:val="24"/>
        </w:rPr>
        <w:t xml:space="preserve"> were significantly </w:t>
      </w:r>
      <w:r w:rsidR="001E4BA4" w:rsidRPr="00263307">
        <w:rPr>
          <w:rFonts w:ascii="Book Antiqua" w:hAnsi="Book Antiqua"/>
          <w:color w:val="000000" w:themeColor="text1"/>
          <w:sz w:val="24"/>
          <w:szCs w:val="24"/>
        </w:rPr>
        <w:t xml:space="preserve">more prevalent in </w:t>
      </w:r>
      <w:r w:rsidR="00440889" w:rsidRPr="00263307">
        <w:rPr>
          <w:rFonts w:ascii="Book Antiqua" w:hAnsi="Book Antiqua"/>
          <w:color w:val="000000" w:themeColor="text1"/>
          <w:sz w:val="24"/>
          <w:szCs w:val="24"/>
        </w:rPr>
        <w:t xml:space="preserve">the </w:t>
      </w:r>
      <w:r w:rsidR="001E4BA4" w:rsidRPr="00263307">
        <w:rPr>
          <w:rFonts w:ascii="Book Antiqua" w:hAnsi="Book Antiqua"/>
          <w:color w:val="000000" w:themeColor="text1"/>
          <w:sz w:val="24"/>
          <w:szCs w:val="24"/>
        </w:rPr>
        <w:t xml:space="preserve">CA group than </w:t>
      </w:r>
      <w:r w:rsidR="00440889" w:rsidRPr="00263307">
        <w:rPr>
          <w:rFonts w:ascii="Book Antiqua" w:hAnsi="Book Antiqua"/>
          <w:color w:val="000000" w:themeColor="text1"/>
          <w:sz w:val="24"/>
          <w:szCs w:val="24"/>
        </w:rPr>
        <w:t xml:space="preserve">in the </w:t>
      </w:r>
      <w:r w:rsidR="001E4BA4" w:rsidRPr="00263307">
        <w:rPr>
          <w:rFonts w:ascii="Book Antiqua" w:hAnsi="Book Antiqua"/>
          <w:color w:val="000000" w:themeColor="text1"/>
          <w:sz w:val="24"/>
          <w:szCs w:val="24"/>
        </w:rPr>
        <w:t>SA</w:t>
      </w:r>
      <w:r w:rsidR="008D304A" w:rsidRPr="00263307">
        <w:rPr>
          <w:rFonts w:ascii="Book Antiqua" w:hAnsi="Book Antiqua"/>
          <w:color w:val="000000" w:themeColor="text1"/>
          <w:sz w:val="24"/>
          <w:szCs w:val="24"/>
        </w:rPr>
        <w:t xml:space="preserve"> group</w:t>
      </w:r>
      <w:r w:rsidR="001E4BA4" w:rsidRPr="00263307">
        <w:rPr>
          <w:rFonts w:ascii="Book Antiqua" w:hAnsi="Book Antiqua"/>
          <w:color w:val="000000" w:themeColor="text1"/>
          <w:sz w:val="24"/>
          <w:szCs w:val="24"/>
        </w:rPr>
        <w:t xml:space="preserve">. Logistic regression </w:t>
      </w:r>
      <w:r w:rsidR="007D749D" w:rsidRPr="00263307">
        <w:rPr>
          <w:rFonts w:ascii="Book Antiqua" w:hAnsi="Book Antiqua"/>
          <w:color w:val="000000" w:themeColor="text1"/>
          <w:sz w:val="24"/>
          <w:szCs w:val="24"/>
        </w:rPr>
        <w:t>on</w:t>
      </w:r>
      <w:r w:rsidR="001E4BA4" w:rsidRPr="00263307">
        <w:rPr>
          <w:rFonts w:ascii="Book Antiqua" w:hAnsi="Book Antiqua"/>
          <w:color w:val="000000" w:themeColor="text1"/>
          <w:sz w:val="24"/>
          <w:szCs w:val="24"/>
        </w:rPr>
        <w:t xml:space="preserve"> no</w:t>
      </w:r>
      <w:r w:rsidR="008D304A" w:rsidRPr="00263307">
        <w:rPr>
          <w:rFonts w:ascii="Book Antiqua" w:hAnsi="Book Antiqua"/>
          <w:color w:val="000000" w:themeColor="text1"/>
          <w:sz w:val="24"/>
          <w:szCs w:val="24"/>
        </w:rPr>
        <w:t>n</w:t>
      </w:r>
      <w:r w:rsidR="001E4BA4" w:rsidRPr="00263307">
        <w:rPr>
          <w:rFonts w:ascii="Book Antiqua" w:hAnsi="Book Antiqua"/>
          <w:color w:val="000000" w:themeColor="text1"/>
          <w:sz w:val="24"/>
          <w:szCs w:val="24"/>
        </w:rPr>
        <w:t xml:space="preserve">-laboratory </w:t>
      </w:r>
      <w:r w:rsidR="007D749D" w:rsidRPr="00263307">
        <w:rPr>
          <w:rFonts w:ascii="Book Antiqua" w:hAnsi="Book Antiqua"/>
          <w:color w:val="000000" w:themeColor="text1"/>
          <w:sz w:val="24"/>
          <w:szCs w:val="24"/>
        </w:rPr>
        <w:t xml:space="preserve">factors </w:t>
      </w:r>
      <w:r w:rsidR="001E4BA4" w:rsidRPr="00263307">
        <w:rPr>
          <w:rFonts w:ascii="Book Antiqua" w:hAnsi="Book Antiqua"/>
          <w:color w:val="000000" w:themeColor="text1"/>
          <w:sz w:val="24"/>
          <w:szCs w:val="24"/>
        </w:rPr>
        <w:t xml:space="preserve">of CA showed that </w:t>
      </w:r>
      <w:r w:rsidR="00440889" w:rsidRPr="00263307">
        <w:rPr>
          <w:rFonts w:ascii="Book Antiqua" w:hAnsi="Book Antiqua"/>
          <w:color w:val="000000" w:themeColor="text1"/>
          <w:sz w:val="24"/>
          <w:szCs w:val="24"/>
        </w:rPr>
        <w:t xml:space="preserve">advanced </w:t>
      </w:r>
      <w:r w:rsidR="001E4BA4" w:rsidRPr="00263307">
        <w:rPr>
          <w:rFonts w:ascii="Book Antiqua" w:hAnsi="Book Antiqua"/>
          <w:color w:val="000000" w:themeColor="text1"/>
          <w:sz w:val="24"/>
          <w:szCs w:val="24"/>
        </w:rPr>
        <w:t>age (≥</w:t>
      </w:r>
      <w:r w:rsidR="00440889" w:rsidRPr="00263307">
        <w:rPr>
          <w:rFonts w:ascii="Book Antiqua" w:hAnsi="Book Antiqua"/>
          <w:color w:val="000000" w:themeColor="text1"/>
          <w:sz w:val="24"/>
          <w:szCs w:val="24"/>
        </w:rPr>
        <w:t xml:space="preserve"> </w:t>
      </w:r>
      <w:r w:rsidR="001E4BA4" w:rsidRPr="00263307">
        <w:rPr>
          <w:rFonts w:ascii="Book Antiqua" w:hAnsi="Book Antiqua"/>
          <w:color w:val="000000" w:themeColor="text1"/>
          <w:sz w:val="24"/>
          <w:szCs w:val="24"/>
        </w:rPr>
        <w:t>65</w:t>
      </w:r>
      <w:r w:rsidR="00440889" w:rsidRPr="00263307">
        <w:rPr>
          <w:rFonts w:ascii="Book Antiqua" w:hAnsi="Book Antiqua"/>
          <w:color w:val="000000" w:themeColor="text1"/>
          <w:sz w:val="24"/>
          <w:szCs w:val="24"/>
        </w:rPr>
        <w:t xml:space="preserve"> </w:t>
      </w:r>
      <w:r w:rsidR="001E4BA4" w:rsidRPr="00263307">
        <w:rPr>
          <w:rFonts w:ascii="Book Antiqua" w:hAnsi="Book Antiqua"/>
          <w:color w:val="000000" w:themeColor="text1"/>
          <w:sz w:val="24"/>
          <w:szCs w:val="24"/>
        </w:rPr>
        <w:t>year</w:t>
      </w:r>
      <w:r w:rsidR="00440889" w:rsidRPr="00263307">
        <w:rPr>
          <w:rFonts w:ascii="Book Antiqua" w:hAnsi="Book Antiqua"/>
          <w:color w:val="000000" w:themeColor="text1"/>
          <w:sz w:val="24"/>
          <w:szCs w:val="24"/>
        </w:rPr>
        <w:t xml:space="preserve">s </w:t>
      </w:r>
      <w:r w:rsidR="001E4BA4" w:rsidRPr="00263307">
        <w:rPr>
          <w:rFonts w:ascii="Book Antiqua" w:hAnsi="Book Antiqua"/>
          <w:color w:val="000000" w:themeColor="text1"/>
          <w:sz w:val="24"/>
          <w:szCs w:val="24"/>
        </w:rPr>
        <w:t xml:space="preserve">old), longer onset-to-visit interval, and anorexia had significantly high </w:t>
      </w:r>
      <w:r w:rsidR="00440889" w:rsidRPr="00263307">
        <w:rPr>
          <w:rFonts w:ascii="Book Antiqua" w:hAnsi="Book Antiqua"/>
          <w:color w:val="000000" w:themeColor="text1"/>
          <w:sz w:val="24"/>
          <w:szCs w:val="24"/>
        </w:rPr>
        <w:t>ORs</w:t>
      </w:r>
      <w:r w:rsidR="001E4BA4" w:rsidRPr="00263307">
        <w:rPr>
          <w:rFonts w:ascii="Book Antiqua" w:hAnsi="Book Antiqua"/>
          <w:color w:val="000000" w:themeColor="text1"/>
          <w:sz w:val="24"/>
          <w:szCs w:val="24"/>
        </w:rPr>
        <w:t xml:space="preserve"> (Model 1). Logistic regression including laboratory </w:t>
      </w:r>
      <w:r w:rsidR="001E4BA4" w:rsidRPr="00263307">
        <w:rPr>
          <w:rFonts w:ascii="Book Antiqua" w:hAnsi="Book Antiqua"/>
          <w:color w:val="000000" w:themeColor="text1"/>
          <w:sz w:val="24"/>
          <w:szCs w:val="24"/>
        </w:rPr>
        <w:lastRenderedPageBreak/>
        <w:t xml:space="preserve">factors showed that only elevated CRP level had </w:t>
      </w:r>
      <w:r w:rsidR="00440889" w:rsidRPr="00263307">
        <w:rPr>
          <w:rFonts w:ascii="Book Antiqua" w:hAnsi="Book Antiqua"/>
          <w:color w:val="000000" w:themeColor="text1"/>
          <w:sz w:val="24"/>
          <w:szCs w:val="24"/>
        </w:rPr>
        <w:t xml:space="preserve">a </w:t>
      </w:r>
      <w:r w:rsidR="001E4BA4" w:rsidRPr="00263307">
        <w:rPr>
          <w:rFonts w:ascii="Book Antiqua" w:hAnsi="Book Antiqua"/>
          <w:color w:val="000000" w:themeColor="text1"/>
          <w:sz w:val="24"/>
          <w:szCs w:val="24"/>
        </w:rPr>
        <w:t>significantly high OR (Model 2).</w:t>
      </w:r>
      <w:r w:rsidR="0025560D" w:rsidRPr="00263307">
        <w:rPr>
          <w:rFonts w:ascii="Book Antiqua" w:hAnsi="Book Antiqua"/>
          <w:color w:val="000000" w:themeColor="text1"/>
          <w:sz w:val="24"/>
          <w:szCs w:val="24"/>
        </w:rPr>
        <w:t xml:space="preserve"> Furthermore, the ORs increased in proportion to </w:t>
      </w:r>
      <w:r w:rsidR="00440889" w:rsidRPr="00263307">
        <w:rPr>
          <w:rFonts w:ascii="Book Antiqua" w:hAnsi="Book Antiqua"/>
          <w:color w:val="000000" w:themeColor="text1"/>
          <w:sz w:val="24"/>
          <w:szCs w:val="24"/>
        </w:rPr>
        <w:t xml:space="preserve">a </w:t>
      </w:r>
      <w:r w:rsidR="00F66B63" w:rsidRPr="00263307">
        <w:rPr>
          <w:rFonts w:ascii="Book Antiqua" w:hAnsi="Book Antiqua"/>
          <w:color w:val="000000" w:themeColor="text1"/>
          <w:sz w:val="24"/>
          <w:szCs w:val="24"/>
        </w:rPr>
        <w:t xml:space="preserve">rise </w:t>
      </w:r>
      <w:r w:rsidR="00440889" w:rsidRPr="00263307">
        <w:rPr>
          <w:rFonts w:ascii="Book Antiqua" w:hAnsi="Book Antiqua"/>
          <w:color w:val="000000" w:themeColor="text1"/>
          <w:sz w:val="24"/>
          <w:szCs w:val="24"/>
        </w:rPr>
        <w:t xml:space="preserve">in </w:t>
      </w:r>
      <w:r w:rsidR="0025560D" w:rsidRPr="00263307">
        <w:rPr>
          <w:rFonts w:ascii="Book Antiqua" w:hAnsi="Book Antiqua"/>
          <w:color w:val="000000" w:themeColor="text1"/>
          <w:sz w:val="24"/>
          <w:szCs w:val="24"/>
        </w:rPr>
        <w:t xml:space="preserve">CRP </w:t>
      </w:r>
      <w:r w:rsidR="00F66B63" w:rsidRPr="00263307">
        <w:rPr>
          <w:rFonts w:ascii="Book Antiqua" w:hAnsi="Book Antiqua"/>
          <w:color w:val="000000" w:themeColor="text1"/>
          <w:sz w:val="24"/>
          <w:szCs w:val="24"/>
        </w:rPr>
        <w:t xml:space="preserve">level </w:t>
      </w:r>
      <w:r w:rsidR="0025560D" w:rsidRPr="00263307">
        <w:rPr>
          <w:rFonts w:ascii="Book Antiqua" w:hAnsi="Book Antiqua"/>
          <w:color w:val="000000" w:themeColor="text1"/>
          <w:sz w:val="24"/>
          <w:szCs w:val="24"/>
        </w:rPr>
        <w:t>(Model 2).</w:t>
      </w:r>
    </w:p>
    <w:p w14:paraId="7D267CE8" w14:textId="77777777" w:rsidR="00497E96" w:rsidRPr="00263307" w:rsidRDefault="00440889" w:rsidP="00263307">
      <w:pPr>
        <w:pStyle w:val="a5"/>
        <w:adjustRightInd w:val="0"/>
        <w:snapToGrid w:val="0"/>
        <w:spacing w:before="0" w:beforeAutospacing="0" w:after="0" w:afterAutospacing="0" w:line="360" w:lineRule="auto"/>
        <w:ind w:firstLineChars="100" w:firstLine="240"/>
        <w:jc w:val="both"/>
        <w:rPr>
          <w:rFonts w:ascii="Book Antiqua" w:eastAsia="宋体" w:hAnsi="Book Antiqua"/>
          <w:color w:val="000000" w:themeColor="text1"/>
          <w:sz w:val="24"/>
          <w:szCs w:val="24"/>
          <w:lang w:eastAsia="zh-CN"/>
        </w:rPr>
      </w:pPr>
      <w:r w:rsidRPr="00263307">
        <w:rPr>
          <w:rFonts w:ascii="Book Antiqua" w:hAnsi="Book Antiqua"/>
          <w:color w:val="000000" w:themeColor="text1"/>
          <w:sz w:val="24"/>
          <w:szCs w:val="24"/>
        </w:rPr>
        <w:t xml:space="preserve">In terms of </w:t>
      </w:r>
      <w:r w:rsidR="00D3344F" w:rsidRPr="00263307">
        <w:rPr>
          <w:rFonts w:ascii="Book Antiqua" w:hAnsi="Book Antiqua"/>
          <w:color w:val="000000" w:themeColor="text1"/>
          <w:sz w:val="24"/>
          <w:szCs w:val="24"/>
        </w:rPr>
        <w:t xml:space="preserve">the univariate analysis, </w:t>
      </w:r>
      <w:r w:rsidR="00625C9B" w:rsidRPr="00263307">
        <w:rPr>
          <w:rFonts w:ascii="Book Antiqua" w:hAnsi="Book Antiqua"/>
          <w:color w:val="000000" w:themeColor="text1"/>
          <w:sz w:val="24"/>
          <w:szCs w:val="24"/>
        </w:rPr>
        <w:t xml:space="preserve">our study showed that </w:t>
      </w:r>
      <w:r w:rsidRPr="00263307">
        <w:rPr>
          <w:rFonts w:ascii="Book Antiqua" w:hAnsi="Book Antiqua"/>
          <w:color w:val="000000" w:themeColor="text1"/>
          <w:sz w:val="24"/>
          <w:szCs w:val="24"/>
        </w:rPr>
        <w:t xml:space="preserve">advanced </w:t>
      </w:r>
      <w:r w:rsidR="00D3344F" w:rsidRPr="00263307">
        <w:rPr>
          <w:rFonts w:ascii="Book Antiqua" w:hAnsi="Book Antiqua"/>
          <w:color w:val="000000" w:themeColor="text1"/>
          <w:sz w:val="24"/>
          <w:szCs w:val="24"/>
        </w:rPr>
        <w:t xml:space="preserve">age was a significant predictor of CA, which is compatible </w:t>
      </w:r>
      <w:r w:rsidR="00625C9B" w:rsidRPr="00263307">
        <w:rPr>
          <w:rFonts w:ascii="Book Antiqua" w:hAnsi="Book Antiqua"/>
          <w:color w:val="000000" w:themeColor="text1"/>
          <w:sz w:val="24"/>
          <w:szCs w:val="24"/>
        </w:rPr>
        <w:t xml:space="preserve">with </w:t>
      </w:r>
      <w:r w:rsidRPr="00263307">
        <w:rPr>
          <w:rFonts w:ascii="Book Antiqua" w:hAnsi="Book Antiqua"/>
          <w:color w:val="000000" w:themeColor="text1"/>
          <w:sz w:val="24"/>
          <w:szCs w:val="24"/>
        </w:rPr>
        <w:t xml:space="preserve">the findings of </w:t>
      </w:r>
      <w:r w:rsidR="00D3344F" w:rsidRPr="00263307">
        <w:rPr>
          <w:rFonts w:ascii="Book Antiqua" w:hAnsi="Book Antiqua"/>
          <w:color w:val="000000" w:themeColor="text1"/>
          <w:sz w:val="24"/>
          <w:szCs w:val="24"/>
        </w:rPr>
        <w:t>previous studies</w:t>
      </w:r>
      <w:r w:rsidR="00C063D4" w:rsidRPr="00263307">
        <w:rPr>
          <w:rFonts w:ascii="Book Antiqua" w:hAnsi="Book Antiqua"/>
          <w:color w:val="000000" w:themeColor="text1"/>
          <w:sz w:val="24"/>
          <w:szCs w:val="24"/>
        </w:rPr>
        <w:fldChar w:fldCharType="begin" w:fldLock="1"/>
      </w:r>
      <w:r w:rsidR="005C2861" w:rsidRPr="00263307">
        <w:rPr>
          <w:rFonts w:ascii="Book Antiqua" w:hAnsi="Book Antiqua"/>
          <w:color w:val="000000" w:themeColor="text1"/>
          <w:sz w:val="24"/>
          <w:szCs w:val="24"/>
        </w:rPr>
        <w:instrText>ADDIN CSL_CITATION {"citationItems":[{"id":"ITEM-1","itemData":{"DOI":"10.1001/jamasurg.2014.77","ISSN":"21686254","abstract":"IMPORTANCE In the traditional model of acute appendicitis, time is the major driver of disease progression; luminal obstruction leads inexorably to perforation without timely intervention. This perceived association has long guided clinical behavior related to the timing of appendectomy. OBJECTIVE To evaluate whether there is an association between time and perforation after patients present to the hospital. DESIGN, SETTING, AND PARTICIPANTS Using data from theWashington State Surgical Care and Outcomes Assessment Program (SCOAP), we evaluated patterns of perforation among patients (≥18 years) who underwent appendectomy from January 1, 2010, to December 31, 2011. Patients were treated at 52 diverse hospitals including urban tertiary centers, a university hospital, small community and rural hospitals, and hospitals within multi-institutional organizations. MAIN OUTCOMES AND MEASURES The main outcome of interestwas perforation as diagnosed on final pathology reports. The main predictor of interest was elapsed time as measured between presentation to the hospital and operating room (OR) start time. The relationship between in-hospital time and perforation was adjusted for potential confounding using multivariate logistic regression. Additional predictors of interest included sex, age, number of comorbid conditions, race and/or ethnicity, insurance status, and hospital characteristics such as community type and appendectomy volume. RESULTS A total of 9048 adults underwent appendectomy (15.8% perforated). Mean time from presentation to OR was the same (8.6 hours) for patients with perforated and nonperforated appendicitis. In multivariate analysis, increasing time to OR was not a predictor of perforation, either as a continuous variable (odds ratio = 1.0 [95%CI, 0.99-1.01]) or when considered as a categorical variable (patients ordered by elapsed time and divided into deciles). Factors associated with perforation were male sex, increasing age, 3 or more comorbid conditions, and lack of insurance. CONCLUSIONS AND RELEVANCE There was no association between perforation and in-hospital time prior to surgery among adults treated with appendectomy. These findings may reflect selection of those at higher risk of perforation for earlier intervention or the effect of antibiotics begun at diagnosis but they are also consistent with the hypothesis that perforation is most often a prehospital occurrence and/or not strictly a time-dependent phenomenon. These findings may…","author":[{"dropping-particle":"","family":"Drake","given":"Frederick Thurston","non-dropping-particle":"","parse-names":false,"suffix":""},{"dropping-particle":"","family":"Mottey","given":"Neli E.","non-dropping-particle":"","parse-names":false,"suffix":""},{"dropping-particle":"","family":"Farrokhi","given":"Ellen T.","non-dropping-particle":"","parse-names":false,"suffix":""},{"dropping-particle":"","family":"Florence","given":"Michael G.","non-dropping-particle":"","parse-names":false,"suffix":""},{"dropping-particle":"","family":"Johnson","given":"Morris G.","non-dropping-particle":"","parse-names":false,"suffix":""},{"dropping-particle":"","family":"Mock","given":"Charles","non-dropping-particle":"","parse-names":false,"suffix":""},{"dropping-particle":"","family":"Steele","given":"Scott R.","non-dropping-particle":"","parse-names":false,"suffix":""},{"dropping-particle":"","family":"Thirlby","given":"Richard C.","non-dropping-particle":"","parse-names":false,"suffix":""},{"dropping-particle":"","family":"Flum","given":"David R.","non-dropping-particle":"","parse-names":false,"suffix":""}],"container-title":"JAMA Surgery","id":"ITEM-1","issue":"8","issued":{"date-parts":[["2014"]]},"page":"837-844","title":"Time to appendectomy and risk of perforation in acute appendicitis","type":"article-journal","volume":"149"},"uris":["http://www.mendeley.com/documents/?uuid=58882edf-1daa-4ac6-9303-7f00205d46c8"]}],"mendeley":{"formattedCitation":"&lt;sup&gt;[&lt;sup&gt;6&lt;/sup&gt;]&lt;/sup&gt;","plainTextFormattedCitation":"[6]","previouslyFormattedCitation":"&lt;sup&gt;[&lt;sup&gt;6&lt;/sup&gt;]&lt;/sup&gt;"},"properties":{"noteIndex":0},"schema":"https://github.com/citation-style-language/schema/raw/master/csl-citation.json"}</w:instrText>
      </w:r>
      <w:r w:rsidR="00C063D4" w:rsidRPr="00263307">
        <w:rPr>
          <w:rFonts w:ascii="Book Antiqua" w:hAnsi="Book Antiqua"/>
          <w:color w:val="000000" w:themeColor="text1"/>
          <w:sz w:val="24"/>
          <w:szCs w:val="24"/>
        </w:rPr>
        <w:fldChar w:fldCharType="separate"/>
      </w:r>
      <w:r w:rsidR="00C063D4" w:rsidRPr="00263307">
        <w:rPr>
          <w:rFonts w:ascii="Book Antiqua" w:hAnsi="Book Antiqua"/>
          <w:noProof/>
          <w:color w:val="000000" w:themeColor="text1"/>
          <w:sz w:val="24"/>
          <w:szCs w:val="24"/>
          <w:vertAlign w:val="superscript"/>
        </w:rPr>
        <w:t>[6]</w:t>
      </w:r>
      <w:r w:rsidR="00C063D4" w:rsidRPr="00263307">
        <w:rPr>
          <w:rFonts w:ascii="Book Antiqua" w:hAnsi="Book Antiqua"/>
          <w:color w:val="000000" w:themeColor="text1"/>
          <w:sz w:val="24"/>
          <w:szCs w:val="24"/>
        </w:rPr>
        <w:fldChar w:fldCharType="end"/>
      </w:r>
      <w:r w:rsidR="00D3344F" w:rsidRPr="00263307">
        <w:rPr>
          <w:rFonts w:ascii="Book Antiqua" w:hAnsi="Book Antiqua"/>
          <w:color w:val="000000" w:themeColor="text1"/>
          <w:sz w:val="24"/>
          <w:szCs w:val="24"/>
        </w:rPr>
        <w:t xml:space="preserve">. On the other hand, male </w:t>
      </w:r>
      <w:r w:rsidRPr="00263307">
        <w:rPr>
          <w:rFonts w:ascii="Book Antiqua" w:hAnsi="Book Antiqua"/>
          <w:color w:val="000000" w:themeColor="text1"/>
          <w:sz w:val="24"/>
          <w:szCs w:val="24"/>
        </w:rPr>
        <w:t xml:space="preserve">gender </w:t>
      </w:r>
      <w:r w:rsidR="00D3344F" w:rsidRPr="00263307">
        <w:rPr>
          <w:rFonts w:ascii="Book Antiqua" w:hAnsi="Book Antiqua"/>
          <w:color w:val="000000" w:themeColor="text1"/>
          <w:sz w:val="24"/>
          <w:szCs w:val="24"/>
        </w:rPr>
        <w:t xml:space="preserve">was not </w:t>
      </w:r>
      <w:r w:rsidR="00625C9B" w:rsidRPr="00263307">
        <w:rPr>
          <w:rFonts w:ascii="Book Antiqua" w:hAnsi="Book Antiqua"/>
          <w:color w:val="000000" w:themeColor="text1"/>
          <w:sz w:val="24"/>
          <w:szCs w:val="24"/>
        </w:rPr>
        <w:t xml:space="preserve">a </w:t>
      </w:r>
      <w:r w:rsidR="00D3344F" w:rsidRPr="00263307">
        <w:rPr>
          <w:rFonts w:ascii="Book Antiqua" w:hAnsi="Book Antiqua"/>
          <w:color w:val="000000" w:themeColor="text1"/>
          <w:sz w:val="24"/>
          <w:szCs w:val="24"/>
        </w:rPr>
        <w:t>significant predictor of CA</w:t>
      </w:r>
      <w:r w:rsidR="007D749D" w:rsidRPr="00263307">
        <w:rPr>
          <w:rFonts w:ascii="Book Antiqua" w:hAnsi="Book Antiqua"/>
          <w:color w:val="000000" w:themeColor="text1"/>
          <w:sz w:val="24"/>
          <w:szCs w:val="24"/>
        </w:rPr>
        <w:t xml:space="preserve"> in our study</w:t>
      </w:r>
      <w:r w:rsidRPr="00263307">
        <w:rPr>
          <w:rFonts w:ascii="Book Antiqua" w:hAnsi="Book Antiqua"/>
          <w:color w:val="000000" w:themeColor="text1"/>
          <w:sz w:val="24"/>
          <w:szCs w:val="24"/>
        </w:rPr>
        <w:t>;</w:t>
      </w:r>
      <w:r w:rsidR="00D3344F" w:rsidRPr="00263307">
        <w:rPr>
          <w:rFonts w:ascii="Book Antiqua" w:hAnsi="Book Antiqua"/>
          <w:color w:val="000000" w:themeColor="text1"/>
          <w:sz w:val="24"/>
          <w:szCs w:val="24"/>
        </w:rPr>
        <w:t xml:space="preserve"> nonetheless</w:t>
      </w:r>
      <w:r w:rsidRPr="00263307">
        <w:rPr>
          <w:rFonts w:ascii="Book Antiqua" w:hAnsi="Book Antiqua"/>
          <w:color w:val="000000" w:themeColor="text1"/>
          <w:sz w:val="24"/>
          <w:szCs w:val="24"/>
        </w:rPr>
        <w:t>,</w:t>
      </w:r>
      <w:r w:rsidR="00D3344F" w:rsidRPr="00263307">
        <w:rPr>
          <w:rFonts w:ascii="Book Antiqua" w:hAnsi="Book Antiqua"/>
          <w:color w:val="000000" w:themeColor="text1"/>
          <w:sz w:val="24"/>
          <w:szCs w:val="24"/>
        </w:rPr>
        <w:t xml:space="preserve"> male </w:t>
      </w:r>
      <w:r w:rsidRPr="00263307">
        <w:rPr>
          <w:rFonts w:ascii="Book Antiqua" w:hAnsi="Book Antiqua"/>
          <w:color w:val="000000" w:themeColor="text1"/>
          <w:sz w:val="24"/>
          <w:szCs w:val="24"/>
        </w:rPr>
        <w:t xml:space="preserve">gender </w:t>
      </w:r>
      <w:r w:rsidR="00D3344F" w:rsidRPr="00263307">
        <w:rPr>
          <w:rFonts w:ascii="Book Antiqua" w:hAnsi="Book Antiqua"/>
          <w:color w:val="000000" w:themeColor="text1"/>
          <w:sz w:val="24"/>
          <w:szCs w:val="24"/>
        </w:rPr>
        <w:t xml:space="preserve">has been reported as a risk factor </w:t>
      </w:r>
      <w:r w:rsidR="00625C9B" w:rsidRPr="00263307">
        <w:rPr>
          <w:rFonts w:ascii="Book Antiqua" w:hAnsi="Book Antiqua"/>
          <w:color w:val="000000" w:themeColor="text1"/>
          <w:sz w:val="24"/>
          <w:szCs w:val="24"/>
        </w:rPr>
        <w:t>of CA</w:t>
      </w:r>
      <w:r w:rsidR="00E120C2" w:rsidRPr="00263307">
        <w:rPr>
          <w:rFonts w:ascii="Book Antiqua" w:hAnsi="Book Antiqua"/>
          <w:color w:val="000000" w:themeColor="text1"/>
          <w:sz w:val="24"/>
          <w:szCs w:val="24"/>
        </w:rPr>
        <w:fldChar w:fldCharType="begin" w:fldLock="1"/>
      </w:r>
      <w:r w:rsidR="00E120C2" w:rsidRPr="00263307">
        <w:rPr>
          <w:rFonts w:ascii="Book Antiqua" w:hAnsi="Book Antiqua"/>
          <w:color w:val="000000" w:themeColor="text1"/>
          <w:sz w:val="24"/>
          <w:szCs w:val="24"/>
        </w:rPr>
        <w:instrText>ADDIN CSL_CITATION {"citationItems":[{"id":"ITEM-1","itemData":{"DOI":"10.1155/2015/847681","ISSN":"2356-7759","abstract":"Background . The incidence of perforated appendicitis in elderly patients is high and carries increased morbidity and mortality rates. The aim of this study was to identify risk factors of perforation in elderly patients who presented with clinical of acute appendicitis. Methods . This was a retrospective study, reviewing medical records of patients over the age of 60 years who had a confirmed diagnosis of acute appendicitis. Patients were classified into two groups: those with perforated appendicitis and those with nonperforated appendicitis. Demographic data, clinical presentations, and laboratory analysis were compared. Results . Of the 206 acute appendicitis patients over the age of 60 years, perforated appendicitis was found in 106 (50%) patients. The four factors which predicted appendiceal rupture were as follows: male; duration of pain in preadmission period; fever (&gt;38°C); and anorexia. The overall complication rate was 34% in the perforation group and 12.6% in the nonperforation group. Conclusions . The incidence of perforated appendicitis in elderly patients was higher in males and those who had certain clinical features such as fever and anorexia. Duration of pain in the preadmission period was also an important factor in appendiceal rupture. Early diagnosis may decrease the incidence of perforated appendicitis in elderly patients. ","author":[{"dropping-particle":"","family":"Sirikurnpiboon","given":"Siripong","non-dropping-particle":"","parse-names":false,"suffix":""},{"dropping-particle":"","family":"Amornpornchareon","given":"Suparat","non-dropping-particle":"","parse-names":false,"suffix":""}],"container-title":"Surgery Research and Practice","id":"ITEM-1","issued":{"date-parts":[["2015"]]},"page":"1-6","title":"Factors Associated with Perforated Appendicitis in Elderly Patients in a Tertiary Care Hospital","type":"article-journal","volume":"2015"},"uris":["http://www.mendeley.com/documents/?uuid=6dd04c0b-35c6-4163-b57b-0bf5e8fb0e21"]},{"id":"ITEM-2","itemData":{"DOI":"10.1001/jamasurg.2014.77","ISSN":"21686254","abstract":"IMPORTANCE In the traditional model of acute appendicitis, time is the major driver of disease progression; luminal obstruction leads inexorably to perforation without timely intervention. This perceived association has long guided clinical behavior related to the timing of appendectomy. OBJECTIVE To evaluate whether there is an association between time and perforation after patients present to the hospital. DESIGN, SETTING, AND PARTICIPANTS Using data from theWashington State Surgical Care and Outcomes Assessment Program (SCOAP), we evaluated patterns of perforation among patients (≥18 years) who underwent appendectomy from January 1, 2010, to December 31, 2011. Patients were treated at 52 diverse hospitals including urban tertiary centers, a university hospital, small community and rural hospitals, and hospitals within multi-institutional organizations. MAIN OUTCOMES AND MEASURES The main outcome of interestwas perforation as diagnosed on final pathology reports. The main predictor of interest was elapsed time as measured between presentation to the hospital and operating room (OR) start time. The relationship between in-hospital time and perforation was adjusted for potential confounding using multivariate logistic regression. Additional predictors of interest included sex, age, number of comorbid conditions, race and/or ethnicity, insurance status, and hospital characteristics such as community type and appendectomy volume. RESULTS A total of 9048 adults underwent appendectomy (15.8% perforated). Mean time from presentation to OR was the same (8.6 hours) for patients with perforated and nonperforated appendicitis. In multivariate analysis, increasing time to OR was not a predictor of perforation, either as a continuous variable (odds ratio = 1.0 [95%CI, 0.99-1.01]) or when considered as a categorical variable (patients ordered by elapsed time and divided into deciles). Factors associated with perforation were male sex, increasing age, 3 or more comorbid conditions, and lack of insurance. CONCLUSIONS AND RELEVANCE There was no association between perforation and in-hospital time prior to surgery among adults treated with appendectomy. These findings may reflect selection of those at higher risk of perforation for earlier intervention or the effect of antibiotics begun at diagnosis but they are also consistent with the hypothesis that perforation is most often a prehospital occurrence and/or not strictly a time-dependent phenomenon. These findings may…","author":[{"dropping-particle":"","family":"Drake","given":"Frederick Thurston","non-dropping-particle":"","parse-names":false,"suffix":""},{"dropping-particle":"","family":"Mottey","given":"Neli E.","non-dropping-particle":"","parse-names":false,"suffix":""},{"dropping-particle":"","family":"Farrokhi","given":"Ellen T.","non-dropping-particle":"","parse-names":false,"suffix":""},{"dropping-particle":"","family":"Florence","given":"Michael G.","non-dropping-particle":"","parse-names":false,"suffix":""},{"dropping-particle":"","family":"Johnson","given":"Morris G.","non-dropping-particle":"","parse-names":false,"suffix":""},{"dropping-particle":"","family":"Mock","given":"Charles","non-dropping-particle":"","parse-names":false,"suffix":""},{"dropping-particle":"","family":"Steele","given":"Scott R.","non-dropping-particle":"","parse-names":false,"suffix":""},{"dropping-particle":"","family":"Thirlby","given":"Richard C.","non-dropping-particle":"","parse-names":false,"suffix":""},{"dropping-particle":"","family":"Flum","given":"David R.","non-dropping-particle":"","parse-names":false,"suffix":""}],"container-title":"JAMA Surgery","id":"ITEM-2","issue":"8","issued":{"date-parts":[["2014"]]},"page":"837-844","title":"Time to appendectomy and risk of perforation in acute appendicitis","type":"article-journal","volume":"149"},"uris":["http://www.mendeley.com/documents/?uuid=58882edf-1daa-4ac6-9303-7f00205d46c8"]}],"mendeley":{"formattedCitation":"&lt;sup&gt;[&lt;sup&gt;6&lt;/sup&gt;,&lt;sup&gt;7&lt;/sup&gt;]&lt;/sup&gt;","plainTextFormattedCitation":"[6,7]","previouslyFormattedCitation":"&lt;sup&gt;[&lt;sup&gt;6&lt;/sup&gt;,&lt;sup&gt;7&lt;/sup&gt;]&lt;/sup&gt;"},"properties":{"noteIndex":0},"schema":"https://github.com/citation-style-language/schema/raw/master/csl-citation.json"}</w:instrText>
      </w:r>
      <w:r w:rsidR="00E120C2" w:rsidRPr="00263307">
        <w:rPr>
          <w:rFonts w:ascii="Book Antiqua" w:hAnsi="Book Antiqua"/>
          <w:color w:val="000000" w:themeColor="text1"/>
          <w:sz w:val="24"/>
          <w:szCs w:val="24"/>
        </w:rPr>
        <w:fldChar w:fldCharType="separate"/>
      </w:r>
      <w:r w:rsidR="00E120C2" w:rsidRPr="00263307">
        <w:rPr>
          <w:rFonts w:ascii="Book Antiqua" w:hAnsi="Book Antiqua"/>
          <w:noProof/>
          <w:color w:val="000000" w:themeColor="text1"/>
          <w:sz w:val="24"/>
          <w:szCs w:val="24"/>
          <w:vertAlign w:val="superscript"/>
        </w:rPr>
        <w:t>[6,7]</w:t>
      </w:r>
      <w:r w:rsidR="00E120C2" w:rsidRPr="00263307">
        <w:rPr>
          <w:rFonts w:ascii="Book Antiqua" w:hAnsi="Book Antiqua"/>
          <w:color w:val="000000" w:themeColor="text1"/>
          <w:sz w:val="24"/>
          <w:szCs w:val="24"/>
        </w:rPr>
        <w:fldChar w:fldCharType="end"/>
      </w:r>
      <w:r w:rsidR="00625C9B" w:rsidRPr="00263307">
        <w:rPr>
          <w:rFonts w:ascii="Book Antiqua" w:hAnsi="Book Antiqua"/>
          <w:color w:val="000000" w:themeColor="text1"/>
          <w:sz w:val="24"/>
          <w:szCs w:val="24"/>
        </w:rPr>
        <w:t xml:space="preserve">. </w:t>
      </w:r>
      <w:r w:rsidR="007D749D" w:rsidRPr="00263307">
        <w:rPr>
          <w:rFonts w:ascii="Book Antiqua" w:hAnsi="Book Antiqua"/>
          <w:color w:val="000000" w:themeColor="text1"/>
          <w:sz w:val="24"/>
          <w:szCs w:val="24"/>
        </w:rPr>
        <w:t xml:space="preserve">The results of </w:t>
      </w:r>
      <w:r w:rsidRPr="00263307">
        <w:rPr>
          <w:rFonts w:ascii="Book Antiqua" w:hAnsi="Book Antiqua"/>
          <w:color w:val="000000" w:themeColor="text1"/>
          <w:sz w:val="24"/>
          <w:szCs w:val="24"/>
        </w:rPr>
        <w:t xml:space="preserve">the </w:t>
      </w:r>
      <w:r w:rsidR="007D749D" w:rsidRPr="00263307">
        <w:rPr>
          <w:rFonts w:ascii="Book Antiqua" w:hAnsi="Book Antiqua"/>
          <w:color w:val="000000" w:themeColor="text1"/>
          <w:sz w:val="24"/>
          <w:szCs w:val="24"/>
        </w:rPr>
        <w:t>s</w:t>
      </w:r>
      <w:r w:rsidR="00625C9B" w:rsidRPr="00263307">
        <w:rPr>
          <w:rFonts w:ascii="Book Antiqua" w:hAnsi="Book Antiqua"/>
          <w:color w:val="000000" w:themeColor="text1"/>
          <w:sz w:val="24"/>
          <w:szCs w:val="24"/>
        </w:rPr>
        <w:t>ignificanc</w:t>
      </w:r>
      <w:r w:rsidR="00D3344F" w:rsidRPr="00263307">
        <w:rPr>
          <w:rFonts w:ascii="Book Antiqua" w:hAnsi="Book Antiqua"/>
          <w:color w:val="000000" w:themeColor="text1"/>
          <w:sz w:val="24"/>
          <w:szCs w:val="24"/>
        </w:rPr>
        <w:t xml:space="preserve">e of </w:t>
      </w:r>
      <w:r w:rsidRPr="00263307">
        <w:rPr>
          <w:rFonts w:ascii="Book Antiqua" w:hAnsi="Book Antiqua"/>
          <w:color w:val="000000" w:themeColor="text1"/>
          <w:sz w:val="24"/>
          <w:szCs w:val="24"/>
        </w:rPr>
        <w:t xml:space="preserve">the </w:t>
      </w:r>
      <w:r w:rsidR="00D3344F" w:rsidRPr="00263307">
        <w:rPr>
          <w:rFonts w:ascii="Book Antiqua" w:hAnsi="Book Antiqua"/>
          <w:color w:val="000000" w:themeColor="text1"/>
          <w:sz w:val="24"/>
          <w:szCs w:val="24"/>
        </w:rPr>
        <w:t xml:space="preserve">preoperative interval </w:t>
      </w:r>
      <w:r w:rsidR="007D749D" w:rsidRPr="00263307">
        <w:rPr>
          <w:rFonts w:ascii="Book Antiqua" w:hAnsi="Book Antiqua"/>
          <w:color w:val="000000" w:themeColor="text1"/>
          <w:sz w:val="24"/>
          <w:szCs w:val="24"/>
        </w:rPr>
        <w:t>as a predictor of CA are</w:t>
      </w:r>
      <w:r w:rsidR="00D3344F" w:rsidRPr="00263307">
        <w:rPr>
          <w:rFonts w:ascii="Book Antiqua" w:hAnsi="Book Antiqua"/>
          <w:color w:val="000000" w:themeColor="text1"/>
          <w:sz w:val="24"/>
          <w:szCs w:val="24"/>
        </w:rPr>
        <w:t xml:space="preserve"> </w:t>
      </w:r>
      <w:r w:rsidR="007D749D" w:rsidRPr="00263307">
        <w:rPr>
          <w:rFonts w:ascii="Book Antiqua" w:hAnsi="Book Antiqua"/>
          <w:color w:val="000000" w:themeColor="text1"/>
          <w:sz w:val="24"/>
          <w:szCs w:val="24"/>
        </w:rPr>
        <w:t>in</w:t>
      </w:r>
      <w:r w:rsidR="00D3344F" w:rsidRPr="00263307">
        <w:rPr>
          <w:rFonts w:ascii="Book Antiqua" w:hAnsi="Book Antiqua"/>
          <w:color w:val="000000" w:themeColor="text1"/>
          <w:sz w:val="24"/>
          <w:szCs w:val="24"/>
        </w:rPr>
        <w:t>co</w:t>
      </w:r>
      <w:r w:rsidR="0019287F" w:rsidRPr="00263307">
        <w:rPr>
          <w:rFonts w:ascii="Book Antiqua" w:hAnsi="Book Antiqua"/>
          <w:color w:val="000000" w:themeColor="text1"/>
          <w:sz w:val="24"/>
          <w:szCs w:val="24"/>
        </w:rPr>
        <w:t>n</w:t>
      </w:r>
      <w:r w:rsidR="007D749D" w:rsidRPr="00263307">
        <w:rPr>
          <w:rFonts w:ascii="Book Antiqua" w:hAnsi="Book Antiqua"/>
          <w:color w:val="000000" w:themeColor="text1"/>
          <w:sz w:val="24"/>
          <w:szCs w:val="24"/>
        </w:rPr>
        <w:t>si</w:t>
      </w:r>
      <w:r w:rsidR="0019287F" w:rsidRPr="00263307">
        <w:rPr>
          <w:rFonts w:ascii="Book Antiqua" w:hAnsi="Book Antiqua"/>
          <w:color w:val="000000" w:themeColor="text1"/>
          <w:sz w:val="24"/>
          <w:szCs w:val="24"/>
        </w:rPr>
        <w:t>s</w:t>
      </w:r>
      <w:r w:rsidR="007D749D" w:rsidRPr="00263307">
        <w:rPr>
          <w:rFonts w:ascii="Book Antiqua" w:hAnsi="Book Antiqua"/>
          <w:color w:val="000000" w:themeColor="text1"/>
          <w:sz w:val="24"/>
          <w:szCs w:val="24"/>
        </w:rPr>
        <w:t>tent</w:t>
      </w:r>
      <w:r w:rsidR="0019287F" w:rsidRPr="00263307">
        <w:rPr>
          <w:rFonts w:ascii="Book Antiqua" w:hAnsi="Book Antiqua"/>
          <w:color w:val="000000" w:themeColor="text1"/>
          <w:sz w:val="24"/>
          <w:szCs w:val="24"/>
        </w:rPr>
        <w:t>.</w:t>
      </w:r>
      <w:r w:rsidR="00D3344F" w:rsidRPr="00263307">
        <w:rPr>
          <w:rFonts w:ascii="Book Antiqua" w:hAnsi="Book Antiqua"/>
          <w:color w:val="000000" w:themeColor="text1"/>
          <w:sz w:val="24"/>
          <w:szCs w:val="24"/>
        </w:rPr>
        <w:t xml:space="preserve"> </w:t>
      </w:r>
      <w:r w:rsidR="0019287F" w:rsidRPr="00263307">
        <w:rPr>
          <w:rFonts w:ascii="Book Antiqua" w:hAnsi="Book Antiqua"/>
          <w:color w:val="000000" w:themeColor="text1"/>
          <w:sz w:val="24"/>
          <w:szCs w:val="24"/>
        </w:rPr>
        <w:t>S</w:t>
      </w:r>
      <w:r w:rsidR="00D3344F" w:rsidRPr="00263307">
        <w:rPr>
          <w:rFonts w:ascii="Book Antiqua" w:hAnsi="Book Antiqua"/>
          <w:color w:val="000000" w:themeColor="text1"/>
          <w:sz w:val="24"/>
          <w:szCs w:val="24"/>
        </w:rPr>
        <w:t>ome studies showed that longer duration</w:t>
      </w:r>
      <w:r w:rsidR="00D66E1C" w:rsidRPr="00263307">
        <w:rPr>
          <w:rFonts w:ascii="Book Antiqua" w:hAnsi="Book Antiqua"/>
          <w:color w:val="000000" w:themeColor="text1"/>
          <w:sz w:val="24"/>
          <w:szCs w:val="24"/>
        </w:rPr>
        <w:t>s</w:t>
      </w:r>
      <w:r w:rsidR="00D3344F" w:rsidRPr="00263307">
        <w:rPr>
          <w:rFonts w:ascii="Book Antiqua" w:hAnsi="Book Antiqua"/>
          <w:color w:val="000000" w:themeColor="text1"/>
          <w:sz w:val="24"/>
          <w:szCs w:val="24"/>
        </w:rPr>
        <w:t xml:space="preserve"> </w:t>
      </w:r>
      <w:r w:rsidR="00D66E1C" w:rsidRPr="00263307">
        <w:rPr>
          <w:rFonts w:ascii="Book Antiqua" w:hAnsi="Book Antiqua"/>
          <w:color w:val="000000" w:themeColor="text1"/>
          <w:sz w:val="24"/>
          <w:szCs w:val="24"/>
        </w:rPr>
        <w:t>before operation or admission are</w:t>
      </w:r>
      <w:r w:rsidR="00D3344F" w:rsidRPr="00263307">
        <w:rPr>
          <w:rFonts w:ascii="Book Antiqua" w:hAnsi="Book Antiqua"/>
          <w:color w:val="000000" w:themeColor="text1"/>
          <w:sz w:val="24"/>
          <w:szCs w:val="24"/>
        </w:rPr>
        <w:t xml:space="preserve"> risk factor</w:t>
      </w:r>
      <w:r w:rsidR="00D66E1C" w:rsidRPr="00263307">
        <w:rPr>
          <w:rFonts w:ascii="Book Antiqua" w:hAnsi="Book Antiqua"/>
          <w:color w:val="000000" w:themeColor="text1"/>
          <w:sz w:val="24"/>
          <w:szCs w:val="24"/>
        </w:rPr>
        <w:t>s</w:t>
      </w:r>
      <w:r w:rsidR="00D3344F" w:rsidRPr="00263307">
        <w:rPr>
          <w:rFonts w:ascii="Book Antiqua" w:hAnsi="Book Antiqua"/>
          <w:color w:val="000000" w:themeColor="text1"/>
          <w:sz w:val="24"/>
          <w:szCs w:val="24"/>
        </w:rPr>
        <w:t xml:space="preserve"> for perforation</w:t>
      </w:r>
      <w:r w:rsidR="00E120C2" w:rsidRPr="00263307">
        <w:rPr>
          <w:rFonts w:ascii="Book Antiqua" w:hAnsi="Book Antiqua"/>
          <w:color w:val="000000" w:themeColor="text1"/>
          <w:sz w:val="24"/>
          <w:szCs w:val="24"/>
        </w:rPr>
        <w:fldChar w:fldCharType="begin" w:fldLock="1"/>
      </w:r>
      <w:r w:rsidR="00E120C2" w:rsidRPr="00263307">
        <w:rPr>
          <w:rFonts w:ascii="Book Antiqua" w:hAnsi="Book Antiqua"/>
          <w:color w:val="000000" w:themeColor="text1"/>
          <w:sz w:val="24"/>
          <w:szCs w:val="24"/>
        </w:rPr>
        <w:instrText>ADDIN CSL_CITATION {"citationItems":[{"id":"ITEM-1","itemData":{"DOI":"10.1155/2015/847681","ISSN":"2356-7759","abstract":"Background . The incidence of perforated appendicitis in elderly patients is high and carries increased morbidity and mortality rates. The aim of this study was to identify risk factors of perforation in elderly patients who presented with clinical of acute appendicitis. Methods . This was a retrospective study, reviewing medical records of patients over the age of 60 years who had a confirmed diagnosis of acute appendicitis. Patients were classified into two groups: those with perforated appendicitis and those with nonperforated appendicitis. Demographic data, clinical presentations, and laboratory analysis were compared. Results . Of the 206 acute appendicitis patients over the age of 60 years, perforated appendicitis was found in 106 (50%) patients. The four factors which predicted appendiceal rupture were as follows: male; duration of pain in preadmission period; fever (&gt;38°C); and anorexia. The overall complication rate was 34% in the perforation group and 12.6% in the nonperforation group. Conclusions . The incidence of perforated appendicitis in elderly patients was higher in males and those who had certain clinical features such as fever and anorexia. Duration of pain in the preadmission period was also an important factor in appendiceal rupture. Early diagnosis may decrease the incidence of perforated appendicitis in elderly patients. ","author":[{"dropping-particle":"","family":"Sirikurnpiboon","given":"Siripong","non-dropping-particle":"","parse-names":false,"suffix":""},{"dropping-particle":"","family":"Amornpornchareon","given":"Suparat","non-dropping-particle":"","parse-names":false,"suffix":""}],"container-title":"Surgery Research and Practice","id":"ITEM-1","issued":{"date-parts":[["2015"]]},"page":"1-6","title":"Factors Associated with Perforated Appendicitis in Elderly Patients in a Tertiary Care Hospital","type":"article-journal","volume":"2015"},"uris":["http://www.mendeley.com/documents/?uuid=6dd04c0b-35c6-4163-b57b-0bf5e8fb0e21"]},{"id":"ITEM-2","itemData":{"DOI":"10.1186/1749-7922-9-6","ISSN":"17497922","abstract":"Background: Acute appendicitis is the most common surgical emergency and becomes serious when it perforates. Perforation is more frequent in the elderly patients. The aim of this study was to identify the risk factors of perforation in elderly patients who presented with acute appendicitis. Methodology: The medical records of 214 patients over the age of 60 years who had a pathologically confirmed diagnosis of acute appendicitis over a period of 10 years (2003-2013) were retrospectively reviewed. Patients were grouped into those with perforated and those with nonperforated appendicitis. Comparison was made between both groups in regard to demography, clinical presentation, and time delay to surgery, diagnosis, hospital stay and postoperative complications. Clinical assessment, Ultrasonography and Computerized tomography, in that order, were used for diagnosis. The incidence of perforation was also compared with a previous report from the same region 10 years earlier. Results: During the study period, a total of 214 patients over the age of 60 years had acute appendicitis, 103 males and 111 females. Appendix was found perforated in 87 (41%) patients, 46 (53%) males and 41 (47%) females. Of all patients, 31% were diagnosed by clinical assessment alone, 40% needed US and 29% CT scan. Of all the risk factors studied, the patient's pre-hospital time delay was the most important risk factor for perforation. Perforation rate was not dependent on the presence of comorbid diseases or in-hospital time delay. Post operative complications occurred in 44 (21%) patients and they were three times more common in the perforated group, 33 (75%) patients in the perforated and 11 (25%) in the nonperforated group. There were 6 deaths (3%), 4 in the perforated and 2 in the nonperforated group.Conclusion: Acute appendicitis in elderly patients is a serious disease that requires early diagnosis and treatment. Appendiceal Perforation increases both mortality and morbidity. All elderly patients presented to the hospital with abdominal pain should be admitted and investigated. The early use of CT scan can cut short the way to the appropriate treatment. © 2014 Omari et al.; licensee BioMed Central Ltd.","author":[{"dropping-particle":"","family":"Omari","given":"Abdelkarim H.","non-dropping-particle":"","parse-names":false,"suffix":""},{"dropping-particle":"","family":"Khammash","given":"Muhammad R.","non-dropping-particle":"","parse-names":false,"suffix":""},{"dropping-particle":"","family":"Qasaimeh","given":"Ghazi R.","non-dropping-particle":"","parse-names":false,"suffix":""},{"dropping-particle":"","family":"Shammari","given":"Ahmad K.","non-dropping-particle":"","parse-names":false,"suffix":""},{"dropping-particle":"","family":"Yaseen","given":"Mohammad K.Bani","non-dropping-particle":"","parse-names":false,"suffix":""},{"dropping-particle":"","family":"Hammori","given":"Sahel K.","non-dropping-particle":"","parse-names":false,"suffix":""}],"container-title":"World Journal of Emergency Surgery","id":"ITEM-2","issue":"1","issued":{"date-parts":[["2014"]]},"page":"1-6","title":"Acute appendicitis in the elderly: Risk factors for perforation","type":"article-journal","volume":"9"},"uris":["http://www.mendeley.com/documents/?uuid=ee6fff5b-06ab-48ee-8c87-34bc0de2d7a1"]}],"mendeley":{"formattedCitation":"&lt;sup&gt;[&lt;sup&gt;7&lt;/sup&gt;,&lt;sup&gt;8&lt;/sup&gt;]&lt;/sup&gt;","plainTextFormattedCitation":"[7,8]","previouslyFormattedCitation":"&lt;sup&gt;[&lt;sup&gt;7&lt;/sup&gt;,&lt;sup&gt;8&lt;/sup&gt;]&lt;/sup&gt;"},"properties":{"noteIndex":0},"schema":"https://github.com/citation-style-language/schema/raw/master/csl-citation.json"}</w:instrText>
      </w:r>
      <w:r w:rsidR="00E120C2" w:rsidRPr="00263307">
        <w:rPr>
          <w:rFonts w:ascii="Book Antiqua" w:hAnsi="Book Antiqua"/>
          <w:color w:val="000000" w:themeColor="text1"/>
          <w:sz w:val="24"/>
          <w:szCs w:val="24"/>
        </w:rPr>
        <w:fldChar w:fldCharType="separate"/>
      </w:r>
      <w:r w:rsidR="00E120C2" w:rsidRPr="00263307">
        <w:rPr>
          <w:rFonts w:ascii="Book Antiqua" w:hAnsi="Book Antiqua"/>
          <w:noProof/>
          <w:color w:val="000000" w:themeColor="text1"/>
          <w:sz w:val="24"/>
          <w:szCs w:val="24"/>
          <w:vertAlign w:val="superscript"/>
        </w:rPr>
        <w:t>[7,8]</w:t>
      </w:r>
      <w:r w:rsidR="00E120C2" w:rsidRPr="00263307">
        <w:rPr>
          <w:rFonts w:ascii="Book Antiqua" w:hAnsi="Book Antiqua"/>
          <w:color w:val="000000" w:themeColor="text1"/>
          <w:sz w:val="24"/>
          <w:szCs w:val="24"/>
        </w:rPr>
        <w:fldChar w:fldCharType="end"/>
      </w:r>
      <w:r w:rsidR="00D3344F" w:rsidRPr="00263307">
        <w:rPr>
          <w:rFonts w:ascii="Book Antiqua" w:hAnsi="Book Antiqua"/>
          <w:color w:val="000000" w:themeColor="text1"/>
          <w:sz w:val="24"/>
          <w:szCs w:val="24"/>
        </w:rPr>
        <w:t xml:space="preserve">. However, </w:t>
      </w:r>
      <w:r w:rsidRPr="00263307">
        <w:rPr>
          <w:rFonts w:ascii="Book Antiqua" w:hAnsi="Book Antiqua"/>
          <w:color w:val="000000" w:themeColor="text1"/>
          <w:sz w:val="24"/>
          <w:szCs w:val="24"/>
        </w:rPr>
        <w:t>an</w:t>
      </w:r>
      <w:r w:rsidR="00D3344F" w:rsidRPr="00263307">
        <w:rPr>
          <w:rFonts w:ascii="Book Antiqua" w:hAnsi="Book Antiqua"/>
          <w:color w:val="000000" w:themeColor="text1"/>
          <w:sz w:val="24"/>
          <w:szCs w:val="24"/>
        </w:rPr>
        <w:t xml:space="preserve">other </w:t>
      </w:r>
      <w:r w:rsidR="00625C9B" w:rsidRPr="00263307">
        <w:rPr>
          <w:rFonts w:ascii="Book Antiqua" w:hAnsi="Book Antiqua"/>
          <w:color w:val="000000" w:themeColor="text1"/>
          <w:sz w:val="24"/>
          <w:szCs w:val="24"/>
        </w:rPr>
        <w:t xml:space="preserve">high-quality </w:t>
      </w:r>
      <w:r w:rsidR="007D749D" w:rsidRPr="00263307">
        <w:rPr>
          <w:rFonts w:ascii="Book Antiqua" w:hAnsi="Book Antiqua"/>
          <w:color w:val="000000" w:themeColor="text1"/>
          <w:sz w:val="24"/>
          <w:szCs w:val="24"/>
        </w:rPr>
        <w:t xml:space="preserve">study using </w:t>
      </w:r>
      <w:r w:rsidR="00625C9B" w:rsidRPr="00263307">
        <w:rPr>
          <w:rFonts w:ascii="Book Antiqua" w:hAnsi="Book Antiqua"/>
          <w:color w:val="000000" w:themeColor="text1"/>
          <w:sz w:val="24"/>
          <w:szCs w:val="24"/>
        </w:rPr>
        <w:t xml:space="preserve">logistic regression showed </w:t>
      </w:r>
      <w:r w:rsidRPr="00263307">
        <w:rPr>
          <w:rFonts w:ascii="Book Antiqua" w:hAnsi="Book Antiqua"/>
          <w:color w:val="000000" w:themeColor="text1"/>
          <w:sz w:val="24"/>
          <w:szCs w:val="24"/>
        </w:rPr>
        <w:t xml:space="preserve">that the </w:t>
      </w:r>
      <w:r w:rsidR="00625C9B" w:rsidRPr="00263307">
        <w:rPr>
          <w:rFonts w:ascii="Book Antiqua" w:hAnsi="Book Antiqua"/>
          <w:color w:val="000000" w:themeColor="text1"/>
          <w:sz w:val="24"/>
          <w:szCs w:val="24"/>
        </w:rPr>
        <w:t>preoperative interval was insignificant</w:t>
      </w:r>
      <w:r w:rsidR="00E120C2" w:rsidRPr="00263307">
        <w:rPr>
          <w:rFonts w:ascii="Book Antiqua" w:hAnsi="Book Antiqua"/>
          <w:color w:val="000000" w:themeColor="text1"/>
          <w:sz w:val="24"/>
          <w:szCs w:val="24"/>
        </w:rPr>
        <w:fldChar w:fldCharType="begin" w:fldLock="1"/>
      </w:r>
      <w:r w:rsidR="00E120C2" w:rsidRPr="00263307">
        <w:rPr>
          <w:rFonts w:ascii="Book Antiqua" w:hAnsi="Book Antiqua"/>
          <w:color w:val="000000" w:themeColor="text1"/>
          <w:sz w:val="24"/>
          <w:szCs w:val="24"/>
        </w:rPr>
        <w:instrText>ADDIN CSL_CITATION {"citationItems":[{"id":"ITEM-1","itemData":{"DOI":"10.1001/jamasurg.2014.77","ISSN":"21686254","abstract":"IMPORTANCE In the traditional model of acute appendicitis, time is the major driver of disease progression; luminal obstruction leads inexorably to perforation without timely intervention. This perceived association has long guided clinical behavior related to the timing of appendectomy. OBJECTIVE To evaluate whether there is an association between time and perforation after patients present to the hospital. DESIGN, SETTING, AND PARTICIPANTS Using data from theWashington State Surgical Care and Outcomes Assessment Program (SCOAP), we evaluated patterns of perforation among patients (≥18 years) who underwent appendectomy from January 1, 2010, to December 31, 2011. Patients were treated at 52 diverse hospitals including urban tertiary centers, a university hospital, small community and rural hospitals, and hospitals within multi-institutional organizations. MAIN OUTCOMES AND MEASURES The main outcome of interestwas perforation as diagnosed on final pathology reports. The main predictor of interest was elapsed time as measured between presentation to the hospital and operating room (OR) start time. The relationship between in-hospital time and perforation was adjusted for potential confounding using multivariate logistic regression. Additional predictors of interest included sex, age, number of comorbid conditions, race and/or ethnicity, insurance status, and hospital characteristics such as community type and appendectomy volume. RESULTS A total of 9048 adults underwent appendectomy (15.8% perforated). Mean time from presentation to OR was the same (8.6 hours) for patients with perforated and nonperforated appendicitis. In multivariate analysis, increasing time to OR was not a predictor of perforation, either as a continuous variable (odds ratio = 1.0 [95%CI, 0.99-1.01]) or when considered as a categorical variable (patients ordered by elapsed time and divided into deciles). Factors associated with perforation were male sex, increasing age, 3 or more comorbid conditions, and lack of insurance. CONCLUSIONS AND RELEVANCE There was no association between perforation and in-hospital time prior to surgery among adults treated with appendectomy. These findings may reflect selection of those at higher risk of perforation for earlier intervention or the effect of antibiotics begun at diagnosis but they are also consistent with the hypothesis that perforation is most often a prehospital occurrence and/or not strictly a time-dependent phenomenon. These findings may…","author":[{"dropping-particle":"","family":"Drake","given":"Frederick Thurston","non-dropping-particle":"","parse-names":false,"suffix":""},{"dropping-particle":"","family":"Mottey","given":"Neli E.","non-dropping-particle":"","parse-names":false,"suffix":""},{"dropping-particle":"","family":"Farrokhi","given":"Ellen T.","non-dropping-particle":"","parse-names":false,"suffix":""},{"dropping-particle":"","family":"Florence","given":"Michael G.","non-dropping-particle":"","parse-names":false,"suffix":""},{"dropping-particle":"","family":"Johnson","given":"Morris G.","non-dropping-particle":"","parse-names":false,"suffix":""},{"dropping-particle":"","family":"Mock","given":"Charles","non-dropping-particle":"","parse-names":false,"suffix":""},{"dropping-particle":"","family":"Steele","given":"Scott R.","non-dropping-particle":"","parse-names":false,"suffix":""},{"dropping-particle":"","family":"Thirlby","given":"Richard C.","non-dropping-particle":"","parse-names":false,"suffix":""},{"dropping-particle":"","family":"Flum","given":"David R.","non-dropping-particle":"","parse-names":false,"suffix":""}],"container-title":"JAMA Surgery","id":"ITEM-1","issue":"8","issued":{"date-parts":[["2014"]]},"page":"837-844","title":"Time to appendectomy and risk of perforation in acute appendicitis","type":"article-journal","volume":"149"},"uris":["http://www.mendeley.com/documents/?uuid=58882edf-1daa-4ac6-9303-7f00205d46c8"]}],"mendeley":{"formattedCitation":"&lt;sup&gt;[&lt;sup&gt;6&lt;/sup&gt;]&lt;/sup&gt;","plainTextFormattedCitation":"[6]","previouslyFormattedCitation":"&lt;sup&gt;[&lt;sup&gt;6&lt;/sup&gt;]&lt;/sup&gt;"},"properties":{"noteIndex":0},"schema":"https://github.com/citation-style-language/schema/raw/master/csl-citation.json"}</w:instrText>
      </w:r>
      <w:r w:rsidR="00E120C2" w:rsidRPr="00263307">
        <w:rPr>
          <w:rFonts w:ascii="Book Antiqua" w:hAnsi="Book Antiqua"/>
          <w:color w:val="000000" w:themeColor="text1"/>
          <w:sz w:val="24"/>
          <w:szCs w:val="24"/>
        </w:rPr>
        <w:fldChar w:fldCharType="separate"/>
      </w:r>
      <w:r w:rsidR="00E120C2" w:rsidRPr="00263307">
        <w:rPr>
          <w:rFonts w:ascii="Book Antiqua" w:hAnsi="Book Antiqua"/>
          <w:noProof/>
          <w:color w:val="000000" w:themeColor="text1"/>
          <w:sz w:val="24"/>
          <w:szCs w:val="24"/>
          <w:vertAlign w:val="superscript"/>
        </w:rPr>
        <w:t>[6]</w:t>
      </w:r>
      <w:r w:rsidR="00E120C2" w:rsidRPr="00263307">
        <w:rPr>
          <w:rFonts w:ascii="Book Antiqua" w:hAnsi="Book Antiqua"/>
          <w:color w:val="000000" w:themeColor="text1"/>
          <w:sz w:val="24"/>
          <w:szCs w:val="24"/>
        </w:rPr>
        <w:fldChar w:fldCharType="end"/>
      </w:r>
      <w:r w:rsidR="00625C9B" w:rsidRPr="00263307">
        <w:rPr>
          <w:rFonts w:ascii="Book Antiqua" w:hAnsi="Book Antiqua"/>
          <w:color w:val="000000" w:themeColor="text1"/>
          <w:sz w:val="24"/>
          <w:szCs w:val="24"/>
        </w:rPr>
        <w:t xml:space="preserve">. In our study, </w:t>
      </w:r>
      <w:r w:rsidRPr="00263307">
        <w:rPr>
          <w:rFonts w:ascii="Book Antiqua" w:hAnsi="Book Antiqua"/>
          <w:color w:val="000000" w:themeColor="text1"/>
          <w:sz w:val="24"/>
          <w:szCs w:val="24"/>
        </w:rPr>
        <w:t xml:space="preserve">the </w:t>
      </w:r>
      <w:r w:rsidR="00625C9B" w:rsidRPr="00263307">
        <w:rPr>
          <w:rFonts w:ascii="Book Antiqua" w:hAnsi="Book Antiqua"/>
          <w:color w:val="000000" w:themeColor="text1"/>
          <w:sz w:val="24"/>
          <w:szCs w:val="24"/>
        </w:rPr>
        <w:t xml:space="preserve">onset-to-visit interval was </w:t>
      </w:r>
      <w:r w:rsidRPr="00263307">
        <w:rPr>
          <w:rFonts w:ascii="Book Antiqua" w:hAnsi="Book Antiqua"/>
          <w:color w:val="000000" w:themeColor="text1"/>
          <w:sz w:val="24"/>
          <w:szCs w:val="24"/>
        </w:rPr>
        <w:t xml:space="preserve">a </w:t>
      </w:r>
      <w:r w:rsidR="00625C9B" w:rsidRPr="00263307">
        <w:rPr>
          <w:rFonts w:ascii="Book Antiqua" w:hAnsi="Book Antiqua"/>
          <w:color w:val="000000" w:themeColor="text1"/>
          <w:sz w:val="24"/>
          <w:szCs w:val="24"/>
        </w:rPr>
        <w:t xml:space="preserve">statistically significant predictor of CA. </w:t>
      </w:r>
      <w:r w:rsidRPr="00263307">
        <w:rPr>
          <w:rFonts w:ascii="Book Antiqua" w:hAnsi="Book Antiqua"/>
          <w:color w:val="000000" w:themeColor="text1"/>
          <w:sz w:val="24"/>
          <w:szCs w:val="24"/>
        </w:rPr>
        <w:t xml:space="preserve">However, </w:t>
      </w:r>
      <w:r w:rsidR="00D56371" w:rsidRPr="00263307">
        <w:rPr>
          <w:rFonts w:ascii="Book Antiqua" w:hAnsi="Book Antiqua"/>
          <w:color w:val="000000" w:themeColor="text1"/>
          <w:sz w:val="24"/>
          <w:szCs w:val="24"/>
        </w:rPr>
        <w:t>because we could not evaluate the difference by the order of hours in this retrospective study and</w:t>
      </w:r>
      <w:r w:rsidR="00625C9B" w:rsidRPr="00263307">
        <w:rPr>
          <w:rFonts w:ascii="Book Antiqua" w:hAnsi="Book Antiqua"/>
          <w:color w:val="000000" w:themeColor="text1"/>
          <w:sz w:val="24"/>
          <w:szCs w:val="24"/>
        </w:rPr>
        <w:t xml:space="preserve"> the medians were </w:t>
      </w:r>
      <w:r w:rsidRPr="00263307">
        <w:rPr>
          <w:rFonts w:ascii="Book Antiqua" w:hAnsi="Book Antiqua"/>
          <w:color w:val="000000" w:themeColor="text1"/>
          <w:sz w:val="24"/>
          <w:szCs w:val="24"/>
        </w:rPr>
        <w:t xml:space="preserve">the </w:t>
      </w:r>
      <w:r w:rsidR="00625C9B" w:rsidRPr="00263307">
        <w:rPr>
          <w:rFonts w:ascii="Book Antiqua" w:hAnsi="Book Antiqua"/>
          <w:color w:val="000000" w:themeColor="text1"/>
          <w:sz w:val="24"/>
          <w:szCs w:val="24"/>
        </w:rPr>
        <w:t xml:space="preserve">same (1 </w:t>
      </w:r>
      <w:r w:rsidR="00916DCB" w:rsidRPr="00263307">
        <w:rPr>
          <w:rFonts w:ascii="Book Antiqua" w:eastAsia="宋体" w:hAnsi="Book Antiqua"/>
          <w:color w:val="000000" w:themeColor="text1"/>
          <w:sz w:val="24"/>
          <w:szCs w:val="24"/>
          <w:lang w:eastAsia="zh-CN"/>
        </w:rPr>
        <w:t>d</w:t>
      </w:r>
      <w:r w:rsidR="00625C9B" w:rsidRPr="00263307">
        <w:rPr>
          <w:rFonts w:ascii="Book Antiqua" w:hAnsi="Book Antiqua"/>
          <w:color w:val="000000" w:themeColor="text1"/>
          <w:sz w:val="24"/>
          <w:szCs w:val="24"/>
        </w:rPr>
        <w:t xml:space="preserve">) in both </w:t>
      </w:r>
      <w:r w:rsidRPr="00263307">
        <w:rPr>
          <w:rFonts w:ascii="Book Antiqua" w:hAnsi="Book Antiqua"/>
          <w:color w:val="000000" w:themeColor="text1"/>
          <w:sz w:val="24"/>
          <w:szCs w:val="24"/>
        </w:rPr>
        <w:t xml:space="preserve">the </w:t>
      </w:r>
      <w:r w:rsidR="00625C9B" w:rsidRPr="00263307">
        <w:rPr>
          <w:rFonts w:ascii="Book Antiqua" w:hAnsi="Book Antiqua"/>
          <w:color w:val="000000" w:themeColor="text1"/>
          <w:sz w:val="24"/>
          <w:szCs w:val="24"/>
        </w:rPr>
        <w:t>SA and CA group</w:t>
      </w:r>
      <w:r w:rsidRPr="00263307">
        <w:rPr>
          <w:rFonts w:ascii="Book Antiqua" w:hAnsi="Book Antiqua"/>
          <w:color w:val="000000" w:themeColor="text1"/>
          <w:sz w:val="24"/>
          <w:szCs w:val="24"/>
        </w:rPr>
        <w:t>s</w:t>
      </w:r>
      <w:r w:rsidR="00625C9B" w:rsidRPr="00263307">
        <w:rPr>
          <w:rFonts w:ascii="Book Antiqua" w:hAnsi="Book Antiqua"/>
          <w:color w:val="000000" w:themeColor="text1"/>
          <w:sz w:val="24"/>
          <w:szCs w:val="24"/>
        </w:rPr>
        <w:t>, the clinical significan</w:t>
      </w:r>
      <w:r w:rsidR="004641B6" w:rsidRPr="00263307">
        <w:rPr>
          <w:rFonts w:ascii="Book Antiqua" w:hAnsi="Book Antiqua"/>
          <w:color w:val="000000" w:themeColor="text1"/>
          <w:sz w:val="24"/>
          <w:szCs w:val="24"/>
        </w:rPr>
        <w:t>c</w:t>
      </w:r>
      <w:r w:rsidR="00625C9B" w:rsidRPr="00263307">
        <w:rPr>
          <w:rFonts w:ascii="Book Antiqua" w:hAnsi="Book Antiqua"/>
          <w:color w:val="000000" w:themeColor="text1"/>
          <w:sz w:val="24"/>
          <w:szCs w:val="24"/>
        </w:rPr>
        <w:t xml:space="preserve">e was limited. </w:t>
      </w:r>
      <w:r w:rsidR="00D56371" w:rsidRPr="00263307">
        <w:rPr>
          <w:rFonts w:ascii="Book Antiqua" w:hAnsi="Book Antiqua"/>
          <w:color w:val="000000" w:themeColor="text1"/>
          <w:sz w:val="24"/>
          <w:szCs w:val="24"/>
        </w:rPr>
        <w:t xml:space="preserve">Although </w:t>
      </w:r>
      <w:r w:rsidR="00281B2B" w:rsidRPr="00263307">
        <w:rPr>
          <w:rFonts w:ascii="Book Antiqua" w:hAnsi="Book Antiqua"/>
          <w:color w:val="000000" w:themeColor="text1"/>
          <w:sz w:val="24"/>
          <w:szCs w:val="24"/>
        </w:rPr>
        <w:t>only</w:t>
      </w:r>
      <w:r w:rsidR="00D56371" w:rsidRPr="00263307">
        <w:rPr>
          <w:rFonts w:ascii="Book Antiqua" w:hAnsi="Book Antiqua"/>
          <w:color w:val="000000" w:themeColor="text1"/>
          <w:sz w:val="24"/>
          <w:szCs w:val="24"/>
        </w:rPr>
        <w:t xml:space="preserve"> </w:t>
      </w:r>
      <w:r w:rsidR="007C071C" w:rsidRPr="00263307">
        <w:rPr>
          <w:rFonts w:ascii="Book Antiqua" w:hAnsi="Book Antiqua"/>
          <w:color w:val="000000" w:themeColor="text1"/>
          <w:sz w:val="24"/>
          <w:szCs w:val="24"/>
        </w:rPr>
        <w:t xml:space="preserve">a </w:t>
      </w:r>
      <w:r w:rsidR="00D56371" w:rsidRPr="00263307">
        <w:rPr>
          <w:rFonts w:ascii="Book Antiqua" w:hAnsi="Book Antiqua"/>
          <w:color w:val="000000" w:themeColor="text1"/>
          <w:sz w:val="24"/>
          <w:szCs w:val="24"/>
        </w:rPr>
        <w:t>few studies</w:t>
      </w:r>
      <w:r w:rsidR="00281B2B" w:rsidRPr="00263307">
        <w:rPr>
          <w:rFonts w:ascii="Book Antiqua" w:hAnsi="Book Antiqua"/>
          <w:color w:val="000000" w:themeColor="text1"/>
          <w:sz w:val="24"/>
          <w:szCs w:val="24"/>
        </w:rPr>
        <w:t xml:space="preserve"> have been conducted</w:t>
      </w:r>
      <w:r w:rsidR="00D56371" w:rsidRPr="00263307">
        <w:rPr>
          <w:rFonts w:ascii="Book Antiqua" w:hAnsi="Book Antiqua"/>
          <w:color w:val="000000" w:themeColor="text1"/>
          <w:sz w:val="24"/>
          <w:szCs w:val="24"/>
        </w:rPr>
        <w:t>, hyponatremia has been reported as a predictor of CA</w:t>
      </w:r>
      <w:r w:rsidR="00E120C2" w:rsidRPr="00263307">
        <w:rPr>
          <w:rFonts w:ascii="Book Antiqua" w:hAnsi="Book Antiqua"/>
          <w:color w:val="000000" w:themeColor="text1"/>
          <w:sz w:val="24"/>
          <w:szCs w:val="24"/>
        </w:rPr>
        <w:fldChar w:fldCharType="begin" w:fldLock="1"/>
      </w:r>
      <w:r w:rsidR="00C063D4" w:rsidRPr="00263307">
        <w:rPr>
          <w:rFonts w:ascii="Book Antiqua" w:hAnsi="Book Antiqua"/>
          <w:color w:val="000000" w:themeColor="text1"/>
          <w:sz w:val="24"/>
          <w:szCs w:val="24"/>
        </w:rPr>
        <w:instrText>ADDIN CSL_CITATION {"citationItems":[{"id":"ITEM-1","itemData":{"DOI":"10.1001/jamasurg.2015.1258","ISSN":"2168-6254","author":[{"dropping-particle":"","family":"Kim","given":"Dennis Y.","non-dropping-particle":"","parse-names":false,"suffix":""},{"dropping-particle":"","family":"Nassiri","given":"Nariman","non-dropping-particle":"","parse-names":false,"suffix":""},{"dropping-particle":"","family":"Virgilio","given":"Christian","non-dropping-particle":"de","parse-names":false,"suffix":""},{"dropping-particle":"","family":"Ferebee","given":"Michael P.","non-dropping-particle":"","parse-names":false,"suffix":""},{"dropping-particle":"","family":"Kaji","given":"Amy H.","non-dropping-particle":"","parse-names":false,"suffix":""},{"dropping-particle":"","family":"Hamilton","given":"Camille E.","non-dropping-particle":"","parse-names":false,"suffix":""},{"dropping-particle":"","family":"Saltzman","given":"Darin J.","non-dropping-particle":"","parse-names":false,"suffix":""}],"container-title":"JAMA Surgery","id":"ITEM-1","issue":"9","issued":{"date-parts":[["2015","9","1"]]},"page":"911","title":"Association Between Hyponatremia and Complicated Appendicitis","type":"article-journal","volume":"150"},"uris":["http://www.mendeley.com/documents/?uuid=9b504aa2-a3de-49d1-be02-e70897c338ed"]},{"id":"ITEM-2","itemData":{"DOI":"10.1016/j.jss.2016.07.023","ISSN":"10958673","abstract":"Background The ability to predict whether a child has complicated appendicitis at initial presentation may influence clinical management. However, whether complicated appendicitis is associated with prehospital or inhospital factors is not clear. We also investigate whether hyponatremia may be a novel prehospital factor associated with complicated appendicitis. Materials and methods A retrospective review of all pediatric patients (≤12 y) with appendicitis treated with appendectomy from 2000 to 2013 was performed. The main outcome measure was intraoperative confirmation of gangrenous or perforated appendicitis. A multivariable analysis was performed, and the main predictors of interest were age &lt;5 y, symptom duration &gt;24 h, leukocytosis (white blood cell count &gt;12 × 103/mL), hyponatremia (sodium ≤135 mEq/L), and time from admission to appendectomy. Results Of 392 patients, 179 (46%) had complicated appendicitis at the time of operation. Univariate analysis demonstrated that patients with complicated appendicitis were younger, had a longer duration of symptoms, higher white blood cell count, and lower sodium levels than patients with noncomplicated appendicitis. Multivariable analysis confirmed that symptom duration &gt;24 h (odds ratio [OR] = 5.5, 95% confidence interval [CI] = 3.5-8.9, P &lt; 0.01), hyponatremia (OR = 3.1, 95% CI = 2.0-4.9, P &lt; 0.01), age &lt;5 y (OR = 2.3, 95% CI = 1.3-4.0, P &lt; 0.01), and leukocytosis (OR = 1.9, 95% CI = 1.0-3.5, P = 0.04) were independent predictors of complicated appendicitis. Increased time from admission to appendectomy was not a predictor of complicated appendicitis (OR = 0.8, 95% CI = 0.5-1.2, P = 0.2). Conclusions Prehospital factors can predict complicated appendicitis in children with suspected appendicitis. Hyponatremia is a novel marker associated with complicated appendicitis. Delaying appendectomy does not increase the risk of complicated appendicitis once intravenous antibiotics are administered. This information may help guide resource/personnel allocation, timing of appendectomy, and decision for nonoperative management of appendicitis in children.","author":[{"dropping-particle":"","family":"Pham","given":"Xuan Binh D.","non-dropping-particle":"","parse-names":false,"suffix":""},{"dropping-particle":"","family":"Sullins","given":"Veronica F.","non-dropping-particle":"","parse-names":false,"suffix":""},{"dropping-particle":"","family":"Kim","given":"Dennis Y.","non-dropping-particle":"","parse-names":false,"suffix":""},{"dropping-particle":"","family":"Range","given":"Blake","non-dropping-particle":"","parse-names":false,"suffix":""},{"dropping-particle":"","family":"Kaji","given":"Amy H.","non-dropping-particle":"","parse-names":false,"suffix":""},{"dropping-particle":"","family":"Virgilio","given":"Christian M.","non-dropping-particle":"de","parse-names":false,"suffix":""},{"dropping-particle":"","family":"Lee","given":"Steven L.","non-dropping-particle":"","parse-names":false,"suffix":""}],"container-title":"Journal of Surgical Research","id":"ITEM-2","issue":"1","issued":{"date-parts":[["2016"]]},"page":"62-66","publisher":"Elsevier Inc","title":"Factors predictive of complicated appendicitis in children","type":"article-journal","volume":"206"},"uris":["http://www.mendeley.com/documents/?uuid=7d75d4c8-4570-4a99-ae17-826cb1f6db01"]}],"mendeley":{"formattedCitation":"&lt;sup&gt;[&lt;sup&gt;9&lt;/sup&gt;,&lt;sup&gt;11&lt;/sup&gt;]&lt;/sup&gt;","plainTextFormattedCitation":"[9,11]","previouslyFormattedCitation":"&lt;sup&gt;[&lt;sup&gt;9&lt;/sup&gt;,&lt;sup&gt;11&lt;/sup&gt;]&lt;/sup&gt;"},"properties":{"noteIndex":0},"schema":"https://github.com/citation-style-language/schema/raw/master/csl-citation.json"}</w:instrText>
      </w:r>
      <w:r w:rsidR="00E120C2" w:rsidRPr="00263307">
        <w:rPr>
          <w:rFonts w:ascii="Book Antiqua" w:hAnsi="Book Antiqua"/>
          <w:color w:val="000000" w:themeColor="text1"/>
          <w:sz w:val="24"/>
          <w:szCs w:val="24"/>
        </w:rPr>
        <w:fldChar w:fldCharType="separate"/>
      </w:r>
      <w:r w:rsidR="00E120C2" w:rsidRPr="00263307">
        <w:rPr>
          <w:rFonts w:ascii="Book Antiqua" w:hAnsi="Book Antiqua"/>
          <w:noProof/>
          <w:color w:val="000000" w:themeColor="text1"/>
          <w:sz w:val="24"/>
          <w:szCs w:val="24"/>
          <w:vertAlign w:val="superscript"/>
        </w:rPr>
        <w:t>[9,11]</w:t>
      </w:r>
      <w:r w:rsidR="00E120C2" w:rsidRPr="00263307">
        <w:rPr>
          <w:rFonts w:ascii="Book Antiqua" w:hAnsi="Book Antiqua"/>
          <w:color w:val="000000" w:themeColor="text1"/>
          <w:sz w:val="24"/>
          <w:szCs w:val="24"/>
        </w:rPr>
        <w:fldChar w:fldCharType="end"/>
      </w:r>
      <w:r w:rsidR="00D56371" w:rsidRPr="00263307">
        <w:rPr>
          <w:rFonts w:ascii="Book Antiqua" w:hAnsi="Book Antiqua"/>
          <w:color w:val="000000" w:themeColor="text1"/>
          <w:sz w:val="24"/>
          <w:szCs w:val="24"/>
        </w:rPr>
        <w:t xml:space="preserve">. We </w:t>
      </w:r>
      <w:r w:rsidR="00281B2B" w:rsidRPr="00263307">
        <w:rPr>
          <w:rFonts w:ascii="Book Antiqua" w:hAnsi="Book Antiqua"/>
          <w:color w:val="000000" w:themeColor="text1"/>
          <w:sz w:val="24"/>
          <w:szCs w:val="24"/>
        </w:rPr>
        <w:t xml:space="preserve">believe </w:t>
      </w:r>
      <w:r w:rsidR="00D56371" w:rsidRPr="00263307">
        <w:rPr>
          <w:rFonts w:ascii="Book Antiqua" w:hAnsi="Book Antiqua"/>
          <w:color w:val="000000" w:themeColor="text1"/>
          <w:sz w:val="24"/>
          <w:szCs w:val="24"/>
        </w:rPr>
        <w:t xml:space="preserve">that our study adds new evidence </w:t>
      </w:r>
      <w:r w:rsidR="00281B2B" w:rsidRPr="00263307">
        <w:rPr>
          <w:rFonts w:ascii="Book Antiqua" w:hAnsi="Book Antiqua"/>
          <w:color w:val="000000" w:themeColor="text1"/>
          <w:sz w:val="24"/>
          <w:szCs w:val="24"/>
        </w:rPr>
        <w:t xml:space="preserve">in </w:t>
      </w:r>
      <w:r w:rsidR="00D56371" w:rsidRPr="00263307">
        <w:rPr>
          <w:rFonts w:ascii="Book Antiqua" w:hAnsi="Book Antiqua"/>
          <w:color w:val="000000" w:themeColor="text1"/>
          <w:sz w:val="24"/>
          <w:szCs w:val="24"/>
        </w:rPr>
        <w:t>support</w:t>
      </w:r>
      <w:r w:rsidR="00281B2B" w:rsidRPr="00263307">
        <w:rPr>
          <w:rFonts w:ascii="Book Antiqua" w:hAnsi="Book Antiqua"/>
          <w:color w:val="000000" w:themeColor="text1"/>
          <w:sz w:val="24"/>
          <w:szCs w:val="24"/>
        </w:rPr>
        <w:t xml:space="preserve"> of</w:t>
      </w:r>
      <w:r w:rsidR="00D56371" w:rsidRPr="00263307">
        <w:rPr>
          <w:rFonts w:ascii="Book Antiqua" w:hAnsi="Book Antiqua"/>
          <w:color w:val="000000" w:themeColor="text1"/>
          <w:sz w:val="24"/>
          <w:szCs w:val="24"/>
        </w:rPr>
        <w:t xml:space="preserve"> these previous studies.</w:t>
      </w:r>
    </w:p>
    <w:p w14:paraId="515A4DC6" w14:textId="3D38D9A7" w:rsidR="00497E96" w:rsidRPr="00263307" w:rsidRDefault="004641B6" w:rsidP="00263307">
      <w:pPr>
        <w:pStyle w:val="a5"/>
        <w:adjustRightInd w:val="0"/>
        <w:snapToGrid w:val="0"/>
        <w:spacing w:before="0" w:beforeAutospacing="0" w:after="0" w:afterAutospacing="0" w:line="360" w:lineRule="auto"/>
        <w:ind w:firstLineChars="100" w:firstLine="240"/>
        <w:jc w:val="both"/>
        <w:rPr>
          <w:rFonts w:ascii="Book Antiqua" w:eastAsia="宋体" w:hAnsi="Book Antiqua"/>
          <w:color w:val="000000" w:themeColor="text1"/>
          <w:sz w:val="24"/>
          <w:szCs w:val="24"/>
          <w:lang w:eastAsia="zh-CN"/>
        </w:rPr>
      </w:pPr>
      <w:r w:rsidRPr="00263307">
        <w:rPr>
          <w:rFonts w:ascii="Book Antiqua" w:hAnsi="Book Antiqua"/>
          <w:color w:val="000000" w:themeColor="text1"/>
          <w:sz w:val="24"/>
          <w:szCs w:val="24"/>
        </w:rPr>
        <w:t>To the best of our knowledge, s</w:t>
      </w:r>
      <w:r w:rsidR="00C474AA" w:rsidRPr="00263307">
        <w:rPr>
          <w:rFonts w:ascii="Book Antiqua" w:hAnsi="Book Antiqua"/>
          <w:color w:val="000000" w:themeColor="text1"/>
          <w:sz w:val="24"/>
          <w:szCs w:val="24"/>
        </w:rPr>
        <w:t xml:space="preserve">ignificant differences </w:t>
      </w:r>
      <w:r w:rsidR="00440889" w:rsidRPr="00263307">
        <w:rPr>
          <w:rFonts w:ascii="Book Antiqua" w:hAnsi="Book Antiqua"/>
          <w:color w:val="000000" w:themeColor="text1"/>
          <w:sz w:val="24"/>
          <w:szCs w:val="24"/>
        </w:rPr>
        <w:t xml:space="preserve">in </w:t>
      </w:r>
      <w:r w:rsidR="00C474AA" w:rsidRPr="00263307">
        <w:rPr>
          <w:rFonts w:ascii="Book Antiqua" w:hAnsi="Book Antiqua"/>
          <w:color w:val="000000" w:themeColor="text1"/>
          <w:sz w:val="24"/>
          <w:szCs w:val="24"/>
        </w:rPr>
        <w:t xml:space="preserve">anorexia, tachycardia, and renal dysfunction in our study are previously unreported findings </w:t>
      </w:r>
      <w:r w:rsidR="007D749D" w:rsidRPr="00263307">
        <w:rPr>
          <w:rFonts w:ascii="Book Antiqua" w:hAnsi="Book Antiqua"/>
          <w:color w:val="000000" w:themeColor="text1"/>
          <w:sz w:val="24"/>
          <w:szCs w:val="24"/>
        </w:rPr>
        <w:t>because previous analyses on risk fa</w:t>
      </w:r>
      <w:r w:rsidR="00440889" w:rsidRPr="00263307">
        <w:rPr>
          <w:rFonts w:ascii="Book Antiqua" w:hAnsi="Book Antiqua"/>
          <w:color w:val="000000" w:themeColor="text1"/>
          <w:sz w:val="24"/>
          <w:szCs w:val="24"/>
        </w:rPr>
        <w:t>c</w:t>
      </w:r>
      <w:r w:rsidR="007D749D" w:rsidRPr="00263307">
        <w:rPr>
          <w:rFonts w:ascii="Book Antiqua" w:hAnsi="Book Antiqua"/>
          <w:color w:val="000000" w:themeColor="text1"/>
          <w:sz w:val="24"/>
          <w:szCs w:val="24"/>
        </w:rPr>
        <w:t>tors of CA were limited to patient profile</w:t>
      </w:r>
      <w:r w:rsidR="00440889" w:rsidRPr="00263307">
        <w:rPr>
          <w:rFonts w:ascii="Book Antiqua" w:hAnsi="Book Antiqua"/>
          <w:color w:val="000000" w:themeColor="text1"/>
          <w:sz w:val="24"/>
          <w:szCs w:val="24"/>
        </w:rPr>
        <w:t>s</w:t>
      </w:r>
      <w:r w:rsidR="007D749D" w:rsidRPr="00263307">
        <w:rPr>
          <w:rFonts w:ascii="Book Antiqua" w:hAnsi="Book Antiqua"/>
          <w:color w:val="000000" w:themeColor="text1"/>
          <w:sz w:val="24"/>
          <w:szCs w:val="24"/>
        </w:rPr>
        <w:t>, underlying conditions</w:t>
      </w:r>
      <w:r w:rsidR="00440889" w:rsidRPr="00263307">
        <w:rPr>
          <w:rFonts w:ascii="Book Antiqua" w:hAnsi="Book Antiqua"/>
          <w:color w:val="000000" w:themeColor="text1"/>
          <w:sz w:val="24"/>
          <w:szCs w:val="24"/>
        </w:rPr>
        <w:t>,</w:t>
      </w:r>
      <w:r w:rsidR="007D749D" w:rsidRPr="00263307">
        <w:rPr>
          <w:rFonts w:ascii="Book Antiqua" w:hAnsi="Book Antiqua"/>
          <w:color w:val="000000" w:themeColor="text1"/>
          <w:sz w:val="24"/>
          <w:szCs w:val="24"/>
        </w:rPr>
        <w:t xml:space="preserve"> and inflam</w:t>
      </w:r>
      <w:r w:rsidR="00E870B6" w:rsidRPr="00263307">
        <w:rPr>
          <w:rFonts w:ascii="Book Antiqua" w:hAnsi="Book Antiqua"/>
          <w:color w:val="000000" w:themeColor="text1"/>
          <w:sz w:val="24"/>
          <w:szCs w:val="24"/>
        </w:rPr>
        <w:t>m</w:t>
      </w:r>
      <w:r w:rsidR="007D749D" w:rsidRPr="00263307">
        <w:rPr>
          <w:rFonts w:ascii="Book Antiqua" w:hAnsi="Book Antiqua"/>
          <w:color w:val="000000" w:themeColor="text1"/>
          <w:sz w:val="24"/>
          <w:szCs w:val="24"/>
        </w:rPr>
        <w:t>atory biomarkers</w:t>
      </w:r>
      <w:r w:rsidR="00E120C2" w:rsidRPr="00263307">
        <w:rPr>
          <w:rFonts w:ascii="Book Antiqua" w:hAnsi="Book Antiqua"/>
          <w:color w:val="000000" w:themeColor="text1"/>
          <w:sz w:val="24"/>
          <w:szCs w:val="24"/>
        </w:rPr>
        <w:fldChar w:fldCharType="begin" w:fldLock="1"/>
      </w:r>
      <w:r w:rsidR="00E120C2" w:rsidRPr="00263307">
        <w:rPr>
          <w:rFonts w:ascii="Book Antiqua" w:hAnsi="Book Antiqua"/>
          <w:color w:val="000000" w:themeColor="text1"/>
          <w:sz w:val="24"/>
          <w:szCs w:val="24"/>
        </w:rPr>
        <w:instrText>ADDIN CSL_CITATION {"citationItems":[{"id":"ITEM-1","itemData":{"DOI":"10.1001/jamasurg.2014.77","ISSN":"21686254","abstract":"IMPORTANCE In the traditional model of acute appendicitis, time is the major driver of disease progression; luminal obstruction leads inexorably to perforation without timely intervention. This perceived association has long guided clinical behavior related to the timing of appendectomy. OBJECTIVE To evaluate whether there is an association between time and perforation after patients present to the hospital. DESIGN, SETTING, AND PARTICIPANTS Using data from theWashington State Surgical Care and Outcomes Assessment Program (SCOAP), we evaluated patterns of perforation among patients (≥18 years) who underwent appendectomy from January 1, 2010, to December 31, 2011. Patients were treated at 52 diverse hospitals including urban tertiary centers, a university hospital, small community and rural hospitals, and hospitals within multi-institutional organizations. MAIN OUTCOMES AND MEASURES The main outcome of interestwas perforation as diagnosed on final pathology reports. The main predictor of interest was elapsed time as measured between presentation to the hospital and operating room (OR) start time. The relationship between in-hospital time and perforation was adjusted for potential confounding using multivariate logistic regression. Additional predictors of interest included sex, age, number of comorbid conditions, race and/or ethnicity, insurance status, and hospital characteristics such as community type and appendectomy volume. RESULTS A total of 9048 adults underwent appendectomy (15.8% perforated). Mean time from presentation to OR was the same (8.6 hours) for patients with perforated and nonperforated appendicitis. In multivariate analysis, increasing time to OR was not a predictor of perforation, either as a continuous variable (odds ratio = 1.0 [95%CI, 0.99-1.01]) or when considered as a categorical variable (patients ordered by elapsed time and divided into deciles). Factors associated with perforation were male sex, increasing age, 3 or more comorbid conditions, and lack of insurance. CONCLUSIONS AND RELEVANCE There was no association between perforation and in-hospital time prior to surgery among adults treated with appendectomy. These findings may reflect selection of those at higher risk of perforation for earlier intervention or the effect of antibiotics begun at diagnosis but they are also consistent with the hypothesis that perforation is most often a prehospital occurrence and/or not strictly a time-dependent phenomenon. These findings may…","author":[{"dropping-particle":"","family":"Drake","given":"Frederick Thurston","non-dropping-particle":"","parse-names":false,"suffix":""},{"dropping-particle":"","family":"Mottey","given":"Neli E.","non-dropping-particle":"","parse-names":false,"suffix":""},{"dropping-particle":"","family":"Farrokhi","given":"Ellen T.","non-dropping-particle":"","parse-names":false,"suffix":""},{"dropping-particle":"","family":"Florence","given":"Michael G.","non-dropping-particle":"","parse-names":false,"suffix":""},{"dropping-particle":"","family":"Johnson","given":"Morris G.","non-dropping-particle":"","parse-names":false,"suffix":""},{"dropping-particle":"","family":"Mock","given":"Charles","non-dropping-particle":"","parse-names":false,"suffix":""},{"dropping-particle":"","family":"Steele","given":"Scott R.","non-dropping-particle":"","parse-names":false,"suffix":""},{"dropping-particle":"","family":"Thirlby","given":"Richard C.","non-dropping-particle":"","parse-names":false,"suffix":""},{"dropping-particle":"","family":"Flum","given":"David R.","non-dropping-particle":"","parse-names":false,"suffix":""}],"container-title":"JAMA Surgery","id":"ITEM-1","issue":"8","issued":{"date-parts":[["2014"]]},"page":"837-844","title":"Time to appendectomy and risk of perforation in acute appendicitis","type":"article-journal","volume":"149"},"uris":["http://www.mendeley.com/documents/?uuid=58882edf-1daa-4ac6-9303-7f00205d46c8"]},{"id":"ITEM-2","itemData":{"DOI":"10.1186/1749-7922-9-6","ISSN":"17497922","abstract":"Background: Acute appendicitis is the most common surgical emergency and becomes serious when it perforates. Perforation is more frequent in the elderly patients. The aim of this study was to identify the risk factors of perforation in elderly patients who presented with acute appendicitis. Methodology: The medical records of 214 patients over the age of 60 years who had a pathologically confirmed diagnosis of acute appendicitis over a period of 10 years (2003-2013) were retrospectively reviewed. Patients were grouped into those with perforated and those with nonperforated appendicitis. Comparison was made between both groups in regard to demography, clinical presentation, and time delay to surgery, diagnosis, hospital stay and postoperative complications. Clinical assessment, Ultrasonography and Computerized tomography, in that order, were used for diagnosis. The incidence of perforation was also compared with a previous report from the same region 10 years earlier. Results: During the study period, a total of 214 patients over the age of 60 years had acute appendicitis, 103 males and 111 females. Appendix was found perforated in 87 (41%) patients, 46 (53%) males and 41 (47%) females. Of all patients, 31% were diagnosed by clinical assessment alone, 40% needed US and 29% CT scan. Of all the risk factors studied, the patient's pre-hospital time delay was the most important risk factor for perforation. Perforation rate was not dependent on the presence of comorbid diseases or in-hospital time delay. Post operative complications occurred in 44 (21%) patients and they were three times more common in the perforated group, 33 (75%) patients in the perforated and 11 (25%) in the nonperforated group. There were 6 deaths (3%), 4 in the perforated and 2 in the nonperforated group.Conclusion: Acute appendicitis in elderly patients is a serious disease that requires early diagnosis and treatment. Appendiceal Perforation increases both mortality and morbidity. All elderly patients presented to the hospital with abdominal pain should be admitted and investigated. The early use of CT scan can cut short the way to the appropriate treatment. © 2014 Omari et al.; licensee BioMed Central Ltd.","author":[{"dropping-particle":"","family":"Omari","given":"Abdelkarim H.","non-dropping-particle":"","parse-names":false,"suffix":""},{"dropping-particle":"","family":"Khammash","given":"Muhammad R.","non-dropping-particle":"","parse-names":false,"suffix":""},{"dropping-particle":"","family":"Qasaimeh","given":"Ghazi R.","non-dropping-particle":"","parse-names":false,"suffix":""},{"dropping-particle":"","family":"Shammari","given":"Ahmad K.","non-dropping-particle":"","parse-names":false,"suffix":""},{"dropping-particle":"","family":"Yaseen","given":"Mohammad K.Bani","non-dropping-particle":"","parse-names":false,"suffix":""},{"dropping-particle":"","family":"Hammori","given":"Sahel K.","non-dropping-particle":"","parse-names":false,"suffix":""}],"container-title":"World Journal of Emergency Surgery","id":"ITEM-2","issue":"1","issued":{"date-parts":[["2014"]]},"page":"1-6","title":"Acute appendicitis in the elderly: Risk factors for perforation","type":"article-journal","volume":"9"},"uris":["http://www.mendeley.com/documents/?uuid=ee6fff5b-06ab-48ee-8c87-34bc0de2d7a1"]},{"id":"ITEM-3","itemData":{"DOI":"10.1155/2015/847681","ISSN":"2356-7759","abstract":"Background . The incidence of perforated appendicitis in elderly patients is high and carries increased morbidity and mortality rates. The aim of this study was to identify risk factors of perforation in elderly patients who presented with clinical of acute appendicitis. Methods . This was a retrospective study, reviewing medical records of patients over the age of 60 years who had a confirmed diagnosis of acute appendicitis. Patients were classified into two groups: those with perforated appendicitis and those with nonperforated appendicitis. Demographic data, clinical presentations, and laboratory analysis were compared. Results . Of the 206 acute appendicitis patients over the age of 60 years, perforated appendicitis was found in 106 (50%) patients. The four factors which predicted appendiceal rupture were as follows: male; duration of pain in preadmission period; fever (&gt;38°C); and anorexia. The overall complication rate was 34% in the perforation group and 12.6% in the nonperforation group. Conclusions . The incidence of perforated appendicitis in elderly patients was higher in males and those who had certain clinical features such as fever and anorexia. Duration of pain in the preadmission period was also an important factor in appendiceal rupture. Early diagnosis may decrease the incidence of perforated appendicitis in elderly patients. ","author":[{"dropping-particle":"","family":"Sirikurnpiboon","given":"Siripong","non-dropping-particle":"","parse-names":false,"suffix":""},{"dropping-particle":"","family":"Amornpornchareon","given":"Suparat","non-dropping-particle":"","parse-names":false,"suffix":""}],"container-title":"Surgery Research and Practice","id":"ITEM-3","issued":{"date-parts":[["2015"]]},"page":"1-6","title":"Factors Associated with Perforated Appendicitis in Elderly Patients in a Tertiary Care Hospital","type":"article-journal","volume":"2015"},"uris":["http://www.mendeley.com/documents/?uuid=6dd04c0b-35c6-4163-b57b-0bf5e8fb0e21"]}],"mendeley":{"formattedCitation":"&lt;sup&gt;[&lt;sup&gt;6&lt;/sup&gt;–&lt;sup&gt;8&lt;/sup&gt;]&lt;/sup&gt;","plainTextFormattedCitation":"[6–8]","previouslyFormattedCitation":"&lt;sup&gt;[&lt;sup&gt;6&lt;/sup&gt;–&lt;sup&gt;8&lt;/sup&gt;]&lt;/sup&gt;"},"properties":{"noteIndex":0},"schema":"https://github.com/citation-style-language/schema/raw/master/csl-citation.json"}</w:instrText>
      </w:r>
      <w:r w:rsidR="00E120C2" w:rsidRPr="00263307">
        <w:rPr>
          <w:rFonts w:ascii="Book Antiqua" w:hAnsi="Book Antiqua"/>
          <w:color w:val="000000" w:themeColor="text1"/>
          <w:sz w:val="24"/>
          <w:szCs w:val="24"/>
        </w:rPr>
        <w:fldChar w:fldCharType="separate"/>
      </w:r>
      <w:r w:rsidR="006903F8" w:rsidRPr="00263307">
        <w:rPr>
          <w:rFonts w:ascii="Book Antiqua" w:hAnsi="Book Antiqua"/>
          <w:noProof/>
          <w:color w:val="000000" w:themeColor="text1"/>
          <w:sz w:val="24"/>
          <w:szCs w:val="24"/>
          <w:vertAlign w:val="superscript"/>
        </w:rPr>
        <w:t>[6</w:t>
      </w:r>
      <w:r w:rsidR="006903F8" w:rsidRPr="00263307">
        <w:rPr>
          <w:rFonts w:ascii="Book Antiqua" w:eastAsia="宋体" w:hAnsi="Book Antiqua"/>
          <w:noProof/>
          <w:color w:val="000000" w:themeColor="text1"/>
          <w:sz w:val="24"/>
          <w:szCs w:val="24"/>
          <w:vertAlign w:val="superscript"/>
          <w:lang w:eastAsia="zh-CN"/>
        </w:rPr>
        <w:t>-</w:t>
      </w:r>
      <w:r w:rsidR="00E120C2" w:rsidRPr="00263307">
        <w:rPr>
          <w:rFonts w:ascii="Book Antiqua" w:hAnsi="Book Antiqua"/>
          <w:noProof/>
          <w:color w:val="000000" w:themeColor="text1"/>
          <w:sz w:val="24"/>
          <w:szCs w:val="24"/>
          <w:vertAlign w:val="superscript"/>
        </w:rPr>
        <w:t>8]</w:t>
      </w:r>
      <w:r w:rsidR="00E120C2" w:rsidRPr="00263307">
        <w:rPr>
          <w:rFonts w:ascii="Book Antiqua" w:hAnsi="Book Antiqua"/>
          <w:color w:val="000000" w:themeColor="text1"/>
          <w:sz w:val="24"/>
          <w:szCs w:val="24"/>
        </w:rPr>
        <w:fldChar w:fldCharType="end"/>
      </w:r>
      <w:r w:rsidR="00C474AA" w:rsidRPr="00263307">
        <w:rPr>
          <w:rFonts w:ascii="Book Antiqua" w:hAnsi="Book Antiqua"/>
          <w:color w:val="000000" w:themeColor="text1"/>
          <w:sz w:val="24"/>
          <w:szCs w:val="24"/>
        </w:rPr>
        <w:t>.</w:t>
      </w:r>
    </w:p>
    <w:p w14:paraId="5E58610A" w14:textId="6A329C5D" w:rsidR="00FB01C6" w:rsidRPr="00263307" w:rsidRDefault="007D749D" w:rsidP="00263307">
      <w:pPr>
        <w:pStyle w:val="a5"/>
        <w:adjustRightInd w:val="0"/>
        <w:snapToGrid w:val="0"/>
        <w:spacing w:before="0" w:beforeAutospacing="0" w:after="0" w:afterAutospacing="0" w:line="360" w:lineRule="auto"/>
        <w:ind w:firstLineChars="100" w:firstLine="240"/>
        <w:jc w:val="both"/>
        <w:rPr>
          <w:rFonts w:ascii="Book Antiqua" w:eastAsia="宋体" w:hAnsi="Book Antiqua"/>
          <w:color w:val="000000" w:themeColor="text1"/>
          <w:sz w:val="24"/>
          <w:szCs w:val="24"/>
          <w:lang w:eastAsia="zh-CN"/>
        </w:rPr>
      </w:pPr>
      <w:r w:rsidRPr="00263307">
        <w:rPr>
          <w:rFonts w:ascii="Book Antiqua" w:hAnsi="Book Antiqua"/>
          <w:color w:val="000000" w:themeColor="text1"/>
          <w:sz w:val="24"/>
          <w:szCs w:val="24"/>
        </w:rPr>
        <w:t xml:space="preserve">Our study showed that CRP was the single significant predictor of CA in proportion to the value of serum CRP level. Furthermore, ROC analysis showed that serum CRP level had </w:t>
      </w:r>
      <w:r w:rsidR="00440889" w:rsidRPr="00263307">
        <w:rPr>
          <w:rFonts w:ascii="Book Antiqua" w:hAnsi="Book Antiqua"/>
          <w:color w:val="000000" w:themeColor="text1"/>
          <w:sz w:val="24"/>
          <w:szCs w:val="24"/>
        </w:rPr>
        <w:t xml:space="preserve">a </w:t>
      </w:r>
      <w:r w:rsidRPr="00263307">
        <w:rPr>
          <w:rFonts w:ascii="Book Antiqua" w:hAnsi="Book Antiqua"/>
          <w:color w:val="000000" w:themeColor="text1"/>
          <w:sz w:val="24"/>
          <w:szCs w:val="24"/>
        </w:rPr>
        <w:t>high d</w:t>
      </w:r>
      <w:r w:rsidR="004641B6" w:rsidRPr="00263307">
        <w:rPr>
          <w:rFonts w:ascii="Book Antiqua" w:hAnsi="Book Antiqua"/>
          <w:color w:val="000000" w:themeColor="text1"/>
          <w:sz w:val="24"/>
          <w:szCs w:val="24"/>
        </w:rPr>
        <w:t>i</w:t>
      </w:r>
      <w:r w:rsidRPr="00263307">
        <w:rPr>
          <w:rFonts w:ascii="Book Antiqua" w:hAnsi="Book Antiqua"/>
          <w:color w:val="000000" w:themeColor="text1"/>
          <w:sz w:val="24"/>
          <w:szCs w:val="24"/>
        </w:rPr>
        <w:t xml:space="preserve">scrimination ability for </w:t>
      </w:r>
      <w:r w:rsidR="00440889" w:rsidRPr="00263307">
        <w:rPr>
          <w:rFonts w:ascii="Book Antiqua" w:hAnsi="Book Antiqua"/>
          <w:color w:val="000000" w:themeColor="text1"/>
          <w:sz w:val="24"/>
          <w:szCs w:val="24"/>
        </w:rPr>
        <w:t xml:space="preserve">the </w:t>
      </w:r>
      <w:r w:rsidRPr="00263307">
        <w:rPr>
          <w:rFonts w:ascii="Book Antiqua" w:hAnsi="Book Antiqua"/>
          <w:color w:val="000000" w:themeColor="text1"/>
          <w:sz w:val="24"/>
          <w:szCs w:val="24"/>
        </w:rPr>
        <w:t>prediction of CA (AUC</w:t>
      </w:r>
      <w:r w:rsidR="00440889"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w:t>
      </w:r>
      <w:r w:rsidR="00440889"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0.85).</w:t>
      </w:r>
      <w:r w:rsidR="000200C9" w:rsidRPr="00263307">
        <w:rPr>
          <w:rFonts w:ascii="Book Antiqua" w:hAnsi="Book Antiqua"/>
          <w:color w:val="000000" w:themeColor="text1"/>
          <w:sz w:val="24"/>
          <w:szCs w:val="24"/>
        </w:rPr>
        <w:t xml:space="preserve"> </w:t>
      </w:r>
      <w:r w:rsidR="00440889" w:rsidRPr="00263307">
        <w:rPr>
          <w:rFonts w:ascii="Book Antiqua" w:hAnsi="Book Antiqua"/>
          <w:color w:val="000000" w:themeColor="text1"/>
          <w:sz w:val="24"/>
          <w:szCs w:val="24"/>
        </w:rPr>
        <w:t xml:space="preserve">Our </w:t>
      </w:r>
      <w:r w:rsidR="000200C9" w:rsidRPr="00263307">
        <w:rPr>
          <w:rFonts w:ascii="Book Antiqua" w:hAnsi="Book Antiqua"/>
          <w:color w:val="000000" w:themeColor="text1"/>
          <w:sz w:val="24"/>
          <w:szCs w:val="24"/>
        </w:rPr>
        <w:t>result</w:t>
      </w:r>
      <w:r w:rsidR="00440889" w:rsidRPr="00263307">
        <w:rPr>
          <w:rFonts w:ascii="Book Antiqua" w:hAnsi="Book Antiqua"/>
          <w:color w:val="000000" w:themeColor="text1"/>
          <w:sz w:val="24"/>
          <w:szCs w:val="24"/>
        </w:rPr>
        <w:t>s</w:t>
      </w:r>
      <w:r w:rsidR="000200C9" w:rsidRPr="00263307">
        <w:rPr>
          <w:rFonts w:ascii="Book Antiqua" w:hAnsi="Book Antiqua"/>
          <w:color w:val="000000" w:themeColor="text1"/>
          <w:sz w:val="24"/>
          <w:szCs w:val="24"/>
        </w:rPr>
        <w:t xml:space="preserve"> </w:t>
      </w:r>
      <w:r w:rsidR="00440889" w:rsidRPr="00263307">
        <w:rPr>
          <w:rFonts w:ascii="Book Antiqua" w:hAnsi="Book Antiqua"/>
          <w:color w:val="000000" w:themeColor="text1"/>
          <w:sz w:val="24"/>
          <w:szCs w:val="24"/>
        </w:rPr>
        <w:t xml:space="preserve">are </w:t>
      </w:r>
      <w:r w:rsidR="000200C9" w:rsidRPr="00263307">
        <w:rPr>
          <w:rFonts w:ascii="Book Antiqua" w:hAnsi="Book Antiqua"/>
          <w:color w:val="000000" w:themeColor="text1"/>
          <w:sz w:val="24"/>
          <w:szCs w:val="24"/>
        </w:rPr>
        <w:t xml:space="preserve">compatible with </w:t>
      </w:r>
      <w:r w:rsidR="00440889" w:rsidRPr="00263307">
        <w:rPr>
          <w:rFonts w:ascii="Book Antiqua" w:hAnsi="Book Antiqua"/>
          <w:color w:val="000000" w:themeColor="text1"/>
          <w:sz w:val="24"/>
          <w:szCs w:val="24"/>
        </w:rPr>
        <w:t xml:space="preserve">those of </w:t>
      </w:r>
      <w:r w:rsidR="000200C9" w:rsidRPr="00263307">
        <w:rPr>
          <w:rFonts w:ascii="Book Antiqua" w:hAnsi="Book Antiqua"/>
          <w:color w:val="000000" w:themeColor="text1"/>
          <w:sz w:val="24"/>
          <w:szCs w:val="24"/>
        </w:rPr>
        <w:t>p</w:t>
      </w:r>
      <w:r w:rsidR="00C474AA" w:rsidRPr="00263307">
        <w:rPr>
          <w:rFonts w:ascii="Book Antiqua" w:hAnsi="Book Antiqua"/>
          <w:color w:val="000000" w:themeColor="text1"/>
          <w:sz w:val="24"/>
          <w:szCs w:val="24"/>
        </w:rPr>
        <w:t>revious studi</w:t>
      </w:r>
      <w:r w:rsidR="00440889" w:rsidRPr="00263307">
        <w:rPr>
          <w:rFonts w:ascii="Book Antiqua" w:hAnsi="Book Antiqua"/>
          <w:color w:val="000000" w:themeColor="text1"/>
          <w:sz w:val="24"/>
          <w:szCs w:val="24"/>
        </w:rPr>
        <w:t>e</w:t>
      </w:r>
      <w:r w:rsidR="00C474AA" w:rsidRPr="00263307">
        <w:rPr>
          <w:rFonts w:ascii="Book Antiqua" w:hAnsi="Book Antiqua"/>
          <w:color w:val="000000" w:themeColor="text1"/>
          <w:sz w:val="24"/>
          <w:szCs w:val="24"/>
        </w:rPr>
        <w:t>s</w:t>
      </w:r>
      <w:r w:rsidR="00440889" w:rsidRPr="00263307">
        <w:rPr>
          <w:rFonts w:ascii="Book Antiqua" w:hAnsi="Book Antiqua"/>
          <w:color w:val="000000" w:themeColor="text1"/>
          <w:sz w:val="24"/>
          <w:szCs w:val="24"/>
        </w:rPr>
        <w:t>,</w:t>
      </w:r>
      <w:r w:rsidR="000200C9" w:rsidRPr="00263307">
        <w:rPr>
          <w:rFonts w:ascii="Book Antiqua" w:hAnsi="Book Antiqua"/>
          <w:color w:val="000000" w:themeColor="text1"/>
          <w:sz w:val="24"/>
          <w:szCs w:val="24"/>
        </w:rPr>
        <w:t xml:space="preserve"> </w:t>
      </w:r>
      <w:r w:rsidR="00440889" w:rsidRPr="00263307">
        <w:rPr>
          <w:rFonts w:ascii="Book Antiqua" w:hAnsi="Book Antiqua"/>
          <w:color w:val="000000" w:themeColor="text1"/>
          <w:sz w:val="24"/>
          <w:szCs w:val="24"/>
        </w:rPr>
        <w:t>which</w:t>
      </w:r>
      <w:r w:rsidR="000200C9" w:rsidRPr="00263307">
        <w:rPr>
          <w:rFonts w:ascii="Book Antiqua" w:hAnsi="Book Antiqua"/>
          <w:color w:val="000000" w:themeColor="text1"/>
          <w:sz w:val="24"/>
          <w:szCs w:val="24"/>
        </w:rPr>
        <w:t xml:space="preserve"> have shown</w:t>
      </w:r>
      <w:r w:rsidR="00C474AA" w:rsidRPr="00263307">
        <w:rPr>
          <w:rFonts w:ascii="Book Antiqua" w:hAnsi="Book Antiqua"/>
          <w:color w:val="000000" w:themeColor="text1"/>
          <w:sz w:val="24"/>
          <w:szCs w:val="24"/>
        </w:rPr>
        <w:t xml:space="preserve"> </w:t>
      </w:r>
      <w:r w:rsidR="000200C9" w:rsidRPr="00263307">
        <w:rPr>
          <w:rFonts w:ascii="Book Antiqua" w:hAnsi="Book Antiqua"/>
          <w:color w:val="000000" w:themeColor="text1"/>
          <w:sz w:val="24"/>
          <w:szCs w:val="24"/>
        </w:rPr>
        <w:t xml:space="preserve">that </w:t>
      </w:r>
      <w:r w:rsidR="00483809" w:rsidRPr="00263307">
        <w:rPr>
          <w:rFonts w:ascii="Book Antiqua" w:hAnsi="Book Antiqua"/>
          <w:color w:val="000000" w:themeColor="text1"/>
          <w:sz w:val="24"/>
          <w:szCs w:val="24"/>
        </w:rPr>
        <w:t>CRP is a useful predictor of CA</w:t>
      </w:r>
      <w:r w:rsidR="00E120C2" w:rsidRPr="00263307">
        <w:rPr>
          <w:rFonts w:ascii="Book Antiqua" w:hAnsi="Book Antiqua"/>
          <w:color w:val="000000" w:themeColor="text1"/>
          <w:sz w:val="24"/>
          <w:szCs w:val="24"/>
        </w:rPr>
        <w:fldChar w:fldCharType="begin" w:fldLock="1"/>
      </w:r>
      <w:r w:rsidR="00E120C2" w:rsidRPr="00263307">
        <w:rPr>
          <w:rFonts w:ascii="Book Antiqua" w:hAnsi="Book Antiqua"/>
          <w:color w:val="000000" w:themeColor="text1"/>
          <w:sz w:val="24"/>
          <w:szCs w:val="24"/>
        </w:rPr>
        <w:instrText>ADDIN CSL_CITATION {"citationItems":[{"id":"ITEM-1","itemData":{"DOI":"10.5505/tjtes.2018.57362","ISSN":"1306696X","abstract":"BACKGROUND: The determination of a definitive preoperative diagnosis of acute appendicitis (AA) remains a challenge; however, delays in diagnosis increase complication rates. The aim of this study was to investigate the contribution of the Alvarado score (AS) alone and the AS combined with the use of the biological indicators of C-reactive protein (CRP), procalcitonin (PCT) and neopterin (NP) in the diagnosis. METHODS: Serum was collected from 100 patients who were admitted to the general surgery clinic of Istanbul University, Cerrahpasa Medical Faculty between March 4, 2014 and July 29, 2015 with the pre-diagnosis of AA and who agreed to take part in the study. The serum samples were stored at -70°C. The patients were divided into 2 groups: AA-positive (n=60) and AA-negative (n=40). The AA positive group was divided into subgroups of complicated (n=11), uncomplicated AA (n=49) and the AS, CRP, PCT, NP levels were compared. RESULTS: The study population consisted of 45 men (45%) and 55 women (55%), with a mean age of 32.8±13.7 years (range: 18–92 years). There was no significant difference between the groups in age and gender. There were 24 patients with an AS ≤4 (3 had surgery), 35 patients with an AS of 5–7 (22 had surgery), and 41 patients with an AS of 8–10 (38 had surgery). Three of the 63 patients who underwent surgery were diagnosed with a normal appendix. The serum CRP, PCT, and NP measures were found to be inadequate to make an AA diagnosis alone, these values increased the sensitivity and specificity of the AS. The biological indicators were also significant in differentiating between the complicated and uncomplicated AA groups (p&lt;0.05). CONCLUSION: Although the AS is useful, additional testing and clinical approaches are valuable to inform the diagnostic procedure. When considered alone, serum CRP, PCT and NP values are insufficient for a diagnosis of AA. However, they increased the diagnostic value of the AS and can be helpful in distinguishing complicated AA cases.","author":[{"dropping-particle":"","family":"Dal","given":"Fatih","non-dropping-particle":"","parse-names":false,"suffix":""},{"dropping-particle":"","family":"Çiçek","given":"Yusuf","non-dropping-particle":"","parse-names":false,"suffix":""},{"dropping-particle":"","family":"Pekmezci","given":"Salih","non-dropping-particle":"","parse-names":false,"suffix":""},{"dropping-particle":"","family":"Kocazeybek","given":"Bekir","non-dropping-particle":"","parse-names":false,"suffix":""},{"dropping-particle":"","family":"Tokman","given":"Hrisi Bahar","non-dropping-particle":"","parse-names":false,"suffix":""},{"dropping-particle":"","family":"Konuko</w:instrText>
      </w:r>
      <w:r w:rsidR="00E120C2" w:rsidRPr="00263307">
        <w:rPr>
          <w:rFonts w:ascii="Book Antiqua" w:hAnsi="Book Antiqua" w:cs="Kohinoor Telugu Semibold"/>
          <w:color w:val="000000" w:themeColor="text1"/>
          <w:sz w:val="24"/>
          <w:szCs w:val="24"/>
        </w:rPr>
        <w:instrText>ğ</w:instrText>
      </w:r>
      <w:r w:rsidR="00E120C2" w:rsidRPr="00263307">
        <w:rPr>
          <w:rFonts w:ascii="Book Antiqua" w:hAnsi="Book Antiqua"/>
          <w:color w:val="000000" w:themeColor="text1"/>
          <w:sz w:val="24"/>
          <w:szCs w:val="24"/>
        </w:rPr>
        <w:instrText>lu","given":"Dildar","non-dropping-particle":"","parse-names":false,"suffix":""},{"dropping-particle":"","family":"</w:instrText>
      </w:r>
      <w:r w:rsidR="00E120C2" w:rsidRPr="00263307">
        <w:rPr>
          <w:rFonts w:ascii="Book Antiqua" w:hAnsi="Book Antiqua" w:cs="Kohinoor Telugu Semibold"/>
          <w:color w:val="000000" w:themeColor="text1"/>
          <w:sz w:val="24"/>
          <w:szCs w:val="24"/>
        </w:rPr>
        <w:instrText>Ş</w:instrText>
      </w:r>
      <w:r w:rsidR="00E120C2" w:rsidRPr="00263307">
        <w:rPr>
          <w:rFonts w:ascii="Book Antiqua" w:hAnsi="Book Antiqua"/>
          <w:color w:val="000000" w:themeColor="text1"/>
          <w:sz w:val="24"/>
          <w:szCs w:val="24"/>
        </w:rPr>
        <w:instrText>im</w:instrText>
      </w:r>
      <w:r w:rsidR="00E120C2" w:rsidRPr="00263307">
        <w:rPr>
          <w:rFonts w:ascii="Book Antiqua" w:hAnsi="Book Antiqua" w:cs="Kohinoor Telugu Semibold"/>
          <w:color w:val="000000" w:themeColor="text1"/>
          <w:sz w:val="24"/>
          <w:szCs w:val="24"/>
        </w:rPr>
        <w:instrText>ş</w:instrText>
      </w:r>
      <w:r w:rsidR="00E120C2" w:rsidRPr="00263307">
        <w:rPr>
          <w:rFonts w:ascii="Book Antiqua" w:hAnsi="Book Antiqua"/>
          <w:color w:val="000000" w:themeColor="text1"/>
          <w:sz w:val="24"/>
          <w:szCs w:val="24"/>
        </w:rPr>
        <w:instrText>ek","given":"Osman","non-dropping-particle":"","parse-names":false,"suffix":""},{"dropping-particle":"","family":"Taner","given":"Zeynep","non-dropping-particle":"","parse-names":false,"suffix":""},{"dropping-particle":"","family":"Sirekbasan","given":"Serhat","non-dropping-particle":"","parse-names":false,"suffix":""},{"dropping-particle":"","family":"Uluda</w:instrText>
      </w:r>
      <w:r w:rsidR="00E120C2" w:rsidRPr="00263307">
        <w:rPr>
          <w:rFonts w:ascii="Book Antiqua" w:hAnsi="Book Antiqua" w:cs="Kohinoor Telugu Semibold"/>
          <w:color w:val="000000" w:themeColor="text1"/>
          <w:sz w:val="24"/>
          <w:szCs w:val="24"/>
        </w:rPr>
        <w:instrText>ğ</w:instrText>
      </w:r>
      <w:r w:rsidR="00E120C2" w:rsidRPr="00263307">
        <w:rPr>
          <w:rFonts w:ascii="Book Antiqua" w:hAnsi="Book Antiqua"/>
          <w:color w:val="000000" w:themeColor="text1"/>
          <w:sz w:val="24"/>
          <w:szCs w:val="24"/>
        </w:rPr>
        <w:instrText>","given":"Server Sezgin","non-dropping-particle":"","parse-names":false,"suffix":""}],"container-title":"Ulusal Travma ve Acil Cerrahi Dergisi","id":"ITEM-1","issue":"3","issued":{"date-parts":[["2019"]]},"page":"229-237","title":"Role of alvarado score and biological indicators of c-reactive protein, procalicitonin and neopterin in diagnosis of acute appendicitis","type":"article-journal","volume":"25"},"uris":["http://www.mendeley.com/documents/?uuid=ae76cce3-5c15-40a5-b98d-9a92ac5ea2ac"]},{"id":"ITEM-2","itemData":{"DOI":"10.1186/s13017-016-0081-6","ISSN":"17497922","abstract":"Background: Diagnostic approach for complicated appendicitis is still controversial. We planned this study to analyze preoperative laboratory markers that may predict complications of appendicitis. Methods: Patients who underwent appendectomy were retrospectively recruited. They were divided into complicated appendicitis and non-complicated appendicitis groups and their preoperative laboratory results were reviewed. Results: A total of 234 patients were included. Elevated international normalized ratio (INR) and serum C-reactive protein (CRP) were associated with complicated appendicitis (p = 0.001). On ROC curve analysis, area under the curve (AUC) of CRP and INR were 0.796 and 0.723, respectively. Conclusions: INR and CRP increased significantly in patients with complicated appendicitis. Further studies evaluating INR and CRP in patients undergoing conservative management for appendicitis are required.","author":[{"dropping-particle":"","family":"Kim","given":"Maru","non-dropping-particle":"","parse-names":false,"suffix":""},{"dropping-particle":"","family":"Kim","given":"Sung Jeep","non-dropping-particle":"","parse-names":false,"suffix":""},{"dropping-particle":"","family":"Cho","given":"Hang Joo","non-dropping-particle":"","parse-names":false,"suffix":""}],"container-title":"World Journal of Emergency Surgery","id":"ITEM-2","issue":"1","issued":{"date-parts":[["2016"]]},"page":"1-5","publisher":"World Journal of Emergency Surgery","title":"International normalized ratio and serum C-reactive protein are feasible markers to predict complicated appendicitis","type":"article-journal","volume":"11"},"uris":["http://www.mendeley.com/documents/?uuid=97005a2a-f3a8-4486-9922-7f63de88c3a8"]},{"id":"ITEM-3","itemData":{"DOI":"10.5811/westjem.2014.9.21568","ISSN":"1936900X","author":[{"dropping-particle":"","family":"Shogilev","given":"Daniel","non-dropping-particle":"","parse-names":false,"suffix":""},{"dropping-particle":"","family":"Duus","given":"Nicolaj","non-dropping-particle":"","parse-names":false,"suffix":""},{"dropping-particle":"","family":"Odom","given":"Stephen","non-dropping-particle":"","parse-names":false,"suffix":""},{"dropping-particle":"","family":"Shapiro","given":"Nathan","non-dropping-particle":"","parse-names":false,"suffix":""}],"container-title":"Western Journal of Emergency Medicine","id":"ITEM-3","issue":"7","issued":{"date-parts":[["2014","11","1"]]},"page":"859-871","title":"Diagnosing Appendicitis: Evidence-Based Review of the Diagnostic Approach in 2014","type":"article-journal","volume":"15"},"uris":["http://www.mendeley.com/documents/?uuid=eb1f544a-cddb-4284-a4ad-faab1f1793bf"]},{"id":"ITEM-4","itemData":{"DOI":"10.1007/s12262-016-1558-y","ISSN":"09739793","abstract":"Unnecessary appendectomy can cause complications; ways of reducing negative appendectomy rates (NAR) using biochemical and imaging methods are desirable. We retrospectively examined 640 patients who underwent appendectomy for suspected AA. Patients with histologically confirmed appendicitis were designated the positive appendectomy group (n = 565), whereas those with unconfirmed appendicitis were designated the negative appendectomy group (n = 75). The positive appendectomy group was subdivided into the non-perforated (n = 511) and perforated (n = 54) appendectomy groups according to pathology reports. We compared the age, sex, lymphocyte count, neutrophil percentage, pathologic positivity or negativity for appendicitis, C-reactive protein (CRP) level, neutrophil-to-lymphocyte ratio (NLR), and platelet-to-lymphocyte ratio (PLR) of the patients. When the perforated, non-perforated, and negative appendectomy groups were compared, the highest CRP level, NLR, and PLR were evident in the perforated appendectomy group (p = 0.001), whereas the lowest neutrophil percentage was found in the non-perforated appendectomy group (p = 0.001). Multiple logistic regression analysis identified neutrophil percentage, CRP value, and NLR as independent variables and demonstrated that AA could be diagnosed with 88.9 % accuracy using the cutoff values determined. In patients with suspected AA, particularly in rural areas with limited access to advanced imaging modalities, the evaluation of neutrophil percentage, CRP level, and NLR, in combination with the findings of a physical examination, may aid diagnosis and reduce NAR.","author":[{"dropping-particle":"","family":"Yazar","given":"Fatih Mehmet","non-dropping-particle":"","parse-names":false,"suffix":""},{"dropping-particle":"","family":"Urfalioglu","given":"Aykut","non-dropping-particle":"","parse-names":false,"suffix":""},{"dropping-particle":"","family":"Bakacak","given":"Murat","non-dropping-particle":"","parse-names":false,"suffix":""},{"dropping-particle":"","family":"Boran","given":"Ömer Faruk","non-dropping-particle":"","parse-names":false,"suffix":""},{"dropping-particle":"","family":"Bülbülo</w:instrText>
      </w:r>
      <w:r w:rsidR="00E120C2" w:rsidRPr="00263307">
        <w:rPr>
          <w:rFonts w:ascii="Book Antiqua" w:hAnsi="Book Antiqua" w:cs="Kohinoor Telugu Semibold"/>
          <w:color w:val="000000" w:themeColor="text1"/>
          <w:sz w:val="24"/>
          <w:szCs w:val="24"/>
        </w:rPr>
        <w:instrText>ğ</w:instrText>
      </w:r>
      <w:r w:rsidR="00E120C2" w:rsidRPr="00263307">
        <w:rPr>
          <w:rFonts w:ascii="Book Antiqua" w:hAnsi="Book Antiqua"/>
          <w:color w:val="000000" w:themeColor="text1"/>
          <w:sz w:val="24"/>
          <w:szCs w:val="24"/>
        </w:rPr>
        <w:instrText>lu","given":"Ertan","non-dropping-particle":"","parse-names":false,"suffix":""}],"container-title":"Indian Journal of Surgery","id":"ITEM-4","issue":"1","issued":{"date-parts":[["2018"]]},"page":"61-67","title":"Efficacy of the Evaluation of Inflammatory Markers for the Reduction of Negative Appendectomy Rates","type":"article-journal","volume":"80"},"uris":["http://www.mendeley.com/documents/?uuid=ea309a94-c126-4dd0-bd01-4606a60366bb"]},{"id":"ITEM-5","itemData":{"ISSN":"10259589","PMID":"28718241","abstract":"BACKGROUND: Delayed or wrong diagnosis of acute appendicitis in patients results in complications like perforation, gangrene, etc. which carries a significant amount of morbidity and mortality to the patients. Thus, timely diagnosis of acute appendicitis is crucial to prevent these complications. Recently, it was found that serum C-reactive protein (CRP) individually can be a useful marker, thus in resource limited settings (i.e., access to ultrasonography) simple laboratory investigation can be of extreme utility for the diagnosis of acute appendicitis. Current study aimed to ascertain and determine the role of C Reactive Protein (CRP) as a complementary test to decrease the rate of negative appendectomies in tertiary care hospitals of Pakistan. METHODS: Using non-probability consecutive sampling, 112 patients with the initial diagnosis of acute appendicitis on history and clinical examination were enrolled. A blood sample was taken for serum level of CRP. RESULTS: Mean age was 20.8±8.6 years and 51 (45.5 %) patients were males. Pathologic review revealed 100 cases (89.3%) of acute appendicitis, 4 patients (3.6%) had perforated appendix while 8 patients (7.1%) had normal appendix. Sensitivity, specificity, positive and negative predictive value and diagnostic accuracy of C reactive protein &gt;24 mg/lit taking histology as gold standard came out 25.9%, 100%, 100%, 9.4% and 31.25% respectively. CONCLUSIONS: It was concluded that CRP &gt;48 mg/lit is an indication of perforated appendix and when the surgeon is in fix whether to go conservatively or apply some intervention, CRP can be a good diagnostic aid.","author":[{"dropping-particle":"","family":"Ahmed","given":"Nauman","non-dropping-particle":"","parse-names":false,"suffix":""}],"container-title":"Journal of Ayub Medical College, Abbottabad : JAMC","id":"ITEM-5","issue":"2","issued":{"date-parts":[["2017"]]},"page":"250-253","title":"C-Reactive Protein: An Aid For Diagnosis Of Acute Appendicitis","type":"article-journal","volume":"29"},"uris":["http://www.mendeley.com/documents/?uuid=c38ec1da-b552-4698-ad1a-49a3b626495b"]},{"id":"ITEM-6","itemData":{"DOI":"10.1016/j.surge.2018.08.007","ISSN":"1479666X","abstract":"Introduction: Previous studies have shown single CRP measurements at time of presentation to have limited predictive benefit for appendicitis. Our objective was to determine the diagnostic utility of serial CRP measurements (to determine CRP velocity [CRPv]) in patients with right iliac fossa (RIF) pain. Methods: A single-centre prospective observational study was conducted on adult patients admitted with RIF pain. CRP was measured on admission, at midnight, and the following morning. Appendicitis was diagnosed on histopathology, or diagnostic imaging in non-operatively managed patients. Therapeutic interventions included all appropriate operative procedures and effective non-operative treatment with antibiotics. Logistic regression was used to generate predictors of therapeutic intervention, and then used to create a new risk score incorporating CRPv. Results: 98 of 112 (87.5%) participants had complete CRP data. 58 patients met the criteria for appendicitis (59.2%). Most patients presented with intermediate Modified Alvarado Scores (MAS) 5–6 (40.8%) or Appendicitis Inflammatory Response Scores (AIRS) 5–8 (49%). Our risk score had an AUROC of 0.88 (95% CI 0.81–0.96) in predicting therapeutic intervention. This score was superior to MAS, AIRS, and single admission biomarker measurements. Patients with an increasing CRPv had 14 times the odds (OR 14.07, 95% CI 0.63–315.2) of complicated appendicitis, and no cases of complicated appendicitis were observed in patients with a flat CRPv. Conclusions: CRP velocity is superior to single CRP at predicting intervention. Our v-Score shows promise as a decision making-aide by predicting the need for surgical intervention in RIF pain. A flat CRPv identifies a group of patients with a very low risk of complicated appendicitis.","author":[{"dropping-particle":"","family":"March","given":"Brayden","non-dropping-particle":"","parse-names":false,"suffix":""},{"dropping-particle":"","family":"Leigh","given":"Lucy","non-dropping-particle":"","parse-names":false,"suffix":""},{"dropping-particle":"","family":"Brussius-Coelho","given":"Marcio","non-dropping-particle":"","parse-names":false,"suffix":""},{"dropping-particle":"","family":"Holmes","given":"Merran","non-dropping-particle":"","parse-names":false,"suffix":""},{"dropping-particle":"","family":"Pockney","given":"Peter","non-dropping-particle":"","parse-names":false,"suffix":""},{"dropping-particle":"","family":"Gani","given":"Jon","non-dropping-particle":"","parse-names":false,"suffix":""}],"container-title":"Surgeon","id":"ITEM-6","issue":"5","issued":{"date-parts":[["2019"]]},"page":"284-290","publisher":"Elsevier Ltd","title":"Can CRP velocity in right iliac fossa pain identify patients for intervention? A prospective observational cohort study","type":"article-journal","volume":"17"},"uris":["http://www.mendeley.com/documents/?uuid=000a057b-9a01-4c23-bd84-f48fe708f0c0"]}],"mendeley":{"formattedCitation":"&lt;sup&gt;[&lt;sup&gt;14&lt;/sup&gt;–&lt;sup&gt;16&lt;/sup&gt;,&lt;sup&gt;23&lt;/sup&gt;,&lt;sup&gt;24&lt;/sup&gt;,&lt;sup&gt;27&lt;/sup&gt;]&lt;/sup&gt;","plainTextFormattedCitation":"[14–16,23,24,27]","previouslyFormattedCitation":"&lt;sup&gt;[&lt;sup&gt;14&lt;/sup&gt;–&lt;sup&gt;16&lt;/sup&gt;,&lt;sup&gt;23&lt;/sup&gt;,&lt;sup&gt;24&lt;/sup&gt;,&lt;sup&gt;27&lt;/sup&gt;]&lt;/sup&gt;"},"properties":{"noteIndex":0},"schema":"https://github.com/citation-style-language/schema/raw/master/csl-citation.json"}</w:instrText>
      </w:r>
      <w:r w:rsidR="00E120C2" w:rsidRPr="00263307">
        <w:rPr>
          <w:rFonts w:ascii="Book Antiqua" w:hAnsi="Book Antiqua"/>
          <w:color w:val="000000" w:themeColor="text1"/>
          <w:sz w:val="24"/>
          <w:szCs w:val="24"/>
        </w:rPr>
        <w:fldChar w:fldCharType="separate"/>
      </w:r>
      <w:r w:rsidR="00C93359" w:rsidRPr="00263307">
        <w:rPr>
          <w:rFonts w:ascii="Book Antiqua" w:hAnsi="Book Antiqua"/>
          <w:noProof/>
          <w:color w:val="000000" w:themeColor="text1"/>
          <w:sz w:val="24"/>
          <w:szCs w:val="24"/>
          <w:vertAlign w:val="superscript"/>
        </w:rPr>
        <w:t>[14</w:t>
      </w:r>
      <w:r w:rsidR="00C93359" w:rsidRPr="00263307">
        <w:rPr>
          <w:rFonts w:ascii="Book Antiqua" w:eastAsia="宋体" w:hAnsi="Book Antiqua"/>
          <w:noProof/>
          <w:color w:val="000000" w:themeColor="text1"/>
          <w:sz w:val="24"/>
          <w:szCs w:val="24"/>
          <w:vertAlign w:val="superscript"/>
          <w:lang w:eastAsia="zh-CN"/>
        </w:rPr>
        <w:t>-</w:t>
      </w:r>
      <w:r w:rsidR="00E120C2" w:rsidRPr="00263307">
        <w:rPr>
          <w:rFonts w:ascii="Book Antiqua" w:hAnsi="Book Antiqua"/>
          <w:noProof/>
          <w:color w:val="000000" w:themeColor="text1"/>
          <w:sz w:val="24"/>
          <w:szCs w:val="24"/>
          <w:vertAlign w:val="superscript"/>
        </w:rPr>
        <w:t>16,23,24,27]</w:t>
      </w:r>
      <w:r w:rsidR="00E120C2" w:rsidRPr="00263307">
        <w:rPr>
          <w:rFonts w:ascii="Book Antiqua" w:hAnsi="Book Antiqua"/>
          <w:color w:val="000000" w:themeColor="text1"/>
          <w:sz w:val="24"/>
          <w:szCs w:val="24"/>
        </w:rPr>
        <w:fldChar w:fldCharType="end"/>
      </w:r>
      <w:r w:rsidR="00483809" w:rsidRPr="00263307">
        <w:rPr>
          <w:rFonts w:ascii="Book Antiqua" w:hAnsi="Book Antiqua"/>
          <w:color w:val="000000" w:themeColor="text1"/>
          <w:sz w:val="24"/>
          <w:szCs w:val="24"/>
        </w:rPr>
        <w:t xml:space="preserve">. </w:t>
      </w:r>
      <w:r w:rsidR="00F41B5F" w:rsidRPr="00263307">
        <w:rPr>
          <w:rFonts w:ascii="Book Antiqua" w:hAnsi="Book Antiqua"/>
          <w:color w:val="000000" w:themeColor="text1"/>
          <w:sz w:val="24"/>
          <w:szCs w:val="24"/>
        </w:rPr>
        <w:t>Previously</w:t>
      </w:r>
      <w:r w:rsidR="00440889" w:rsidRPr="00263307">
        <w:rPr>
          <w:rFonts w:ascii="Book Antiqua" w:hAnsi="Book Antiqua"/>
          <w:color w:val="000000" w:themeColor="text1"/>
          <w:sz w:val="24"/>
          <w:szCs w:val="24"/>
        </w:rPr>
        <w:t>, the</w:t>
      </w:r>
      <w:r w:rsidR="00F41B5F" w:rsidRPr="00263307">
        <w:rPr>
          <w:rFonts w:ascii="Book Antiqua" w:hAnsi="Book Antiqua"/>
          <w:color w:val="000000" w:themeColor="text1"/>
          <w:sz w:val="24"/>
          <w:szCs w:val="24"/>
        </w:rPr>
        <w:t xml:space="preserve"> proposed cut-off values of CRP </w:t>
      </w:r>
      <w:r w:rsidR="004641B6" w:rsidRPr="00263307">
        <w:rPr>
          <w:rFonts w:ascii="Book Antiqua" w:hAnsi="Book Antiqua"/>
          <w:color w:val="000000" w:themeColor="text1"/>
          <w:sz w:val="24"/>
          <w:szCs w:val="24"/>
        </w:rPr>
        <w:t>ranged</w:t>
      </w:r>
      <w:r w:rsidR="00F41B5F" w:rsidRPr="00263307">
        <w:rPr>
          <w:rFonts w:ascii="Book Antiqua" w:hAnsi="Book Antiqua"/>
          <w:color w:val="000000" w:themeColor="text1"/>
          <w:sz w:val="24"/>
          <w:szCs w:val="24"/>
        </w:rPr>
        <w:t xml:space="preserve"> among studies from 0.3 mg/dL to 5.1 mg/dL; </w:t>
      </w:r>
      <w:r w:rsidR="00440889" w:rsidRPr="00263307">
        <w:rPr>
          <w:rFonts w:ascii="Book Antiqua" w:hAnsi="Book Antiqua"/>
          <w:color w:val="000000" w:themeColor="text1"/>
          <w:sz w:val="24"/>
          <w:szCs w:val="24"/>
        </w:rPr>
        <w:t xml:space="preserve">one </w:t>
      </w:r>
      <w:r w:rsidR="00F41B5F" w:rsidRPr="00263307">
        <w:rPr>
          <w:rFonts w:ascii="Book Antiqua" w:hAnsi="Book Antiqua"/>
          <w:color w:val="000000" w:themeColor="text1"/>
          <w:sz w:val="24"/>
          <w:szCs w:val="24"/>
        </w:rPr>
        <w:t>previous study revealed CRP</w:t>
      </w:r>
      <w:r w:rsidR="00440889" w:rsidRPr="00263307">
        <w:rPr>
          <w:rFonts w:ascii="Book Antiqua" w:hAnsi="Book Antiqua"/>
          <w:color w:val="000000" w:themeColor="text1"/>
          <w:sz w:val="24"/>
          <w:szCs w:val="24"/>
        </w:rPr>
        <w:t xml:space="preserve"> </w:t>
      </w:r>
      <w:r w:rsidR="00F41B5F" w:rsidRPr="00263307">
        <w:rPr>
          <w:rFonts w:ascii="Book Antiqua" w:hAnsi="Book Antiqua"/>
          <w:color w:val="000000" w:themeColor="text1"/>
          <w:sz w:val="24"/>
          <w:szCs w:val="24"/>
        </w:rPr>
        <w:t>&gt;</w:t>
      </w:r>
      <w:r w:rsidR="00440889" w:rsidRPr="00263307">
        <w:rPr>
          <w:rFonts w:ascii="Book Antiqua" w:hAnsi="Book Antiqua"/>
          <w:color w:val="000000" w:themeColor="text1"/>
          <w:sz w:val="24"/>
          <w:szCs w:val="24"/>
        </w:rPr>
        <w:t xml:space="preserve"> </w:t>
      </w:r>
      <w:r w:rsidR="00F41B5F" w:rsidRPr="00263307">
        <w:rPr>
          <w:rFonts w:ascii="Book Antiqua" w:hAnsi="Book Antiqua"/>
          <w:color w:val="000000" w:themeColor="text1"/>
          <w:sz w:val="24"/>
          <w:szCs w:val="24"/>
        </w:rPr>
        <w:t>0.3 m</w:t>
      </w:r>
      <w:r w:rsidR="00E870B6" w:rsidRPr="00263307">
        <w:rPr>
          <w:rFonts w:ascii="Book Antiqua" w:hAnsi="Book Antiqua"/>
          <w:color w:val="000000" w:themeColor="text1"/>
          <w:sz w:val="24"/>
          <w:szCs w:val="24"/>
        </w:rPr>
        <w:t>g</w:t>
      </w:r>
      <w:r w:rsidR="00F41B5F" w:rsidRPr="00263307">
        <w:rPr>
          <w:rFonts w:ascii="Book Antiqua" w:hAnsi="Book Antiqua"/>
          <w:color w:val="000000" w:themeColor="text1"/>
          <w:sz w:val="24"/>
          <w:szCs w:val="24"/>
        </w:rPr>
        <w:t xml:space="preserve">/dL was associated with </w:t>
      </w:r>
      <w:r w:rsidR="00F41B5F" w:rsidRPr="00263307">
        <w:rPr>
          <w:rFonts w:ascii="Book Antiqua" w:hAnsi="Book Antiqua"/>
          <w:color w:val="000000" w:themeColor="text1"/>
          <w:sz w:val="24"/>
          <w:szCs w:val="24"/>
        </w:rPr>
        <w:lastRenderedPageBreak/>
        <w:t>CA</w:t>
      </w:r>
      <w:r w:rsidR="00E120C2" w:rsidRPr="00263307">
        <w:rPr>
          <w:rFonts w:ascii="Book Antiqua" w:hAnsi="Book Antiqua"/>
          <w:color w:val="000000" w:themeColor="text1"/>
          <w:sz w:val="24"/>
          <w:szCs w:val="24"/>
        </w:rPr>
        <w:fldChar w:fldCharType="begin" w:fldLock="1"/>
      </w:r>
      <w:r w:rsidR="00E120C2" w:rsidRPr="00263307">
        <w:rPr>
          <w:rFonts w:ascii="Book Antiqua" w:hAnsi="Book Antiqua"/>
          <w:color w:val="000000" w:themeColor="text1"/>
          <w:sz w:val="24"/>
          <w:szCs w:val="24"/>
        </w:rPr>
        <w:instrText>ADDIN CSL_CITATION {"citationItems":[{"id":"ITEM-1","itemData":{"DOI":"10.1186/s13017-016-0081-6","ISSN":"17497922","abstract":"Background: Diagnostic approach for complicated appendicitis is still controversial. We planned this study to analyze preoperative laboratory markers that may predict complications of appendicitis. Methods: Patients who underwent appendectomy were retrospectively recruited. They were divided into complicated appendicitis and non-complicated appendicitis groups and their preoperative laboratory results were reviewed. Results: A total of 234 patients were included. Elevated international normalized ratio (INR) and serum C-reactive protein (CRP) were associated with complicated appendicitis (p = 0.001). On ROC curve analysis, area under the curve (AUC) of CRP and INR were 0.796 and 0.723, respectively. Conclusions: INR and CRP increased significantly in patients with complicated appendicitis. Further studies evaluating INR and CRP in patients undergoing conservative management for appendicitis are required.","author":[{"dropping-particle":"","family":"Kim","given":"Maru","non-dropping-particle":"","parse-names":false,"suffix":""},{"dropping-particle":"","family":"Kim","given":"Sung Jeep","non-dropping-particle":"","parse-names":false,"suffix":""},{"dropping-particle":"","family":"Cho","given":"Hang Joo","non-dropping-particle":"","parse-names":false,"suffix":""}],"container-title":"World Journal of Emergency Surgery","id":"ITEM-1","issue":"1","issued":{"date-parts":[["2016"]]},"page":"1-5","publisher":"World Journal of Emergency Surgery","title":"International normalized ratio and serum C-reactive protein are feasible markers to predict complicated appendicitis","type":"article-journal","volume":"11"},"uris":["http://www.mendeley.com/documents/?uuid=97005a2a-f3a8-4486-9922-7f63de88c3a8"]}],"mendeley":{"formattedCitation":"&lt;sup&gt;[&lt;sup&gt;15&lt;/sup&gt;]&lt;/sup&gt;","plainTextFormattedCitation":"[15]","previouslyFormattedCitation":"&lt;sup&gt;[&lt;sup&gt;15&lt;/sup&gt;]&lt;/sup&gt;"},"properties":{"noteIndex":0},"schema":"https://github.com/citation-style-language/schema/raw/master/csl-citation.json"}</w:instrText>
      </w:r>
      <w:r w:rsidR="00E120C2" w:rsidRPr="00263307">
        <w:rPr>
          <w:rFonts w:ascii="Book Antiqua" w:hAnsi="Book Antiqua"/>
          <w:color w:val="000000" w:themeColor="text1"/>
          <w:sz w:val="24"/>
          <w:szCs w:val="24"/>
        </w:rPr>
        <w:fldChar w:fldCharType="separate"/>
      </w:r>
      <w:r w:rsidR="00E120C2" w:rsidRPr="00263307">
        <w:rPr>
          <w:rFonts w:ascii="Book Antiqua" w:hAnsi="Book Antiqua"/>
          <w:noProof/>
          <w:color w:val="000000" w:themeColor="text1"/>
          <w:sz w:val="24"/>
          <w:szCs w:val="24"/>
          <w:vertAlign w:val="superscript"/>
        </w:rPr>
        <w:t>[15]</w:t>
      </w:r>
      <w:r w:rsidR="00E120C2" w:rsidRPr="00263307">
        <w:rPr>
          <w:rFonts w:ascii="Book Antiqua" w:hAnsi="Book Antiqua"/>
          <w:color w:val="000000" w:themeColor="text1"/>
          <w:sz w:val="24"/>
          <w:szCs w:val="24"/>
        </w:rPr>
        <w:fldChar w:fldCharType="end"/>
      </w:r>
      <w:r w:rsidR="00F41B5F" w:rsidRPr="00263307">
        <w:rPr>
          <w:rFonts w:ascii="Book Antiqua" w:hAnsi="Book Antiqua"/>
          <w:color w:val="000000" w:themeColor="text1"/>
          <w:sz w:val="24"/>
          <w:szCs w:val="24"/>
        </w:rPr>
        <w:t xml:space="preserve">. Other studies proposed </w:t>
      </w:r>
      <w:r w:rsidR="00440889" w:rsidRPr="00263307">
        <w:rPr>
          <w:rFonts w:ascii="Book Antiqua" w:hAnsi="Book Antiqua"/>
          <w:color w:val="000000" w:themeColor="text1"/>
          <w:sz w:val="24"/>
          <w:szCs w:val="24"/>
        </w:rPr>
        <w:t xml:space="preserve">a </w:t>
      </w:r>
      <w:r w:rsidR="00F41B5F" w:rsidRPr="00263307">
        <w:rPr>
          <w:rFonts w:ascii="Book Antiqua" w:hAnsi="Book Antiqua"/>
          <w:color w:val="000000" w:themeColor="text1"/>
          <w:sz w:val="24"/>
          <w:szCs w:val="24"/>
        </w:rPr>
        <w:t xml:space="preserve">cut-off value </w:t>
      </w:r>
      <w:r w:rsidR="00440889" w:rsidRPr="00263307">
        <w:rPr>
          <w:rFonts w:ascii="Book Antiqua" w:hAnsi="Book Antiqua"/>
          <w:color w:val="000000" w:themeColor="text1"/>
          <w:sz w:val="24"/>
          <w:szCs w:val="24"/>
        </w:rPr>
        <w:t xml:space="preserve">of </w:t>
      </w:r>
      <w:r w:rsidR="00F41B5F" w:rsidRPr="00263307">
        <w:rPr>
          <w:rFonts w:ascii="Book Antiqua" w:hAnsi="Book Antiqua"/>
          <w:color w:val="000000" w:themeColor="text1"/>
          <w:sz w:val="24"/>
          <w:szCs w:val="24"/>
        </w:rPr>
        <w:t>around 1.0 mg/dL</w:t>
      </w:r>
      <w:r w:rsidR="00E120C2" w:rsidRPr="00263307">
        <w:rPr>
          <w:rFonts w:ascii="Book Antiqua" w:hAnsi="Book Antiqua"/>
          <w:color w:val="000000" w:themeColor="text1"/>
          <w:sz w:val="24"/>
          <w:szCs w:val="24"/>
        </w:rPr>
        <w:fldChar w:fldCharType="begin" w:fldLock="1"/>
      </w:r>
      <w:r w:rsidR="00E120C2" w:rsidRPr="00263307">
        <w:rPr>
          <w:rFonts w:ascii="Book Antiqua" w:hAnsi="Book Antiqua"/>
          <w:color w:val="000000" w:themeColor="text1"/>
          <w:sz w:val="24"/>
          <w:szCs w:val="24"/>
        </w:rPr>
        <w:instrText>ADDIN CSL_CITATION {"citationItems":[{"id":"ITEM-1","itemData":{"DOI":"10.1155/2016/6508619","ISSN":"23146141","abstract":"Background. Acute appendicitis (AA) associated with acute phase reaction is the most prevalent disease which requires emergency surgery. Its delayed diagnosis and unnecessarily performed appendectomies lead to numerous complications. In our study, we aimed to detect the role of WBC and CRP in the exclusion of acute and complicated appendicitis and diagnostic accuracy in pediatric age group. Methods. Appendectomized patient groups were constructed based on the results of histological evaluation. The area under a receiver operating characteristic (ROC) curve (AUC) was performed to examine diagnostic accuracy. Results. When WBC and CRP were used in combination, based on cut-off values of ≥13.1 × 103/</w:instrText>
      </w:r>
      <w:r w:rsidR="00E120C2" w:rsidRPr="00263307">
        <w:rPr>
          <w:rFonts w:ascii="Book Antiqua" w:hAnsi="Book Antiqua" w:cs="Lantinghei SC Extralight"/>
          <w:color w:val="000000" w:themeColor="text1"/>
          <w:sz w:val="24"/>
          <w:szCs w:val="24"/>
        </w:rPr>
        <w:instrText>μ</w:instrText>
      </w:r>
      <w:r w:rsidR="00E120C2" w:rsidRPr="00263307">
        <w:rPr>
          <w:rFonts w:ascii="Book Antiqua" w:hAnsi="Book Antiqua"/>
          <w:color w:val="000000" w:themeColor="text1"/>
          <w:sz w:val="24"/>
          <w:szCs w:val="24"/>
        </w:rPr>
        <w:instrText>L for WBC counts and ≥1.17 mg/dL for CRP level, diagnostic parameters were as follows: sensitivity, 98.7%; specificity, 71.3%; PPV, 50.6%; NPV, 99.5%; diagnostic accuracy, 77.6%; LR(+), 3.44; LR(-), 0.017. AUC values were 0.845 (95% CI 0.800-0.891) for WBC and 0.887 (95% CI 0.841-0.932) for CRP. Conclusions. For complicated appendicitis, CRP has the highest degree of diagnostic accuracy. The diagnosis of appendicitis should be made primarily based on clinical examination, and obviously more specific and systemic inflammatory markers are needed. Combined use of cut-off values of WBC (≥13100/</w:instrText>
      </w:r>
      <w:r w:rsidR="00E120C2" w:rsidRPr="00263307">
        <w:rPr>
          <w:rFonts w:ascii="Book Antiqua" w:hAnsi="Book Antiqua" w:cs="Lantinghei SC Extralight"/>
          <w:color w:val="000000" w:themeColor="text1"/>
          <w:sz w:val="24"/>
          <w:szCs w:val="24"/>
        </w:rPr>
        <w:instrText>μ</w:instrText>
      </w:r>
      <w:r w:rsidR="00E120C2" w:rsidRPr="00263307">
        <w:rPr>
          <w:rFonts w:ascii="Book Antiqua" w:hAnsi="Book Antiqua"/>
          <w:color w:val="000000" w:themeColor="text1"/>
          <w:sz w:val="24"/>
          <w:szCs w:val="24"/>
        </w:rPr>
        <w:instrText>L) and CRP (≥1.17 mg/L) yields a higher sensitivity and NPV for the diagnosis of complicated appendicitis.","author":[{"dropping-particle":"","family":"Sarsu","given":"Sevgi Buyukbese","non-dropping-particle":"","parse-names":false,"suffix":""},{"dropping-particle":"","family":"Sarac","given":"Fatma","non-dropping-particle":"","parse-names":false,"suffix":""}],"container-title":"BioMed Research International","id":"ITEM-1","issued":{"date-parts":[["2016"]]},"title":"Diagnostic Value of White Blood Cell and C-Reactive Protein in Pediatric Appendicitis","type":"article-journal","volume":"2016"},"uris":["http://www.mendeley.com/documents/?uuid=6ed86822-13a1-4ddb-9e36-55161ef860da"]},{"id":"ITEM-2","itemData":{"DOI":"10.5811/westjem.2014.9.21568","ISSN":"1936900X","author":[{"dropping-particle":"","family":"Shogilev","given":"Daniel","non-dropping-particle":"","parse-names":false,"suffix":""},{"dropping-particle":"","family":"Duus","given":"Nicolaj","non-dropping-particle":"","parse-names":false,"suffix":""},{"dropping-particle":"","family":"Odom","given":"Stephen","non-dropping-particle":"","parse-names":false,"suffix":""},{"dropping-particle":"","family":"Shapiro","given":"Nathan","non-dropping-particle":"","parse-names":false,"suffix":""}],"container-title":"Western Journal of Emergency Medicine","id":"ITEM-2","issue":"7","issued":{"date-parts":[["2014","11","1"]]},"page":"859-871","title":"Diagnosing Appendicitis: Evidence-Based Review of the Diagnostic Approach in 2014","type":"article-journal","volume":"15"},"uris":["http://www.mendeley.com/documents/?uuid=eb1f544a-cddb-4284-a4ad-faab1f1793bf"]}],"mendeley":{"formattedCitation":"&lt;sup&gt;[&lt;sup&gt;12&lt;/sup&gt;,&lt;sup&gt;16&lt;/sup&gt;]&lt;/sup&gt;","plainTextFormattedCitation":"[12,16]","previouslyFormattedCitation":"&lt;sup&gt;[&lt;sup&gt;12&lt;/sup&gt;,&lt;sup&gt;16&lt;/sup&gt;]&lt;/sup&gt;"},"properties":{"noteIndex":0},"schema":"https://github.com/citation-style-language/schema/raw/master/csl-citation.json"}</w:instrText>
      </w:r>
      <w:r w:rsidR="00E120C2" w:rsidRPr="00263307">
        <w:rPr>
          <w:rFonts w:ascii="Book Antiqua" w:hAnsi="Book Antiqua"/>
          <w:color w:val="000000" w:themeColor="text1"/>
          <w:sz w:val="24"/>
          <w:szCs w:val="24"/>
        </w:rPr>
        <w:fldChar w:fldCharType="separate"/>
      </w:r>
      <w:r w:rsidR="00E120C2" w:rsidRPr="00263307">
        <w:rPr>
          <w:rFonts w:ascii="Book Antiqua" w:hAnsi="Book Antiqua"/>
          <w:noProof/>
          <w:color w:val="000000" w:themeColor="text1"/>
          <w:sz w:val="24"/>
          <w:szCs w:val="24"/>
          <w:vertAlign w:val="superscript"/>
        </w:rPr>
        <w:t>[12,16]</w:t>
      </w:r>
      <w:r w:rsidR="00E120C2" w:rsidRPr="00263307">
        <w:rPr>
          <w:rFonts w:ascii="Book Antiqua" w:hAnsi="Book Antiqua"/>
          <w:color w:val="000000" w:themeColor="text1"/>
          <w:sz w:val="24"/>
          <w:szCs w:val="24"/>
        </w:rPr>
        <w:fldChar w:fldCharType="end"/>
      </w:r>
      <w:r w:rsidR="00F41B5F" w:rsidRPr="00263307">
        <w:rPr>
          <w:rFonts w:ascii="Book Antiqua" w:hAnsi="Book Antiqua"/>
          <w:color w:val="000000" w:themeColor="text1"/>
          <w:sz w:val="24"/>
          <w:szCs w:val="24"/>
        </w:rPr>
        <w:t xml:space="preserve">. </w:t>
      </w:r>
      <w:r w:rsidR="00440889" w:rsidRPr="00263307">
        <w:rPr>
          <w:rFonts w:ascii="Book Antiqua" w:hAnsi="Book Antiqua"/>
          <w:color w:val="000000" w:themeColor="text1"/>
          <w:sz w:val="24"/>
          <w:szCs w:val="24"/>
        </w:rPr>
        <w:t>Using</w:t>
      </w:r>
      <w:r w:rsidR="00F41B5F" w:rsidRPr="00263307">
        <w:rPr>
          <w:rFonts w:ascii="Book Antiqua" w:hAnsi="Book Antiqua"/>
          <w:color w:val="000000" w:themeColor="text1"/>
          <w:sz w:val="24"/>
          <w:szCs w:val="24"/>
        </w:rPr>
        <w:t xml:space="preserve"> logistic regression</w:t>
      </w:r>
      <w:r w:rsidR="00440889" w:rsidRPr="00263307">
        <w:rPr>
          <w:rFonts w:ascii="Book Antiqua" w:hAnsi="Book Antiqua"/>
          <w:color w:val="000000" w:themeColor="text1"/>
          <w:sz w:val="24"/>
          <w:szCs w:val="24"/>
        </w:rPr>
        <w:t>, another study</w:t>
      </w:r>
      <w:r w:rsidR="00F41B5F" w:rsidRPr="00263307">
        <w:rPr>
          <w:rFonts w:ascii="Book Antiqua" w:hAnsi="Book Antiqua"/>
          <w:color w:val="000000" w:themeColor="text1"/>
          <w:sz w:val="24"/>
          <w:szCs w:val="24"/>
        </w:rPr>
        <w:t xml:space="preserve"> showed that CRP</w:t>
      </w:r>
      <w:r w:rsidR="00440889" w:rsidRPr="00263307">
        <w:rPr>
          <w:rFonts w:ascii="Book Antiqua" w:hAnsi="Book Antiqua"/>
          <w:color w:val="000000" w:themeColor="text1"/>
          <w:sz w:val="24"/>
          <w:szCs w:val="24"/>
        </w:rPr>
        <w:t xml:space="preserve"> </w:t>
      </w:r>
      <w:r w:rsidR="00F41B5F" w:rsidRPr="00263307">
        <w:rPr>
          <w:rFonts w:ascii="Book Antiqua" w:hAnsi="Book Antiqua"/>
          <w:color w:val="000000" w:themeColor="text1"/>
          <w:sz w:val="24"/>
          <w:szCs w:val="24"/>
        </w:rPr>
        <w:t>&gt;</w:t>
      </w:r>
      <w:r w:rsidR="00440889" w:rsidRPr="00263307">
        <w:rPr>
          <w:rFonts w:ascii="Book Antiqua" w:hAnsi="Book Antiqua"/>
          <w:color w:val="000000" w:themeColor="text1"/>
          <w:sz w:val="24"/>
          <w:szCs w:val="24"/>
        </w:rPr>
        <w:t xml:space="preserve"> </w:t>
      </w:r>
      <w:r w:rsidR="00F41B5F" w:rsidRPr="00263307">
        <w:rPr>
          <w:rFonts w:ascii="Book Antiqua" w:hAnsi="Book Antiqua"/>
          <w:color w:val="000000" w:themeColor="text1"/>
          <w:sz w:val="24"/>
          <w:szCs w:val="24"/>
        </w:rPr>
        <w:t xml:space="preserve">5.1 mg/dL had </w:t>
      </w:r>
      <w:r w:rsidR="00440889" w:rsidRPr="00263307">
        <w:rPr>
          <w:rFonts w:ascii="Book Antiqua" w:hAnsi="Book Antiqua"/>
          <w:color w:val="000000" w:themeColor="text1"/>
          <w:sz w:val="24"/>
          <w:szCs w:val="24"/>
        </w:rPr>
        <w:t xml:space="preserve">an </w:t>
      </w:r>
      <w:r w:rsidR="00F41B5F" w:rsidRPr="00263307">
        <w:rPr>
          <w:rFonts w:ascii="Book Antiqua" w:hAnsi="Book Antiqua"/>
          <w:color w:val="000000" w:themeColor="text1"/>
          <w:sz w:val="24"/>
          <w:szCs w:val="24"/>
        </w:rPr>
        <w:t xml:space="preserve">OR as </w:t>
      </w:r>
      <w:r w:rsidR="00440889" w:rsidRPr="00263307">
        <w:rPr>
          <w:rFonts w:ascii="Book Antiqua" w:hAnsi="Book Antiqua"/>
          <w:color w:val="000000" w:themeColor="text1"/>
          <w:sz w:val="24"/>
          <w:szCs w:val="24"/>
        </w:rPr>
        <w:t xml:space="preserve">high </w:t>
      </w:r>
      <w:r w:rsidR="00F41B5F" w:rsidRPr="00263307">
        <w:rPr>
          <w:rFonts w:ascii="Book Antiqua" w:hAnsi="Book Antiqua"/>
          <w:color w:val="000000" w:themeColor="text1"/>
          <w:sz w:val="24"/>
          <w:szCs w:val="24"/>
        </w:rPr>
        <w:t xml:space="preserve">as </w:t>
      </w:r>
      <w:r w:rsidR="00991364" w:rsidRPr="00263307">
        <w:rPr>
          <w:rFonts w:ascii="Book Antiqua" w:hAnsi="Book Antiqua"/>
          <w:color w:val="000000" w:themeColor="text1"/>
          <w:sz w:val="24"/>
          <w:szCs w:val="24"/>
        </w:rPr>
        <w:t>3.076</w:t>
      </w:r>
      <w:r w:rsidR="00E120C2" w:rsidRPr="00263307">
        <w:rPr>
          <w:rFonts w:ascii="Book Antiqua" w:hAnsi="Book Antiqua"/>
          <w:color w:val="000000" w:themeColor="text1"/>
          <w:sz w:val="24"/>
          <w:szCs w:val="24"/>
        </w:rPr>
        <w:fldChar w:fldCharType="begin" w:fldLock="1"/>
      </w:r>
      <w:r w:rsidR="00E120C2" w:rsidRPr="00263307">
        <w:rPr>
          <w:rFonts w:ascii="Book Antiqua" w:hAnsi="Book Antiqua"/>
          <w:color w:val="000000" w:themeColor="text1"/>
          <w:sz w:val="24"/>
          <w:szCs w:val="24"/>
        </w:rPr>
        <w:instrText>ADDIN CSL_CITATION {"citationItems":[{"id":"ITEM-1","itemData":{"DOI":"10.1007/s12262-016-1558-y","ISSN":"09739793","abstract":"Unnecessary appendectomy can cause complications; ways of reducing negative appendectomy rates (NAR) using biochemical and imaging methods are desirable. We retrospectively examined 640 patients who underwent appendectomy for suspected AA. Patients with histologically confirmed appendicitis were designated the positive appendectomy group (n = 565), whereas those with unconfirmed appendicitis were designated the negative appendectomy group (n = 75). The positive appendectomy group was subdivided into the non-perforated (n = 511) and perforated (n = 54) appendectomy groups according to pathology reports. We compared the age, sex, lymphocyte count, neutrophil percentage, pathologic positivity or negativity for appendicitis, C-reactive protein (CRP) level, neutrophil-to-lymphocyte ratio (NLR), and platelet-to-lymphocyte ratio (PLR) of the patients. When the perforated, non-perforated, and negative appendectomy groups were compared, the highest CRP level, NLR, and PLR were evident in the perforated appendectomy group (p = 0.001), whereas the lowest neutrophil percentage was found in the non-perforated appendectomy group (p = 0.001). Multiple logistic regression analysis identified neutrophil percentage, CRP value, and NLR as independent variables and demonstrated that AA could be diagnosed with 88.9 % accuracy using the cutoff values determined. In patients with suspected AA, particularly in rural areas with limited access to advanced imaging modalities, the evaluation of neutrophil percentage, CRP level, and NLR, in combination with the findings of a physical examination, may aid diagnosis and reduce NAR.","author":[{"dropping-particle":"","family":"Yazar","given":"Fatih Mehmet","non-dropping-particle":"","parse-names":false,"suffix":""},{"dropping-particle":"","family":"Urfalioglu","given":"Aykut","non-dropping-particle":"","parse-names":false,"suffix":""},{"dropping-particle":"","family":"Bakacak","given":"Murat","non-dropping-particle":"","parse-names":false,"suffix":""},{"dropping-particle":"","family":"Boran","given":"Ömer Faruk","non-dropping-particle":"","parse-names":false,"suffix":""},{"dropping-particle":"","family":"Bülbülo</w:instrText>
      </w:r>
      <w:r w:rsidR="00E120C2" w:rsidRPr="00263307">
        <w:rPr>
          <w:rFonts w:ascii="Book Antiqua" w:hAnsi="Book Antiqua" w:cs="Kohinoor Telugu Semibold"/>
          <w:color w:val="000000" w:themeColor="text1"/>
          <w:sz w:val="24"/>
          <w:szCs w:val="24"/>
        </w:rPr>
        <w:instrText>ğ</w:instrText>
      </w:r>
      <w:r w:rsidR="00E120C2" w:rsidRPr="00263307">
        <w:rPr>
          <w:rFonts w:ascii="Book Antiqua" w:hAnsi="Book Antiqua"/>
          <w:color w:val="000000" w:themeColor="text1"/>
          <w:sz w:val="24"/>
          <w:szCs w:val="24"/>
        </w:rPr>
        <w:instrText>lu","given":"Ertan","non-dropping-particle":"","parse-names":false,"suffix":""}],"container-title":"Indian Journal of Surgery","id":"ITEM-1","issue":"1","issued":{"date-parts":[["2018"]]},"page":"61-67","title":"Efficacy of the Evaluation of Inflammatory Markers for the Reduction of Negative Appendectomy Rates","type":"article-journal","volume":"80"},"uris":["http://www.mendeley.com/documents/?uuid=ea309a94-c126-4dd0-bd01-4606a60366bb"]}],"mendeley":{"formattedCitation":"&lt;sup&gt;[&lt;sup&gt;23&lt;/sup&gt;]&lt;/sup&gt;","plainTextFormattedCitation":"[23]","previouslyFormattedCitation":"&lt;sup&gt;[&lt;sup&gt;23&lt;/sup&gt;]&lt;/sup&gt;"},"properties":{"noteIndex":0},"schema":"https://github.com/citation-style-language/schema/raw/master/csl-citation.json"}</w:instrText>
      </w:r>
      <w:r w:rsidR="00E120C2" w:rsidRPr="00263307">
        <w:rPr>
          <w:rFonts w:ascii="Book Antiqua" w:hAnsi="Book Antiqua"/>
          <w:color w:val="000000" w:themeColor="text1"/>
          <w:sz w:val="24"/>
          <w:szCs w:val="24"/>
        </w:rPr>
        <w:fldChar w:fldCharType="separate"/>
      </w:r>
      <w:r w:rsidR="00E120C2" w:rsidRPr="00263307">
        <w:rPr>
          <w:rFonts w:ascii="Book Antiqua" w:hAnsi="Book Antiqua"/>
          <w:noProof/>
          <w:color w:val="000000" w:themeColor="text1"/>
          <w:sz w:val="24"/>
          <w:szCs w:val="24"/>
          <w:vertAlign w:val="superscript"/>
        </w:rPr>
        <w:t>[23]</w:t>
      </w:r>
      <w:r w:rsidR="00E120C2" w:rsidRPr="00263307">
        <w:rPr>
          <w:rFonts w:ascii="Book Antiqua" w:hAnsi="Book Antiqua"/>
          <w:color w:val="000000" w:themeColor="text1"/>
          <w:sz w:val="24"/>
          <w:szCs w:val="24"/>
        </w:rPr>
        <w:fldChar w:fldCharType="end"/>
      </w:r>
      <w:r w:rsidR="00991364" w:rsidRPr="00263307">
        <w:rPr>
          <w:rFonts w:ascii="Book Antiqua" w:hAnsi="Book Antiqua"/>
          <w:color w:val="000000" w:themeColor="text1"/>
          <w:sz w:val="24"/>
          <w:szCs w:val="24"/>
        </w:rPr>
        <w:t>. In addit</w:t>
      </w:r>
      <w:r w:rsidR="004641B6" w:rsidRPr="00263307">
        <w:rPr>
          <w:rFonts w:ascii="Book Antiqua" w:hAnsi="Book Antiqua"/>
          <w:color w:val="000000" w:themeColor="text1"/>
          <w:sz w:val="24"/>
          <w:szCs w:val="24"/>
        </w:rPr>
        <w:t>i</w:t>
      </w:r>
      <w:r w:rsidR="00991364" w:rsidRPr="00263307">
        <w:rPr>
          <w:rFonts w:ascii="Book Antiqua" w:hAnsi="Book Antiqua"/>
          <w:color w:val="000000" w:themeColor="text1"/>
          <w:sz w:val="24"/>
          <w:szCs w:val="24"/>
        </w:rPr>
        <w:t xml:space="preserve">on to these previous studies, our study revealed </w:t>
      </w:r>
      <w:r w:rsidR="00F27576" w:rsidRPr="00263307">
        <w:rPr>
          <w:rFonts w:ascii="Book Antiqua" w:hAnsi="Book Antiqua"/>
          <w:color w:val="000000" w:themeColor="text1"/>
          <w:sz w:val="24"/>
          <w:szCs w:val="24"/>
        </w:rPr>
        <w:t xml:space="preserve">a </w:t>
      </w:r>
      <w:r w:rsidR="00991364" w:rsidRPr="00263307">
        <w:rPr>
          <w:rFonts w:ascii="Book Antiqua" w:hAnsi="Book Antiqua"/>
          <w:color w:val="000000" w:themeColor="text1"/>
          <w:sz w:val="24"/>
          <w:szCs w:val="24"/>
        </w:rPr>
        <w:t xml:space="preserve">dose-dependent increase of </w:t>
      </w:r>
      <w:r w:rsidR="004641B6" w:rsidRPr="00263307">
        <w:rPr>
          <w:rFonts w:ascii="Book Antiqua" w:hAnsi="Book Antiqua"/>
          <w:color w:val="000000" w:themeColor="text1"/>
          <w:sz w:val="24"/>
          <w:szCs w:val="24"/>
        </w:rPr>
        <w:t xml:space="preserve">the </w:t>
      </w:r>
      <w:r w:rsidR="00991364" w:rsidRPr="00263307">
        <w:rPr>
          <w:rFonts w:ascii="Book Antiqua" w:hAnsi="Book Antiqua"/>
          <w:color w:val="000000" w:themeColor="text1"/>
          <w:sz w:val="24"/>
          <w:szCs w:val="24"/>
        </w:rPr>
        <w:t xml:space="preserve">OR predicting CA </w:t>
      </w:r>
      <w:r w:rsidR="004641B6" w:rsidRPr="00263307">
        <w:rPr>
          <w:rFonts w:ascii="Book Antiqua" w:hAnsi="Book Antiqua"/>
          <w:color w:val="000000" w:themeColor="text1"/>
          <w:sz w:val="24"/>
          <w:szCs w:val="24"/>
        </w:rPr>
        <w:t xml:space="preserve">was </w:t>
      </w:r>
      <w:r w:rsidR="00991364" w:rsidRPr="00263307">
        <w:rPr>
          <w:rFonts w:ascii="Book Antiqua" w:hAnsi="Book Antiqua"/>
          <w:color w:val="000000" w:themeColor="text1"/>
          <w:sz w:val="24"/>
          <w:szCs w:val="24"/>
        </w:rPr>
        <w:t xml:space="preserve">associated with </w:t>
      </w:r>
      <w:r w:rsidR="00F27576" w:rsidRPr="00263307">
        <w:rPr>
          <w:rFonts w:ascii="Book Antiqua" w:hAnsi="Book Antiqua"/>
          <w:color w:val="000000" w:themeColor="text1"/>
          <w:sz w:val="24"/>
          <w:szCs w:val="24"/>
        </w:rPr>
        <w:t xml:space="preserve">the </w:t>
      </w:r>
      <w:r w:rsidR="00991364" w:rsidRPr="00263307">
        <w:rPr>
          <w:rFonts w:ascii="Book Antiqua" w:hAnsi="Book Antiqua"/>
          <w:color w:val="000000" w:themeColor="text1"/>
          <w:sz w:val="24"/>
          <w:szCs w:val="24"/>
        </w:rPr>
        <w:t>CRP value. Our study also indicated that CRP</w:t>
      </w:r>
      <w:r w:rsidR="00F27576" w:rsidRPr="00263307">
        <w:rPr>
          <w:rFonts w:ascii="Book Antiqua" w:hAnsi="Book Antiqua"/>
          <w:color w:val="000000" w:themeColor="text1"/>
          <w:sz w:val="24"/>
          <w:szCs w:val="24"/>
        </w:rPr>
        <w:t xml:space="preserve"> </w:t>
      </w:r>
      <w:r w:rsidR="00991364" w:rsidRPr="00263307">
        <w:rPr>
          <w:rFonts w:ascii="Book Antiqua" w:hAnsi="Book Antiqua"/>
          <w:color w:val="000000" w:themeColor="text1"/>
          <w:sz w:val="24"/>
          <w:szCs w:val="24"/>
        </w:rPr>
        <w:t>&gt;</w:t>
      </w:r>
      <w:r w:rsidR="00F27576" w:rsidRPr="00263307">
        <w:rPr>
          <w:rFonts w:ascii="Book Antiqua" w:hAnsi="Book Antiqua"/>
          <w:color w:val="000000" w:themeColor="text1"/>
          <w:sz w:val="24"/>
          <w:szCs w:val="24"/>
        </w:rPr>
        <w:t xml:space="preserve"> </w:t>
      </w:r>
      <w:r w:rsidR="00991364" w:rsidRPr="00263307">
        <w:rPr>
          <w:rFonts w:ascii="Book Antiqua" w:hAnsi="Book Antiqua"/>
          <w:color w:val="000000" w:themeColor="text1"/>
          <w:sz w:val="24"/>
          <w:szCs w:val="24"/>
        </w:rPr>
        <w:t xml:space="preserve">1.0 mg/dL, a relatively low cut-off value, was useful for predicting CA. </w:t>
      </w:r>
      <w:r w:rsidR="000200C9" w:rsidRPr="00263307">
        <w:rPr>
          <w:rFonts w:ascii="Book Antiqua" w:hAnsi="Book Antiqua"/>
          <w:color w:val="000000" w:themeColor="text1"/>
          <w:sz w:val="24"/>
          <w:szCs w:val="24"/>
        </w:rPr>
        <w:t>We believe that our study provide</w:t>
      </w:r>
      <w:r w:rsidR="00F27576" w:rsidRPr="00263307">
        <w:rPr>
          <w:rFonts w:ascii="Book Antiqua" w:hAnsi="Book Antiqua"/>
          <w:color w:val="000000" w:themeColor="text1"/>
          <w:sz w:val="24"/>
          <w:szCs w:val="24"/>
        </w:rPr>
        <w:t>s</w:t>
      </w:r>
      <w:r w:rsidR="000200C9" w:rsidRPr="00263307">
        <w:rPr>
          <w:rFonts w:ascii="Book Antiqua" w:hAnsi="Book Antiqua"/>
          <w:color w:val="000000" w:themeColor="text1"/>
          <w:sz w:val="24"/>
          <w:szCs w:val="24"/>
        </w:rPr>
        <w:t xml:space="preserve"> important knowledge on t</w:t>
      </w:r>
      <w:r w:rsidR="00F27576" w:rsidRPr="00263307">
        <w:rPr>
          <w:rFonts w:ascii="Book Antiqua" w:hAnsi="Book Antiqua"/>
          <w:color w:val="000000" w:themeColor="text1"/>
          <w:sz w:val="24"/>
          <w:szCs w:val="24"/>
        </w:rPr>
        <w:t>h</w:t>
      </w:r>
      <w:r w:rsidR="000200C9" w:rsidRPr="00263307">
        <w:rPr>
          <w:rFonts w:ascii="Book Antiqua" w:hAnsi="Book Antiqua"/>
          <w:color w:val="000000" w:themeColor="text1"/>
          <w:sz w:val="24"/>
          <w:szCs w:val="24"/>
        </w:rPr>
        <w:t xml:space="preserve">e usefulness of CRP for </w:t>
      </w:r>
      <w:r w:rsidR="00F27576" w:rsidRPr="00263307">
        <w:rPr>
          <w:rFonts w:ascii="Book Antiqua" w:hAnsi="Book Antiqua"/>
          <w:color w:val="000000" w:themeColor="text1"/>
          <w:sz w:val="24"/>
          <w:szCs w:val="24"/>
        </w:rPr>
        <w:t xml:space="preserve">the </w:t>
      </w:r>
      <w:r w:rsidR="000200C9" w:rsidRPr="00263307">
        <w:rPr>
          <w:rFonts w:ascii="Book Antiqua" w:hAnsi="Book Antiqua"/>
          <w:color w:val="000000" w:themeColor="text1"/>
          <w:sz w:val="24"/>
          <w:szCs w:val="24"/>
        </w:rPr>
        <w:t>cl</w:t>
      </w:r>
      <w:r w:rsidR="00991364" w:rsidRPr="00263307">
        <w:rPr>
          <w:rFonts w:ascii="Book Antiqua" w:hAnsi="Book Antiqua"/>
          <w:color w:val="000000" w:themeColor="text1"/>
          <w:sz w:val="24"/>
          <w:szCs w:val="24"/>
        </w:rPr>
        <w:t>in</w:t>
      </w:r>
      <w:r w:rsidR="004641B6" w:rsidRPr="00263307">
        <w:rPr>
          <w:rFonts w:ascii="Book Antiqua" w:hAnsi="Book Antiqua"/>
          <w:color w:val="000000" w:themeColor="text1"/>
          <w:sz w:val="24"/>
          <w:szCs w:val="24"/>
        </w:rPr>
        <w:t>i</w:t>
      </w:r>
      <w:r w:rsidR="00991364" w:rsidRPr="00263307">
        <w:rPr>
          <w:rFonts w:ascii="Book Antiqua" w:hAnsi="Book Antiqua"/>
          <w:color w:val="000000" w:themeColor="text1"/>
          <w:sz w:val="24"/>
          <w:szCs w:val="24"/>
        </w:rPr>
        <w:t>cal predictio</w:t>
      </w:r>
      <w:r w:rsidR="00F66B63" w:rsidRPr="00263307">
        <w:rPr>
          <w:rFonts w:ascii="Book Antiqua" w:hAnsi="Book Antiqua"/>
          <w:color w:val="000000" w:themeColor="text1"/>
          <w:sz w:val="24"/>
          <w:szCs w:val="24"/>
        </w:rPr>
        <w:t xml:space="preserve">n of CA because </w:t>
      </w:r>
      <w:r w:rsidR="00F27576" w:rsidRPr="00263307">
        <w:rPr>
          <w:rFonts w:ascii="Book Antiqua" w:hAnsi="Book Antiqua"/>
          <w:color w:val="000000" w:themeColor="text1"/>
          <w:sz w:val="24"/>
          <w:szCs w:val="24"/>
        </w:rPr>
        <w:t xml:space="preserve">a </w:t>
      </w:r>
      <w:r w:rsidR="00F66B63" w:rsidRPr="00263307">
        <w:rPr>
          <w:rFonts w:ascii="Book Antiqua" w:hAnsi="Book Antiqua"/>
          <w:color w:val="000000" w:themeColor="text1"/>
          <w:sz w:val="24"/>
          <w:szCs w:val="24"/>
        </w:rPr>
        <w:t>previous study</w:t>
      </w:r>
      <w:r w:rsidR="00991364" w:rsidRPr="00263307">
        <w:rPr>
          <w:rFonts w:ascii="Book Antiqua" w:hAnsi="Book Antiqua"/>
          <w:color w:val="000000" w:themeColor="text1"/>
          <w:sz w:val="24"/>
          <w:szCs w:val="24"/>
        </w:rPr>
        <w:t xml:space="preserve"> using </w:t>
      </w:r>
      <w:r w:rsidR="000200C9" w:rsidRPr="00263307">
        <w:rPr>
          <w:rFonts w:ascii="Book Antiqua" w:hAnsi="Book Antiqua"/>
          <w:color w:val="000000" w:themeColor="text1"/>
          <w:sz w:val="24"/>
          <w:szCs w:val="24"/>
        </w:rPr>
        <w:t>multivariate an</w:t>
      </w:r>
      <w:r w:rsidR="004641B6" w:rsidRPr="00263307">
        <w:rPr>
          <w:rFonts w:ascii="Book Antiqua" w:hAnsi="Book Antiqua"/>
          <w:color w:val="000000" w:themeColor="text1"/>
          <w:sz w:val="24"/>
          <w:szCs w:val="24"/>
        </w:rPr>
        <w:t>a</w:t>
      </w:r>
      <w:r w:rsidR="000200C9" w:rsidRPr="00263307">
        <w:rPr>
          <w:rFonts w:ascii="Book Antiqua" w:hAnsi="Book Antiqua"/>
          <w:color w:val="000000" w:themeColor="text1"/>
          <w:sz w:val="24"/>
          <w:szCs w:val="24"/>
        </w:rPr>
        <w:t xml:space="preserve">lysis </w:t>
      </w:r>
      <w:r w:rsidR="00F27576" w:rsidRPr="00263307">
        <w:rPr>
          <w:rFonts w:ascii="Book Antiqua" w:hAnsi="Book Antiqua"/>
          <w:color w:val="000000" w:themeColor="text1"/>
          <w:sz w:val="24"/>
          <w:szCs w:val="24"/>
        </w:rPr>
        <w:t xml:space="preserve">that included </w:t>
      </w:r>
      <w:r w:rsidR="000200C9" w:rsidRPr="00263307">
        <w:rPr>
          <w:rFonts w:ascii="Book Antiqua" w:hAnsi="Book Antiqua"/>
          <w:color w:val="000000" w:themeColor="text1"/>
          <w:sz w:val="24"/>
          <w:szCs w:val="24"/>
        </w:rPr>
        <w:t>both non-laboratory and laboratory factors</w:t>
      </w:r>
      <w:r w:rsidR="00F66B63" w:rsidRPr="00263307">
        <w:rPr>
          <w:rFonts w:ascii="Book Antiqua" w:hAnsi="Book Antiqua"/>
          <w:color w:val="000000" w:themeColor="text1"/>
          <w:sz w:val="24"/>
          <w:szCs w:val="24"/>
        </w:rPr>
        <w:t xml:space="preserve"> </w:t>
      </w:r>
      <w:r w:rsidR="00F27576" w:rsidRPr="00263307">
        <w:rPr>
          <w:rFonts w:ascii="Book Antiqua" w:hAnsi="Book Antiqua"/>
          <w:color w:val="000000" w:themeColor="text1"/>
          <w:sz w:val="24"/>
          <w:szCs w:val="24"/>
        </w:rPr>
        <w:t xml:space="preserve">was </w:t>
      </w:r>
      <w:r w:rsidR="00F66B63" w:rsidRPr="00263307">
        <w:rPr>
          <w:rFonts w:ascii="Book Antiqua" w:hAnsi="Book Antiqua"/>
          <w:color w:val="000000" w:themeColor="text1"/>
          <w:sz w:val="24"/>
          <w:szCs w:val="24"/>
        </w:rPr>
        <w:t>limited</w:t>
      </w:r>
      <w:r w:rsidR="00E120C2" w:rsidRPr="00263307">
        <w:rPr>
          <w:rFonts w:ascii="Book Antiqua" w:hAnsi="Book Antiqua"/>
          <w:color w:val="000000" w:themeColor="text1"/>
          <w:sz w:val="24"/>
          <w:szCs w:val="24"/>
        </w:rPr>
        <w:fldChar w:fldCharType="begin" w:fldLock="1"/>
      </w:r>
      <w:r w:rsidR="00E120C2" w:rsidRPr="00263307">
        <w:rPr>
          <w:rFonts w:ascii="Book Antiqua" w:hAnsi="Book Antiqua"/>
          <w:color w:val="000000" w:themeColor="text1"/>
          <w:sz w:val="24"/>
          <w:szCs w:val="24"/>
        </w:rPr>
        <w:instrText>ADDIN CSL_CITATION {"citationItems":[{"id":"ITEM-1","itemData":{"DOI":"10.1007/s12262-016-1558-y","ISSN":"09739793","abstract":"Unnecessary appendectomy can cause complications; ways of reducing negative appendectomy rates (NAR) using biochemical and imaging methods are desirable. We retrospectively examined 640 patients who underwent appendectomy for suspected AA. Patients with histologically confirmed appendicitis were designated the positive appendectomy group (n = 565), whereas those with unconfirmed appendicitis were designated the negative appendectomy group (n = 75). The positive appendectomy group was subdivided into the non-perforated (n = 511) and perforated (n = 54) appendectomy groups according to pathology reports. We compared the age, sex, lymphocyte count, neutrophil percentage, pathologic positivity or negativity for appendicitis, C-reactive protein (CRP) level, neutrophil-to-lymphocyte ratio (NLR), and platelet-to-lymphocyte ratio (PLR) of the patients. When the perforated, non-perforated, and negative appendectomy groups were compared, the highest CRP level, NLR, and PLR were evident in the perforated appendectomy group (p = 0.001), whereas the lowest neutrophil percentage was found in the non-perforated appendectomy group (p = 0.001). Multiple logistic regression analysis identified neutrophil percentage, CRP value, and NLR as independent variables and demonstrated that AA could be diagnosed with 88.9 % accuracy using the cutoff values determined. In patients with suspected AA, particularly in rural areas with limited access to advanced imaging modalities, the evaluation of neutrophil percentage, CRP level, and NLR, in combination with the findings of a physical examination, may aid diagnosis and reduce NAR.","author":[{"dropping-particle":"","family":"Yazar","given":"Fatih Mehmet","non-dropping-particle":"","parse-names":false,"suffix":""},{"dropping-particle":"","family":"Urfalioglu","given":"Aykut","non-dropping-particle":"","parse-names":false,"suffix":""},{"dropping-particle":"","family":"Bakacak","given":"Murat","non-dropping-particle":"","parse-names":false,"suffix":""},{"dropping-particle":"","family":"Boran","given":"Ömer Faruk","non-dropping-particle":"","parse-names":false,"suffix":""},{"dropping-particle":"","family":"Bülbülo</w:instrText>
      </w:r>
      <w:r w:rsidR="00E120C2" w:rsidRPr="00263307">
        <w:rPr>
          <w:rFonts w:ascii="Book Antiqua" w:hAnsi="Book Antiqua" w:cs="Kohinoor Telugu Semibold"/>
          <w:color w:val="000000" w:themeColor="text1"/>
          <w:sz w:val="24"/>
          <w:szCs w:val="24"/>
        </w:rPr>
        <w:instrText>ğ</w:instrText>
      </w:r>
      <w:r w:rsidR="00E120C2" w:rsidRPr="00263307">
        <w:rPr>
          <w:rFonts w:ascii="Book Antiqua" w:hAnsi="Book Antiqua"/>
          <w:color w:val="000000" w:themeColor="text1"/>
          <w:sz w:val="24"/>
          <w:szCs w:val="24"/>
        </w:rPr>
        <w:instrText>lu","given":"Ertan","non-dropping-particle":"","parse-names":false,"suffix":""}],"container-title":"Indian Journal of Surgery","id":"ITEM-1","issue":"1","issued":{"date-parts":[["2018"]]},"page":"61-67","title":"Efficacy of the Evaluation of Inflammatory Markers for the Reduction of Negative Appendectomy Rates","type":"article-journal","volume":"80"},"uris":["http://www.mendeley.com/documents/?uuid=ea309a94-c126-4dd0-bd01-4606a60366bb"]}],"mendeley":{"formattedCitation":"&lt;sup&gt;[&lt;sup&gt;23&lt;/sup&gt;]&lt;/sup&gt;","plainTextFormattedCitation":"[23]","previouslyFormattedCitation":"&lt;sup&gt;[&lt;sup&gt;23&lt;/sup&gt;]&lt;/sup&gt;"},"properties":{"noteIndex":0},"schema":"https://github.com/citation-style-language/schema/raw/master/csl-citation.json"}</w:instrText>
      </w:r>
      <w:r w:rsidR="00E120C2" w:rsidRPr="00263307">
        <w:rPr>
          <w:rFonts w:ascii="Book Antiqua" w:hAnsi="Book Antiqua"/>
          <w:color w:val="000000" w:themeColor="text1"/>
          <w:sz w:val="24"/>
          <w:szCs w:val="24"/>
        </w:rPr>
        <w:fldChar w:fldCharType="separate"/>
      </w:r>
      <w:r w:rsidR="00E120C2" w:rsidRPr="00263307">
        <w:rPr>
          <w:rFonts w:ascii="Book Antiqua" w:hAnsi="Book Antiqua"/>
          <w:noProof/>
          <w:color w:val="000000" w:themeColor="text1"/>
          <w:sz w:val="24"/>
          <w:szCs w:val="24"/>
          <w:vertAlign w:val="superscript"/>
        </w:rPr>
        <w:t>[23]</w:t>
      </w:r>
      <w:r w:rsidR="00E120C2" w:rsidRPr="00263307">
        <w:rPr>
          <w:rFonts w:ascii="Book Antiqua" w:hAnsi="Book Antiqua"/>
          <w:color w:val="000000" w:themeColor="text1"/>
          <w:sz w:val="24"/>
          <w:szCs w:val="24"/>
        </w:rPr>
        <w:fldChar w:fldCharType="end"/>
      </w:r>
      <w:r w:rsidR="00C474AA" w:rsidRPr="00263307">
        <w:rPr>
          <w:rFonts w:ascii="Book Antiqua" w:hAnsi="Book Antiqua"/>
          <w:color w:val="000000" w:themeColor="text1"/>
          <w:sz w:val="24"/>
          <w:szCs w:val="24"/>
        </w:rPr>
        <w:t>.</w:t>
      </w:r>
      <w:r w:rsidR="00430FA5" w:rsidRPr="00263307">
        <w:rPr>
          <w:rFonts w:ascii="Book Antiqua" w:hAnsi="Book Antiqua"/>
          <w:color w:val="000000" w:themeColor="text1"/>
          <w:sz w:val="24"/>
          <w:szCs w:val="24"/>
        </w:rPr>
        <w:t xml:space="preserve"> </w:t>
      </w:r>
      <w:r w:rsidR="004641B6" w:rsidRPr="00263307">
        <w:rPr>
          <w:rFonts w:ascii="Book Antiqua" w:hAnsi="Book Antiqua"/>
          <w:color w:val="000000" w:themeColor="text1"/>
          <w:sz w:val="24"/>
          <w:szCs w:val="24"/>
        </w:rPr>
        <w:t>A p</w:t>
      </w:r>
      <w:r w:rsidR="00C474AA" w:rsidRPr="00263307">
        <w:rPr>
          <w:rFonts w:ascii="Book Antiqua" w:hAnsi="Book Antiqua"/>
          <w:color w:val="000000" w:themeColor="text1"/>
          <w:sz w:val="24"/>
          <w:szCs w:val="24"/>
        </w:rPr>
        <w:t>re</w:t>
      </w:r>
      <w:r w:rsidR="00F27576" w:rsidRPr="00263307">
        <w:rPr>
          <w:rFonts w:ascii="Book Antiqua" w:hAnsi="Book Antiqua"/>
          <w:color w:val="000000" w:themeColor="text1"/>
          <w:sz w:val="24"/>
          <w:szCs w:val="24"/>
        </w:rPr>
        <w:t>vi</w:t>
      </w:r>
      <w:r w:rsidR="00C474AA" w:rsidRPr="00263307">
        <w:rPr>
          <w:rFonts w:ascii="Book Antiqua" w:hAnsi="Book Antiqua"/>
          <w:color w:val="000000" w:themeColor="text1"/>
          <w:sz w:val="24"/>
          <w:szCs w:val="24"/>
        </w:rPr>
        <w:t>ous multivariate analysis using logistic regression showed that male</w:t>
      </w:r>
      <w:r w:rsidR="004641B6" w:rsidRPr="00263307">
        <w:rPr>
          <w:rFonts w:ascii="Book Antiqua" w:hAnsi="Book Antiqua"/>
          <w:color w:val="000000" w:themeColor="text1"/>
          <w:sz w:val="24"/>
          <w:szCs w:val="24"/>
        </w:rPr>
        <w:t xml:space="preserve"> gender</w:t>
      </w:r>
      <w:r w:rsidR="00C474AA" w:rsidRPr="00263307">
        <w:rPr>
          <w:rFonts w:ascii="Book Antiqua" w:hAnsi="Book Antiqua"/>
          <w:color w:val="000000" w:themeColor="text1"/>
          <w:sz w:val="24"/>
          <w:szCs w:val="24"/>
        </w:rPr>
        <w:t>, age, comorbid condition</w:t>
      </w:r>
      <w:r w:rsidR="00F27576" w:rsidRPr="00263307">
        <w:rPr>
          <w:rFonts w:ascii="Book Antiqua" w:hAnsi="Book Antiqua"/>
          <w:color w:val="000000" w:themeColor="text1"/>
          <w:sz w:val="24"/>
          <w:szCs w:val="24"/>
        </w:rPr>
        <w:t>s</w:t>
      </w:r>
      <w:r w:rsidR="00C474AA" w:rsidRPr="00263307">
        <w:rPr>
          <w:rFonts w:ascii="Book Antiqua" w:hAnsi="Book Antiqua"/>
          <w:color w:val="000000" w:themeColor="text1"/>
          <w:sz w:val="24"/>
          <w:szCs w:val="24"/>
        </w:rPr>
        <w:t>, and lack of insurance were significant predictor</w:t>
      </w:r>
      <w:r w:rsidR="00F27576" w:rsidRPr="00263307">
        <w:rPr>
          <w:rFonts w:ascii="Book Antiqua" w:hAnsi="Book Antiqua"/>
          <w:color w:val="000000" w:themeColor="text1"/>
          <w:sz w:val="24"/>
          <w:szCs w:val="24"/>
        </w:rPr>
        <w:t>s</w:t>
      </w:r>
      <w:r w:rsidR="00C474AA" w:rsidRPr="00263307">
        <w:rPr>
          <w:rFonts w:ascii="Book Antiqua" w:hAnsi="Book Antiqua"/>
          <w:color w:val="000000" w:themeColor="text1"/>
          <w:sz w:val="24"/>
          <w:szCs w:val="24"/>
        </w:rPr>
        <w:t xml:space="preserve"> of perforated appendi</w:t>
      </w:r>
      <w:r w:rsidR="00E870B6" w:rsidRPr="00263307">
        <w:rPr>
          <w:rFonts w:ascii="Book Antiqua" w:hAnsi="Book Antiqua"/>
          <w:color w:val="000000" w:themeColor="text1"/>
          <w:sz w:val="24"/>
          <w:szCs w:val="24"/>
        </w:rPr>
        <w:t>ci</w:t>
      </w:r>
      <w:r w:rsidR="00C474AA" w:rsidRPr="00263307">
        <w:rPr>
          <w:rFonts w:ascii="Book Antiqua" w:hAnsi="Book Antiqua"/>
          <w:color w:val="000000" w:themeColor="text1"/>
          <w:sz w:val="24"/>
          <w:szCs w:val="24"/>
        </w:rPr>
        <w:t xml:space="preserve">tis. </w:t>
      </w:r>
      <w:r w:rsidR="00F27576" w:rsidRPr="00263307">
        <w:rPr>
          <w:rFonts w:ascii="Book Antiqua" w:hAnsi="Book Antiqua"/>
          <w:color w:val="000000" w:themeColor="text1"/>
          <w:sz w:val="24"/>
          <w:szCs w:val="24"/>
        </w:rPr>
        <w:t xml:space="preserve">However, </w:t>
      </w:r>
      <w:r w:rsidR="00C474AA" w:rsidRPr="00263307">
        <w:rPr>
          <w:rFonts w:ascii="Book Antiqua" w:hAnsi="Book Antiqua"/>
          <w:color w:val="000000" w:themeColor="text1"/>
          <w:sz w:val="24"/>
          <w:szCs w:val="24"/>
        </w:rPr>
        <w:t xml:space="preserve">our logistic regression showed CRP elevation was a </w:t>
      </w:r>
      <w:r w:rsidR="00825F21" w:rsidRPr="00263307">
        <w:rPr>
          <w:rFonts w:ascii="Book Antiqua" w:hAnsi="Book Antiqua"/>
          <w:color w:val="000000" w:themeColor="text1"/>
          <w:sz w:val="24"/>
          <w:szCs w:val="24"/>
        </w:rPr>
        <w:t xml:space="preserve">single significant </w:t>
      </w:r>
      <w:r w:rsidR="00C474AA" w:rsidRPr="00263307">
        <w:rPr>
          <w:rFonts w:ascii="Book Antiqua" w:hAnsi="Book Antiqua"/>
          <w:color w:val="000000" w:themeColor="text1"/>
          <w:sz w:val="24"/>
          <w:szCs w:val="24"/>
        </w:rPr>
        <w:t xml:space="preserve">predictor of </w:t>
      </w:r>
      <w:r w:rsidR="004D1E09" w:rsidRPr="00263307">
        <w:rPr>
          <w:rFonts w:ascii="Book Antiqua" w:hAnsi="Book Antiqua"/>
          <w:color w:val="000000" w:themeColor="text1"/>
          <w:sz w:val="24"/>
          <w:szCs w:val="24"/>
        </w:rPr>
        <w:t xml:space="preserve">CA. </w:t>
      </w:r>
      <w:r w:rsidR="00825F21" w:rsidRPr="00263307">
        <w:rPr>
          <w:rFonts w:ascii="Book Antiqua" w:hAnsi="Book Antiqua"/>
          <w:color w:val="000000" w:themeColor="text1"/>
          <w:sz w:val="24"/>
          <w:szCs w:val="24"/>
        </w:rPr>
        <w:t xml:space="preserve">Given that previous studies </w:t>
      </w:r>
      <w:r w:rsidR="004D1E09" w:rsidRPr="00263307">
        <w:rPr>
          <w:rFonts w:ascii="Book Antiqua" w:hAnsi="Book Antiqua"/>
          <w:color w:val="000000" w:themeColor="text1"/>
          <w:sz w:val="24"/>
          <w:szCs w:val="24"/>
        </w:rPr>
        <w:t>did not include CRP as an explanatory variable</w:t>
      </w:r>
      <w:r w:rsidR="00825F21" w:rsidRPr="00263307">
        <w:rPr>
          <w:rFonts w:ascii="Book Antiqua" w:hAnsi="Book Antiqua"/>
          <w:color w:val="000000" w:themeColor="text1"/>
          <w:sz w:val="24"/>
          <w:szCs w:val="24"/>
        </w:rPr>
        <w:t>, o</w:t>
      </w:r>
      <w:r w:rsidR="004D1E09" w:rsidRPr="00263307">
        <w:rPr>
          <w:rFonts w:ascii="Book Antiqua" w:hAnsi="Book Antiqua"/>
          <w:color w:val="000000" w:themeColor="text1"/>
          <w:sz w:val="24"/>
          <w:szCs w:val="24"/>
        </w:rPr>
        <w:t>ther risk factors are adjusted by CRP</w:t>
      </w:r>
      <w:r w:rsidR="00C73A62" w:rsidRPr="00263307">
        <w:rPr>
          <w:rFonts w:ascii="Book Antiqua" w:hAnsi="Book Antiqua"/>
          <w:color w:val="000000" w:themeColor="text1"/>
          <w:sz w:val="24"/>
          <w:szCs w:val="24"/>
        </w:rPr>
        <w:t>, a st</w:t>
      </w:r>
      <w:r w:rsidR="00F27576" w:rsidRPr="00263307">
        <w:rPr>
          <w:rFonts w:ascii="Book Antiqua" w:hAnsi="Book Antiqua"/>
          <w:color w:val="000000" w:themeColor="text1"/>
          <w:sz w:val="24"/>
          <w:szCs w:val="24"/>
        </w:rPr>
        <w:t>r</w:t>
      </w:r>
      <w:r w:rsidR="00C73A62" w:rsidRPr="00263307">
        <w:rPr>
          <w:rFonts w:ascii="Book Antiqua" w:hAnsi="Book Antiqua"/>
          <w:color w:val="000000" w:themeColor="text1"/>
          <w:sz w:val="24"/>
          <w:szCs w:val="24"/>
        </w:rPr>
        <w:t>ong laboratory predictor,</w:t>
      </w:r>
      <w:r w:rsidR="00825F21" w:rsidRPr="00263307">
        <w:rPr>
          <w:rFonts w:ascii="Book Antiqua" w:hAnsi="Book Antiqua"/>
          <w:color w:val="000000" w:themeColor="text1"/>
          <w:sz w:val="24"/>
          <w:szCs w:val="24"/>
        </w:rPr>
        <w:t xml:space="preserve"> in the present study</w:t>
      </w:r>
      <w:r w:rsidR="004D1E09" w:rsidRPr="00263307">
        <w:rPr>
          <w:rFonts w:ascii="Book Antiqua" w:hAnsi="Book Antiqua"/>
          <w:color w:val="000000" w:themeColor="text1"/>
          <w:sz w:val="24"/>
          <w:szCs w:val="24"/>
        </w:rPr>
        <w:t>.</w:t>
      </w:r>
    </w:p>
    <w:p w14:paraId="22F60820" w14:textId="77777777" w:rsidR="00FB01C6" w:rsidRPr="00263307" w:rsidRDefault="004336A6" w:rsidP="00263307">
      <w:pPr>
        <w:pStyle w:val="a5"/>
        <w:adjustRightInd w:val="0"/>
        <w:snapToGrid w:val="0"/>
        <w:spacing w:before="0" w:beforeAutospacing="0" w:after="0" w:afterAutospacing="0" w:line="360" w:lineRule="auto"/>
        <w:ind w:firstLineChars="100" w:firstLine="240"/>
        <w:jc w:val="both"/>
        <w:rPr>
          <w:rFonts w:ascii="Book Antiqua" w:eastAsia="宋体" w:hAnsi="Book Antiqua"/>
          <w:color w:val="000000" w:themeColor="text1"/>
          <w:sz w:val="24"/>
          <w:szCs w:val="24"/>
          <w:lang w:eastAsia="zh-CN"/>
        </w:rPr>
      </w:pPr>
      <w:r w:rsidRPr="00263307">
        <w:rPr>
          <w:rFonts w:ascii="Book Antiqua" w:eastAsia="Meiryo" w:hAnsi="Book Antiqua"/>
          <w:color w:val="000000" w:themeColor="text1"/>
          <w:sz w:val="24"/>
          <w:szCs w:val="24"/>
        </w:rPr>
        <w:t xml:space="preserve">Our study has </w:t>
      </w:r>
      <w:r w:rsidR="005D3097" w:rsidRPr="00263307">
        <w:rPr>
          <w:rFonts w:ascii="Book Antiqua" w:eastAsia="Meiryo" w:hAnsi="Book Antiqua"/>
          <w:color w:val="000000" w:themeColor="text1"/>
          <w:sz w:val="24"/>
          <w:szCs w:val="24"/>
        </w:rPr>
        <w:t>three major</w:t>
      </w:r>
      <w:r w:rsidRPr="00263307">
        <w:rPr>
          <w:rFonts w:ascii="Book Antiqua" w:eastAsia="Meiryo" w:hAnsi="Book Antiqua"/>
          <w:color w:val="000000" w:themeColor="text1"/>
          <w:sz w:val="24"/>
          <w:szCs w:val="24"/>
        </w:rPr>
        <w:t xml:space="preserve"> limitations. First, because the present stud</w:t>
      </w:r>
      <w:r w:rsidR="00404688" w:rsidRPr="00263307">
        <w:rPr>
          <w:rFonts w:ascii="Book Antiqua" w:eastAsia="Meiryo" w:hAnsi="Book Antiqua"/>
          <w:color w:val="000000" w:themeColor="text1"/>
          <w:sz w:val="24"/>
          <w:szCs w:val="24"/>
        </w:rPr>
        <w:t xml:space="preserve">y was </w:t>
      </w:r>
      <w:r w:rsidR="003D4EAB" w:rsidRPr="00263307">
        <w:rPr>
          <w:rFonts w:ascii="Book Antiqua" w:eastAsia="Meiryo" w:hAnsi="Book Antiqua"/>
          <w:color w:val="000000" w:themeColor="text1"/>
          <w:sz w:val="24"/>
          <w:szCs w:val="24"/>
        </w:rPr>
        <w:t xml:space="preserve">a </w:t>
      </w:r>
      <w:r w:rsidR="00404688" w:rsidRPr="00263307">
        <w:rPr>
          <w:rFonts w:ascii="Book Antiqua" w:eastAsia="Meiryo" w:hAnsi="Book Antiqua"/>
          <w:color w:val="000000" w:themeColor="text1"/>
          <w:sz w:val="24"/>
          <w:szCs w:val="24"/>
        </w:rPr>
        <w:t>retrospective</w:t>
      </w:r>
      <w:r w:rsidR="00F27576" w:rsidRPr="00263307">
        <w:rPr>
          <w:rFonts w:ascii="Book Antiqua" w:eastAsia="Meiryo" w:hAnsi="Book Antiqua"/>
          <w:color w:val="000000" w:themeColor="text1"/>
          <w:sz w:val="24"/>
          <w:szCs w:val="24"/>
        </w:rPr>
        <w:t>,</w:t>
      </w:r>
      <w:r w:rsidR="00404688" w:rsidRPr="00263307">
        <w:rPr>
          <w:rFonts w:ascii="Book Antiqua" w:eastAsia="Meiryo" w:hAnsi="Book Antiqua"/>
          <w:color w:val="000000" w:themeColor="text1"/>
          <w:sz w:val="24"/>
          <w:szCs w:val="24"/>
        </w:rPr>
        <w:t xml:space="preserve"> case-</w:t>
      </w:r>
      <w:r w:rsidR="003D4EAB" w:rsidRPr="00263307">
        <w:rPr>
          <w:rFonts w:ascii="Book Antiqua" w:eastAsia="Meiryo" w:hAnsi="Book Antiqua"/>
          <w:color w:val="000000" w:themeColor="text1"/>
          <w:sz w:val="24"/>
          <w:szCs w:val="24"/>
        </w:rPr>
        <w:t>control</w:t>
      </w:r>
      <w:r w:rsidR="00F27576" w:rsidRPr="00263307">
        <w:rPr>
          <w:rFonts w:ascii="Book Antiqua" w:eastAsia="Meiryo" w:hAnsi="Book Antiqua"/>
          <w:color w:val="000000" w:themeColor="text1"/>
          <w:sz w:val="24"/>
          <w:szCs w:val="24"/>
        </w:rPr>
        <w:t>led</w:t>
      </w:r>
      <w:r w:rsidR="003D4EAB" w:rsidRPr="00263307">
        <w:rPr>
          <w:rFonts w:ascii="Book Antiqua" w:eastAsia="Meiryo" w:hAnsi="Book Antiqua"/>
          <w:color w:val="000000" w:themeColor="text1"/>
          <w:sz w:val="24"/>
          <w:szCs w:val="24"/>
        </w:rPr>
        <w:t xml:space="preserve"> </w:t>
      </w:r>
      <w:r w:rsidRPr="00263307">
        <w:rPr>
          <w:rFonts w:ascii="Book Antiqua" w:eastAsia="Meiryo" w:hAnsi="Book Antiqua"/>
          <w:color w:val="000000" w:themeColor="text1"/>
          <w:sz w:val="24"/>
          <w:szCs w:val="24"/>
        </w:rPr>
        <w:t>study using medical records, we could not collect some previously reported important information</w:t>
      </w:r>
      <w:r w:rsidR="003D4EAB" w:rsidRPr="00263307">
        <w:rPr>
          <w:rFonts w:ascii="Book Antiqua" w:eastAsia="Meiryo" w:hAnsi="Book Antiqua"/>
          <w:color w:val="000000" w:themeColor="text1"/>
          <w:sz w:val="24"/>
          <w:szCs w:val="24"/>
        </w:rPr>
        <w:t>,</w:t>
      </w:r>
      <w:r w:rsidRPr="00263307">
        <w:rPr>
          <w:rFonts w:ascii="Book Antiqua" w:eastAsia="Meiryo" w:hAnsi="Book Antiqua"/>
          <w:color w:val="000000" w:themeColor="text1"/>
          <w:sz w:val="24"/>
          <w:szCs w:val="24"/>
        </w:rPr>
        <w:t xml:space="preserve"> such </w:t>
      </w:r>
      <w:r w:rsidR="002D0770" w:rsidRPr="00263307">
        <w:rPr>
          <w:rFonts w:ascii="Book Antiqua" w:eastAsia="Meiryo" w:hAnsi="Book Antiqua"/>
          <w:color w:val="000000" w:themeColor="text1"/>
          <w:sz w:val="24"/>
          <w:szCs w:val="24"/>
        </w:rPr>
        <w:t xml:space="preserve">as migration of abdominal pain or </w:t>
      </w:r>
      <w:r w:rsidR="00A70DF7" w:rsidRPr="00263307">
        <w:rPr>
          <w:rFonts w:ascii="Book Antiqua" w:eastAsia="Meiryo" w:hAnsi="Book Antiqua"/>
          <w:color w:val="000000" w:themeColor="text1"/>
          <w:sz w:val="24"/>
          <w:szCs w:val="24"/>
        </w:rPr>
        <w:t xml:space="preserve">other components of </w:t>
      </w:r>
      <w:r w:rsidR="00F27576" w:rsidRPr="00263307">
        <w:rPr>
          <w:rFonts w:ascii="Book Antiqua" w:eastAsia="Meiryo" w:hAnsi="Book Antiqua"/>
          <w:color w:val="000000" w:themeColor="text1"/>
          <w:sz w:val="24"/>
          <w:szCs w:val="24"/>
        </w:rPr>
        <w:t xml:space="preserve">the </w:t>
      </w:r>
      <w:r w:rsidR="002D0770" w:rsidRPr="00263307">
        <w:rPr>
          <w:rFonts w:ascii="Book Antiqua" w:eastAsia="Meiryo" w:hAnsi="Book Antiqua"/>
          <w:color w:val="000000" w:themeColor="text1"/>
          <w:sz w:val="24"/>
          <w:szCs w:val="24"/>
        </w:rPr>
        <w:t>Alvarado score</w:t>
      </w:r>
      <w:r w:rsidR="00E120C2" w:rsidRPr="00263307">
        <w:rPr>
          <w:rFonts w:ascii="Book Antiqua" w:eastAsia="Meiryo" w:hAnsi="Book Antiqua"/>
          <w:color w:val="000000" w:themeColor="text1"/>
          <w:sz w:val="24"/>
          <w:szCs w:val="24"/>
        </w:rPr>
        <w:fldChar w:fldCharType="begin" w:fldLock="1"/>
      </w:r>
      <w:r w:rsidR="00E120C2" w:rsidRPr="00263307">
        <w:rPr>
          <w:rFonts w:ascii="Book Antiqua" w:eastAsia="Meiryo" w:hAnsi="Book Antiqua"/>
          <w:color w:val="000000" w:themeColor="text1"/>
          <w:sz w:val="24"/>
          <w:szCs w:val="24"/>
        </w:rPr>
        <w:instrText>ADDIN CSL_CITATION {"citationItems":[{"id":"ITEM-1","itemData":{"DOI":"10.1016/S0196-0644(86)80993-3","ISSN":"01960644","PMID":"3963537","abstract":"We conducted a retrospective study of 305 patients hospitalized with abdominal pain suggestive of acute appendicitis. Signs, symptoms, and laboratory findings were analyzed for specificity, sensitivity, predictive value, and joint probability. The total joint probability, the sum of a true-positive and a true-negative result, was chosen as a diagnostic weight indicative of the accuracy of the test. Eight predictive factors were found to be useful in making the diagnosis of acute appendicitis. Their importance, according to their diagnostic weight, was determined as follows: localized tenderness in the right lower quadrant, leukocytosis, migration of pain, shift to the left, temperature elevation, nausea-vomiting, anorexia-acetone, and direct rebound pain. Based on this weight, we devised a practical diagnostic score that may help in interpreting the confusing picture of acute appendicitis.","author":[{"dropping-particle":"","family":"Alvarado","given":"Alfredo","non-dropping-particle":"","parse-names":false,"suffix":""}],"container-title":"Annals of Emergency Medicine","id":"ITEM-1","issue":"5","issued":{"date-parts":[["1986","5","18"]]},"page":"557-564","title":"A practical score for the early diagnosis of acute appendicitis","type":"article-journal","volume":"15"},"uris":["http://www.mendeley.com/documents/?uuid=dd34841f-37e8-4af9-a709-cb6e93705b10"]}],"mendeley":{"formattedCitation":"&lt;sup&gt;[&lt;sup&gt;20&lt;/sup&gt;]&lt;/sup&gt;","plainTextFormattedCitation":"[20]","previouslyFormattedCitation":"&lt;sup&gt;[&lt;sup&gt;20&lt;/sup&gt;]&lt;/sup&gt;"},"properties":{"noteIndex":0},"schema":"https://github.com/citation-style-language/schema/raw/master/csl-citation.json"}</w:instrText>
      </w:r>
      <w:r w:rsidR="00E120C2" w:rsidRPr="00263307">
        <w:rPr>
          <w:rFonts w:ascii="Book Antiqua" w:eastAsia="Meiryo" w:hAnsi="Book Antiqua"/>
          <w:color w:val="000000" w:themeColor="text1"/>
          <w:sz w:val="24"/>
          <w:szCs w:val="24"/>
        </w:rPr>
        <w:fldChar w:fldCharType="separate"/>
      </w:r>
      <w:r w:rsidR="00E120C2" w:rsidRPr="00263307">
        <w:rPr>
          <w:rFonts w:ascii="Book Antiqua" w:eastAsia="Meiryo" w:hAnsi="Book Antiqua"/>
          <w:noProof/>
          <w:color w:val="000000" w:themeColor="text1"/>
          <w:sz w:val="24"/>
          <w:szCs w:val="24"/>
          <w:vertAlign w:val="superscript"/>
        </w:rPr>
        <w:t>[20]</w:t>
      </w:r>
      <w:r w:rsidR="00E120C2" w:rsidRPr="00263307">
        <w:rPr>
          <w:rFonts w:ascii="Book Antiqua" w:eastAsia="Meiryo" w:hAnsi="Book Antiqua"/>
          <w:color w:val="000000" w:themeColor="text1"/>
          <w:sz w:val="24"/>
          <w:szCs w:val="24"/>
        </w:rPr>
        <w:fldChar w:fldCharType="end"/>
      </w:r>
      <w:r w:rsidR="00A70DF7" w:rsidRPr="00263307">
        <w:rPr>
          <w:rFonts w:ascii="Book Antiqua" w:eastAsia="Meiryo" w:hAnsi="Book Antiqua"/>
          <w:color w:val="000000" w:themeColor="text1"/>
          <w:sz w:val="24"/>
          <w:szCs w:val="24"/>
        </w:rPr>
        <w:t xml:space="preserve">. </w:t>
      </w:r>
      <w:r w:rsidR="00D56371" w:rsidRPr="00263307">
        <w:rPr>
          <w:rFonts w:ascii="Book Antiqua" w:eastAsia="Meiryo" w:hAnsi="Book Antiqua"/>
          <w:color w:val="000000" w:themeColor="text1"/>
          <w:sz w:val="24"/>
          <w:szCs w:val="24"/>
        </w:rPr>
        <w:t>As mentioned above, w</w:t>
      </w:r>
      <w:r w:rsidR="00D52B0D" w:rsidRPr="00263307">
        <w:rPr>
          <w:rFonts w:ascii="Book Antiqua" w:eastAsia="Meiryo" w:hAnsi="Book Antiqua"/>
          <w:color w:val="000000" w:themeColor="text1"/>
          <w:sz w:val="24"/>
          <w:szCs w:val="24"/>
        </w:rPr>
        <w:t xml:space="preserve">e also could not evaluate </w:t>
      </w:r>
      <w:r w:rsidR="00281B2B" w:rsidRPr="00263307">
        <w:rPr>
          <w:rFonts w:ascii="Book Antiqua" w:eastAsia="Meiryo" w:hAnsi="Book Antiqua"/>
          <w:color w:val="000000" w:themeColor="text1"/>
          <w:sz w:val="24"/>
          <w:szCs w:val="24"/>
        </w:rPr>
        <w:t xml:space="preserve">the </w:t>
      </w:r>
      <w:r w:rsidR="00D52B0D" w:rsidRPr="00263307">
        <w:rPr>
          <w:rFonts w:ascii="Book Antiqua" w:eastAsia="Meiryo" w:hAnsi="Book Antiqua"/>
          <w:color w:val="000000" w:themeColor="text1"/>
          <w:sz w:val="24"/>
          <w:szCs w:val="24"/>
        </w:rPr>
        <w:t>precise onset-to-visit interval by the order of hours.</w:t>
      </w:r>
    </w:p>
    <w:p w14:paraId="26366B27" w14:textId="77777777" w:rsidR="008919D3" w:rsidRPr="00263307" w:rsidRDefault="00EA0BDD" w:rsidP="00263307">
      <w:pPr>
        <w:pStyle w:val="a5"/>
        <w:adjustRightInd w:val="0"/>
        <w:snapToGrid w:val="0"/>
        <w:spacing w:before="0" w:beforeAutospacing="0" w:after="0" w:afterAutospacing="0" w:line="360" w:lineRule="auto"/>
        <w:ind w:firstLineChars="100" w:firstLine="240"/>
        <w:jc w:val="both"/>
        <w:rPr>
          <w:rFonts w:ascii="Book Antiqua" w:eastAsia="宋体" w:hAnsi="Book Antiqua"/>
          <w:color w:val="000000" w:themeColor="text1"/>
          <w:sz w:val="24"/>
          <w:szCs w:val="24"/>
          <w:lang w:eastAsia="zh-CN"/>
        </w:rPr>
      </w:pPr>
      <w:r w:rsidRPr="00263307">
        <w:rPr>
          <w:rFonts w:ascii="Book Antiqua" w:eastAsia="Meiryo" w:hAnsi="Book Antiqua"/>
          <w:color w:val="000000" w:themeColor="text1"/>
          <w:sz w:val="24"/>
          <w:szCs w:val="24"/>
        </w:rPr>
        <w:t xml:space="preserve">Second, despite the fact that most </w:t>
      </w:r>
      <w:r w:rsidR="00281B2B" w:rsidRPr="00263307">
        <w:rPr>
          <w:rFonts w:ascii="Book Antiqua" w:eastAsia="Meiryo" w:hAnsi="Book Antiqua"/>
          <w:color w:val="000000" w:themeColor="text1"/>
          <w:sz w:val="24"/>
          <w:szCs w:val="24"/>
        </w:rPr>
        <w:t xml:space="preserve">of the </w:t>
      </w:r>
      <w:r w:rsidRPr="00263307">
        <w:rPr>
          <w:rFonts w:ascii="Book Antiqua" w:eastAsia="Meiryo" w:hAnsi="Book Antiqua"/>
          <w:color w:val="000000" w:themeColor="text1"/>
          <w:sz w:val="24"/>
          <w:szCs w:val="24"/>
        </w:rPr>
        <w:t xml:space="preserve">previous studies </w:t>
      </w:r>
      <w:r w:rsidR="00281B2B" w:rsidRPr="00263307">
        <w:rPr>
          <w:rFonts w:ascii="Book Antiqua" w:eastAsia="Meiryo" w:hAnsi="Book Antiqua"/>
          <w:color w:val="000000" w:themeColor="text1"/>
          <w:sz w:val="24"/>
          <w:szCs w:val="24"/>
        </w:rPr>
        <w:t xml:space="preserve">distinguished between </w:t>
      </w:r>
      <w:r w:rsidRPr="00263307">
        <w:rPr>
          <w:rFonts w:ascii="Book Antiqua" w:eastAsia="Meiryo" w:hAnsi="Book Antiqua"/>
          <w:color w:val="000000" w:themeColor="text1"/>
          <w:sz w:val="24"/>
          <w:szCs w:val="24"/>
        </w:rPr>
        <w:t>CA and SA based on surgical o</w:t>
      </w:r>
      <w:r w:rsidR="00281B2B" w:rsidRPr="00263307">
        <w:rPr>
          <w:rFonts w:ascii="Book Antiqua" w:eastAsia="Meiryo" w:hAnsi="Book Antiqua"/>
          <w:color w:val="000000" w:themeColor="text1"/>
          <w:sz w:val="24"/>
          <w:szCs w:val="24"/>
        </w:rPr>
        <w:t>r</w:t>
      </w:r>
      <w:r w:rsidRPr="00263307">
        <w:rPr>
          <w:rFonts w:ascii="Book Antiqua" w:eastAsia="Meiryo" w:hAnsi="Book Antiqua"/>
          <w:color w:val="000000" w:themeColor="text1"/>
          <w:sz w:val="24"/>
          <w:szCs w:val="24"/>
        </w:rPr>
        <w:t xml:space="preserve"> pathological findings, </w:t>
      </w:r>
      <w:r w:rsidR="00A70DF7" w:rsidRPr="00263307">
        <w:rPr>
          <w:rFonts w:ascii="Book Antiqua" w:eastAsia="Meiryo" w:hAnsi="Book Antiqua"/>
          <w:color w:val="000000" w:themeColor="text1"/>
          <w:sz w:val="24"/>
          <w:szCs w:val="24"/>
        </w:rPr>
        <w:t xml:space="preserve">we differentiated CA from SA </w:t>
      </w:r>
      <w:r w:rsidR="00F27576" w:rsidRPr="00263307">
        <w:rPr>
          <w:rFonts w:ascii="Book Antiqua" w:eastAsia="Meiryo" w:hAnsi="Book Antiqua"/>
          <w:color w:val="000000" w:themeColor="text1"/>
          <w:sz w:val="24"/>
          <w:szCs w:val="24"/>
        </w:rPr>
        <w:t xml:space="preserve">based </w:t>
      </w:r>
      <w:r w:rsidR="00A70DF7" w:rsidRPr="00263307">
        <w:rPr>
          <w:rFonts w:ascii="Book Antiqua" w:eastAsia="Meiryo" w:hAnsi="Book Antiqua"/>
          <w:color w:val="000000" w:themeColor="text1"/>
          <w:sz w:val="24"/>
          <w:szCs w:val="24"/>
        </w:rPr>
        <w:t>on</w:t>
      </w:r>
      <w:r w:rsidR="00F27576" w:rsidRPr="00263307">
        <w:rPr>
          <w:rFonts w:ascii="Book Antiqua" w:eastAsia="Meiryo" w:hAnsi="Book Antiqua"/>
          <w:color w:val="000000" w:themeColor="text1"/>
          <w:sz w:val="24"/>
          <w:szCs w:val="24"/>
        </w:rPr>
        <w:t xml:space="preserve"> the</w:t>
      </w:r>
      <w:r w:rsidR="00A70DF7" w:rsidRPr="00263307">
        <w:rPr>
          <w:rFonts w:ascii="Book Antiqua" w:eastAsia="Meiryo" w:hAnsi="Book Antiqua"/>
          <w:color w:val="000000" w:themeColor="text1"/>
          <w:sz w:val="24"/>
          <w:szCs w:val="24"/>
        </w:rPr>
        <w:t xml:space="preserve"> findings of CT scan instead of pathological or surgical findings</w:t>
      </w:r>
      <w:r w:rsidR="00452CE5" w:rsidRPr="00263307">
        <w:rPr>
          <w:rFonts w:ascii="Book Antiqua" w:eastAsia="Meiryo" w:hAnsi="Book Antiqua"/>
          <w:color w:val="000000" w:themeColor="text1"/>
          <w:sz w:val="24"/>
          <w:szCs w:val="24"/>
        </w:rPr>
        <w:t xml:space="preserve"> </w:t>
      </w:r>
      <w:r w:rsidRPr="00263307">
        <w:rPr>
          <w:rFonts w:ascii="Book Antiqua" w:eastAsia="Meiryo" w:hAnsi="Book Antiqua"/>
          <w:color w:val="000000" w:themeColor="text1"/>
          <w:sz w:val="24"/>
          <w:szCs w:val="24"/>
        </w:rPr>
        <w:t xml:space="preserve">in the present study </w:t>
      </w:r>
      <w:r w:rsidR="00452CE5" w:rsidRPr="00263307">
        <w:rPr>
          <w:rFonts w:ascii="Book Antiqua" w:eastAsia="Meiryo" w:hAnsi="Book Antiqua"/>
          <w:color w:val="000000" w:themeColor="text1"/>
          <w:sz w:val="24"/>
          <w:szCs w:val="24"/>
        </w:rPr>
        <w:t>because</w:t>
      </w:r>
      <w:r w:rsidR="00A70DF7" w:rsidRPr="00263307">
        <w:rPr>
          <w:rFonts w:ascii="Book Antiqua" w:eastAsia="Meiryo" w:hAnsi="Book Antiqua"/>
          <w:color w:val="000000" w:themeColor="text1"/>
          <w:sz w:val="24"/>
          <w:szCs w:val="24"/>
        </w:rPr>
        <w:t xml:space="preserve"> </w:t>
      </w:r>
      <w:r w:rsidRPr="00263307">
        <w:rPr>
          <w:rFonts w:ascii="Book Antiqua" w:eastAsia="Meiryo" w:hAnsi="Book Antiqua"/>
          <w:color w:val="000000" w:themeColor="text1"/>
          <w:sz w:val="24"/>
          <w:szCs w:val="24"/>
        </w:rPr>
        <w:t xml:space="preserve">our surgeons aggressively selected </w:t>
      </w:r>
      <w:r w:rsidR="00281B2B" w:rsidRPr="00263307">
        <w:rPr>
          <w:rFonts w:ascii="Book Antiqua" w:eastAsia="Meiryo" w:hAnsi="Book Antiqua"/>
          <w:color w:val="000000" w:themeColor="text1"/>
          <w:sz w:val="24"/>
          <w:szCs w:val="24"/>
        </w:rPr>
        <w:t xml:space="preserve">a </w:t>
      </w:r>
      <w:r w:rsidRPr="00263307">
        <w:rPr>
          <w:rFonts w:ascii="Book Antiqua" w:eastAsia="Meiryo" w:hAnsi="Book Antiqua"/>
          <w:color w:val="000000" w:themeColor="text1"/>
          <w:sz w:val="24"/>
          <w:szCs w:val="24"/>
        </w:rPr>
        <w:t>combination of conservative therapy with antibiotics and subsequent elective appendectomy (interval appendectomy)</w:t>
      </w:r>
      <w:r w:rsidR="00E120C2" w:rsidRPr="00263307">
        <w:rPr>
          <w:rFonts w:ascii="Book Antiqua" w:eastAsia="Meiryo" w:hAnsi="Book Antiqua"/>
          <w:color w:val="000000" w:themeColor="text1"/>
          <w:sz w:val="24"/>
          <w:szCs w:val="24"/>
        </w:rPr>
        <w:fldChar w:fldCharType="begin" w:fldLock="1"/>
      </w:r>
      <w:r w:rsidR="008E1BCE" w:rsidRPr="00263307">
        <w:rPr>
          <w:rFonts w:ascii="Book Antiqua" w:eastAsia="Meiryo" w:hAnsi="Book Antiqua"/>
          <w:color w:val="000000" w:themeColor="text1"/>
          <w:sz w:val="24"/>
          <w:szCs w:val="24"/>
        </w:rPr>
        <w:instrText>ADDIN CSL_CITATION {"citationItems":[{"id":"ITEM-1","itemData":{"DOI":"10.1097/01.JAA.0000544304.30954.40","ISSN":"08937400","PMID":"30153202","abstract":"Acute appendicitis is one of the most common surgical emergencies. Of the 300,000 appendectomies performed each year, 25% are due to complicated appendicitis. This article reviews the incidence and pathophysiology of acute appendicitis, the nonoperative management of complicated appendicitis, and the rationales for and against interval appendectomy.","author":[{"dropping-particle":"","family":"Perez","given":"Kelly Sue","non-dropping-particle":"","parse-names":false,"suffix":""},{"dropping-particle":"","family":"Allen","given":"Steven R.","non-dropping-particle":"","parse-names":false,"suffix":""}],"container-title":"Journal of the American Academy of Physician Assistants","id":"ITEM-1","issue":"9","issued":{"date-parts":[["2018"]]},"page":"35-41","title":"Complicated appendicitis and considerations for interval appendectomy","type":"article-journal","volume":"31"},"uris":["http://www.mendeley.com/documents/?uuid=cb3a905b-c8eb-4a25-8ae6-fbe58a766177"]}],"mendeley":{"formattedCitation":"&lt;sup&gt;[&lt;sup&gt;28&lt;/sup&gt;]&lt;/sup&gt;","plainTextFormattedCitation":"[28]","previouslyFormattedCitation":"&lt;sup&gt;[&lt;sup&gt;28&lt;/sup&gt;]&lt;/sup&gt;"},"properties":{"noteIndex":0},"schema":"https://github.com/citation-style-language/schema/raw/master/csl-citation.json"}</w:instrText>
      </w:r>
      <w:r w:rsidR="00E120C2" w:rsidRPr="00263307">
        <w:rPr>
          <w:rFonts w:ascii="Book Antiqua" w:eastAsia="Meiryo" w:hAnsi="Book Antiqua"/>
          <w:color w:val="000000" w:themeColor="text1"/>
          <w:sz w:val="24"/>
          <w:szCs w:val="24"/>
        </w:rPr>
        <w:fldChar w:fldCharType="separate"/>
      </w:r>
      <w:r w:rsidR="00E120C2" w:rsidRPr="00263307">
        <w:rPr>
          <w:rFonts w:ascii="Book Antiqua" w:eastAsia="Meiryo" w:hAnsi="Book Antiqua"/>
          <w:noProof/>
          <w:color w:val="000000" w:themeColor="text1"/>
          <w:sz w:val="24"/>
          <w:szCs w:val="24"/>
          <w:vertAlign w:val="superscript"/>
        </w:rPr>
        <w:t>[28]</w:t>
      </w:r>
      <w:r w:rsidR="00E120C2" w:rsidRPr="00263307">
        <w:rPr>
          <w:rFonts w:ascii="Book Antiqua" w:eastAsia="Meiryo" w:hAnsi="Book Antiqua"/>
          <w:color w:val="000000" w:themeColor="text1"/>
          <w:sz w:val="24"/>
          <w:szCs w:val="24"/>
        </w:rPr>
        <w:fldChar w:fldCharType="end"/>
      </w:r>
      <w:r w:rsidR="00902692" w:rsidRPr="00263307">
        <w:rPr>
          <w:rFonts w:ascii="Book Antiqua" w:eastAsia="Meiryo" w:hAnsi="Book Antiqua"/>
          <w:color w:val="000000" w:themeColor="text1"/>
          <w:sz w:val="24"/>
          <w:szCs w:val="24"/>
        </w:rPr>
        <w:t xml:space="preserve"> as </w:t>
      </w:r>
      <w:r w:rsidR="00000622" w:rsidRPr="00263307">
        <w:rPr>
          <w:rFonts w:ascii="Book Antiqua" w:eastAsia="Meiryo" w:hAnsi="Book Antiqua"/>
          <w:color w:val="000000" w:themeColor="text1"/>
          <w:sz w:val="24"/>
          <w:szCs w:val="24"/>
        </w:rPr>
        <w:t xml:space="preserve">a form of </w:t>
      </w:r>
      <w:r w:rsidR="00902692" w:rsidRPr="00263307">
        <w:rPr>
          <w:rFonts w:ascii="Book Antiqua" w:eastAsia="Meiryo" w:hAnsi="Book Antiqua"/>
          <w:color w:val="000000" w:themeColor="text1"/>
          <w:sz w:val="24"/>
          <w:szCs w:val="24"/>
        </w:rPr>
        <w:t xml:space="preserve">advanced medical </w:t>
      </w:r>
      <w:r w:rsidR="002067B0" w:rsidRPr="00263307">
        <w:rPr>
          <w:rFonts w:ascii="Book Antiqua" w:eastAsia="Meiryo" w:hAnsi="Book Antiqua"/>
          <w:color w:val="000000" w:themeColor="text1"/>
          <w:sz w:val="24"/>
          <w:szCs w:val="24"/>
        </w:rPr>
        <w:t>care</w:t>
      </w:r>
      <w:r w:rsidRPr="00263307">
        <w:rPr>
          <w:rFonts w:ascii="Book Antiqua" w:eastAsia="Meiryo" w:hAnsi="Book Antiqua"/>
          <w:color w:val="000000" w:themeColor="text1"/>
          <w:sz w:val="24"/>
          <w:szCs w:val="24"/>
        </w:rPr>
        <w:t xml:space="preserve">, and </w:t>
      </w:r>
      <w:r w:rsidR="00452CE5" w:rsidRPr="00263307">
        <w:rPr>
          <w:rFonts w:ascii="Book Antiqua" w:eastAsia="Meiryo" w:hAnsi="Book Antiqua"/>
          <w:color w:val="000000" w:themeColor="text1"/>
          <w:sz w:val="24"/>
          <w:szCs w:val="24"/>
        </w:rPr>
        <w:t xml:space="preserve">we </w:t>
      </w:r>
      <w:r w:rsidR="00A70DF7" w:rsidRPr="00263307">
        <w:rPr>
          <w:rFonts w:ascii="Book Antiqua" w:eastAsia="Meiryo" w:hAnsi="Book Antiqua"/>
          <w:color w:val="000000" w:themeColor="text1"/>
          <w:sz w:val="24"/>
          <w:szCs w:val="24"/>
        </w:rPr>
        <w:t xml:space="preserve">could </w:t>
      </w:r>
      <w:r w:rsidR="00281B2B" w:rsidRPr="00263307">
        <w:rPr>
          <w:rFonts w:ascii="Book Antiqua" w:eastAsia="Meiryo" w:hAnsi="Book Antiqua"/>
          <w:color w:val="000000" w:themeColor="text1"/>
          <w:sz w:val="24"/>
          <w:szCs w:val="24"/>
        </w:rPr>
        <w:t xml:space="preserve">therefore </w:t>
      </w:r>
      <w:r w:rsidR="00A70DF7" w:rsidRPr="00263307">
        <w:rPr>
          <w:rFonts w:ascii="Book Antiqua" w:eastAsia="Meiryo" w:hAnsi="Book Antiqua"/>
          <w:color w:val="000000" w:themeColor="text1"/>
          <w:sz w:val="24"/>
          <w:szCs w:val="24"/>
        </w:rPr>
        <w:t>not evaluate surgic</w:t>
      </w:r>
      <w:r w:rsidR="000200C9" w:rsidRPr="00263307">
        <w:rPr>
          <w:rFonts w:ascii="Book Antiqua" w:eastAsia="Meiryo" w:hAnsi="Book Antiqua"/>
          <w:color w:val="000000" w:themeColor="text1"/>
          <w:sz w:val="24"/>
          <w:szCs w:val="24"/>
        </w:rPr>
        <w:t>al and pathological</w:t>
      </w:r>
      <w:r w:rsidR="00A70DF7" w:rsidRPr="00263307">
        <w:rPr>
          <w:rFonts w:ascii="Book Antiqua" w:eastAsia="Meiryo" w:hAnsi="Book Antiqua"/>
          <w:color w:val="000000" w:themeColor="text1"/>
          <w:sz w:val="24"/>
          <w:szCs w:val="24"/>
        </w:rPr>
        <w:t xml:space="preserve"> findings of </w:t>
      </w:r>
      <w:r w:rsidR="00F27576" w:rsidRPr="00263307">
        <w:rPr>
          <w:rFonts w:ascii="Book Antiqua" w:eastAsia="Meiryo" w:hAnsi="Book Antiqua"/>
          <w:color w:val="000000" w:themeColor="text1"/>
          <w:sz w:val="24"/>
          <w:szCs w:val="24"/>
        </w:rPr>
        <w:t xml:space="preserve">the </w:t>
      </w:r>
      <w:r w:rsidR="00A70DF7" w:rsidRPr="00263307">
        <w:rPr>
          <w:rFonts w:ascii="Book Antiqua" w:eastAsia="Meiryo" w:hAnsi="Book Antiqua"/>
          <w:color w:val="000000" w:themeColor="text1"/>
          <w:sz w:val="24"/>
          <w:szCs w:val="24"/>
        </w:rPr>
        <w:t xml:space="preserve">resected appendix in </w:t>
      </w:r>
      <w:r w:rsidR="00452CE5" w:rsidRPr="00263307">
        <w:rPr>
          <w:rFonts w:ascii="Book Antiqua" w:eastAsia="Meiryo" w:hAnsi="Book Antiqua"/>
          <w:color w:val="000000" w:themeColor="text1"/>
          <w:sz w:val="24"/>
          <w:szCs w:val="24"/>
        </w:rPr>
        <w:t>most</w:t>
      </w:r>
      <w:r w:rsidR="00A70DF7" w:rsidRPr="00263307">
        <w:rPr>
          <w:rFonts w:ascii="Book Antiqua" w:eastAsia="Meiryo" w:hAnsi="Book Antiqua"/>
          <w:color w:val="000000" w:themeColor="text1"/>
          <w:sz w:val="24"/>
          <w:szCs w:val="24"/>
        </w:rPr>
        <w:t xml:space="preserve"> cases </w:t>
      </w:r>
      <w:r w:rsidR="00452CE5" w:rsidRPr="00263307">
        <w:rPr>
          <w:rFonts w:ascii="Book Antiqua" w:eastAsia="Meiryo" w:hAnsi="Book Antiqua"/>
          <w:color w:val="000000" w:themeColor="text1"/>
          <w:sz w:val="24"/>
          <w:szCs w:val="24"/>
        </w:rPr>
        <w:t xml:space="preserve">due to </w:t>
      </w:r>
      <w:r w:rsidR="00F27576" w:rsidRPr="00263307">
        <w:rPr>
          <w:rFonts w:ascii="Book Antiqua" w:eastAsia="Meiryo" w:hAnsi="Book Antiqua"/>
          <w:color w:val="000000" w:themeColor="text1"/>
          <w:sz w:val="24"/>
          <w:szCs w:val="24"/>
        </w:rPr>
        <w:t xml:space="preserve">the </w:t>
      </w:r>
      <w:r w:rsidR="00452CE5" w:rsidRPr="00263307">
        <w:rPr>
          <w:rFonts w:ascii="Book Antiqua" w:eastAsia="Meiryo" w:hAnsi="Book Antiqua"/>
          <w:color w:val="000000" w:themeColor="text1"/>
          <w:sz w:val="24"/>
          <w:szCs w:val="24"/>
        </w:rPr>
        <w:t xml:space="preserve">low </w:t>
      </w:r>
      <w:r w:rsidR="00452CE5" w:rsidRPr="00263307">
        <w:rPr>
          <w:rFonts w:ascii="Book Antiqua" w:eastAsia="Meiryo" w:hAnsi="Book Antiqua"/>
          <w:color w:val="000000" w:themeColor="text1"/>
          <w:sz w:val="24"/>
          <w:szCs w:val="24"/>
        </w:rPr>
        <w:lastRenderedPageBreak/>
        <w:t>proportion of appendectom</w:t>
      </w:r>
      <w:r w:rsidR="00281B2B" w:rsidRPr="00263307">
        <w:rPr>
          <w:rFonts w:ascii="Book Antiqua" w:eastAsia="Meiryo" w:hAnsi="Book Antiqua"/>
          <w:color w:val="000000" w:themeColor="text1"/>
          <w:sz w:val="24"/>
          <w:szCs w:val="24"/>
        </w:rPr>
        <w:t>ies</w:t>
      </w:r>
      <w:r w:rsidR="00F27576" w:rsidRPr="00263307">
        <w:rPr>
          <w:rFonts w:ascii="Book Antiqua" w:eastAsia="Meiryo" w:hAnsi="Book Antiqua"/>
          <w:color w:val="000000" w:themeColor="text1"/>
          <w:sz w:val="24"/>
          <w:szCs w:val="24"/>
        </w:rPr>
        <w:t>,</w:t>
      </w:r>
      <w:r w:rsidR="00452CE5" w:rsidRPr="00263307">
        <w:rPr>
          <w:rFonts w:ascii="Book Antiqua" w:eastAsia="Meiryo" w:hAnsi="Book Antiqua"/>
          <w:color w:val="000000" w:themeColor="text1"/>
          <w:sz w:val="24"/>
          <w:szCs w:val="24"/>
        </w:rPr>
        <w:t xml:space="preserve"> </w:t>
      </w:r>
      <w:r w:rsidR="00F27576" w:rsidRPr="00263307">
        <w:rPr>
          <w:rFonts w:ascii="Book Antiqua" w:eastAsia="Meiryo" w:hAnsi="Book Antiqua"/>
          <w:color w:val="000000" w:themeColor="text1"/>
          <w:sz w:val="24"/>
          <w:szCs w:val="24"/>
        </w:rPr>
        <w:t xml:space="preserve">which </w:t>
      </w:r>
      <w:r w:rsidR="00281B2B" w:rsidRPr="00263307">
        <w:rPr>
          <w:rFonts w:ascii="Book Antiqua" w:eastAsia="Meiryo" w:hAnsi="Book Antiqua"/>
          <w:color w:val="000000" w:themeColor="text1"/>
          <w:sz w:val="24"/>
          <w:szCs w:val="24"/>
        </w:rPr>
        <w:t xml:space="preserve">were </w:t>
      </w:r>
      <w:r w:rsidR="00A70DF7" w:rsidRPr="00263307">
        <w:rPr>
          <w:rFonts w:ascii="Book Antiqua" w:eastAsia="Meiryo" w:hAnsi="Book Antiqua"/>
          <w:color w:val="000000" w:themeColor="text1"/>
          <w:sz w:val="24"/>
          <w:szCs w:val="24"/>
        </w:rPr>
        <w:t xml:space="preserve">performed in only </w:t>
      </w:r>
      <w:r w:rsidR="000200C9" w:rsidRPr="00263307">
        <w:rPr>
          <w:rFonts w:ascii="Book Antiqua" w:hAnsi="Book Antiqua"/>
          <w:color w:val="000000" w:themeColor="text1"/>
          <w:sz w:val="24"/>
          <w:szCs w:val="24"/>
        </w:rPr>
        <w:t>11.1</w:t>
      </w:r>
      <w:r w:rsidR="00A70DF7" w:rsidRPr="00263307">
        <w:rPr>
          <w:rFonts w:ascii="Book Antiqua" w:hAnsi="Book Antiqua"/>
          <w:color w:val="000000" w:themeColor="text1"/>
          <w:sz w:val="24"/>
          <w:szCs w:val="24"/>
        </w:rPr>
        <w:t xml:space="preserve">% and </w:t>
      </w:r>
      <w:r w:rsidR="000200C9" w:rsidRPr="00263307">
        <w:rPr>
          <w:rFonts w:ascii="Book Antiqua" w:hAnsi="Book Antiqua"/>
          <w:color w:val="000000" w:themeColor="text1"/>
          <w:sz w:val="24"/>
          <w:szCs w:val="24"/>
        </w:rPr>
        <w:t>31.6</w:t>
      </w:r>
      <w:r w:rsidR="00A70DF7" w:rsidRPr="00263307">
        <w:rPr>
          <w:rFonts w:ascii="Book Antiqua" w:hAnsi="Book Antiqua"/>
          <w:color w:val="000000" w:themeColor="text1"/>
          <w:sz w:val="24"/>
          <w:szCs w:val="24"/>
        </w:rPr>
        <w:t xml:space="preserve">% of patients in </w:t>
      </w:r>
      <w:r w:rsidR="00F27576" w:rsidRPr="00263307">
        <w:rPr>
          <w:rFonts w:ascii="Book Antiqua" w:hAnsi="Book Antiqua"/>
          <w:color w:val="000000" w:themeColor="text1"/>
          <w:sz w:val="24"/>
          <w:szCs w:val="24"/>
        </w:rPr>
        <w:t xml:space="preserve">the </w:t>
      </w:r>
      <w:r w:rsidR="00A70DF7" w:rsidRPr="00263307">
        <w:rPr>
          <w:rFonts w:ascii="Book Antiqua" w:hAnsi="Book Antiqua"/>
          <w:color w:val="000000" w:themeColor="text1"/>
          <w:sz w:val="24"/>
          <w:szCs w:val="24"/>
        </w:rPr>
        <w:t>SA and CA group</w:t>
      </w:r>
      <w:r w:rsidR="00F27576" w:rsidRPr="00263307">
        <w:rPr>
          <w:rFonts w:ascii="Book Antiqua" w:hAnsi="Book Antiqua"/>
          <w:color w:val="000000" w:themeColor="text1"/>
          <w:sz w:val="24"/>
          <w:szCs w:val="24"/>
        </w:rPr>
        <w:t>s</w:t>
      </w:r>
      <w:r w:rsidR="00A70DF7" w:rsidRPr="00263307">
        <w:rPr>
          <w:rFonts w:ascii="Book Antiqua" w:hAnsi="Book Antiqua"/>
          <w:color w:val="000000" w:themeColor="text1"/>
          <w:sz w:val="24"/>
          <w:szCs w:val="24"/>
        </w:rPr>
        <w:t>, respectively.</w:t>
      </w:r>
      <w:r w:rsidR="00452CE5" w:rsidRPr="00263307">
        <w:rPr>
          <w:rFonts w:ascii="Book Antiqua" w:hAnsi="Book Antiqua"/>
          <w:color w:val="000000" w:themeColor="text1"/>
          <w:sz w:val="24"/>
          <w:szCs w:val="24"/>
        </w:rPr>
        <w:t xml:space="preserve"> </w:t>
      </w:r>
      <w:r w:rsidR="009F0F40" w:rsidRPr="00263307">
        <w:rPr>
          <w:rFonts w:ascii="Book Antiqua" w:hAnsi="Book Antiqua"/>
          <w:color w:val="000000" w:themeColor="text1"/>
          <w:sz w:val="24"/>
          <w:szCs w:val="24"/>
        </w:rPr>
        <w:t>T</w:t>
      </w:r>
      <w:r w:rsidR="00E956EA" w:rsidRPr="00263307">
        <w:rPr>
          <w:rFonts w:ascii="Book Antiqua" w:hAnsi="Book Antiqua"/>
          <w:color w:val="000000" w:themeColor="text1"/>
          <w:sz w:val="24"/>
          <w:szCs w:val="24"/>
        </w:rPr>
        <w:t xml:space="preserve">he </w:t>
      </w:r>
      <w:r w:rsidR="00645252" w:rsidRPr="00263307">
        <w:rPr>
          <w:rFonts w:ascii="Book Antiqua" w:hAnsi="Book Antiqua"/>
          <w:color w:val="000000" w:themeColor="text1"/>
          <w:sz w:val="24"/>
          <w:szCs w:val="24"/>
        </w:rPr>
        <w:t>d</w:t>
      </w:r>
      <w:r w:rsidR="00452CE5" w:rsidRPr="00263307">
        <w:rPr>
          <w:rFonts w:ascii="Book Antiqua" w:hAnsi="Book Antiqua"/>
          <w:color w:val="000000" w:themeColor="text1"/>
          <w:sz w:val="24"/>
          <w:szCs w:val="24"/>
        </w:rPr>
        <w:t>iscrepancy between radiological findings and surgical/pathological findings diminish</w:t>
      </w:r>
      <w:r w:rsidR="00F27576" w:rsidRPr="00263307">
        <w:rPr>
          <w:rFonts w:ascii="Book Antiqua" w:hAnsi="Book Antiqua"/>
          <w:color w:val="000000" w:themeColor="text1"/>
          <w:sz w:val="24"/>
          <w:szCs w:val="24"/>
        </w:rPr>
        <w:t>ed</w:t>
      </w:r>
      <w:r w:rsidR="00452CE5" w:rsidRPr="00263307">
        <w:rPr>
          <w:rFonts w:ascii="Book Antiqua" w:hAnsi="Book Antiqua"/>
          <w:color w:val="000000" w:themeColor="text1"/>
          <w:sz w:val="24"/>
          <w:szCs w:val="24"/>
        </w:rPr>
        <w:t xml:space="preserve"> the reliability of the study</w:t>
      </w:r>
      <w:r w:rsidR="00E956EA" w:rsidRPr="00263307">
        <w:rPr>
          <w:rFonts w:ascii="Book Antiqua" w:hAnsi="Book Antiqua"/>
          <w:color w:val="000000" w:themeColor="text1"/>
          <w:sz w:val="24"/>
          <w:szCs w:val="24"/>
        </w:rPr>
        <w:t xml:space="preserve"> although</w:t>
      </w:r>
      <w:r w:rsidR="009F0F40" w:rsidRPr="00263307">
        <w:rPr>
          <w:rFonts w:ascii="Book Antiqua" w:hAnsi="Book Antiqua"/>
          <w:color w:val="000000" w:themeColor="text1"/>
          <w:sz w:val="24"/>
          <w:szCs w:val="24"/>
        </w:rPr>
        <w:t xml:space="preserve"> the sensitivity was </w:t>
      </w:r>
      <w:r w:rsidR="00F27576" w:rsidRPr="00263307">
        <w:rPr>
          <w:rFonts w:ascii="Book Antiqua" w:hAnsi="Book Antiqua"/>
          <w:color w:val="000000" w:themeColor="text1"/>
          <w:sz w:val="24"/>
          <w:szCs w:val="24"/>
        </w:rPr>
        <w:t xml:space="preserve">as </w:t>
      </w:r>
      <w:r w:rsidR="00F427DD" w:rsidRPr="00263307">
        <w:rPr>
          <w:rFonts w:ascii="Book Antiqua" w:hAnsi="Book Antiqua"/>
          <w:color w:val="000000" w:themeColor="text1"/>
          <w:sz w:val="24"/>
          <w:szCs w:val="24"/>
        </w:rPr>
        <w:t xml:space="preserve">high as </w:t>
      </w:r>
      <w:r w:rsidR="009F0F40" w:rsidRPr="00263307">
        <w:rPr>
          <w:rFonts w:ascii="Book Antiqua" w:hAnsi="Book Antiqua"/>
          <w:color w:val="000000" w:themeColor="text1"/>
          <w:sz w:val="24"/>
          <w:szCs w:val="24"/>
        </w:rPr>
        <w:t>91.7%</w:t>
      </w:r>
      <w:r w:rsidR="00F427DD" w:rsidRPr="00263307">
        <w:rPr>
          <w:rFonts w:ascii="Book Antiqua" w:hAnsi="Book Antiqua"/>
          <w:color w:val="000000" w:themeColor="text1"/>
          <w:sz w:val="24"/>
          <w:szCs w:val="24"/>
        </w:rPr>
        <w:t>.</w:t>
      </w:r>
      <w:r w:rsidR="00E12716" w:rsidRPr="00263307">
        <w:rPr>
          <w:rFonts w:ascii="Book Antiqua" w:hAnsi="Book Antiqua"/>
          <w:color w:val="000000" w:themeColor="text1"/>
          <w:sz w:val="24"/>
          <w:szCs w:val="24"/>
        </w:rPr>
        <w:t xml:space="preserve"> </w:t>
      </w:r>
      <w:r w:rsidR="001152A3" w:rsidRPr="00263307">
        <w:rPr>
          <w:rFonts w:ascii="Book Antiqua" w:hAnsi="Book Antiqua"/>
          <w:color w:val="000000" w:themeColor="text1"/>
          <w:sz w:val="24"/>
          <w:szCs w:val="24"/>
        </w:rPr>
        <w:t xml:space="preserve">We </w:t>
      </w:r>
      <w:r w:rsidR="00000622" w:rsidRPr="00263307">
        <w:rPr>
          <w:rFonts w:ascii="Book Antiqua" w:hAnsi="Book Antiqua"/>
          <w:color w:val="000000" w:themeColor="text1"/>
          <w:sz w:val="24"/>
          <w:szCs w:val="24"/>
        </w:rPr>
        <w:t>should</w:t>
      </w:r>
      <w:r w:rsidR="001152A3" w:rsidRPr="00263307">
        <w:rPr>
          <w:rFonts w:ascii="Book Antiqua" w:hAnsi="Book Antiqua"/>
          <w:color w:val="000000" w:themeColor="text1"/>
          <w:sz w:val="24"/>
          <w:szCs w:val="24"/>
        </w:rPr>
        <w:t xml:space="preserve"> note that our study was </w:t>
      </w:r>
      <w:r w:rsidR="00000622" w:rsidRPr="00263307">
        <w:rPr>
          <w:rFonts w:ascii="Book Antiqua" w:hAnsi="Book Antiqua"/>
          <w:color w:val="000000" w:themeColor="text1"/>
          <w:sz w:val="24"/>
          <w:szCs w:val="24"/>
        </w:rPr>
        <w:t xml:space="preserve">conducted </w:t>
      </w:r>
      <w:r w:rsidR="001152A3" w:rsidRPr="00263307">
        <w:rPr>
          <w:rFonts w:ascii="Book Antiqua" w:hAnsi="Book Antiqua"/>
          <w:color w:val="000000" w:themeColor="text1"/>
          <w:sz w:val="24"/>
          <w:szCs w:val="24"/>
        </w:rPr>
        <w:t xml:space="preserve">under </w:t>
      </w:r>
      <w:r w:rsidR="006C773D" w:rsidRPr="00263307">
        <w:rPr>
          <w:rFonts w:ascii="Book Antiqua" w:hAnsi="Book Antiqua"/>
          <w:color w:val="000000" w:themeColor="text1"/>
          <w:sz w:val="24"/>
          <w:szCs w:val="24"/>
        </w:rPr>
        <w:t xml:space="preserve">somewhat unique </w:t>
      </w:r>
      <w:r w:rsidR="001152A3" w:rsidRPr="00263307">
        <w:rPr>
          <w:rFonts w:ascii="Book Antiqua" w:hAnsi="Book Antiqua"/>
          <w:color w:val="000000" w:themeColor="text1"/>
          <w:sz w:val="24"/>
          <w:szCs w:val="24"/>
        </w:rPr>
        <w:t>circumstance</w:t>
      </w:r>
      <w:r w:rsidR="00000622" w:rsidRPr="00263307">
        <w:rPr>
          <w:rFonts w:ascii="Book Antiqua" w:hAnsi="Book Antiqua"/>
          <w:color w:val="000000" w:themeColor="text1"/>
          <w:sz w:val="24"/>
          <w:szCs w:val="24"/>
        </w:rPr>
        <w:t>s</w:t>
      </w:r>
      <w:r w:rsidR="002F311B" w:rsidRPr="00263307">
        <w:rPr>
          <w:rFonts w:ascii="Book Antiqua" w:hAnsi="Book Antiqua"/>
          <w:color w:val="000000" w:themeColor="text1"/>
          <w:sz w:val="24"/>
          <w:szCs w:val="24"/>
        </w:rPr>
        <w:t>:</w:t>
      </w:r>
      <w:r w:rsidR="001152A3" w:rsidRPr="00263307">
        <w:rPr>
          <w:rFonts w:ascii="Book Antiqua" w:hAnsi="Book Antiqua"/>
          <w:color w:val="000000" w:themeColor="text1"/>
          <w:sz w:val="24"/>
          <w:szCs w:val="24"/>
        </w:rPr>
        <w:t xml:space="preserve"> </w:t>
      </w:r>
      <w:r w:rsidR="002F311B" w:rsidRPr="00263307">
        <w:rPr>
          <w:rFonts w:ascii="Book Antiqua" w:hAnsi="Book Antiqua"/>
          <w:color w:val="000000" w:themeColor="text1"/>
          <w:sz w:val="24"/>
          <w:szCs w:val="24"/>
        </w:rPr>
        <w:t>C</w:t>
      </w:r>
      <w:r w:rsidR="001152A3" w:rsidRPr="00263307">
        <w:rPr>
          <w:rFonts w:ascii="Book Antiqua" w:hAnsi="Book Antiqua"/>
          <w:color w:val="000000" w:themeColor="text1"/>
          <w:sz w:val="24"/>
          <w:szCs w:val="24"/>
        </w:rPr>
        <w:t xml:space="preserve">onservative management for AA that we routinely performed </w:t>
      </w:r>
      <w:r w:rsidR="00902692" w:rsidRPr="00263307">
        <w:rPr>
          <w:rFonts w:ascii="Book Antiqua" w:hAnsi="Book Antiqua"/>
          <w:color w:val="000000" w:themeColor="text1"/>
          <w:sz w:val="24"/>
          <w:szCs w:val="24"/>
        </w:rPr>
        <w:t xml:space="preserve">in our hospital </w:t>
      </w:r>
      <w:r w:rsidR="001152A3" w:rsidRPr="00263307">
        <w:rPr>
          <w:rFonts w:ascii="Book Antiqua" w:hAnsi="Book Antiqua"/>
          <w:color w:val="000000" w:themeColor="text1"/>
          <w:sz w:val="24"/>
          <w:szCs w:val="24"/>
        </w:rPr>
        <w:t xml:space="preserve">is not </w:t>
      </w:r>
      <w:r w:rsidR="006C773D" w:rsidRPr="00263307">
        <w:rPr>
          <w:rFonts w:ascii="Book Antiqua" w:hAnsi="Book Antiqua"/>
          <w:color w:val="000000" w:themeColor="text1"/>
          <w:sz w:val="24"/>
          <w:szCs w:val="24"/>
        </w:rPr>
        <w:t xml:space="preserve">the </w:t>
      </w:r>
      <w:r w:rsidR="001152A3" w:rsidRPr="00263307">
        <w:rPr>
          <w:rFonts w:ascii="Book Antiqua" w:hAnsi="Book Antiqua"/>
          <w:color w:val="000000" w:themeColor="text1"/>
          <w:sz w:val="24"/>
          <w:szCs w:val="24"/>
        </w:rPr>
        <w:t xml:space="preserve">global standard management of AA </w:t>
      </w:r>
      <w:r w:rsidR="006C773D" w:rsidRPr="00263307">
        <w:rPr>
          <w:rFonts w:ascii="Book Antiqua" w:hAnsi="Book Antiqua"/>
          <w:color w:val="000000" w:themeColor="text1"/>
          <w:sz w:val="24"/>
          <w:szCs w:val="24"/>
        </w:rPr>
        <w:t>(</w:t>
      </w:r>
      <w:r w:rsidR="001152A3" w:rsidRPr="00263307">
        <w:rPr>
          <w:rFonts w:ascii="Book Antiqua" w:hAnsi="Book Antiqua"/>
          <w:i/>
          <w:color w:val="000000" w:themeColor="text1"/>
          <w:sz w:val="24"/>
          <w:szCs w:val="24"/>
        </w:rPr>
        <w:t>i.e.</w:t>
      </w:r>
      <w:r w:rsidR="006C773D" w:rsidRPr="00263307">
        <w:rPr>
          <w:rFonts w:ascii="Book Antiqua" w:hAnsi="Book Antiqua"/>
          <w:color w:val="000000" w:themeColor="text1"/>
          <w:sz w:val="24"/>
          <w:szCs w:val="24"/>
        </w:rPr>
        <w:t>,</w:t>
      </w:r>
      <w:r w:rsidR="001152A3" w:rsidRPr="00263307">
        <w:rPr>
          <w:rFonts w:ascii="Book Antiqua" w:hAnsi="Book Antiqua"/>
          <w:color w:val="000000" w:themeColor="text1"/>
          <w:sz w:val="24"/>
          <w:szCs w:val="24"/>
        </w:rPr>
        <w:t xml:space="preserve"> </w:t>
      </w:r>
      <w:r w:rsidR="00902692" w:rsidRPr="00263307">
        <w:rPr>
          <w:rFonts w:ascii="Book Antiqua" w:hAnsi="Book Antiqua"/>
          <w:color w:val="000000" w:themeColor="text1"/>
          <w:sz w:val="24"/>
          <w:szCs w:val="24"/>
        </w:rPr>
        <w:t xml:space="preserve">despite the fact that non-operative management of AA is increasingly accepted as an option of management of AA in </w:t>
      </w:r>
      <w:r w:rsidR="00D0530F" w:rsidRPr="00263307">
        <w:rPr>
          <w:rFonts w:ascii="Book Antiqua" w:hAnsi="Book Antiqua"/>
          <w:color w:val="000000" w:themeColor="text1"/>
          <w:sz w:val="24"/>
          <w:szCs w:val="24"/>
        </w:rPr>
        <w:t>some</w:t>
      </w:r>
      <w:r w:rsidR="00902692" w:rsidRPr="00263307">
        <w:rPr>
          <w:rFonts w:ascii="Book Antiqua" w:hAnsi="Book Antiqua"/>
          <w:color w:val="000000" w:themeColor="text1"/>
          <w:sz w:val="24"/>
          <w:szCs w:val="24"/>
        </w:rPr>
        <w:t xml:space="preserve"> </w:t>
      </w:r>
      <w:r w:rsidR="00D0530F" w:rsidRPr="00263307">
        <w:rPr>
          <w:rFonts w:ascii="Book Antiqua" w:hAnsi="Book Antiqua"/>
          <w:color w:val="000000" w:themeColor="text1"/>
          <w:sz w:val="24"/>
          <w:szCs w:val="24"/>
        </w:rPr>
        <w:t>patents</w:t>
      </w:r>
      <w:r w:rsidR="007E293B" w:rsidRPr="00263307">
        <w:rPr>
          <w:rFonts w:ascii="Book Antiqua" w:hAnsi="Book Antiqua"/>
          <w:color w:val="000000" w:themeColor="text1"/>
          <w:sz w:val="24"/>
          <w:szCs w:val="24"/>
        </w:rPr>
        <w:t>,</w:t>
      </w:r>
      <w:r w:rsidR="00D0530F" w:rsidRPr="00263307">
        <w:rPr>
          <w:rFonts w:ascii="Book Antiqua" w:hAnsi="Book Antiqua"/>
          <w:color w:val="000000" w:themeColor="text1"/>
          <w:sz w:val="24"/>
          <w:szCs w:val="24"/>
        </w:rPr>
        <w:t xml:space="preserve"> </w:t>
      </w:r>
      <w:r w:rsidR="00902692" w:rsidRPr="00263307">
        <w:rPr>
          <w:rFonts w:ascii="Book Antiqua" w:hAnsi="Book Antiqua"/>
          <w:color w:val="000000" w:themeColor="text1"/>
          <w:sz w:val="24"/>
          <w:szCs w:val="24"/>
        </w:rPr>
        <w:t xml:space="preserve">such as </w:t>
      </w:r>
      <w:r w:rsidR="002F311B" w:rsidRPr="00263307">
        <w:rPr>
          <w:rFonts w:ascii="Book Antiqua" w:hAnsi="Book Antiqua"/>
          <w:color w:val="000000" w:themeColor="text1"/>
          <w:sz w:val="24"/>
          <w:szCs w:val="24"/>
        </w:rPr>
        <w:t xml:space="preserve">those </w:t>
      </w:r>
      <w:r w:rsidR="00D0530F" w:rsidRPr="00263307">
        <w:rPr>
          <w:rFonts w:ascii="Book Antiqua" w:hAnsi="Book Antiqua"/>
          <w:color w:val="000000" w:themeColor="text1"/>
          <w:sz w:val="24"/>
          <w:szCs w:val="24"/>
        </w:rPr>
        <w:t>who prefer non-operative management or high-</w:t>
      </w:r>
      <w:r w:rsidR="00902692" w:rsidRPr="00263307">
        <w:rPr>
          <w:rFonts w:ascii="Book Antiqua" w:hAnsi="Book Antiqua"/>
          <w:color w:val="000000" w:themeColor="text1"/>
          <w:sz w:val="24"/>
          <w:szCs w:val="24"/>
        </w:rPr>
        <w:t xml:space="preserve">risk </w:t>
      </w:r>
      <w:r w:rsidR="00D0530F" w:rsidRPr="00263307">
        <w:rPr>
          <w:rFonts w:ascii="Book Antiqua" w:hAnsi="Book Antiqua"/>
          <w:color w:val="000000" w:themeColor="text1"/>
          <w:sz w:val="24"/>
          <w:szCs w:val="24"/>
        </w:rPr>
        <w:t xml:space="preserve">patients </w:t>
      </w:r>
      <w:r w:rsidR="00902692" w:rsidRPr="00263307">
        <w:rPr>
          <w:rFonts w:ascii="Book Antiqua" w:hAnsi="Book Antiqua"/>
          <w:color w:val="000000" w:themeColor="text1"/>
          <w:sz w:val="24"/>
          <w:szCs w:val="24"/>
        </w:rPr>
        <w:t>for operation</w:t>
      </w:r>
      <w:r w:rsidR="005C2861" w:rsidRPr="00263307">
        <w:rPr>
          <w:rFonts w:ascii="Book Antiqua" w:hAnsi="Book Antiqua"/>
          <w:color w:val="000000" w:themeColor="text1"/>
          <w:sz w:val="24"/>
          <w:szCs w:val="24"/>
        </w:rPr>
        <w:fldChar w:fldCharType="begin" w:fldLock="1"/>
      </w:r>
      <w:r w:rsidR="005C2861" w:rsidRPr="00263307">
        <w:rPr>
          <w:rFonts w:ascii="Book Antiqua" w:hAnsi="Book Antiqua"/>
          <w:color w:val="000000" w:themeColor="text1"/>
          <w:sz w:val="24"/>
          <w:szCs w:val="24"/>
        </w:rPr>
        <w:instrText>ADDIN CSL_CITATION {"citationItems":[{"id":"ITEM-1","itemData":{"DOI":"10.1056/NEJMcp1215006","ISSN":"15334406","abstract":"A 56-year-old man presents with a 2-day history of abdominal pain. The pain began centrally but has moved to the right lower quadrant of his abdomen in the past 6 hours. He has a body-mass index (the weight in kilograms divided by the square of the height in meters) of 33, a body temperature of 100°F (37.8°C), and a white-cell count of 11,500 per cubic millimeter. The right side of his lower abdomen is tender to palpation. A computed tomographic (CT) scan was ordered by his primary care physician after he was examined in the clinic, and the results are consistent with appendicitis. He has had three prior surgical procedures: an open Nissen fundoplication complicated by a pulmonary embolism and two incisional hernia repairs with mesh. After receiving the results of his CT scan, he found information online about doctors in Europe who are using antibiotics alone to treat appendicitis, and he asks specifically about that option. How would you manage this case?","author":[{"dropping-particle":"","family":"Flum","given":"David R.","non-dropping-particle":"","parse-names":false,"suffix":""}],"container-title":"New England Journal of Medicine","id":"ITEM-1","issue":"20","issued":{"date-parts":[["2015"]]},"page":"1937-1943","title":"Acute appendicitis - Appendectomy or the \"antibiotics first\" strategy","type":"article-journal","volume":"372"},"uris":["http://www.mendeley.com/documents/?uuid=ee468c01-0d4b-45ef-8a33-66e25f678029"]}],"mendeley":{"formattedCitation":"&lt;sup&gt;[&lt;sup&gt;29&lt;/sup&gt;]&lt;/sup&gt;","plainTextFormattedCitation":"[29]","previouslyFormattedCitation":"&lt;sup&gt;[&lt;sup&gt;29&lt;/sup&gt;]&lt;/sup&gt;"},"properties":{"noteIndex":0},"schema":"https://github.com/citation-style-language/schema/raw/master/csl-citation.json"}</w:instrText>
      </w:r>
      <w:r w:rsidR="005C2861" w:rsidRPr="00263307">
        <w:rPr>
          <w:rFonts w:ascii="Book Antiqua" w:hAnsi="Book Antiqua"/>
          <w:color w:val="000000" w:themeColor="text1"/>
          <w:sz w:val="24"/>
          <w:szCs w:val="24"/>
        </w:rPr>
        <w:fldChar w:fldCharType="separate"/>
      </w:r>
      <w:r w:rsidR="005C2861" w:rsidRPr="00263307">
        <w:rPr>
          <w:rFonts w:ascii="Book Antiqua" w:hAnsi="Book Antiqua"/>
          <w:noProof/>
          <w:color w:val="000000" w:themeColor="text1"/>
          <w:sz w:val="24"/>
          <w:szCs w:val="24"/>
          <w:vertAlign w:val="superscript"/>
        </w:rPr>
        <w:t>[29]</w:t>
      </w:r>
      <w:r w:rsidR="005C2861" w:rsidRPr="00263307">
        <w:rPr>
          <w:rFonts w:ascii="Book Antiqua" w:hAnsi="Book Antiqua"/>
          <w:color w:val="000000" w:themeColor="text1"/>
          <w:sz w:val="24"/>
          <w:szCs w:val="24"/>
        </w:rPr>
        <w:fldChar w:fldCharType="end"/>
      </w:r>
      <w:r w:rsidR="00902692" w:rsidRPr="00263307">
        <w:rPr>
          <w:rFonts w:ascii="Book Antiqua" w:hAnsi="Book Antiqua"/>
          <w:color w:val="000000" w:themeColor="text1"/>
          <w:sz w:val="24"/>
          <w:szCs w:val="24"/>
        </w:rPr>
        <w:t>, emergent or urgent appendectomy is still emergent or urgent appendectomy in most cases</w:t>
      </w:r>
      <w:r w:rsidR="006C773D" w:rsidRPr="00263307">
        <w:rPr>
          <w:rFonts w:ascii="Book Antiqua" w:hAnsi="Book Antiqua"/>
          <w:color w:val="000000" w:themeColor="text1"/>
          <w:sz w:val="24"/>
          <w:szCs w:val="24"/>
        </w:rPr>
        <w:t>)</w:t>
      </w:r>
      <w:r w:rsidR="005C2861" w:rsidRPr="00263307">
        <w:rPr>
          <w:rFonts w:ascii="Book Antiqua" w:hAnsi="Book Antiqua"/>
          <w:color w:val="000000" w:themeColor="text1"/>
          <w:sz w:val="24"/>
          <w:szCs w:val="24"/>
        </w:rPr>
        <w:fldChar w:fldCharType="begin" w:fldLock="1"/>
      </w:r>
      <w:r w:rsidR="005C2861" w:rsidRPr="00263307">
        <w:rPr>
          <w:rFonts w:ascii="Book Antiqua" w:hAnsi="Book Antiqua"/>
          <w:color w:val="000000" w:themeColor="text1"/>
          <w:sz w:val="24"/>
          <w:szCs w:val="24"/>
        </w:rPr>
        <w:instrText>ADDIN CSL_CITATION {"citationItems":[{"id":"ITEM-1","itemData":{"DOI":"10.1002/14651858.cd008359.pub2","ISSN":"1469-493X","abstract":"Acute appendicitis is one of the most common causes of acute abdominal pain. Present day treatment of choice for acute appendicitis is appendectomy, however complications are inherent to operative treatment. Though surgical appendectomy remains the standard treatment, several investigators have investigated conservative antibiotic treatment of acute appendicitis and reported good results. Is antibiotic treatment as effective as surgical appendectomy (laparoscopic or open) in patients with acute appendicitis on recovery within two weeks, without major complications (including recurrence) within one year? We searched the Cochrane Central Register of Controlled Trials (The Cochrane Library Issue 6, 2011); MEDLINE (until June 2011); EMBASE (until June 2011); Prospective Trial Registers (June 2011) and reference lists of articles. Randomised and quasi-randomised clinical trials (RCT and qRCT) comparing antibiotic treatment with appendectomy in patients with suspected appendicitis were included. Excluded were studies which primarily focused on the complications of acute appendicitis. Two authors independently assessed trial quality and extracted data. The review authors contacted the trial authors for additional information if required. Statistical analysis was carried out using Review Manager and MetaAnalyst. A non-inferiority analysis was performed, comparing antibiotic treatment (ABT) to the gold standard (appendectomy). By consensus, a 20% margin of non-inferiority was considered clinically relevant. Five RCT's (901 patients) were assessed. In total 73.4% (95% CI 62.7 to 81.9) of patients who were treated with antibiotics and 97.4 (95% CI 94.4 to 98.8) patients who directly got an appendectomy were cured within two weeks without major complications (including recurrence) within one year. The lower 95% CI was 15.2% below the 20% margin for the primary outcome. The upper bound of the 95% CI of ABT for cure within two weeks without major complications crosses the 20% margin of appendectomy, so the outcome is inconclusive. Also the quality of the studies was low to moderate, for that reason the results should be interpret with caution and definite conclusions cannot be made. Therefore we conclude that appendectomy remains the standard treatment for acute appendicitis. Antibiotic treatment might be used as an alternative treatment in a good quality RCT or in specific patients or conditions were surgery is contraindicated.","author":[{"dropping-particle":"","family":"Wilms","given":"Ingrid MHA","non-dropping-particle":"","parse-names":false,"suffix":""},{"dropping-particle":"","family":"Hoog","given":"Dominique ENM","non-dropping-particle":"de","parse-names":false,"suffix":""},{"dropping-particle":"","family":"Visser","given":"Dianne C","non-dropping-particle":"de","parse-names":false,"suffix":""},{"dropping-particle":"","family":"Janzing","given":"Heinrich MJ","non-dropping-particle":"","parse-names":false,"suffix":""}],"container-title":"Cochrane Database of Systematic Reviews","id":"ITEM-1","issued":{"date-parts":[["2011"]]},"title":"Appendectomy versus antibiotic treatment for acute appendicitis","type":"article-journal"},"uris":["http://www.mendeley.com/documents/?uuid=22a96257-2029-4dc9-b4dc-e886b93f4870"]}],"mendeley":{"formattedCitation":"&lt;sup&gt;[&lt;sup&gt;5&lt;/sup&gt;]&lt;/sup&gt;","plainTextFormattedCitation":"[5]"},"properties":{"noteIndex":0},"schema":"https://github.com/citation-style-language/schema/raw/master/csl-citation.json"}</w:instrText>
      </w:r>
      <w:r w:rsidR="005C2861" w:rsidRPr="00263307">
        <w:rPr>
          <w:rFonts w:ascii="Book Antiqua" w:hAnsi="Book Antiqua"/>
          <w:color w:val="000000" w:themeColor="text1"/>
          <w:sz w:val="24"/>
          <w:szCs w:val="24"/>
        </w:rPr>
        <w:fldChar w:fldCharType="separate"/>
      </w:r>
      <w:r w:rsidR="005C2861" w:rsidRPr="00263307">
        <w:rPr>
          <w:rFonts w:ascii="Book Antiqua" w:hAnsi="Book Antiqua"/>
          <w:noProof/>
          <w:color w:val="000000" w:themeColor="text1"/>
          <w:sz w:val="24"/>
          <w:szCs w:val="24"/>
          <w:vertAlign w:val="superscript"/>
        </w:rPr>
        <w:t>[5]</w:t>
      </w:r>
      <w:r w:rsidR="005C2861" w:rsidRPr="00263307">
        <w:rPr>
          <w:rFonts w:ascii="Book Antiqua" w:hAnsi="Book Antiqua"/>
          <w:color w:val="000000" w:themeColor="text1"/>
          <w:sz w:val="24"/>
          <w:szCs w:val="24"/>
        </w:rPr>
        <w:fldChar w:fldCharType="end"/>
      </w:r>
      <w:r w:rsidR="00902692" w:rsidRPr="00263307">
        <w:rPr>
          <w:rFonts w:ascii="Book Antiqua" w:hAnsi="Book Antiqua"/>
          <w:color w:val="000000" w:themeColor="text1"/>
          <w:sz w:val="24"/>
          <w:szCs w:val="24"/>
        </w:rPr>
        <w:t>.</w:t>
      </w:r>
      <w:r w:rsidR="004F12BB" w:rsidRPr="00263307">
        <w:rPr>
          <w:rFonts w:ascii="Book Antiqua" w:hAnsi="Book Antiqua"/>
          <w:color w:val="000000" w:themeColor="text1"/>
          <w:sz w:val="24"/>
          <w:szCs w:val="24"/>
        </w:rPr>
        <w:t xml:space="preserve"> However, because th</w:t>
      </w:r>
      <w:r w:rsidR="001110FF" w:rsidRPr="00263307">
        <w:rPr>
          <w:rFonts w:ascii="Book Antiqua" w:hAnsi="Book Antiqua"/>
          <w:color w:val="000000" w:themeColor="text1"/>
          <w:sz w:val="24"/>
          <w:szCs w:val="24"/>
        </w:rPr>
        <w:t>e evidence</w:t>
      </w:r>
      <w:r w:rsidR="004F12BB" w:rsidRPr="00263307">
        <w:rPr>
          <w:rFonts w:ascii="Book Antiqua" w:hAnsi="Book Antiqua"/>
          <w:color w:val="000000" w:themeColor="text1"/>
          <w:sz w:val="24"/>
          <w:szCs w:val="24"/>
        </w:rPr>
        <w:t xml:space="preserve"> on conservative management and interval appendectomy is increasing</w:t>
      </w:r>
      <w:r w:rsidR="006C773D" w:rsidRPr="00263307">
        <w:rPr>
          <w:rFonts w:ascii="Book Antiqua" w:hAnsi="Book Antiqua"/>
          <w:color w:val="000000" w:themeColor="text1"/>
          <w:sz w:val="24"/>
          <w:szCs w:val="24"/>
        </w:rPr>
        <w:t>,</w:t>
      </w:r>
      <w:r w:rsidR="001110FF" w:rsidRPr="00263307">
        <w:rPr>
          <w:rFonts w:ascii="Book Antiqua" w:hAnsi="Book Antiqua"/>
          <w:color w:val="000000" w:themeColor="text1"/>
          <w:sz w:val="24"/>
          <w:szCs w:val="24"/>
        </w:rPr>
        <w:t xml:space="preserve"> as mentioned above</w:t>
      </w:r>
      <w:r w:rsidR="004F12BB" w:rsidRPr="00263307">
        <w:rPr>
          <w:rFonts w:ascii="Book Antiqua" w:hAnsi="Book Antiqua"/>
          <w:color w:val="000000" w:themeColor="text1"/>
          <w:sz w:val="24"/>
          <w:szCs w:val="24"/>
        </w:rPr>
        <w:t>, our differentiat</w:t>
      </w:r>
      <w:r w:rsidR="006C773D" w:rsidRPr="00263307">
        <w:rPr>
          <w:rFonts w:ascii="Book Antiqua" w:hAnsi="Book Antiqua"/>
          <w:color w:val="000000" w:themeColor="text1"/>
          <w:sz w:val="24"/>
          <w:szCs w:val="24"/>
        </w:rPr>
        <w:t>ion of</w:t>
      </w:r>
      <w:r w:rsidR="004F12BB" w:rsidRPr="00263307">
        <w:rPr>
          <w:rFonts w:ascii="Book Antiqua" w:hAnsi="Book Antiqua"/>
          <w:color w:val="000000" w:themeColor="text1"/>
          <w:sz w:val="24"/>
          <w:szCs w:val="24"/>
        </w:rPr>
        <w:t xml:space="preserve"> SA and CA based on radiologic</w:t>
      </w:r>
      <w:r w:rsidR="007E293B" w:rsidRPr="00263307">
        <w:rPr>
          <w:rFonts w:ascii="Book Antiqua" w:hAnsi="Book Antiqua"/>
          <w:color w:val="000000" w:themeColor="text1"/>
          <w:sz w:val="24"/>
          <w:szCs w:val="24"/>
        </w:rPr>
        <w:t>al</w:t>
      </w:r>
      <w:r w:rsidR="004F12BB" w:rsidRPr="00263307">
        <w:rPr>
          <w:rFonts w:ascii="Book Antiqua" w:hAnsi="Book Antiqua"/>
          <w:color w:val="000000" w:themeColor="text1"/>
          <w:sz w:val="24"/>
          <w:szCs w:val="24"/>
        </w:rPr>
        <w:t xml:space="preserve"> </w:t>
      </w:r>
      <w:r w:rsidR="001110FF" w:rsidRPr="00263307">
        <w:rPr>
          <w:rFonts w:ascii="Book Antiqua" w:hAnsi="Book Antiqua"/>
          <w:color w:val="000000" w:themeColor="text1"/>
          <w:sz w:val="24"/>
          <w:szCs w:val="24"/>
        </w:rPr>
        <w:t>fin</w:t>
      </w:r>
      <w:r w:rsidR="004F12BB" w:rsidRPr="00263307">
        <w:rPr>
          <w:rFonts w:ascii="Book Antiqua" w:hAnsi="Book Antiqua"/>
          <w:color w:val="000000" w:themeColor="text1"/>
          <w:sz w:val="24"/>
          <w:szCs w:val="24"/>
        </w:rPr>
        <w:t xml:space="preserve">dings </w:t>
      </w:r>
      <w:r w:rsidR="002067B0" w:rsidRPr="00263307">
        <w:rPr>
          <w:rFonts w:ascii="Book Antiqua" w:hAnsi="Book Antiqua"/>
          <w:color w:val="000000" w:themeColor="text1"/>
          <w:sz w:val="24"/>
          <w:szCs w:val="24"/>
        </w:rPr>
        <w:t xml:space="preserve">as a surrogate </w:t>
      </w:r>
      <w:r w:rsidR="006C773D" w:rsidRPr="00263307">
        <w:rPr>
          <w:rFonts w:ascii="Book Antiqua" w:hAnsi="Book Antiqua"/>
          <w:color w:val="000000" w:themeColor="text1"/>
          <w:sz w:val="24"/>
          <w:szCs w:val="24"/>
        </w:rPr>
        <w:t xml:space="preserve">for </w:t>
      </w:r>
      <w:r w:rsidR="001110FF" w:rsidRPr="00263307">
        <w:rPr>
          <w:rFonts w:ascii="Book Antiqua" w:hAnsi="Book Antiqua"/>
          <w:color w:val="000000" w:themeColor="text1"/>
          <w:sz w:val="24"/>
          <w:szCs w:val="24"/>
        </w:rPr>
        <w:t xml:space="preserve">surgical or pathological findings may </w:t>
      </w:r>
      <w:r w:rsidR="006C773D" w:rsidRPr="00263307">
        <w:rPr>
          <w:rFonts w:ascii="Book Antiqua" w:hAnsi="Book Antiqua"/>
          <w:color w:val="000000" w:themeColor="text1"/>
          <w:sz w:val="24"/>
          <w:szCs w:val="24"/>
        </w:rPr>
        <w:t>become more</w:t>
      </w:r>
      <w:r w:rsidR="001110FF" w:rsidRPr="00263307">
        <w:rPr>
          <w:rFonts w:ascii="Book Antiqua" w:hAnsi="Book Antiqua"/>
          <w:color w:val="000000" w:themeColor="text1"/>
          <w:sz w:val="24"/>
          <w:szCs w:val="24"/>
        </w:rPr>
        <w:t xml:space="preserve"> clinical</w:t>
      </w:r>
      <w:r w:rsidR="006C773D" w:rsidRPr="00263307">
        <w:rPr>
          <w:rFonts w:ascii="Book Antiqua" w:hAnsi="Book Antiqua"/>
          <w:color w:val="000000" w:themeColor="text1"/>
          <w:sz w:val="24"/>
          <w:szCs w:val="24"/>
        </w:rPr>
        <w:t>ly</w:t>
      </w:r>
      <w:r w:rsidR="001110FF" w:rsidRPr="00263307">
        <w:rPr>
          <w:rFonts w:ascii="Book Antiqua" w:hAnsi="Book Antiqua"/>
          <w:color w:val="000000" w:themeColor="text1"/>
          <w:sz w:val="24"/>
          <w:szCs w:val="24"/>
        </w:rPr>
        <w:t xml:space="preserve"> significan</w:t>
      </w:r>
      <w:r w:rsidR="006C773D" w:rsidRPr="00263307">
        <w:rPr>
          <w:rFonts w:ascii="Book Antiqua" w:hAnsi="Book Antiqua"/>
          <w:color w:val="000000" w:themeColor="text1"/>
          <w:sz w:val="24"/>
          <w:szCs w:val="24"/>
        </w:rPr>
        <w:t>t</w:t>
      </w:r>
      <w:r w:rsidR="001110FF" w:rsidRPr="00263307">
        <w:rPr>
          <w:rFonts w:ascii="Book Antiqua" w:hAnsi="Book Antiqua"/>
          <w:color w:val="000000" w:themeColor="text1"/>
          <w:sz w:val="24"/>
          <w:szCs w:val="24"/>
        </w:rPr>
        <w:t>.</w:t>
      </w:r>
      <w:r w:rsidR="004F12BB" w:rsidRPr="00263307">
        <w:rPr>
          <w:rFonts w:ascii="Book Antiqua" w:hAnsi="Book Antiqua"/>
          <w:vanish/>
          <w:color w:val="000000" w:themeColor="text1"/>
          <w:sz w:val="24"/>
          <w:szCs w:val="24"/>
        </w:rPr>
        <w:t>ow</w:t>
      </w:r>
    </w:p>
    <w:p w14:paraId="34581CD4" w14:textId="77777777" w:rsidR="008919D3" w:rsidRPr="00263307" w:rsidRDefault="006C773D" w:rsidP="00263307">
      <w:pPr>
        <w:pStyle w:val="a5"/>
        <w:adjustRightInd w:val="0"/>
        <w:snapToGrid w:val="0"/>
        <w:spacing w:before="0" w:beforeAutospacing="0" w:after="0" w:afterAutospacing="0" w:line="360" w:lineRule="auto"/>
        <w:ind w:firstLineChars="100" w:firstLine="240"/>
        <w:jc w:val="both"/>
        <w:rPr>
          <w:rFonts w:ascii="Book Antiqua" w:eastAsia="宋体" w:hAnsi="Book Antiqua"/>
          <w:color w:val="000000" w:themeColor="text1"/>
          <w:sz w:val="24"/>
          <w:szCs w:val="24"/>
          <w:lang w:eastAsia="zh-CN"/>
        </w:rPr>
      </w:pPr>
      <w:r w:rsidRPr="00263307">
        <w:rPr>
          <w:rFonts w:ascii="Book Antiqua" w:hAnsi="Book Antiqua"/>
          <w:color w:val="000000" w:themeColor="text1"/>
          <w:sz w:val="24"/>
          <w:szCs w:val="24"/>
        </w:rPr>
        <w:t>The t</w:t>
      </w:r>
      <w:r w:rsidR="005D3097" w:rsidRPr="00263307">
        <w:rPr>
          <w:rFonts w:ascii="Book Antiqua" w:hAnsi="Book Antiqua"/>
          <w:color w:val="000000" w:themeColor="text1"/>
          <w:sz w:val="24"/>
          <w:szCs w:val="24"/>
        </w:rPr>
        <w:t>hird</w:t>
      </w:r>
      <w:r w:rsidR="00E12716" w:rsidRPr="00263307">
        <w:rPr>
          <w:rFonts w:ascii="Book Antiqua" w:hAnsi="Book Antiqua"/>
          <w:color w:val="000000" w:themeColor="text1"/>
          <w:sz w:val="24"/>
          <w:szCs w:val="24"/>
        </w:rPr>
        <w:t xml:space="preserve"> limitation is</w:t>
      </w:r>
      <w:r w:rsidR="005D3097"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 xml:space="preserve">the </w:t>
      </w:r>
      <w:r w:rsidR="005D3097" w:rsidRPr="00263307">
        <w:rPr>
          <w:rFonts w:ascii="Book Antiqua" w:hAnsi="Book Antiqua"/>
          <w:color w:val="000000" w:themeColor="text1"/>
          <w:sz w:val="24"/>
          <w:szCs w:val="24"/>
        </w:rPr>
        <w:t xml:space="preserve">small sample size, especially </w:t>
      </w:r>
      <w:r w:rsidR="00F27576" w:rsidRPr="00263307">
        <w:rPr>
          <w:rFonts w:ascii="Book Antiqua" w:hAnsi="Book Antiqua"/>
          <w:color w:val="000000" w:themeColor="text1"/>
          <w:sz w:val="24"/>
          <w:szCs w:val="24"/>
        </w:rPr>
        <w:t xml:space="preserve">for </w:t>
      </w:r>
      <w:r w:rsidR="005D3097" w:rsidRPr="00263307">
        <w:rPr>
          <w:rFonts w:ascii="Book Antiqua" w:hAnsi="Book Antiqua"/>
          <w:color w:val="000000" w:themeColor="text1"/>
          <w:sz w:val="24"/>
          <w:szCs w:val="24"/>
        </w:rPr>
        <w:t>cases with CA</w:t>
      </w:r>
      <w:r w:rsidR="0024467B"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 xml:space="preserve">This </w:t>
      </w:r>
      <w:r w:rsidR="002E50DC" w:rsidRPr="00263307">
        <w:rPr>
          <w:rFonts w:ascii="Book Antiqua" w:hAnsi="Book Antiqua"/>
          <w:color w:val="000000" w:themeColor="text1"/>
          <w:sz w:val="24"/>
          <w:szCs w:val="24"/>
        </w:rPr>
        <w:t>may decrease</w:t>
      </w:r>
      <w:r w:rsidR="005D3097" w:rsidRPr="00263307">
        <w:rPr>
          <w:rFonts w:ascii="Book Antiqua" w:hAnsi="Book Antiqua"/>
          <w:color w:val="000000" w:themeColor="text1"/>
          <w:sz w:val="24"/>
          <w:szCs w:val="24"/>
        </w:rPr>
        <w:t xml:space="preserve"> </w:t>
      </w:r>
      <w:r w:rsidRPr="00263307">
        <w:rPr>
          <w:rFonts w:ascii="Book Antiqua" w:hAnsi="Book Antiqua"/>
          <w:color w:val="000000" w:themeColor="text1"/>
          <w:sz w:val="24"/>
          <w:szCs w:val="24"/>
        </w:rPr>
        <w:t xml:space="preserve">the </w:t>
      </w:r>
      <w:r w:rsidR="0024467B" w:rsidRPr="00263307">
        <w:rPr>
          <w:rFonts w:ascii="Book Antiqua" w:hAnsi="Book Antiqua"/>
          <w:color w:val="000000" w:themeColor="text1"/>
          <w:sz w:val="24"/>
          <w:szCs w:val="24"/>
        </w:rPr>
        <w:t xml:space="preserve">statistical </w:t>
      </w:r>
      <w:r w:rsidR="005D3097" w:rsidRPr="00263307">
        <w:rPr>
          <w:rFonts w:ascii="Book Antiqua" w:hAnsi="Book Antiqua"/>
          <w:color w:val="000000" w:themeColor="text1"/>
          <w:sz w:val="24"/>
          <w:szCs w:val="24"/>
        </w:rPr>
        <w:t>reliability of logistic regression models that include five explanatory variables.</w:t>
      </w:r>
    </w:p>
    <w:p w14:paraId="63C1C425" w14:textId="3356D067" w:rsidR="0034335D" w:rsidRPr="00263307" w:rsidRDefault="00C73A62" w:rsidP="00263307">
      <w:pPr>
        <w:pStyle w:val="a5"/>
        <w:adjustRightInd w:val="0"/>
        <w:snapToGrid w:val="0"/>
        <w:spacing w:before="0" w:beforeAutospacing="0" w:after="0" w:afterAutospacing="0" w:line="360" w:lineRule="auto"/>
        <w:ind w:firstLineChars="100" w:firstLine="240"/>
        <w:jc w:val="both"/>
        <w:rPr>
          <w:rFonts w:ascii="Book Antiqua" w:eastAsia="MS PGothic" w:hAnsi="Book Antiqua"/>
          <w:color w:val="000000" w:themeColor="text1"/>
          <w:sz w:val="24"/>
          <w:szCs w:val="24"/>
        </w:rPr>
      </w:pPr>
      <w:r w:rsidRPr="00263307">
        <w:rPr>
          <w:rFonts w:ascii="Book Antiqua" w:hAnsi="Book Antiqua"/>
          <w:color w:val="000000" w:themeColor="text1"/>
          <w:sz w:val="24"/>
          <w:szCs w:val="24"/>
        </w:rPr>
        <w:t>In conclusion, our study</w:t>
      </w:r>
      <w:r w:rsidR="00F27576" w:rsidRPr="00263307">
        <w:rPr>
          <w:rFonts w:ascii="Book Antiqua" w:hAnsi="Book Antiqua"/>
          <w:color w:val="000000" w:themeColor="text1"/>
          <w:sz w:val="24"/>
          <w:szCs w:val="24"/>
        </w:rPr>
        <w:t>,</w:t>
      </w:r>
      <w:r w:rsidRPr="00263307">
        <w:rPr>
          <w:rFonts w:ascii="Book Antiqua" w:hAnsi="Book Antiqua"/>
          <w:color w:val="000000" w:themeColor="text1"/>
          <w:sz w:val="24"/>
          <w:szCs w:val="24"/>
        </w:rPr>
        <w:t xml:space="preserve"> </w:t>
      </w:r>
      <w:r w:rsidR="00F27576" w:rsidRPr="00263307">
        <w:rPr>
          <w:rFonts w:ascii="Book Antiqua" w:hAnsi="Book Antiqua"/>
          <w:color w:val="000000" w:themeColor="text1"/>
          <w:sz w:val="24"/>
          <w:szCs w:val="24"/>
        </w:rPr>
        <w:t xml:space="preserve">which utilized </w:t>
      </w:r>
      <w:r w:rsidRPr="00263307">
        <w:rPr>
          <w:rFonts w:ascii="Book Antiqua" w:hAnsi="Book Antiqua"/>
          <w:color w:val="000000" w:themeColor="text1"/>
          <w:sz w:val="24"/>
          <w:szCs w:val="24"/>
        </w:rPr>
        <w:t>logistic regression analysis on differentiating factors of CA from SA</w:t>
      </w:r>
      <w:r w:rsidR="00F27576" w:rsidRPr="00263307">
        <w:rPr>
          <w:rFonts w:ascii="Book Antiqua" w:hAnsi="Book Antiqua"/>
          <w:color w:val="000000" w:themeColor="text1"/>
          <w:sz w:val="24"/>
          <w:szCs w:val="24"/>
        </w:rPr>
        <w:t>,</w:t>
      </w:r>
      <w:r w:rsidRPr="00263307">
        <w:rPr>
          <w:rFonts w:ascii="Book Antiqua" w:hAnsi="Book Antiqua"/>
          <w:color w:val="000000" w:themeColor="text1"/>
          <w:sz w:val="24"/>
          <w:szCs w:val="24"/>
        </w:rPr>
        <w:t xml:space="preserve"> showed that high CRP level was a </w:t>
      </w:r>
      <w:r w:rsidR="008F2FE8" w:rsidRPr="00263307">
        <w:rPr>
          <w:rFonts w:ascii="Book Antiqua" w:hAnsi="Book Antiqua"/>
          <w:color w:val="000000" w:themeColor="text1"/>
          <w:sz w:val="24"/>
          <w:szCs w:val="24"/>
        </w:rPr>
        <w:t xml:space="preserve">strong </w:t>
      </w:r>
      <w:r w:rsidRPr="00263307">
        <w:rPr>
          <w:rFonts w:ascii="Book Antiqua" w:hAnsi="Book Antiqua"/>
          <w:color w:val="000000" w:themeColor="text1"/>
          <w:sz w:val="24"/>
          <w:szCs w:val="24"/>
        </w:rPr>
        <w:t xml:space="preserve">dose-dependent predictor of CA. Because of the scarcity of the studies using multivariate analysis on </w:t>
      </w:r>
      <w:r w:rsidR="00F27576" w:rsidRPr="00263307">
        <w:rPr>
          <w:rFonts w:ascii="Book Antiqua" w:hAnsi="Book Antiqua"/>
          <w:color w:val="000000" w:themeColor="text1"/>
          <w:sz w:val="24"/>
          <w:szCs w:val="24"/>
        </w:rPr>
        <w:t xml:space="preserve">the </w:t>
      </w:r>
      <w:r w:rsidRPr="00263307">
        <w:rPr>
          <w:rFonts w:ascii="Book Antiqua" w:hAnsi="Book Antiqua"/>
          <w:color w:val="000000" w:themeColor="text1"/>
          <w:sz w:val="24"/>
          <w:szCs w:val="24"/>
        </w:rPr>
        <w:t xml:space="preserve">prediction of CA, further study is </w:t>
      </w:r>
      <w:r w:rsidR="00F27576" w:rsidRPr="00263307">
        <w:rPr>
          <w:rFonts w:ascii="Book Antiqua" w:hAnsi="Book Antiqua"/>
          <w:color w:val="000000" w:themeColor="text1"/>
          <w:sz w:val="24"/>
          <w:szCs w:val="24"/>
        </w:rPr>
        <w:t>needed to confirm our findings</w:t>
      </w:r>
      <w:r w:rsidRPr="00263307">
        <w:rPr>
          <w:rFonts w:ascii="Book Antiqua" w:hAnsi="Book Antiqua"/>
          <w:color w:val="000000" w:themeColor="text1"/>
          <w:sz w:val="24"/>
          <w:szCs w:val="24"/>
        </w:rPr>
        <w:t>.</w:t>
      </w:r>
    </w:p>
    <w:p w14:paraId="077213CB" w14:textId="77777777" w:rsidR="00C73A62" w:rsidRPr="00263307" w:rsidRDefault="00C73A62" w:rsidP="00263307">
      <w:pPr>
        <w:autoSpaceDE w:val="0"/>
        <w:autoSpaceDN w:val="0"/>
        <w:adjustRightInd w:val="0"/>
        <w:snapToGrid w:val="0"/>
        <w:spacing w:line="360" w:lineRule="auto"/>
        <w:jc w:val="both"/>
        <w:rPr>
          <w:rFonts w:ascii="Book Antiqua" w:hAnsi="Book Antiqua" w:cs="Times New Roman"/>
          <w:color w:val="000000" w:themeColor="text1"/>
        </w:rPr>
      </w:pPr>
    </w:p>
    <w:p w14:paraId="50192BBD" w14:textId="10C6B728" w:rsidR="00250D78" w:rsidRPr="00263307" w:rsidRDefault="00250D78" w:rsidP="00263307">
      <w:pPr>
        <w:adjustRightInd w:val="0"/>
        <w:snapToGrid w:val="0"/>
        <w:spacing w:line="360" w:lineRule="auto"/>
        <w:jc w:val="both"/>
        <w:rPr>
          <w:rFonts w:ascii="Book Antiqua" w:eastAsia="宋体" w:hAnsi="Book Antiqua"/>
          <w:b/>
          <w:caps/>
          <w:color w:val="000000" w:themeColor="text1"/>
          <w:u w:val="single"/>
          <w:lang w:eastAsia="zh-CN"/>
        </w:rPr>
      </w:pPr>
      <w:bookmarkStart w:id="8" w:name="OLE_LINK473"/>
      <w:bookmarkStart w:id="9" w:name="OLE_LINK634"/>
      <w:bookmarkStart w:id="10" w:name="OLE_LINK151"/>
      <w:bookmarkStart w:id="11" w:name="OLE_LINK259"/>
      <w:r w:rsidRPr="00263307">
        <w:rPr>
          <w:rFonts w:ascii="Book Antiqua" w:hAnsi="Book Antiqua" w:cs="Segoe UI"/>
          <w:b/>
          <w:caps/>
          <w:color w:val="000000" w:themeColor="text1"/>
          <w:u w:val="single"/>
          <w:shd w:val="clear" w:color="auto" w:fill="FFFFFF"/>
        </w:rPr>
        <w:t>Article Highlights</w:t>
      </w:r>
      <w:bookmarkEnd w:id="8"/>
      <w:bookmarkEnd w:id="9"/>
    </w:p>
    <w:bookmarkEnd w:id="10"/>
    <w:bookmarkEnd w:id="11"/>
    <w:p w14:paraId="769A025F" w14:textId="67090168" w:rsidR="00250D78" w:rsidRPr="00263307" w:rsidRDefault="00250D78" w:rsidP="00263307">
      <w:pPr>
        <w:autoSpaceDE w:val="0"/>
        <w:autoSpaceDN w:val="0"/>
        <w:adjustRightInd w:val="0"/>
        <w:snapToGrid w:val="0"/>
        <w:spacing w:line="360" w:lineRule="auto"/>
        <w:jc w:val="both"/>
        <w:rPr>
          <w:rFonts w:ascii="Book Antiqua" w:hAnsi="Book Antiqua"/>
          <w:b/>
          <w:i/>
          <w:color w:val="000000" w:themeColor="text1"/>
        </w:rPr>
      </w:pPr>
      <w:r w:rsidRPr="00263307">
        <w:rPr>
          <w:rFonts w:ascii="Book Antiqua" w:hAnsi="Book Antiqua"/>
          <w:b/>
          <w:i/>
          <w:color w:val="000000" w:themeColor="text1"/>
        </w:rPr>
        <w:t>Research background</w:t>
      </w:r>
    </w:p>
    <w:p w14:paraId="296B2240" w14:textId="1D54C934" w:rsidR="00250D78" w:rsidRPr="00263307" w:rsidRDefault="00525196"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eastAsia="MS PMincho" w:hAnsi="Book Antiqua" w:cs="Times New Roman"/>
          <w:color w:val="000000" w:themeColor="text1"/>
        </w:rPr>
        <w:t xml:space="preserve">Because </w:t>
      </w:r>
      <w:r w:rsidR="0090611D" w:rsidRPr="00263307">
        <w:rPr>
          <w:rFonts w:ascii="Book Antiqua" w:eastAsia="MS PMincho" w:hAnsi="Book Antiqua" w:cs="Times New Roman"/>
          <w:color w:val="000000" w:themeColor="text1"/>
        </w:rPr>
        <w:t>evidence on conservative treatment of acute appendicitis has increased, differentiation of patients with complicated appendicitis (</w:t>
      </w:r>
      <w:r w:rsidR="008F646B" w:rsidRPr="00263307">
        <w:rPr>
          <w:rFonts w:ascii="Book Antiqua" w:eastAsia="MS PMincho" w:hAnsi="Book Antiqua" w:cs="Times New Roman"/>
          <w:color w:val="000000" w:themeColor="text1"/>
        </w:rPr>
        <w:t>CA</w:t>
      </w:r>
      <w:r w:rsidR="0090611D" w:rsidRPr="00263307">
        <w:rPr>
          <w:rFonts w:ascii="Book Antiqua" w:eastAsia="MS PMincho" w:hAnsi="Book Antiqua" w:cs="Times New Roman"/>
          <w:color w:val="000000" w:themeColor="text1"/>
        </w:rPr>
        <w:t xml:space="preserve">) from those with simple appendicitis (SA) has become increasingly important. Previous studies </w:t>
      </w:r>
      <w:r w:rsidR="0090611D" w:rsidRPr="00263307">
        <w:rPr>
          <w:rFonts w:ascii="Book Antiqua" w:eastAsia="MS PMincho" w:hAnsi="Book Antiqua" w:cs="Times New Roman"/>
          <w:color w:val="000000" w:themeColor="text1"/>
        </w:rPr>
        <w:lastRenderedPageBreak/>
        <w:t xml:space="preserve">have revealed that male gender, advanced age, comorbid conditions, prehospital delay, fever, and anorexia are risk factors of perforated appendicitis. Elevated serum C-reactive protein (CRP) level and hyponatremia have also been reported </w:t>
      </w:r>
      <w:r w:rsidR="008F646B" w:rsidRPr="00263307">
        <w:rPr>
          <w:rFonts w:ascii="Book Antiqua" w:eastAsia="MS PMincho" w:hAnsi="Book Antiqua" w:cs="Times New Roman"/>
          <w:color w:val="000000" w:themeColor="text1"/>
        </w:rPr>
        <w:t>as predictive biomarkers of CA.</w:t>
      </w:r>
    </w:p>
    <w:p w14:paraId="75C10A6E" w14:textId="77777777" w:rsidR="008F646B" w:rsidRPr="00263307" w:rsidRDefault="008F646B" w:rsidP="00263307">
      <w:pPr>
        <w:adjustRightInd w:val="0"/>
        <w:snapToGrid w:val="0"/>
        <w:spacing w:line="360" w:lineRule="auto"/>
        <w:jc w:val="both"/>
        <w:rPr>
          <w:rFonts w:ascii="Book Antiqua" w:eastAsia="宋体" w:hAnsi="Book Antiqua" w:cs="Times New Roman"/>
          <w:i/>
          <w:color w:val="000000" w:themeColor="text1"/>
          <w:lang w:eastAsia="zh-CN"/>
        </w:rPr>
      </w:pPr>
    </w:p>
    <w:p w14:paraId="5301F0DE" w14:textId="77777777" w:rsidR="00250D78" w:rsidRPr="00263307" w:rsidRDefault="00250D78" w:rsidP="00263307">
      <w:pPr>
        <w:adjustRightInd w:val="0"/>
        <w:snapToGrid w:val="0"/>
        <w:spacing w:line="360" w:lineRule="auto"/>
        <w:jc w:val="both"/>
        <w:rPr>
          <w:rFonts w:ascii="Book Antiqua" w:hAnsi="Book Antiqua"/>
          <w:b/>
          <w:i/>
          <w:color w:val="000000" w:themeColor="text1"/>
        </w:rPr>
      </w:pPr>
      <w:r w:rsidRPr="00263307">
        <w:rPr>
          <w:rFonts w:ascii="Book Antiqua" w:hAnsi="Book Antiqua"/>
          <w:b/>
          <w:i/>
          <w:color w:val="000000" w:themeColor="text1"/>
        </w:rPr>
        <w:t>Research motivation</w:t>
      </w:r>
    </w:p>
    <w:p w14:paraId="0E0DB0B8" w14:textId="712293C9" w:rsidR="00250D78" w:rsidRPr="00263307" w:rsidRDefault="00525196"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eastAsia="MS PMincho" w:hAnsi="Book Antiqua" w:cs="Times New Roman"/>
          <w:color w:val="000000" w:themeColor="text1"/>
        </w:rPr>
        <w:t>C</w:t>
      </w:r>
      <w:r w:rsidR="0090611D" w:rsidRPr="00263307">
        <w:rPr>
          <w:rFonts w:ascii="Book Antiqua" w:eastAsia="MS PMincho" w:hAnsi="Book Antiqua" w:cs="Times New Roman"/>
          <w:color w:val="000000" w:themeColor="text1"/>
        </w:rPr>
        <w:t>onfounding between various factors is problematic because most previous studies were uni</w:t>
      </w:r>
      <w:r w:rsidR="00556A6E" w:rsidRPr="00263307">
        <w:rPr>
          <w:rFonts w:ascii="Book Antiqua" w:eastAsia="MS PMincho" w:hAnsi="Book Antiqua" w:cs="Times New Roman"/>
          <w:color w:val="000000" w:themeColor="text1"/>
        </w:rPr>
        <w:t>variate analyse</w:t>
      </w:r>
      <w:r w:rsidR="0090611D" w:rsidRPr="00263307">
        <w:rPr>
          <w:rFonts w:ascii="Book Antiqua" w:eastAsia="MS PMincho" w:hAnsi="Book Antiqua" w:cs="Times New Roman"/>
          <w:color w:val="000000" w:themeColor="text1"/>
        </w:rPr>
        <w:t>s.</w:t>
      </w:r>
      <w:r w:rsidRPr="00263307">
        <w:rPr>
          <w:rFonts w:ascii="Book Antiqua" w:eastAsia="MS PMincho" w:hAnsi="Book Antiqua" w:cs="Times New Roman"/>
          <w:color w:val="000000" w:themeColor="text1"/>
        </w:rPr>
        <w:t xml:space="preserve"> Thus, we performed a study using logistic regression analyses.</w:t>
      </w:r>
    </w:p>
    <w:p w14:paraId="6C712724" w14:textId="77777777" w:rsidR="008F646B" w:rsidRPr="00263307" w:rsidRDefault="008F646B" w:rsidP="00263307">
      <w:pPr>
        <w:adjustRightInd w:val="0"/>
        <w:snapToGrid w:val="0"/>
        <w:spacing w:line="360" w:lineRule="auto"/>
        <w:jc w:val="both"/>
        <w:rPr>
          <w:rFonts w:ascii="Book Antiqua" w:eastAsia="宋体" w:hAnsi="Book Antiqua"/>
          <w:b/>
          <w:i/>
          <w:color w:val="000000" w:themeColor="text1"/>
          <w:lang w:eastAsia="zh-CN"/>
        </w:rPr>
      </w:pPr>
    </w:p>
    <w:p w14:paraId="7E4C001B" w14:textId="77777777" w:rsidR="00250D78" w:rsidRPr="00263307" w:rsidRDefault="00250D78" w:rsidP="00263307">
      <w:pPr>
        <w:adjustRightInd w:val="0"/>
        <w:snapToGrid w:val="0"/>
        <w:spacing w:line="360" w:lineRule="auto"/>
        <w:jc w:val="both"/>
        <w:rPr>
          <w:rFonts w:ascii="Book Antiqua" w:hAnsi="Book Antiqua"/>
          <w:b/>
          <w:i/>
          <w:color w:val="000000" w:themeColor="text1"/>
        </w:rPr>
      </w:pPr>
      <w:r w:rsidRPr="00263307">
        <w:rPr>
          <w:rFonts w:ascii="Book Antiqua" w:hAnsi="Book Antiqua"/>
          <w:b/>
          <w:i/>
          <w:color w:val="000000" w:themeColor="text1"/>
        </w:rPr>
        <w:t>Research objectives</w:t>
      </w:r>
    </w:p>
    <w:p w14:paraId="20BE5B11" w14:textId="471CA2F3" w:rsidR="0090611D" w:rsidRPr="00263307" w:rsidRDefault="00525196" w:rsidP="00263307">
      <w:pPr>
        <w:adjustRightInd w:val="0"/>
        <w:snapToGrid w:val="0"/>
        <w:spacing w:line="360" w:lineRule="auto"/>
        <w:jc w:val="both"/>
        <w:rPr>
          <w:rFonts w:ascii="Book Antiqua" w:hAnsi="Book Antiqua" w:cs="Times New Roman"/>
          <w:i/>
          <w:color w:val="000000" w:themeColor="text1"/>
        </w:rPr>
      </w:pPr>
      <w:r w:rsidRPr="00263307">
        <w:rPr>
          <w:rFonts w:ascii="Book Antiqua" w:eastAsia="MS PMincho" w:hAnsi="Book Antiqua" w:cs="Times New Roman"/>
          <w:color w:val="000000" w:themeColor="text1"/>
        </w:rPr>
        <w:t xml:space="preserve">The </w:t>
      </w:r>
      <w:r w:rsidR="00556A6E" w:rsidRPr="00263307">
        <w:rPr>
          <w:rFonts w:ascii="Book Antiqua" w:eastAsia="MS PMincho" w:hAnsi="Book Antiqua" w:cs="Times New Roman"/>
          <w:color w:val="000000" w:themeColor="text1"/>
        </w:rPr>
        <w:t>objective of the study was</w:t>
      </w:r>
      <w:r w:rsidR="0090611D" w:rsidRPr="00263307">
        <w:rPr>
          <w:rFonts w:ascii="Book Antiqua" w:eastAsia="MS PMincho" w:hAnsi="Book Antiqua" w:cs="Times New Roman"/>
          <w:color w:val="000000" w:themeColor="text1"/>
        </w:rPr>
        <w:t xml:space="preserve"> to evaluate non-laboratory and laboratory predictive factors of CA using logistic regression analyses</w:t>
      </w:r>
      <w:r w:rsidR="00556A6E" w:rsidRPr="00263307">
        <w:rPr>
          <w:rFonts w:ascii="Book Antiqua" w:eastAsia="MS PMincho" w:hAnsi="Book Antiqua" w:cs="Times New Roman"/>
          <w:color w:val="000000" w:themeColor="text1"/>
        </w:rPr>
        <w:t xml:space="preserve"> using logistic regression analyses</w:t>
      </w:r>
      <w:r w:rsidR="0090611D" w:rsidRPr="00263307">
        <w:rPr>
          <w:rFonts w:ascii="Book Antiqua" w:eastAsia="MS PMincho" w:hAnsi="Book Antiqua" w:cs="Times New Roman"/>
          <w:color w:val="000000" w:themeColor="text1"/>
        </w:rPr>
        <w:t>.</w:t>
      </w:r>
    </w:p>
    <w:p w14:paraId="5222E3AD" w14:textId="77777777" w:rsidR="00250D78" w:rsidRPr="00263307" w:rsidRDefault="00250D78" w:rsidP="00263307">
      <w:pPr>
        <w:adjustRightInd w:val="0"/>
        <w:snapToGrid w:val="0"/>
        <w:spacing w:line="360" w:lineRule="auto"/>
        <w:jc w:val="both"/>
        <w:rPr>
          <w:rFonts w:ascii="Book Antiqua" w:hAnsi="Book Antiqua"/>
          <w:b/>
          <w:i/>
          <w:color w:val="000000" w:themeColor="text1"/>
        </w:rPr>
      </w:pPr>
    </w:p>
    <w:p w14:paraId="5F87DD54" w14:textId="3AECA0B5" w:rsidR="00250D78" w:rsidRPr="00263307" w:rsidRDefault="00250D78" w:rsidP="00263307">
      <w:pPr>
        <w:autoSpaceDE w:val="0"/>
        <w:autoSpaceDN w:val="0"/>
        <w:adjustRightInd w:val="0"/>
        <w:snapToGrid w:val="0"/>
        <w:spacing w:line="360" w:lineRule="auto"/>
        <w:jc w:val="both"/>
        <w:rPr>
          <w:rFonts w:ascii="Book Antiqua" w:hAnsi="Book Antiqua"/>
          <w:b/>
          <w:i/>
          <w:color w:val="000000" w:themeColor="text1"/>
        </w:rPr>
      </w:pPr>
      <w:r w:rsidRPr="00263307">
        <w:rPr>
          <w:rFonts w:ascii="Book Antiqua" w:hAnsi="Book Antiqua"/>
          <w:b/>
          <w:i/>
          <w:color w:val="000000" w:themeColor="text1"/>
        </w:rPr>
        <w:t>Research methods</w:t>
      </w:r>
    </w:p>
    <w:p w14:paraId="699D467F" w14:textId="07604651" w:rsidR="0090611D" w:rsidRPr="00263307" w:rsidRDefault="0090611D"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W</w:t>
      </w:r>
      <w:r w:rsidR="00556A6E" w:rsidRPr="00263307">
        <w:rPr>
          <w:rFonts w:ascii="Book Antiqua" w:hAnsi="Book Antiqua" w:cs="Times New Roman"/>
          <w:color w:val="000000" w:themeColor="text1"/>
        </w:rPr>
        <w:t>e performed a</w:t>
      </w:r>
      <w:r w:rsidRPr="00263307">
        <w:rPr>
          <w:rFonts w:ascii="Book Antiqua" w:hAnsi="Book Antiqua" w:cs="Times New Roman"/>
          <w:color w:val="000000" w:themeColor="text1"/>
        </w:rPr>
        <w:t xml:space="preserve"> single-center, retrospective case-control study that evaluated 198 patients (83.9%) with SA and 38 patients (16.1%) with CA. Diagnoses were confirmed by </w:t>
      </w:r>
      <w:r w:rsidR="008F646B" w:rsidRPr="00263307">
        <w:rPr>
          <w:rFonts w:ascii="Book Antiqua" w:eastAsia="宋体" w:hAnsi="Book Antiqua" w:cs="Times New Roman"/>
          <w:color w:val="000000" w:themeColor="text1"/>
          <w:lang w:eastAsia="zh-CN"/>
        </w:rPr>
        <w:t>computed tomography</w:t>
      </w:r>
      <w:r w:rsidRPr="00263307">
        <w:rPr>
          <w:rFonts w:ascii="Book Antiqua" w:hAnsi="Book Antiqua" w:cs="Times New Roman"/>
          <w:color w:val="000000" w:themeColor="text1"/>
        </w:rPr>
        <w:t xml:space="preserve"> images for all cases. We compared age, sex, </w:t>
      </w:r>
      <w:r w:rsidR="00556A6E" w:rsidRPr="00263307">
        <w:rPr>
          <w:rFonts w:ascii="Book Antiqua" w:hAnsi="Book Antiqua" w:cs="Times New Roman"/>
          <w:color w:val="000000" w:themeColor="text1"/>
        </w:rPr>
        <w:t>clinical symptoms</w:t>
      </w:r>
      <w:r w:rsidRPr="00263307">
        <w:rPr>
          <w:rFonts w:ascii="Book Antiqua" w:hAnsi="Book Antiqua" w:cs="Times New Roman"/>
          <w:color w:val="000000" w:themeColor="text1"/>
        </w:rPr>
        <w:t xml:space="preserve">, </w:t>
      </w:r>
      <w:r w:rsidR="00556A6E" w:rsidRPr="00263307">
        <w:rPr>
          <w:rFonts w:ascii="Book Antiqua" w:hAnsi="Book Antiqua" w:cs="Times New Roman"/>
          <w:color w:val="000000" w:themeColor="text1"/>
        </w:rPr>
        <w:t xml:space="preserve">past </w:t>
      </w:r>
      <w:r w:rsidRPr="00263307">
        <w:rPr>
          <w:rFonts w:ascii="Book Antiqua" w:hAnsi="Book Antiqua" w:cs="Times New Roman"/>
          <w:color w:val="000000" w:themeColor="text1"/>
        </w:rPr>
        <w:t>medical history, vital signs, physical findings, and laboratory data. Based on the comparisons, we performed logistic regression for clinical differentiation between CA and SA using only non-laboratory factors and also including both non-laboratory and laboratory factors.</w:t>
      </w:r>
    </w:p>
    <w:p w14:paraId="3E41308D" w14:textId="77777777" w:rsidR="00250D78" w:rsidRPr="00263307" w:rsidRDefault="00250D78" w:rsidP="00263307">
      <w:pPr>
        <w:autoSpaceDE w:val="0"/>
        <w:autoSpaceDN w:val="0"/>
        <w:adjustRightInd w:val="0"/>
        <w:snapToGrid w:val="0"/>
        <w:spacing w:line="360" w:lineRule="auto"/>
        <w:jc w:val="both"/>
        <w:rPr>
          <w:rFonts w:ascii="Book Antiqua" w:hAnsi="Book Antiqua"/>
          <w:b/>
          <w:i/>
          <w:color w:val="000000" w:themeColor="text1"/>
          <w:lang w:val="pl-PL"/>
        </w:rPr>
      </w:pPr>
    </w:p>
    <w:p w14:paraId="36208602" w14:textId="77777777" w:rsidR="00250D78" w:rsidRPr="00263307" w:rsidRDefault="00250D78" w:rsidP="00263307">
      <w:pPr>
        <w:adjustRightInd w:val="0"/>
        <w:snapToGrid w:val="0"/>
        <w:spacing w:line="360" w:lineRule="auto"/>
        <w:jc w:val="both"/>
        <w:rPr>
          <w:rFonts w:ascii="Book Antiqua" w:hAnsi="Book Antiqua"/>
          <w:b/>
          <w:i/>
          <w:color w:val="000000" w:themeColor="text1"/>
        </w:rPr>
      </w:pPr>
      <w:r w:rsidRPr="00263307">
        <w:rPr>
          <w:rFonts w:ascii="Book Antiqua" w:hAnsi="Book Antiqua"/>
          <w:b/>
          <w:i/>
          <w:color w:val="000000" w:themeColor="text1"/>
        </w:rPr>
        <w:t>Research results</w:t>
      </w:r>
    </w:p>
    <w:p w14:paraId="797B8042" w14:textId="79061E13" w:rsidR="0090611D" w:rsidRPr="00263307" w:rsidRDefault="0090611D" w:rsidP="00263307">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r w:rsidRPr="00263307">
        <w:rPr>
          <w:rFonts w:ascii="Book Antiqua" w:hAnsi="Book Antiqua"/>
          <w:color w:val="000000" w:themeColor="text1"/>
          <w:sz w:val="24"/>
          <w:szCs w:val="24"/>
        </w:rPr>
        <w:t>The 236 eligible patients consisted of 198 patients (83.9%) with SA and 38 patients (16.1%) with CA. Th</w:t>
      </w:r>
      <w:r w:rsidR="008B0C8F" w:rsidRPr="00263307">
        <w:rPr>
          <w:rFonts w:ascii="Book Antiqua" w:hAnsi="Book Antiqua"/>
          <w:color w:val="000000" w:themeColor="text1"/>
          <w:sz w:val="24"/>
          <w:szCs w:val="24"/>
        </w:rPr>
        <w:t>e median ages were 34 years old</w:t>
      </w:r>
      <w:r w:rsidRPr="00263307">
        <w:rPr>
          <w:rFonts w:ascii="Book Antiqua" w:hAnsi="Book Antiqua"/>
          <w:color w:val="000000" w:themeColor="text1"/>
          <w:sz w:val="24"/>
          <w:szCs w:val="24"/>
        </w:rPr>
        <w:t xml:space="preserve"> in the SA group and 49 years old in the CA group. The median onset-to-visit interval was 1 </w:t>
      </w:r>
      <w:r w:rsidR="005C5AA7" w:rsidRPr="00263307">
        <w:rPr>
          <w:rFonts w:ascii="Book Antiqua" w:eastAsia="宋体" w:hAnsi="Book Antiqua"/>
          <w:color w:val="000000" w:themeColor="text1"/>
          <w:sz w:val="24"/>
          <w:szCs w:val="24"/>
          <w:lang w:eastAsia="zh-CN"/>
        </w:rPr>
        <w:t>d</w:t>
      </w:r>
      <w:r w:rsidR="008B0C8F" w:rsidRPr="00263307">
        <w:rPr>
          <w:rFonts w:ascii="Book Antiqua" w:eastAsia="宋体" w:hAnsi="Book Antiqua"/>
          <w:color w:val="000000" w:themeColor="text1"/>
          <w:sz w:val="24"/>
          <w:szCs w:val="24"/>
          <w:lang w:eastAsia="zh-CN"/>
        </w:rPr>
        <w:t xml:space="preserve"> </w:t>
      </w:r>
      <w:r w:rsidRPr="00263307">
        <w:rPr>
          <w:rFonts w:ascii="Book Antiqua" w:hAnsi="Book Antiqua"/>
          <w:color w:val="000000" w:themeColor="text1"/>
          <w:sz w:val="24"/>
          <w:szCs w:val="24"/>
        </w:rPr>
        <w:t xml:space="preserve">and 1 </w:t>
      </w:r>
      <w:r w:rsidR="005C5AA7" w:rsidRPr="00263307">
        <w:rPr>
          <w:rFonts w:ascii="Book Antiqua" w:eastAsia="宋体" w:hAnsi="Book Antiqua"/>
          <w:color w:val="000000" w:themeColor="text1"/>
          <w:sz w:val="24"/>
          <w:szCs w:val="24"/>
          <w:lang w:eastAsia="zh-CN"/>
        </w:rPr>
        <w:t>d</w:t>
      </w:r>
      <w:r w:rsidRPr="00263307">
        <w:rPr>
          <w:rFonts w:ascii="Book Antiqua" w:hAnsi="Book Antiqua"/>
          <w:color w:val="000000" w:themeColor="text1"/>
          <w:sz w:val="24"/>
          <w:szCs w:val="24"/>
        </w:rPr>
        <w:t xml:space="preserve"> in the SA and CA groups, respectively. Heart rate, body temperature, </w:t>
      </w:r>
      <w:r w:rsidRPr="00263307">
        <w:rPr>
          <w:rFonts w:ascii="Book Antiqua" w:hAnsi="Book Antiqua"/>
          <w:color w:val="000000" w:themeColor="text1"/>
          <w:sz w:val="24"/>
          <w:szCs w:val="24"/>
        </w:rPr>
        <w:lastRenderedPageBreak/>
        <w:t xml:space="preserve">and serum CRP level in the CA group were significantly higher than in the SA group; glomerular filtration rate (GFR) and serum sodium were significantly lower in the CA group. Anorexia was significantly more prevalent in the CA group. The regression model including age, onset-to-visit interval, anorexia, tachycardia, and fever as non-laboratory predictive factors of CA (Model 1) showed that age ≥ 65 years old, longer onset-to-visit interval, and anorexia had significantly high odds ratios. The logistic regression for prediction of CA including age, onset-to-visit interval, anorexia, serum CRP level, hyponatremia, and </w:t>
      </w:r>
      <w:r w:rsidR="008B0C8F" w:rsidRPr="00263307">
        <w:rPr>
          <w:rFonts w:ascii="Book Antiqua" w:hAnsi="Book Antiqua"/>
          <w:color w:val="000000" w:themeColor="text1"/>
          <w:sz w:val="24"/>
          <w:szCs w:val="24"/>
        </w:rPr>
        <w:t xml:space="preserve">glomerular filtration rate </w:t>
      </w:r>
      <w:r w:rsidRPr="00263307">
        <w:rPr>
          <w:rFonts w:ascii="Book Antiqua" w:hAnsi="Book Antiqua"/>
          <w:color w:val="000000" w:themeColor="text1"/>
          <w:sz w:val="24"/>
          <w:szCs w:val="24"/>
        </w:rPr>
        <w:t>&lt; 60 m</w:t>
      </w:r>
      <w:r w:rsidR="008B0C8F" w:rsidRPr="00263307">
        <w:rPr>
          <w:rFonts w:ascii="Book Antiqua" w:hAnsi="Book Antiqua"/>
          <w:color w:val="000000" w:themeColor="text1"/>
          <w:sz w:val="24"/>
          <w:szCs w:val="24"/>
        </w:rPr>
        <w:t>L</w:t>
      </w:r>
      <w:r w:rsidRPr="00263307">
        <w:rPr>
          <w:rFonts w:ascii="Book Antiqua" w:hAnsi="Book Antiqua"/>
          <w:color w:val="000000" w:themeColor="text1"/>
          <w:sz w:val="24"/>
          <w:szCs w:val="24"/>
        </w:rPr>
        <w:t>/min/1.73 m</w:t>
      </w:r>
      <w:r w:rsidRPr="00263307">
        <w:rPr>
          <w:rFonts w:ascii="Book Antiqua" w:hAnsi="Book Antiqua"/>
          <w:color w:val="000000" w:themeColor="text1"/>
          <w:sz w:val="24"/>
          <w:szCs w:val="24"/>
          <w:vertAlign w:val="superscript"/>
        </w:rPr>
        <w:t>2</w:t>
      </w:r>
      <w:r w:rsidRPr="00263307">
        <w:rPr>
          <w:rFonts w:ascii="Book Antiqua" w:hAnsi="Book Antiqua"/>
          <w:color w:val="000000" w:themeColor="text1"/>
          <w:sz w:val="24"/>
          <w:szCs w:val="24"/>
        </w:rPr>
        <w:t xml:space="preserve"> (Model 2) showed that only elevated CRP levels had significantly high </w:t>
      </w:r>
      <w:r w:rsidR="008B0C8F" w:rsidRPr="00263307">
        <w:rPr>
          <w:rFonts w:ascii="Book Antiqua" w:hAnsi="Book Antiqua"/>
          <w:color w:val="000000" w:themeColor="text1"/>
          <w:sz w:val="24"/>
          <w:szCs w:val="24"/>
        </w:rPr>
        <w:t>odds ratios</w:t>
      </w:r>
      <w:r w:rsidRPr="00263307">
        <w:rPr>
          <w:rFonts w:ascii="Book Antiqua" w:hAnsi="Book Antiqua"/>
          <w:color w:val="000000" w:themeColor="text1"/>
          <w:sz w:val="24"/>
          <w:szCs w:val="24"/>
        </w:rPr>
        <w:t xml:space="preserve">. </w:t>
      </w:r>
    </w:p>
    <w:p w14:paraId="65F0636B" w14:textId="77777777" w:rsidR="00250D78" w:rsidRPr="00263307" w:rsidRDefault="00250D78" w:rsidP="00263307">
      <w:pPr>
        <w:adjustRightInd w:val="0"/>
        <w:snapToGrid w:val="0"/>
        <w:spacing w:line="360" w:lineRule="auto"/>
        <w:jc w:val="both"/>
        <w:rPr>
          <w:rFonts w:ascii="Book Antiqua" w:hAnsi="Book Antiqua"/>
          <w:b/>
          <w:i/>
          <w:color w:val="000000" w:themeColor="text1"/>
        </w:rPr>
      </w:pPr>
    </w:p>
    <w:p w14:paraId="73373EA5" w14:textId="77777777" w:rsidR="00250D78" w:rsidRPr="00263307" w:rsidRDefault="00250D78" w:rsidP="00263307">
      <w:pPr>
        <w:adjustRightInd w:val="0"/>
        <w:snapToGrid w:val="0"/>
        <w:spacing w:line="360" w:lineRule="auto"/>
        <w:jc w:val="both"/>
        <w:rPr>
          <w:rFonts w:ascii="Book Antiqua" w:hAnsi="Book Antiqua" w:cs="Segoe UI"/>
          <w:b/>
          <w:i/>
          <w:color w:val="000000" w:themeColor="text1"/>
          <w:shd w:val="clear" w:color="auto" w:fill="FFFFFF"/>
        </w:rPr>
      </w:pPr>
      <w:r w:rsidRPr="00263307">
        <w:rPr>
          <w:rFonts w:ascii="Book Antiqua" w:hAnsi="Book Antiqua"/>
          <w:b/>
          <w:i/>
          <w:color w:val="000000" w:themeColor="text1"/>
        </w:rPr>
        <w:t>Research conclusions</w:t>
      </w:r>
    </w:p>
    <w:p w14:paraId="667D986C" w14:textId="147B585A" w:rsidR="0090611D" w:rsidRPr="00263307" w:rsidRDefault="0090611D" w:rsidP="00263307">
      <w:pPr>
        <w:autoSpaceDE w:val="0"/>
        <w:autoSpaceDN w:val="0"/>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cs="Times New Roman"/>
          <w:color w:val="000000" w:themeColor="text1"/>
        </w:rPr>
        <w:t xml:space="preserve">Our logistic regression analysis on differentiating factors of CA from SA showed that high CRP level was a strong </w:t>
      </w:r>
      <w:r w:rsidR="008B0C8F" w:rsidRPr="00263307">
        <w:rPr>
          <w:rFonts w:ascii="Book Antiqua" w:hAnsi="Book Antiqua" w:cs="Times New Roman"/>
          <w:color w:val="000000" w:themeColor="text1"/>
        </w:rPr>
        <w:t>dose-dependent predictor of CA.</w:t>
      </w:r>
    </w:p>
    <w:p w14:paraId="7A42C497" w14:textId="77777777" w:rsidR="00250D78" w:rsidRPr="00263307" w:rsidRDefault="00250D78" w:rsidP="00263307">
      <w:pPr>
        <w:autoSpaceDE w:val="0"/>
        <w:autoSpaceDN w:val="0"/>
        <w:adjustRightInd w:val="0"/>
        <w:snapToGrid w:val="0"/>
        <w:spacing w:line="360" w:lineRule="auto"/>
        <w:jc w:val="both"/>
        <w:rPr>
          <w:rFonts w:ascii="Book Antiqua" w:eastAsia="宋体" w:hAnsi="Book Antiqua" w:cs="Times New Roman"/>
          <w:color w:val="000000" w:themeColor="text1"/>
          <w:lang w:eastAsia="zh-CN"/>
        </w:rPr>
      </w:pPr>
    </w:p>
    <w:p w14:paraId="3F3A6010" w14:textId="26677AC7" w:rsidR="008B0C8F" w:rsidRPr="00263307" w:rsidRDefault="008B0C8F" w:rsidP="00263307">
      <w:pPr>
        <w:pStyle w:val="Pa28"/>
        <w:snapToGrid w:val="0"/>
        <w:spacing w:line="360" w:lineRule="auto"/>
        <w:jc w:val="both"/>
        <w:rPr>
          <w:rFonts w:ascii="Book Antiqua" w:hAnsi="Book Antiqua"/>
          <w:u w:val="single"/>
          <w:lang w:val="en-US" w:eastAsia="zh-CN"/>
        </w:rPr>
      </w:pPr>
      <w:r w:rsidRPr="00263307">
        <w:rPr>
          <w:rFonts w:ascii="Book Antiqua" w:hAnsi="Book Antiqua"/>
          <w:b/>
          <w:bCs/>
          <w:u w:val="single"/>
          <w:lang w:val="en-US"/>
        </w:rPr>
        <w:t>ACKNOWLEDG</w:t>
      </w:r>
      <w:r w:rsidR="00D34074" w:rsidRPr="00D34074">
        <w:rPr>
          <w:rFonts w:ascii="Book Antiqua" w:hAnsi="Book Antiqua"/>
          <w:b/>
          <w:bCs/>
          <w:caps/>
          <w:u w:val="single"/>
          <w:lang w:val="en-US"/>
        </w:rPr>
        <w:t>e</w:t>
      </w:r>
      <w:r w:rsidRPr="00263307">
        <w:rPr>
          <w:rFonts w:ascii="Book Antiqua" w:hAnsi="Book Antiqua"/>
          <w:b/>
          <w:bCs/>
          <w:u w:val="single"/>
          <w:lang w:val="en-US"/>
        </w:rPr>
        <w:t>MENT</w:t>
      </w:r>
      <w:r w:rsidRPr="00263307">
        <w:rPr>
          <w:rFonts w:ascii="Book Antiqua" w:hAnsi="Book Antiqua"/>
          <w:b/>
          <w:bCs/>
          <w:u w:val="single"/>
          <w:lang w:val="en-US" w:eastAsia="zh-CN"/>
        </w:rPr>
        <w:t>S</w:t>
      </w:r>
    </w:p>
    <w:p w14:paraId="19AB3B85" w14:textId="767C66BF" w:rsidR="00B23A2C" w:rsidRPr="00263307" w:rsidRDefault="0034335D" w:rsidP="00263307">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r w:rsidRPr="00263307">
        <w:rPr>
          <w:rFonts w:ascii="Book Antiqua" w:hAnsi="Book Antiqua"/>
          <w:color w:val="000000" w:themeColor="text1"/>
          <w:sz w:val="24"/>
          <w:szCs w:val="24"/>
        </w:rPr>
        <w:t xml:space="preserve">We </w:t>
      </w:r>
      <w:r w:rsidR="00F27576" w:rsidRPr="00263307">
        <w:rPr>
          <w:rFonts w:ascii="Book Antiqua" w:hAnsi="Book Antiqua"/>
          <w:color w:val="000000" w:themeColor="text1"/>
          <w:sz w:val="24"/>
          <w:szCs w:val="24"/>
        </w:rPr>
        <w:t xml:space="preserve">would like to </w:t>
      </w:r>
      <w:r w:rsidRPr="00263307">
        <w:rPr>
          <w:rFonts w:ascii="Book Antiqua" w:hAnsi="Book Antiqua"/>
          <w:color w:val="000000" w:themeColor="text1"/>
          <w:sz w:val="24"/>
          <w:szCs w:val="24"/>
        </w:rPr>
        <w:t xml:space="preserve">acknowledge the excellent assistance of the staff of </w:t>
      </w:r>
      <w:r w:rsidR="00F27576" w:rsidRPr="00263307">
        <w:rPr>
          <w:rFonts w:ascii="Book Antiqua" w:hAnsi="Book Antiqua"/>
          <w:color w:val="000000" w:themeColor="text1"/>
          <w:sz w:val="24"/>
          <w:szCs w:val="24"/>
        </w:rPr>
        <w:t xml:space="preserve">the </w:t>
      </w:r>
      <w:r w:rsidRPr="00263307">
        <w:rPr>
          <w:rFonts w:ascii="Book Antiqua" w:hAnsi="Book Antiqua"/>
          <w:color w:val="000000" w:themeColor="text1"/>
          <w:sz w:val="24"/>
          <w:szCs w:val="24"/>
        </w:rPr>
        <w:t>Harvard Medical School Introduction to Clinica</w:t>
      </w:r>
      <w:r w:rsidR="00D82FA6" w:rsidRPr="00263307">
        <w:rPr>
          <w:rFonts w:ascii="Book Antiqua" w:hAnsi="Book Antiqua"/>
          <w:color w:val="000000" w:themeColor="text1"/>
          <w:sz w:val="24"/>
          <w:szCs w:val="24"/>
        </w:rPr>
        <w:t xml:space="preserve">l Research Training Japan and </w:t>
      </w:r>
      <w:r w:rsidR="00F27576" w:rsidRPr="00263307">
        <w:rPr>
          <w:rFonts w:ascii="Book Antiqua" w:hAnsi="Book Antiqua"/>
          <w:color w:val="000000" w:themeColor="text1"/>
          <w:sz w:val="24"/>
          <w:szCs w:val="24"/>
        </w:rPr>
        <w:t xml:space="preserve">that of the </w:t>
      </w:r>
      <w:r w:rsidRPr="00263307">
        <w:rPr>
          <w:rFonts w:ascii="Book Antiqua" w:hAnsi="Book Antiqua"/>
          <w:color w:val="000000" w:themeColor="text1"/>
          <w:sz w:val="24"/>
          <w:szCs w:val="24"/>
        </w:rPr>
        <w:t xml:space="preserve">Okinawa Asia Clinical Investigation Synergy (OACIS). </w:t>
      </w:r>
      <w:r w:rsidR="00FC1B24" w:rsidRPr="00263307">
        <w:rPr>
          <w:rFonts w:ascii="Book Antiqua" w:hAnsi="Book Antiqua"/>
          <w:color w:val="000000" w:themeColor="text1"/>
          <w:sz w:val="24"/>
          <w:szCs w:val="24"/>
        </w:rPr>
        <w:t xml:space="preserve">Moreover, we </w:t>
      </w:r>
      <w:r w:rsidR="00F27576" w:rsidRPr="00263307">
        <w:rPr>
          <w:rFonts w:ascii="Book Antiqua" w:hAnsi="Book Antiqua"/>
          <w:color w:val="000000" w:themeColor="text1"/>
          <w:sz w:val="24"/>
          <w:szCs w:val="24"/>
        </w:rPr>
        <w:t xml:space="preserve">would like to </w:t>
      </w:r>
      <w:r w:rsidR="00FC1B24" w:rsidRPr="00263307">
        <w:rPr>
          <w:rFonts w:ascii="Book Antiqua" w:hAnsi="Book Antiqua"/>
          <w:color w:val="000000" w:themeColor="text1"/>
          <w:sz w:val="24"/>
          <w:szCs w:val="24"/>
        </w:rPr>
        <w:t>thank</w:t>
      </w:r>
      <w:r w:rsidR="00FC1B24" w:rsidRPr="00263307">
        <w:rPr>
          <w:rFonts w:ascii="Book Antiqua" w:eastAsia="MS PGothic" w:hAnsi="Book Antiqua"/>
          <w:color w:val="000000" w:themeColor="text1"/>
          <w:sz w:val="24"/>
          <w:szCs w:val="24"/>
        </w:rPr>
        <w:t xml:space="preserve"> Dr. </w:t>
      </w:r>
      <w:proofErr w:type="spellStart"/>
      <w:r w:rsidR="00FC1B24" w:rsidRPr="00263307">
        <w:rPr>
          <w:rFonts w:ascii="Book Antiqua" w:eastAsia="MS PGothic" w:hAnsi="Book Antiqua"/>
          <w:color w:val="000000" w:themeColor="text1"/>
          <w:sz w:val="24"/>
          <w:szCs w:val="24"/>
        </w:rPr>
        <w:t>Takuhiro</w:t>
      </w:r>
      <w:proofErr w:type="spellEnd"/>
      <w:r w:rsidR="00FC1B24" w:rsidRPr="00263307">
        <w:rPr>
          <w:rFonts w:ascii="Book Antiqua" w:eastAsia="MS PGothic" w:hAnsi="Book Antiqua"/>
          <w:color w:val="000000" w:themeColor="text1"/>
          <w:sz w:val="24"/>
          <w:szCs w:val="24"/>
        </w:rPr>
        <w:t xml:space="preserve"> </w:t>
      </w:r>
      <w:proofErr w:type="spellStart"/>
      <w:r w:rsidR="00FC1B24" w:rsidRPr="00263307">
        <w:rPr>
          <w:rFonts w:ascii="Book Antiqua" w:eastAsia="MS PGothic" w:hAnsi="Book Antiqua"/>
          <w:color w:val="000000" w:themeColor="text1"/>
          <w:sz w:val="24"/>
          <w:szCs w:val="24"/>
        </w:rPr>
        <w:t>Moromizato</w:t>
      </w:r>
      <w:proofErr w:type="spellEnd"/>
      <w:r w:rsidR="00FC1B24" w:rsidRPr="00263307">
        <w:rPr>
          <w:rFonts w:ascii="Book Antiqua" w:eastAsia="MS PGothic" w:hAnsi="Book Antiqua"/>
          <w:color w:val="000000" w:themeColor="text1"/>
          <w:sz w:val="24"/>
          <w:szCs w:val="24"/>
        </w:rPr>
        <w:t xml:space="preserve"> (Internal Medicine Depart</w:t>
      </w:r>
      <w:r w:rsidR="008B0C8F" w:rsidRPr="00263307">
        <w:rPr>
          <w:rFonts w:ascii="Book Antiqua" w:eastAsia="MS PGothic" w:hAnsi="Book Antiqua"/>
          <w:color w:val="000000" w:themeColor="text1"/>
          <w:sz w:val="24"/>
          <w:szCs w:val="24"/>
        </w:rPr>
        <w:t>ment, Renal</w:t>
      </w:r>
      <w:r w:rsidR="008B0C8F" w:rsidRPr="00263307">
        <w:rPr>
          <w:rFonts w:ascii="Book Antiqua" w:eastAsia="宋体" w:hAnsi="Book Antiqua"/>
          <w:color w:val="000000" w:themeColor="text1"/>
          <w:sz w:val="24"/>
          <w:szCs w:val="24"/>
          <w:lang w:eastAsia="zh-CN"/>
        </w:rPr>
        <w:t xml:space="preserve"> and</w:t>
      </w:r>
      <w:r w:rsidR="00FC1B24" w:rsidRPr="00263307">
        <w:rPr>
          <w:rFonts w:ascii="Book Antiqua" w:eastAsia="MS PGothic" w:hAnsi="Book Antiqua"/>
          <w:color w:val="000000" w:themeColor="text1"/>
          <w:sz w:val="24"/>
          <w:szCs w:val="24"/>
        </w:rPr>
        <w:t xml:space="preserve"> Rheumatology Division at the Okinawa </w:t>
      </w:r>
      <w:proofErr w:type="spellStart"/>
      <w:r w:rsidR="00FC1B24" w:rsidRPr="00263307">
        <w:rPr>
          <w:rFonts w:ascii="Book Antiqua" w:eastAsia="MS PGothic" w:hAnsi="Book Antiqua"/>
          <w:color w:val="000000" w:themeColor="text1"/>
          <w:sz w:val="24"/>
          <w:szCs w:val="24"/>
        </w:rPr>
        <w:t>Nanbu</w:t>
      </w:r>
      <w:proofErr w:type="spellEnd"/>
      <w:r w:rsidR="00FC1B24" w:rsidRPr="00263307">
        <w:rPr>
          <w:rFonts w:ascii="Book Antiqua" w:eastAsia="MS PGothic" w:hAnsi="Book Antiqua"/>
          <w:color w:val="000000" w:themeColor="text1"/>
          <w:sz w:val="24"/>
          <w:szCs w:val="24"/>
        </w:rPr>
        <w:t xml:space="preserve"> Medical Center and Children's Medical Center) for </w:t>
      </w:r>
      <w:r w:rsidR="00F27576" w:rsidRPr="00263307">
        <w:rPr>
          <w:rFonts w:ascii="Book Antiqua" w:eastAsia="MS PGothic" w:hAnsi="Book Antiqua"/>
          <w:color w:val="000000" w:themeColor="text1"/>
          <w:sz w:val="24"/>
          <w:szCs w:val="24"/>
        </w:rPr>
        <w:t xml:space="preserve">his </w:t>
      </w:r>
      <w:r w:rsidR="00FC1B24" w:rsidRPr="00263307">
        <w:rPr>
          <w:rFonts w:ascii="Book Antiqua" w:eastAsia="MS PGothic" w:hAnsi="Book Antiqua"/>
          <w:color w:val="000000" w:themeColor="text1"/>
          <w:sz w:val="24"/>
          <w:szCs w:val="24"/>
        </w:rPr>
        <w:t>assistance</w:t>
      </w:r>
      <w:r w:rsidR="00256173" w:rsidRPr="00263307">
        <w:rPr>
          <w:rFonts w:ascii="Book Antiqua" w:eastAsia="MS PGothic" w:hAnsi="Book Antiqua"/>
          <w:color w:val="000000" w:themeColor="text1"/>
          <w:sz w:val="24"/>
          <w:szCs w:val="24"/>
        </w:rPr>
        <w:t xml:space="preserve"> and review</w:t>
      </w:r>
      <w:r w:rsidR="00FC1B24" w:rsidRPr="00263307">
        <w:rPr>
          <w:rFonts w:ascii="Book Antiqua" w:eastAsia="MS PGothic" w:hAnsi="Book Antiqua"/>
          <w:color w:val="000000" w:themeColor="text1"/>
          <w:sz w:val="24"/>
          <w:szCs w:val="24"/>
        </w:rPr>
        <w:t xml:space="preserve"> of </w:t>
      </w:r>
      <w:r w:rsidR="00F27576" w:rsidRPr="00263307">
        <w:rPr>
          <w:rFonts w:ascii="Book Antiqua" w:eastAsia="MS PGothic" w:hAnsi="Book Antiqua"/>
          <w:color w:val="000000" w:themeColor="text1"/>
          <w:sz w:val="24"/>
          <w:szCs w:val="24"/>
        </w:rPr>
        <w:t xml:space="preserve">the </w:t>
      </w:r>
      <w:r w:rsidR="00FC1B24" w:rsidRPr="00263307">
        <w:rPr>
          <w:rFonts w:ascii="Book Antiqua" w:eastAsia="MS PGothic" w:hAnsi="Book Antiqua"/>
          <w:color w:val="000000" w:themeColor="text1"/>
          <w:sz w:val="24"/>
          <w:szCs w:val="24"/>
        </w:rPr>
        <w:t>statistical analysis</w:t>
      </w:r>
      <w:r w:rsidRPr="00263307">
        <w:rPr>
          <w:rFonts w:ascii="Book Antiqua" w:hAnsi="Book Antiqua"/>
          <w:color w:val="000000" w:themeColor="text1"/>
          <w:sz w:val="24"/>
          <w:szCs w:val="24"/>
        </w:rPr>
        <w:t>.</w:t>
      </w:r>
    </w:p>
    <w:p w14:paraId="39596BA9" w14:textId="77777777" w:rsidR="004A1CED" w:rsidRPr="00263307" w:rsidRDefault="004A1CED" w:rsidP="00263307">
      <w:pPr>
        <w:adjustRightInd w:val="0"/>
        <w:snapToGrid w:val="0"/>
        <w:spacing w:line="360" w:lineRule="auto"/>
        <w:jc w:val="both"/>
        <w:rPr>
          <w:rFonts w:ascii="Book Antiqua" w:eastAsia="宋体" w:hAnsi="Book Antiqua"/>
          <w:b/>
          <w:color w:val="000000" w:themeColor="text1"/>
          <w:lang w:eastAsia="zh-CN"/>
        </w:rPr>
      </w:pPr>
    </w:p>
    <w:p w14:paraId="7CC65846" w14:textId="67342FB6" w:rsidR="006A0917" w:rsidRPr="00263307" w:rsidRDefault="004A1CED"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b/>
          <w:color w:val="000000" w:themeColor="text1"/>
        </w:rPr>
        <w:t>REFERENCES</w:t>
      </w:r>
    </w:p>
    <w:p w14:paraId="721062BF"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1 </w:t>
      </w:r>
      <w:r w:rsidRPr="00263307">
        <w:rPr>
          <w:rFonts w:ascii="Book Antiqua" w:hAnsi="Book Antiqua"/>
          <w:b/>
        </w:rPr>
        <w:t>Eriksson S</w:t>
      </w:r>
      <w:r w:rsidRPr="00263307">
        <w:rPr>
          <w:rFonts w:ascii="Book Antiqua" w:hAnsi="Book Antiqua"/>
        </w:rPr>
        <w:t xml:space="preserve">, </w:t>
      </w:r>
      <w:proofErr w:type="spellStart"/>
      <w:r w:rsidRPr="00263307">
        <w:rPr>
          <w:rFonts w:ascii="Book Antiqua" w:hAnsi="Book Antiqua"/>
        </w:rPr>
        <w:t>Granström</w:t>
      </w:r>
      <w:proofErr w:type="spellEnd"/>
      <w:r w:rsidRPr="00263307">
        <w:rPr>
          <w:rFonts w:ascii="Book Antiqua" w:hAnsi="Book Antiqua"/>
        </w:rPr>
        <w:t xml:space="preserve"> L. Randomized controlled trial of appendicectomy versus antibiotic therapy for acute appendicitis. </w:t>
      </w:r>
      <w:r w:rsidRPr="00263307">
        <w:rPr>
          <w:rFonts w:ascii="Book Antiqua" w:hAnsi="Book Antiqua"/>
          <w:i/>
        </w:rPr>
        <w:t>Br J Surg</w:t>
      </w:r>
      <w:r w:rsidRPr="00263307">
        <w:rPr>
          <w:rFonts w:ascii="Book Antiqua" w:hAnsi="Book Antiqua"/>
        </w:rPr>
        <w:t xml:space="preserve"> 1995; </w:t>
      </w:r>
      <w:r w:rsidRPr="00263307">
        <w:rPr>
          <w:rFonts w:ascii="Book Antiqua" w:hAnsi="Book Antiqua"/>
          <w:b/>
        </w:rPr>
        <w:t>82</w:t>
      </w:r>
      <w:r w:rsidRPr="00263307">
        <w:rPr>
          <w:rFonts w:ascii="Book Antiqua" w:hAnsi="Book Antiqua"/>
        </w:rPr>
        <w:t>: 166-169 [PMID: 7749676 DOI: 10.1002/bjs.1800820207]</w:t>
      </w:r>
    </w:p>
    <w:p w14:paraId="79A93B89"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lastRenderedPageBreak/>
        <w:t xml:space="preserve">2 </w:t>
      </w:r>
      <w:proofErr w:type="spellStart"/>
      <w:r w:rsidRPr="00263307">
        <w:rPr>
          <w:rFonts w:ascii="Book Antiqua" w:hAnsi="Book Antiqua"/>
          <w:b/>
        </w:rPr>
        <w:t>Styrud</w:t>
      </w:r>
      <w:proofErr w:type="spellEnd"/>
      <w:r w:rsidRPr="00263307">
        <w:rPr>
          <w:rFonts w:ascii="Book Antiqua" w:hAnsi="Book Antiqua"/>
          <w:b/>
        </w:rPr>
        <w:t xml:space="preserve"> J</w:t>
      </w:r>
      <w:r w:rsidRPr="00263307">
        <w:rPr>
          <w:rFonts w:ascii="Book Antiqua" w:hAnsi="Book Antiqua"/>
        </w:rPr>
        <w:t xml:space="preserve">, Eriksson S, Nilsson I, </w:t>
      </w:r>
      <w:proofErr w:type="spellStart"/>
      <w:r w:rsidRPr="00263307">
        <w:rPr>
          <w:rFonts w:ascii="Book Antiqua" w:hAnsi="Book Antiqua"/>
        </w:rPr>
        <w:t>Ahlberg</w:t>
      </w:r>
      <w:proofErr w:type="spellEnd"/>
      <w:r w:rsidRPr="00263307">
        <w:rPr>
          <w:rFonts w:ascii="Book Antiqua" w:hAnsi="Book Antiqua"/>
        </w:rPr>
        <w:t xml:space="preserve"> G, </w:t>
      </w:r>
      <w:proofErr w:type="spellStart"/>
      <w:r w:rsidRPr="00263307">
        <w:rPr>
          <w:rFonts w:ascii="Book Antiqua" w:hAnsi="Book Antiqua"/>
        </w:rPr>
        <w:t>Haapaniemi</w:t>
      </w:r>
      <w:proofErr w:type="spellEnd"/>
      <w:r w:rsidRPr="00263307">
        <w:rPr>
          <w:rFonts w:ascii="Book Antiqua" w:hAnsi="Book Antiqua"/>
        </w:rPr>
        <w:t xml:space="preserve"> S, </w:t>
      </w:r>
      <w:proofErr w:type="spellStart"/>
      <w:r w:rsidRPr="00263307">
        <w:rPr>
          <w:rFonts w:ascii="Book Antiqua" w:hAnsi="Book Antiqua"/>
        </w:rPr>
        <w:t>Neovius</w:t>
      </w:r>
      <w:proofErr w:type="spellEnd"/>
      <w:r w:rsidRPr="00263307">
        <w:rPr>
          <w:rFonts w:ascii="Book Antiqua" w:hAnsi="Book Antiqua"/>
        </w:rPr>
        <w:t xml:space="preserve"> G, Rex L, </w:t>
      </w:r>
      <w:proofErr w:type="spellStart"/>
      <w:r w:rsidRPr="00263307">
        <w:rPr>
          <w:rFonts w:ascii="Book Antiqua" w:hAnsi="Book Antiqua"/>
        </w:rPr>
        <w:t>Badume</w:t>
      </w:r>
      <w:proofErr w:type="spellEnd"/>
      <w:r w:rsidRPr="00263307">
        <w:rPr>
          <w:rFonts w:ascii="Book Antiqua" w:hAnsi="Book Antiqua"/>
        </w:rPr>
        <w:t xml:space="preserve"> I, </w:t>
      </w:r>
      <w:proofErr w:type="spellStart"/>
      <w:r w:rsidRPr="00263307">
        <w:rPr>
          <w:rFonts w:ascii="Book Antiqua" w:hAnsi="Book Antiqua"/>
        </w:rPr>
        <w:t>Granström</w:t>
      </w:r>
      <w:proofErr w:type="spellEnd"/>
      <w:r w:rsidRPr="00263307">
        <w:rPr>
          <w:rFonts w:ascii="Book Antiqua" w:hAnsi="Book Antiqua"/>
        </w:rPr>
        <w:t xml:space="preserve"> L. Appendectomy versus antibiotic treatment in acute appendicitis. a prospective multicenter randomized controlled trial. </w:t>
      </w:r>
      <w:r w:rsidRPr="00263307">
        <w:rPr>
          <w:rFonts w:ascii="Book Antiqua" w:hAnsi="Book Antiqua"/>
          <w:i/>
        </w:rPr>
        <w:t>World J Surg</w:t>
      </w:r>
      <w:r w:rsidRPr="00263307">
        <w:rPr>
          <w:rFonts w:ascii="Book Antiqua" w:hAnsi="Book Antiqua"/>
        </w:rPr>
        <w:t xml:space="preserve"> 2006; </w:t>
      </w:r>
      <w:r w:rsidRPr="00263307">
        <w:rPr>
          <w:rFonts w:ascii="Book Antiqua" w:hAnsi="Book Antiqua"/>
          <w:b/>
        </w:rPr>
        <w:t>30</w:t>
      </w:r>
      <w:r w:rsidRPr="00263307">
        <w:rPr>
          <w:rFonts w:ascii="Book Antiqua" w:hAnsi="Book Antiqua"/>
        </w:rPr>
        <w:t>: 1033-1037 [PMID: 16736333 DOI: 10.1007/s00268-005-0304-6]</w:t>
      </w:r>
    </w:p>
    <w:p w14:paraId="6C5DE43D"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3 </w:t>
      </w:r>
      <w:proofErr w:type="spellStart"/>
      <w:r w:rsidRPr="00263307">
        <w:rPr>
          <w:rFonts w:ascii="Book Antiqua" w:hAnsi="Book Antiqua"/>
          <w:b/>
        </w:rPr>
        <w:t>Turhan</w:t>
      </w:r>
      <w:proofErr w:type="spellEnd"/>
      <w:r w:rsidRPr="00263307">
        <w:rPr>
          <w:rFonts w:ascii="Book Antiqua" w:hAnsi="Book Antiqua"/>
          <w:b/>
        </w:rPr>
        <w:t xml:space="preserve"> AN</w:t>
      </w:r>
      <w:r w:rsidRPr="00263307">
        <w:rPr>
          <w:rFonts w:ascii="Book Antiqua" w:hAnsi="Book Antiqua"/>
        </w:rPr>
        <w:t xml:space="preserve">, Kapan S, </w:t>
      </w:r>
      <w:proofErr w:type="spellStart"/>
      <w:r w:rsidRPr="00263307">
        <w:rPr>
          <w:rFonts w:ascii="Book Antiqua" w:hAnsi="Book Antiqua"/>
        </w:rPr>
        <w:t>Kütükçü</w:t>
      </w:r>
      <w:proofErr w:type="spellEnd"/>
      <w:r w:rsidRPr="00263307">
        <w:rPr>
          <w:rFonts w:ascii="Book Antiqua" w:hAnsi="Book Antiqua"/>
        </w:rPr>
        <w:t xml:space="preserve"> E, </w:t>
      </w:r>
      <w:proofErr w:type="spellStart"/>
      <w:r w:rsidRPr="00263307">
        <w:rPr>
          <w:rFonts w:ascii="Book Antiqua" w:hAnsi="Book Antiqua"/>
        </w:rPr>
        <w:t>Yiğitbaş</w:t>
      </w:r>
      <w:proofErr w:type="spellEnd"/>
      <w:r w:rsidRPr="00263307">
        <w:rPr>
          <w:rFonts w:ascii="Book Antiqua" w:hAnsi="Book Antiqua"/>
        </w:rPr>
        <w:t xml:space="preserve"> H, </w:t>
      </w:r>
      <w:proofErr w:type="spellStart"/>
      <w:r w:rsidRPr="00263307">
        <w:rPr>
          <w:rFonts w:ascii="Book Antiqua" w:hAnsi="Book Antiqua"/>
        </w:rPr>
        <w:t>Hatipoğlu</w:t>
      </w:r>
      <w:proofErr w:type="spellEnd"/>
      <w:r w:rsidRPr="00263307">
        <w:rPr>
          <w:rFonts w:ascii="Book Antiqua" w:hAnsi="Book Antiqua"/>
        </w:rPr>
        <w:t xml:space="preserve"> S, </w:t>
      </w:r>
      <w:proofErr w:type="spellStart"/>
      <w:r w:rsidRPr="00263307">
        <w:rPr>
          <w:rFonts w:ascii="Book Antiqua" w:hAnsi="Book Antiqua"/>
        </w:rPr>
        <w:t>Aygün</w:t>
      </w:r>
      <w:proofErr w:type="spellEnd"/>
      <w:r w:rsidRPr="00263307">
        <w:rPr>
          <w:rFonts w:ascii="Book Antiqua" w:hAnsi="Book Antiqua"/>
        </w:rPr>
        <w:t xml:space="preserve"> E. Comparison of operative and </w:t>
      </w:r>
      <w:proofErr w:type="spellStart"/>
      <w:r w:rsidRPr="00263307">
        <w:rPr>
          <w:rFonts w:ascii="Book Antiqua" w:hAnsi="Book Antiqua"/>
        </w:rPr>
        <w:t>non operative</w:t>
      </w:r>
      <w:proofErr w:type="spellEnd"/>
      <w:r w:rsidRPr="00263307">
        <w:rPr>
          <w:rFonts w:ascii="Book Antiqua" w:hAnsi="Book Antiqua"/>
        </w:rPr>
        <w:t xml:space="preserve"> management of acute appendicitis. </w:t>
      </w:r>
      <w:r w:rsidRPr="00263307">
        <w:rPr>
          <w:rFonts w:ascii="Book Antiqua" w:hAnsi="Book Antiqua"/>
          <w:i/>
        </w:rPr>
        <w:t xml:space="preserve">Ulus </w:t>
      </w:r>
      <w:proofErr w:type="spellStart"/>
      <w:r w:rsidRPr="00263307">
        <w:rPr>
          <w:rFonts w:ascii="Book Antiqua" w:hAnsi="Book Antiqua"/>
          <w:i/>
        </w:rPr>
        <w:t>Travma</w:t>
      </w:r>
      <w:proofErr w:type="spellEnd"/>
      <w:r w:rsidRPr="00263307">
        <w:rPr>
          <w:rFonts w:ascii="Book Antiqua" w:hAnsi="Book Antiqua"/>
          <w:i/>
        </w:rPr>
        <w:t xml:space="preserve"> </w:t>
      </w:r>
      <w:proofErr w:type="spellStart"/>
      <w:r w:rsidRPr="00263307">
        <w:rPr>
          <w:rFonts w:ascii="Book Antiqua" w:hAnsi="Book Antiqua"/>
          <w:i/>
        </w:rPr>
        <w:t>Acil</w:t>
      </w:r>
      <w:proofErr w:type="spellEnd"/>
      <w:r w:rsidRPr="00263307">
        <w:rPr>
          <w:rFonts w:ascii="Book Antiqua" w:hAnsi="Book Antiqua"/>
          <w:i/>
        </w:rPr>
        <w:t xml:space="preserve"> </w:t>
      </w:r>
      <w:proofErr w:type="spellStart"/>
      <w:r w:rsidRPr="00263307">
        <w:rPr>
          <w:rFonts w:ascii="Book Antiqua" w:hAnsi="Book Antiqua"/>
          <w:i/>
        </w:rPr>
        <w:t>Cerrahi</w:t>
      </w:r>
      <w:proofErr w:type="spellEnd"/>
      <w:r w:rsidRPr="00263307">
        <w:rPr>
          <w:rFonts w:ascii="Book Antiqua" w:hAnsi="Book Antiqua"/>
          <w:i/>
        </w:rPr>
        <w:t xml:space="preserve"> </w:t>
      </w:r>
      <w:proofErr w:type="spellStart"/>
      <w:r w:rsidRPr="00263307">
        <w:rPr>
          <w:rFonts w:ascii="Book Antiqua" w:hAnsi="Book Antiqua"/>
          <w:i/>
        </w:rPr>
        <w:t>Derg</w:t>
      </w:r>
      <w:proofErr w:type="spellEnd"/>
      <w:r w:rsidRPr="00263307">
        <w:rPr>
          <w:rFonts w:ascii="Book Antiqua" w:hAnsi="Book Antiqua"/>
        </w:rPr>
        <w:t xml:space="preserve"> 2009; </w:t>
      </w:r>
      <w:r w:rsidRPr="00263307">
        <w:rPr>
          <w:rFonts w:ascii="Book Antiqua" w:hAnsi="Book Antiqua"/>
          <w:b/>
        </w:rPr>
        <w:t>15</w:t>
      </w:r>
      <w:r w:rsidRPr="00263307">
        <w:rPr>
          <w:rFonts w:ascii="Book Antiqua" w:hAnsi="Book Antiqua"/>
        </w:rPr>
        <w:t>: 459-462 [PMID: 19779986]</w:t>
      </w:r>
    </w:p>
    <w:p w14:paraId="6909E088"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4 </w:t>
      </w:r>
      <w:r w:rsidRPr="00263307">
        <w:rPr>
          <w:rFonts w:ascii="Book Antiqua" w:hAnsi="Book Antiqua"/>
          <w:b/>
        </w:rPr>
        <w:t>Hansson J</w:t>
      </w:r>
      <w:r w:rsidRPr="00263307">
        <w:rPr>
          <w:rFonts w:ascii="Book Antiqua" w:hAnsi="Book Antiqua"/>
        </w:rPr>
        <w:t xml:space="preserve">, </w:t>
      </w:r>
      <w:proofErr w:type="spellStart"/>
      <w:r w:rsidRPr="00263307">
        <w:rPr>
          <w:rFonts w:ascii="Book Antiqua" w:hAnsi="Book Antiqua"/>
        </w:rPr>
        <w:t>Körner</w:t>
      </w:r>
      <w:proofErr w:type="spellEnd"/>
      <w:r w:rsidRPr="00263307">
        <w:rPr>
          <w:rFonts w:ascii="Book Antiqua" w:hAnsi="Book Antiqua"/>
        </w:rPr>
        <w:t xml:space="preserve"> U, </w:t>
      </w:r>
      <w:proofErr w:type="spellStart"/>
      <w:r w:rsidRPr="00263307">
        <w:rPr>
          <w:rFonts w:ascii="Book Antiqua" w:hAnsi="Book Antiqua"/>
        </w:rPr>
        <w:t>Khorram-Manesh</w:t>
      </w:r>
      <w:proofErr w:type="spellEnd"/>
      <w:r w:rsidRPr="00263307">
        <w:rPr>
          <w:rFonts w:ascii="Book Antiqua" w:hAnsi="Book Antiqua"/>
        </w:rPr>
        <w:t xml:space="preserve"> A, Solberg A, </w:t>
      </w:r>
      <w:proofErr w:type="spellStart"/>
      <w:r w:rsidRPr="00263307">
        <w:rPr>
          <w:rFonts w:ascii="Book Antiqua" w:hAnsi="Book Antiqua"/>
        </w:rPr>
        <w:t>Lundholm</w:t>
      </w:r>
      <w:proofErr w:type="spellEnd"/>
      <w:r w:rsidRPr="00263307">
        <w:rPr>
          <w:rFonts w:ascii="Book Antiqua" w:hAnsi="Book Antiqua"/>
        </w:rPr>
        <w:t xml:space="preserve"> K. Randomized clinical trial of antibiotic therapy versus appendicectomy as primary treatment of acute appendicitis in unselected patients. </w:t>
      </w:r>
      <w:r w:rsidRPr="00263307">
        <w:rPr>
          <w:rFonts w:ascii="Book Antiqua" w:hAnsi="Book Antiqua"/>
          <w:i/>
        </w:rPr>
        <w:t>Br J Surg</w:t>
      </w:r>
      <w:r w:rsidRPr="00263307">
        <w:rPr>
          <w:rFonts w:ascii="Book Antiqua" w:hAnsi="Book Antiqua"/>
        </w:rPr>
        <w:t xml:space="preserve"> 2009; </w:t>
      </w:r>
      <w:r w:rsidRPr="00263307">
        <w:rPr>
          <w:rFonts w:ascii="Book Antiqua" w:hAnsi="Book Antiqua"/>
          <w:b/>
        </w:rPr>
        <w:t>96</w:t>
      </w:r>
      <w:r w:rsidRPr="00263307">
        <w:rPr>
          <w:rFonts w:ascii="Book Antiqua" w:hAnsi="Book Antiqua"/>
        </w:rPr>
        <w:t>: 473-481 [PMID: 19358184 DOI: 10.1002/bjs.6482]</w:t>
      </w:r>
    </w:p>
    <w:p w14:paraId="3AF7C2A8" w14:textId="3221F72C"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5 </w:t>
      </w:r>
      <w:r w:rsidRPr="00263307">
        <w:rPr>
          <w:rFonts w:ascii="Book Antiqua" w:hAnsi="Book Antiqua"/>
          <w:b/>
        </w:rPr>
        <w:t>Wilms IM</w:t>
      </w:r>
      <w:r w:rsidRPr="00263307">
        <w:rPr>
          <w:rFonts w:ascii="Book Antiqua" w:hAnsi="Book Antiqua"/>
        </w:rPr>
        <w:t xml:space="preserve">, de Hoog DE, de Visser DC, </w:t>
      </w:r>
      <w:proofErr w:type="spellStart"/>
      <w:r w:rsidRPr="00263307">
        <w:rPr>
          <w:rFonts w:ascii="Book Antiqua" w:hAnsi="Book Antiqua"/>
        </w:rPr>
        <w:t>Janzing</w:t>
      </w:r>
      <w:proofErr w:type="spellEnd"/>
      <w:r w:rsidRPr="00263307">
        <w:rPr>
          <w:rFonts w:ascii="Book Antiqua" w:hAnsi="Book Antiqua"/>
        </w:rPr>
        <w:t xml:space="preserve"> HM. Appendectomy versus antibiotic treatment for acute appendicitis. </w:t>
      </w:r>
      <w:r w:rsidRPr="00263307">
        <w:rPr>
          <w:rFonts w:ascii="Book Antiqua" w:hAnsi="Book Antiqua"/>
          <w:i/>
        </w:rPr>
        <w:t>Cochrane Database Syst Rev</w:t>
      </w:r>
      <w:r w:rsidRPr="00263307">
        <w:rPr>
          <w:rFonts w:ascii="Book Antiqua" w:hAnsi="Book Antiqua"/>
        </w:rPr>
        <w:t xml:space="preserve"> 2011</w:t>
      </w:r>
      <w:r w:rsidR="008573AA">
        <w:rPr>
          <w:rFonts w:ascii="Book Antiqua" w:hAnsi="Book Antiqua"/>
        </w:rPr>
        <w:t>:</w:t>
      </w:r>
      <w:r w:rsidR="008573AA">
        <w:rPr>
          <w:rFonts w:ascii="Book Antiqua" w:eastAsia="宋体" w:hAnsi="Book Antiqua" w:hint="eastAsia"/>
          <w:lang w:eastAsia="zh-CN"/>
        </w:rPr>
        <w:t xml:space="preserve"> </w:t>
      </w:r>
      <w:r w:rsidRPr="00263307">
        <w:rPr>
          <w:rFonts w:ascii="Book Antiqua" w:hAnsi="Book Antiqua"/>
        </w:rPr>
        <w:t>CD008359 [PMID: 22071846 DOI: 10.1002/14651858.cd008359.pub2]</w:t>
      </w:r>
    </w:p>
    <w:p w14:paraId="4DF38D88"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6 </w:t>
      </w:r>
      <w:r w:rsidRPr="00263307">
        <w:rPr>
          <w:rFonts w:ascii="Book Antiqua" w:hAnsi="Book Antiqua"/>
          <w:b/>
        </w:rPr>
        <w:t>Drake FT</w:t>
      </w:r>
      <w:r w:rsidRPr="00263307">
        <w:rPr>
          <w:rFonts w:ascii="Book Antiqua" w:hAnsi="Book Antiqua"/>
        </w:rPr>
        <w:t xml:space="preserve">, </w:t>
      </w:r>
      <w:proofErr w:type="spellStart"/>
      <w:r w:rsidRPr="00263307">
        <w:rPr>
          <w:rFonts w:ascii="Book Antiqua" w:hAnsi="Book Antiqua"/>
        </w:rPr>
        <w:t>Mottey</w:t>
      </w:r>
      <w:proofErr w:type="spellEnd"/>
      <w:r w:rsidRPr="00263307">
        <w:rPr>
          <w:rFonts w:ascii="Book Antiqua" w:hAnsi="Book Antiqua"/>
        </w:rPr>
        <w:t xml:space="preserve"> NE, </w:t>
      </w:r>
      <w:proofErr w:type="spellStart"/>
      <w:r w:rsidRPr="00263307">
        <w:rPr>
          <w:rFonts w:ascii="Book Antiqua" w:hAnsi="Book Antiqua"/>
        </w:rPr>
        <w:t>Farrokhi</w:t>
      </w:r>
      <w:proofErr w:type="spellEnd"/>
      <w:r w:rsidRPr="00263307">
        <w:rPr>
          <w:rFonts w:ascii="Book Antiqua" w:hAnsi="Book Antiqua"/>
        </w:rPr>
        <w:t xml:space="preserve"> ET, Florence MG, Johnson MG, Mock C, Steele SR, Thirlby RC, </w:t>
      </w:r>
      <w:proofErr w:type="spellStart"/>
      <w:r w:rsidRPr="00263307">
        <w:rPr>
          <w:rFonts w:ascii="Book Antiqua" w:hAnsi="Book Antiqua"/>
        </w:rPr>
        <w:t>Flum</w:t>
      </w:r>
      <w:proofErr w:type="spellEnd"/>
      <w:r w:rsidRPr="00263307">
        <w:rPr>
          <w:rFonts w:ascii="Book Antiqua" w:hAnsi="Book Antiqua"/>
        </w:rPr>
        <w:t xml:space="preserve"> DR. Time to appendectomy and risk of perforation in acute appendicitis. </w:t>
      </w:r>
      <w:r w:rsidRPr="00263307">
        <w:rPr>
          <w:rFonts w:ascii="Book Antiqua" w:hAnsi="Book Antiqua"/>
          <w:i/>
        </w:rPr>
        <w:t>JAMA Surg</w:t>
      </w:r>
      <w:r w:rsidRPr="00263307">
        <w:rPr>
          <w:rFonts w:ascii="Book Antiqua" w:hAnsi="Book Antiqua"/>
        </w:rPr>
        <w:t xml:space="preserve"> 2014; </w:t>
      </w:r>
      <w:r w:rsidRPr="00263307">
        <w:rPr>
          <w:rFonts w:ascii="Book Antiqua" w:hAnsi="Book Antiqua"/>
          <w:b/>
        </w:rPr>
        <w:t>149</w:t>
      </w:r>
      <w:r w:rsidRPr="00263307">
        <w:rPr>
          <w:rFonts w:ascii="Book Antiqua" w:hAnsi="Book Antiqua"/>
        </w:rPr>
        <w:t>: 837-844 [PMID: 24990687 DOI: 10.1001/jamasurg.2014.77]</w:t>
      </w:r>
    </w:p>
    <w:p w14:paraId="138986D5"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7 </w:t>
      </w:r>
      <w:proofErr w:type="spellStart"/>
      <w:r w:rsidRPr="00263307">
        <w:rPr>
          <w:rFonts w:ascii="Book Antiqua" w:hAnsi="Book Antiqua"/>
          <w:b/>
        </w:rPr>
        <w:t>Sirikurnpiboon</w:t>
      </w:r>
      <w:proofErr w:type="spellEnd"/>
      <w:r w:rsidRPr="00263307">
        <w:rPr>
          <w:rFonts w:ascii="Book Antiqua" w:hAnsi="Book Antiqua"/>
          <w:b/>
        </w:rPr>
        <w:t xml:space="preserve"> S</w:t>
      </w:r>
      <w:r w:rsidRPr="00263307">
        <w:rPr>
          <w:rFonts w:ascii="Book Antiqua" w:hAnsi="Book Antiqua"/>
        </w:rPr>
        <w:t xml:space="preserve">, </w:t>
      </w:r>
      <w:proofErr w:type="spellStart"/>
      <w:r w:rsidRPr="00263307">
        <w:rPr>
          <w:rFonts w:ascii="Book Antiqua" w:hAnsi="Book Antiqua"/>
        </w:rPr>
        <w:t>Amornpornchareon</w:t>
      </w:r>
      <w:proofErr w:type="spellEnd"/>
      <w:r w:rsidRPr="00263307">
        <w:rPr>
          <w:rFonts w:ascii="Book Antiqua" w:hAnsi="Book Antiqua"/>
        </w:rPr>
        <w:t xml:space="preserve"> S. Factors Associated with Perforated Appendicitis in Elderly Patients in a Tertiary Care Hospital. </w:t>
      </w:r>
      <w:r w:rsidRPr="00263307">
        <w:rPr>
          <w:rFonts w:ascii="Book Antiqua" w:hAnsi="Book Antiqua"/>
          <w:i/>
        </w:rPr>
        <w:t xml:space="preserve">Surg Res </w:t>
      </w:r>
      <w:proofErr w:type="spellStart"/>
      <w:r w:rsidRPr="00263307">
        <w:rPr>
          <w:rFonts w:ascii="Book Antiqua" w:hAnsi="Book Antiqua"/>
          <w:i/>
        </w:rPr>
        <w:t>Pract</w:t>
      </w:r>
      <w:proofErr w:type="spellEnd"/>
      <w:r w:rsidRPr="00263307">
        <w:rPr>
          <w:rFonts w:ascii="Book Antiqua" w:hAnsi="Book Antiqua"/>
        </w:rPr>
        <w:t xml:space="preserve"> 2015; </w:t>
      </w:r>
      <w:r w:rsidRPr="00263307">
        <w:rPr>
          <w:rFonts w:ascii="Book Antiqua" w:hAnsi="Book Antiqua"/>
          <w:b/>
        </w:rPr>
        <w:t>2015</w:t>
      </w:r>
      <w:r w:rsidRPr="00263307">
        <w:rPr>
          <w:rFonts w:ascii="Book Antiqua" w:hAnsi="Book Antiqua"/>
        </w:rPr>
        <w:t>: 847681 [PMID: 26380377 DOI: 10.1155/2015/847681]</w:t>
      </w:r>
    </w:p>
    <w:p w14:paraId="1E06467D"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8 </w:t>
      </w:r>
      <w:r w:rsidRPr="00263307">
        <w:rPr>
          <w:rFonts w:ascii="Book Antiqua" w:hAnsi="Book Antiqua"/>
          <w:b/>
        </w:rPr>
        <w:t>Omari AH</w:t>
      </w:r>
      <w:r w:rsidRPr="00263307">
        <w:rPr>
          <w:rFonts w:ascii="Book Antiqua" w:hAnsi="Book Antiqua"/>
        </w:rPr>
        <w:t xml:space="preserve">, Khammash MR, </w:t>
      </w:r>
      <w:proofErr w:type="spellStart"/>
      <w:r w:rsidRPr="00263307">
        <w:rPr>
          <w:rFonts w:ascii="Book Antiqua" w:hAnsi="Book Antiqua"/>
        </w:rPr>
        <w:t>Qasaimeh</w:t>
      </w:r>
      <w:proofErr w:type="spellEnd"/>
      <w:r w:rsidRPr="00263307">
        <w:rPr>
          <w:rFonts w:ascii="Book Antiqua" w:hAnsi="Book Antiqua"/>
        </w:rPr>
        <w:t xml:space="preserve"> GR, </w:t>
      </w:r>
      <w:proofErr w:type="spellStart"/>
      <w:r w:rsidRPr="00263307">
        <w:rPr>
          <w:rFonts w:ascii="Book Antiqua" w:hAnsi="Book Antiqua"/>
        </w:rPr>
        <w:t>Shammari</w:t>
      </w:r>
      <w:proofErr w:type="spellEnd"/>
      <w:r w:rsidRPr="00263307">
        <w:rPr>
          <w:rFonts w:ascii="Book Antiqua" w:hAnsi="Book Antiqua"/>
        </w:rPr>
        <w:t xml:space="preserve"> AK, Yaseen MK, </w:t>
      </w:r>
      <w:proofErr w:type="spellStart"/>
      <w:r w:rsidRPr="00263307">
        <w:rPr>
          <w:rFonts w:ascii="Book Antiqua" w:hAnsi="Book Antiqua"/>
        </w:rPr>
        <w:t>Hammori</w:t>
      </w:r>
      <w:proofErr w:type="spellEnd"/>
      <w:r w:rsidRPr="00263307">
        <w:rPr>
          <w:rFonts w:ascii="Book Antiqua" w:hAnsi="Book Antiqua"/>
        </w:rPr>
        <w:t xml:space="preserve"> SK. Acute appendicitis in the elderly: risk factors for perforation. </w:t>
      </w:r>
      <w:r w:rsidRPr="00263307">
        <w:rPr>
          <w:rFonts w:ascii="Book Antiqua" w:hAnsi="Book Antiqua"/>
          <w:i/>
        </w:rPr>
        <w:t xml:space="preserve">World J </w:t>
      </w:r>
      <w:proofErr w:type="spellStart"/>
      <w:r w:rsidRPr="00263307">
        <w:rPr>
          <w:rFonts w:ascii="Book Antiqua" w:hAnsi="Book Antiqua"/>
          <w:i/>
        </w:rPr>
        <w:t>Emerg</w:t>
      </w:r>
      <w:proofErr w:type="spellEnd"/>
      <w:r w:rsidRPr="00263307">
        <w:rPr>
          <w:rFonts w:ascii="Book Antiqua" w:hAnsi="Book Antiqua"/>
          <w:i/>
        </w:rPr>
        <w:t xml:space="preserve"> Surg</w:t>
      </w:r>
      <w:r w:rsidRPr="00263307">
        <w:rPr>
          <w:rFonts w:ascii="Book Antiqua" w:hAnsi="Book Antiqua"/>
        </w:rPr>
        <w:t xml:space="preserve"> 2014; </w:t>
      </w:r>
      <w:r w:rsidRPr="00263307">
        <w:rPr>
          <w:rFonts w:ascii="Book Antiqua" w:hAnsi="Book Antiqua"/>
          <w:b/>
        </w:rPr>
        <w:t>9</w:t>
      </w:r>
      <w:r w:rsidRPr="00263307">
        <w:rPr>
          <w:rFonts w:ascii="Book Antiqua" w:hAnsi="Book Antiqua"/>
        </w:rPr>
        <w:t>: 6 [PMID: 24428909 DOI: 10.1186/1749-7922-9-6]</w:t>
      </w:r>
    </w:p>
    <w:p w14:paraId="71CAEA38"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9 </w:t>
      </w:r>
      <w:r w:rsidRPr="00263307">
        <w:rPr>
          <w:rFonts w:ascii="Book Antiqua" w:hAnsi="Book Antiqua"/>
          <w:b/>
        </w:rPr>
        <w:t>Kim DY</w:t>
      </w:r>
      <w:r w:rsidRPr="00263307">
        <w:rPr>
          <w:rFonts w:ascii="Book Antiqua" w:hAnsi="Book Antiqua"/>
        </w:rPr>
        <w:t xml:space="preserve">, </w:t>
      </w:r>
      <w:proofErr w:type="spellStart"/>
      <w:r w:rsidRPr="00263307">
        <w:rPr>
          <w:rFonts w:ascii="Book Antiqua" w:hAnsi="Book Antiqua"/>
        </w:rPr>
        <w:t>Nassiri</w:t>
      </w:r>
      <w:proofErr w:type="spellEnd"/>
      <w:r w:rsidRPr="00263307">
        <w:rPr>
          <w:rFonts w:ascii="Book Antiqua" w:hAnsi="Book Antiqua"/>
        </w:rPr>
        <w:t xml:space="preserve"> N, de Virgilio C, </w:t>
      </w:r>
      <w:proofErr w:type="spellStart"/>
      <w:r w:rsidRPr="00263307">
        <w:rPr>
          <w:rFonts w:ascii="Book Antiqua" w:hAnsi="Book Antiqua"/>
        </w:rPr>
        <w:t>Ferebee</w:t>
      </w:r>
      <w:proofErr w:type="spellEnd"/>
      <w:r w:rsidRPr="00263307">
        <w:rPr>
          <w:rFonts w:ascii="Book Antiqua" w:hAnsi="Book Antiqua"/>
        </w:rPr>
        <w:t xml:space="preserve"> MP, </w:t>
      </w:r>
      <w:proofErr w:type="spellStart"/>
      <w:r w:rsidRPr="00263307">
        <w:rPr>
          <w:rFonts w:ascii="Book Antiqua" w:hAnsi="Book Antiqua"/>
        </w:rPr>
        <w:t>Kaji</w:t>
      </w:r>
      <w:proofErr w:type="spellEnd"/>
      <w:r w:rsidRPr="00263307">
        <w:rPr>
          <w:rFonts w:ascii="Book Antiqua" w:hAnsi="Book Antiqua"/>
        </w:rPr>
        <w:t xml:space="preserve"> AH, Hamilton CE, Saltzman DJ. Association Between Hyponatremia and Complicated Appendicitis. </w:t>
      </w:r>
      <w:r w:rsidRPr="00263307">
        <w:rPr>
          <w:rFonts w:ascii="Book Antiqua" w:hAnsi="Book Antiqua"/>
          <w:i/>
        </w:rPr>
        <w:t>JAMA Surg</w:t>
      </w:r>
      <w:r w:rsidRPr="00263307">
        <w:rPr>
          <w:rFonts w:ascii="Book Antiqua" w:hAnsi="Book Antiqua"/>
        </w:rPr>
        <w:t xml:space="preserve"> 2015; </w:t>
      </w:r>
      <w:r w:rsidRPr="00263307">
        <w:rPr>
          <w:rFonts w:ascii="Book Antiqua" w:hAnsi="Book Antiqua"/>
          <w:b/>
        </w:rPr>
        <w:t>150</w:t>
      </w:r>
      <w:r w:rsidRPr="00263307">
        <w:rPr>
          <w:rFonts w:ascii="Book Antiqua" w:hAnsi="Book Antiqua"/>
        </w:rPr>
        <w:t>: 911-912 [PMID: 26222325 DOI: 10.1001/jamasurg.2015.1258]</w:t>
      </w:r>
    </w:p>
    <w:p w14:paraId="10886B1F"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lastRenderedPageBreak/>
        <w:t xml:space="preserve">10 </w:t>
      </w:r>
      <w:proofErr w:type="spellStart"/>
      <w:r w:rsidRPr="00263307">
        <w:rPr>
          <w:rFonts w:ascii="Book Antiqua" w:hAnsi="Book Antiqua"/>
          <w:b/>
        </w:rPr>
        <w:t>Rentea</w:t>
      </w:r>
      <w:proofErr w:type="spellEnd"/>
      <w:r w:rsidRPr="00263307">
        <w:rPr>
          <w:rFonts w:ascii="Book Antiqua" w:hAnsi="Book Antiqua"/>
          <w:b/>
        </w:rPr>
        <w:t xml:space="preserve"> RM</w:t>
      </w:r>
      <w:r w:rsidRPr="00263307">
        <w:rPr>
          <w:rFonts w:ascii="Book Antiqua" w:hAnsi="Book Antiqua"/>
        </w:rPr>
        <w:t xml:space="preserve">, Peter SDS, Snyder CL. Pediatric appendicitis: state of the art review. </w:t>
      </w:r>
      <w:proofErr w:type="spellStart"/>
      <w:r w:rsidRPr="00263307">
        <w:rPr>
          <w:rFonts w:ascii="Book Antiqua" w:hAnsi="Book Antiqua"/>
          <w:i/>
        </w:rPr>
        <w:t>Pediatr</w:t>
      </w:r>
      <w:proofErr w:type="spellEnd"/>
      <w:r w:rsidRPr="00263307">
        <w:rPr>
          <w:rFonts w:ascii="Book Antiqua" w:hAnsi="Book Antiqua"/>
          <w:i/>
        </w:rPr>
        <w:t xml:space="preserve"> Surg Int</w:t>
      </w:r>
      <w:r w:rsidRPr="00263307">
        <w:rPr>
          <w:rFonts w:ascii="Book Antiqua" w:hAnsi="Book Antiqua"/>
        </w:rPr>
        <w:t xml:space="preserve"> 2017; </w:t>
      </w:r>
      <w:r w:rsidRPr="00263307">
        <w:rPr>
          <w:rFonts w:ascii="Book Antiqua" w:hAnsi="Book Antiqua"/>
          <w:b/>
        </w:rPr>
        <w:t>33</w:t>
      </w:r>
      <w:r w:rsidRPr="00263307">
        <w:rPr>
          <w:rFonts w:ascii="Book Antiqua" w:hAnsi="Book Antiqua"/>
        </w:rPr>
        <w:t>: 269-283 [PMID: 27743024 DOI: 10.1007/s00383-016-3990-2]</w:t>
      </w:r>
    </w:p>
    <w:p w14:paraId="5C8232A4"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11 </w:t>
      </w:r>
      <w:r w:rsidRPr="00263307">
        <w:rPr>
          <w:rFonts w:ascii="Book Antiqua" w:hAnsi="Book Antiqua"/>
          <w:b/>
        </w:rPr>
        <w:t>Pham XD</w:t>
      </w:r>
      <w:r w:rsidRPr="00263307">
        <w:rPr>
          <w:rFonts w:ascii="Book Antiqua" w:hAnsi="Book Antiqua"/>
        </w:rPr>
        <w:t xml:space="preserve">, </w:t>
      </w:r>
      <w:proofErr w:type="spellStart"/>
      <w:r w:rsidRPr="00263307">
        <w:rPr>
          <w:rFonts w:ascii="Book Antiqua" w:hAnsi="Book Antiqua"/>
        </w:rPr>
        <w:t>Sullins</w:t>
      </w:r>
      <w:proofErr w:type="spellEnd"/>
      <w:r w:rsidRPr="00263307">
        <w:rPr>
          <w:rFonts w:ascii="Book Antiqua" w:hAnsi="Book Antiqua"/>
        </w:rPr>
        <w:t xml:space="preserve"> VF, Kim DY, Range B, </w:t>
      </w:r>
      <w:proofErr w:type="spellStart"/>
      <w:r w:rsidRPr="00263307">
        <w:rPr>
          <w:rFonts w:ascii="Book Antiqua" w:hAnsi="Book Antiqua"/>
        </w:rPr>
        <w:t>Kaji</w:t>
      </w:r>
      <w:proofErr w:type="spellEnd"/>
      <w:r w:rsidRPr="00263307">
        <w:rPr>
          <w:rFonts w:ascii="Book Antiqua" w:hAnsi="Book Antiqua"/>
        </w:rPr>
        <w:t xml:space="preserve"> AH, de Virgilio CM, Lee SL. Factors predictive of complicated appendicitis in children. </w:t>
      </w:r>
      <w:r w:rsidRPr="00263307">
        <w:rPr>
          <w:rFonts w:ascii="Book Antiqua" w:hAnsi="Book Antiqua"/>
          <w:i/>
        </w:rPr>
        <w:t>J Surg Res</w:t>
      </w:r>
      <w:r w:rsidRPr="00263307">
        <w:rPr>
          <w:rFonts w:ascii="Book Antiqua" w:hAnsi="Book Antiqua"/>
        </w:rPr>
        <w:t xml:space="preserve"> 2016; </w:t>
      </w:r>
      <w:r w:rsidRPr="00263307">
        <w:rPr>
          <w:rFonts w:ascii="Book Antiqua" w:hAnsi="Book Antiqua"/>
          <w:b/>
        </w:rPr>
        <w:t>206</w:t>
      </w:r>
      <w:r w:rsidRPr="00263307">
        <w:rPr>
          <w:rFonts w:ascii="Book Antiqua" w:hAnsi="Book Antiqua"/>
        </w:rPr>
        <w:t>: 62-66 [PMID: 27916376 DOI: 10.1016/j.jss.2016.07.023]</w:t>
      </w:r>
    </w:p>
    <w:p w14:paraId="09DDA821"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12 </w:t>
      </w:r>
      <w:proofErr w:type="spellStart"/>
      <w:r w:rsidRPr="00263307">
        <w:rPr>
          <w:rFonts w:ascii="Book Antiqua" w:hAnsi="Book Antiqua"/>
          <w:b/>
        </w:rPr>
        <w:t>Buyukbese</w:t>
      </w:r>
      <w:proofErr w:type="spellEnd"/>
      <w:r w:rsidRPr="00263307">
        <w:rPr>
          <w:rFonts w:ascii="Book Antiqua" w:hAnsi="Book Antiqua"/>
          <w:b/>
        </w:rPr>
        <w:t xml:space="preserve"> </w:t>
      </w:r>
      <w:proofErr w:type="spellStart"/>
      <w:r w:rsidRPr="00263307">
        <w:rPr>
          <w:rFonts w:ascii="Book Antiqua" w:hAnsi="Book Antiqua"/>
          <w:b/>
        </w:rPr>
        <w:t>Sarsu</w:t>
      </w:r>
      <w:proofErr w:type="spellEnd"/>
      <w:r w:rsidRPr="00263307">
        <w:rPr>
          <w:rFonts w:ascii="Book Antiqua" w:hAnsi="Book Antiqua"/>
          <w:b/>
        </w:rPr>
        <w:t xml:space="preserve"> S</w:t>
      </w:r>
      <w:r w:rsidRPr="00263307">
        <w:rPr>
          <w:rFonts w:ascii="Book Antiqua" w:hAnsi="Book Antiqua"/>
        </w:rPr>
        <w:t xml:space="preserve">, </w:t>
      </w:r>
      <w:proofErr w:type="spellStart"/>
      <w:r w:rsidRPr="00263307">
        <w:rPr>
          <w:rFonts w:ascii="Book Antiqua" w:hAnsi="Book Antiqua"/>
        </w:rPr>
        <w:t>Sarac</w:t>
      </w:r>
      <w:proofErr w:type="spellEnd"/>
      <w:r w:rsidRPr="00263307">
        <w:rPr>
          <w:rFonts w:ascii="Book Antiqua" w:hAnsi="Book Antiqua"/>
        </w:rPr>
        <w:t xml:space="preserve"> F. Diagnostic Value of White Blood Cell and C-Reactive Protein in Pediatric Appendicitis. </w:t>
      </w:r>
      <w:r w:rsidRPr="00263307">
        <w:rPr>
          <w:rFonts w:ascii="Book Antiqua" w:hAnsi="Book Antiqua"/>
          <w:i/>
        </w:rPr>
        <w:t>Biomed Res Int</w:t>
      </w:r>
      <w:r w:rsidRPr="00263307">
        <w:rPr>
          <w:rFonts w:ascii="Book Antiqua" w:hAnsi="Book Antiqua"/>
        </w:rPr>
        <w:t xml:space="preserve"> 2016; </w:t>
      </w:r>
      <w:r w:rsidRPr="00263307">
        <w:rPr>
          <w:rFonts w:ascii="Book Antiqua" w:hAnsi="Book Antiqua"/>
          <w:b/>
        </w:rPr>
        <w:t>2016</w:t>
      </w:r>
      <w:r w:rsidRPr="00263307">
        <w:rPr>
          <w:rFonts w:ascii="Book Antiqua" w:hAnsi="Book Antiqua"/>
        </w:rPr>
        <w:t>: 6508619 [PMID: 27274988 DOI: 10.1155/2016/6508619]</w:t>
      </w:r>
    </w:p>
    <w:p w14:paraId="1787B8B5"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13 </w:t>
      </w:r>
      <w:r w:rsidRPr="00263307">
        <w:rPr>
          <w:rFonts w:ascii="Book Antiqua" w:hAnsi="Book Antiqua"/>
          <w:b/>
        </w:rPr>
        <w:t>Ozan E</w:t>
      </w:r>
      <w:r w:rsidRPr="00263307">
        <w:rPr>
          <w:rFonts w:ascii="Book Antiqua" w:hAnsi="Book Antiqua"/>
        </w:rPr>
        <w:t xml:space="preserve">, </w:t>
      </w:r>
      <w:proofErr w:type="spellStart"/>
      <w:r w:rsidRPr="00263307">
        <w:rPr>
          <w:rFonts w:ascii="Book Antiqua" w:hAnsi="Book Antiqua"/>
        </w:rPr>
        <w:t>Ataç</w:t>
      </w:r>
      <w:proofErr w:type="spellEnd"/>
      <w:r w:rsidRPr="00263307">
        <w:rPr>
          <w:rFonts w:ascii="Book Antiqua" w:hAnsi="Book Antiqua"/>
        </w:rPr>
        <w:t xml:space="preserve"> GK, </w:t>
      </w:r>
      <w:proofErr w:type="spellStart"/>
      <w:r w:rsidRPr="00263307">
        <w:rPr>
          <w:rFonts w:ascii="Book Antiqua" w:hAnsi="Book Antiqua"/>
        </w:rPr>
        <w:t>Alişar</w:t>
      </w:r>
      <w:proofErr w:type="spellEnd"/>
      <w:r w:rsidRPr="00263307">
        <w:rPr>
          <w:rFonts w:ascii="Book Antiqua" w:hAnsi="Book Antiqua"/>
        </w:rPr>
        <w:t xml:space="preserve"> K, </w:t>
      </w:r>
      <w:proofErr w:type="spellStart"/>
      <w:r w:rsidRPr="00263307">
        <w:rPr>
          <w:rFonts w:ascii="Book Antiqua" w:hAnsi="Book Antiqua"/>
        </w:rPr>
        <w:t>Alhan</w:t>
      </w:r>
      <w:proofErr w:type="spellEnd"/>
      <w:r w:rsidRPr="00263307">
        <w:rPr>
          <w:rFonts w:ascii="Book Antiqua" w:hAnsi="Book Antiqua"/>
        </w:rPr>
        <w:t xml:space="preserve"> A. Role of inflammatory markers in decreasing negative appendectomy rate: A study based on computed tomography findings. </w:t>
      </w:r>
      <w:r w:rsidRPr="00263307">
        <w:rPr>
          <w:rFonts w:ascii="Book Antiqua" w:hAnsi="Book Antiqua"/>
          <w:i/>
        </w:rPr>
        <w:t xml:space="preserve">Ulus </w:t>
      </w:r>
      <w:proofErr w:type="spellStart"/>
      <w:r w:rsidRPr="00263307">
        <w:rPr>
          <w:rFonts w:ascii="Book Antiqua" w:hAnsi="Book Antiqua"/>
          <w:i/>
        </w:rPr>
        <w:t>Travma</w:t>
      </w:r>
      <w:proofErr w:type="spellEnd"/>
      <w:r w:rsidRPr="00263307">
        <w:rPr>
          <w:rFonts w:ascii="Book Antiqua" w:hAnsi="Book Antiqua"/>
          <w:i/>
        </w:rPr>
        <w:t xml:space="preserve"> </w:t>
      </w:r>
      <w:proofErr w:type="spellStart"/>
      <w:r w:rsidRPr="00263307">
        <w:rPr>
          <w:rFonts w:ascii="Book Antiqua" w:hAnsi="Book Antiqua"/>
          <w:i/>
        </w:rPr>
        <w:t>Acil</w:t>
      </w:r>
      <w:proofErr w:type="spellEnd"/>
      <w:r w:rsidRPr="00263307">
        <w:rPr>
          <w:rFonts w:ascii="Book Antiqua" w:hAnsi="Book Antiqua"/>
          <w:i/>
        </w:rPr>
        <w:t xml:space="preserve"> </w:t>
      </w:r>
      <w:proofErr w:type="spellStart"/>
      <w:r w:rsidRPr="00263307">
        <w:rPr>
          <w:rFonts w:ascii="Book Antiqua" w:hAnsi="Book Antiqua"/>
          <w:i/>
        </w:rPr>
        <w:t>Cerrahi</w:t>
      </w:r>
      <w:proofErr w:type="spellEnd"/>
      <w:r w:rsidRPr="00263307">
        <w:rPr>
          <w:rFonts w:ascii="Book Antiqua" w:hAnsi="Book Antiqua"/>
          <w:i/>
        </w:rPr>
        <w:t xml:space="preserve"> </w:t>
      </w:r>
      <w:proofErr w:type="spellStart"/>
      <w:r w:rsidRPr="00263307">
        <w:rPr>
          <w:rFonts w:ascii="Book Antiqua" w:hAnsi="Book Antiqua"/>
          <w:i/>
        </w:rPr>
        <w:t>Derg</w:t>
      </w:r>
      <w:proofErr w:type="spellEnd"/>
      <w:r w:rsidRPr="00263307">
        <w:rPr>
          <w:rFonts w:ascii="Book Antiqua" w:hAnsi="Book Antiqua"/>
        </w:rPr>
        <w:t xml:space="preserve"> 2017; </w:t>
      </w:r>
      <w:r w:rsidRPr="00263307">
        <w:rPr>
          <w:rFonts w:ascii="Book Antiqua" w:hAnsi="Book Antiqua"/>
          <w:b/>
        </w:rPr>
        <w:t>23</w:t>
      </w:r>
      <w:r w:rsidRPr="00263307">
        <w:rPr>
          <w:rFonts w:ascii="Book Antiqua" w:hAnsi="Book Antiqua"/>
        </w:rPr>
        <w:t>: 477-482 [PMID: 29115649 DOI: 10.5505/tjtes.2017.36605]</w:t>
      </w:r>
    </w:p>
    <w:p w14:paraId="4CC5AC81"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14 </w:t>
      </w:r>
      <w:r w:rsidRPr="00263307">
        <w:rPr>
          <w:rFonts w:ascii="Book Antiqua" w:hAnsi="Book Antiqua"/>
          <w:b/>
        </w:rPr>
        <w:t>Dal F</w:t>
      </w:r>
      <w:r w:rsidRPr="00263307">
        <w:rPr>
          <w:rFonts w:ascii="Book Antiqua" w:hAnsi="Book Antiqua"/>
        </w:rPr>
        <w:t xml:space="preserve">, </w:t>
      </w:r>
      <w:proofErr w:type="spellStart"/>
      <w:r w:rsidRPr="00263307">
        <w:rPr>
          <w:rFonts w:ascii="Book Antiqua" w:hAnsi="Book Antiqua"/>
        </w:rPr>
        <w:t>Cicek</w:t>
      </w:r>
      <w:proofErr w:type="spellEnd"/>
      <w:r w:rsidRPr="00263307">
        <w:rPr>
          <w:rFonts w:ascii="Book Antiqua" w:hAnsi="Book Antiqua"/>
        </w:rPr>
        <w:t xml:space="preserve"> Y, </w:t>
      </w:r>
      <w:proofErr w:type="spellStart"/>
      <w:r w:rsidRPr="00263307">
        <w:rPr>
          <w:rFonts w:ascii="Book Antiqua" w:hAnsi="Book Antiqua"/>
        </w:rPr>
        <w:t>Pekmezci</w:t>
      </w:r>
      <w:proofErr w:type="spellEnd"/>
      <w:r w:rsidRPr="00263307">
        <w:rPr>
          <w:rFonts w:ascii="Book Antiqua" w:hAnsi="Book Antiqua"/>
        </w:rPr>
        <w:t xml:space="preserve"> S, </w:t>
      </w:r>
      <w:proofErr w:type="spellStart"/>
      <w:r w:rsidRPr="00263307">
        <w:rPr>
          <w:rFonts w:ascii="Book Antiqua" w:hAnsi="Book Antiqua"/>
        </w:rPr>
        <w:t>Kocazeybek</w:t>
      </w:r>
      <w:proofErr w:type="spellEnd"/>
      <w:r w:rsidRPr="00263307">
        <w:rPr>
          <w:rFonts w:ascii="Book Antiqua" w:hAnsi="Book Antiqua"/>
        </w:rPr>
        <w:t xml:space="preserve"> B, </w:t>
      </w:r>
      <w:proofErr w:type="spellStart"/>
      <w:r w:rsidRPr="00263307">
        <w:rPr>
          <w:rFonts w:ascii="Book Antiqua" w:hAnsi="Book Antiqua"/>
        </w:rPr>
        <w:t>Tokman</w:t>
      </w:r>
      <w:proofErr w:type="spellEnd"/>
      <w:r w:rsidRPr="00263307">
        <w:rPr>
          <w:rFonts w:ascii="Book Antiqua" w:hAnsi="Book Antiqua"/>
        </w:rPr>
        <w:t xml:space="preserve"> HB, </w:t>
      </w:r>
      <w:proofErr w:type="spellStart"/>
      <w:r w:rsidRPr="00263307">
        <w:rPr>
          <w:rFonts w:ascii="Book Antiqua" w:hAnsi="Book Antiqua"/>
        </w:rPr>
        <w:t>Konukoglu</w:t>
      </w:r>
      <w:proofErr w:type="spellEnd"/>
      <w:r w:rsidRPr="00263307">
        <w:rPr>
          <w:rFonts w:ascii="Book Antiqua" w:hAnsi="Book Antiqua"/>
        </w:rPr>
        <w:t xml:space="preserve"> D, </w:t>
      </w:r>
      <w:proofErr w:type="spellStart"/>
      <w:r w:rsidRPr="00263307">
        <w:rPr>
          <w:rFonts w:ascii="Book Antiqua" w:hAnsi="Book Antiqua"/>
        </w:rPr>
        <w:t>Şimşek</w:t>
      </w:r>
      <w:proofErr w:type="spellEnd"/>
      <w:r w:rsidRPr="00263307">
        <w:rPr>
          <w:rFonts w:ascii="Book Antiqua" w:hAnsi="Book Antiqua"/>
        </w:rPr>
        <w:t xml:space="preserve"> O, </w:t>
      </w:r>
      <w:proofErr w:type="spellStart"/>
      <w:r w:rsidRPr="00263307">
        <w:rPr>
          <w:rFonts w:ascii="Book Antiqua" w:hAnsi="Book Antiqua"/>
        </w:rPr>
        <w:t>Taner</w:t>
      </w:r>
      <w:proofErr w:type="spellEnd"/>
      <w:r w:rsidRPr="00263307">
        <w:rPr>
          <w:rFonts w:ascii="Book Antiqua" w:hAnsi="Book Antiqua"/>
        </w:rPr>
        <w:t xml:space="preserve"> Z, </w:t>
      </w:r>
      <w:proofErr w:type="spellStart"/>
      <w:r w:rsidRPr="00263307">
        <w:rPr>
          <w:rFonts w:ascii="Book Antiqua" w:hAnsi="Book Antiqua"/>
        </w:rPr>
        <w:t>Sirekbasan</w:t>
      </w:r>
      <w:proofErr w:type="spellEnd"/>
      <w:r w:rsidRPr="00263307">
        <w:rPr>
          <w:rFonts w:ascii="Book Antiqua" w:hAnsi="Book Antiqua"/>
        </w:rPr>
        <w:t xml:space="preserve"> S, </w:t>
      </w:r>
      <w:proofErr w:type="spellStart"/>
      <w:r w:rsidRPr="00263307">
        <w:rPr>
          <w:rFonts w:ascii="Book Antiqua" w:hAnsi="Book Antiqua"/>
        </w:rPr>
        <w:t>Uludağ</w:t>
      </w:r>
      <w:proofErr w:type="spellEnd"/>
      <w:r w:rsidRPr="00263307">
        <w:rPr>
          <w:rFonts w:ascii="Book Antiqua" w:hAnsi="Book Antiqua"/>
        </w:rPr>
        <w:t xml:space="preserve"> SS. Role of Alvarado score and biological indicators of C-reactive protein, </w:t>
      </w:r>
      <w:proofErr w:type="spellStart"/>
      <w:r w:rsidRPr="00263307">
        <w:rPr>
          <w:rFonts w:ascii="Book Antiqua" w:hAnsi="Book Antiqua"/>
        </w:rPr>
        <w:t>procalicitonin</w:t>
      </w:r>
      <w:proofErr w:type="spellEnd"/>
      <w:r w:rsidRPr="00263307">
        <w:rPr>
          <w:rFonts w:ascii="Book Antiqua" w:hAnsi="Book Antiqua"/>
        </w:rPr>
        <w:t xml:space="preserve"> and neopterin in diagnosis of acute appendicitis. </w:t>
      </w:r>
      <w:r w:rsidRPr="00263307">
        <w:rPr>
          <w:rFonts w:ascii="Book Antiqua" w:hAnsi="Book Antiqua"/>
          <w:i/>
        </w:rPr>
        <w:t xml:space="preserve">Ulus </w:t>
      </w:r>
      <w:proofErr w:type="spellStart"/>
      <w:r w:rsidRPr="00263307">
        <w:rPr>
          <w:rFonts w:ascii="Book Antiqua" w:hAnsi="Book Antiqua"/>
          <w:i/>
        </w:rPr>
        <w:t>Travma</w:t>
      </w:r>
      <w:proofErr w:type="spellEnd"/>
      <w:r w:rsidRPr="00263307">
        <w:rPr>
          <w:rFonts w:ascii="Book Antiqua" w:hAnsi="Book Antiqua"/>
          <w:i/>
        </w:rPr>
        <w:t xml:space="preserve"> </w:t>
      </w:r>
      <w:proofErr w:type="spellStart"/>
      <w:r w:rsidRPr="00263307">
        <w:rPr>
          <w:rFonts w:ascii="Book Antiqua" w:hAnsi="Book Antiqua"/>
          <w:i/>
        </w:rPr>
        <w:t>Acil</w:t>
      </w:r>
      <w:proofErr w:type="spellEnd"/>
      <w:r w:rsidRPr="00263307">
        <w:rPr>
          <w:rFonts w:ascii="Book Antiqua" w:hAnsi="Book Antiqua"/>
          <w:i/>
        </w:rPr>
        <w:t xml:space="preserve"> </w:t>
      </w:r>
      <w:proofErr w:type="spellStart"/>
      <w:r w:rsidRPr="00263307">
        <w:rPr>
          <w:rFonts w:ascii="Book Antiqua" w:hAnsi="Book Antiqua"/>
          <w:i/>
        </w:rPr>
        <w:t>Cerrahi</w:t>
      </w:r>
      <w:proofErr w:type="spellEnd"/>
      <w:r w:rsidRPr="00263307">
        <w:rPr>
          <w:rFonts w:ascii="Book Antiqua" w:hAnsi="Book Antiqua"/>
          <w:i/>
        </w:rPr>
        <w:t xml:space="preserve"> </w:t>
      </w:r>
      <w:proofErr w:type="spellStart"/>
      <w:r w:rsidRPr="00263307">
        <w:rPr>
          <w:rFonts w:ascii="Book Antiqua" w:hAnsi="Book Antiqua"/>
          <w:i/>
        </w:rPr>
        <w:t>Derg</w:t>
      </w:r>
      <w:proofErr w:type="spellEnd"/>
      <w:r w:rsidRPr="00263307">
        <w:rPr>
          <w:rFonts w:ascii="Book Antiqua" w:hAnsi="Book Antiqua"/>
        </w:rPr>
        <w:t xml:space="preserve"> 2019; </w:t>
      </w:r>
      <w:r w:rsidRPr="00263307">
        <w:rPr>
          <w:rFonts w:ascii="Book Antiqua" w:hAnsi="Book Antiqua"/>
          <w:b/>
        </w:rPr>
        <w:t>25</w:t>
      </w:r>
      <w:r w:rsidRPr="00263307">
        <w:rPr>
          <w:rFonts w:ascii="Book Antiqua" w:hAnsi="Book Antiqua"/>
        </w:rPr>
        <w:t>: 229-237 [PMID: 31135946 DOI: 10.5505/tjtes.2018.57362]</w:t>
      </w:r>
    </w:p>
    <w:p w14:paraId="5677A5E8"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15 </w:t>
      </w:r>
      <w:r w:rsidRPr="00263307">
        <w:rPr>
          <w:rFonts w:ascii="Book Antiqua" w:hAnsi="Book Antiqua"/>
          <w:b/>
        </w:rPr>
        <w:t>Kim M</w:t>
      </w:r>
      <w:r w:rsidRPr="00263307">
        <w:rPr>
          <w:rFonts w:ascii="Book Antiqua" w:hAnsi="Book Antiqua"/>
        </w:rPr>
        <w:t xml:space="preserve">, Kim SJ, Cho HJ. International normalized ratio and serum C-reactive protein are feasible markers to predict complicated appendicitis. </w:t>
      </w:r>
      <w:r w:rsidRPr="00263307">
        <w:rPr>
          <w:rFonts w:ascii="Book Antiqua" w:hAnsi="Book Antiqua"/>
          <w:i/>
        </w:rPr>
        <w:t xml:space="preserve">World J </w:t>
      </w:r>
      <w:proofErr w:type="spellStart"/>
      <w:r w:rsidRPr="00263307">
        <w:rPr>
          <w:rFonts w:ascii="Book Antiqua" w:hAnsi="Book Antiqua"/>
          <w:i/>
        </w:rPr>
        <w:t>Emerg</w:t>
      </w:r>
      <w:proofErr w:type="spellEnd"/>
      <w:r w:rsidRPr="00263307">
        <w:rPr>
          <w:rFonts w:ascii="Book Antiqua" w:hAnsi="Book Antiqua"/>
          <w:i/>
        </w:rPr>
        <w:t xml:space="preserve"> Surg</w:t>
      </w:r>
      <w:r w:rsidRPr="00263307">
        <w:rPr>
          <w:rFonts w:ascii="Book Antiqua" w:hAnsi="Book Antiqua"/>
        </w:rPr>
        <w:t xml:space="preserve"> 2016; </w:t>
      </w:r>
      <w:r w:rsidRPr="00263307">
        <w:rPr>
          <w:rFonts w:ascii="Book Antiqua" w:hAnsi="Book Antiqua"/>
          <w:b/>
        </w:rPr>
        <w:t>11</w:t>
      </w:r>
      <w:r w:rsidRPr="00263307">
        <w:rPr>
          <w:rFonts w:ascii="Book Antiqua" w:hAnsi="Book Antiqua"/>
        </w:rPr>
        <w:t>: 31 [PMID: 27330547 DOI: 10.1186/s13017-016-0081-6]</w:t>
      </w:r>
    </w:p>
    <w:p w14:paraId="47249557"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16 </w:t>
      </w:r>
      <w:proofErr w:type="spellStart"/>
      <w:r w:rsidRPr="00263307">
        <w:rPr>
          <w:rFonts w:ascii="Book Antiqua" w:hAnsi="Book Antiqua"/>
          <w:b/>
        </w:rPr>
        <w:t>Shogilev</w:t>
      </w:r>
      <w:proofErr w:type="spellEnd"/>
      <w:r w:rsidRPr="00263307">
        <w:rPr>
          <w:rFonts w:ascii="Book Antiqua" w:hAnsi="Book Antiqua"/>
          <w:b/>
        </w:rPr>
        <w:t xml:space="preserve"> DJ</w:t>
      </w:r>
      <w:r w:rsidRPr="00263307">
        <w:rPr>
          <w:rFonts w:ascii="Book Antiqua" w:hAnsi="Book Antiqua"/>
        </w:rPr>
        <w:t xml:space="preserve">, </w:t>
      </w:r>
      <w:proofErr w:type="spellStart"/>
      <w:r w:rsidRPr="00263307">
        <w:rPr>
          <w:rFonts w:ascii="Book Antiqua" w:hAnsi="Book Antiqua"/>
        </w:rPr>
        <w:t>Duus</w:t>
      </w:r>
      <w:proofErr w:type="spellEnd"/>
      <w:r w:rsidRPr="00263307">
        <w:rPr>
          <w:rFonts w:ascii="Book Antiqua" w:hAnsi="Book Antiqua"/>
        </w:rPr>
        <w:t xml:space="preserve"> N, Odom SR, Shapiro NI. Diagnosing appendicitis: evidence-based review of the diagnostic approach in 2014. </w:t>
      </w:r>
      <w:r w:rsidRPr="00263307">
        <w:rPr>
          <w:rFonts w:ascii="Book Antiqua" w:hAnsi="Book Antiqua"/>
          <w:i/>
        </w:rPr>
        <w:t xml:space="preserve">West J </w:t>
      </w:r>
      <w:proofErr w:type="spellStart"/>
      <w:r w:rsidRPr="00263307">
        <w:rPr>
          <w:rFonts w:ascii="Book Antiqua" w:hAnsi="Book Antiqua"/>
          <w:i/>
        </w:rPr>
        <w:t>Emerg</w:t>
      </w:r>
      <w:proofErr w:type="spellEnd"/>
      <w:r w:rsidRPr="00263307">
        <w:rPr>
          <w:rFonts w:ascii="Book Antiqua" w:hAnsi="Book Antiqua"/>
          <w:i/>
        </w:rPr>
        <w:t xml:space="preserve"> Med</w:t>
      </w:r>
      <w:r w:rsidRPr="00263307">
        <w:rPr>
          <w:rFonts w:ascii="Book Antiqua" w:hAnsi="Book Antiqua"/>
        </w:rPr>
        <w:t xml:space="preserve"> 2014; </w:t>
      </w:r>
      <w:r w:rsidRPr="00263307">
        <w:rPr>
          <w:rFonts w:ascii="Book Antiqua" w:hAnsi="Book Antiqua"/>
          <w:b/>
        </w:rPr>
        <w:t>15</w:t>
      </w:r>
      <w:r w:rsidRPr="00263307">
        <w:rPr>
          <w:rFonts w:ascii="Book Antiqua" w:hAnsi="Book Antiqua"/>
        </w:rPr>
        <w:t>: 859-871 [PMID: 25493136 DOI: 10.5811/westjem.2014.9.21568]</w:t>
      </w:r>
    </w:p>
    <w:p w14:paraId="6181FF33" w14:textId="08AF234D"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17 </w:t>
      </w:r>
      <w:proofErr w:type="spellStart"/>
      <w:r w:rsidRPr="00263307">
        <w:rPr>
          <w:rFonts w:ascii="Book Antiqua" w:hAnsi="Book Antiqua"/>
          <w:b/>
        </w:rPr>
        <w:t>Orimo</w:t>
      </w:r>
      <w:proofErr w:type="spellEnd"/>
      <w:r w:rsidRPr="00263307">
        <w:rPr>
          <w:rFonts w:ascii="Book Antiqua" w:hAnsi="Book Antiqua"/>
          <w:b/>
        </w:rPr>
        <w:t xml:space="preserve"> H,</w:t>
      </w:r>
      <w:r w:rsidR="00D62872">
        <w:rPr>
          <w:rFonts w:ascii="Book Antiqua" w:hAnsi="Book Antiqua"/>
        </w:rPr>
        <w:t xml:space="preserve"> </w:t>
      </w:r>
      <w:r w:rsidRPr="00263307">
        <w:rPr>
          <w:rFonts w:ascii="Book Antiqua" w:hAnsi="Book Antiqua"/>
        </w:rPr>
        <w:t xml:space="preserve">Ito H, Suzuki T, Araki A, Hosoi T, </w:t>
      </w:r>
      <w:proofErr w:type="spellStart"/>
      <w:r w:rsidRPr="00263307">
        <w:rPr>
          <w:rFonts w:ascii="Book Antiqua" w:hAnsi="Book Antiqua"/>
        </w:rPr>
        <w:t>Sawabe</w:t>
      </w:r>
      <w:proofErr w:type="spellEnd"/>
      <w:r w:rsidRPr="00263307">
        <w:rPr>
          <w:rFonts w:ascii="Book Antiqua" w:hAnsi="Book Antiqua"/>
        </w:rPr>
        <w:t xml:space="preserve"> M. Reviewi</w:t>
      </w:r>
      <w:r w:rsidR="00B040EF">
        <w:rPr>
          <w:rFonts w:ascii="Book Antiqua" w:hAnsi="Book Antiqua"/>
        </w:rPr>
        <w:t>ng the definition of “elderly</w:t>
      </w:r>
      <w:r w:rsidR="004600B0">
        <w:rPr>
          <w:rFonts w:ascii="Book Antiqua" w:hAnsi="Book Antiqua"/>
        </w:rPr>
        <w:t>”</w:t>
      </w:r>
      <w:r w:rsidR="00B040EF">
        <w:rPr>
          <w:rFonts w:ascii="Book Antiqua" w:eastAsia="宋体" w:hAnsi="Book Antiqua" w:hint="eastAsia"/>
          <w:lang w:eastAsia="zh-CN"/>
        </w:rPr>
        <w:t>.</w:t>
      </w:r>
      <w:r w:rsidR="004600B0">
        <w:rPr>
          <w:rFonts w:ascii="Book Antiqua" w:eastAsia="宋体" w:hAnsi="Book Antiqua" w:hint="eastAsia"/>
          <w:lang w:eastAsia="zh-CN"/>
        </w:rPr>
        <w:t xml:space="preserve"> </w:t>
      </w:r>
      <w:proofErr w:type="spellStart"/>
      <w:r w:rsidRPr="00D62872">
        <w:rPr>
          <w:rFonts w:ascii="Book Antiqua" w:hAnsi="Book Antiqua"/>
          <w:i/>
        </w:rPr>
        <w:t>Geriatr</w:t>
      </w:r>
      <w:proofErr w:type="spellEnd"/>
      <w:r w:rsidRPr="00D62872">
        <w:rPr>
          <w:rFonts w:ascii="Book Antiqua" w:hAnsi="Book Antiqua"/>
          <w:i/>
        </w:rPr>
        <w:t xml:space="preserve"> </w:t>
      </w:r>
      <w:proofErr w:type="spellStart"/>
      <w:r w:rsidRPr="00D62872">
        <w:rPr>
          <w:rFonts w:ascii="Book Antiqua" w:hAnsi="Book Antiqua"/>
          <w:i/>
        </w:rPr>
        <w:t>Gerontol</w:t>
      </w:r>
      <w:proofErr w:type="spellEnd"/>
      <w:r w:rsidRPr="00D62872">
        <w:rPr>
          <w:rFonts w:ascii="Book Antiqua" w:hAnsi="Book Antiqua"/>
          <w:i/>
        </w:rPr>
        <w:t xml:space="preserve"> Int</w:t>
      </w:r>
      <w:r w:rsidRPr="00263307">
        <w:rPr>
          <w:rFonts w:ascii="Book Antiqua" w:hAnsi="Book Antiqua"/>
        </w:rPr>
        <w:t xml:space="preserve"> 2006;</w:t>
      </w:r>
      <w:r w:rsidR="00D62872">
        <w:rPr>
          <w:rFonts w:ascii="Book Antiqua" w:eastAsia="宋体" w:hAnsi="Book Antiqua" w:hint="eastAsia"/>
          <w:lang w:eastAsia="zh-CN"/>
        </w:rPr>
        <w:t xml:space="preserve"> </w:t>
      </w:r>
      <w:r w:rsidRPr="00D62872">
        <w:rPr>
          <w:rFonts w:ascii="Book Antiqua" w:hAnsi="Book Antiqua"/>
          <w:b/>
        </w:rPr>
        <w:t>6</w:t>
      </w:r>
      <w:r w:rsidRPr="00263307">
        <w:rPr>
          <w:rFonts w:ascii="Book Antiqua" w:hAnsi="Book Antiqua"/>
        </w:rPr>
        <w:t>:</w:t>
      </w:r>
      <w:r w:rsidR="00D62872">
        <w:rPr>
          <w:rFonts w:ascii="Book Antiqua" w:eastAsia="宋体" w:hAnsi="Book Antiqua" w:hint="eastAsia"/>
          <w:lang w:eastAsia="zh-CN"/>
        </w:rPr>
        <w:t xml:space="preserve"> </w:t>
      </w:r>
      <w:r w:rsidRPr="00263307">
        <w:rPr>
          <w:rFonts w:ascii="Book Antiqua" w:hAnsi="Book Antiqua"/>
        </w:rPr>
        <w:t>149</w:t>
      </w:r>
      <w:r w:rsidR="005B25C8">
        <w:rPr>
          <w:rFonts w:ascii="Book Antiqua" w:hAnsi="Book Antiqua"/>
        </w:rPr>
        <w:t>-</w:t>
      </w:r>
      <w:r w:rsidR="00D62872">
        <w:rPr>
          <w:rFonts w:ascii="Book Antiqua" w:eastAsia="宋体" w:hAnsi="Book Antiqua" w:hint="eastAsia"/>
          <w:lang w:eastAsia="zh-CN"/>
        </w:rPr>
        <w:t>1</w:t>
      </w:r>
      <w:r w:rsidRPr="00263307">
        <w:rPr>
          <w:rFonts w:ascii="Book Antiqua" w:hAnsi="Book Antiqua"/>
        </w:rPr>
        <w:t>58</w:t>
      </w:r>
      <w:r w:rsidR="00D62872">
        <w:rPr>
          <w:rFonts w:ascii="Book Antiqua" w:eastAsia="宋体" w:hAnsi="Book Antiqua" w:hint="eastAsia"/>
          <w:lang w:eastAsia="zh-CN"/>
        </w:rPr>
        <w:t xml:space="preserve"> </w:t>
      </w:r>
      <w:r w:rsidRPr="00263307">
        <w:rPr>
          <w:rFonts w:ascii="Book Antiqua" w:hAnsi="Book Antiqua"/>
        </w:rPr>
        <w:t>[DOI: 10.1111/j.1447-0594.</w:t>
      </w:r>
      <w:proofErr w:type="gramStart"/>
      <w:r w:rsidRPr="00263307">
        <w:rPr>
          <w:rFonts w:ascii="Book Antiqua" w:hAnsi="Book Antiqua"/>
        </w:rPr>
        <w:t>2006.00341.x</w:t>
      </w:r>
      <w:proofErr w:type="gramEnd"/>
      <w:r w:rsidRPr="00263307">
        <w:rPr>
          <w:rFonts w:ascii="Book Antiqua" w:hAnsi="Book Antiqua"/>
        </w:rPr>
        <w:t>]</w:t>
      </w:r>
    </w:p>
    <w:p w14:paraId="53282423"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lastRenderedPageBreak/>
        <w:t xml:space="preserve">18 </w:t>
      </w:r>
      <w:r w:rsidRPr="00263307">
        <w:rPr>
          <w:rFonts w:ascii="Book Antiqua" w:hAnsi="Book Antiqua"/>
          <w:b/>
        </w:rPr>
        <w:t>Chen SC</w:t>
      </w:r>
      <w:r w:rsidRPr="00263307">
        <w:rPr>
          <w:rFonts w:ascii="Book Antiqua" w:hAnsi="Book Antiqua"/>
        </w:rPr>
        <w:t xml:space="preserve">, Chang KJ, Wei TC, Yu SC, Wang SM. Can </w:t>
      </w:r>
      <w:proofErr w:type="spellStart"/>
      <w:r w:rsidRPr="00263307">
        <w:rPr>
          <w:rFonts w:ascii="Book Antiqua" w:hAnsi="Book Antiqua"/>
        </w:rPr>
        <w:t>cecal</w:t>
      </w:r>
      <w:proofErr w:type="spellEnd"/>
      <w:r w:rsidRPr="00263307">
        <w:rPr>
          <w:rFonts w:ascii="Book Antiqua" w:hAnsi="Book Antiqua"/>
        </w:rPr>
        <w:t xml:space="preserve"> diverticulitis be differentiated from acute appendicitis? </w:t>
      </w:r>
      <w:r w:rsidRPr="00263307">
        <w:rPr>
          <w:rFonts w:ascii="Book Antiqua" w:hAnsi="Book Antiqua"/>
          <w:i/>
        </w:rPr>
        <w:t xml:space="preserve">J </w:t>
      </w:r>
      <w:proofErr w:type="spellStart"/>
      <w:r w:rsidRPr="00263307">
        <w:rPr>
          <w:rFonts w:ascii="Book Antiqua" w:hAnsi="Book Antiqua"/>
          <w:i/>
        </w:rPr>
        <w:t>Formos</w:t>
      </w:r>
      <w:proofErr w:type="spellEnd"/>
      <w:r w:rsidRPr="00263307">
        <w:rPr>
          <w:rFonts w:ascii="Book Antiqua" w:hAnsi="Book Antiqua"/>
          <w:i/>
        </w:rPr>
        <w:t xml:space="preserve"> Med Assoc</w:t>
      </w:r>
      <w:r w:rsidRPr="00263307">
        <w:rPr>
          <w:rFonts w:ascii="Book Antiqua" w:hAnsi="Book Antiqua"/>
        </w:rPr>
        <w:t xml:space="preserve"> 1994; </w:t>
      </w:r>
      <w:r w:rsidRPr="00263307">
        <w:rPr>
          <w:rFonts w:ascii="Book Antiqua" w:hAnsi="Book Antiqua"/>
          <w:b/>
        </w:rPr>
        <w:t>93</w:t>
      </w:r>
      <w:r w:rsidRPr="00263307">
        <w:rPr>
          <w:rFonts w:ascii="Book Antiqua" w:hAnsi="Book Antiqua"/>
        </w:rPr>
        <w:t>: 263-265 [PMID: 7920071]</w:t>
      </w:r>
    </w:p>
    <w:p w14:paraId="45FF4009"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19 </w:t>
      </w:r>
      <w:r w:rsidRPr="00263307">
        <w:rPr>
          <w:rFonts w:ascii="Book Antiqua" w:hAnsi="Book Antiqua"/>
          <w:b/>
        </w:rPr>
        <w:t>Edelman DA</w:t>
      </w:r>
      <w:r w:rsidRPr="00263307">
        <w:rPr>
          <w:rFonts w:ascii="Book Antiqua" w:hAnsi="Book Antiqua"/>
        </w:rPr>
        <w:t xml:space="preserve">, White MT, </w:t>
      </w:r>
      <w:proofErr w:type="spellStart"/>
      <w:r w:rsidRPr="00263307">
        <w:rPr>
          <w:rFonts w:ascii="Book Antiqua" w:hAnsi="Book Antiqua"/>
        </w:rPr>
        <w:t>Tyburski</w:t>
      </w:r>
      <w:proofErr w:type="spellEnd"/>
      <w:r w:rsidRPr="00263307">
        <w:rPr>
          <w:rFonts w:ascii="Book Antiqua" w:hAnsi="Book Antiqua"/>
        </w:rPr>
        <w:t xml:space="preserve"> JG, Wilson RF. Post-traumatic hypotension: should systolic blood pressure of 90-109 mmHg be included? </w:t>
      </w:r>
      <w:r w:rsidRPr="00263307">
        <w:rPr>
          <w:rFonts w:ascii="Book Antiqua" w:hAnsi="Book Antiqua"/>
          <w:i/>
        </w:rPr>
        <w:t>Shock</w:t>
      </w:r>
      <w:r w:rsidRPr="00263307">
        <w:rPr>
          <w:rFonts w:ascii="Book Antiqua" w:hAnsi="Book Antiqua"/>
        </w:rPr>
        <w:t xml:space="preserve"> 2007; </w:t>
      </w:r>
      <w:r w:rsidRPr="00263307">
        <w:rPr>
          <w:rFonts w:ascii="Book Antiqua" w:hAnsi="Book Antiqua"/>
          <w:b/>
        </w:rPr>
        <w:t>27</w:t>
      </w:r>
      <w:r w:rsidRPr="00263307">
        <w:rPr>
          <w:rFonts w:ascii="Book Antiqua" w:hAnsi="Book Antiqua"/>
        </w:rPr>
        <w:t>: 134-138 [PMID: 17224786 DOI: 10.1097/01.shk.0000239772.18151.18]</w:t>
      </w:r>
    </w:p>
    <w:p w14:paraId="6C4873A1"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20 </w:t>
      </w:r>
      <w:r w:rsidRPr="00263307">
        <w:rPr>
          <w:rFonts w:ascii="Book Antiqua" w:hAnsi="Book Antiqua"/>
          <w:b/>
        </w:rPr>
        <w:t>Alvarado A</w:t>
      </w:r>
      <w:r w:rsidRPr="00263307">
        <w:rPr>
          <w:rFonts w:ascii="Book Antiqua" w:hAnsi="Book Antiqua"/>
        </w:rPr>
        <w:t xml:space="preserve">. A practical score for the early diagnosis of acute appendicitis. </w:t>
      </w:r>
      <w:r w:rsidRPr="00263307">
        <w:rPr>
          <w:rFonts w:ascii="Book Antiqua" w:hAnsi="Book Antiqua"/>
          <w:i/>
        </w:rPr>
        <w:t xml:space="preserve">Ann </w:t>
      </w:r>
      <w:proofErr w:type="spellStart"/>
      <w:r w:rsidRPr="00263307">
        <w:rPr>
          <w:rFonts w:ascii="Book Antiqua" w:hAnsi="Book Antiqua"/>
          <w:i/>
        </w:rPr>
        <w:t>Emerg</w:t>
      </w:r>
      <w:proofErr w:type="spellEnd"/>
      <w:r w:rsidRPr="00263307">
        <w:rPr>
          <w:rFonts w:ascii="Book Antiqua" w:hAnsi="Book Antiqua"/>
          <w:i/>
        </w:rPr>
        <w:t xml:space="preserve"> Med</w:t>
      </w:r>
      <w:r w:rsidRPr="00263307">
        <w:rPr>
          <w:rFonts w:ascii="Book Antiqua" w:hAnsi="Book Antiqua"/>
        </w:rPr>
        <w:t xml:space="preserve"> 1986; </w:t>
      </w:r>
      <w:r w:rsidRPr="00263307">
        <w:rPr>
          <w:rFonts w:ascii="Book Antiqua" w:hAnsi="Book Antiqua"/>
          <w:b/>
        </w:rPr>
        <w:t>15</w:t>
      </w:r>
      <w:r w:rsidRPr="00263307">
        <w:rPr>
          <w:rFonts w:ascii="Book Antiqua" w:hAnsi="Book Antiqua"/>
        </w:rPr>
        <w:t>: 557-564 [PMID: 3963537 DOI: 10.1016/S0196-0644(86)80993-3]</w:t>
      </w:r>
    </w:p>
    <w:p w14:paraId="3288E9F1"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21 </w:t>
      </w:r>
      <w:proofErr w:type="spellStart"/>
      <w:r w:rsidRPr="00263307">
        <w:rPr>
          <w:rFonts w:ascii="Book Antiqua" w:hAnsi="Book Antiqua"/>
          <w:b/>
        </w:rPr>
        <w:t>Kwo</w:t>
      </w:r>
      <w:proofErr w:type="spellEnd"/>
      <w:r w:rsidRPr="00263307">
        <w:rPr>
          <w:rFonts w:ascii="Book Antiqua" w:hAnsi="Book Antiqua"/>
          <w:b/>
        </w:rPr>
        <w:t xml:space="preserve"> PY</w:t>
      </w:r>
      <w:r w:rsidRPr="00263307">
        <w:rPr>
          <w:rFonts w:ascii="Book Antiqua" w:hAnsi="Book Antiqua"/>
        </w:rPr>
        <w:t xml:space="preserve">, Cohen SM, Lim JK. ACG Clinical Guideline: Evaluation of Abnormal Liver Chemistries. </w:t>
      </w:r>
      <w:r w:rsidRPr="00263307">
        <w:rPr>
          <w:rFonts w:ascii="Book Antiqua" w:hAnsi="Book Antiqua"/>
          <w:i/>
        </w:rPr>
        <w:t>Am J Gastroenterol</w:t>
      </w:r>
      <w:r w:rsidRPr="00263307">
        <w:rPr>
          <w:rFonts w:ascii="Book Antiqua" w:hAnsi="Book Antiqua"/>
        </w:rPr>
        <w:t xml:space="preserve"> 2017; </w:t>
      </w:r>
      <w:r w:rsidRPr="00263307">
        <w:rPr>
          <w:rFonts w:ascii="Book Antiqua" w:hAnsi="Book Antiqua"/>
          <w:b/>
        </w:rPr>
        <w:t>112</w:t>
      </w:r>
      <w:r w:rsidRPr="00263307">
        <w:rPr>
          <w:rFonts w:ascii="Book Antiqua" w:hAnsi="Book Antiqua"/>
        </w:rPr>
        <w:t>: 18-35 [PMID: 27995906 DOI: 10.1038/ajg.2016.517]</w:t>
      </w:r>
    </w:p>
    <w:p w14:paraId="49837F2B" w14:textId="150A72B8"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22 Chapter 1: Definition and classification of CKD. </w:t>
      </w:r>
      <w:r w:rsidRPr="00263307">
        <w:rPr>
          <w:rFonts w:ascii="Book Antiqua" w:hAnsi="Book Antiqua"/>
          <w:i/>
        </w:rPr>
        <w:t>Kidney Int Suppl (2011)</w:t>
      </w:r>
      <w:r w:rsidRPr="00263307">
        <w:rPr>
          <w:rFonts w:ascii="Book Antiqua" w:hAnsi="Book Antiqua"/>
        </w:rPr>
        <w:t xml:space="preserve"> 2013; </w:t>
      </w:r>
      <w:r w:rsidRPr="00263307">
        <w:rPr>
          <w:rFonts w:ascii="Book Antiqua" w:hAnsi="Book Antiqua"/>
          <w:b/>
        </w:rPr>
        <w:t>3</w:t>
      </w:r>
      <w:r w:rsidRPr="00263307">
        <w:rPr>
          <w:rFonts w:ascii="Book Antiqua" w:hAnsi="Book Antiqua"/>
        </w:rPr>
        <w:t>: 19-62 [PMID: 25018975 DOI: 10.1038/kisup.2012.64]</w:t>
      </w:r>
    </w:p>
    <w:p w14:paraId="54B26C70"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23 </w:t>
      </w:r>
      <w:proofErr w:type="spellStart"/>
      <w:r w:rsidRPr="00263307">
        <w:rPr>
          <w:rFonts w:ascii="Book Antiqua" w:hAnsi="Book Antiqua"/>
          <w:b/>
        </w:rPr>
        <w:t>Yazar</w:t>
      </w:r>
      <w:proofErr w:type="spellEnd"/>
      <w:r w:rsidRPr="00263307">
        <w:rPr>
          <w:rFonts w:ascii="Book Antiqua" w:hAnsi="Book Antiqua"/>
          <w:b/>
        </w:rPr>
        <w:t xml:space="preserve"> FM</w:t>
      </w:r>
      <w:r w:rsidRPr="00263307">
        <w:rPr>
          <w:rFonts w:ascii="Book Antiqua" w:hAnsi="Book Antiqua"/>
        </w:rPr>
        <w:t xml:space="preserve">, </w:t>
      </w:r>
      <w:proofErr w:type="spellStart"/>
      <w:r w:rsidRPr="00263307">
        <w:rPr>
          <w:rFonts w:ascii="Book Antiqua" w:hAnsi="Book Antiqua"/>
        </w:rPr>
        <w:t>Urfalioglu</w:t>
      </w:r>
      <w:proofErr w:type="spellEnd"/>
      <w:r w:rsidRPr="00263307">
        <w:rPr>
          <w:rFonts w:ascii="Book Antiqua" w:hAnsi="Book Antiqua"/>
        </w:rPr>
        <w:t xml:space="preserve"> A, </w:t>
      </w:r>
      <w:proofErr w:type="spellStart"/>
      <w:r w:rsidRPr="00263307">
        <w:rPr>
          <w:rFonts w:ascii="Book Antiqua" w:hAnsi="Book Antiqua"/>
        </w:rPr>
        <w:t>Bakacak</w:t>
      </w:r>
      <w:proofErr w:type="spellEnd"/>
      <w:r w:rsidRPr="00263307">
        <w:rPr>
          <w:rFonts w:ascii="Book Antiqua" w:hAnsi="Book Antiqua"/>
        </w:rPr>
        <w:t xml:space="preserve"> M, </w:t>
      </w:r>
      <w:proofErr w:type="spellStart"/>
      <w:r w:rsidRPr="00263307">
        <w:rPr>
          <w:rFonts w:ascii="Book Antiqua" w:hAnsi="Book Antiqua"/>
        </w:rPr>
        <w:t>Boran</w:t>
      </w:r>
      <w:proofErr w:type="spellEnd"/>
      <w:r w:rsidRPr="00263307">
        <w:rPr>
          <w:rFonts w:ascii="Book Antiqua" w:hAnsi="Book Antiqua"/>
        </w:rPr>
        <w:t xml:space="preserve"> ÖF, </w:t>
      </w:r>
      <w:proofErr w:type="spellStart"/>
      <w:r w:rsidRPr="00263307">
        <w:rPr>
          <w:rFonts w:ascii="Book Antiqua" w:hAnsi="Book Antiqua"/>
        </w:rPr>
        <w:t>Bülbüloğlu</w:t>
      </w:r>
      <w:proofErr w:type="spellEnd"/>
      <w:r w:rsidRPr="00263307">
        <w:rPr>
          <w:rFonts w:ascii="Book Antiqua" w:hAnsi="Book Antiqua"/>
        </w:rPr>
        <w:t xml:space="preserve"> E. Efficacy of the Evaluation of Inflammatory Markers for the Reduction of Negative Appendectomy Rates. </w:t>
      </w:r>
      <w:r w:rsidRPr="00263307">
        <w:rPr>
          <w:rFonts w:ascii="Book Antiqua" w:hAnsi="Book Antiqua"/>
          <w:i/>
        </w:rPr>
        <w:t>Indian J Surg</w:t>
      </w:r>
      <w:r w:rsidRPr="00263307">
        <w:rPr>
          <w:rFonts w:ascii="Book Antiqua" w:hAnsi="Book Antiqua"/>
        </w:rPr>
        <w:t xml:space="preserve"> 2018; </w:t>
      </w:r>
      <w:r w:rsidRPr="00263307">
        <w:rPr>
          <w:rFonts w:ascii="Book Antiqua" w:hAnsi="Book Antiqua"/>
          <w:b/>
        </w:rPr>
        <w:t>80</w:t>
      </w:r>
      <w:r w:rsidRPr="00263307">
        <w:rPr>
          <w:rFonts w:ascii="Book Antiqua" w:hAnsi="Book Antiqua"/>
        </w:rPr>
        <w:t>: 61-67 [PMID: 29581687 DOI: 10.1007/s12262-016-1558-y]</w:t>
      </w:r>
    </w:p>
    <w:p w14:paraId="5BF6DA08"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24 </w:t>
      </w:r>
      <w:r w:rsidRPr="00263307">
        <w:rPr>
          <w:rFonts w:ascii="Book Antiqua" w:hAnsi="Book Antiqua"/>
          <w:b/>
        </w:rPr>
        <w:t>Ahmed N</w:t>
      </w:r>
      <w:r w:rsidRPr="00263307">
        <w:rPr>
          <w:rFonts w:ascii="Book Antiqua" w:hAnsi="Book Antiqua"/>
        </w:rPr>
        <w:t xml:space="preserve">. C-Reactive Protein: An Aid </w:t>
      </w:r>
      <w:proofErr w:type="gramStart"/>
      <w:r w:rsidRPr="00263307">
        <w:rPr>
          <w:rFonts w:ascii="Book Antiqua" w:hAnsi="Book Antiqua"/>
        </w:rPr>
        <w:t>For</w:t>
      </w:r>
      <w:proofErr w:type="gramEnd"/>
      <w:r w:rsidRPr="00263307">
        <w:rPr>
          <w:rFonts w:ascii="Book Antiqua" w:hAnsi="Book Antiqua"/>
        </w:rPr>
        <w:t xml:space="preserve"> Diagnosis Of Acute Appendicitis. </w:t>
      </w:r>
      <w:r w:rsidRPr="00263307">
        <w:rPr>
          <w:rFonts w:ascii="Book Antiqua" w:hAnsi="Book Antiqua"/>
          <w:i/>
        </w:rPr>
        <w:t xml:space="preserve">J </w:t>
      </w:r>
      <w:proofErr w:type="spellStart"/>
      <w:r w:rsidRPr="00263307">
        <w:rPr>
          <w:rFonts w:ascii="Book Antiqua" w:hAnsi="Book Antiqua"/>
          <w:i/>
        </w:rPr>
        <w:t>Ayub</w:t>
      </w:r>
      <w:proofErr w:type="spellEnd"/>
      <w:r w:rsidRPr="00263307">
        <w:rPr>
          <w:rFonts w:ascii="Book Antiqua" w:hAnsi="Book Antiqua"/>
          <w:i/>
        </w:rPr>
        <w:t xml:space="preserve"> Med Coll Abbottabad</w:t>
      </w:r>
      <w:r w:rsidRPr="00263307">
        <w:rPr>
          <w:rFonts w:ascii="Book Antiqua" w:hAnsi="Book Antiqua"/>
        </w:rPr>
        <w:t xml:space="preserve"> 2017; </w:t>
      </w:r>
      <w:r w:rsidRPr="00263307">
        <w:rPr>
          <w:rFonts w:ascii="Book Antiqua" w:hAnsi="Book Antiqua"/>
          <w:b/>
        </w:rPr>
        <w:t>29</w:t>
      </w:r>
      <w:r w:rsidRPr="00263307">
        <w:rPr>
          <w:rFonts w:ascii="Book Antiqua" w:hAnsi="Book Antiqua"/>
        </w:rPr>
        <w:t>: 250-253 [PMID: 28718241]</w:t>
      </w:r>
    </w:p>
    <w:p w14:paraId="28173A7A"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25 </w:t>
      </w:r>
      <w:proofErr w:type="spellStart"/>
      <w:r w:rsidRPr="00263307">
        <w:rPr>
          <w:rFonts w:ascii="Book Antiqua" w:hAnsi="Book Antiqua"/>
          <w:b/>
        </w:rPr>
        <w:t>Adrogué</w:t>
      </w:r>
      <w:proofErr w:type="spellEnd"/>
      <w:r w:rsidRPr="00263307">
        <w:rPr>
          <w:rFonts w:ascii="Book Antiqua" w:hAnsi="Book Antiqua"/>
          <w:b/>
        </w:rPr>
        <w:t xml:space="preserve"> HJ</w:t>
      </w:r>
      <w:r w:rsidRPr="00263307">
        <w:rPr>
          <w:rFonts w:ascii="Book Antiqua" w:hAnsi="Book Antiqua"/>
        </w:rPr>
        <w:t xml:space="preserve">, </w:t>
      </w:r>
      <w:proofErr w:type="spellStart"/>
      <w:r w:rsidRPr="00263307">
        <w:rPr>
          <w:rFonts w:ascii="Book Antiqua" w:hAnsi="Book Antiqua"/>
        </w:rPr>
        <w:t>Madias</w:t>
      </w:r>
      <w:proofErr w:type="spellEnd"/>
      <w:r w:rsidRPr="00263307">
        <w:rPr>
          <w:rFonts w:ascii="Book Antiqua" w:hAnsi="Book Antiqua"/>
        </w:rPr>
        <w:t xml:space="preserve"> NE. Hyponatremia. </w:t>
      </w:r>
      <w:r w:rsidRPr="00263307">
        <w:rPr>
          <w:rFonts w:ascii="Book Antiqua" w:hAnsi="Book Antiqua"/>
          <w:i/>
        </w:rPr>
        <w:t xml:space="preserve">N </w:t>
      </w:r>
      <w:proofErr w:type="spellStart"/>
      <w:r w:rsidRPr="00263307">
        <w:rPr>
          <w:rFonts w:ascii="Book Antiqua" w:hAnsi="Book Antiqua"/>
          <w:i/>
        </w:rPr>
        <w:t>Engl</w:t>
      </w:r>
      <w:proofErr w:type="spellEnd"/>
      <w:r w:rsidRPr="00263307">
        <w:rPr>
          <w:rFonts w:ascii="Book Antiqua" w:hAnsi="Book Antiqua"/>
          <w:i/>
        </w:rPr>
        <w:t xml:space="preserve"> J Med</w:t>
      </w:r>
      <w:r w:rsidRPr="00263307">
        <w:rPr>
          <w:rFonts w:ascii="Book Antiqua" w:hAnsi="Book Antiqua"/>
        </w:rPr>
        <w:t xml:space="preserve"> 2000; </w:t>
      </w:r>
      <w:r w:rsidRPr="00263307">
        <w:rPr>
          <w:rFonts w:ascii="Book Antiqua" w:hAnsi="Book Antiqua"/>
          <w:b/>
        </w:rPr>
        <w:t>342</w:t>
      </w:r>
      <w:r w:rsidRPr="00263307">
        <w:rPr>
          <w:rFonts w:ascii="Book Antiqua" w:hAnsi="Book Antiqua"/>
        </w:rPr>
        <w:t>: 1581-1589 [PMID: 10824078 DOI: 10.1056/NEJM200005253422107]</w:t>
      </w:r>
    </w:p>
    <w:p w14:paraId="1E2B1E6F"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26 </w:t>
      </w:r>
      <w:r w:rsidRPr="00263307">
        <w:rPr>
          <w:rFonts w:ascii="Book Antiqua" w:hAnsi="Book Antiqua"/>
          <w:b/>
        </w:rPr>
        <w:t>DeLong ER</w:t>
      </w:r>
      <w:r w:rsidRPr="00263307">
        <w:rPr>
          <w:rFonts w:ascii="Book Antiqua" w:hAnsi="Book Antiqua"/>
        </w:rPr>
        <w:t xml:space="preserve">, DeLong DM, Clarke-Pearson DL. Comparing the areas under two or more correlated receiver operating characteristic curves: a nonparametric approach. </w:t>
      </w:r>
      <w:r w:rsidRPr="00263307">
        <w:rPr>
          <w:rFonts w:ascii="Book Antiqua" w:hAnsi="Book Antiqua"/>
          <w:i/>
        </w:rPr>
        <w:t>Biometrics</w:t>
      </w:r>
      <w:r w:rsidRPr="00263307">
        <w:rPr>
          <w:rFonts w:ascii="Book Antiqua" w:hAnsi="Book Antiqua"/>
        </w:rPr>
        <w:t xml:space="preserve"> 1988; </w:t>
      </w:r>
      <w:r w:rsidRPr="00263307">
        <w:rPr>
          <w:rFonts w:ascii="Book Antiqua" w:hAnsi="Book Antiqua"/>
          <w:b/>
        </w:rPr>
        <w:t>44</w:t>
      </w:r>
      <w:r w:rsidRPr="00263307">
        <w:rPr>
          <w:rFonts w:ascii="Book Antiqua" w:hAnsi="Book Antiqua"/>
        </w:rPr>
        <w:t>: 837-845 [PMID: 3203132]</w:t>
      </w:r>
    </w:p>
    <w:p w14:paraId="773B4011"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27 </w:t>
      </w:r>
      <w:r w:rsidRPr="00263307">
        <w:rPr>
          <w:rFonts w:ascii="Book Antiqua" w:hAnsi="Book Antiqua"/>
          <w:b/>
        </w:rPr>
        <w:t>March B</w:t>
      </w:r>
      <w:r w:rsidRPr="00263307">
        <w:rPr>
          <w:rFonts w:ascii="Book Antiqua" w:hAnsi="Book Antiqua"/>
        </w:rPr>
        <w:t xml:space="preserve">, Leigh L, </w:t>
      </w:r>
      <w:proofErr w:type="spellStart"/>
      <w:r w:rsidRPr="00263307">
        <w:rPr>
          <w:rFonts w:ascii="Book Antiqua" w:hAnsi="Book Antiqua"/>
        </w:rPr>
        <w:t>Brussius</w:t>
      </w:r>
      <w:proofErr w:type="spellEnd"/>
      <w:r w:rsidRPr="00263307">
        <w:rPr>
          <w:rFonts w:ascii="Book Antiqua" w:hAnsi="Book Antiqua"/>
        </w:rPr>
        <w:t xml:space="preserve">-Coelho M, Holmes M, </w:t>
      </w:r>
      <w:proofErr w:type="spellStart"/>
      <w:r w:rsidRPr="00263307">
        <w:rPr>
          <w:rFonts w:ascii="Book Antiqua" w:hAnsi="Book Antiqua"/>
        </w:rPr>
        <w:t>Pockney</w:t>
      </w:r>
      <w:proofErr w:type="spellEnd"/>
      <w:r w:rsidRPr="00263307">
        <w:rPr>
          <w:rFonts w:ascii="Book Antiqua" w:hAnsi="Book Antiqua"/>
        </w:rPr>
        <w:t xml:space="preserve"> P, </w:t>
      </w:r>
      <w:proofErr w:type="spellStart"/>
      <w:r w:rsidRPr="00263307">
        <w:rPr>
          <w:rFonts w:ascii="Book Antiqua" w:hAnsi="Book Antiqua"/>
        </w:rPr>
        <w:t>Gani</w:t>
      </w:r>
      <w:proofErr w:type="spellEnd"/>
      <w:r w:rsidRPr="00263307">
        <w:rPr>
          <w:rFonts w:ascii="Book Antiqua" w:hAnsi="Book Antiqua"/>
        </w:rPr>
        <w:t xml:space="preserve"> J. Can CRP velocity in right iliac fossa pain identify patients for intervention? A </w:t>
      </w:r>
      <w:r w:rsidRPr="00263307">
        <w:rPr>
          <w:rFonts w:ascii="Book Antiqua" w:hAnsi="Book Antiqua"/>
        </w:rPr>
        <w:lastRenderedPageBreak/>
        <w:t xml:space="preserve">prospective observational cohort study. </w:t>
      </w:r>
      <w:r w:rsidRPr="00263307">
        <w:rPr>
          <w:rFonts w:ascii="Book Antiqua" w:hAnsi="Book Antiqua"/>
          <w:i/>
        </w:rPr>
        <w:t>Surgeon</w:t>
      </w:r>
      <w:r w:rsidRPr="00263307">
        <w:rPr>
          <w:rFonts w:ascii="Book Antiqua" w:hAnsi="Book Antiqua"/>
        </w:rPr>
        <w:t xml:space="preserve"> 2019; </w:t>
      </w:r>
      <w:r w:rsidRPr="00263307">
        <w:rPr>
          <w:rFonts w:ascii="Book Antiqua" w:hAnsi="Book Antiqua"/>
          <w:b/>
        </w:rPr>
        <w:t>17</w:t>
      </w:r>
      <w:r w:rsidRPr="00263307">
        <w:rPr>
          <w:rFonts w:ascii="Book Antiqua" w:hAnsi="Book Antiqua"/>
        </w:rPr>
        <w:t>: 284-290 [PMID: 30309747 DOI: 10.1016/j.surge.2018.08.007]</w:t>
      </w:r>
    </w:p>
    <w:p w14:paraId="3715D1C6" w14:textId="77777777" w:rsidR="00263307" w:rsidRPr="00263307" w:rsidRDefault="00263307" w:rsidP="00263307">
      <w:pPr>
        <w:adjustRightInd w:val="0"/>
        <w:snapToGrid w:val="0"/>
        <w:spacing w:line="360" w:lineRule="auto"/>
        <w:jc w:val="both"/>
        <w:rPr>
          <w:rFonts w:ascii="Book Antiqua" w:hAnsi="Book Antiqua"/>
        </w:rPr>
      </w:pPr>
      <w:r w:rsidRPr="00263307">
        <w:rPr>
          <w:rFonts w:ascii="Book Antiqua" w:hAnsi="Book Antiqua"/>
        </w:rPr>
        <w:t xml:space="preserve">28 </w:t>
      </w:r>
      <w:r w:rsidRPr="00263307">
        <w:rPr>
          <w:rFonts w:ascii="Book Antiqua" w:hAnsi="Book Antiqua"/>
          <w:b/>
        </w:rPr>
        <w:t>Perez KS</w:t>
      </w:r>
      <w:r w:rsidRPr="00263307">
        <w:rPr>
          <w:rFonts w:ascii="Book Antiqua" w:hAnsi="Book Antiqua"/>
        </w:rPr>
        <w:t xml:space="preserve">, Allen SR. Complicated appendicitis and considerations for interval appendectomy. </w:t>
      </w:r>
      <w:r w:rsidRPr="00263307">
        <w:rPr>
          <w:rFonts w:ascii="Book Antiqua" w:hAnsi="Book Antiqua"/>
          <w:i/>
        </w:rPr>
        <w:t>JAAPA</w:t>
      </w:r>
      <w:r w:rsidRPr="00263307">
        <w:rPr>
          <w:rFonts w:ascii="Book Antiqua" w:hAnsi="Book Antiqua"/>
        </w:rPr>
        <w:t xml:space="preserve"> 2018; </w:t>
      </w:r>
      <w:r w:rsidRPr="00263307">
        <w:rPr>
          <w:rFonts w:ascii="Book Antiqua" w:hAnsi="Book Antiqua"/>
          <w:b/>
        </w:rPr>
        <w:t>31</w:t>
      </w:r>
      <w:r w:rsidRPr="00263307">
        <w:rPr>
          <w:rFonts w:ascii="Book Antiqua" w:hAnsi="Book Antiqua"/>
        </w:rPr>
        <w:t>: 35-41 [PMID: 30153202 DOI: 10.1097/01.JAA.0000544304.30954.40]</w:t>
      </w:r>
    </w:p>
    <w:p w14:paraId="76A5430D" w14:textId="55D4E445" w:rsidR="006A0917" w:rsidRPr="00263307" w:rsidRDefault="00263307" w:rsidP="00263307">
      <w:pPr>
        <w:adjustRightInd w:val="0"/>
        <w:snapToGrid w:val="0"/>
        <w:spacing w:line="360" w:lineRule="auto"/>
        <w:jc w:val="both"/>
        <w:rPr>
          <w:rFonts w:ascii="Book Antiqua" w:eastAsia="宋体" w:hAnsi="Book Antiqua" w:cs="Times New Roman"/>
          <w:b/>
          <w:color w:val="000000" w:themeColor="text1"/>
          <w:lang w:eastAsia="zh-CN"/>
        </w:rPr>
      </w:pPr>
      <w:r w:rsidRPr="00263307">
        <w:rPr>
          <w:rFonts w:ascii="Book Antiqua" w:hAnsi="Book Antiqua"/>
        </w:rPr>
        <w:t xml:space="preserve">29 </w:t>
      </w:r>
      <w:proofErr w:type="spellStart"/>
      <w:r w:rsidRPr="00263307">
        <w:rPr>
          <w:rFonts w:ascii="Book Antiqua" w:hAnsi="Book Antiqua"/>
          <w:b/>
        </w:rPr>
        <w:t>Flum</w:t>
      </w:r>
      <w:proofErr w:type="spellEnd"/>
      <w:r w:rsidRPr="00263307">
        <w:rPr>
          <w:rFonts w:ascii="Book Antiqua" w:hAnsi="Book Antiqua"/>
          <w:b/>
        </w:rPr>
        <w:t xml:space="preserve"> DR</w:t>
      </w:r>
      <w:r w:rsidRPr="00263307">
        <w:rPr>
          <w:rFonts w:ascii="Book Antiqua" w:hAnsi="Book Antiqua"/>
        </w:rPr>
        <w:t xml:space="preserve">. Clinical practice. Acute appendicitis--appendectomy or the "antibiotics first" strategy. </w:t>
      </w:r>
      <w:r w:rsidRPr="00263307">
        <w:rPr>
          <w:rFonts w:ascii="Book Antiqua" w:hAnsi="Book Antiqua"/>
          <w:i/>
        </w:rPr>
        <w:t xml:space="preserve">N </w:t>
      </w:r>
      <w:proofErr w:type="spellStart"/>
      <w:r w:rsidRPr="00263307">
        <w:rPr>
          <w:rFonts w:ascii="Book Antiqua" w:hAnsi="Book Antiqua"/>
          <w:i/>
        </w:rPr>
        <w:t>Engl</w:t>
      </w:r>
      <w:proofErr w:type="spellEnd"/>
      <w:r w:rsidRPr="00263307">
        <w:rPr>
          <w:rFonts w:ascii="Book Antiqua" w:hAnsi="Book Antiqua"/>
          <w:i/>
        </w:rPr>
        <w:t xml:space="preserve"> J Med</w:t>
      </w:r>
      <w:r w:rsidRPr="00263307">
        <w:rPr>
          <w:rFonts w:ascii="Book Antiqua" w:hAnsi="Book Antiqua"/>
        </w:rPr>
        <w:t xml:space="preserve"> 2015; </w:t>
      </w:r>
      <w:r w:rsidRPr="00263307">
        <w:rPr>
          <w:rFonts w:ascii="Book Antiqua" w:hAnsi="Book Antiqua"/>
          <w:b/>
        </w:rPr>
        <w:t>372</w:t>
      </w:r>
      <w:r w:rsidRPr="00263307">
        <w:rPr>
          <w:rFonts w:ascii="Book Antiqua" w:hAnsi="Book Antiqua"/>
        </w:rPr>
        <w:t>: 1937-1943 [PMID: 25970051 DOI: 10.1056/NEJMcp1215006]</w:t>
      </w:r>
    </w:p>
    <w:p w14:paraId="581747C9" w14:textId="1029CEBA" w:rsidR="00C93359" w:rsidRPr="00263307" w:rsidRDefault="00C93359" w:rsidP="00263307">
      <w:pPr>
        <w:adjustRightInd w:val="0"/>
        <w:snapToGrid w:val="0"/>
        <w:spacing w:line="360" w:lineRule="auto"/>
        <w:jc w:val="both"/>
        <w:rPr>
          <w:rFonts w:ascii="Book Antiqua" w:eastAsia="宋体" w:hAnsi="Book Antiqua" w:cs="Times New Roman"/>
          <w:b/>
          <w:color w:val="000000" w:themeColor="text1"/>
          <w:lang w:eastAsia="zh-CN"/>
        </w:rPr>
      </w:pPr>
      <w:r w:rsidRPr="00263307">
        <w:rPr>
          <w:rFonts w:ascii="Book Antiqua" w:eastAsia="宋体" w:hAnsi="Book Antiqua" w:cs="Times New Roman"/>
          <w:b/>
          <w:color w:val="000000" w:themeColor="text1"/>
          <w:lang w:eastAsia="zh-CN"/>
        </w:rPr>
        <w:br w:type="page"/>
      </w:r>
    </w:p>
    <w:p w14:paraId="02058BF3" w14:textId="2A341F2F" w:rsidR="00504FAD" w:rsidRPr="00263307" w:rsidRDefault="00504FAD" w:rsidP="00263307">
      <w:pPr>
        <w:adjustRightInd w:val="0"/>
        <w:snapToGrid w:val="0"/>
        <w:spacing w:line="360" w:lineRule="auto"/>
        <w:jc w:val="both"/>
        <w:rPr>
          <w:rFonts w:ascii="Book Antiqua" w:eastAsia="宋体" w:hAnsi="Book Antiqua" w:cs="Times New Roman"/>
          <w:b/>
          <w:color w:val="000000" w:themeColor="text1"/>
          <w:lang w:eastAsia="zh-CN"/>
        </w:rPr>
      </w:pPr>
      <w:r w:rsidRPr="00263307">
        <w:rPr>
          <w:rFonts w:ascii="Book Antiqua" w:hAnsi="Book Antiqua"/>
          <w:b/>
        </w:rPr>
        <w:lastRenderedPageBreak/>
        <w:t>Footnotes</w:t>
      </w:r>
    </w:p>
    <w:p w14:paraId="79CE2082" w14:textId="22CC3C4C" w:rsidR="006A0917" w:rsidRPr="00263307" w:rsidRDefault="006A0917" w:rsidP="00263307">
      <w:pPr>
        <w:adjustRightInd w:val="0"/>
        <w:snapToGrid w:val="0"/>
        <w:spacing w:line="360" w:lineRule="auto"/>
        <w:jc w:val="both"/>
        <w:rPr>
          <w:rFonts w:ascii="Book Antiqua" w:hAnsi="Book Antiqua" w:cs="Times New Roman"/>
          <w:b/>
          <w:color w:val="000000" w:themeColor="text1"/>
        </w:rPr>
      </w:pPr>
      <w:r w:rsidRPr="00263307">
        <w:rPr>
          <w:rFonts w:ascii="Book Antiqua" w:hAnsi="Book Antiqua" w:cs="Times New Roman"/>
          <w:b/>
          <w:color w:val="000000" w:themeColor="text1"/>
        </w:rPr>
        <w:t>Institutional review board statement:</w:t>
      </w:r>
      <w:r w:rsidR="00504FAD" w:rsidRPr="00263307">
        <w:rPr>
          <w:rFonts w:ascii="Book Antiqua" w:eastAsia="宋体" w:hAnsi="Book Antiqua" w:cs="Times New Roman"/>
          <w:b/>
          <w:color w:val="000000" w:themeColor="text1"/>
          <w:lang w:eastAsia="zh-CN"/>
        </w:rPr>
        <w:t xml:space="preserve"> </w:t>
      </w:r>
      <w:r w:rsidRPr="00263307">
        <w:rPr>
          <w:rFonts w:ascii="Book Antiqua" w:hAnsi="Book Antiqua" w:cs="Times New Roman"/>
          <w:color w:val="000000" w:themeColor="text1"/>
        </w:rPr>
        <w:t>The ethics committee of Toho University Medical Center Omori Hospital approved the study’s protocol (M19023).</w:t>
      </w:r>
    </w:p>
    <w:p w14:paraId="73C202B3" w14:textId="77777777" w:rsidR="006A0917" w:rsidRPr="00263307" w:rsidRDefault="006A0917" w:rsidP="00263307">
      <w:pPr>
        <w:adjustRightInd w:val="0"/>
        <w:snapToGrid w:val="0"/>
        <w:spacing w:line="360" w:lineRule="auto"/>
        <w:jc w:val="both"/>
        <w:rPr>
          <w:rFonts w:ascii="Book Antiqua" w:hAnsi="Book Antiqua" w:cs="Times New Roman"/>
          <w:b/>
          <w:color w:val="000000" w:themeColor="text1"/>
        </w:rPr>
      </w:pPr>
    </w:p>
    <w:p w14:paraId="7DCCAC44" w14:textId="2A123836" w:rsidR="006A0917" w:rsidRPr="00263307" w:rsidRDefault="006A0917"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cs="Times New Roman"/>
          <w:b/>
          <w:color w:val="000000" w:themeColor="text1"/>
        </w:rPr>
        <w:t>Informed consent statement:</w:t>
      </w:r>
      <w:r w:rsidR="00504FAD" w:rsidRPr="00263307">
        <w:rPr>
          <w:rFonts w:ascii="Book Antiqua" w:eastAsia="宋体" w:hAnsi="Book Antiqua" w:cs="Times New Roman"/>
          <w:b/>
          <w:color w:val="000000" w:themeColor="text1"/>
          <w:lang w:eastAsia="zh-CN"/>
        </w:rPr>
        <w:t xml:space="preserve"> </w:t>
      </w:r>
      <w:r w:rsidRPr="00263307">
        <w:rPr>
          <w:rFonts w:ascii="Book Antiqua" w:hAnsi="Book Antiqua" w:cs="Times New Roman"/>
          <w:color w:val="000000" w:themeColor="text1"/>
        </w:rPr>
        <w:t>The center’s ethics committee approved the waiver of individual informed consent subject to public announcement of the research because of the retrospectiv</w:t>
      </w:r>
      <w:r w:rsidR="00504FAD" w:rsidRPr="00263307">
        <w:rPr>
          <w:rFonts w:ascii="Book Antiqua" w:hAnsi="Book Antiqua" w:cs="Times New Roman"/>
          <w:color w:val="000000" w:themeColor="text1"/>
        </w:rPr>
        <w:t>e and noninvasive study design.</w:t>
      </w:r>
    </w:p>
    <w:p w14:paraId="2FF99BAC" w14:textId="77777777" w:rsidR="006A0917" w:rsidRPr="00263307" w:rsidRDefault="006A0917" w:rsidP="00263307">
      <w:pPr>
        <w:adjustRightInd w:val="0"/>
        <w:snapToGrid w:val="0"/>
        <w:spacing w:line="360" w:lineRule="auto"/>
        <w:jc w:val="both"/>
        <w:rPr>
          <w:rFonts w:ascii="Book Antiqua" w:hAnsi="Book Antiqua" w:cs="Times New Roman"/>
          <w:b/>
          <w:color w:val="000000" w:themeColor="text1"/>
        </w:rPr>
      </w:pPr>
    </w:p>
    <w:p w14:paraId="15D5EFC7" w14:textId="77777777" w:rsidR="006A0917" w:rsidRPr="00263307" w:rsidRDefault="006A0917"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b/>
          <w:color w:val="000000" w:themeColor="text1"/>
        </w:rPr>
        <w:t xml:space="preserve">Conflicts of interest statement: </w:t>
      </w:r>
      <w:r w:rsidRPr="00263307">
        <w:rPr>
          <w:rFonts w:ascii="Book Antiqua" w:hAnsi="Book Antiqua" w:cs="Times New Roman"/>
          <w:color w:val="000000" w:themeColor="text1"/>
        </w:rPr>
        <w:t>None.</w:t>
      </w:r>
    </w:p>
    <w:p w14:paraId="4B5C540C" w14:textId="77777777" w:rsidR="006A0917" w:rsidRPr="00263307" w:rsidRDefault="006A0917" w:rsidP="00263307">
      <w:pPr>
        <w:adjustRightInd w:val="0"/>
        <w:snapToGrid w:val="0"/>
        <w:spacing w:line="360" w:lineRule="auto"/>
        <w:jc w:val="both"/>
        <w:rPr>
          <w:rFonts w:ascii="Book Antiqua" w:hAnsi="Book Antiqua" w:cs="Times New Roman"/>
          <w:b/>
          <w:color w:val="000000" w:themeColor="text1"/>
        </w:rPr>
      </w:pPr>
    </w:p>
    <w:p w14:paraId="1F86A171" w14:textId="4F3A554A" w:rsidR="006A0917" w:rsidRPr="00263307" w:rsidRDefault="006A0917"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b/>
          <w:color w:val="000000" w:themeColor="text1"/>
        </w:rPr>
        <w:t>STROBE Statement:</w:t>
      </w:r>
      <w:r w:rsidR="00504FAD" w:rsidRPr="00263307">
        <w:rPr>
          <w:rFonts w:ascii="Book Antiqua" w:eastAsia="宋体" w:hAnsi="Book Antiqua" w:cs="Times New Roman"/>
          <w:b/>
          <w:color w:val="000000" w:themeColor="text1"/>
          <w:lang w:eastAsia="zh-CN"/>
        </w:rPr>
        <w:t xml:space="preserve"> </w:t>
      </w:r>
      <w:r w:rsidRPr="00263307">
        <w:rPr>
          <w:rFonts w:ascii="Book Antiqua" w:hAnsi="Book Antiqua" w:cs="Times New Roman"/>
          <w:color w:val="000000" w:themeColor="text1"/>
        </w:rPr>
        <w:t>The authors have read the STROBE Statement checklist of items, and the manuscript was prepared and revised according to the STROBE Statement.</w:t>
      </w:r>
    </w:p>
    <w:p w14:paraId="2FF9D665" w14:textId="77777777" w:rsidR="00D52B0D" w:rsidRPr="00263307" w:rsidRDefault="00D52B0D" w:rsidP="00263307">
      <w:pPr>
        <w:adjustRightInd w:val="0"/>
        <w:snapToGrid w:val="0"/>
        <w:spacing w:line="360" w:lineRule="auto"/>
        <w:jc w:val="both"/>
        <w:rPr>
          <w:rFonts w:ascii="Book Antiqua" w:eastAsia="宋体" w:hAnsi="Book Antiqua" w:cs="Times New Roman"/>
          <w:b/>
          <w:color w:val="000000" w:themeColor="text1"/>
          <w:lang w:eastAsia="zh-CN"/>
        </w:rPr>
      </w:pPr>
    </w:p>
    <w:p w14:paraId="215DD2F1" w14:textId="77777777" w:rsidR="00504FAD" w:rsidRPr="00263307" w:rsidRDefault="00504FAD" w:rsidP="00263307">
      <w:pPr>
        <w:adjustRightInd w:val="0"/>
        <w:snapToGrid w:val="0"/>
        <w:spacing w:line="360" w:lineRule="auto"/>
        <w:jc w:val="both"/>
        <w:rPr>
          <w:rFonts w:ascii="Book Antiqua" w:hAnsi="Book Antiqua"/>
          <w:lang w:eastAsia="zh-CN"/>
        </w:rPr>
      </w:pPr>
      <w:r w:rsidRPr="00263307">
        <w:rPr>
          <w:rFonts w:ascii="Book Antiqua" w:hAnsi="Book Antiqua"/>
          <w:b/>
          <w:color w:val="000000"/>
        </w:rPr>
        <w:t>Open-Access:</w:t>
      </w:r>
      <w:r w:rsidRPr="00263307">
        <w:rPr>
          <w:rFonts w:ascii="Book Antiqua" w:hAnsi="Book Antiqua"/>
          <w:color w:val="000000"/>
        </w:rPr>
        <w:t xml:space="preserve"> This article is an open-access </w:t>
      </w:r>
      <w:r w:rsidRPr="00263307">
        <w:rPr>
          <w:rFonts w:ascii="Book Antiqua" w:hAnsi="Book Antiqua"/>
        </w:rPr>
        <w:t xml:space="preserve">article that was selected </w:t>
      </w:r>
      <w:r w:rsidRPr="00263307">
        <w:rPr>
          <w:rFonts w:ascii="Book Antiqua" w:hAnsi="Book Antiqua"/>
          <w:color w:val="000000"/>
        </w:rPr>
        <w:t xml:space="preserve">by an in-house editor and fully peer-reviewed by external reviewers. It is distributed in accordance with the Creative Commons Attribution </w:t>
      </w:r>
      <w:proofErr w:type="spellStart"/>
      <w:r w:rsidRPr="00263307">
        <w:rPr>
          <w:rFonts w:ascii="Book Antiqua" w:hAnsi="Book Antiqua"/>
          <w:color w:val="000000"/>
        </w:rPr>
        <w:t>NonCommercial</w:t>
      </w:r>
      <w:proofErr w:type="spellEnd"/>
      <w:r w:rsidRPr="00263307">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722E5C" w14:textId="77777777" w:rsidR="00504FAD" w:rsidRPr="00263307" w:rsidRDefault="00504FAD" w:rsidP="00263307">
      <w:pPr>
        <w:adjustRightInd w:val="0"/>
        <w:snapToGrid w:val="0"/>
        <w:spacing w:line="360" w:lineRule="auto"/>
        <w:jc w:val="both"/>
        <w:rPr>
          <w:rFonts w:ascii="Book Antiqua" w:hAnsi="Book Antiqua"/>
          <w:b/>
          <w:bCs/>
          <w:color w:val="000000"/>
          <w:lang w:eastAsia="zh-CN"/>
        </w:rPr>
      </w:pPr>
    </w:p>
    <w:p w14:paraId="62694BD9" w14:textId="1E7F33D5" w:rsidR="00504FAD" w:rsidRPr="00263307" w:rsidRDefault="00504FAD" w:rsidP="00263307">
      <w:pPr>
        <w:adjustRightInd w:val="0"/>
        <w:snapToGrid w:val="0"/>
        <w:spacing w:line="360" w:lineRule="auto"/>
        <w:jc w:val="both"/>
        <w:rPr>
          <w:rFonts w:ascii="Book Antiqua" w:hAnsi="Book Antiqua"/>
          <w:b/>
          <w:bCs/>
          <w:color w:val="000000"/>
          <w:lang w:eastAsia="zh-CN"/>
        </w:rPr>
      </w:pPr>
      <w:r w:rsidRPr="00263307">
        <w:rPr>
          <w:rFonts w:ascii="Book Antiqua" w:hAnsi="Book Antiqua"/>
          <w:b/>
          <w:bCs/>
          <w:color w:val="000000"/>
          <w:lang w:eastAsia="pl-PL"/>
        </w:rPr>
        <w:t>Manuscript source:</w:t>
      </w:r>
      <w:r w:rsidRPr="00263307">
        <w:rPr>
          <w:rFonts w:ascii="Book Antiqua" w:hAnsi="Book Antiqua"/>
          <w:b/>
          <w:bCs/>
          <w:color w:val="000000"/>
          <w:lang w:eastAsia="zh-CN"/>
        </w:rPr>
        <w:t xml:space="preserve"> </w:t>
      </w:r>
      <w:r w:rsidR="00CB1BD4" w:rsidRPr="00CB1BD4">
        <w:rPr>
          <w:rFonts w:ascii="Book Antiqua" w:hAnsi="Book Antiqua"/>
          <w:bCs/>
          <w:color w:val="000000"/>
          <w:lang w:eastAsia="pl-PL"/>
        </w:rPr>
        <w:t xml:space="preserve">Invited </w:t>
      </w:r>
      <w:r w:rsidRPr="00263307">
        <w:rPr>
          <w:rFonts w:ascii="Book Antiqua" w:hAnsi="Book Antiqua"/>
          <w:bCs/>
          <w:color w:val="000000"/>
          <w:lang w:eastAsia="pl-PL"/>
        </w:rPr>
        <w:t>manuscript</w:t>
      </w:r>
    </w:p>
    <w:p w14:paraId="77D53D9C" w14:textId="77777777" w:rsidR="00504FAD" w:rsidRPr="00263307" w:rsidRDefault="00504FAD" w:rsidP="00263307">
      <w:pPr>
        <w:adjustRightInd w:val="0"/>
        <w:snapToGrid w:val="0"/>
        <w:spacing w:line="360" w:lineRule="auto"/>
        <w:jc w:val="both"/>
        <w:rPr>
          <w:rFonts w:ascii="Book Antiqua" w:hAnsi="Book Antiqua"/>
          <w:b/>
          <w:lang w:eastAsia="zh-CN"/>
        </w:rPr>
      </w:pPr>
    </w:p>
    <w:p w14:paraId="4AA98C59" w14:textId="5A5659E6" w:rsidR="00504FAD" w:rsidRPr="00263307" w:rsidRDefault="00504FAD" w:rsidP="00263307">
      <w:pPr>
        <w:adjustRightInd w:val="0"/>
        <w:snapToGrid w:val="0"/>
        <w:spacing w:line="360" w:lineRule="auto"/>
        <w:jc w:val="both"/>
        <w:rPr>
          <w:rFonts w:ascii="Book Antiqua" w:eastAsia="宋体" w:hAnsi="Book Antiqua"/>
          <w:b/>
          <w:lang w:eastAsia="zh-CN"/>
        </w:rPr>
      </w:pPr>
      <w:r w:rsidRPr="00263307">
        <w:rPr>
          <w:rFonts w:ascii="Book Antiqua" w:hAnsi="Book Antiqua"/>
          <w:b/>
        </w:rPr>
        <w:t>Peer-review started:</w:t>
      </w:r>
      <w:r w:rsidRPr="00263307">
        <w:rPr>
          <w:rFonts w:ascii="Book Antiqua" w:hAnsi="Book Antiqua"/>
          <w:b/>
          <w:lang w:eastAsia="zh-CN"/>
        </w:rPr>
        <w:t xml:space="preserve"> </w:t>
      </w:r>
      <w:r w:rsidR="004E4249" w:rsidRPr="00263307">
        <w:rPr>
          <w:rFonts w:ascii="Book Antiqua" w:eastAsia="宋体" w:hAnsi="Book Antiqua"/>
          <w:lang w:eastAsia="zh-CN"/>
        </w:rPr>
        <w:t>February 13, 2020</w:t>
      </w:r>
    </w:p>
    <w:p w14:paraId="657A03C7" w14:textId="0144E9D6" w:rsidR="00504FAD" w:rsidRPr="00263307" w:rsidRDefault="00504FAD" w:rsidP="00263307">
      <w:pPr>
        <w:adjustRightInd w:val="0"/>
        <w:snapToGrid w:val="0"/>
        <w:spacing w:line="360" w:lineRule="auto"/>
        <w:jc w:val="both"/>
        <w:rPr>
          <w:rFonts w:ascii="Book Antiqua" w:eastAsia="宋体" w:hAnsi="Book Antiqua"/>
          <w:b/>
          <w:lang w:eastAsia="zh-CN"/>
        </w:rPr>
      </w:pPr>
      <w:r w:rsidRPr="00263307">
        <w:rPr>
          <w:rFonts w:ascii="Book Antiqua" w:hAnsi="Book Antiqua"/>
          <w:b/>
        </w:rPr>
        <w:t>First decision:</w:t>
      </w:r>
      <w:r w:rsidRPr="00263307">
        <w:rPr>
          <w:rFonts w:ascii="Book Antiqua" w:hAnsi="Book Antiqua"/>
          <w:b/>
          <w:lang w:eastAsia="zh-CN"/>
        </w:rPr>
        <w:t xml:space="preserve"> </w:t>
      </w:r>
      <w:r w:rsidR="004E4249" w:rsidRPr="00263307">
        <w:rPr>
          <w:rFonts w:ascii="Book Antiqua" w:eastAsia="宋体" w:hAnsi="Book Antiqua"/>
          <w:lang w:eastAsia="zh-CN"/>
        </w:rPr>
        <w:t>April 1, 2020</w:t>
      </w:r>
    </w:p>
    <w:p w14:paraId="14EFD425" w14:textId="77777777" w:rsidR="00504FAD" w:rsidRPr="00263307" w:rsidRDefault="00504FAD" w:rsidP="00263307">
      <w:pPr>
        <w:adjustRightInd w:val="0"/>
        <w:snapToGrid w:val="0"/>
        <w:spacing w:line="360" w:lineRule="auto"/>
        <w:jc w:val="both"/>
        <w:rPr>
          <w:rFonts w:ascii="Book Antiqua" w:hAnsi="Book Antiqua"/>
          <w:b/>
          <w:lang w:eastAsia="zh-CN"/>
        </w:rPr>
      </w:pPr>
      <w:r w:rsidRPr="00263307">
        <w:rPr>
          <w:rFonts w:ascii="Book Antiqua" w:hAnsi="Book Antiqua"/>
          <w:b/>
        </w:rPr>
        <w:t>Article in press:</w:t>
      </w:r>
    </w:p>
    <w:p w14:paraId="4FAA43AA" w14:textId="77777777" w:rsidR="00504FAD" w:rsidRPr="00263307" w:rsidRDefault="00504FAD" w:rsidP="00263307">
      <w:pPr>
        <w:adjustRightInd w:val="0"/>
        <w:snapToGrid w:val="0"/>
        <w:spacing w:line="360" w:lineRule="auto"/>
        <w:jc w:val="both"/>
        <w:rPr>
          <w:rFonts w:ascii="Book Antiqua" w:hAnsi="Book Antiqua"/>
          <w:b/>
          <w:lang w:eastAsia="zh-CN"/>
        </w:rPr>
      </w:pPr>
    </w:p>
    <w:p w14:paraId="51F2C1C0" w14:textId="67B104CB" w:rsidR="00504FAD" w:rsidRPr="00263307" w:rsidRDefault="00504FAD" w:rsidP="00263307">
      <w:pPr>
        <w:widowControl w:val="0"/>
        <w:adjustRightInd w:val="0"/>
        <w:snapToGrid w:val="0"/>
        <w:spacing w:line="360" w:lineRule="auto"/>
        <w:jc w:val="both"/>
        <w:rPr>
          <w:rFonts w:ascii="Book Antiqua" w:eastAsia="微软雅黑" w:hAnsi="Book Antiqua" w:cs="宋体"/>
          <w:lang w:eastAsia="zh-CN"/>
        </w:rPr>
      </w:pPr>
      <w:r w:rsidRPr="00263307">
        <w:rPr>
          <w:rFonts w:ascii="Book Antiqua" w:hAnsi="Book Antiqua" w:cs="宋体"/>
          <w:b/>
          <w:lang w:eastAsia="zh-CN"/>
        </w:rPr>
        <w:t xml:space="preserve">Specialty type: </w:t>
      </w:r>
      <w:r w:rsidRPr="00263307">
        <w:rPr>
          <w:rFonts w:ascii="Book Antiqua" w:eastAsia="微软雅黑" w:hAnsi="Book Antiqua" w:cs="宋体"/>
        </w:rPr>
        <w:t>Medicine, research and experimental</w:t>
      </w:r>
    </w:p>
    <w:p w14:paraId="68FFB94A" w14:textId="28C544BE" w:rsidR="00504FAD" w:rsidRPr="00263307" w:rsidRDefault="00504FAD" w:rsidP="00263307">
      <w:pPr>
        <w:widowControl w:val="0"/>
        <w:adjustRightInd w:val="0"/>
        <w:snapToGrid w:val="0"/>
        <w:spacing w:line="360" w:lineRule="auto"/>
        <w:jc w:val="both"/>
        <w:rPr>
          <w:rFonts w:ascii="Book Antiqua" w:eastAsia="宋体" w:hAnsi="Book Antiqua" w:cs="宋体"/>
          <w:lang w:eastAsia="zh-CN"/>
        </w:rPr>
      </w:pPr>
      <w:r w:rsidRPr="00263307">
        <w:rPr>
          <w:rFonts w:ascii="Book Antiqua" w:hAnsi="Book Antiqua" w:cs="宋体"/>
          <w:b/>
          <w:lang w:eastAsia="zh-CN"/>
        </w:rPr>
        <w:t xml:space="preserve">Country/Territory of origin: </w:t>
      </w:r>
      <w:r w:rsidRPr="00263307">
        <w:rPr>
          <w:rFonts w:ascii="Book Antiqua" w:eastAsia="宋体" w:hAnsi="Book Antiqua"/>
          <w:lang w:eastAsia="zh-CN"/>
        </w:rPr>
        <w:t>Japan</w:t>
      </w:r>
    </w:p>
    <w:p w14:paraId="35744438" w14:textId="77777777" w:rsidR="00504FAD" w:rsidRPr="00263307" w:rsidRDefault="00504FAD" w:rsidP="00263307">
      <w:pPr>
        <w:widowControl w:val="0"/>
        <w:adjustRightInd w:val="0"/>
        <w:snapToGrid w:val="0"/>
        <w:spacing w:line="360" w:lineRule="auto"/>
        <w:jc w:val="both"/>
        <w:rPr>
          <w:rFonts w:ascii="Book Antiqua" w:hAnsi="Book Antiqua" w:cs="宋体"/>
          <w:b/>
          <w:lang w:eastAsia="zh-CN"/>
        </w:rPr>
      </w:pPr>
      <w:r w:rsidRPr="00263307">
        <w:rPr>
          <w:rFonts w:ascii="Book Antiqua" w:hAnsi="Book Antiqua" w:cs="宋体"/>
          <w:b/>
          <w:lang w:eastAsia="zh-CN"/>
        </w:rPr>
        <w:lastRenderedPageBreak/>
        <w:t>Peer-review report’s scientific quality classification</w:t>
      </w:r>
    </w:p>
    <w:p w14:paraId="4869E73E" w14:textId="77777777" w:rsidR="00504FAD" w:rsidRPr="00263307" w:rsidRDefault="00504FAD" w:rsidP="00263307">
      <w:pPr>
        <w:widowControl w:val="0"/>
        <w:adjustRightInd w:val="0"/>
        <w:snapToGrid w:val="0"/>
        <w:spacing w:line="360" w:lineRule="auto"/>
        <w:jc w:val="both"/>
        <w:rPr>
          <w:rFonts w:ascii="Book Antiqua" w:hAnsi="Book Antiqua" w:cs="宋体"/>
          <w:lang w:eastAsia="zh-CN"/>
        </w:rPr>
      </w:pPr>
      <w:r w:rsidRPr="00263307">
        <w:rPr>
          <w:rFonts w:ascii="Book Antiqua" w:hAnsi="Book Antiqua" w:cs="宋体"/>
          <w:lang w:eastAsia="zh-CN"/>
        </w:rPr>
        <w:t>Grade A (Excellent): 0</w:t>
      </w:r>
    </w:p>
    <w:p w14:paraId="21D919A1" w14:textId="77777777" w:rsidR="00504FAD" w:rsidRPr="00263307" w:rsidRDefault="00504FAD" w:rsidP="00263307">
      <w:pPr>
        <w:widowControl w:val="0"/>
        <w:adjustRightInd w:val="0"/>
        <w:snapToGrid w:val="0"/>
        <w:spacing w:line="360" w:lineRule="auto"/>
        <w:jc w:val="both"/>
        <w:rPr>
          <w:rFonts w:ascii="Book Antiqua" w:hAnsi="Book Antiqua" w:cs="宋体"/>
          <w:lang w:eastAsia="zh-CN"/>
        </w:rPr>
      </w:pPr>
      <w:r w:rsidRPr="00263307">
        <w:rPr>
          <w:rFonts w:ascii="Book Antiqua" w:hAnsi="Book Antiqua" w:cs="宋体"/>
          <w:lang w:eastAsia="zh-CN"/>
        </w:rPr>
        <w:t>Grade B (Very good): B, B</w:t>
      </w:r>
    </w:p>
    <w:p w14:paraId="20B902BE" w14:textId="08C2A08C" w:rsidR="00504FAD" w:rsidRPr="00263307" w:rsidRDefault="00F167FD" w:rsidP="00263307">
      <w:pPr>
        <w:widowControl w:val="0"/>
        <w:adjustRightInd w:val="0"/>
        <w:snapToGrid w:val="0"/>
        <w:spacing w:line="360" w:lineRule="auto"/>
        <w:jc w:val="both"/>
        <w:rPr>
          <w:rFonts w:ascii="Book Antiqua" w:eastAsia="宋体" w:hAnsi="Book Antiqua" w:cs="宋体"/>
          <w:lang w:eastAsia="zh-CN"/>
        </w:rPr>
      </w:pPr>
      <w:r w:rsidRPr="00263307">
        <w:rPr>
          <w:rFonts w:ascii="Book Antiqua" w:hAnsi="Book Antiqua" w:cs="宋体"/>
          <w:lang w:eastAsia="zh-CN"/>
        </w:rPr>
        <w:t xml:space="preserve">Grade C (Good): </w:t>
      </w:r>
      <w:r w:rsidRPr="00263307">
        <w:rPr>
          <w:rFonts w:ascii="Book Antiqua" w:eastAsia="宋体" w:hAnsi="Book Antiqua" w:cs="宋体"/>
          <w:lang w:eastAsia="zh-CN"/>
        </w:rPr>
        <w:t>0</w:t>
      </w:r>
    </w:p>
    <w:p w14:paraId="74AAF0E9" w14:textId="77777777" w:rsidR="00504FAD" w:rsidRPr="00263307" w:rsidRDefault="00504FAD" w:rsidP="00263307">
      <w:pPr>
        <w:widowControl w:val="0"/>
        <w:adjustRightInd w:val="0"/>
        <w:snapToGrid w:val="0"/>
        <w:spacing w:line="360" w:lineRule="auto"/>
        <w:jc w:val="both"/>
        <w:rPr>
          <w:rFonts w:ascii="Book Antiqua" w:hAnsi="Book Antiqua" w:cs="宋体"/>
          <w:lang w:eastAsia="zh-CN"/>
        </w:rPr>
      </w:pPr>
      <w:r w:rsidRPr="00263307">
        <w:rPr>
          <w:rFonts w:ascii="Book Antiqua" w:hAnsi="Book Antiqua" w:cs="宋体"/>
          <w:lang w:eastAsia="zh-CN"/>
        </w:rPr>
        <w:t>Grade D (Fair): 0</w:t>
      </w:r>
    </w:p>
    <w:p w14:paraId="5CE91C32" w14:textId="77777777" w:rsidR="00504FAD" w:rsidRPr="00263307" w:rsidRDefault="00504FAD" w:rsidP="00263307">
      <w:pPr>
        <w:widowControl w:val="0"/>
        <w:adjustRightInd w:val="0"/>
        <w:snapToGrid w:val="0"/>
        <w:spacing w:line="360" w:lineRule="auto"/>
        <w:jc w:val="both"/>
        <w:rPr>
          <w:rFonts w:ascii="Book Antiqua" w:eastAsia="等线" w:hAnsi="Book Antiqua"/>
          <w:kern w:val="2"/>
          <w:lang w:val="hu-HU" w:eastAsia="zh-CN"/>
        </w:rPr>
      </w:pPr>
      <w:r w:rsidRPr="00263307">
        <w:rPr>
          <w:rFonts w:ascii="Book Antiqua" w:hAnsi="Book Antiqua" w:cs="宋体"/>
          <w:lang w:eastAsia="zh-CN"/>
        </w:rPr>
        <w:t>Grade E (Poor): 0</w:t>
      </w:r>
    </w:p>
    <w:p w14:paraId="75EB863F" w14:textId="77777777" w:rsidR="00504FAD" w:rsidRPr="00263307" w:rsidRDefault="00504FAD" w:rsidP="00263307">
      <w:pPr>
        <w:adjustRightInd w:val="0"/>
        <w:snapToGrid w:val="0"/>
        <w:spacing w:line="360" w:lineRule="auto"/>
        <w:ind w:right="361"/>
        <w:jc w:val="both"/>
        <w:rPr>
          <w:rFonts w:ascii="Book Antiqua" w:hAnsi="Book Antiqua"/>
          <w:lang w:eastAsia="zh-CN"/>
        </w:rPr>
      </w:pPr>
    </w:p>
    <w:p w14:paraId="678A2827" w14:textId="4C55A29A" w:rsidR="00504FAD" w:rsidRPr="00263307" w:rsidRDefault="00504FAD" w:rsidP="00263307">
      <w:pPr>
        <w:adjustRightInd w:val="0"/>
        <w:snapToGrid w:val="0"/>
        <w:spacing w:line="360" w:lineRule="auto"/>
        <w:ind w:right="361"/>
        <w:jc w:val="both"/>
        <w:rPr>
          <w:rFonts w:ascii="Book Antiqua" w:hAnsi="Book Antiqua"/>
          <w:b/>
          <w:bCs/>
          <w:lang w:eastAsia="zh-CN"/>
        </w:rPr>
      </w:pPr>
      <w:r w:rsidRPr="00263307">
        <w:rPr>
          <w:rStyle w:val="af3"/>
          <w:rFonts w:ascii="Book Antiqua" w:hAnsi="Book Antiqua" w:cs="Arial"/>
          <w:bCs w:val="0"/>
          <w:noProof/>
        </w:rPr>
        <w:t>P-Reviewer</w:t>
      </w:r>
      <w:r w:rsidRPr="00263307">
        <w:rPr>
          <w:rStyle w:val="af3"/>
          <w:rFonts w:ascii="Book Antiqua" w:hAnsi="Book Antiqua" w:cs="Arial"/>
          <w:bCs w:val="0"/>
          <w:noProof/>
          <w:lang w:eastAsia="zh-CN"/>
        </w:rPr>
        <w:t>:</w:t>
      </w:r>
      <w:r w:rsidRPr="00263307">
        <w:rPr>
          <w:rFonts w:ascii="Book Antiqua" w:hAnsi="Book Antiqua"/>
          <w:bCs/>
        </w:rPr>
        <w:t xml:space="preserve"> </w:t>
      </w:r>
      <w:proofErr w:type="spellStart"/>
      <w:r w:rsidR="0086144B" w:rsidRPr="00263307">
        <w:rPr>
          <w:rFonts w:ascii="Book Antiqua" w:hAnsi="Book Antiqua"/>
        </w:rPr>
        <w:t>Kristek</w:t>
      </w:r>
      <w:proofErr w:type="spellEnd"/>
      <w:r w:rsidR="0086144B" w:rsidRPr="00263307">
        <w:rPr>
          <w:rFonts w:ascii="Book Antiqua" w:eastAsia="宋体" w:hAnsi="Book Antiqua"/>
          <w:lang w:eastAsia="zh-CN"/>
        </w:rPr>
        <w:t xml:space="preserve"> J,</w:t>
      </w:r>
      <w:r w:rsidR="0086144B" w:rsidRPr="00263307">
        <w:rPr>
          <w:rFonts w:ascii="Book Antiqua" w:eastAsia="宋体" w:hAnsi="Book Antiqua"/>
          <w:bCs/>
          <w:lang w:eastAsia="zh-CN"/>
        </w:rPr>
        <w:t xml:space="preserve"> </w:t>
      </w:r>
      <w:proofErr w:type="spellStart"/>
      <w:r w:rsidR="0086144B" w:rsidRPr="00263307">
        <w:rPr>
          <w:rFonts w:ascii="Book Antiqua" w:hAnsi="Book Antiqua"/>
        </w:rPr>
        <w:t>Shiryajev</w:t>
      </w:r>
      <w:proofErr w:type="spellEnd"/>
      <w:r w:rsidR="0086144B" w:rsidRPr="00263307">
        <w:rPr>
          <w:rFonts w:ascii="Book Antiqua" w:eastAsia="宋体" w:hAnsi="Book Antiqua"/>
          <w:lang w:eastAsia="zh-CN"/>
        </w:rPr>
        <w:t xml:space="preserve"> Y </w:t>
      </w:r>
      <w:r w:rsidRPr="00263307">
        <w:rPr>
          <w:rFonts w:ascii="Book Antiqua" w:hAnsi="Book Antiqua"/>
          <w:b/>
          <w:bCs/>
        </w:rPr>
        <w:t>S-Editor</w:t>
      </w:r>
      <w:r w:rsidRPr="00263307">
        <w:rPr>
          <w:rFonts w:ascii="Book Antiqua" w:hAnsi="Book Antiqua"/>
          <w:b/>
          <w:bCs/>
          <w:lang w:eastAsia="zh-CN"/>
        </w:rPr>
        <w:t>:</w:t>
      </w:r>
      <w:r w:rsidRPr="00263307">
        <w:rPr>
          <w:rFonts w:ascii="Book Antiqua" w:hAnsi="Book Antiqua"/>
          <w:bCs/>
        </w:rPr>
        <w:t xml:space="preserve"> </w:t>
      </w:r>
      <w:r w:rsidRPr="00263307">
        <w:rPr>
          <w:rFonts w:ascii="Book Antiqua" w:hAnsi="Book Antiqua"/>
          <w:bCs/>
          <w:lang w:eastAsia="zh-CN"/>
        </w:rPr>
        <w:t>Wang JL</w:t>
      </w:r>
      <w:r w:rsidR="0086144B" w:rsidRPr="00263307">
        <w:rPr>
          <w:rFonts w:ascii="Book Antiqua" w:hAnsi="Book Antiqua"/>
          <w:b/>
          <w:bCs/>
        </w:rPr>
        <w:t xml:space="preserve"> </w:t>
      </w:r>
      <w:r w:rsidRPr="00263307">
        <w:rPr>
          <w:rFonts w:ascii="Book Antiqua" w:hAnsi="Book Antiqua"/>
          <w:b/>
          <w:bCs/>
        </w:rPr>
        <w:t>L-Editor</w:t>
      </w:r>
      <w:r w:rsidRPr="00263307">
        <w:rPr>
          <w:rFonts w:ascii="Book Antiqua" w:hAnsi="Book Antiqua"/>
          <w:b/>
          <w:bCs/>
          <w:lang w:eastAsia="zh-CN"/>
        </w:rPr>
        <w:t>:</w:t>
      </w:r>
      <w:r w:rsidRPr="00263307">
        <w:rPr>
          <w:rFonts w:ascii="Book Antiqua" w:hAnsi="Book Antiqua"/>
          <w:b/>
          <w:bCs/>
        </w:rPr>
        <w:t xml:space="preserve">   E-Editor</w:t>
      </w:r>
      <w:r w:rsidRPr="00263307">
        <w:rPr>
          <w:rFonts w:ascii="Book Antiqua" w:hAnsi="Book Antiqua"/>
          <w:b/>
          <w:bCs/>
          <w:lang w:eastAsia="zh-CN"/>
        </w:rPr>
        <w:t>:</w:t>
      </w:r>
    </w:p>
    <w:p w14:paraId="0BE6DF70" w14:textId="3A335761" w:rsidR="00504FAD" w:rsidRPr="00263307" w:rsidRDefault="00504FAD"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eastAsia="宋体" w:hAnsi="Book Antiqua" w:cs="Times New Roman"/>
          <w:color w:val="000000" w:themeColor="text1"/>
          <w:lang w:eastAsia="zh-CN"/>
        </w:rPr>
        <w:br w:type="page"/>
      </w:r>
    </w:p>
    <w:p w14:paraId="510A3A67" w14:textId="6377B3B1" w:rsidR="0086144B" w:rsidRPr="00263307" w:rsidRDefault="00F90456" w:rsidP="00263307">
      <w:pPr>
        <w:adjustRightInd w:val="0"/>
        <w:snapToGrid w:val="0"/>
        <w:spacing w:line="360" w:lineRule="auto"/>
        <w:jc w:val="both"/>
        <w:rPr>
          <w:rFonts w:ascii="Book Antiqua" w:eastAsia="宋体" w:hAnsi="Book Antiqua"/>
          <w:b/>
          <w:lang w:eastAsia="zh-CN"/>
        </w:rPr>
      </w:pPr>
      <w:r w:rsidRPr="00263307">
        <w:rPr>
          <w:rFonts w:ascii="Book Antiqua" w:hAnsi="Book Antiqua"/>
          <w:b/>
        </w:rPr>
        <w:lastRenderedPageBreak/>
        <w:t>Figure Legends</w:t>
      </w:r>
    </w:p>
    <w:p w14:paraId="5199D5B9" w14:textId="395E0A2E" w:rsidR="00511222" w:rsidRDefault="00511222" w:rsidP="00760C29">
      <w:pPr>
        <w:adjustRightInd w:val="0"/>
        <w:snapToGrid w:val="0"/>
        <w:spacing w:line="360" w:lineRule="auto"/>
        <w:jc w:val="both"/>
        <w:rPr>
          <w:rFonts w:ascii="Book Antiqua" w:eastAsia="宋体" w:hAnsi="Book Antiqua" w:cs="Times New Roman"/>
          <w:b/>
          <w:color w:val="000000" w:themeColor="text1"/>
          <w:lang w:eastAsia="zh-CN"/>
        </w:rPr>
      </w:pPr>
      <w:r>
        <w:rPr>
          <w:rFonts w:ascii="Book Antiqua" w:eastAsia="宋体" w:hAnsi="Book Antiqua" w:cs="Times New Roman" w:hint="eastAsia"/>
          <w:b/>
          <w:color w:val="000000" w:themeColor="text1"/>
          <w:lang w:eastAsia="zh-CN"/>
        </w:rPr>
        <w:t>A</w:t>
      </w:r>
    </w:p>
    <w:p w14:paraId="67B96844" w14:textId="75FA55EC" w:rsidR="00242D5C" w:rsidRDefault="00242D5C" w:rsidP="00760C29">
      <w:pPr>
        <w:adjustRightInd w:val="0"/>
        <w:snapToGrid w:val="0"/>
        <w:spacing w:line="360" w:lineRule="auto"/>
        <w:jc w:val="both"/>
        <w:rPr>
          <w:rFonts w:ascii="Book Antiqua" w:eastAsia="宋体" w:hAnsi="Book Antiqua" w:cs="Times New Roman"/>
          <w:b/>
          <w:color w:val="000000" w:themeColor="text1"/>
          <w:lang w:eastAsia="zh-CN"/>
        </w:rPr>
      </w:pPr>
      <w:r>
        <w:rPr>
          <w:noProof/>
          <w:lang w:eastAsia="zh-CN"/>
        </w:rPr>
        <w:drawing>
          <wp:inline distT="0" distB="0" distL="0" distR="0" wp14:anchorId="1FBF2F0E" wp14:editId="51FD3938">
            <wp:extent cx="4586630" cy="2633066"/>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91828" cy="2636050"/>
                    </a:xfrm>
                    <a:prstGeom prst="rect">
                      <a:avLst/>
                    </a:prstGeom>
                  </pic:spPr>
                </pic:pic>
              </a:graphicData>
            </a:graphic>
          </wp:inline>
        </w:drawing>
      </w:r>
    </w:p>
    <w:p w14:paraId="3D382AE0" w14:textId="7FCF5BFF" w:rsidR="00511222" w:rsidRDefault="00511222" w:rsidP="00760C29">
      <w:pPr>
        <w:adjustRightInd w:val="0"/>
        <w:snapToGrid w:val="0"/>
        <w:spacing w:line="360" w:lineRule="auto"/>
        <w:jc w:val="both"/>
        <w:rPr>
          <w:rFonts w:ascii="Book Antiqua" w:eastAsia="宋体" w:hAnsi="Book Antiqua" w:cs="Times New Roman"/>
          <w:b/>
          <w:color w:val="000000" w:themeColor="text1"/>
          <w:lang w:eastAsia="zh-CN"/>
        </w:rPr>
      </w:pPr>
      <w:r>
        <w:rPr>
          <w:rFonts w:ascii="Book Antiqua" w:eastAsia="宋体" w:hAnsi="Book Antiqua" w:cs="Times New Roman" w:hint="eastAsia"/>
          <w:b/>
          <w:color w:val="000000" w:themeColor="text1"/>
          <w:lang w:eastAsia="zh-CN"/>
        </w:rPr>
        <w:t>B</w:t>
      </w:r>
    </w:p>
    <w:p w14:paraId="510934D4" w14:textId="5856899F" w:rsidR="00A511DD" w:rsidRDefault="00190D75" w:rsidP="00760C29">
      <w:pPr>
        <w:adjustRightInd w:val="0"/>
        <w:snapToGrid w:val="0"/>
        <w:spacing w:line="360" w:lineRule="auto"/>
        <w:jc w:val="both"/>
        <w:rPr>
          <w:rFonts w:ascii="Book Antiqua" w:eastAsia="宋体" w:hAnsi="Book Antiqua" w:cs="Times New Roman"/>
          <w:b/>
          <w:color w:val="000000" w:themeColor="text1"/>
          <w:lang w:eastAsia="zh-CN"/>
        </w:rPr>
      </w:pPr>
      <w:r>
        <w:rPr>
          <w:noProof/>
          <w:lang w:eastAsia="zh-CN"/>
        </w:rPr>
        <w:drawing>
          <wp:inline distT="0" distB="0" distL="0" distR="0" wp14:anchorId="0AEA8AE2" wp14:editId="1AAD0B37">
            <wp:extent cx="4556098" cy="2852788"/>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819" cy="2863258"/>
                    </a:xfrm>
                    <a:prstGeom prst="rect">
                      <a:avLst/>
                    </a:prstGeom>
                  </pic:spPr>
                </pic:pic>
              </a:graphicData>
            </a:graphic>
          </wp:inline>
        </w:drawing>
      </w:r>
    </w:p>
    <w:p w14:paraId="42E1AB7A" w14:textId="2ED1B77B" w:rsidR="00760C29" w:rsidRPr="00263307" w:rsidRDefault="00760C29" w:rsidP="00760C29">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b/>
          <w:color w:val="000000" w:themeColor="text1"/>
        </w:rPr>
        <w:t xml:space="preserve">Figure 1 Forest plot of the logistic regression in Model 1 </w:t>
      </w:r>
      <w:r w:rsidR="0069372B">
        <w:rPr>
          <w:rFonts w:ascii="Book Antiqua" w:eastAsia="宋体" w:hAnsi="Book Antiqua" w:cs="Times New Roman" w:hint="eastAsia"/>
          <w:b/>
          <w:color w:val="000000" w:themeColor="text1"/>
          <w:lang w:eastAsia="zh-CN"/>
        </w:rPr>
        <w:t xml:space="preserve">and Model 2. A: </w:t>
      </w:r>
      <w:r w:rsidR="0069372B" w:rsidRPr="0069372B">
        <w:rPr>
          <w:rFonts w:ascii="Book Antiqua" w:hAnsi="Book Antiqua" w:cs="Times New Roman"/>
          <w:color w:val="000000" w:themeColor="text1"/>
        </w:rPr>
        <w:t xml:space="preserve">Model 1 </w:t>
      </w:r>
      <w:r w:rsidRPr="0069372B">
        <w:rPr>
          <w:rFonts w:ascii="Book Antiqua" w:hAnsi="Book Antiqua" w:cs="Times New Roman"/>
          <w:color w:val="000000" w:themeColor="text1"/>
        </w:rPr>
        <w:t>(Non-laboratory factors only)</w:t>
      </w:r>
      <w:r w:rsidR="0069372B" w:rsidRPr="0069372B">
        <w:rPr>
          <w:rFonts w:ascii="Book Antiqua" w:eastAsia="宋体" w:hAnsi="Book Antiqua" w:cs="Times New Roman" w:hint="eastAsia"/>
          <w:color w:val="000000" w:themeColor="text1"/>
          <w:lang w:eastAsia="zh-CN"/>
        </w:rPr>
        <w:t>.</w:t>
      </w:r>
      <w:r w:rsidR="0069372B">
        <w:rPr>
          <w:rFonts w:ascii="Book Antiqua" w:eastAsia="宋体" w:hAnsi="Book Antiqua" w:cs="Times New Roman" w:hint="eastAsia"/>
          <w:b/>
          <w:color w:val="000000" w:themeColor="text1"/>
          <w:lang w:eastAsia="zh-CN"/>
        </w:rPr>
        <w:t xml:space="preserve"> </w:t>
      </w:r>
      <w:proofErr w:type="spellStart"/>
      <w:r w:rsidR="0069372B">
        <w:rPr>
          <w:rFonts w:ascii="Book Antiqua" w:hAnsi="Book Antiqua" w:cs="Times New Roman"/>
          <w:color w:val="000000" w:themeColor="text1"/>
          <w:vertAlign w:val="superscript"/>
        </w:rPr>
        <w:t>a</w:t>
      </w:r>
      <w:r w:rsidRPr="00263307">
        <w:rPr>
          <w:rFonts w:ascii="Book Antiqua" w:hAnsi="Book Antiqua" w:cs="Times New Roman"/>
          <w:color w:val="000000" w:themeColor="text1"/>
        </w:rPr>
        <w:t>Age</w:t>
      </w:r>
      <w:proofErr w:type="spellEnd"/>
      <w:r w:rsidRPr="00263307">
        <w:rPr>
          <w:rFonts w:ascii="Book Antiqua" w:hAnsi="Book Antiqua" w:cs="Times New Roman"/>
          <w:color w:val="000000" w:themeColor="text1"/>
        </w:rPr>
        <w:t xml:space="preserve"> &gt; 65 years old, longer onset-to-visit interval, and anorexia have significantly high odds ratios, which suggests that complica</w:t>
      </w:r>
      <w:r w:rsidR="0069372B">
        <w:rPr>
          <w:rFonts w:ascii="Book Antiqua" w:hAnsi="Book Antiqua" w:cs="Times New Roman"/>
          <w:color w:val="000000" w:themeColor="text1"/>
        </w:rPr>
        <w:t>ted appendicitis is more likely</w:t>
      </w:r>
      <w:r w:rsidR="0069372B">
        <w:rPr>
          <w:rFonts w:ascii="Book Antiqua" w:eastAsia="宋体" w:hAnsi="Book Antiqua" w:cs="Times New Roman" w:hint="eastAsia"/>
          <w:color w:val="000000" w:themeColor="text1"/>
          <w:lang w:eastAsia="zh-CN"/>
        </w:rPr>
        <w:t>; B:</w:t>
      </w:r>
      <w:r w:rsidR="0069372B" w:rsidRPr="0069372B">
        <w:rPr>
          <w:rFonts w:ascii="Book Antiqua" w:hAnsi="Book Antiqua" w:cs="Times New Roman"/>
          <w:b/>
          <w:color w:val="000000" w:themeColor="text1"/>
        </w:rPr>
        <w:t xml:space="preserve"> </w:t>
      </w:r>
      <w:r w:rsidR="0069372B" w:rsidRPr="0069372B">
        <w:rPr>
          <w:rFonts w:ascii="Book Antiqua" w:hAnsi="Book Antiqua" w:cs="Times New Roman"/>
          <w:color w:val="000000" w:themeColor="text1"/>
        </w:rPr>
        <w:t>Model 2 (including laboratory factors)</w:t>
      </w:r>
      <w:r w:rsidR="0069372B">
        <w:rPr>
          <w:rFonts w:ascii="Book Antiqua" w:eastAsia="宋体" w:hAnsi="Book Antiqua" w:cs="Times New Roman" w:hint="eastAsia"/>
          <w:color w:val="000000" w:themeColor="text1"/>
          <w:lang w:eastAsia="zh-CN"/>
        </w:rPr>
        <w:t>.</w:t>
      </w:r>
      <w:r w:rsidR="0069372B" w:rsidRPr="0069372B">
        <w:rPr>
          <w:rFonts w:ascii="Book Antiqua" w:hAnsi="Book Antiqua" w:cs="Times New Roman"/>
          <w:color w:val="000000" w:themeColor="text1"/>
        </w:rPr>
        <w:t xml:space="preserve"> </w:t>
      </w:r>
      <w:proofErr w:type="spellStart"/>
      <w:r w:rsidR="0069372B">
        <w:rPr>
          <w:rFonts w:ascii="Book Antiqua" w:hAnsi="Book Antiqua" w:cs="Times New Roman"/>
          <w:color w:val="000000" w:themeColor="text1"/>
          <w:vertAlign w:val="superscript"/>
        </w:rPr>
        <w:t>a</w:t>
      </w:r>
      <w:r w:rsidR="0069372B" w:rsidRPr="00263307">
        <w:rPr>
          <w:rFonts w:ascii="Book Antiqua" w:hAnsi="Book Antiqua" w:cs="Times New Roman"/>
          <w:color w:val="000000" w:themeColor="text1"/>
        </w:rPr>
        <w:t>Only</w:t>
      </w:r>
      <w:proofErr w:type="spellEnd"/>
      <w:r w:rsidR="0069372B" w:rsidRPr="00263307">
        <w:rPr>
          <w:rFonts w:ascii="Book Antiqua" w:hAnsi="Book Antiqua" w:cs="Times New Roman"/>
          <w:color w:val="000000" w:themeColor="text1"/>
        </w:rPr>
        <w:t xml:space="preserve"> high CRP values have significantly high odds ratios, which suggests that complicated appendicitis is more likely. The odds ratio increases </w:t>
      </w:r>
      <w:r w:rsidR="0069372B">
        <w:rPr>
          <w:rFonts w:ascii="Book Antiqua" w:hAnsi="Book Antiqua" w:cs="Times New Roman"/>
          <w:color w:val="000000" w:themeColor="text1"/>
        </w:rPr>
        <w:lastRenderedPageBreak/>
        <w:t>in proportion to the CRP value.</w:t>
      </w:r>
      <w:r w:rsidR="0069372B">
        <w:rPr>
          <w:rFonts w:ascii="Book Antiqua" w:eastAsia="宋体" w:hAnsi="Book Antiqua" w:cs="Times New Roman" w:hint="eastAsia"/>
          <w:color w:val="000000" w:themeColor="text1"/>
          <w:lang w:eastAsia="zh-CN"/>
        </w:rPr>
        <w:t xml:space="preserve"> </w:t>
      </w:r>
      <w:r w:rsidR="0069372B">
        <w:rPr>
          <w:rFonts w:ascii="Book Antiqua" w:hAnsi="Book Antiqua" w:cs="Times New Roman"/>
          <w:color w:val="000000" w:themeColor="text1"/>
        </w:rPr>
        <w:t>CA</w:t>
      </w:r>
      <w:r w:rsidR="0069372B">
        <w:rPr>
          <w:rFonts w:ascii="Book Antiqua" w:eastAsia="宋体" w:hAnsi="Book Antiqua" w:cs="Times New Roman" w:hint="eastAsia"/>
          <w:color w:val="000000" w:themeColor="text1"/>
          <w:lang w:eastAsia="zh-CN"/>
        </w:rPr>
        <w:t>:</w:t>
      </w:r>
      <w:r w:rsidRPr="00263307">
        <w:rPr>
          <w:rFonts w:ascii="Book Antiqua" w:hAnsi="Book Antiqua" w:cs="Times New Roman"/>
          <w:color w:val="000000" w:themeColor="text1"/>
        </w:rPr>
        <w:t xml:space="preserve"> </w:t>
      </w:r>
      <w:r w:rsidR="0069372B" w:rsidRPr="00263307">
        <w:rPr>
          <w:rFonts w:ascii="Book Antiqua" w:hAnsi="Book Antiqua" w:cs="Times New Roman"/>
          <w:color w:val="000000" w:themeColor="text1"/>
        </w:rPr>
        <w:t xml:space="preserve">Complicated </w:t>
      </w:r>
      <w:r w:rsidRPr="00263307">
        <w:rPr>
          <w:rFonts w:ascii="Book Antiqua" w:hAnsi="Book Antiqua" w:cs="Times New Roman"/>
          <w:color w:val="000000" w:themeColor="text1"/>
        </w:rPr>
        <w:t>appendicitis; CI</w:t>
      </w:r>
      <w:r w:rsidR="0069372B">
        <w:rPr>
          <w:rFonts w:ascii="Book Antiqua" w:eastAsia="宋体" w:hAnsi="Book Antiqua" w:cs="Times New Roman" w:hint="eastAsia"/>
          <w:color w:val="000000" w:themeColor="text1"/>
          <w:lang w:eastAsia="zh-CN"/>
        </w:rPr>
        <w:t>:</w:t>
      </w:r>
      <w:r w:rsidRPr="00263307">
        <w:rPr>
          <w:rFonts w:ascii="Book Antiqua" w:hAnsi="Book Antiqua" w:cs="Times New Roman"/>
          <w:color w:val="000000" w:themeColor="text1"/>
        </w:rPr>
        <w:t xml:space="preserve"> </w:t>
      </w:r>
      <w:r w:rsidR="0069372B" w:rsidRPr="00263307">
        <w:rPr>
          <w:rFonts w:ascii="Book Antiqua" w:hAnsi="Book Antiqua" w:cs="Times New Roman"/>
          <w:color w:val="000000" w:themeColor="text1"/>
        </w:rPr>
        <w:t xml:space="preserve">Confidence </w:t>
      </w:r>
      <w:r w:rsidRPr="00263307">
        <w:rPr>
          <w:rFonts w:ascii="Book Antiqua" w:hAnsi="Book Antiqua" w:cs="Times New Roman"/>
          <w:color w:val="000000" w:themeColor="text1"/>
        </w:rPr>
        <w:t>interval; SA</w:t>
      </w:r>
      <w:r w:rsidR="0069372B">
        <w:rPr>
          <w:rFonts w:ascii="Book Antiqua" w:eastAsia="宋体" w:hAnsi="Book Antiqua" w:cs="Times New Roman" w:hint="eastAsia"/>
          <w:color w:val="000000" w:themeColor="text1"/>
          <w:lang w:eastAsia="zh-CN"/>
        </w:rPr>
        <w:t xml:space="preserve">: </w:t>
      </w:r>
      <w:r w:rsidR="0069372B" w:rsidRPr="00263307">
        <w:rPr>
          <w:rFonts w:ascii="Book Antiqua" w:hAnsi="Book Antiqua" w:cs="Times New Roman"/>
          <w:color w:val="000000" w:themeColor="text1"/>
        </w:rPr>
        <w:t xml:space="preserve">Simple </w:t>
      </w:r>
      <w:r w:rsidRPr="00263307">
        <w:rPr>
          <w:rFonts w:ascii="Book Antiqua" w:hAnsi="Book Antiqua" w:cs="Times New Roman"/>
          <w:color w:val="000000" w:themeColor="text1"/>
        </w:rPr>
        <w:t>appendicitis</w:t>
      </w:r>
      <w:r w:rsidR="0069372B">
        <w:rPr>
          <w:rFonts w:ascii="Book Antiqua" w:eastAsia="宋体" w:hAnsi="Book Antiqua" w:cs="Times New Roman" w:hint="eastAsia"/>
          <w:color w:val="000000" w:themeColor="text1"/>
          <w:lang w:eastAsia="zh-CN"/>
        </w:rPr>
        <w:t xml:space="preserve">; </w:t>
      </w:r>
      <w:r w:rsidR="0069372B">
        <w:rPr>
          <w:rFonts w:ascii="Book Antiqua" w:hAnsi="Book Antiqua" w:cs="Times New Roman"/>
          <w:color w:val="000000" w:themeColor="text1"/>
        </w:rPr>
        <w:t>CRP</w:t>
      </w:r>
      <w:r w:rsidR="0069372B">
        <w:rPr>
          <w:rFonts w:ascii="Book Antiqua" w:eastAsia="宋体" w:hAnsi="Book Antiqua" w:cs="Times New Roman" w:hint="eastAsia"/>
          <w:color w:val="000000" w:themeColor="text1"/>
          <w:lang w:eastAsia="zh-CN"/>
        </w:rPr>
        <w:t xml:space="preserve">: </w:t>
      </w:r>
      <w:r w:rsidR="0069372B" w:rsidRPr="00263307">
        <w:rPr>
          <w:rFonts w:ascii="Book Antiqua" w:hAnsi="Book Antiqua" w:cs="Times New Roman"/>
          <w:color w:val="000000" w:themeColor="text1"/>
        </w:rPr>
        <w:t xml:space="preserve">C-reactive protein; </w:t>
      </w:r>
      <w:r w:rsidR="0069372B">
        <w:rPr>
          <w:rFonts w:ascii="Book Antiqua" w:hAnsi="Book Antiqua" w:cs="Times New Roman"/>
          <w:color w:val="000000" w:themeColor="text1"/>
        </w:rPr>
        <w:t>GFR</w:t>
      </w:r>
      <w:r w:rsidR="0069372B">
        <w:rPr>
          <w:rFonts w:ascii="Book Antiqua" w:eastAsia="宋体" w:hAnsi="Book Antiqua" w:cs="Times New Roman" w:hint="eastAsia"/>
          <w:color w:val="000000" w:themeColor="text1"/>
          <w:lang w:eastAsia="zh-CN"/>
        </w:rPr>
        <w:t xml:space="preserve">: </w:t>
      </w:r>
      <w:r w:rsidR="0069372B" w:rsidRPr="00263307">
        <w:rPr>
          <w:rFonts w:ascii="Book Antiqua" w:hAnsi="Book Antiqua" w:cs="Times New Roman"/>
          <w:color w:val="000000" w:themeColor="text1"/>
        </w:rPr>
        <w:t xml:space="preserve">Glomerular </w:t>
      </w:r>
      <w:r w:rsidR="0069372B">
        <w:rPr>
          <w:rFonts w:ascii="Book Antiqua" w:hAnsi="Book Antiqua" w:cs="Times New Roman"/>
          <w:color w:val="000000" w:themeColor="text1"/>
        </w:rPr>
        <w:t>filtration rate</w:t>
      </w:r>
      <w:r w:rsidRPr="00263307">
        <w:rPr>
          <w:rFonts w:ascii="Book Antiqua" w:hAnsi="Book Antiqua" w:cs="Times New Roman"/>
          <w:color w:val="000000" w:themeColor="text1"/>
        </w:rPr>
        <w:t>.</w:t>
      </w:r>
    </w:p>
    <w:p w14:paraId="10F09182" w14:textId="157CE36C" w:rsidR="007543B4" w:rsidRDefault="007543B4">
      <w:pPr>
        <w:rPr>
          <w:rFonts w:ascii="Book Antiqua" w:hAnsi="Book Antiqua" w:cs="Times New Roman"/>
          <w:color w:val="000000" w:themeColor="text1"/>
        </w:rPr>
      </w:pPr>
      <w:r>
        <w:rPr>
          <w:rFonts w:ascii="Book Antiqua" w:hAnsi="Book Antiqua" w:cs="Times New Roman"/>
          <w:color w:val="000000" w:themeColor="text1"/>
        </w:rPr>
        <w:br w:type="page"/>
      </w:r>
    </w:p>
    <w:p w14:paraId="45A145C4" w14:textId="05B5EE1C" w:rsidR="00511222" w:rsidRDefault="004414D0" w:rsidP="00760C29">
      <w:pPr>
        <w:adjustRightInd w:val="0"/>
        <w:snapToGrid w:val="0"/>
        <w:spacing w:line="360" w:lineRule="auto"/>
        <w:jc w:val="both"/>
        <w:rPr>
          <w:rFonts w:ascii="Book Antiqua" w:eastAsia="宋体" w:hAnsi="Book Antiqua" w:cs="Times New Roman"/>
          <w:b/>
          <w:color w:val="000000" w:themeColor="text1"/>
          <w:lang w:eastAsia="zh-CN"/>
        </w:rPr>
      </w:pPr>
      <w:r>
        <w:rPr>
          <w:noProof/>
          <w:lang w:eastAsia="zh-CN"/>
        </w:rPr>
        <w:lastRenderedPageBreak/>
        <w:drawing>
          <wp:inline distT="0" distB="0" distL="0" distR="0" wp14:anchorId="2F7C665D" wp14:editId="631E10B4">
            <wp:extent cx="4674412" cy="3241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79031" cy="3244453"/>
                    </a:xfrm>
                    <a:prstGeom prst="rect">
                      <a:avLst/>
                    </a:prstGeom>
                  </pic:spPr>
                </pic:pic>
              </a:graphicData>
            </a:graphic>
          </wp:inline>
        </w:drawing>
      </w:r>
    </w:p>
    <w:p w14:paraId="54814FB7" w14:textId="56FE4A6A" w:rsidR="00760C29" w:rsidRPr="00263307" w:rsidRDefault="0069372B" w:rsidP="00760C29">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b/>
          <w:color w:val="000000" w:themeColor="text1"/>
        </w:rPr>
        <w:t xml:space="preserve">Figure </w:t>
      </w:r>
      <w:r w:rsidR="000C6EF0">
        <w:rPr>
          <w:rFonts w:ascii="Book Antiqua" w:eastAsia="宋体" w:hAnsi="Book Antiqua" w:cs="Times New Roman" w:hint="eastAsia"/>
          <w:b/>
          <w:color w:val="000000" w:themeColor="text1"/>
          <w:lang w:eastAsia="zh-CN"/>
        </w:rPr>
        <w:t>2</w:t>
      </w:r>
      <w:r w:rsidR="00760C29" w:rsidRPr="00263307">
        <w:rPr>
          <w:rFonts w:ascii="Book Antiqua" w:hAnsi="Book Antiqua" w:cs="Times New Roman"/>
          <w:b/>
          <w:color w:val="000000" w:themeColor="text1"/>
        </w:rPr>
        <w:t xml:space="preserve"> Comparison of the regression models for prediction of complicated appendicitis</w:t>
      </w:r>
      <w:r>
        <w:rPr>
          <w:rFonts w:ascii="Book Antiqua" w:eastAsia="宋体" w:hAnsi="Book Antiqua" w:cs="Times New Roman" w:hint="eastAsia"/>
          <w:b/>
          <w:color w:val="000000" w:themeColor="text1"/>
          <w:lang w:eastAsia="zh-CN"/>
        </w:rPr>
        <w:t xml:space="preserve">. </w:t>
      </w:r>
      <w:r w:rsidR="00760C29" w:rsidRPr="00263307">
        <w:rPr>
          <w:rFonts w:ascii="Book Antiqua" w:hAnsi="Book Antiqua" w:cs="Times New Roman"/>
          <w:color w:val="000000" w:themeColor="text1"/>
        </w:rPr>
        <w:t xml:space="preserve">The </w:t>
      </w:r>
      <w:r w:rsidRPr="0069372B">
        <w:rPr>
          <w:rFonts w:ascii="Book Antiqua" w:hAnsi="Book Antiqua" w:cs="Times New Roman"/>
          <w:color w:val="000000" w:themeColor="text1"/>
        </w:rPr>
        <w:t xml:space="preserve">receiver operating characteristic </w:t>
      </w:r>
      <w:r w:rsidR="00760C29" w:rsidRPr="00263307">
        <w:rPr>
          <w:rFonts w:ascii="Book Antiqua" w:hAnsi="Book Antiqua" w:cs="Times New Roman"/>
          <w:color w:val="000000" w:themeColor="text1"/>
        </w:rPr>
        <w:t xml:space="preserve">curves are shown for Model 1 (explanatory variables: age &gt; 65 years old, onset-to-visit interval, anorexia, tachycardia, and fever) and Model 2 (explanatory variables: age &gt; 65 years old, onset-to-visit interval, anorexia, serum </w:t>
      </w:r>
      <w:r w:rsidRPr="00263307">
        <w:rPr>
          <w:rFonts w:ascii="Book Antiqua" w:hAnsi="Book Antiqua" w:cs="Times New Roman"/>
          <w:color w:val="000000" w:themeColor="text1"/>
        </w:rPr>
        <w:t xml:space="preserve">C-reactive protein </w:t>
      </w:r>
      <w:r w:rsidR="00760C29" w:rsidRPr="00263307">
        <w:rPr>
          <w:rFonts w:ascii="Book Antiqua" w:hAnsi="Book Antiqua" w:cs="Times New Roman"/>
          <w:color w:val="000000" w:themeColor="text1"/>
        </w:rPr>
        <w:t xml:space="preserve">level, renal dysfunction, and hyponatremia). </w:t>
      </w:r>
      <w:r w:rsidR="000C6EF0" w:rsidRPr="00263307">
        <w:rPr>
          <w:rFonts w:ascii="Book Antiqua" w:hAnsi="Book Antiqua"/>
          <w:color w:val="000000" w:themeColor="text1"/>
        </w:rPr>
        <w:t>Area under the curve</w:t>
      </w:r>
      <w:r w:rsidR="000C6EF0" w:rsidRPr="00263307">
        <w:rPr>
          <w:rFonts w:ascii="Book Antiqua" w:hAnsi="Book Antiqua" w:cs="Times New Roman"/>
          <w:color w:val="000000" w:themeColor="text1"/>
        </w:rPr>
        <w:t xml:space="preserve"> </w:t>
      </w:r>
      <w:r w:rsidR="00760C29" w:rsidRPr="00263307">
        <w:rPr>
          <w:rFonts w:ascii="Book Antiqua" w:hAnsi="Book Antiqua" w:cs="Times New Roman"/>
          <w:color w:val="000000" w:themeColor="text1"/>
        </w:rPr>
        <w:t xml:space="preserve">of the </w:t>
      </w:r>
      <w:r w:rsidRPr="0069372B">
        <w:rPr>
          <w:rFonts w:ascii="Book Antiqua" w:hAnsi="Book Antiqua" w:cs="Times New Roman"/>
          <w:color w:val="000000" w:themeColor="text1"/>
        </w:rPr>
        <w:t>receiver operating characteristic</w:t>
      </w:r>
      <w:r w:rsidR="00760C29" w:rsidRPr="00263307">
        <w:rPr>
          <w:rFonts w:ascii="Book Antiqua" w:hAnsi="Book Antiqua" w:cs="Times New Roman"/>
          <w:color w:val="000000" w:themeColor="text1"/>
        </w:rPr>
        <w:t xml:space="preserve"> curve for Model 2 is superior to that of Model 1 (0.87 </w:t>
      </w:r>
      <w:r w:rsidR="00760C29" w:rsidRPr="0069372B">
        <w:rPr>
          <w:rFonts w:ascii="Book Antiqua" w:hAnsi="Book Antiqua" w:cs="Times New Roman"/>
          <w:i/>
          <w:color w:val="000000" w:themeColor="text1"/>
        </w:rPr>
        <w:t>vs</w:t>
      </w:r>
      <w:r w:rsidR="00760C29" w:rsidRPr="00263307">
        <w:rPr>
          <w:rFonts w:ascii="Book Antiqua" w:hAnsi="Book Antiqua" w:cs="Times New Roman"/>
          <w:color w:val="000000" w:themeColor="text1"/>
        </w:rPr>
        <w:t xml:space="preserve"> 0.74).</w:t>
      </w:r>
    </w:p>
    <w:p w14:paraId="7FDC0874" w14:textId="77777777" w:rsidR="00760C29" w:rsidRPr="000C6EF0" w:rsidRDefault="00760C29" w:rsidP="00760C29">
      <w:pPr>
        <w:adjustRightInd w:val="0"/>
        <w:snapToGrid w:val="0"/>
        <w:spacing w:line="360" w:lineRule="auto"/>
        <w:jc w:val="both"/>
        <w:rPr>
          <w:rFonts w:ascii="Book Antiqua" w:hAnsi="Book Antiqua" w:cs="Times New Roman"/>
          <w:color w:val="000000" w:themeColor="text1"/>
        </w:rPr>
      </w:pPr>
    </w:p>
    <w:p w14:paraId="4D878C37" w14:textId="3B1575C6" w:rsidR="00511222" w:rsidRDefault="00D27132" w:rsidP="00760C29">
      <w:pPr>
        <w:adjustRightInd w:val="0"/>
        <w:snapToGrid w:val="0"/>
        <w:spacing w:line="360" w:lineRule="auto"/>
        <w:jc w:val="both"/>
        <w:rPr>
          <w:rFonts w:ascii="Book Antiqua" w:eastAsia="宋体" w:hAnsi="Book Antiqua" w:cs="Times New Roman"/>
          <w:b/>
          <w:color w:val="000000" w:themeColor="text1"/>
          <w:lang w:eastAsia="zh-CN"/>
        </w:rPr>
      </w:pPr>
      <w:r>
        <w:rPr>
          <w:noProof/>
          <w:lang w:eastAsia="zh-CN"/>
        </w:rPr>
        <w:lastRenderedPageBreak/>
        <w:drawing>
          <wp:inline distT="0" distB="0" distL="0" distR="0" wp14:anchorId="4153FE4D" wp14:editId="5E14CF3D">
            <wp:extent cx="4517532" cy="3138221"/>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21450" cy="3140942"/>
                    </a:xfrm>
                    <a:prstGeom prst="rect">
                      <a:avLst/>
                    </a:prstGeom>
                  </pic:spPr>
                </pic:pic>
              </a:graphicData>
            </a:graphic>
          </wp:inline>
        </w:drawing>
      </w:r>
    </w:p>
    <w:p w14:paraId="559783B0" w14:textId="7AB98320" w:rsidR="00F90456" w:rsidRPr="006C1C05" w:rsidRDefault="00760C29" w:rsidP="00263307">
      <w:pPr>
        <w:adjustRightInd w:val="0"/>
        <w:snapToGrid w:val="0"/>
        <w:spacing w:line="360" w:lineRule="auto"/>
        <w:jc w:val="both"/>
        <w:rPr>
          <w:rFonts w:ascii="Book Antiqua" w:eastAsia="宋体" w:hAnsi="Book Antiqua" w:cs="Times New Roman"/>
          <w:b/>
          <w:color w:val="000000" w:themeColor="text1"/>
          <w:lang w:eastAsia="zh-CN"/>
        </w:rPr>
      </w:pPr>
      <w:r w:rsidRPr="0069372B">
        <w:rPr>
          <w:rFonts w:ascii="Book Antiqua" w:hAnsi="Book Antiqua" w:cs="Times New Roman"/>
          <w:b/>
          <w:color w:val="000000" w:themeColor="text1"/>
        </w:rPr>
        <w:t xml:space="preserve">Figure </w:t>
      </w:r>
      <w:r w:rsidR="003F6BF4">
        <w:rPr>
          <w:rFonts w:ascii="Book Antiqua" w:eastAsia="宋体" w:hAnsi="Book Antiqua" w:cs="Times New Roman" w:hint="eastAsia"/>
          <w:b/>
          <w:color w:val="000000" w:themeColor="text1"/>
          <w:lang w:eastAsia="zh-CN"/>
        </w:rPr>
        <w:t>3</w:t>
      </w:r>
      <w:r w:rsidRPr="0069372B">
        <w:rPr>
          <w:rFonts w:ascii="Book Antiqua" w:hAnsi="Book Antiqua" w:cs="Times New Roman"/>
          <w:b/>
          <w:color w:val="000000" w:themeColor="text1"/>
        </w:rPr>
        <w:t xml:space="preserve"> Receiver operating characteristic curve of serum </w:t>
      </w:r>
      <w:r w:rsidR="0069372B" w:rsidRPr="0069372B">
        <w:rPr>
          <w:rFonts w:ascii="Book Antiqua" w:hAnsi="Book Antiqua" w:cs="Times New Roman"/>
          <w:b/>
          <w:color w:val="000000" w:themeColor="text1"/>
        </w:rPr>
        <w:t xml:space="preserve">C-reactive protein </w:t>
      </w:r>
      <w:r w:rsidRPr="0069372B">
        <w:rPr>
          <w:rFonts w:ascii="Book Antiqua" w:hAnsi="Book Antiqua" w:cs="Times New Roman"/>
          <w:b/>
          <w:color w:val="000000" w:themeColor="text1"/>
        </w:rPr>
        <w:t>level for prediction of complicated appendicitis.</w:t>
      </w:r>
      <w:r w:rsidR="000C6EF0">
        <w:rPr>
          <w:rFonts w:ascii="Book Antiqua" w:eastAsia="宋体" w:hAnsi="Book Antiqua" w:cs="Times New Roman" w:hint="eastAsia"/>
          <w:b/>
          <w:color w:val="000000" w:themeColor="text1"/>
          <w:lang w:eastAsia="zh-CN"/>
        </w:rPr>
        <w:t xml:space="preserve"> </w:t>
      </w:r>
      <w:r w:rsidR="000C6EF0" w:rsidRPr="000C6EF0">
        <w:rPr>
          <w:rFonts w:ascii="Book Antiqua" w:hAnsi="Book Antiqua" w:cs="Times New Roman"/>
          <w:color w:val="000000" w:themeColor="text1"/>
        </w:rPr>
        <w:t>Receiver operating characteristic</w:t>
      </w:r>
      <w:r w:rsidR="000C6EF0" w:rsidRPr="00263307">
        <w:rPr>
          <w:rFonts w:ascii="Book Antiqua" w:hAnsi="Book Antiqua" w:cs="Times New Roman"/>
          <w:color w:val="000000" w:themeColor="text1"/>
        </w:rPr>
        <w:t xml:space="preserve"> </w:t>
      </w:r>
      <w:r w:rsidRPr="00263307">
        <w:rPr>
          <w:rFonts w:ascii="Book Antiqua" w:hAnsi="Book Antiqua" w:cs="Times New Roman"/>
          <w:color w:val="000000" w:themeColor="text1"/>
        </w:rPr>
        <w:t xml:space="preserve">curve of serum </w:t>
      </w:r>
      <w:r w:rsidR="000C6EF0" w:rsidRPr="00263307">
        <w:rPr>
          <w:rFonts w:ascii="Book Antiqua" w:hAnsi="Book Antiqua" w:cs="Times New Roman"/>
          <w:color w:val="000000" w:themeColor="text1"/>
        </w:rPr>
        <w:t xml:space="preserve">C-reactive protein </w:t>
      </w:r>
      <w:r w:rsidR="000C6EF0">
        <w:rPr>
          <w:rFonts w:ascii="Book Antiqua" w:eastAsia="宋体" w:hAnsi="Book Antiqua" w:cs="Times New Roman" w:hint="eastAsia"/>
          <w:color w:val="000000" w:themeColor="text1"/>
          <w:lang w:eastAsia="zh-CN"/>
        </w:rPr>
        <w:t>(</w:t>
      </w:r>
      <w:r w:rsidRPr="00263307">
        <w:rPr>
          <w:rFonts w:ascii="Book Antiqua" w:hAnsi="Book Antiqua" w:cs="Times New Roman"/>
          <w:color w:val="000000" w:themeColor="text1"/>
        </w:rPr>
        <w:t>CRP</w:t>
      </w:r>
      <w:r w:rsidR="000C6EF0">
        <w:rPr>
          <w:rFonts w:ascii="Book Antiqua" w:eastAsia="宋体" w:hAnsi="Book Antiqua" w:cs="Times New Roman" w:hint="eastAsia"/>
          <w:color w:val="000000" w:themeColor="text1"/>
          <w:lang w:eastAsia="zh-CN"/>
        </w:rPr>
        <w:t>)</w:t>
      </w:r>
      <w:r w:rsidRPr="00263307">
        <w:rPr>
          <w:rFonts w:ascii="Book Antiqua" w:hAnsi="Book Antiqua" w:cs="Times New Roman"/>
          <w:color w:val="000000" w:themeColor="text1"/>
        </w:rPr>
        <w:t xml:space="preserve"> level for prediction of complicated appendicitis revealed an </w:t>
      </w:r>
      <w:r w:rsidR="000C6EF0" w:rsidRPr="00263307">
        <w:rPr>
          <w:rFonts w:ascii="Book Antiqua" w:hAnsi="Book Antiqua"/>
          <w:color w:val="000000" w:themeColor="text1"/>
        </w:rPr>
        <w:t>area under the curve</w:t>
      </w:r>
      <w:r w:rsidR="000C6EF0" w:rsidRPr="00263307">
        <w:rPr>
          <w:rFonts w:ascii="Book Antiqua" w:hAnsi="Book Antiqua" w:cs="Times New Roman"/>
          <w:color w:val="000000" w:themeColor="text1"/>
        </w:rPr>
        <w:t xml:space="preserve"> </w:t>
      </w:r>
      <w:r w:rsidRPr="00263307">
        <w:rPr>
          <w:rFonts w:ascii="Book Antiqua" w:hAnsi="Book Antiqua" w:cs="Times New Roman"/>
          <w:color w:val="000000" w:themeColor="text1"/>
        </w:rPr>
        <w:t>value of 0.85. The sensitivity and specificity are 94.7% and 55.1% when CRP ≥ was 1.0 mg/dL and 68.4% and 86.9% when CRP was ≥ 4.9 mg/dL, respectively.</w:t>
      </w:r>
    </w:p>
    <w:p w14:paraId="1AFFC344" w14:textId="77777777" w:rsidR="00F90456" w:rsidRPr="00263307" w:rsidRDefault="00F90456" w:rsidP="00263307">
      <w:pPr>
        <w:adjustRightInd w:val="0"/>
        <w:snapToGrid w:val="0"/>
        <w:spacing w:line="360" w:lineRule="auto"/>
        <w:jc w:val="both"/>
        <w:rPr>
          <w:rFonts w:ascii="Book Antiqua" w:hAnsi="Book Antiqua" w:cs="Times New Roman"/>
          <w:b/>
          <w:color w:val="000000" w:themeColor="text1"/>
        </w:rPr>
      </w:pPr>
      <w:r w:rsidRPr="00263307">
        <w:rPr>
          <w:rFonts w:ascii="Book Antiqua" w:hAnsi="Book Antiqua" w:cs="Times New Roman"/>
          <w:b/>
          <w:color w:val="000000" w:themeColor="text1"/>
        </w:rPr>
        <w:br w:type="page"/>
      </w:r>
    </w:p>
    <w:p w14:paraId="665F066A" w14:textId="590C904C" w:rsidR="000A59B5" w:rsidRPr="006C1C05" w:rsidRDefault="000A59B5" w:rsidP="00263307">
      <w:pPr>
        <w:adjustRightInd w:val="0"/>
        <w:snapToGrid w:val="0"/>
        <w:spacing w:line="360" w:lineRule="auto"/>
        <w:jc w:val="both"/>
        <w:rPr>
          <w:rFonts w:ascii="Book Antiqua" w:eastAsia="宋体" w:hAnsi="Book Antiqua" w:cs="Times New Roman"/>
          <w:b/>
          <w:color w:val="000000" w:themeColor="text1"/>
          <w:lang w:eastAsia="zh-CN"/>
        </w:rPr>
      </w:pPr>
      <w:r w:rsidRPr="00263307">
        <w:rPr>
          <w:rFonts w:ascii="Book Antiqua" w:hAnsi="Book Antiqua" w:cs="Times New Roman"/>
          <w:b/>
          <w:color w:val="000000" w:themeColor="text1"/>
        </w:rPr>
        <w:lastRenderedPageBreak/>
        <w:t>Table 1</w:t>
      </w:r>
      <w:r w:rsidR="0086144B" w:rsidRPr="00263307">
        <w:rPr>
          <w:rFonts w:ascii="Book Antiqua" w:hAnsi="Book Antiqua" w:cs="Times New Roman"/>
          <w:b/>
          <w:color w:val="000000" w:themeColor="text1"/>
        </w:rPr>
        <w:t xml:space="preserve"> Patient characteristics</w:t>
      </w:r>
      <w:r w:rsidR="006C1C05">
        <w:rPr>
          <w:rFonts w:ascii="Book Antiqua" w:eastAsia="宋体" w:hAnsi="Book Antiqua" w:cs="Times New Roman" w:hint="eastAsia"/>
          <w:b/>
          <w:color w:val="000000" w:themeColor="text1"/>
          <w:lang w:eastAsia="zh-CN"/>
        </w:rPr>
        <w:t xml:space="preserve">, </w:t>
      </w:r>
      <w:r w:rsidR="006C1C05" w:rsidRPr="006C1C05">
        <w:rPr>
          <w:rFonts w:ascii="Book Antiqua" w:eastAsia="宋体" w:hAnsi="Book Antiqua" w:cs="Times New Roman" w:hint="eastAsia"/>
          <w:b/>
          <w:i/>
          <w:color w:val="000000" w:themeColor="text1"/>
          <w:lang w:eastAsia="zh-CN"/>
        </w:rPr>
        <w:t>n</w:t>
      </w:r>
      <w:r w:rsidR="006C1C05">
        <w:rPr>
          <w:rFonts w:ascii="Book Antiqua" w:eastAsia="宋体" w:hAnsi="Book Antiqua" w:cs="Times New Roman" w:hint="eastAsia"/>
          <w:b/>
          <w:color w:val="000000" w:themeColor="text1"/>
          <w:lang w:eastAsia="zh-CN"/>
        </w:rPr>
        <w:t xml:space="preserve"> (%)</w:t>
      </w:r>
    </w:p>
    <w:tbl>
      <w:tblPr>
        <w:tblW w:w="5110" w:type="pct"/>
        <w:tblBorders>
          <w:top w:val="single" w:sz="8" w:space="0" w:color="auto"/>
          <w:bottom w:val="single" w:sz="8" w:space="0" w:color="auto"/>
        </w:tblBorders>
        <w:tblLayout w:type="fixed"/>
        <w:tblCellMar>
          <w:left w:w="99" w:type="dxa"/>
          <w:right w:w="99" w:type="dxa"/>
        </w:tblCellMar>
        <w:tblLook w:val="04A0" w:firstRow="1" w:lastRow="0" w:firstColumn="1" w:lastColumn="0" w:noHBand="0" w:noVBand="1"/>
      </w:tblPr>
      <w:tblGrid>
        <w:gridCol w:w="2455"/>
        <w:gridCol w:w="1653"/>
        <w:gridCol w:w="1763"/>
        <w:gridCol w:w="1763"/>
        <w:gridCol w:w="1051"/>
      </w:tblGrid>
      <w:tr w:rsidR="0044791D" w:rsidRPr="006C1C05" w14:paraId="00E7DD1C" w14:textId="77777777" w:rsidTr="00696484">
        <w:trPr>
          <w:trHeight w:val="380"/>
        </w:trPr>
        <w:tc>
          <w:tcPr>
            <w:tcW w:w="1413" w:type="pct"/>
            <w:tcBorders>
              <w:top w:val="single" w:sz="8" w:space="0" w:color="auto"/>
              <w:bottom w:val="single" w:sz="8" w:space="0" w:color="auto"/>
            </w:tcBorders>
            <w:shd w:val="clear" w:color="auto" w:fill="auto"/>
            <w:noWrap/>
            <w:vAlign w:val="center"/>
            <w:hideMark/>
          </w:tcPr>
          <w:p w14:paraId="3E4EA13D" w14:textId="7DA16BFC" w:rsidR="00143D6B" w:rsidRPr="00263307" w:rsidRDefault="00C267D9" w:rsidP="00C267D9">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b/>
                <w:color w:val="000000" w:themeColor="text1"/>
              </w:rPr>
              <w:t>Characteristics</w:t>
            </w:r>
          </w:p>
        </w:tc>
        <w:tc>
          <w:tcPr>
            <w:tcW w:w="951" w:type="pct"/>
            <w:tcBorders>
              <w:top w:val="single" w:sz="8" w:space="0" w:color="auto"/>
              <w:bottom w:val="single" w:sz="8" w:space="0" w:color="auto"/>
            </w:tcBorders>
            <w:shd w:val="clear" w:color="auto" w:fill="auto"/>
            <w:vAlign w:val="center"/>
            <w:hideMark/>
          </w:tcPr>
          <w:p w14:paraId="698C64BE" w14:textId="6A2AEA84" w:rsidR="00143D6B" w:rsidRPr="006C1C05" w:rsidRDefault="00143D6B" w:rsidP="00C267D9">
            <w:pPr>
              <w:adjustRightInd w:val="0"/>
              <w:snapToGrid w:val="0"/>
              <w:spacing w:line="360" w:lineRule="auto"/>
              <w:jc w:val="both"/>
              <w:rPr>
                <w:rFonts w:ascii="Book Antiqua" w:hAnsi="Book Antiqua" w:cs="Times New Roman"/>
                <w:b/>
                <w:color w:val="000000" w:themeColor="text1"/>
              </w:rPr>
            </w:pPr>
            <w:r w:rsidRPr="006C1C05">
              <w:rPr>
                <w:rFonts w:ascii="Book Antiqua" w:hAnsi="Book Antiqua" w:cs="Times New Roman"/>
                <w:b/>
                <w:color w:val="000000" w:themeColor="text1"/>
              </w:rPr>
              <w:t>All (</w:t>
            </w:r>
            <w:r w:rsidRPr="006C1C05">
              <w:rPr>
                <w:rFonts w:ascii="Book Antiqua" w:hAnsi="Book Antiqua" w:cs="Times New Roman"/>
                <w:b/>
                <w:i/>
                <w:color w:val="000000" w:themeColor="text1"/>
              </w:rPr>
              <w:t>n</w:t>
            </w:r>
            <w:r w:rsidR="006C1C05" w:rsidRPr="006C1C05">
              <w:rPr>
                <w:rFonts w:ascii="Book Antiqua" w:eastAsia="宋体" w:hAnsi="Book Antiqua" w:cs="Times New Roman" w:hint="eastAsia"/>
                <w:b/>
                <w:color w:val="000000" w:themeColor="text1"/>
                <w:lang w:eastAsia="zh-CN"/>
              </w:rPr>
              <w:t xml:space="preserve"> </w:t>
            </w:r>
            <w:r w:rsidRPr="006C1C05">
              <w:rPr>
                <w:rFonts w:ascii="Book Antiqua" w:hAnsi="Book Antiqua" w:cs="Times New Roman"/>
                <w:b/>
                <w:color w:val="000000" w:themeColor="text1"/>
              </w:rPr>
              <w:t>=</w:t>
            </w:r>
            <w:r w:rsidR="006C1C05" w:rsidRPr="006C1C05">
              <w:rPr>
                <w:rFonts w:ascii="Book Antiqua" w:eastAsia="宋体" w:hAnsi="Book Antiqua" w:cs="Times New Roman" w:hint="eastAsia"/>
                <w:b/>
                <w:color w:val="000000" w:themeColor="text1"/>
                <w:lang w:eastAsia="zh-CN"/>
              </w:rPr>
              <w:t xml:space="preserve"> </w:t>
            </w:r>
            <w:r w:rsidRPr="006C1C05">
              <w:rPr>
                <w:rFonts w:ascii="Book Antiqua" w:hAnsi="Book Antiqua" w:cs="Times New Roman"/>
                <w:b/>
                <w:color w:val="000000" w:themeColor="text1"/>
              </w:rPr>
              <w:t>236)</w:t>
            </w:r>
          </w:p>
        </w:tc>
        <w:tc>
          <w:tcPr>
            <w:tcW w:w="1015" w:type="pct"/>
            <w:tcBorders>
              <w:top w:val="single" w:sz="8" w:space="0" w:color="auto"/>
              <w:bottom w:val="single" w:sz="8" w:space="0" w:color="auto"/>
            </w:tcBorders>
            <w:shd w:val="clear" w:color="auto" w:fill="auto"/>
            <w:noWrap/>
            <w:vAlign w:val="center"/>
            <w:hideMark/>
          </w:tcPr>
          <w:p w14:paraId="4A01C715" w14:textId="4E2549D5" w:rsidR="00143D6B" w:rsidRPr="006C1C05" w:rsidRDefault="00143D6B" w:rsidP="00C267D9">
            <w:pPr>
              <w:adjustRightInd w:val="0"/>
              <w:snapToGrid w:val="0"/>
              <w:spacing w:line="360" w:lineRule="auto"/>
              <w:jc w:val="both"/>
              <w:rPr>
                <w:rFonts w:ascii="Book Antiqua" w:hAnsi="Book Antiqua" w:cs="Times New Roman"/>
                <w:b/>
                <w:color w:val="000000" w:themeColor="text1"/>
              </w:rPr>
            </w:pPr>
            <w:r w:rsidRPr="006C1C05">
              <w:rPr>
                <w:rFonts w:ascii="Book Antiqua" w:hAnsi="Book Antiqua" w:cs="Times New Roman"/>
                <w:b/>
                <w:color w:val="000000" w:themeColor="text1"/>
              </w:rPr>
              <w:t>SA (</w:t>
            </w:r>
            <w:r w:rsidR="006C1C05" w:rsidRPr="006C1C05">
              <w:rPr>
                <w:rFonts w:ascii="Book Antiqua" w:hAnsi="Book Antiqua" w:cs="Times New Roman"/>
                <w:b/>
                <w:i/>
                <w:color w:val="000000" w:themeColor="text1"/>
              </w:rPr>
              <w:t>n</w:t>
            </w:r>
            <w:r w:rsidR="006C1C05" w:rsidRPr="006C1C05">
              <w:rPr>
                <w:rFonts w:ascii="Book Antiqua" w:hAnsi="Book Antiqua" w:cs="Times New Roman"/>
                <w:b/>
                <w:color w:val="000000" w:themeColor="text1"/>
              </w:rPr>
              <w:t xml:space="preserve"> </w:t>
            </w:r>
            <w:r w:rsidRPr="006C1C05">
              <w:rPr>
                <w:rFonts w:ascii="Book Antiqua" w:hAnsi="Book Antiqua" w:cs="Times New Roman"/>
                <w:b/>
                <w:color w:val="000000" w:themeColor="text1"/>
              </w:rPr>
              <w:t>=</w:t>
            </w:r>
            <w:r w:rsidR="006C1C05" w:rsidRPr="006C1C05">
              <w:rPr>
                <w:rFonts w:ascii="Book Antiqua" w:eastAsia="宋体" w:hAnsi="Book Antiqua" w:cs="Times New Roman" w:hint="eastAsia"/>
                <w:b/>
                <w:color w:val="000000" w:themeColor="text1"/>
                <w:lang w:eastAsia="zh-CN"/>
              </w:rPr>
              <w:t xml:space="preserve"> </w:t>
            </w:r>
            <w:r w:rsidRPr="006C1C05">
              <w:rPr>
                <w:rFonts w:ascii="Book Antiqua" w:hAnsi="Book Antiqua" w:cs="Times New Roman"/>
                <w:b/>
                <w:color w:val="000000" w:themeColor="text1"/>
              </w:rPr>
              <w:t>198)</w:t>
            </w:r>
          </w:p>
        </w:tc>
        <w:tc>
          <w:tcPr>
            <w:tcW w:w="1015" w:type="pct"/>
            <w:tcBorders>
              <w:top w:val="single" w:sz="8" w:space="0" w:color="auto"/>
              <w:bottom w:val="single" w:sz="8" w:space="0" w:color="auto"/>
            </w:tcBorders>
            <w:shd w:val="clear" w:color="auto" w:fill="auto"/>
            <w:noWrap/>
            <w:vAlign w:val="center"/>
            <w:hideMark/>
          </w:tcPr>
          <w:p w14:paraId="413F4659" w14:textId="1C0B6D33" w:rsidR="00143D6B" w:rsidRPr="006C1C05" w:rsidRDefault="00143D6B" w:rsidP="00C267D9">
            <w:pPr>
              <w:adjustRightInd w:val="0"/>
              <w:snapToGrid w:val="0"/>
              <w:spacing w:line="360" w:lineRule="auto"/>
              <w:jc w:val="both"/>
              <w:rPr>
                <w:rFonts w:ascii="Book Antiqua" w:hAnsi="Book Antiqua" w:cs="Times New Roman"/>
                <w:b/>
                <w:color w:val="000000" w:themeColor="text1"/>
              </w:rPr>
            </w:pPr>
            <w:r w:rsidRPr="006C1C05">
              <w:rPr>
                <w:rFonts w:ascii="Book Antiqua" w:hAnsi="Book Antiqua" w:cs="Times New Roman"/>
                <w:b/>
                <w:color w:val="000000" w:themeColor="text1"/>
              </w:rPr>
              <w:t>CA (</w:t>
            </w:r>
            <w:r w:rsidR="006C1C05" w:rsidRPr="006C1C05">
              <w:rPr>
                <w:rFonts w:ascii="Book Antiqua" w:hAnsi="Book Antiqua" w:cs="Times New Roman"/>
                <w:b/>
                <w:i/>
                <w:color w:val="000000" w:themeColor="text1"/>
              </w:rPr>
              <w:t>n</w:t>
            </w:r>
            <w:r w:rsidR="006C1C05" w:rsidRPr="006C1C05">
              <w:rPr>
                <w:rFonts w:ascii="Book Antiqua" w:hAnsi="Book Antiqua" w:cs="Times New Roman"/>
                <w:b/>
                <w:color w:val="000000" w:themeColor="text1"/>
              </w:rPr>
              <w:t xml:space="preserve"> </w:t>
            </w:r>
            <w:r w:rsidRPr="006C1C05">
              <w:rPr>
                <w:rFonts w:ascii="Book Antiqua" w:hAnsi="Book Antiqua" w:cs="Times New Roman"/>
                <w:b/>
                <w:color w:val="000000" w:themeColor="text1"/>
              </w:rPr>
              <w:t>=</w:t>
            </w:r>
            <w:r w:rsidR="006C1C05" w:rsidRPr="006C1C05">
              <w:rPr>
                <w:rFonts w:ascii="Book Antiqua" w:eastAsia="宋体" w:hAnsi="Book Antiqua" w:cs="Times New Roman" w:hint="eastAsia"/>
                <w:b/>
                <w:color w:val="000000" w:themeColor="text1"/>
                <w:lang w:eastAsia="zh-CN"/>
              </w:rPr>
              <w:t xml:space="preserve"> </w:t>
            </w:r>
            <w:r w:rsidRPr="006C1C05">
              <w:rPr>
                <w:rFonts w:ascii="Book Antiqua" w:hAnsi="Book Antiqua" w:cs="Times New Roman"/>
                <w:b/>
                <w:color w:val="000000" w:themeColor="text1"/>
              </w:rPr>
              <w:t>38)</w:t>
            </w:r>
          </w:p>
        </w:tc>
        <w:tc>
          <w:tcPr>
            <w:tcW w:w="605" w:type="pct"/>
            <w:tcBorders>
              <w:top w:val="single" w:sz="8" w:space="0" w:color="auto"/>
              <w:bottom w:val="single" w:sz="8" w:space="0" w:color="auto"/>
            </w:tcBorders>
            <w:shd w:val="clear" w:color="auto" w:fill="auto"/>
            <w:noWrap/>
            <w:vAlign w:val="center"/>
            <w:hideMark/>
          </w:tcPr>
          <w:p w14:paraId="337A9661" w14:textId="7C004AEC" w:rsidR="00143D6B" w:rsidRPr="006C1C05" w:rsidRDefault="006C1C05" w:rsidP="00C267D9">
            <w:pPr>
              <w:adjustRightInd w:val="0"/>
              <w:snapToGrid w:val="0"/>
              <w:spacing w:line="360" w:lineRule="auto"/>
              <w:jc w:val="both"/>
              <w:rPr>
                <w:rFonts w:ascii="Book Antiqua" w:hAnsi="Book Antiqua" w:cs="Times New Roman"/>
                <w:b/>
                <w:color w:val="000000" w:themeColor="text1"/>
              </w:rPr>
            </w:pPr>
            <w:r w:rsidRPr="006C1C05">
              <w:rPr>
                <w:rFonts w:ascii="Book Antiqua" w:hAnsi="Book Antiqua" w:cs="Times New Roman"/>
                <w:b/>
                <w:i/>
                <w:color w:val="000000" w:themeColor="text1"/>
              </w:rPr>
              <w:t>P</w:t>
            </w:r>
            <w:r w:rsidRPr="006C1C05">
              <w:rPr>
                <w:rFonts w:ascii="Book Antiqua" w:eastAsia="宋体" w:hAnsi="Book Antiqua" w:cs="Times New Roman" w:hint="eastAsia"/>
                <w:b/>
                <w:color w:val="000000" w:themeColor="text1"/>
                <w:lang w:eastAsia="zh-CN"/>
              </w:rPr>
              <w:t xml:space="preserve"> </w:t>
            </w:r>
            <w:r w:rsidR="00143D6B" w:rsidRPr="006C1C05">
              <w:rPr>
                <w:rFonts w:ascii="Book Antiqua" w:hAnsi="Book Antiqua" w:cs="Times New Roman"/>
                <w:b/>
                <w:color w:val="000000" w:themeColor="text1"/>
              </w:rPr>
              <w:t>value</w:t>
            </w:r>
          </w:p>
        </w:tc>
      </w:tr>
      <w:tr w:rsidR="0044791D" w:rsidRPr="00263307" w14:paraId="060C6A0A" w14:textId="77777777" w:rsidTr="00696484">
        <w:trPr>
          <w:trHeight w:val="360"/>
        </w:trPr>
        <w:tc>
          <w:tcPr>
            <w:tcW w:w="1413" w:type="pct"/>
            <w:tcBorders>
              <w:top w:val="single" w:sz="8" w:space="0" w:color="auto"/>
            </w:tcBorders>
            <w:shd w:val="clear" w:color="auto" w:fill="auto"/>
            <w:noWrap/>
            <w:vAlign w:val="center"/>
            <w:hideMark/>
          </w:tcPr>
          <w:p w14:paraId="5A1A34CA" w14:textId="23426AB1" w:rsidR="00143D6B" w:rsidRPr="00263307" w:rsidRDefault="00143D6B" w:rsidP="006C1C05">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Age ≥ 65 (</w:t>
            </w:r>
            <w:proofErr w:type="spellStart"/>
            <w:r w:rsidR="006C1C05">
              <w:rPr>
                <w:rFonts w:ascii="Book Antiqua" w:eastAsia="宋体" w:hAnsi="Book Antiqua" w:cs="Times New Roman" w:hint="eastAsia"/>
                <w:color w:val="000000" w:themeColor="text1"/>
                <w:lang w:eastAsia="zh-CN"/>
              </w:rPr>
              <w:t>yr</w:t>
            </w:r>
            <w:proofErr w:type="spellEnd"/>
            <w:r w:rsidRPr="00263307">
              <w:rPr>
                <w:rFonts w:ascii="Book Antiqua" w:hAnsi="Book Antiqua" w:cs="Times New Roman"/>
                <w:color w:val="000000" w:themeColor="text1"/>
              </w:rPr>
              <w:t>)</w:t>
            </w:r>
          </w:p>
        </w:tc>
        <w:tc>
          <w:tcPr>
            <w:tcW w:w="951" w:type="pct"/>
            <w:tcBorders>
              <w:top w:val="single" w:sz="8" w:space="0" w:color="auto"/>
            </w:tcBorders>
            <w:shd w:val="clear" w:color="auto" w:fill="auto"/>
            <w:vAlign w:val="center"/>
            <w:hideMark/>
          </w:tcPr>
          <w:p w14:paraId="3A681D60" w14:textId="2AE5B824"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17 (7.2</w:t>
            </w:r>
            <w:r w:rsidR="00143D6B" w:rsidRPr="00263307">
              <w:rPr>
                <w:rFonts w:ascii="Book Antiqua" w:hAnsi="Book Antiqua" w:cs="Times New Roman"/>
                <w:color w:val="000000" w:themeColor="text1"/>
              </w:rPr>
              <w:t>)</w:t>
            </w:r>
          </w:p>
        </w:tc>
        <w:tc>
          <w:tcPr>
            <w:tcW w:w="1015" w:type="pct"/>
            <w:tcBorders>
              <w:top w:val="single" w:sz="8" w:space="0" w:color="auto"/>
            </w:tcBorders>
            <w:shd w:val="clear" w:color="auto" w:fill="auto"/>
            <w:noWrap/>
            <w:vAlign w:val="center"/>
            <w:hideMark/>
          </w:tcPr>
          <w:p w14:paraId="473BB1B5" w14:textId="336E1BBC"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10 (5.1</w:t>
            </w:r>
            <w:r w:rsidR="00143D6B" w:rsidRPr="00263307">
              <w:rPr>
                <w:rFonts w:ascii="Book Antiqua" w:hAnsi="Book Antiqua" w:cs="Times New Roman"/>
                <w:color w:val="000000" w:themeColor="text1"/>
              </w:rPr>
              <w:t>)</w:t>
            </w:r>
          </w:p>
        </w:tc>
        <w:tc>
          <w:tcPr>
            <w:tcW w:w="1015" w:type="pct"/>
            <w:tcBorders>
              <w:top w:val="single" w:sz="8" w:space="0" w:color="auto"/>
            </w:tcBorders>
            <w:shd w:val="clear" w:color="auto" w:fill="auto"/>
            <w:noWrap/>
            <w:vAlign w:val="center"/>
            <w:hideMark/>
          </w:tcPr>
          <w:p w14:paraId="581D51AE" w14:textId="614225BF"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7 (18.4</w:t>
            </w:r>
            <w:r w:rsidR="00143D6B" w:rsidRPr="00263307">
              <w:rPr>
                <w:rFonts w:ascii="Book Antiqua" w:hAnsi="Book Antiqua" w:cs="Times New Roman"/>
                <w:color w:val="000000" w:themeColor="text1"/>
              </w:rPr>
              <w:t>)</w:t>
            </w:r>
          </w:p>
        </w:tc>
        <w:tc>
          <w:tcPr>
            <w:tcW w:w="605" w:type="pct"/>
            <w:tcBorders>
              <w:top w:val="single" w:sz="8" w:space="0" w:color="auto"/>
            </w:tcBorders>
            <w:shd w:val="clear" w:color="auto" w:fill="auto"/>
            <w:noWrap/>
            <w:vAlign w:val="center"/>
            <w:hideMark/>
          </w:tcPr>
          <w:p w14:paraId="77D373BF"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0.001</w:t>
            </w:r>
            <w:r w:rsidRPr="00263307">
              <w:rPr>
                <w:rFonts w:ascii="Book Antiqua" w:hAnsi="Book Antiqua" w:cs="Times New Roman"/>
                <w:color w:val="000000" w:themeColor="text1"/>
                <w:vertAlign w:val="superscript"/>
              </w:rPr>
              <w:t>a</w:t>
            </w:r>
          </w:p>
        </w:tc>
      </w:tr>
      <w:tr w:rsidR="0044791D" w:rsidRPr="00263307" w14:paraId="5CF78700" w14:textId="77777777" w:rsidTr="00696484">
        <w:trPr>
          <w:trHeight w:val="360"/>
        </w:trPr>
        <w:tc>
          <w:tcPr>
            <w:tcW w:w="1413" w:type="pct"/>
            <w:shd w:val="clear" w:color="auto" w:fill="auto"/>
            <w:noWrap/>
            <w:vAlign w:val="center"/>
            <w:hideMark/>
          </w:tcPr>
          <w:p w14:paraId="254CBAA8" w14:textId="39D387A9" w:rsidR="00143D6B" w:rsidRPr="00263307" w:rsidRDefault="00143D6B" w:rsidP="006C1C05">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Age (</w:t>
            </w:r>
            <w:proofErr w:type="spellStart"/>
            <w:r w:rsidR="006C1C05">
              <w:rPr>
                <w:rFonts w:ascii="Book Antiqua" w:eastAsia="宋体" w:hAnsi="Book Antiqua" w:cs="Times New Roman" w:hint="eastAsia"/>
                <w:color w:val="000000" w:themeColor="text1"/>
                <w:lang w:eastAsia="zh-CN"/>
              </w:rPr>
              <w:t>yr</w:t>
            </w:r>
            <w:proofErr w:type="spellEnd"/>
            <w:r w:rsidRPr="00263307">
              <w:rPr>
                <w:rFonts w:ascii="Book Antiqua" w:hAnsi="Book Antiqua" w:cs="Times New Roman"/>
                <w:color w:val="000000" w:themeColor="text1"/>
              </w:rPr>
              <w:t>)</w:t>
            </w:r>
          </w:p>
        </w:tc>
        <w:tc>
          <w:tcPr>
            <w:tcW w:w="951" w:type="pct"/>
            <w:shd w:val="clear" w:color="auto" w:fill="auto"/>
            <w:vAlign w:val="center"/>
            <w:hideMark/>
          </w:tcPr>
          <w:p w14:paraId="0BA17B47" w14:textId="5D82AB3F" w:rsidR="00143D6B" w:rsidRPr="00C4064E" w:rsidRDefault="00C4064E"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35.5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25-50.5</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4D0307C4" w14:textId="1C6FA9C5" w:rsidR="00143D6B" w:rsidRPr="00C4064E" w:rsidRDefault="00C4064E"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34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24-45</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084DD428" w14:textId="7AA8FCF0" w:rsidR="00143D6B" w:rsidRPr="00C4064E" w:rsidRDefault="00C4064E"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49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35-63</w:t>
            </w:r>
            <w:r>
              <w:rPr>
                <w:rFonts w:ascii="Book Antiqua" w:eastAsia="宋体" w:hAnsi="Book Antiqua" w:cs="Times New Roman" w:hint="eastAsia"/>
                <w:color w:val="000000" w:themeColor="text1"/>
                <w:lang w:eastAsia="zh-CN"/>
              </w:rPr>
              <w:t>)</w:t>
            </w:r>
          </w:p>
        </w:tc>
        <w:tc>
          <w:tcPr>
            <w:tcW w:w="605" w:type="pct"/>
            <w:shd w:val="clear" w:color="auto" w:fill="auto"/>
            <w:noWrap/>
            <w:vAlign w:val="center"/>
            <w:hideMark/>
          </w:tcPr>
          <w:p w14:paraId="2CD0AFDD" w14:textId="142AFB46"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&lt;</w:t>
            </w:r>
            <w:r>
              <w:rPr>
                <w:rFonts w:ascii="Book Antiqua" w:eastAsia="宋体" w:hAnsi="Book Antiqua" w:cs="Times New Roman" w:hint="eastAsia"/>
                <w:color w:val="000000" w:themeColor="text1"/>
                <w:lang w:eastAsia="zh-CN"/>
              </w:rPr>
              <w:t xml:space="preserve"> </w:t>
            </w:r>
            <w:r>
              <w:rPr>
                <w:rFonts w:ascii="Book Antiqua" w:hAnsi="Book Antiqua" w:cs="Times New Roman"/>
                <w:color w:val="000000" w:themeColor="text1"/>
              </w:rPr>
              <w:t>0.00</w:t>
            </w:r>
            <w:r w:rsidR="00143D6B" w:rsidRPr="00263307">
              <w:rPr>
                <w:rFonts w:ascii="Book Antiqua" w:hAnsi="Book Antiqua" w:cs="Times New Roman"/>
                <w:color w:val="000000" w:themeColor="text1"/>
                <w:vertAlign w:val="superscript"/>
              </w:rPr>
              <w:t>a</w:t>
            </w:r>
          </w:p>
        </w:tc>
      </w:tr>
      <w:tr w:rsidR="0044791D" w:rsidRPr="00263307" w14:paraId="37346CE1" w14:textId="77777777" w:rsidTr="00696484">
        <w:trPr>
          <w:trHeight w:val="360"/>
        </w:trPr>
        <w:tc>
          <w:tcPr>
            <w:tcW w:w="1413" w:type="pct"/>
            <w:shd w:val="clear" w:color="auto" w:fill="auto"/>
            <w:noWrap/>
            <w:vAlign w:val="center"/>
            <w:hideMark/>
          </w:tcPr>
          <w:p w14:paraId="1F030369"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Male</w:t>
            </w:r>
          </w:p>
        </w:tc>
        <w:tc>
          <w:tcPr>
            <w:tcW w:w="951" w:type="pct"/>
            <w:shd w:val="clear" w:color="auto" w:fill="auto"/>
            <w:vAlign w:val="center"/>
            <w:hideMark/>
          </w:tcPr>
          <w:p w14:paraId="51A6A903" w14:textId="5432918B"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129 (54.7</w:t>
            </w:r>
            <w:r w:rsidR="00143D6B" w:rsidRPr="00263307">
              <w:rPr>
                <w:rFonts w:ascii="Book Antiqua" w:hAnsi="Book Antiqua" w:cs="Times New Roman"/>
                <w:color w:val="000000" w:themeColor="text1"/>
              </w:rPr>
              <w:t>)</w:t>
            </w:r>
          </w:p>
        </w:tc>
        <w:tc>
          <w:tcPr>
            <w:tcW w:w="1015" w:type="pct"/>
            <w:shd w:val="clear" w:color="auto" w:fill="auto"/>
            <w:noWrap/>
            <w:vAlign w:val="center"/>
            <w:hideMark/>
          </w:tcPr>
          <w:p w14:paraId="01AEB814" w14:textId="184388E3"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105 (53.0</w:t>
            </w:r>
            <w:r w:rsidR="00143D6B" w:rsidRPr="00263307">
              <w:rPr>
                <w:rFonts w:ascii="Book Antiqua" w:hAnsi="Book Antiqua" w:cs="Times New Roman"/>
                <w:color w:val="000000" w:themeColor="text1"/>
              </w:rPr>
              <w:t>)</w:t>
            </w:r>
          </w:p>
        </w:tc>
        <w:tc>
          <w:tcPr>
            <w:tcW w:w="1015" w:type="pct"/>
            <w:shd w:val="clear" w:color="auto" w:fill="auto"/>
            <w:noWrap/>
            <w:vAlign w:val="center"/>
            <w:hideMark/>
          </w:tcPr>
          <w:p w14:paraId="26D87E88" w14:textId="4DD7AEA8"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24 (63.2</w:t>
            </w:r>
            <w:r w:rsidR="00143D6B" w:rsidRPr="00263307">
              <w:rPr>
                <w:rFonts w:ascii="Book Antiqua" w:hAnsi="Book Antiqua" w:cs="Times New Roman"/>
                <w:color w:val="000000" w:themeColor="text1"/>
              </w:rPr>
              <w:t>)</w:t>
            </w:r>
          </w:p>
        </w:tc>
        <w:tc>
          <w:tcPr>
            <w:tcW w:w="605" w:type="pct"/>
            <w:shd w:val="clear" w:color="auto" w:fill="auto"/>
            <w:noWrap/>
            <w:vAlign w:val="center"/>
            <w:hideMark/>
          </w:tcPr>
          <w:p w14:paraId="5A7AE1C7"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0.251</w:t>
            </w:r>
          </w:p>
        </w:tc>
      </w:tr>
      <w:tr w:rsidR="0044791D" w:rsidRPr="00263307" w14:paraId="6960C490" w14:textId="77777777" w:rsidTr="00696484">
        <w:trPr>
          <w:trHeight w:val="360"/>
        </w:trPr>
        <w:tc>
          <w:tcPr>
            <w:tcW w:w="1413" w:type="pct"/>
            <w:shd w:val="clear" w:color="auto" w:fill="auto"/>
            <w:noWrap/>
            <w:vAlign w:val="center"/>
            <w:hideMark/>
          </w:tcPr>
          <w:p w14:paraId="7141C88E" w14:textId="51FEBACC"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Onset-to-visit interval (</w:t>
            </w:r>
            <w:r w:rsidR="004462D8" w:rsidRPr="00263307">
              <w:rPr>
                <w:rFonts w:ascii="Book Antiqua" w:eastAsia="宋体" w:hAnsi="Book Antiqua" w:cs="Times New Roman"/>
                <w:color w:val="000000" w:themeColor="text1"/>
                <w:lang w:eastAsia="zh-CN"/>
              </w:rPr>
              <w:t>d</w:t>
            </w:r>
            <w:r w:rsidRPr="00263307">
              <w:rPr>
                <w:rFonts w:ascii="Book Antiqua" w:hAnsi="Book Antiqua" w:cs="Times New Roman"/>
                <w:color w:val="000000" w:themeColor="text1"/>
              </w:rPr>
              <w:t>)</w:t>
            </w:r>
          </w:p>
        </w:tc>
        <w:tc>
          <w:tcPr>
            <w:tcW w:w="951" w:type="pct"/>
            <w:shd w:val="clear" w:color="auto" w:fill="auto"/>
            <w:vAlign w:val="center"/>
            <w:hideMark/>
          </w:tcPr>
          <w:p w14:paraId="03B7E11B" w14:textId="007E2FF0" w:rsidR="00143D6B" w:rsidRPr="00C4064E" w:rsidRDefault="00C4064E"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0-1</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4043837A" w14:textId="53E2179F" w:rsidR="00143D6B" w:rsidRPr="00C4064E" w:rsidRDefault="00C4064E"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0-1</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7917C1C6" w14:textId="691E200E" w:rsidR="00143D6B" w:rsidRPr="00C4064E" w:rsidRDefault="00C4064E"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 </w:t>
            </w:r>
            <w:r>
              <w:rPr>
                <w:rFonts w:ascii="Book Antiqua" w:eastAsia="宋体" w:hAnsi="Book Antiqua" w:cs="Times New Roman" w:hint="eastAsia"/>
                <w:color w:val="000000" w:themeColor="text1"/>
                <w:lang w:eastAsia="zh-CN"/>
              </w:rPr>
              <w:t>(</w:t>
            </w:r>
            <w:r w:rsidR="00143D6B" w:rsidRPr="00263307">
              <w:rPr>
                <w:rFonts w:ascii="Book Antiqua" w:hAnsi="Book Antiqua" w:cs="Times New Roman"/>
                <w:color w:val="000000" w:themeColor="text1"/>
              </w:rPr>
              <w:t>1-</w:t>
            </w:r>
            <w:r>
              <w:rPr>
                <w:rFonts w:ascii="Book Antiqua" w:hAnsi="Book Antiqua" w:cs="Times New Roman"/>
                <w:color w:val="000000" w:themeColor="text1"/>
              </w:rPr>
              <w:t>2</w:t>
            </w:r>
            <w:r>
              <w:rPr>
                <w:rFonts w:ascii="Book Antiqua" w:eastAsia="宋体" w:hAnsi="Book Antiqua" w:cs="Times New Roman" w:hint="eastAsia"/>
                <w:color w:val="000000" w:themeColor="text1"/>
                <w:lang w:eastAsia="zh-CN"/>
              </w:rPr>
              <w:t>)</w:t>
            </w:r>
          </w:p>
        </w:tc>
        <w:tc>
          <w:tcPr>
            <w:tcW w:w="605" w:type="pct"/>
            <w:shd w:val="clear" w:color="auto" w:fill="auto"/>
            <w:noWrap/>
            <w:vAlign w:val="center"/>
            <w:hideMark/>
          </w:tcPr>
          <w:p w14:paraId="1F71BCB2" w14:textId="736D32AF"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&lt;</w:t>
            </w:r>
            <w:r w:rsidR="00C4064E">
              <w:rPr>
                <w:rFonts w:ascii="Book Antiqua" w:eastAsia="宋体" w:hAnsi="Book Antiqua" w:cs="Times New Roman" w:hint="eastAsia"/>
                <w:color w:val="000000" w:themeColor="text1"/>
                <w:lang w:eastAsia="zh-CN"/>
              </w:rPr>
              <w:t xml:space="preserve"> </w:t>
            </w:r>
            <w:r w:rsidRPr="00263307">
              <w:rPr>
                <w:rFonts w:ascii="Book Antiqua" w:hAnsi="Book Antiqua" w:cs="Times New Roman"/>
                <w:color w:val="000000" w:themeColor="text1"/>
              </w:rPr>
              <w:t>0.001</w:t>
            </w:r>
            <w:r w:rsidRPr="00263307">
              <w:rPr>
                <w:rFonts w:ascii="Book Antiqua" w:hAnsi="Book Antiqua" w:cs="Times New Roman"/>
                <w:color w:val="000000" w:themeColor="text1"/>
                <w:vertAlign w:val="superscript"/>
              </w:rPr>
              <w:t xml:space="preserve">a </w:t>
            </w:r>
          </w:p>
        </w:tc>
      </w:tr>
      <w:tr w:rsidR="0044791D" w:rsidRPr="00263307" w14:paraId="60B4427C" w14:textId="77777777" w:rsidTr="00696484">
        <w:trPr>
          <w:trHeight w:val="360"/>
        </w:trPr>
        <w:tc>
          <w:tcPr>
            <w:tcW w:w="1413" w:type="pct"/>
            <w:shd w:val="clear" w:color="auto" w:fill="auto"/>
            <w:noWrap/>
            <w:vAlign w:val="center"/>
            <w:hideMark/>
          </w:tcPr>
          <w:p w14:paraId="4061C897"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Epigastric/periumbilical pain</w:t>
            </w:r>
          </w:p>
        </w:tc>
        <w:tc>
          <w:tcPr>
            <w:tcW w:w="951" w:type="pct"/>
            <w:shd w:val="clear" w:color="auto" w:fill="auto"/>
            <w:vAlign w:val="center"/>
            <w:hideMark/>
          </w:tcPr>
          <w:p w14:paraId="02592180" w14:textId="5032C45A"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119 (50.4</w:t>
            </w:r>
            <w:r w:rsidR="00143D6B" w:rsidRPr="00263307">
              <w:rPr>
                <w:rFonts w:ascii="Book Antiqua" w:hAnsi="Book Antiqua" w:cs="Times New Roman"/>
                <w:color w:val="000000" w:themeColor="text1"/>
              </w:rPr>
              <w:t>)</w:t>
            </w:r>
          </w:p>
        </w:tc>
        <w:tc>
          <w:tcPr>
            <w:tcW w:w="1015" w:type="pct"/>
            <w:shd w:val="clear" w:color="auto" w:fill="auto"/>
            <w:noWrap/>
            <w:vAlign w:val="center"/>
            <w:hideMark/>
          </w:tcPr>
          <w:p w14:paraId="3066DA68" w14:textId="0C42AD38"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104 (52.5</w:t>
            </w:r>
            <w:r w:rsidR="00143D6B" w:rsidRPr="00263307">
              <w:rPr>
                <w:rFonts w:ascii="Book Antiqua" w:hAnsi="Book Antiqua" w:cs="Times New Roman"/>
                <w:color w:val="000000" w:themeColor="text1"/>
              </w:rPr>
              <w:t>)</w:t>
            </w:r>
          </w:p>
        </w:tc>
        <w:tc>
          <w:tcPr>
            <w:tcW w:w="1015" w:type="pct"/>
            <w:shd w:val="clear" w:color="auto" w:fill="auto"/>
            <w:noWrap/>
            <w:vAlign w:val="center"/>
            <w:hideMark/>
          </w:tcPr>
          <w:p w14:paraId="74D59661" w14:textId="7F06880C" w:rsidR="00143D6B" w:rsidRPr="00C4064E" w:rsidRDefault="00C4064E"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15 (39.5</w:t>
            </w:r>
            <w:r w:rsidR="00143D6B" w:rsidRPr="00263307">
              <w:rPr>
                <w:rFonts w:ascii="Book Antiqua" w:hAnsi="Book Antiqua" w:cs="Times New Roman"/>
                <w:color w:val="000000" w:themeColor="text1"/>
              </w:rPr>
              <w:t>)</w:t>
            </w:r>
          </w:p>
        </w:tc>
        <w:tc>
          <w:tcPr>
            <w:tcW w:w="605" w:type="pct"/>
            <w:shd w:val="clear" w:color="auto" w:fill="auto"/>
            <w:noWrap/>
            <w:vAlign w:val="center"/>
            <w:hideMark/>
          </w:tcPr>
          <w:p w14:paraId="40F70CD6"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0.141</w:t>
            </w:r>
          </w:p>
        </w:tc>
      </w:tr>
      <w:tr w:rsidR="0044791D" w:rsidRPr="00263307" w14:paraId="55C95B7F" w14:textId="77777777" w:rsidTr="00696484">
        <w:trPr>
          <w:trHeight w:val="360"/>
        </w:trPr>
        <w:tc>
          <w:tcPr>
            <w:tcW w:w="1413" w:type="pct"/>
            <w:shd w:val="clear" w:color="auto" w:fill="auto"/>
            <w:noWrap/>
            <w:vAlign w:val="center"/>
            <w:hideMark/>
          </w:tcPr>
          <w:p w14:paraId="7E677997"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RLQ pain</w:t>
            </w:r>
          </w:p>
        </w:tc>
        <w:tc>
          <w:tcPr>
            <w:tcW w:w="951" w:type="pct"/>
            <w:shd w:val="clear" w:color="auto" w:fill="auto"/>
            <w:vAlign w:val="center"/>
            <w:hideMark/>
          </w:tcPr>
          <w:p w14:paraId="62B0A14C" w14:textId="04CBF82D"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171 (72.5</w:t>
            </w:r>
            <w:r w:rsidR="00143D6B" w:rsidRPr="00263307">
              <w:rPr>
                <w:rFonts w:ascii="Book Antiqua" w:hAnsi="Book Antiqua" w:cs="Times New Roman"/>
                <w:color w:val="000000" w:themeColor="text1"/>
              </w:rPr>
              <w:t>)</w:t>
            </w:r>
          </w:p>
        </w:tc>
        <w:tc>
          <w:tcPr>
            <w:tcW w:w="1015" w:type="pct"/>
            <w:shd w:val="clear" w:color="auto" w:fill="auto"/>
            <w:noWrap/>
            <w:vAlign w:val="center"/>
            <w:hideMark/>
          </w:tcPr>
          <w:p w14:paraId="2D28BBCC" w14:textId="4692A781"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141 (71.2</w:t>
            </w:r>
            <w:r w:rsidR="00143D6B" w:rsidRPr="00263307">
              <w:rPr>
                <w:rFonts w:ascii="Book Antiqua" w:hAnsi="Book Antiqua" w:cs="Times New Roman"/>
                <w:color w:val="000000" w:themeColor="text1"/>
              </w:rPr>
              <w:t>)</w:t>
            </w:r>
          </w:p>
        </w:tc>
        <w:tc>
          <w:tcPr>
            <w:tcW w:w="1015" w:type="pct"/>
            <w:shd w:val="clear" w:color="auto" w:fill="auto"/>
            <w:noWrap/>
            <w:vAlign w:val="center"/>
            <w:hideMark/>
          </w:tcPr>
          <w:p w14:paraId="0EB95D20" w14:textId="27EEC571"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30 (79.0</w:t>
            </w:r>
            <w:r w:rsidR="00143D6B" w:rsidRPr="00263307">
              <w:rPr>
                <w:rFonts w:ascii="Book Antiqua" w:hAnsi="Book Antiqua" w:cs="Times New Roman"/>
                <w:color w:val="000000" w:themeColor="text1"/>
              </w:rPr>
              <w:t>)</w:t>
            </w:r>
          </w:p>
        </w:tc>
        <w:tc>
          <w:tcPr>
            <w:tcW w:w="605" w:type="pct"/>
            <w:shd w:val="clear" w:color="auto" w:fill="auto"/>
            <w:noWrap/>
            <w:vAlign w:val="center"/>
            <w:hideMark/>
          </w:tcPr>
          <w:p w14:paraId="78364A32"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0.328</w:t>
            </w:r>
          </w:p>
        </w:tc>
      </w:tr>
      <w:tr w:rsidR="0044791D" w:rsidRPr="00263307" w14:paraId="74278D32" w14:textId="77777777" w:rsidTr="00696484">
        <w:trPr>
          <w:trHeight w:val="360"/>
        </w:trPr>
        <w:tc>
          <w:tcPr>
            <w:tcW w:w="1413" w:type="pct"/>
            <w:shd w:val="clear" w:color="auto" w:fill="auto"/>
            <w:noWrap/>
            <w:vAlign w:val="center"/>
            <w:hideMark/>
          </w:tcPr>
          <w:p w14:paraId="28C7F061"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Nausea/vomiting</w:t>
            </w:r>
          </w:p>
        </w:tc>
        <w:tc>
          <w:tcPr>
            <w:tcW w:w="951" w:type="pct"/>
            <w:shd w:val="clear" w:color="auto" w:fill="auto"/>
            <w:vAlign w:val="center"/>
            <w:hideMark/>
          </w:tcPr>
          <w:p w14:paraId="195D7988" w14:textId="6B131273"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123 (52.1)</w:t>
            </w:r>
          </w:p>
        </w:tc>
        <w:tc>
          <w:tcPr>
            <w:tcW w:w="1015" w:type="pct"/>
            <w:shd w:val="clear" w:color="auto" w:fill="auto"/>
            <w:noWrap/>
            <w:vAlign w:val="center"/>
            <w:hideMark/>
          </w:tcPr>
          <w:p w14:paraId="320C040A" w14:textId="55B7ADC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106 (53.5)</w:t>
            </w:r>
          </w:p>
        </w:tc>
        <w:tc>
          <w:tcPr>
            <w:tcW w:w="1015" w:type="pct"/>
            <w:shd w:val="clear" w:color="auto" w:fill="auto"/>
            <w:noWrap/>
            <w:vAlign w:val="center"/>
            <w:hideMark/>
          </w:tcPr>
          <w:p w14:paraId="1203BEDD" w14:textId="79C05DDB"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17 (44.7</w:t>
            </w:r>
            <w:r w:rsidR="00143D6B" w:rsidRPr="00263307">
              <w:rPr>
                <w:rFonts w:ascii="Book Antiqua" w:hAnsi="Book Antiqua" w:cs="Times New Roman"/>
                <w:color w:val="000000" w:themeColor="text1"/>
              </w:rPr>
              <w:t>)</w:t>
            </w:r>
          </w:p>
        </w:tc>
        <w:tc>
          <w:tcPr>
            <w:tcW w:w="605" w:type="pct"/>
            <w:shd w:val="clear" w:color="auto" w:fill="auto"/>
            <w:noWrap/>
            <w:vAlign w:val="center"/>
            <w:hideMark/>
          </w:tcPr>
          <w:p w14:paraId="34BDE5D9"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0.32</w:t>
            </w:r>
          </w:p>
        </w:tc>
      </w:tr>
      <w:tr w:rsidR="0044791D" w:rsidRPr="00263307" w14:paraId="05BBE251" w14:textId="77777777" w:rsidTr="00696484">
        <w:trPr>
          <w:trHeight w:val="360"/>
        </w:trPr>
        <w:tc>
          <w:tcPr>
            <w:tcW w:w="1413" w:type="pct"/>
            <w:shd w:val="clear" w:color="auto" w:fill="auto"/>
            <w:noWrap/>
            <w:vAlign w:val="center"/>
            <w:hideMark/>
          </w:tcPr>
          <w:p w14:paraId="2C60AF6D"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Diarrhea</w:t>
            </w:r>
          </w:p>
        </w:tc>
        <w:tc>
          <w:tcPr>
            <w:tcW w:w="951" w:type="pct"/>
            <w:shd w:val="clear" w:color="auto" w:fill="auto"/>
            <w:vAlign w:val="center"/>
            <w:hideMark/>
          </w:tcPr>
          <w:p w14:paraId="1436B09B" w14:textId="029289A2"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46 (19.5)</w:t>
            </w:r>
          </w:p>
        </w:tc>
        <w:tc>
          <w:tcPr>
            <w:tcW w:w="1015" w:type="pct"/>
            <w:shd w:val="clear" w:color="auto" w:fill="auto"/>
            <w:noWrap/>
            <w:vAlign w:val="center"/>
            <w:hideMark/>
          </w:tcPr>
          <w:p w14:paraId="1121F324" w14:textId="4AB6B343"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38 (19.2)</w:t>
            </w:r>
          </w:p>
        </w:tc>
        <w:tc>
          <w:tcPr>
            <w:tcW w:w="1015" w:type="pct"/>
            <w:shd w:val="clear" w:color="auto" w:fill="auto"/>
            <w:noWrap/>
            <w:vAlign w:val="center"/>
            <w:hideMark/>
          </w:tcPr>
          <w:p w14:paraId="5E7974D5" w14:textId="5E080002"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8 (21.1)</w:t>
            </w:r>
          </w:p>
        </w:tc>
        <w:tc>
          <w:tcPr>
            <w:tcW w:w="605" w:type="pct"/>
            <w:shd w:val="clear" w:color="auto" w:fill="auto"/>
            <w:noWrap/>
            <w:vAlign w:val="center"/>
            <w:hideMark/>
          </w:tcPr>
          <w:p w14:paraId="7483F787"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0.791</w:t>
            </w:r>
          </w:p>
        </w:tc>
      </w:tr>
      <w:tr w:rsidR="0044791D" w:rsidRPr="00263307" w14:paraId="6919481B" w14:textId="77777777" w:rsidTr="00696484">
        <w:trPr>
          <w:trHeight w:val="360"/>
        </w:trPr>
        <w:tc>
          <w:tcPr>
            <w:tcW w:w="1413" w:type="pct"/>
            <w:shd w:val="clear" w:color="auto" w:fill="auto"/>
            <w:noWrap/>
            <w:vAlign w:val="center"/>
            <w:hideMark/>
          </w:tcPr>
          <w:p w14:paraId="13E6030A"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 xml:space="preserve">Anorexia </w:t>
            </w:r>
          </w:p>
        </w:tc>
        <w:tc>
          <w:tcPr>
            <w:tcW w:w="951" w:type="pct"/>
            <w:shd w:val="clear" w:color="auto" w:fill="auto"/>
            <w:vAlign w:val="center"/>
            <w:hideMark/>
          </w:tcPr>
          <w:p w14:paraId="7A0F404A" w14:textId="73F5486E"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64 (27.1)</w:t>
            </w:r>
          </w:p>
        </w:tc>
        <w:tc>
          <w:tcPr>
            <w:tcW w:w="1015" w:type="pct"/>
            <w:shd w:val="clear" w:color="auto" w:fill="auto"/>
            <w:noWrap/>
            <w:vAlign w:val="center"/>
            <w:hideMark/>
          </w:tcPr>
          <w:p w14:paraId="362256C9" w14:textId="23E89FE5"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48 (24.2)</w:t>
            </w:r>
          </w:p>
        </w:tc>
        <w:tc>
          <w:tcPr>
            <w:tcW w:w="1015" w:type="pct"/>
            <w:shd w:val="clear" w:color="auto" w:fill="auto"/>
            <w:noWrap/>
            <w:vAlign w:val="center"/>
            <w:hideMark/>
          </w:tcPr>
          <w:p w14:paraId="5E683941" w14:textId="2E4AD84D"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16 (42.1)</w:t>
            </w:r>
          </w:p>
        </w:tc>
        <w:tc>
          <w:tcPr>
            <w:tcW w:w="605" w:type="pct"/>
            <w:shd w:val="clear" w:color="auto" w:fill="auto"/>
            <w:noWrap/>
            <w:vAlign w:val="center"/>
            <w:hideMark/>
          </w:tcPr>
          <w:p w14:paraId="5F696374"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0.023</w:t>
            </w:r>
            <w:r w:rsidRPr="00263307">
              <w:rPr>
                <w:rFonts w:ascii="Book Antiqua" w:hAnsi="Book Antiqua" w:cs="Times New Roman"/>
                <w:color w:val="000000" w:themeColor="text1"/>
                <w:vertAlign w:val="superscript"/>
              </w:rPr>
              <w:t xml:space="preserve"> a </w:t>
            </w:r>
          </w:p>
        </w:tc>
      </w:tr>
      <w:tr w:rsidR="0044791D" w:rsidRPr="00263307" w14:paraId="7DFA7E2E" w14:textId="77777777" w:rsidTr="00696484">
        <w:trPr>
          <w:trHeight w:val="360"/>
        </w:trPr>
        <w:tc>
          <w:tcPr>
            <w:tcW w:w="1413" w:type="pct"/>
            <w:shd w:val="clear" w:color="auto" w:fill="auto"/>
            <w:noWrap/>
            <w:vAlign w:val="center"/>
            <w:hideMark/>
          </w:tcPr>
          <w:p w14:paraId="09F03464"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Previous appendicitis</w:t>
            </w:r>
          </w:p>
        </w:tc>
        <w:tc>
          <w:tcPr>
            <w:tcW w:w="951" w:type="pct"/>
            <w:shd w:val="clear" w:color="auto" w:fill="auto"/>
            <w:vAlign w:val="center"/>
            <w:hideMark/>
          </w:tcPr>
          <w:p w14:paraId="5F16881D" w14:textId="0858E016"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32 (13.6)</w:t>
            </w:r>
          </w:p>
        </w:tc>
        <w:tc>
          <w:tcPr>
            <w:tcW w:w="1015" w:type="pct"/>
            <w:shd w:val="clear" w:color="auto" w:fill="auto"/>
            <w:noWrap/>
            <w:vAlign w:val="center"/>
            <w:hideMark/>
          </w:tcPr>
          <w:p w14:paraId="7E70ABAE" w14:textId="549964DD"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30 (15.2)</w:t>
            </w:r>
          </w:p>
        </w:tc>
        <w:tc>
          <w:tcPr>
            <w:tcW w:w="1015" w:type="pct"/>
            <w:shd w:val="clear" w:color="auto" w:fill="auto"/>
            <w:noWrap/>
            <w:vAlign w:val="center"/>
            <w:hideMark/>
          </w:tcPr>
          <w:p w14:paraId="437728AC" w14:textId="1BBF46F5"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2 (5.3)</w:t>
            </w:r>
          </w:p>
        </w:tc>
        <w:tc>
          <w:tcPr>
            <w:tcW w:w="605" w:type="pct"/>
            <w:shd w:val="clear" w:color="auto" w:fill="auto"/>
            <w:noWrap/>
            <w:vAlign w:val="center"/>
            <w:hideMark/>
          </w:tcPr>
          <w:p w14:paraId="4D602F11"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0.103</w:t>
            </w:r>
          </w:p>
        </w:tc>
      </w:tr>
      <w:tr w:rsidR="0044791D" w:rsidRPr="00263307" w14:paraId="3DE8BBAA" w14:textId="77777777" w:rsidTr="00696484">
        <w:trPr>
          <w:trHeight w:val="360"/>
        </w:trPr>
        <w:tc>
          <w:tcPr>
            <w:tcW w:w="1413" w:type="pct"/>
            <w:shd w:val="clear" w:color="auto" w:fill="auto"/>
            <w:noWrap/>
            <w:vAlign w:val="center"/>
            <w:hideMark/>
          </w:tcPr>
          <w:p w14:paraId="0DC7B734"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Diabetes mellitus</w:t>
            </w:r>
          </w:p>
        </w:tc>
        <w:tc>
          <w:tcPr>
            <w:tcW w:w="951" w:type="pct"/>
            <w:shd w:val="clear" w:color="auto" w:fill="auto"/>
            <w:vAlign w:val="center"/>
            <w:hideMark/>
          </w:tcPr>
          <w:p w14:paraId="41CC0F8C" w14:textId="1411E239"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11 (4.7)</w:t>
            </w:r>
          </w:p>
        </w:tc>
        <w:tc>
          <w:tcPr>
            <w:tcW w:w="1015" w:type="pct"/>
            <w:shd w:val="clear" w:color="auto" w:fill="auto"/>
            <w:noWrap/>
            <w:vAlign w:val="center"/>
            <w:hideMark/>
          </w:tcPr>
          <w:p w14:paraId="4C7D368A" w14:textId="0D20678C"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7 (3.5)</w:t>
            </w:r>
          </w:p>
        </w:tc>
        <w:tc>
          <w:tcPr>
            <w:tcW w:w="1015" w:type="pct"/>
            <w:shd w:val="clear" w:color="auto" w:fill="auto"/>
            <w:noWrap/>
            <w:vAlign w:val="center"/>
            <w:hideMark/>
          </w:tcPr>
          <w:p w14:paraId="7AA22D50" w14:textId="2F311A3C"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4 (10.5)</w:t>
            </w:r>
          </w:p>
        </w:tc>
        <w:tc>
          <w:tcPr>
            <w:tcW w:w="605" w:type="pct"/>
            <w:shd w:val="clear" w:color="auto" w:fill="auto"/>
            <w:noWrap/>
            <w:vAlign w:val="center"/>
            <w:hideMark/>
          </w:tcPr>
          <w:p w14:paraId="3AB14675"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0.061</w:t>
            </w:r>
          </w:p>
        </w:tc>
      </w:tr>
      <w:tr w:rsidR="0044791D" w:rsidRPr="00263307" w14:paraId="0C2FB636" w14:textId="77777777" w:rsidTr="00696484">
        <w:trPr>
          <w:trHeight w:val="360"/>
        </w:trPr>
        <w:tc>
          <w:tcPr>
            <w:tcW w:w="1413" w:type="pct"/>
            <w:shd w:val="clear" w:color="auto" w:fill="auto"/>
            <w:noWrap/>
            <w:vAlign w:val="center"/>
            <w:hideMark/>
          </w:tcPr>
          <w:p w14:paraId="24743556"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Hypertension</w:t>
            </w:r>
          </w:p>
        </w:tc>
        <w:tc>
          <w:tcPr>
            <w:tcW w:w="951" w:type="pct"/>
            <w:shd w:val="clear" w:color="auto" w:fill="auto"/>
            <w:vAlign w:val="center"/>
            <w:hideMark/>
          </w:tcPr>
          <w:p w14:paraId="192EF026" w14:textId="09C8485E"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24 (10.2)</w:t>
            </w:r>
          </w:p>
        </w:tc>
        <w:tc>
          <w:tcPr>
            <w:tcW w:w="1015" w:type="pct"/>
            <w:shd w:val="clear" w:color="auto" w:fill="auto"/>
            <w:noWrap/>
            <w:vAlign w:val="center"/>
            <w:hideMark/>
          </w:tcPr>
          <w:p w14:paraId="38BF955B" w14:textId="638CE615"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20 (10.1)</w:t>
            </w:r>
          </w:p>
        </w:tc>
        <w:tc>
          <w:tcPr>
            <w:tcW w:w="1015" w:type="pct"/>
            <w:shd w:val="clear" w:color="auto" w:fill="auto"/>
            <w:noWrap/>
            <w:vAlign w:val="center"/>
            <w:hideMark/>
          </w:tcPr>
          <w:p w14:paraId="28D19CB3" w14:textId="2F63ACB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4 (10.5)</w:t>
            </w:r>
          </w:p>
        </w:tc>
        <w:tc>
          <w:tcPr>
            <w:tcW w:w="605" w:type="pct"/>
            <w:shd w:val="clear" w:color="auto" w:fill="auto"/>
            <w:noWrap/>
            <w:vAlign w:val="center"/>
            <w:hideMark/>
          </w:tcPr>
          <w:p w14:paraId="0C75544D"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0.937</w:t>
            </w:r>
          </w:p>
        </w:tc>
      </w:tr>
      <w:tr w:rsidR="0044791D" w:rsidRPr="00263307" w14:paraId="3040C54F" w14:textId="77777777" w:rsidTr="00696484">
        <w:trPr>
          <w:trHeight w:val="360"/>
        </w:trPr>
        <w:tc>
          <w:tcPr>
            <w:tcW w:w="1413" w:type="pct"/>
            <w:shd w:val="clear" w:color="auto" w:fill="auto"/>
            <w:noWrap/>
            <w:vAlign w:val="center"/>
            <w:hideMark/>
          </w:tcPr>
          <w:p w14:paraId="1D6DFDDA"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Dyslipidemia</w:t>
            </w:r>
          </w:p>
        </w:tc>
        <w:tc>
          <w:tcPr>
            <w:tcW w:w="951" w:type="pct"/>
            <w:shd w:val="clear" w:color="auto" w:fill="auto"/>
            <w:vAlign w:val="center"/>
            <w:hideMark/>
          </w:tcPr>
          <w:p w14:paraId="1FB04B92" w14:textId="1DE5B05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21 (8.9)</w:t>
            </w:r>
          </w:p>
        </w:tc>
        <w:tc>
          <w:tcPr>
            <w:tcW w:w="1015" w:type="pct"/>
            <w:shd w:val="clear" w:color="auto" w:fill="auto"/>
            <w:noWrap/>
            <w:vAlign w:val="center"/>
            <w:hideMark/>
          </w:tcPr>
          <w:p w14:paraId="494FDC6E" w14:textId="0FAAB481"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16 (8.1)</w:t>
            </w:r>
          </w:p>
        </w:tc>
        <w:tc>
          <w:tcPr>
            <w:tcW w:w="1015" w:type="pct"/>
            <w:shd w:val="clear" w:color="auto" w:fill="auto"/>
            <w:noWrap/>
            <w:vAlign w:val="center"/>
            <w:hideMark/>
          </w:tcPr>
          <w:p w14:paraId="17C8513D" w14:textId="22DB6380"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5 (13.2)</w:t>
            </w:r>
          </w:p>
        </w:tc>
        <w:tc>
          <w:tcPr>
            <w:tcW w:w="605" w:type="pct"/>
            <w:shd w:val="clear" w:color="auto" w:fill="auto"/>
            <w:noWrap/>
            <w:vAlign w:val="center"/>
            <w:hideMark/>
          </w:tcPr>
          <w:p w14:paraId="7AE14C80"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0.314</w:t>
            </w:r>
          </w:p>
        </w:tc>
      </w:tr>
      <w:tr w:rsidR="0044791D" w:rsidRPr="00263307" w14:paraId="70ED4B9B" w14:textId="77777777" w:rsidTr="00696484">
        <w:trPr>
          <w:trHeight w:val="360"/>
        </w:trPr>
        <w:tc>
          <w:tcPr>
            <w:tcW w:w="1413" w:type="pct"/>
            <w:shd w:val="clear" w:color="auto" w:fill="auto"/>
            <w:noWrap/>
            <w:vAlign w:val="center"/>
            <w:hideMark/>
          </w:tcPr>
          <w:p w14:paraId="3FDE3673"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Chronic lung diseases</w:t>
            </w:r>
          </w:p>
        </w:tc>
        <w:tc>
          <w:tcPr>
            <w:tcW w:w="951" w:type="pct"/>
            <w:shd w:val="clear" w:color="auto" w:fill="auto"/>
            <w:vAlign w:val="center"/>
            <w:hideMark/>
          </w:tcPr>
          <w:p w14:paraId="4ADBAFF2" w14:textId="5584E689"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2 (0.9)</w:t>
            </w:r>
          </w:p>
        </w:tc>
        <w:tc>
          <w:tcPr>
            <w:tcW w:w="1015" w:type="pct"/>
            <w:shd w:val="clear" w:color="auto" w:fill="auto"/>
            <w:noWrap/>
            <w:vAlign w:val="center"/>
            <w:hideMark/>
          </w:tcPr>
          <w:p w14:paraId="68F9AC68" w14:textId="668D0915"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 (0.5)</w:t>
            </w:r>
          </w:p>
        </w:tc>
        <w:tc>
          <w:tcPr>
            <w:tcW w:w="1015" w:type="pct"/>
            <w:shd w:val="clear" w:color="auto" w:fill="auto"/>
            <w:noWrap/>
            <w:vAlign w:val="center"/>
            <w:hideMark/>
          </w:tcPr>
          <w:p w14:paraId="4D57F549" w14:textId="4BA2595F"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 (2.6)</w:t>
            </w:r>
          </w:p>
        </w:tc>
        <w:tc>
          <w:tcPr>
            <w:tcW w:w="605" w:type="pct"/>
            <w:shd w:val="clear" w:color="auto" w:fill="auto"/>
            <w:noWrap/>
            <w:vAlign w:val="center"/>
            <w:hideMark/>
          </w:tcPr>
          <w:p w14:paraId="4269D3C0"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0.19</w:t>
            </w:r>
          </w:p>
        </w:tc>
      </w:tr>
      <w:tr w:rsidR="0044791D" w:rsidRPr="00263307" w14:paraId="39DBBEB6" w14:textId="77777777" w:rsidTr="00696484">
        <w:trPr>
          <w:trHeight w:val="360"/>
        </w:trPr>
        <w:tc>
          <w:tcPr>
            <w:tcW w:w="1413" w:type="pct"/>
            <w:shd w:val="clear" w:color="auto" w:fill="auto"/>
            <w:noWrap/>
            <w:vAlign w:val="center"/>
            <w:hideMark/>
          </w:tcPr>
          <w:p w14:paraId="5A7A77DC"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Malignancy</w:t>
            </w:r>
          </w:p>
        </w:tc>
        <w:tc>
          <w:tcPr>
            <w:tcW w:w="951" w:type="pct"/>
            <w:shd w:val="clear" w:color="auto" w:fill="auto"/>
            <w:vAlign w:val="center"/>
            <w:hideMark/>
          </w:tcPr>
          <w:p w14:paraId="27552B2F" w14:textId="2E4B7D2F"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 (0.4)</w:t>
            </w:r>
          </w:p>
        </w:tc>
        <w:tc>
          <w:tcPr>
            <w:tcW w:w="1015" w:type="pct"/>
            <w:shd w:val="clear" w:color="auto" w:fill="auto"/>
            <w:noWrap/>
            <w:vAlign w:val="center"/>
            <w:hideMark/>
          </w:tcPr>
          <w:p w14:paraId="09667202" w14:textId="210E4E9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 (0.5)</w:t>
            </w:r>
          </w:p>
        </w:tc>
        <w:tc>
          <w:tcPr>
            <w:tcW w:w="1015" w:type="pct"/>
            <w:shd w:val="clear" w:color="auto" w:fill="auto"/>
            <w:noWrap/>
            <w:vAlign w:val="center"/>
            <w:hideMark/>
          </w:tcPr>
          <w:p w14:paraId="3A307897"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w:t>
            </w:r>
          </w:p>
        </w:tc>
        <w:tc>
          <w:tcPr>
            <w:tcW w:w="605" w:type="pct"/>
            <w:shd w:val="clear" w:color="auto" w:fill="auto"/>
            <w:noWrap/>
            <w:vAlign w:val="center"/>
            <w:hideMark/>
          </w:tcPr>
          <w:p w14:paraId="708F05BB"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0.661</w:t>
            </w:r>
          </w:p>
        </w:tc>
      </w:tr>
      <w:tr w:rsidR="0044791D" w:rsidRPr="00263307" w14:paraId="26400B38" w14:textId="77777777" w:rsidTr="00696484">
        <w:trPr>
          <w:trHeight w:val="360"/>
        </w:trPr>
        <w:tc>
          <w:tcPr>
            <w:tcW w:w="1413" w:type="pct"/>
            <w:shd w:val="clear" w:color="auto" w:fill="auto"/>
            <w:noWrap/>
            <w:vAlign w:val="center"/>
            <w:hideMark/>
          </w:tcPr>
          <w:p w14:paraId="3E30159F"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Immunosuppressant use</w:t>
            </w:r>
          </w:p>
        </w:tc>
        <w:tc>
          <w:tcPr>
            <w:tcW w:w="951" w:type="pct"/>
            <w:shd w:val="clear" w:color="auto" w:fill="auto"/>
            <w:vAlign w:val="center"/>
            <w:hideMark/>
          </w:tcPr>
          <w:p w14:paraId="55BA55DE" w14:textId="3CE9BA84"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 (0.4)</w:t>
            </w:r>
          </w:p>
        </w:tc>
        <w:tc>
          <w:tcPr>
            <w:tcW w:w="1015" w:type="pct"/>
            <w:shd w:val="clear" w:color="auto" w:fill="auto"/>
            <w:noWrap/>
            <w:vAlign w:val="center"/>
            <w:hideMark/>
          </w:tcPr>
          <w:p w14:paraId="687D0F12" w14:textId="6DA5349D"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 (0.5)</w:t>
            </w:r>
          </w:p>
        </w:tc>
        <w:tc>
          <w:tcPr>
            <w:tcW w:w="1015" w:type="pct"/>
            <w:shd w:val="clear" w:color="auto" w:fill="auto"/>
            <w:noWrap/>
            <w:vAlign w:val="center"/>
            <w:hideMark/>
          </w:tcPr>
          <w:p w14:paraId="20B8152F"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w:t>
            </w:r>
          </w:p>
        </w:tc>
        <w:tc>
          <w:tcPr>
            <w:tcW w:w="605" w:type="pct"/>
            <w:shd w:val="clear" w:color="auto" w:fill="auto"/>
            <w:noWrap/>
            <w:vAlign w:val="center"/>
            <w:hideMark/>
          </w:tcPr>
          <w:p w14:paraId="51117847"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0.661</w:t>
            </w:r>
          </w:p>
        </w:tc>
      </w:tr>
      <w:tr w:rsidR="0044791D" w:rsidRPr="00263307" w14:paraId="38FF6C08" w14:textId="77777777" w:rsidTr="00696484">
        <w:trPr>
          <w:trHeight w:val="360"/>
        </w:trPr>
        <w:tc>
          <w:tcPr>
            <w:tcW w:w="1413" w:type="pct"/>
            <w:shd w:val="clear" w:color="auto" w:fill="auto"/>
            <w:noWrap/>
            <w:vAlign w:val="center"/>
            <w:hideMark/>
          </w:tcPr>
          <w:p w14:paraId="01FB2B81" w14:textId="5604145E"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Fever (≥</w:t>
            </w:r>
            <w:r w:rsidR="0047130C">
              <w:rPr>
                <w:rFonts w:ascii="Book Antiqua" w:eastAsia="宋体" w:hAnsi="Book Antiqua" w:cs="Times New Roman" w:hint="eastAsia"/>
                <w:color w:val="000000" w:themeColor="text1"/>
                <w:lang w:eastAsia="zh-CN"/>
              </w:rPr>
              <w:t xml:space="preserve"> </w:t>
            </w:r>
            <w:r w:rsidRPr="00263307">
              <w:rPr>
                <w:rFonts w:ascii="Book Antiqua" w:hAnsi="Book Antiqua" w:cs="Times New Roman"/>
                <w:color w:val="000000" w:themeColor="text1"/>
              </w:rPr>
              <w:t>38.0 °C)</w:t>
            </w:r>
          </w:p>
        </w:tc>
        <w:tc>
          <w:tcPr>
            <w:tcW w:w="951" w:type="pct"/>
            <w:shd w:val="clear" w:color="auto" w:fill="auto"/>
            <w:vAlign w:val="center"/>
            <w:hideMark/>
          </w:tcPr>
          <w:p w14:paraId="1BC0A445" w14:textId="75E062FE"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34 (14.4)</w:t>
            </w:r>
          </w:p>
        </w:tc>
        <w:tc>
          <w:tcPr>
            <w:tcW w:w="1015" w:type="pct"/>
            <w:shd w:val="clear" w:color="auto" w:fill="auto"/>
            <w:noWrap/>
            <w:vAlign w:val="center"/>
            <w:hideMark/>
          </w:tcPr>
          <w:p w14:paraId="486AAB95" w14:textId="3C42A322"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23 (11.6)</w:t>
            </w:r>
          </w:p>
        </w:tc>
        <w:tc>
          <w:tcPr>
            <w:tcW w:w="1015" w:type="pct"/>
            <w:shd w:val="clear" w:color="auto" w:fill="auto"/>
            <w:noWrap/>
            <w:vAlign w:val="center"/>
            <w:hideMark/>
          </w:tcPr>
          <w:p w14:paraId="3F454CAB" w14:textId="637928BD"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11 (29.0)</w:t>
            </w:r>
          </w:p>
        </w:tc>
        <w:tc>
          <w:tcPr>
            <w:tcW w:w="605" w:type="pct"/>
            <w:shd w:val="clear" w:color="auto" w:fill="auto"/>
            <w:noWrap/>
            <w:vAlign w:val="center"/>
            <w:hideMark/>
          </w:tcPr>
          <w:p w14:paraId="609B1848" w14:textId="4388D55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0.005</w:t>
            </w:r>
            <w:r w:rsidRPr="00263307">
              <w:rPr>
                <w:rFonts w:ascii="Book Antiqua" w:hAnsi="Book Antiqua" w:cs="Times New Roman"/>
                <w:color w:val="000000" w:themeColor="text1"/>
                <w:vertAlign w:val="superscript"/>
              </w:rPr>
              <w:t>a</w:t>
            </w:r>
            <w:r w:rsidRPr="00263307">
              <w:rPr>
                <w:rFonts w:ascii="Book Antiqua" w:hAnsi="Book Antiqua" w:cs="Times New Roman"/>
                <w:color w:val="000000" w:themeColor="text1"/>
              </w:rPr>
              <w:t xml:space="preserve"> </w:t>
            </w:r>
          </w:p>
        </w:tc>
      </w:tr>
      <w:tr w:rsidR="0044791D" w:rsidRPr="00263307" w14:paraId="1A58B513" w14:textId="77777777" w:rsidTr="00696484">
        <w:trPr>
          <w:trHeight w:val="360"/>
        </w:trPr>
        <w:tc>
          <w:tcPr>
            <w:tcW w:w="1413" w:type="pct"/>
            <w:shd w:val="clear" w:color="auto" w:fill="auto"/>
            <w:noWrap/>
            <w:vAlign w:val="center"/>
            <w:hideMark/>
          </w:tcPr>
          <w:p w14:paraId="39E03BA2"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Body temperature (°C)</w:t>
            </w:r>
          </w:p>
        </w:tc>
        <w:tc>
          <w:tcPr>
            <w:tcW w:w="951" w:type="pct"/>
            <w:shd w:val="clear" w:color="auto" w:fill="auto"/>
            <w:vAlign w:val="center"/>
            <w:hideMark/>
          </w:tcPr>
          <w:p w14:paraId="6A5C8FB0" w14:textId="6AC2BB5E"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37.0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36.7-37.5</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7C014AF8" w14:textId="4CA2FEB6"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37.0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36.6-37.4</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58A60BD8" w14:textId="0E778504"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37.5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37.1-37.9</w:t>
            </w:r>
            <w:r>
              <w:rPr>
                <w:rFonts w:ascii="Book Antiqua" w:eastAsia="宋体" w:hAnsi="Book Antiqua" w:cs="Times New Roman" w:hint="eastAsia"/>
                <w:color w:val="000000" w:themeColor="text1"/>
                <w:lang w:eastAsia="zh-CN"/>
              </w:rPr>
              <w:t>)</w:t>
            </w:r>
          </w:p>
        </w:tc>
        <w:tc>
          <w:tcPr>
            <w:tcW w:w="605" w:type="pct"/>
            <w:shd w:val="clear" w:color="auto" w:fill="auto"/>
            <w:noWrap/>
            <w:vAlign w:val="center"/>
            <w:hideMark/>
          </w:tcPr>
          <w:p w14:paraId="75215221" w14:textId="3D4CBA03"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&lt;</w:t>
            </w:r>
            <w:r w:rsidR="0047130C">
              <w:rPr>
                <w:rFonts w:ascii="Book Antiqua" w:eastAsia="宋体" w:hAnsi="Book Antiqua" w:cs="Times New Roman" w:hint="eastAsia"/>
                <w:color w:val="000000" w:themeColor="text1"/>
                <w:lang w:eastAsia="zh-CN"/>
              </w:rPr>
              <w:t xml:space="preserve"> </w:t>
            </w:r>
            <w:r w:rsidRPr="00263307">
              <w:rPr>
                <w:rFonts w:ascii="Book Antiqua" w:hAnsi="Book Antiqua" w:cs="Times New Roman"/>
                <w:color w:val="000000" w:themeColor="text1"/>
              </w:rPr>
              <w:t>0.001</w:t>
            </w:r>
            <w:r w:rsidRPr="00263307">
              <w:rPr>
                <w:rFonts w:ascii="Book Antiqua" w:hAnsi="Book Antiqua" w:cs="Times New Roman"/>
                <w:color w:val="000000" w:themeColor="text1"/>
                <w:vertAlign w:val="superscript"/>
              </w:rPr>
              <w:t>a</w:t>
            </w:r>
          </w:p>
        </w:tc>
      </w:tr>
      <w:tr w:rsidR="0044791D" w:rsidRPr="00263307" w14:paraId="6A6D543F" w14:textId="77777777" w:rsidTr="00696484">
        <w:trPr>
          <w:trHeight w:val="360"/>
        </w:trPr>
        <w:tc>
          <w:tcPr>
            <w:tcW w:w="1413" w:type="pct"/>
            <w:shd w:val="clear" w:color="auto" w:fill="auto"/>
            <w:noWrap/>
            <w:vAlign w:val="center"/>
            <w:hideMark/>
          </w:tcPr>
          <w:p w14:paraId="582761C2"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Tachycardia</w:t>
            </w:r>
          </w:p>
        </w:tc>
        <w:tc>
          <w:tcPr>
            <w:tcW w:w="951" w:type="pct"/>
            <w:shd w:val="clear" w:color="auto" w:fill="auto"/>
            <w:vAlign w:val="center"/>
            <w:hideMark/>
          </w:tcPr>
          <w:p w14:paraId="79DE30BB" w14:textId="3A1CCF40"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18 (7.6)</w:t>
            </w:r>
          </w:p>
        </w:tc>
        <w:tc>
          <w:tcPr>
            <w:tcW w:w="1015" w:type="pct"/>
            <w:shd w:val="clear" w:color="auto" w:fill="auto"/>
            <w:noWrap/>
            <w:vAlign w:val="center"/>
            <w:hideMark/>
          </w:tcPr>
          <w:p w14:paraId="5C006D4B" w14:textId="7E479600"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11 (5.6)</w:t>
            </w:r>
          </w:p>
        </w:tc>
        <w:tc>
          <w:tcPr>
            <w:tcW w:w="1015" w:type="pct"/>
            <w:shd w:val="clear" w:color="auto" w:fill="auto"/>
            <w:noWrap/>
            <w:vAlign w:val="center"/>
            <w:hideMark/>
          </w:tcPr>
          <w:p w14:paraId="176DBDBA" w14:textId="1B527058"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7 (18.4)</w:t>
            </w:r>
          </w:p>
        </w:tc>
        <w:tc>
          <w:tcPr>
            <w:tcW w:w="605" w:type="pct"/>
            <w:shd w:val="clear" w:color="auto" w:fill="auto"/>
            <w:noWrap/>
            <w:vAlign w:val="center"/>
            <w:hideMark/>
          </w:tcPr>
          <w:p w14:paraId="68143620" w14:textId="3F3E59BD"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0.006</w:t>
            </w:r>
            <w:r w:rsidRPr="00263307">
              <w:rPr>
                <w:rFonts w:ascii="Book Antiqua" w:hAnsi="Book Antiqua" w:cs="Times New Roman"/>
                <w:color w:val="000000" w:themeColor="text1"/>
                <w:vertAlign w:val="superscript"/>
              </w:rPr>
              <w:t>a</w:t>
            </w:r>
          </w:p>
        </w:tc>
      </w:tr>
      <w:tr w:rsidR="0044791D" w:rsidRPr="00263307" w14:paraId="6D96C1AA" w14:textId="77777777" w:rsidTr="00696484">
        <w:trPr>
          <w:trHeight w:val="360"/>
        </w:trPr>
        <w:tc>
          <w:tcPr>
            <w:tcW w:w="1413" w:type="pct"/>
            <w:shd w:val="clear" w:color="auto" w:fill="auto"/>
            <w:noWrap/>
            <w:vAlign w:val="center"/>
            <w:hideMark/>
          </w:tcPr>
          <w:p w14:paraId="7F45E0EE"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Heart rate (beats/min)</w:t>
            </w:r>
          </w:p>
        </w:tc>
        <w:tc>
          <w:tcPr>
            <w:tcW w:w="951" w:type="pct"/>
            <w:shd w:val="clear" w:color="auto" w:fill="auto"/>
            <w:vAlign w:val="center"/>
            <w:hideMark/>
          </w:tcPr>
          <w:p w14:paraId="36D307D1" w14:textId="04F7C235"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78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68-88</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58DFB26B" w14:textId="6DBA394C"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76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66-85</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18CC9661" w14:textId="1A5C3A7C"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85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76-96</w:t>
            </w:r>
            <w:r>
              <w:rPr>
                <w:rFonts w:ascii="Book Antiqua" w:eastAsia="宋体" w:hAnsi="Book Antiqua" w:cs="Times New Roman" w:hint="eastAsia"/>
                <w:color w:val="000000" w:themeColor="text1"/>
                <w:lang w:eastAsia="zh-CN"/>
              </w:rPr>
              <w:t>)</w:t>
            </w:r>
          </w:p>
        </w:tc>
        <w:tc>
          <w:tcPr>
            <w:tcW w:w="605" w:type="pct"/>
            <w:shd w:val="clear" w:color="auto" w:fill="auto"/>
            <w:noWrap/>
            <w:vAlign w:val="center"/>
            <w:hideMark/>
          </w:tcPr>
          <w:p w14:paraId="7BB1C31A" w14:textId="291B41A5"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&lt;</w:t>
            </w:r>
            <w:r w:rsidR="0047130C">
              <w:rPr>
                <w:rFonts w:ascii="Book Antiqua" w:eastAsia="宋体" w:hAnsi="Book Antiqua" w:cs="Times New Roman" w:hint="eastAsia"/>
                <w:color w:val="000000" w:themeColor="text1"/>
                <w:lang w:eastAsia="zh-CN"/>
              </w:rPr>
              <w:t xml:space="preserve"> </w:t>
            </w:r>
            <w:r w:rsidRPr="00263307">
              <w:rPr>
                <w:rFonts w:ascii="Book Antiqua" w:hAnsi="Book Antiqua" w:cs="Times New Roman"/>
                <w:color w:val="000000" w:themeColor="text1"/>
              </w:rPr>
              <w:t>0.001</w:t>
            </w:r>
            <w:r w:rsidRPr="00263307">
              <w:rPr>
                <w:rFonts w:ascii="Book Antiqua" w:hAnsi="Book Antiqua" w:cs="Times New Roman"/>
                <w:color w:val="000000" w:themeColor="text1"/>
                <w:vertAlign w:val="superscript"/>
              </w:rPr>
              <w:t>a</w:t>
            </w:r>
          </w:p>
        </w:tc>
      </w:tr>
      <w:tr w:rsidR="0044791D" w:rsidRPr="00263307" w14:paraId="70EBFBFC" w14:textId="77777777" w:rsidTr="00696484">
        <w:trPr>
          <w:trHeight w:val="360"/>
        </w:trPr>
        <w:tc>
          <w:tcPr>
            <w:tcW w:w="1413" w:type="pct"/>
            <w:shd w:val="clear" w:color="auto" w:fill="auto"/>
            <w:noWrap/>
            <w:vAlign w:val="center"/>
            <w:hideMark/>
          </w:tcPr>
          <w:p w14:paraId="4B909576"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Shock</w:t>
            </w:r>
          </w:p>
        </w:tc>
        <w:tc>
          <w:tcPr>
            <w:tcW w:w="951" w:type="pct"/>
            <w:shd w:val="clear" w:color="auto" w:fill="auto"/>
            <w:vAlign w:val="center"/>
            <w:hideMark/>
          </w:tcPr>
          <w:p w14:paraId="04C2AFB4" w14:textId="44AC9A7D"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6 (2.5)</w:t>
            </w:r>
          </w:p>
        </w:tc>
        <w:tc>
          <w:tcPr>
            <w:tcW w:w="1015" w:type="pct"/>
            <w:shd w:val="clear" w:color="auto" w:fill="auto"/>
            <w:noWrap/>
            <w:vAlign w:val="center"/>
            <w:hideMark/>
          </w:tcPr>
          <w:p w14:paraId="3BDB4C15" w14:textId="2CAF81EE"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5 (2.5)</w:t>
            </w:r>
          </w:p>
        </w:tc>
        <w:tc>
          <w:tcPr>
            <w:tcW w:w="1015" w:type="pct"/>
            <w:shd w:val="clear" w:color="auto" w:fill="auto"/>
            <w:noWrap/>
            <w:vAlign w:val="center"/>
            <w:hideMark/>
          </w:tcPr>
          <w:p w14:paraId="6702843D" w14:textId="64185D1A"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 (2.6)</w:t>
            </w:r>
          </w:p>
        </w:tc>
        <w:tc>
          <w:tcPr>
            <w:tcW w:w="605" w:type="pct"/>
            <w:shd w:val="clear" w:color="auto" w:fill="auto"/>
            <w:noWrap/>
            <w:vAlign w:val="center"/>
            <w:hideMark/>
          </w:tcPr>
          <w:p w14:paraId="6698045B"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0.97</w:t>
            </w:r>
          </w:p>
        </w:tc>
      </w:tr>
      <w:tr w:rsidR="0044791D" w:rsidRPr="00263307" w14:paraId="0B57344F" w14:textId="77777777" w:rsidTr="00696484">
        <w:trPr>
          <w:trHeight w:val="360"/>
        </w:trPr>
        <w:tc>
          <w:tcPr>
            <w:tcW w:w="1413" w:type="pct"/>
            <w:shd w:val="clear" w:color="auto" w:fill="auto"/>
            <w:noWrap/>
            <w:vAlign w:val="center"/>
            <w:hideMark/>
          </w:tcPr>
          <w:p w14:paraId="282EE617"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lastRenderedPageBreak/>
              <w:t>RLQ tenderness</w:t>
            </w:r>
          </w:p>
        </w:tc>
        <w:tc>
          <w:tcPr>
            <w:tcW w:w="951" w:type="pct"/>
            <w:shd w:val="clear" w:color="auto" w:fill="auto"/>
            <w:vAlign w:val="center"/>
            <w:hideMark/>
          </w:tcPr>
          <w:p w14:paraId="2A3DB76E" w14:textId="15B89FE4"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230 (97.5)</w:t>
            </w:r>
          </w:p>
        </w:tc>
        <w:tc>
          <w:tcPr>
            <w:tcW w:w="1015" w:type="pct"/>
            <w:shd w:val="clear" w:color="auto" w:fill="auto"/>
            <w:noWrap/>
            <w:vAlign w:val="center"/>
            <w:hideMark/>
          </w:tcPr>
          <w:p w14:paraId="1CB2BDD8" w14:textId="66DAA174"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192 (97.0)</w:t>
            </w:r>
          </w:p>
        </w:tc>
        <w:tc>
          <w:tcPr>
            <w:tcW w:w="1015" w:type="pct"/>
            <w:shd w:val="clear" w:color="auto" w:fill="auto"/>
            <w:noWrap/>
            <w:vAlign w:val="center"/>
            <w:hideMark/>
          </w:tcPr>
          <w:p w14:paraId="1029DADE" w14:textId="6C70BEBF"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38 (100)</w:t>
            </w:r>
          </w:p>
        </w:tc>
        <w:tc>
          <w:tcPr>
            <w:tcW w:w="605" w:type="pct"/>
            <w:shd w:val="clear" w:color="auto" w:fill="auto"/>
            <w:noWrap/>
            <w:vAlign w:val="center"/>
            <w:hideMark/>
          </w:tcPr>
          <w:p w14:paraId="30BE307F"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0.277</w:t>
            </w:r>
          </w:p>
        </w:tc>
      </w:tr>
      <w:tr w:rsidR="0044791D" w:rsidRPr="00263307" w14:paraId="24C0CC71" w14:textId="77777777" w:rsidTr="00696484">
        <w:trPr>
          <w:trHeight w:val="360"/>
        </w:trPr>
        <w:tc>
          <w:tcPr>
            <w:tcW w:w="1413" w:type="pct"/>
            <w:shd w:val="clear" w:color="auto" w:fill="auto"/>
            <w:noWrap/>
            <w:vAlign w:val="center"/>
            <w:hideMark/>
          </w:tcPr>
          <w:p w14:paraId="2B7E68B5"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Peritoneal signs</w:t>
            </w:r>
          </w:p>
        </w:tc>
        <w:tc>
          <w:tcPr>
            <w:tcW w:w="951" w:type="pct"/>
            <w:shd w:val="clear" w:color="auto" w:fill="auto"/>
            <w:vAlign w:val="center"/>
            <w:hideMark/>
          </w:tcPr>
          <w:p w14:paraId="2B83AF76" w14:textId="3C529CE6"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137 (58.1)</w:t>
            </w:r>
          </w:p>
        </w:tc>
        <w:tc>
          <w:tcPr>
            <w:tcW w:w="1015" w:type="pct"/>
            <w:shd w:val="clear" w:color="auto" w:fill="auto"/>
            <w:noWrap/>
            <w:vAlign w:val="center"/>
            <w:hideMark/>
          </w:tcPr>
          <w:p w14:paraId="75EF152F" w14:textId="4859F29B"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113 (57.1)</w:t>
            </w:r>
          </w:p>
        </w:tc>
        <w:tc>
          <w:tcPr>
            <w:tcW w:w="1015" w:type="pct"/>
            <w:shd w:val="clear" w:color="auto" w:fill="auto"/>
            <w:noWrap/>
            <w:vAlign w:val="center"/>
            <w:hideMark/>
          </w:tcPr>
          <w:p w14:paraId="700CABAD" w14:textId="656ED0C6"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24 (63.2</w:t>
            </w:r>
            <w:r w:rsidR="00143D6B" w:rsidRPr="00263307">
              <w:rPr>
                <w:rFonts w:ascii="Book Antiqua" w:hAnsi="Book Antiqua" w:cs="Times New Roman"/>
                <w:color w:val="000000" w:themeColor="text1"/>
              </w:rPr>
              <w:t>)</w:t>
            </w:r>
          </w:p>
        </w:tc>
        <w:tc>
          <w:tcPr>
            <w:tcW w:w="605" w:type="pct"/>
            <w:shd w:val="clear" w:color="auto" w:fill="auto"/>
            <w:noWrap/>
            <w:vAlign w:val="center"/>
            <w:hideMark/>
          </w:tcPr>
          <w:p w14:paraId="3122F293"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0.486</w:t>
            </w:r>
          </w:p>
        </w:tc>
      </w:tr>
      <w:tr w:rsidR="0044791D" w:rsidRPr="00263307" w14:paraId="184B43ED" w14:textId="77777777" w:rsidTr="00696484">
        <w:trPr>
          <w:trHeight w:val="360"/>
        </w:trPr>
        <w:tc>
          <w:tcPr>
            <w:tcW w:w="1413" w:type="pct"/>
            <w:shd w:val="clear" w:color="auto" w:fill="auto"/>
            <w:noWrap/>
            <w:vAlign w:val="center"/>
            <w:hideMark/>
          </w:tcPr>
          <w:p w14:paraId="136FD921"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Leukocytosis</w:t>
            </w:r>
          </w:p>
        </w:tc>
        <w:tc>
          <w:tcPr>
            <w:tcW w:w="951" w:type="pct"/>
            <w:shd w:val="clear" w:color="auto" w:fill="auto"/>
            <w:vAlign w:val="center"/>
            <w:hideMark/>
          </w:tcPr>
          <w:p w14:paraId="44E984CE" w14:textId="2A2CD22A"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177 (75.0</w:t>
            </w:r>
            <w:r w:rsidR="00143D6B" w:rsidRPr="00263307">
              <w:rPr>
                <w:rFonts w:ascii="Book Antiqua" w:hAnsi="Book Antiqua" w:cs="Times New Roman"/>
                <w:color w:val="000000" w:themeColor="text1"/>
              </w:rPr>
              <w:t>)</w:t>
            </w:r>
          </w:p>
        </w:tc>
        <w:tc>
          <w:tcPr>
            <w:tcW w:w="1015" w:type="pct"/>
            <w:shd w:val="clear" w:color="auto" w:fill="auto"/>
            <w:noWrap/>
            <w:vAlign w:val="center"/>
            <w:hideMark/>
          </w:tcPr>
          <w:p w14:paraId="4D98A70E" w14:textId="6EDC776D"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146 (73.7</w:t>
            </w:r>
            <w:r w:rsidR="00143D6B" w:rsidRPr="00263307">
              <w:rPr>
                <w:rFonts w:ascii="Book Antiqua" w:hAnsi="Book Antiqua" w:cs="Times New Roman"/>
                <w:color w:val="000000" w:themeColor="text1"/>
              </w:rPr>
              <w:t>)</w:t>
            </w:r>
          </w:p>
        </w:tc>
        <w:tc>
          <w:tcPr>
            <w:tcW w:w="1015" w:type="pct"/>
            <w:shd w:val="clear" w:color="auto" w:fill="auto"/>
            <w:noWrap/>
            <w:vAlign w:val="center"/>
            <w:hideMark/>
          </w:tcPr>
          <w:p w14:paraId="744DA437" w14:textId="7172641E" w:rsidR="00143D6B" w:rsidRPr="00263307" w:rsidRDefault="00C4064E" w:rsidP="00263307">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31 (81.6</w:t>
            </w:r>
            <w:r w:rsidR="00143D6B" w:rsidRPr="00263307">
              <w:rPr>
                <w:rFonts w:ascii="Book Antiqua" w:hAnsi="Book Antiqua" w:cs="Times New Roman"/>
                <w:color w:val="000000" w:themeColor="text1"/>
              </w:rPr>
              <w:t>)</w:t>
            </w:r>
          </w:p>
        </w:tc>
        <w:tc>
          <w:tcPr>
            <w:tcW w:w="605" w:type="pct"/>
            <w:shd w:val="clear" w:color="auto" w:fill="auto"/>
            <w:noWrap/>
            <w:vAlign w:val="center"/>
            <w:hideMark/>
          </w:tcPr>
          <w:p w14:paraId="61A1D3E8"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0.307</w:t>
            </w:r>
          </w:p>
        </w:tc>
      </w:tr>
      <w:tr w:rsidR="0044791D" w:rsidRPr="00263307" w14:paraId="1F24F5F4" w14:textId="77777777" w:rsidTr="00696484">
        <w:trPr>
          <w:trHeight w:val="360"/>
        </w:trPr>
        <w:tc>
          <w:tcPr>
            <w:tcW w:w="1413" w:type="pct"/>
            <w:shd w:val="clear" w:color="auto" w:fill="auto"/>
            <w:noWrap/>
            <w:vAlign w:val="center"/>
            <w:hideMark/>
          </w:tcPr>
          <w:p w14:paraId="1A798A01" w14:textId="758E3675"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Leukocyte count (10</w:t>
            </w:r>
            <w:r w:rsidRPr="00263307">
              <w:rPr>
                <w:rFonts w:ascii="Book Antiqua" w:hAnsi="Book Antiqua" w:cs="Times New Roman"/>
                <w:color w:val="000000" w:themeColor="text1"/>
                <w:vertAlign w:val="superscript"/>
              </w:rPr>
              <w:t>3</w:t>
            </w:r>
            <w:r w:rsidRPr="00263307">
              <w:rPr>
                <w:rFonts w:ascii="Book Antiqua" w:hAnsi="Book Antiqua" w:cs="Times New Roman"/>
                <w:color w:val="000000" w:themeColor="text1"/>
              </w:rPr>
              <w:t>/mm</w:t>
            </w:r>
            <w:r w:rsidRPr="00263307">
              <w:rPr>
                <w:rFonts w:ascii="Book Antiqua" w:hAnsi="Book Antiqua" w:cs="Times New Roman"/>
                <w:color w:val="000000" w:themeColor="text1"/>
                <w:vertAlign w:val="superscript"/>
              </w:rPr>
              <w:t>3</w:t>
            </w:r>
            <w:r w:rsidRPr="00263307">
              <w:rPr>
                <w:rFonts w:ascii="Book Antiqua" w:hAnsi="Book Antiqua" w:cs="Times New Roman"/>
                <w:color w:val="000000" w:themeColor="text1"/>
              </w:rPr>
              <w:t>)</w:t>
            </w:r>
          </w:p>
        </w:tc>
        <w:tc>
          <w:tcPr>
            <w:tcW w:w="951" w:type="pct"/>
            <w:shd w:val="clear" w:color="auto" w:fill="auto"/>
            <w:vAlign w:val="center"/>
            <w:hideMark/>
          </w:tcPr>
          <w:p w14:paraId="43B016F7" w14:textId="75EF419A"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12.6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10.1-15.2</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556DC9F6" w14:textId="6EE821EF"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12.6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10.0-15.2</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6FE9C01A" w14:textId="125A8FE9"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13.2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10.8-15.4</w:t>
            </w:r>
            <w:r>
              <w:rPr>
                <w:rFonts w:ascii="Book Antiqua" w:eastAsia="宋体" w:hAnsi="Book Antiqua" w:cs="Times New Roman" w:hint="eastAsia"/>
                <w:color w:val="000000" w:themeColor="text1"/>
                <w:lang w:eastAsia="zh-CN"/>
              </w:rPr>
              <w:t>)</w:t>
            </w:r>
          </w:p>
        </w:tc>
        <w:tc>
          <w:tcPr>
            <w:tcW w:w="605" w:type="pct"/>
            <w:shd w:val="clear" w:color="auto" w:fill="auto"/>
            <w:noWrap/>
            <w:vAlign w:val="center"/>
            <w:hideMark/>
          </w:tcPr>
          <w:p w14:paraId="757B8833"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0.497</w:t>
            </w:r>
          </w:p>
        </w:tc>
      </w:tr>
      <w:tr w:rsidR="0044791D" w:rsidRPr="00263307" w14:paraId="2FF7DD24" w14:textId="77777777" w:rsidTr="00696484">
        <w:trPr>
          <w:trHeight w:val="360"/>
        </w:trPr>
        <w:tc>
          <w:tcPr>
            <w:tcW w:w="1413" w:type="pct"/>
            <w:shd w:val="clear" w:color="auto" w:fill="auto"/>
            <w:noWrap/>
            <w:vAlign w:val="center"/>
            <w:hideMark/>
          </w:tcPr>
          <w:p w14:paraId="5A31D7BF"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CRP (mg/dL)</w:t>
            </w:r>
          </w:p>
        </w:tc>
        <w:tc>
          <w:tcPr>
            <w:tcW w:w="951" w:type="pct"/>
            <w:shd w:val="clear" w:color="auto" w:fill="auto"/>
            <w:vAlign w:val="center"/>
            <w:hideMark/>
          </w:tcPr>
          <w:p w14:paraId="452E9952" w14:textId="387F3C92"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1.1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0.2-4.1</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27BCBDF3" w14:textId="142A4435"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0.7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0.2-2.7</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0ECFE0FB" w14:textId="0F6F592C"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8.8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3.8-19.0</w:t>
            </w:r>
            <w:r>
              <w:rPr>
                <w:rFonts w:ascii="Book Antiqua" w:eastAsia="宋体" w:hAnsi="Book Antiqua" w:cs="Times New Roman" w:hint="eastAsia"/>
                <w:color w:val="000000" w:themeColor="text1"/>
                <w:lang w:eastAsia="zh-CN"/>
              </w:rPr>
              <w:t>)</w:t>
            </w:r>
          </w:p>
        </w:tc>
        <w:tc>
          <w:tcPr>
            <w:tcW w:w="605" w:type="pct"/>
            <w:shd w:val="clear" w:color="auto" w:fill="auto"/>
            <w:noWrap/>
            <w:vAlign w:val="center"/>
            <w:hideMark/>
          </w:tcPr>
          <w:p w14:paraId="57F6BE85" w14:textId="3DBCA302"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&lt;</w:t>
            </w:r>
            <w:r w:rsidR="0047130C">
              <w:rPr>
                <w:rFonts w:ascii="Book Antiqua" w:eastAsia="宋体" w:hAnsi="Book Antiqua" w:cs="Times New Roman" w:hint="eastAsia"/>
                <w:color w:val="000000" w:themeColor="text1"/>
                <w:lang w:eastAsia="zh-CN"/>
              </w:rPr>
              <w:t xml:space="preserve"> </w:t>
            </w:r>
            <w:r w:rsidRPr="00263307">
              <w:rPr>
                <w:rFonts w:ascii="Book Antiqua" w:hAnsi="Book Antiqua" w:cs="Times New Roman"/>
                <w:color w:val="000000" w:themeColor="text1"/>
              </w:rPr>
              <w:t>0.001</w:t>
            </w:r>
            <w:r w:rsidRPr="00263307">
              <w:rPr>
                <w:rFonts w:ascii="Book Antiqua" w:hAnsi="Book Antiqua" w:cs="Times New Roman"/>
                <w:color w:val="000000" w:themeColor="text1"/>
                <w:vertAlign w:val="superscript"/>
              </w:rPr>
              <w:t>a</w:t>
            </w:r>
          </w:p>
        </w:tc>
      </w:tr>
      <w:tr w:rsidR="0044791D" w:rsidRPr="00263307" w14:paraId="5584C90B" w14:textId="77777777" w:rsidTr="00696484">
        <w:trPr>
          <w:trHeight w:val="360"/>
        </w:trPr>
        <w:tc>
          <w:tcPr>
            <w:tcW w:w="1413" w:type="pct"/>
            <w:shd w:val="clear" w:color="auto" w:fill="auto"/>
            <w:noWrap/>
            <w:vAlign w:val="center"/>
            <w:hideMark/>
          </w:tcPr>
          <w:p w14:paraId="52EB8C56" w14:textId="3565552D" w:rsidR="00143D6B" w:rsidRPr="0047130C" w:rsidRDefault="00143D6B"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cs="Times New Roman"/>
                <w:color w:val="000000" w:themeColor="text1"/>
              </w:rPr>
              <w:t>GFR</w:t>
            </w:r>
            <w:r w:rsidR="0047130C">
              <w:rPr>
                <w:rFonts w:ascii="Book Antiqua" w:eastAsia="宋体" w:hAnsi="Book Antiqua" w:cs="Times New Roman" w:hint="eastAsia"/>
                <w:color w:val="000000" w:themeColor="text1"/>
                <w:lang w:eastAsia="zh-CN"/>
              </w:rPr>
              <w:t xml:space="preserve"> </w:t>
            </w:r>
            <w:r w:rsidRPr="00263307">
              <w:rPr>
                <w:rFonts w:ascii="Book Antiqua" w:hAnsi="Book Antiqua" w:cs="Times New Roman"/>
                <w:color w:val="000000" w:themeColor="text1"/>
              </w:rPr>
              <w:t>&lt;</w:t>
            </w:r>
            <w:r w:rsidR="0047130C">
              <w:rPr>
                <w:rFonts w:ascii="Book Antiqua" w:eastAsia="宋体" w:hAnsi="Book Antiqua" w:cs="Times New Roman" w:hint="eastAsia"/>
                <w:color w:val="000000" w:themeColor="text1"/>
                <w:lang w:eastAsia="zh-CN"/>
              </w:rPr>
              <w:t xml:space="preserve"> </w:t>
            </w:r>
            <w:r w:rsidR="0047130C">
              <w:rPr>
                <w:rFonts w:ascii="Book Antiqua" w:hAnsi="Book Antiqua" w:cs="Times New Roman"/>
                <w:color w:val="000000" w:themeColor="text1"/>
              </w:rPr>
              <w:t xml:space="preserve">60 </w:t>
            </w:r>
            <w:r w:rsidRPr="00263307">
              <w:rPr>
                <w:rFonts w:ascii="Book Antiqua" w:hAnsi="Book Antiqua" w:cs="Times New Roman"/>
                <w:color w:val="000000" w:themeColor="text1"/>
              </w:rPr>
              <w:t>mL/min/1.73</w:t>
            </w:r>
            <w:r w:rsidR="0047130C">
              <w:rPr>
                <w:rFonts w:ascii="Book Antiqua" w:eastAsia="宋体" w:hAnsi="Book Antiqua" w:cs="Times New Roman" w:hint="eastAsia"/>
                <w:color w:val="000000" w:themeColor="text1"/>
                <w:lang w:eastAsia="zh-CN"/>
              </w:rPr>
              <w:t xml:space="preserve"> </w:t>
            </w:r>
            <w:r w:rsidRPr="00263307">
              <w:rPr>
                <w:rFonts w:ascii="Book Antiqua" w:hAnsi="Book Antiqua" w:cs="Times New Roman"/>
                <w:color w:val="000000" w:themeColor="text1"/>
              </w:rPr>
              <w:t>m</w:t>
            </w:r>
            <w:r w:rsidRPr="00263307">
              <w:rPr>
                <w:rFonts w:ascii="Book Antiqua" w:hAnsi="Book Antiqua" w:cs="Times New Roman"/>
                <w:color w:val="000000" w:themeColor="text1"/>
                <w:vertAlign w:val="superscript"/>
              </w:rPr>
              <w:t>2</w:t>
            </w:r>
          </w:p>
        </w:tc>
        <w:tc>
          <w:tcPr>
            <w:tcW w:w="951" w:type="pct"/>
            <w:shd w:val="clear" w:color="auto" w:fill="auto"/>
            <w:vAlign w:val="center"/>
            <w:hideMark/>
          </w:tcPr>
          <w:p w14:paraId="3173AC6A" w14:textId="3DBCEFFD"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6 (2.5)</w:t>
            </w:r>
          </w:p>
        </w:tc>
        <w:tc>
          <w:tcPr>
            <w:tcW w:w="1015" w:type="pct"/>
            <w:shd w:val="clear" w:color="auto" w:fill="auto"/>
            <w:noWrap/>
            <w:vAlign w:val="center"/>
            <w:hideMark/>
          </w:tcPr>
          <w:p w14:paraId="3DAA2AEF" w14:textId="144F81EC"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 (0.5)</w:t>
            </w:r>
          </w:p>
        </w:tc>
        <w:tc>
          <w:tcPr>
            <w:tcW w:w="1015" w:type="pct"/>
            <w:shd w:val="clear" w:color="auto" w:fill="auto"/>
            <w:noWrap/>
            <w:vAlign w:val="center"/>
            <w:hideMark/>
          </w:tcPr>
          <w:p w14:paraId="443DF727" w14:textId="4937F960"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3 (13.2)</w:t>
            </w:r>
          </w:p>
        </w:tc>
        <w:tc>
          <w:tcPr>
            <w:tcW w:w="605" w:type="pct"/>
            <w:shd w:val="clear" w:color="auto" w:fill="auto"/>
            <w:noWrap/>
            <w:vAlign w:val="center"/>
            <w:hideMark/>
          </w:tcPr>
          <w:p w14:paraId="183F7554" w14:textId="1941E676"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&lt;</w:t>
            </w:r>
            <w:r w:rsidR="0047130C">
              <w:rPr>
                <w:rFonts w:ascii="Book Antiqua" w:eastAsia="宋体" w:hAnsi="Book Antiqua" w:cs="Times New Roman" w:hint="eastAsia"/>
                <w:color w:val="000000" w:themeColor="text1"/>
                <w:lang w:eastAsia="zh-CN"/>
              </w:rPr>
              <w:t xml:space="preserve"> </w:t>
            </w:r>
            <w:r w:rsidRPr="00263307">
              <w:rPr>
                <w:rFonts w:ascii="Book Antiqua" w:hAnsi="Book Antiqua" w:cs="Times New Roman"/>
                <w:color w:val="000000" w:themeColor="text1"/>
              </w:rPr>
              <w:t>0.001</w:t>
            </w:r>
            <w:r w:rsidRPr="00263307">
              <w:rPr>
                <w:rFonts w:ascii="Book Antiqua" w:hAnsi="Book Antiqua" w:cs="Times New Roman"/>
                <w:color w:val="000000" w:themeColor="text1"/>
                <w:vertAlign w:val="superscript"/>
              </w:rPr>
              <w:t>a</w:t>
            </w:r>
            <w:r w:rsidRPr="00263307">
              <w:rPr>
                <w:rFonts w:ascii="Book Antiqua" w:hAnsi="Book Antiqua" w:cs="Times New Roman"/>
                <w:color w:val="000000" w:themeColor="text1"/>
              </w:rPr>
              <w:t xml:space="preserve"> </w:t>
            </w:r>
          </w:p>
        </w:tc>
      </w:tr>
      <w:tr w:rsidR="0044791D" w:rsidRPr="00263307" w14:paraId="4893B709" w14:textId="77777777" w:rsidTr="00696484">
        <w:trPr>
          <w:trHeight w:val="480"/>
        </w:trPr>
        <w:tc>
          <w:tcPr>
            <w:tcW w:w="1413" w:type="pct"/>
            <w:shd w:val="clear" w:color="auto" w:fill="auto"/>
            <w:noWrap/>
            <w:vAlign w:val="center"/>
            <w:hideMark/>
          </w:tcPr>
          <w:p w14:paraId="6221874E" w14:textId="4F7C9830"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GFR (mL/min/1.73</w:t>
            </w:r>
            <w:r w:rsidR="0047130C">
              <w:rPr>
                <w:rFonts w:ascii="Book Antiqua" w:eastAsia="宋体" w:hAnsi="Book Antiqua" w:cs="Times New Roman" w:hint="eastAsia"/>
                <w:color w:val="000000" w:themeColor="text1"/>
                <w:lang w:eastAsia="zh-CN"/>
              </w:rPr>
              <w:t xml:space="preserve"> </w:t>
            </w:r>
            <w:r w:rsidRPr="00263307">
              <w:rPr>
                <w:rFonts w:ascii="Book Antiqua" w:hAnsi="Book Antiqua" w:cs="Times New Roman"/>
                <w:color w:val="000000" w:themeColor="text1"/>
              </w:rPr>
              <w:t>m</w:t>
            </w:r>
            <w:r w:rsidRPr="00263307">
              <w:rPr>
                <w:rFonts w:ascii="Book Antiqua" w:hAnsi="Book Antiqua" w:cs="Times New Roman"/>
                <w:color w:val="000000" w:themeColor="text1"/>
                <w:vertAlign w:val="superscript"/>
              </w:rPr>
              <w:t>2</w:t>
            </w:r>
            <w:r w:rsidRPr="00263307">
              <w:rPr>
                <w:rFonts w:ascii="Book Antiqua" w:hAnsi="Book Antiqua" w:cs="Times New Roman"/>
                <w:color w:val="000000" w:themeColor="text1"/>
              </w:rPr>
              <w:t>)</w:t>
            </w:r>
          </w:p>
        </w:tc>
        <w:tc>
          <w:tcPr>
            <w:tcW w:w="951" w:type="pct"/>
            <w:shd w:val="clear" w:color="auto" w:fill="auto"/>
            <w:vAlign w:val="center"/>
            <w:hideMark/>
          </w:tcPr>
          <w:p w14:paraId="3B50B326" w14:textId="5CD2FEFC"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120.7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101.6-140.4</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21F57D4B" w14:textId="44B57CE8"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123.8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103.7-142.9</w:t>
            </w:r>
            <w:r>
              <w:rPr>
                <w:rFonts w:ascii="Book Antiqua" w:eastAsia="宋体" w:hAnsi="Book Antiqua" w:cs="Times New Roman" w:hint="eastAsia"/>
                <w:color w:val="000000" w:themeColor="text1"/>
                <w:lang w:eastAsia="zh-CN"/>
              </w:rPr>
              <w:t>)</w:t>
            </w:r>
          </w:p>
        </w:tc>
        <w:tc>
          <w:tcPr>
            <w:tcW w:w="1015" w:type="pct"/>
            <w:shd w:val="clear" w:color="auto" w:fill="auto"/>
            <w:noWrap/>
            <w:vAlign w:val="center"/>
            <w:hideMark/>
          </w:tcPr>
          <w:p w14:paraId="61D45A78" w14:textId="744C73C2"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105.1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82.83-122.1</w:t>
            </w:r>
            <w:r>
              <w:rPr>
                <w:rFonts w:ascii="Book Antiqua" w:eastAsia="宋体" w:hAnsi="Book Antiqua" w:cs="Times New Roman" w:hint="eastAsia"/>
                <w:color w:val="000000" w:themeColor="text1"/>
                <w:lang w:eastAsia="zh-CN"/>
              </w:rPr>
              <w:t>)</w:t>
            </w:r>
          </w:p>
        </w:tc>
        <w:tc>
          <w:tcPr>
            <w:tcW w:w="605" w:type="pct"/>
            <w:shd w:val="clear" w:color="auto" w:fill="auto"/>
            <w:noWrap/>
            <w:vAlign w:val="center"/>
            <w:hideMark/>
          </w:tcPr>
          <w:p w14:paraId="2A9F9E96" w14:textId="1032EF72"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0.007</w:t>
            </w:r>
            <w:r w:rsidRPr="00263307">
              <w:rPr>
                <w:rFonts w:ascii="Book Antiqua" w:hAnsi="Book Antiqua" w:cs="Times New Roman"/>
                <w:color w:val="000000" w:themeColor="text1"/>
                <w:vertAlign w:val="superscript"/>
              </w:rPr>
              <w:t>a</w:t>
            </w:r>
          </w:p>
        </w:tc>
      </w:tr>
      <w:tr w:rsidR="0044791D" w:rsidRPr="00263307" w14:paraId="2C3D43C0" w14:textId="77777777" w:rsidTr="00696484">
        <w:trPr>
          <w:trHeight w:val="360"/>
        </w:trPr>
        <w:tc>
          <w:tcPr>
            <w:tcW w:w="1413" w:type="pct"/>
            <w:shd w:val="clear" w:color="auto" w:fill="auto"/>
            <w:noWrap/>
            <w:vAlign w:val="bottom"/>
            <w:hideMark/>
          </w:tcPr>
          <w:p w14:paraId="65E1A63D" w14:textId="057FCC58"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 xml:space="preserve">Serum </w:t>
            </w:r>
            <w:r w:rsidR="00D56371" w:rsidRPr="00263307">
              <w:rPr>
                <w:rFonts w:ascii="Book Antiqua" w:hAnsi="Book Antiqua" w:cs="Times New Roman"/>
                <w:color w:val="000000" w:themeColor="text1"/>
              </w:rPr>
              <w:t>sodium</w:t>
            </w:r>
            <w:r w:rsidRPr="00263307">
              <w:rPr>
                <w:rFonts w:ascii="Book Antiqua" w:hAnsi="Book Antiqua" w:cs="Times New Roman"/>
                <w:color w:val="000000" w:themeColor="text1"/>
              </w:rPr>
              <w:t xml:space="preserve"> (</w:t>
            </w:r>
            <w:proofErr w:type="spellStart"/>
            <w:r w:rsidRPr="00263307">
              <w:rPr>
                <w:rFonts w:ascii="Book Antiqua" w:hAnsi="Book Antiqua" w:cs="Times New Roman"/>
                <w:color w:val="000000" w:themeColor="text1"/>
              </w:rPr>
              <w:t>mEq</w:t>
            </w:r>
            <w:proofErr w:type="spellEnd"/>
            <w:r w:rsidRPr="00263307">
              <w:rPr>
                <w:rFonts w:ascii="Book Antiqua" w:hAnsi="Book Antiqua" w:cs="Times New Roman"/>
                <w:color w:val="000000" w:themeColor="text1"/>
              </w:rPr>
              <w:t>/L)</w:t>
            </w:r>
          </w:p>
        </w:tc>
        <w:tc>
          <w:tcPr>
            <w:tcW w:w="951" w:type="pct"/>
            <w:shd w:val="clear" w:color="auto" w:fill="auto"/>
            <w:noWrap/>
            <w:vAlign w:val="bottom"/>
            <w:hideMark/>
          </w:tcPr>
          <w:p w14:paraId="1CB3676D" w14:textId="39B440B6"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139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137-140</w:t>
            </w:r>
            <w:r>
              <w:rPr>
                <w:rFonts w:ascii="Book Antiqua" w:eastAsia="宋体" w:hAnsi="Book Antiqua" w:cs="Times New Roman" w:hint="eastAsia"/>
                <w:color w:val="000000" w:themeColor="text1"/>
                <w:lang w:eastAsia="zh-CN"/>
              </w:rPr>
              <w:t>)</w:t>
            </w:r>
          </w:p>
        </w:tc>
        <w:tc>
          <w:tcPr>
            <w:tcW w:w="1015" w:type="pct"/>
            <w:shd w:val="clear" w:color="auto" w:fill="auto"/>
            <w:noWrap/>
            <w:vAlign w:val="bottom"/>
            <w:hideMark/>
          </w:tcPr>
          <w:p w14:paraId="29937E57" w14:textId="080C745F"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139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138-140</w:t>
            </w:r>
            <w:r>
              <w:rPr>
                <w:rFonts w:ascii="Book Antiqua" w:eastAsia="宋体" w:hAnsi="Book Antiqua" w:cs="Times New Roman" w:hint="eastAsia"/>
                <w:color w:val="000000" w:themeColor="text1"/>
                <w:lang w:eastAsia="zh-CN"/>
              </w:rPr>
              <w:t>)</w:t>
            </w:r>
          </w:p>
        </w:tc>
        <w:tc>
          <w:tcPr>
            <w:tcW w:w="1015" w:type="pct"/>
            <w:shd w:val="clear" w:color="auto" w:fill="auto"/>
            <w:noWrap/>
            <w:vAlign w:val="bottom"/>
            <w:hideMark/>
          </w:tcPr>
          <w:p w14:paraId="1A629CDC" w14:textId="576544B6" w:rsidR="00143D6B" w:rsidRPr="0047130C" w:rsidRDefault="0047130C" w:rsidP="00263307">
            <w:pPr>
              <w:adjustRightInd w:val="0"/>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137.5 </w:t>
            </w:r>
            <w:r>
              <w:rPr>
                <w:rFonts w:ascii="Book Antiqua" w:eastAsia="宋体" w:hAnsi="Book Antiqua" w:cs="Times New Roman" w:hint="eastAsia"/>
                <w:color w:val="000000" w:themeColor="text1"/>
                <w:lang w:eastAsia="zh-CN"/>
              </w:rPr>
              <w:t>(</w:t>
            </w:r>
            <w:r>
              <w:rPr>
                <w:rFonts w:ascii="Book Antiqua" w:hAnsi="Book Antiqua" w:cs="Times New Roman"/>
                <w:color w:val="000000" w:themeColor="text1"/>
              </w:rPr>
              <w:t>136-139</w:t>
            </w:r>
            <w:r>
              <w:rPr>
                <w:rFonts w:ascii="Book Antiqua" w:eastAsia="宋体" w:hAnsi="Book Antiqua" w:cs="Times New Roman" w:hint="eastAsia"/>
                <w:color w:val="000000" w:themeColor="text1"/>
                <w:lang w:eastAsia="zh-CN"/>
              </w:rPr>
              <w:t>)</w:t>
            </w:r>
          </w:p>
        </w:tc>
        <w:tc>
          <w:tcPr>
            <w:tcW w:w="605" w:type="pct"/>
            <w:shd w:val="clear" w:color="auto" w:fill="auto"/>
            <w:noWrap/>
            <w:vAlign w:val="bottom"/>
            <w:hideMark/>
          </w:tcPr>
          <w:p w14:paraId="542861D0" w14:textId="07DF581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0.003</w:t>
            </w:r>
            <w:r w:rsidR="00CD673B" w:rsidRPr="00263307">
              <w:rPr>
                <w:rFonts w:ascii="Book Antiqua" w:hAnsi="Book Antiqua" w:cs="Times New Roman"/>
                <w:color w:val="000000" w:themeColor="text1"/>
                <w:vertAlign w:val="superscript"/>
              </w:rPr>
              <w:t>a</w:t>
            </w:r>
          </w:p>
        </w:tc>
      </w:tr>
      <w:tr w:rsidR="0044791D" w:rsidRPr="00263307" w14:paraId="7EBAB715" w14:textId="77777777" w:rsidTr="00696484">
        <w:trPr>
          <w:trHeight w:val="360"/>
        </w:trPr>
        <w:tc>
          <w:tcPr>
            <w:tcW w:w="1413" w:type="pct"/>
            <w:shd w:val="clear" w:color="auto" w:fill="auto"/>
            <w:noWrap/>
            <w:vAlign w:val="bottom"/>
            <w:hideMark/>
          </w:tcPr>
          <w:p w14:paraId="455CF8C3"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Hyponatremia</w:t>
            </w:r>
          </w:p>
        </w:tc>
        <w:tc>
          <w:tcPr>
            <w:tcW w:w="951" w:type="pct"/>
            <w:shd w:val="clear" w:color="auto" w:fill="auto"/>
            <w:noWrap/>
            <w:vAlign w:val="bottom"/>
            <w:hideMark/>
          </w:tcPr>
          <w:p w14:paraId="1AC02CC8" w14:textId="0366AC06"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9 (3.8)</w:t>
            </w:r>
          </w:p>
        </w:tc>
        <w:tc>
          <w:tcPr>
            <w:tcW w:w="1015" w:type="pct"/>
            <w:shd w:val="clear" w:color="auto" w:fill="auto"/>
            <w:noWrap/>
            <w:vAlign w:val="bottom"/>
            <w:hideMark/>
          </w:tcPr>
          <w:p w14:paraId="5982A343" w14:textId="14E214FC"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5 (2.5)</w:t>
            </w:r>
          </w:p>
        </w:tc>
        <w:tc>
          <w:tcPr>
            <w:tcW w:w="1015" w:type="pct"/>
            <w:shd w:val="clear" w:color="auto" w:fill="auto"/>
            <w:noWrap/>
            <w:vAlign w:val="bottom"/>
            <w:hideMark/>
          </w:tcPr>
          <w:p w14:paraId="03BE1A6F" w14:textId="404BC0DE"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4 (10.5)</w:t>
            </w:r>
          </w:p>
        </w:tc>
        <w:tc>
          <w:tcPr>
            <w:tcW w:w="605" w:type="pct"/>
            <w:shd w:val="clear" w:color="auto" w:fill="auto"/>
            <w:noWrap/>
            <w:vAlign w:val="bottom"/>
            <w:hideMark/>
          </w:tcPr>
          <w:p w14:paraId="2F08C6AD"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0.019</w:t>
            </w:r>
            <w:r w:rsidRPr="00263307">
              <w:rPr>
                <w:rFonts w:ascii="Book Antiqua" w:hAnsi="Book Antiqua" w:cs="Times New Roman"/>
                <w:color w:val="000000" w:themeColor="text1"/>
                <w:vertAlign w:val="superscript"/>
              </w:rPr>
              <w:t>a</w:t>
            </w:r>
          </w:p>
        </w:tc>
      </w:tr>
      <w:tr w:rsidR="0044791D" w:rsidRPr="00263307" w14:paraId="4E27611D" w14:textId="77777777" w:rsidTr="00696484">
        <w:trPr>
          <w:trHeight w:val="360"/>
        </w:trPr>
        <w:tc>
          <w:tcPr>
            <w:tcW w:w="1413" w:type="pct"/>
            <w:shd w:val="clear" w:color="auto" w:fill="auto"/>
            <w:noWrap/>
            <w:vAlign w:val="center"/>
            <w:hideMark/>
          </w:tcPr>
          <w:p w14:paraId="5C0E9178" w14:textId="3992D09B" w:rsidR="00143D6B" w:rsidRPr="0047130C" w:rsidRDefault="00143D6B" w:rsidP="00263307">
            <w:pPr>
              <w:adjustRightInd w:val="0"/>
              <w:snapToGrid w:val="0"/>
              <w:spacing w:line="360" w:lineRule="auto"/>
              <w:jc w:val="both"/>
              <w:rPr>
                <w:rFonts w:ascii="Book Antiqua" w:eastAsia="宋体" w:hAnsi="Book Antiqua" w:cs="Times New Roman"/>
                <w:color w:val="000000" w:themeColor="text1"/>
                <w:lang w:eastAsia="zh-CN"/>
              </w:rPr>
            </w:pPr>
            <w:r w:rsidRPr="00263307">
              <w:rPr>
                <w:rFonts w:ascii="Book Antiqua" w:hAnsi="Book Antiqua" w:cs="Times New Roman"/>
                <w:color w:val="000000" w:themeColor="text1"/>
              </w:rPr>
              <w:t>ALT</w:t>
            </w:r>
            <w:r w:rsidR="0047130C">
              <w:rPr>
                <w:rFonts w:ascii="Book Antiqua" w:eastAsia="宋体" w:hAnsi="Book Antiqua" w:cs="Times New Roman" w:hint="eastAsia"/>
                <w:color w:val="000000" w:themeColor="text1"/>
                <w:lang w:eastAsia="zh-CN"/>
              </w:rPr>
              <w:t xml:space="preserve"> </w:t>
            </w:r>
            <w:r w:rsidRPr="00263307">
              <w:rPr>
                <w:rFonts w:ascii="Book Antiqua" w:hAnsi="Book Antiqua" w:cs="Times New Roman"/>
                <w:color w:val="000000" w:themeColor="text1"/>
              </w:rPr>
              <w:t>&gt;</w:t>
            </w:r>
            <w:r w:rsidR="0047130C">
              <w:rPr>
                <w:rFonts w:ascii="Book Antiqua" w:eastAsia="宋体" w:hAnsi="Book Antiqua" w:cs="Times New Roman" w:hint="eastAsia"/>
                <w:color w:val="000000" w:themeColor="text1"/>
                <w:lang w:eastAsia="zh-CN"/>
              </w:rPr>
              <w:t xml:space="preserve"> </w:t>
            </w:r>
            <w:r w:rsidR="0047130C">
              <w:rPr>
                <w:rFonts w:ascii="Book Antiqua" w:hAnsi="Book Antiqua" w:cs="Times New Roman"/>
                <w:color w:val="000000" w:themeColor="text1"/>
              </w:rPr>
              <w:t>29 IU/L</w:t>
            </w:r>
          </w:p>
        </w:tc>
        <w:tc>
          <w:tcPr>
            <w:tcW w:w="951" w:type="pct"/>
            <w:shd w:val="clear" w:color="auto" w:fill="auto"/>
            <w:vAlign w:val="center"/>
            <w:hideMark/>
          </w:tcPr>
          <w:p w14:paraId="35EF97B7" w14:textId="3532DCC4"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38 (16.1)</w:t>
            </w:r>
          </w:p>
        </w:tc>
        <w:tc>
          <w:tcPr>
            <w:tcW w:w="1015" w:type="pct"/>
            <w:shd w:val="clear" w:color="auto" w:fill="auto"/>
            <w:noWrap/>
            <w:vAlign w:val="center"/>
            <w:hideMark/>
          </w:tcPr>
          <w:p w14:paraId="439C0945" w14:textId="7B4C160E"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30 (15.2)</w:t>
            </w:r>
          </w:p>
        </w:tc>
        <w:tc>
          <w:tcPr>
            <w:tcW w:w="1015" w:type="pct"/>
            <w:shd w:val="clear" w:color="auto" w:fill="auto"/>
            <w:noWrap/>
            <w:vAlign w:val="center"/>
            <w:hideMark/>
          </w:tcPr>
          <w:p w14:paraId="541C61F9" w14:textId="30F70289"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8 (21.1)</w:t>
            </w:r>
          </w:p>
        </w:tc>
        <w:tc>
          <w:tcPr>
            <w:tcW w:w="605" w:type="pct"/>
            <w:shd w:val="clear" w:color="auto" w:fill="auto"/>
            <w:noWrap/>
            <w:vAlign w:val="center"/>
            <w:hideMark/>
          </w:tcPr>
          <w:p w14:paraId="5FE7795A"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0.365</w:t>
            </w:r>
          </w:p>
        </w:tc>
      </w:tr>
      <w:tr w:rsidR="0044791D" w:rsidRPr="00263307" w14:paraId="1C90C4FB" w14:textId="77777777" w:rsidTr="00696484">
        <w:trPr>
          <w:trHeight w:val="380"/>
        </w:trPr>
        <w:tc>
          <w:tcPr>
            <w:tcW w:w="1413" w:type="pct"/>
            <w:shd w:val="clear" w:color="auto" w:fill="auto"/>
            <w:noWrap/>
            <w:vAlign w:val="center"/>
            <w:hideMark/>
          </w:tcPr>
          <w:p w14:paraId="57C57332"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Appendectomy</w:t>
            </w:r>
          </w:p>
        </w:tc>
        <w:tc>
          <w:tcPr>
            <w:tcW w:w="951" w:type="pct"/>
            <w:shd w:val="clear" w:color="auto" w:fill="auto"/>
            <w:vAlign w:val="center"/>
            <w:hideMark/>
          </w:tcPr>
          <w:p w14:paraId="4CE120F3" w14:textId="0F290762"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34 (14.4)</w:t>
            </w:r>
          </w:p>
        </w:tc>
        <w:tc>
          <w:tcPr>
            <w:tcW w:w="1015" w:type="pct"/>
            <w:shd w:val="clear" w:color="auto" w:fill="auto"/>
            <w:noWrap/>
            <w:vAlign w:val="center"/>
            <w:hideMark/>
          </w:tcPr>
          <w:p w14:paraId="73B9F7AB" w14:textId="340CE443"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22 (11.1)</w:t>
            </w:r>
          </w:p>
        </w:tc>
        <w:tc>
          <w:tcPr>
            <w:tcW w:w="1015" w:type="pct"/>
            <w:shd w:val="clear" w:color="auto" w:fill="auto"/>
            <w:noWrap/>
            <w:vAlign w:val="center"/>
            <w:hideMark/>
          </w:tcPr>
          <w:p w14:paraId="405F62D1" w14:textId="6D9DB7E0"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12 (31.6)</w:t>
            </w:r>
          </w:p>
        </w:tc>
        <w:tc>
          <w:tcPr>
            <w:tcW w:w="605" w:type="pct"/>
            <w:shd w:val="clear" w:color="auto" w:fill="auto"/>
            <w:noWrap/>
            <w:vAlign w:val="center"/>
            <w:hideMark/>
          </w:tcPr>
          <w:p w14:paraId="265EC3F8" w14:textId="77777777" w:rsidR="00143D6B" w:rsidRPr="00263307" w:rsidRDefault="00143D6B" w:rsidP="00263307">
            <w:pPr>
              <w:adjustRightInd w:val="0"/>
              <w:snapToGrid w:val="0"/>
              <w:spacing w:line="360" w:lineRule="auto"/>
              <w:jc w:val="both"/>
              <w:rPr>
                <w:rFonts w:ascii="Book Antiqua" w:hAnsi="Book Antiqua" w:cs="Times New Roman"/>
                <w:color w:val="000000" w:themeColor="text1"/>
              </w:rPr>
            </w:pPr>
            <w:r w:rsidRPr="00263307">
              <w:rPr>
                <w:rFonts w:ascii="Book Antiqua" w:hAnsi="Book Antiqua" w:cs="Times New Roman"/>
                <w:color w:val="000000" w:themeColor="text1"/>
              </w:rPr>
              <w:t>0.001</w:t>
            </w:r>
            <w:r w:rsidRPr="00263307">
              <w:rPr>
                <w:rFonts w:ascii="Book Antiqua" w:hAnsi="Book Antiqua" w:cs="Times New Roman"/>
                <w:color w:val="000000" w:themeColor="text1"/>
                <w:vertAlign w:val="superscript"/>
              </w:rPr>
              <w:t>a</w:t>
            </w:r>
          </w:p>
        </w:tc>
      </w:tr>
    </w:tbl>
    <w:p w14:paraId="7E730FA5" w14:textId="1190C471" w:rsidR="00E75EBF" w:rsidRPr="00263307" w:rsidRDefault="000A59B5" w:rsidP="00263307">
      <w:pPr>
        <w:adjustRightInd w:val="0"/>
        <w:snapToGrid w:val="0"/>
        <w:spacing w:line="360" w:lineRule="auto"/>
        <w:jc w:val="both"/>
        <w:rPr>
          <w:rFonts w:ascii="Book Antiqua" w:hAnsi="Book Antiqua" w:cs="Times New Roman"/>
          <w:color w:val="000000" w:themeColor="text1"/>
        </w:rPr>
      </w:pPr>
      <w:proofErr w:type="spellStart"/>
      <w:r w:rsidRPr="00C4064E">
        <w:rPr>
          <w:rFonts w:ascii="Book Antiqua" w:hAnsi="Book Antiqua" w:cs="Times New Roman"/>
          <w:color w:val="000000" w:themeColor="text1"/>
          <w:vertAlign w:val="superscript"/>
        </w:rPr>
        <w:t>a</w:t>
      </w:r>
      <w:r w:rsidR="00C4064E" w:rsidRPr="00C4064E">
        <w:rPr>
          <w:rFonts w:ascii="Book Antiqua" w:hAnsi="Book Antiqua" w:cs="Times New Roman"/>
          <w:i/>
          <w:color w:val="000000" w:themeColor="text1"/>
        </w:rPr>
        <w:t>P</w:t>
      </w:r>
      <w:proofErr w:type="spellEnd"/>
      <w:r w:rsidR="00C4064E" w:rsidRPr="00C4064E">
        <w:rPr>
          <w:rFonts w:ascii="Book Antiqua" w:eastAsia="宋体" w:hAnsi="Book Antiqua" w:cs="Times New Roman"/>
          <w:color w:val="000000" w:themeColor="text1"/>
          <w:lang w:eastAsia="zh-CN"/>
        </w:rPr>
        <w:t xml:space="preserve"> </w:t>
      </w:r>
      <w:r w:rsidRPr="00C4064E">
        <w:rPr>
          <w:rFonts w:ascii="Book Antiqua" w:hAnsi="Book Antiqua" w:cs="Times New Roman"/>
          <w:color w:val="000000" w:themeColor="text1"/>
        </w:rPr>
        <w:t>&lt;</w:t>
      </w:r>
      <w:r w:rsidR="00C4064E" w:rsidRPr="00C4064E">
        <w:rPr>
          <w:rFonts w:ascii="Book Antiqua" w:eastAsia="宋体" w:hAnsi="Book Antiqua" w:cs="Times New Roman"/>
          <w:color w:val="000000" w:themeColor="text1"/>
          <w:lang w:eastAsia="zh-CN"/>
        </w:rPr>
        <w:t xml:space="preserve"> </w:t>
      </w:r>
      <w:r w:rsidRPr="00C4064E">
        <w:rPr>
          <w:rFonts w:ascii="Book Antiqua" w:hAnsi="Book Antiqua" w:cs="Times New Roman"/>
          <w:color w:val="000000" w:themeColor="text1"/>
        </w:rPr>
        <w:t>0.05.</w:t>
      </w:r>
      <w:r w:rsidR="00C4064E" w:rsidRPr="00C4064E">
        <w:rPr>
          <w:rFonts w:ascii="Book Antiqua" w:eastAsia="宋体" w:hAnsi="Book Antiqua" w:cs="Times New Roman"/>
          <w:color w:val="000000" w:themeColor="text1"/>
          <w:lang w:eastAsia="zh-CN"/>
        </w:rPr>
        <w:t xml:space="preserve"> </w:t>
      </w:r>
      <w:r w:rsidRPr="00C4064E">
        <w:rPr>
          <w:rFonts w:ascii="Book Antiqua" w:hAnsi="Book Antiqua" w:cs="Times New Roman"/>
          <w:color w:val="000000" w:themeColor="text1"/>
        </w:rPr>
        <w:t>ALT</w:t>
      </w:r>
      <w:r w:rsidR="00C4064E" w:rsidRPr="00C4064E">
        <w:rPr>
          <w:rFonts w:ascii="Book Antiqua" w:eastAsia="宋体" w:hAnsi="Book Antiqua" w:cs="Times New Roman"/>
          <w:color w:val="000000" w:themeColor="text1"/>
          <w:lang w:eastAsia="zh-CN"/>
        </w:rPr>
        <w:t>:</w:t>
      </w:r>
      <w:r w:rsidRPr="00C4064E">
        <w:rPr>
          <w:rFonts w:ascii="Book Antiqua" w:hAnsi="Book Antiqua" w:cs="Times New Roman"/>
          <w:color w:val="000000" w:themeColor="text1"/>
        </w:rPr>
        <w:t xml:space="preserve"> </w:t>
      </w:r>
      <w:r w:rsidR="00C4064E" w:rsidRPr="00C4064E">
        <w:rPr>
          <w:rFonts w:ascii="Book Antiqua" w:hAnsi="Book Antiqua" w:cs="Times New Roman"/>
          <w:bCs/>
          <w:color w:val="000000" w:themeColor="text1"/>
        </w:rPr>
        <w:t xml:space="preserve">Alanine </w:t>
      </w:r>
      <w:r w:rsidRPr="00C4064E">
        <w:rPr>
          <w:rFonts w:ascii="Book Antiqua" w:hAnsi="Book Antiqua" w:cs="Times New Roman"/>
          <w:bCs/>
          <w:color w:val="000000" w:themeColor="text1"/>
        </w:rPr>
        <w:t>aminotransferase;</w:t>
      </w:r>
      <w:r w:rsidRPr="00C4064E">
        <w:rPr>
          <w:rFonts w:ascii="Book Antiqua" w:hAnsi="Book Antiqua" w:cs="Times New Roman"/>
          <w:color w:val="000000" w:themeColor="text1"/>
        </w:rPr>
        <w:t xml:space="preserve"> CA</w:t>
      </w:r>
      <w:r w:rsidR="00C4064E" w:rsidRPr="00C4064E">
        <w:rPr>
          <w:rFonts w:ascii="Book Antiqua" w:eastAsia="宋体" w:hAnsi="Book Antiqua" w:cs="Times New Roman"/>
          <w:color w:val="000000" w:themeColor="text1"/>
          <w:lang w:eastAsia="zh-CN"/>
        </w:rPr>
        <w:t>:</w:t>
      </w:r>
      <w:r w:rsidRPr="00C4064E">
        <w:rPr>
          <w:rFonts w:ascii="Book Antiqua" w:hAnsi="Book Antiqua" w:cs="Times New Roman"/>
          <w:color w:val="000000" w:themeColor="text1"/>
        </w:rPr>
        <w:t xml:space="preserve"> Complicated appendicitis</w:t>
      </w:r>
      <w:r w:rsidR="0014213A">
        <w:rPr>
          <w:rFonts w:ascii="Book Antiqua" w:eastAsia="宋体" w:hAnsi="Book Antiqua" w:cs="Times New Roman" w:hint="eastAsia"/>
          <w:color w:val="000000" w:themeColor="text1"/>
          <w:lang w:eastAsia="zh-CN"/>
        </w:rPr>
        <w:t>;</w:t>
      </w:r>
      <w:r w:rsidRPr="00C4064E">
        <w:rPr>
          <w:rFonts w:ascii="Book Antiqua" w:hAnsi="Book Antiqua" w:cs="Times New Roman"/>
          <w:color w:val="000000" w:themeColor="text1"/>
        </w:rPr>
        <w:t xml:space="preserve"> CRP</w:t>
      </w:r>
      <w:r w:rsidR="00C4064E" w:rsidRPr="00C4064E">
        <w:rPr>
          <w:rFonts w:ascii="Book Antiqua" w:eastAsia="宋体" w:hAnsi="Book Antiqua" w:cs="Times New Roman"/>
          <w:color w:val="000000" w:themeColor="text1"/>
          <w:lang w:eastAsia="zh-CN"/>
        </w:rPr>
        <w:t>:</w:t>
      </w:r>
      <w:r w:rsidRPr="00C4064E">
        <w:rPr>
          <w:rFonts w:ascii="Book Antiqua" w:hAnsi="Book Antiqua" w:cs="Times New Roman"/>
          <w:color w:val="000000" w:themeColor="text1"/>
        </w:rPr>
        <w:t xml:space="preserve"> C-reactive protein; GFR</w:t>
      </w:r>
      <w:r w:rsidR="00C4064E" w:rsidRPr="00C4064E">
        <w:rPr>
          <w:rFonts w:ascii="Book Antiqua" w:eastAsia="宋体" w:hAnsi="Book Antiqua" w:cs="Times New Roman"/>
          <w:color w:val="000000" w:themeColor="text1"/>
          <w:lang w:eastAsia="zh-CN"/>
        </w:rPr>
        <w:t>:</w:t>
      </w:r>
      <w:r w:rsidRPr="00C4064E">
        <w:rPr>
          <w:rFonts w:ascii="Book Antiqua" w:hAnsi="Book Antiqua" w:cs="Times New Roman"/>
          <w:color w:val="000000" w:themeColor="text1"/>
        </w:rPr>
        <w:t xml:space="preserve"> </w:t>
      </w:r>
      <w:r w:rsidR="00C4064E" w:rsidRPr="00C4064E">
        <w:rPr>
          <w:rFonts w:ascii="Book Antiqua" w:hAnsi="Book Antiqua" w:cs="Times New Roman"/>
          <w:color w:val="000000" w:themeColor="text1"/>
        </w:rPr>
        <w:t xml:space="preserve">Glomerular </w:t>
      </w:r>
      <w:r w:rsidRPr="00C4064E">
        <w:rPr>
          <w:rFonts w:ascii="Book Antiqua" w:hAnsi="Book Antiqua" w:cs="Times New Roman"/>
          <w:color w:val="000000" w:themeColor="text1"/>
        </w:rPr>
        <w:t>filtration rate; RLQ</w:t>
      </w:r>
      <w:r w:rsidR="00C4064E" w:rsidRPr="00C4064E">
        <w:rPr>
          <w:rFonts w:ascii="Book Antiqua" w:eastAsia="宋体" w:hAnsi="Book Antiqua" w:cs="Times New Roman"/>
          <w:color w:val="000000" w:themeColor="text1"/>
          <w:lang w:eastAsia="zh-CN"/>
        </w:rPr>
        <w:t>:</w:t>
      </w:r>
      <w:r w:rsidRPr="00C4064E">
        <w:rPr>
          <w:rFonts w:ascii="Book Antiqua" w:hAnsi="Book Antiqua" w:cs="Times New Roman"/>
          <w:color w:val="000000" w:themeColor="text1"/>
        </w:rPr>
        <w:t xml:space="preserve"> </w:t>
      </w:r>
      <w:r w:rsidR="00C4064E" w:rsidRPr="00C4064E">
        <w:rPr>
          <w:rFonts w:ascii="Book Antiqua" w:hAnsi="Book Antiqua" w:cs="Times New Roman"/>
          <w:color w:val="000000" w:themeColor="text1"/>
        </w:rPr>
        <w:t xml:space="preserve">Right </w:t>
      </w:r>
      <w:r w:rsidRPr="00C4064E">
        <w:rPr>
          <w:rFonts w:ascii="Book Antiqua" w:hAnsi="Book Antiqua" w:cs="Times New Roman"/>
          <w:color w:val="000000" w:themeColor="text1"/>
        </w:rPr>
        <w:t>lower quadrant; SA</w:t>
      </w:r>
      <w:r w:rsidR="00C4064E" w:rsidRPr="00C4064E">
        <w:rPr>
          <w:rFonts w:ascii="Book Antiqua" w:eastAsia="宋体" w:hAnsi="Book Antiqua" w:cs="Times New Roman"/>
          <w:color w:val="000000" w:themeColor="text1"/>
          <w:lang w:eastAsia="zh-CN"/>
        </w:rPr>
        <w:t xml:space="preserve">: </w:t>
      </w:r>
      <w:r w:rsidRPr="00C4064E">
        <w:rPr>
          <w:rFonts w:ascii="Book Antiqua" w:hAnsi="Book Antiqua" w:cs="Times New Roman"/>
          <w:color w:val="000000" w:themeColor="text1"/>
        </w:rPr>
        <w:t>Simple appendicitis.</w:t>
      </w:r>
    </w:p>
    <w:sectPr w:rsidR="00E75EBF" w:rsidRPr="00263307" w:rsidSect="00E1179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C915" w14:textId="77777777" w:rsidR="002D076A" w:rsidRDefault="002D076A" w:rsidP="003B086D">
      <w:r>
        <w:separator/>
      </w:r>
    </w:p>
  </w:endnote>
  <w:endnote w:type="continuationSeparator" w:id="0">
    <w:p w14:paraId="3D2815B3" w14:textId="77777777" w:rsidR="002D076A" w:rsidRDefault="002D076A" w:rsidP="003B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ヒラギノ角ゴ ProN W3">
    <w:altName w:val="Malgun Gothic Semilight"/>
    <w:charset w:val="4E"/>
    <w:family w:val="auto"/>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Kohinoor Telugu Semibold">
    <w:altName w:val="Times New Roman"/>
    <w:charset w:val="00"/>
    <w:family w:val="auto"/>
    <w:pitch w:val="variable"/>
    <w:sig w:usb0="00000001" w:usb1="00000000" w:usb2="00000000" w:usb3="00000000" w:csb0="00000093" w:csb1="00000000"/>
  </w:font>
  <w:font w:name="Lantinghei SC Extralight">
    <w:charset w:val="00"/>
    <w:family w:val="auto"/>
    <w:pitch w:val="variable"/>
    <w:sig w:usb0="00000003" w:usb1="08000000" w:usb2="00000000" w:usb3="00000000" w:csb0="00040001" w:csb1="00000000"/>
  </w:font>
  <w:font w:name="Meiryo">
    <w:charset w:val="80"/>
    <w:family w:val="swiss"/>
    <w:pitch w:val="variable"/>
    <w:sig w:usb0="E00002FF" w:usb1="6AC7FFFF"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B1B8A" w14:textId="77777777" w:rsidR="002D076A" w:rsidRDefault="002D076A" w:rsidP="003B086D">
      <w:r>
        <w:separator/>
      </w:r>
    </w:p>
  </w:footnote>
  <w:footnote w:type="continuationSeparator" w:id="0">
    <w:p w14:paraId="4A53A8AA" w14:textId="77777777" w:rsidR="002D076A" w:rsidRDefault="002D076A" w:rsidP="003B0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09B6"/>
    <w:multiLevelType w:val="hybridMultilevel"/>
    <w:tmpl w:val="E89ADFAA"/>
    <w:lvl w:ilvl="0" w:tplc="C230379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37C3DE4"/>
    <w:multiLevelType w:val="hybridMultilevel"/>
    <w:tmpl w:val="3822DDB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7D55255"/>
    <w:multiLevelType w:val="hybridMultilevel"/>
    <w:tmpl w:val="606EEA90"/>
    <w:lvl w:ilvl="0" w:tplc="85D0272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96D6D3D"/>
    <w:multiLevelType w:val="hybridMultilevel"/>
    <w:tmpl w:val="E758C0AC"/>
    <w:lvl w:ilvl="0" w:tplc="C1AA4B8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F5764DC"/>
    <w:multiLevelType w:val="multilevel"/>
    <w:tmpl w:val="52E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866AA"/>
    <w:multiLevelType w:val="hybridMultilevel"/>
    <w:tmpl w:val="31D6690A"/>
    <w:lvl w:ilvl="0" w:tplc="5B7C015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7764044"/>
    <w:multiLevelType w:val="hybridMultilevel"/>
    <w:tmpl w:val="B43623CC"/>
    <w:lvl w:ilvl="0" w:tplc="2BFAA280">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7BB1C11"/>
    <w:multiLevelType w:val="hybridMultilevel"/>
    <w:tmpl w:val="FD1CB42C"/>
    <w:lvl w:ilvl="0" w:tplc="B5B467C2">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88795D"/>
    <w:multiLevelType w:val="multilevel"/>
    <w:tmpl w:val="5976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64173"/>
    <w:multiLevelType w:val="hybridMultilevel"/>
    <w:tmpl w:val="4DA658BE"/>
    <w:lvl w:ilvl="0" w:tplc="E38AC3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7D1B52"/>
    <w:multiLevelType w:val="hybridMultilevel"/>
    <w:tmpl w:val="6A9C6692"/>
    <w:lvl w:ilvl="0" w:tplc="6B4262C4">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E9F557D"/>
    <w:multiLevelType w:val="hybridMultilevel"/>
    <w:tmpl w:val="FE76BAF8"/>
    <w:lvl w:ilvl="0" w:tplc="C2B8ACE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0F157A4"/>
    <w:multiLevelType w:val="hybridMultilevel"/>
    <w:tmpl w:val="7F4AC966"/>
    <w:lvl w:ilvl="0" w:tplc="D550E8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9B52C2"/>
    <w:multiLevelType w:val="hybridMultilevel"/>
    <w:tmpl w:val="57FE45E8"/>
    <w:lvl w:ilvl="0" w:tplc="A4387CA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8E362F4"/>
    <w:multiLevelType w:val="multilevel"/>
    <w:tmpl w:val="DEEE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B15501"/>
    <w:multiLevelType w:val="multilevel"/>
    <w:tmpl w:val="7E70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0"/>
  </w:num>
  <w:num w:numId="5">
    <w:abstractNumId w:val="6"/>
  </w:num>
  <w:num w:numId="6">
    <w:abstractNumId w:val="13"/>
  </w:num>
  <w:num w:numId="7">
    <w:abstractNumId w:val="3"/>
  </w:num>
  <w:num w:numId="8">
    <w:abstractNumId w:val="9"/>
  </w:num>
  <w:num w:numId="9">
    <w:abstractNumId w:val="7"/>
  </w:num>
  <w:num w:numId="10">
    <w:abstractNumId w:val="11"/>
  </w:num>
  <w:num w:numId="11">
    <w:abstractNumId w:val="1"/>
  </w:num>
  <w:num w:numId="12">
    <w:abstractNumId w:val="8"/>
  </w:num>
  <w:num w:numId="13">
    <w:abstractNumId w:val="14"/>
  </w:num>
  <w:num w:numId="14">
    <w:abstractNumId w:val="1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6" w:nlCheck="1" w:checkStyle="1"/>
  <w:activeWritingStyle w:appName="MSWord" w:lang="ja-JP" w:vendorID="64" w:dllVersion="6" w:nlCheck="1" w:checkStyle="1"/>
  <w:activeWritingStyle w:appName="MSWord" w:lang="zh-CN" w:vendorID="64" w:dllVersion="5" w:nlCheck="1" w:checkStyle="1"/>
  <w:proofState w:spelling="clean" w:grammar="clean"/>
  <w:defaultTabStop w:val="96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0tjSytABiMxNjMyUdpeDU4uLM/DyQAuNaAO8Fd8IsAAAA"/>
    <w:docVar w:name="is_review_method" w:val="Cluster"/>
  </w:docVars>
  <w:rsids>
    <w:rsidRoot w:val="005B60AD"/>
    <w:rsid w:val="00000622"/>
    <w:rsid w:val="00000ADB"/>
    <w:rsid w:val="00002565"/>
    <w:rsid w:val="00007755"/>
    <w:rsid w:val="00007AA0"/>
    <w:rsid w:val="000107EE"/>
    <w:rsid w:val="00015E25"/>
    <w:rsid w:val="000200C9"/>
    <w:rsid w:val="00024BEC"/>
    <w:rsid w:val="000253C4"/>
    <w:rsid w:val="00027132"/>
    <w:rsid w:val="0002797C"/>
    <w:rsid w:val="00030070"/>
    <w:rsid w:val="000303EB"/>
    <w:rsid w:val="00030DD9"/>
    <w:rsid w:val="000371E2"/>
    <w:rsid w:val="00041EB9"/>
    <w:rsid w:val="00043B1E"/>
    <w:rsid w:val="000455B8"/>
    <w:rsid w:val="0005521F"/>
    <w:rsid w:val="00055872"/>
    <w:rsid w:val="0005603F"/>
    <w:rsid w:val="00057EDB"/>
    <w:rsid w:val="00060701"/>
    <w:rsid w:val="0006404B"/>
    <w:rsid w:val="000704F9"/>
    <w:rsid w:val="00070AD8"/>
    <w:rsid w:val="000775ED"/>
    <w:rsid w:val="00081CEF"/>
    <w:rsid w:val="000826CB"/>
    <w:rsid w:val="00096B13"/>
    <w:rsid w:val="00096B1C"/>
    <w:rsid w:val="000A59B5"/>
    <w:rsid w:val="000B3BD5"/>
    <w:rsid w:val="000B3C1E"/>
    <w:rsid w:val="000B4B92"/>
    <w:rsid w:val="000C3670"/>
    <w:rsid w:val="000C4678"/>
    <w:rsid w:val="000C5DC1"/>
    <w:rsid w:val="000C64A3"/>
    <w:rsid w:val="000C6EF0"/>
    <w:rsid w:val="000D2853"/>
    <w:rsid w:val="000D2872"/>
    <w:rsid w:val="000D30D7"/>
    <w:rsid w:val="000D4258"/>
    <w:rsid w:val="000D42F1"/>
    <w:rsid w:val="000D4746"/>
    <w:rsid w:val="000D63FB"/>
    <w:rsid w:val="000E0EDB"/>
    <w:rsid w:val="000E6B3A"/>
    <w:rsid w:val="000F1938"/>
    <w:rsid w:val="000F50BE"/>
    <w:rsid w:val="000F7952"/>
    <w:rsid w:val="00104F10"/>
    <w:rsid w:val="00106EE6"/>
    <w:rsid w:val="00107E76"/>
    <w:rsid w:val="0011082C"/>
    <w:rsid w:val="00110B76"/>
    <w:rsid w:val="001110FF"/>
    <w:rsid w:val="00113409"/>
    <w:rsid w:val="00114417"/>
    <w:rsid w:val="001152A3"/>
    <w:rsid w:val="0011540C"/>
    <w:rsid w:val="00116341"/>
    <w:rsid w:val="00124F1C"/>
    <w:rsid w:val="00125814"/>
    <w:rsid w:val="00130620"/>
    <w:rsid w:val="00132979"/>
    <w:rsid w:val="0013306D"/>
    <w:rsid w:val="0013372C"/>
    <w:rsid w:val="0013566B"/>
    <w:rsid w:val="00135704"/>
    <w:rsid w:val="0014213A"/>
    <w:rsid w:val="00142578"/>
    <w:rsid w:val="00143D6B"/>
    <w:rsid w:val="001477FA"/>
    <w:rsid w:val="001515CE"/>
    <w:rsid w:val="00151FCF"/>
    <w:rsid w:val="001550E7"/>
    <w:rsid w:val="0015510C"/>
    <w:rsid w:val="00157073"/>
    <w:rsid w:val="00166CCC"/>
    <w:rsid w:val="0017481D"/>
    <w:rsid w:val="00174DC7"/>
    <w:rsid w:val="00175C81"/>
    <w:rsid w:val="00175F54"/>
    <w:rsid w:val="00180235"/>
    <w:rsid w:val="00182E95"/>
    <w:rsid w:val="001837EE"/>
    <w:rsid w:val="00183A4E"/>
    <w:rsid w:val="001859FD"/>
    <w:rsid w:val="00190223"/>
    <w:rsid w:val="00190D75"/>
    <w:rsid w:val="0019287F"/>
    <w:rsid w:val="001A05B6"/>
    <w:rsid w:val="001A0FC0"/>
    <w:rsid w:val="001A1D3C"/>
    <w:rsid w:val="001A237C"/>
    <w:rsid w:val="001A3B5D"/>
    <w:rsid w:val="001A63C1"/>
    <w:rsid w:val="001B0B48"/>
    <w:rsid w:val="001B33DB"/>
    <w:rsid w:val="001B3E60"/>
    <w:rsid w:val="001B4D0C"/>
    <w:rsid w:val="001B4F75"/>
    <w:rsid w:val="001B730E"/>
    <w:rsid w:val="001C2256"/>
    <w:rsid w:val="001C3852"/>
    <w:rsid w:val="001C4113"/>
    <w:rsid w:val="001D27DA"/>
    <w:rsid w:val="001E049E"/>
    <w:rsid w:val="001E123E"/>
    <w:rsid w:val="001E232A"/>
    <w:rsid w:val="001E3AD1"/>
    <w:rsid w:val="001E4BA4"/>
    <w:rsid w:val="001E6A6B"/>
    <w:rsid w:val="001F0AF6"/>
    <w:rsid w:val="001F1B4C"/>
    <w:rsid w:val="001F241D"/>
    <w:rsid w:val="001F3C7F"/>
    <w:rsid w:val="002055BB"/>
    <w:rsid w:val="0020568A"/>
    <w:rsid w:val="002067B0"/>
    <w:rsid w:val="00206F2C"/>
    <w:rsid w:val="0020754A"/>
    <w:rsid w:val="00207E44"/>
    <w:rsid w:val="00213C77"/>
    <w:rsid w:val="00215119"/>
    <w:rsid w:val="002161B3"/>
    <w:rsid w:val="00221A47"/>
    <w:rsid w:val="002221E1"/>
    <w:rsid w:val="00223159"/>
    <w:rsid w:val="002309A0"/>
    <w:rsid w:val="00230A40"/>
    <w:rsid w:val="002328D1"/>
    <w:rsid w:val="00232A83"/>
    <w:rsid w:val="00236987"/>
    <w:rsid w:val="00242D5C"/>
    <w:rsid w:val="00243AA3"/>
    <w:rsid w:val="0024467B"/>
    <w:rsid w:val="00247898"/>
    <w:rsid w:val="00250D78"/>
    <w:rsid w:val="00252DB0"/>
    <w:rsid w:val="0025361E"/>
    <w:rsid w:val="0025560D"/>
    <w:rsid w:val="00256173"/>
    <w:rsid w:val="002570E0"/>
    <w:rsid w:val="00257C26"/>
    <w:rsid w:val="00263307"/>
    <w:rsid w:val="00264675"/>
    <w:rsid w:val="00271B84"/>
    <w:rsid w:val="00272137"/>
    <w:rsid w:val="002726A3"/>
    <w:rsid w:val="00277E00"/>
    <w:rsid w:val="00280C69"/>
    <w:rsid w:val="00281B2B"/>
    <w:rsid w:val="00285E49"/>
    <w:rsid w:val="002972C1"/>
    <w:rsid w:val="002A4CF5"/>
    <w:rsid w:val="002A505F"/>
    <w:rsid w:val="002A5C58"/>
    <w:rsid w:val="002A7DE3"/>
    <w:rsid w:val="002B30AE"/>
    <w:rsid w:val="002B75B5"/>
    <w:rsid w:val="002C0D91"/>
    <w:rsid w:val="002C324E"/>
    <w:rsid w:val="002C64DF"/>
    <w:rsid w:val="002C6CCE"/>
    <w:rsid w:val="002D076A"/>
    <w:rsid w:val="002D0770"/>
    <w:rsid w:val="002D2AC4"/>
    <w:rsid w:val="002D4C44"/>
    <w:rsid w:val="002E13DA"/>
    <w:rsid w:val="002E1C7B"/>
    <w:rsid w:val="002E5026"/>
    <w:rsid w:val="002E50DC"/>
    <w:rsid w:val="002E6B12"/>
    <w:rsid w:val="002F1B07"/>
    <w:rsid w:val="002F2E83"/>
    <w:rsid w:val="002F311B"/>
    <w:rsid w:val="002F371F"/>
    <w:rsid w:val="003074B1"/>
    <w:rsid w:val="00310F60"/>
    <w:rsid w:val="003127F8"/>
    <w:rsid w:val="00314C80"/>
    <w:rsid w:val="00314FD3"/>
    <w:rsid w:val="00320F7C"/>
    <w:rsid w:val="003218FC"/>
    <w:rsid w:val="003233D3"/>
    <w:rsid w:val="00330774"/>
    <w:rsid w:val="00334E69"/>
    <w:rsid w:val="003367E9"/>
    <w:rsid w:val="003406C2"/>
    <w:rsid w:val="00340EC7"/>
    <w:rsid w:val="00343118"/>
    <w:rsid w:val="0034335D"/>
    <w:rsid w:val="0034395F"/>
    <w:rsid w:val="00344035"/>
    <w:rsid w:val="003441B2"/>
    <w:rsid w:val="003442EC"/>
    <w:rsid w:val="003456FB"/>
    <w:rsid w:val="00347727"/>
    <w:rsid w:val="0035055A"/>
    <w:rsid w:val="00351149"/>
    <w:rsid w:val="0035447E"/>
    <w:rsid w:val="00354AB5"/>
    <w:rsid w:val="003556A5"/>
    <w:rsid w:val="0035757B"/>
    <w:rsid w:val="00360E39"/>
    <w:rsid w:val="00361F72"/>
    <w:rsid w:val="00370913"/>
    <w:rsid w:val="003709A9"/>
    <w:rsid w:val="0037695C"/>
    <w:rsid w:val="003829AE"/>
    <w:rsid w:val="003829D5"/>
    <w:rsid w:val="00382A32"/>
    <w:rsid w:val="00383256"/>
    <w:rsid w:val="00383D0E"/>
    <w:rsid w:val="003876AF"/>
    <w:rsid w:val="00387779"/>
    <w:rsid w:val="003907C7"/>
    <w:rsid w:val="00392EB8"/>
    <w:rsid w:val="00393335"/>
    <w:rsid w:val="003A02B3"/>
    <w:rsid w:val="003A0C6D"/>
    <w:rsid w:val="003A37D0"/>
    <w:rsid w:val="003A3811"/>
    <w:rsid w:val="003A3B57"/>
    <w:rsid w:val="003A3E0D"/>
    <w:rsid w:val="003A779C"/>
    <w:rsid w:val="003B086D"/>
    <w:rsid w:val="003B0CA2"/>
    <w:rsid w:val="003B0EDA"/>
    <w:rsid w:val="003B1C8A"/>
    <w:rsid w:val="003B2029"/>
    <w:rsid w:val="003B527A"/>
    <w:rsid w:val="003B552E"/>
    <w:rsid w:val="003B6ED9"/>
    <w:rsid w:val="003C5928"/>
    <w:rsid w:val="003C6E7A"/>
    <w:rsid w:val="003D0C73"/>
    <w:rsid w:val="003D1AC5"/>
    <w:rsid w:val="003D3528"/>
    <w:rsid w:val="003D4EAB"/>
    <w:rsid w:val="003D731A"/>
    <w:rsid w:val="003E0B6D"/>
    <w:rsid w:val="003F009C"/>
    <w:rsid w:val="003F09CA"/>
    <w:rsid w:val="003F16B5"/>
    <w:rsid w:val="003F17D9"/>
    <w:rsid w:val="003F6BF4"/>
    <w:rsid w:val="00401B1B"/>
    <w:rsid w:val="00403391"/>
    <w:rsid w:val="00404688"/>
    <w:rsid w:val="00406F1E"/>
    <w:rsid w:val="00406FB3"/>
    <w:rsid w:val="00407A8C"/>
    <w:rsid w:val="00410328"/>
    <w:rsid w:val="00410B64"/>
    <w:rsid w:val="00422919"/>
    <w:rsid w:val="00430FA5"/>
    <w:rsid w:val="004336A6"/>
    <w:rsid w:val="00435969"/>
    <w:rsid w:val="004365AA"/>
    <w:rsid w:val="00440889"/>
    <w:rsid w:val="00440E95"/>
    <w:rsid w:val="004414D0"/>
    <w:rsid w:val="00442839"/>
    <w:rsid w:val="00443EE8"/>
    <w:rsid w:val="004462D8"/>
    <w:rsid w:val="00446EC7"/>
    <w:rsid w:val="0044791D"/>
    <w:rsid w:val="00450D32"/>
    <w:rsid w:val="00452CE5"/>
    <w:rsid w:val="004546D4"/>
    <w:rsid w:val="0045597F"/>
    <w:rsid w:val="004600B0"/>
    <w:rsid w:val="004641B6"/>
    <w:rsid w:val="004649AF"/>
    <w:rsid w:val="00465F8E"/>
    <w:rsid w:val="0047130C"/>
    <w:rsid w:val="0047299C"/>
    <w:rsid w:val="00473642"/>
    <w:rsid w:val="0047782F"/>
    <w:rsid w:val="00477E28"/>
    <w:rsid w:val="00483809"/>
    <w:rsid w:val="00493A20"/>
    <w:rsid w:val="00493B26"/>
    <w:rsid w:val="00497A5F"/>
    <w:rsid w:val="00497E96"/>
    <w:rsid w:val="004A1CED"/>
    <w:rsid w:val="004A3AE4"/>
    <w:rsid w:val="004B6203"/>
    <w:rsid w:val="004C0C3D"/>
    <w:rsid w:val="004C2373"/>
    <w:rsid w:val="004C41FD"/>
    <w:rsid w:val="004C6234"/>
    <w:rsid w:val="004D1636"/>
    <w:rsid w:val="004D1731"/>
    <w:rsid w:val="004D1E09"/>
    <w:rsid w:val="004D1E9D"/>
    <w:rsid w:val="004D2141"/>
    <w:rsid w:val="004D40A9"/>
    <w:rsid w:val="004E1F1F"/>
    <w:rsid w:val="004E4249"/>
    <w:rsid w:val="004E66F8"/>
    <w:rsid w:val="004F0568"/>
    <w:rsid w:val="004F12BB"/>
    <w:rsid w:val="004F2937"/>
    <w:rsid w:val="004F386F"/>
    <w:rsid w:val="005004F9"/>
    <w:rsid w:val="00500683"/>
    <w:rsid w:val="00504FAD"/>
    <w:rsid w:val="00511222"/>
    <w:rsid w:val="0051248B"/>
    <w:rsid w:val="00513F50"/>
    <w:rsid w:val="00516895"/>
    <w:rsid w:val="005220E7"/>
    <w:rsid w:val="00525196"/>
    <w:rsid w:val="00526300"/>
    <w:rsid w:val="00526A01"/>
    <w:rsid w:val="00526A85"/>
    <w:rsid w:val="005274E7"/>
    <w:rsid w:val="00531C1B"/>
    <w:rsid w:val="00532212"/>
    <w:rsid w:val="005328C1"/>
    <w:rsid w:val="00536726"/>
    <w:rsid w:val="005368F7"/>
    <w:rsid w:val="00543D37"/>
    <w:rsid w:val="005444A6"/>
    <w:rsid w:val="005469C1"/>
    <w:rsid w:val="00547942"/>
    <w:rsid w:val="00547E6E"/>
    <w:rsid w:val="00552243"/>
    <w:rsid w:val="00552A79"/>
    <w:rsid w:val="00552EF3"/>
    <w:rsid w:val="00554878"/>
    <w:rsid w:val="0055643B"/>
    <w:rsid w:val="00556A4F"/>
    <w:rsid w:val="00556A6E"/>
    <w:rsid w:val="00557703"/>
    <w:rsid w:val="00565C8D"/>
    <w:rsid w:val="005678AB"/>
    <w:rsid w:val="005703B2"/>
    <w:rsid w:val="005706A1"/>
    <w:rsid w:val="00571831"/>
    <w:rsid w:val="00572310"/>
    <w:rsid w:val="00574A97"/>
    <w:rsid w:val="0057602C"/>
    <w:rsid w:val="00577FC3"/>
    <w:rsid w:val="00580156"/>
    <w:rsid w:val="0058428E"/>
    <w:rsid w:val="005871B3"/>
    <w:rsid w:val="005915DD"/>
    <w:rsid w:val="00591F84"/>
    <w:rsid w:val="005925C1"/>
    <w:rsid w:val="0059343C"/>
    <w:rsid w:val="00595BD2"/>
    <w:rsid w:val="005A11D6"/>
    <w:rsid w:val="005B0982"/>
    <w:rsid w:val="005B0C87"/>
    <w:rsid w:val="005B1E49"/>
    <w:rsid w:val="005B25C8"/>
    <w:rsid w:val="005B5230"/>
    <w:rsid w:val="005B60AD"/>
    <w:rsid w:val="005C00A9"/>
    <w:rsid w:val="005C0B6F"/>
    <w:rsid w:val="005C2861"/>
    <w:rsid w:val="005C41F0"/>
    <w:rsid w:val="005C433F"/>
    <w:rsid w:val="005C5AA7"/>
    <w:rsid w:val="005C6FE5"/>
    <w:rsid w:val="005D0603"/>
    <w:rsid w:val="005D0A2D"/>
    <w:rsid w:val="005D2944"/>
    <w:rsid w:val="005D2EC2"/>
    <w:rsid w:val="005D3097"/>
    <w:rsid w:val="005D42B1"/>
    <w:rsid w:val="005D710D"/>
    <w:rsid w:val="005E1AFE"/>
    <w:rsid w:val="005E2F43"/>
    <w:rsid w:val="005E6855"/>
    <w:rsid w:val="005F504E"/>
    <w:rsid w:val="005F6A61"/>
    <w:rsid w:val="00605050"/>
    <w:rsid w:val="00605DA7"/>
    <w:rsid w:val="00607EF4"/>
    <w:rsid w:val="00614653"/>
    <w:rsid w:val="00616469"/>
    <w:rsid w:val="0062016B"/>
    <w:rsid w:val="00620A4A"/>
    <w:rsid w:val="006214C6"/>
    <w:rsid w:val="00625C9B"/>
    <w:rsid w:val="00626A85"/>
    <w:rsid w:val="0063094C"/>
    <w:rsid w:val="00637238"/>
    <w:rsid w:val="0064096F"/>
    <w:rsid w:val="00642B8D"/>
    <w:rsid w:val="006443F4"/>
    <w:rsid w:val="00645252"/>
    <w:rsid w:val="00645E05"/>
    <w:rsid w:val="006475E7"/>
    <w:rsid w:val="006508D4"/>
    <w:rsid w:val="00652F50"/>
    <w:rsid w:val="006569A8"/>
    <w:rsid w:val="00667227"/>
    <w:rsid w:val="0066764A"/>
    <w:rsid w:val="00667D77"/>
    <w:rsid w:val="00667F39"/>
    <w:rsid w:val="006807AF"/>
    <w:rsid w:val="00682F8A"/>
    <w:rsid w:val="006903F8"/>
    <w:rsid w:val="0069372B"/>
    <w:rsid w:val="006943EB"/>
    <w:rsid w:val="00694C50"/>
    <w:rsid w:val="0069507E"/>
    <w:rsid w:val="00696484"/>
    <w:rsid w:val="0069686C"/>
    <w:rsid w:val="00697D5E"/>
    <w:rsid w:val="006A0707"/>
    <w:rsid w:val="006A0917"/>
    <w:rsid w:val="006A6AF2"/>
    <w:rsid w:val="006B30CF"/>
    <w:rsid w:val="006B4B18"/>
    <w:rsid w:val="006C1C05"/>
    <w:rsid w:val="006C3448"/>
    <w:rsid w:val="006C3C33"/>
    <w:rsid w:val="006C773D"/>
    <w:rsid w:val="006D3EF0"/>
    <w:rsid w:val="006E1A67"/>
    <w:rsid w:val="006E1AC0"/>
    <w:rsid w:val="006E2105"/>
    <w:rsid w:val="006E5619"/>
    <w:rsid w:val="006F076B"/>
    <w:rsid w:val="006F337C"/>
    <w:rsid w:val="006F4699"/>
    <w:rsid w:val="006F4BC7"/>
    <w:rsid w:val="006F54A2"/>
    <w:rsid w:val="006F690B"/>
    <w:rsid w:val="006F786A"/>
    <w:rsid w:val="0070098F"/>
    <w:rsid w:val="00702858"/>
    <w:rsid w:val="00703608"/>
    <w:rsid w:val="00711651"/>
    <w:rsid w:val="00713AAF"/>
    <w:rsid w:val="007159C2"/>
    <w:rsid w:val="00716570"/>
    <w:rsid w:val="0071698F"/>
    <w:rsid w:val="00717C35"/>
    <w:rsid w:val="00726559"/>
    <w:rsid w:val="00727256"/>
    <w:rsid w:val="0073010E"/>
    <w:rsid w:val="007312CC"/>
    <w:rsid w:val="00731AE0"/>
    <w:rsid w:val="007401F1"/>
    <w:rsid w:val="00742598"/>
    <w:rsid w:val="00743E0B"/>
    <w:rsid w:val="00744520"/>
    <w:rsid w:val="007457D9"/>
    <w:rsid w:val="00750D4B"/>
    <w:rsid w:val="00752C3A"/>
    <w:rsid w:val="007543B4"/>
    <w:rsid w:val="00756AC5"/>
    <w:rsid w:val="00757A5D"/>
    <w:rsid w:val="00760C29"/>
    <w:rsid w:val="00761A04"/>
    <w:rsid w:val="007642C0"/>
    <w:rsid w:val="007653A7"/>
    <w:rsid w:val="00770F2F"/>
    <w:rsid w:val="00777586"/>
    <w:rsid w:val="00780019"/>
    <w:rsid w:val="00783AFE"/>
    <w:rsid w:val="007846BE"/>
    <w:rsid w:val="00785162"/>
    <w:rsid w:val="007870DD"/>
    <w:rsid w:val="00790031"/>
    <w:rsid w:val="00790340"/>
    <w:rsid w:val="0079239E"/>
    <w:rsid w:val="00795D93"/>
    <w:rsid w:val="0079705F"/>
    <w:rsid w:val="007A3DFE"/>
    <w:rsid w:val="007A72E1"/>
    <w:rsid w:val="007B0C4A"/>
    <w:rsid w:val="007B2B8B"/>
    <w:rsid w:val="007B448B"/>
    <w:rsid w:val="007B455F"/>
    <w:rsid w:val="007B57FE"/>
    <w:rsid w:val="007B6164"/>
    <w:rsid w:val="007B7268"/>
    <w:rsid w:val="007C06FC"/>
    <w:rsid w:val="007C071C"/>
    <w:rsid w:val="007C1427"/>
    <w:rsid w:val="007C43CC"/>
    <w:rsid w:val="007D029A"/>
    <w:rsid w:val="007D076D"/>
    <w:rsid w:val="007D0E1B"/>
    <w:rsid w:val="007D143A"/>
    <w:rsid w:val="007D2A60"/>
    <w:rsid w:val="007D749D"/>
    <w:rsid w:val="007E293B"/>
    <w:rsid w:val="007F02DB"/>
    <w:rsid w:val="007F050B"/>
    <w:rsid w:val="007F2D13"/>
    <w:rsid w:val="007F2DB8"/>
    <w:rsid w:val="008006A8"/>
    <w:rsid w:val="0080175E"/>
    <w:rsid w:val="00804988"/>
    <w:rsid w:val="00804D6D"/>
    <w:rsid w:val="00813325"/>
    <w:rsid w:val="008142EE"/>
    <w:rsid w:val="00820F5B"/>
    <w:rsid w:val="00824BFB"/>
    <w:rsid w:val="0082540D"/>
    <w:rsid w:val="00825F21"/>
    <w:rsid w:val="00831ECC"/>
    <w:rsid w:val="00833A4F"/>
    <w:rsid w:val="0084071A"/>
    <w:rsid w:val="00847DDE"/>
    <w:rsid w:val="008547E6"/>
    <w:rsid w:val="00854B08"/>
    <w:rsid w:val="00854B62"/>
    <w:rsid w:val="008573AA"/>
    <w:rsid w:val="0086144B"/>
    <w:rsid w:val="00863A76"/>
    <w:rsid w:val="008654D2"/>
    <w:rsid w:val="008747C1"/>
    <w:rsid w:val="0087598B"/>
    <w:rsid w:val="008919D3"/>
    <w:rsid w:val="00891A1E"/>
    <w:rsid w:val="00892087"/>
    <w:rsid w:val="00895146"/>
    <w:rsid w:val="008A1145"/>
    <w:rsid w:val="008A3D78"/>
    <w:rsid w:val="008B0C8F"/>
    <w:rsid w:val="008C03EA"/>
    <w:rsid w:val="008C1D7C"/>
    <w:rsid w:val="008C2574"/>
    <w:rsid w:val="008C442B"/>
    <w:rsid w:val="008D304A"/>
    <w:rsid w:val="008D649D"/>
    <w:rsid w:val="008D76EF"/>
    <w:rsid w:val="008D7EDC"/>
    <w:rsid w:val="008E1BCE"/>
    <w:rsid w:val="008E34CD"/>
    <w:rsid w:val="008E6ABD"/>
    <w:rsid w:val="008E6B2F"/>
    <w:rsid w:val="008E7615"/>
    <w:rsid w:val="008F044D"/>
    <w:rsid w:val="008F2FE8"/>
    <w:rsid w:val="008F3718"/>
    <w:rsid w:val="008F595F"/>
    <w:rsid w:val="008F646B"/>
    <w:rsid w:val="00902692"/>
    <w:rsid w:val="00903A98"/>
    <w:rsid w:val="009054F4"/>
    <w:rsid w:val="0090611D"/>
    <w:rsid w:val="00916DCB"/>
    <w:rsid w:val="00920450"/>
    <w:rsid w:val="009240AA"/>
    <w:rsid w:val="00925392"/>
    <w:rsid w:val="00925E2C"/>
    <w:rsid w:val="00927E22"/>
    <w:rsid w:val="00933AD9"/>
    <w:rsid w:val="00936A11"/>
    <w:rsid w:val="0093790A"/>
    <w:rsid w:val="0094129D"/>
    <w:rsid w:val="00942519"/>
    <w:rsid w:val="00942BD8"/>
    <w:rsid w:val="00942DBE"/>
    <w:rsid w:val="00944DF0"/>
    <w:rsid w:val="00944EFC"/>
    <w:rsid w:val="0094792A"/>
    <w:rsid w:val="00947EFA"/>
    <w:rsid w:val="009528CD"/>
    <w:rsid w:val="009557D1"/>
    <w:rsid w:val="00957C9A"/>
    <w:rsid w:val="00960DE0"/>
    <w:rsid w:val="00964326"/>
    <w:rsid w:val="00964BAE"/>
    <w:rsid w:val="00966EB9"/>
    <w:rsid w:val="009764B1"/>
    <w:rsid w:val="00976A4E"/>
    <w:rsid w:val="00980634"/>
    <w:rsid w:val="00982576"/>
    <w:rsid w:val="0099018B"/>
    <w:rsid w:val="00990B8D"/>
    <w:rsid w:val="00990EBB"/>
    <w:rsid w:val="00990EEC"/>
    <w:rsid w:val="00991364"/>
    <w:rsid w:val="009918BA"/>
    <w:rsid w:val="00994376"/>
    <w:rsid w:val="009A02F6"/>
    <w:rsid w:val="009A03EF"/>
    <w:rsid w:val="009A2C09"/>
    <w:rsid w:val="009A3574"/>
    <w:rsid w:val="009A3C32"/>
    <w:rsid w:val="009A6959"/>
    <w:rsid w:val="009B0659"/>
    <w:rsid w:val="009B1FB7"/>
    <w:rsid w:val="009B7342"/>
    <w:rsid w:val="009C5104"/>
    <w:rsid w:val="009C5F07"/>
    <w:rsid w:val="009D18B3"/>
    <w:rsid w:val="009D4EEE"/>
    <w:rsid w:val="009D614B"/>
    <w:rsid w:val="009D76C6"/>
    <w:rsid w:val="009E2AA2"/>
    <w:rsid w:val="009E3BA7"/>
    <w:rsid w:val="009E79B4"/>
    <w:rsid w:val="009F0F40"/>
    <w:rsid w:val="009F34E6"/>
    <w:rsid w:val="009F378A"/>
    <w:rsid w:val="009F37EC"/>
    <w:rsid w:val="009F4970"/>
    <w:rsid w:val="009F68FB"/>
    <w:rsid w:val="009F7243"/>
    <w:rsid w:val="00A02604"/>
    <w:rsid w:val="00A05474"/>
    <w:rsid w:val="00A06352"/>
    <w:rsid w:val="00A11E6A"/>
    <w:rsid w:val="00A12826"/>
    <w:rsid w:val="00A210F8"/>
    <w:rsid w:val="00A2214F"/>
    <w:rsid w:val="00A23280"/>
    <w:rsid w:val="00A25886"/>
    <w:rsid w:val="00A32EC0"/>
    <w:rsid w:val="00A337F3"/>
    <w:rsid w:val="00A34F9B"/>
    <w:rsid w:val="00A35C7F"/>
    <w:rsid w:val="00A442FC"/>
    <w:rsid w:val="00A4535A"/>
    <w:rsid w:val="00A466E6"/>
    <w:rsid w:val="00A477B4"/>
    <w:rsid w:val="00A511DD"/>
    <w:rsid w:val="00A61F1F"/>
    <w:rsid w:val="00A631D8"/>
    <w:rsid w:val="00A64A29"/>
    <w:rsid w:val="00A64BBA"/>
    <w:rsid w:val="00A650C3"/>
    <w:rsid w:val="00A70DF7"/>
    <w:rsid w:val="00A724A2"/>
    <w:rsid w:val="00A7301D"/>
    <w:rsid w:val="00A75AD7"/>
    <w:rsid w:val="00A768DC"/>
    <w:rsid w:val="00A80647"/>
    <w:rsid w:val="00A8461D"/>
    <w:rsid w:val="00A86646"/>
    <w:rsid w:val="00A9370B"/>
    <w:rsid w:val="00A948FE"/>
    <w:rsid w:val="00AA0AE6"/>
    <w:rsid w:val="00AA0BD6"/>
    <w:rsid w:val="00AA3148"/>
    <w:rsid w:val="00AA4A8B"/>
    <w:rsid w:val="00AA4B94"/>
    <w:rsid w:val="00AA579A"/>
    <w:rsid w:val="00AA6DF6"/>
    <w:rsid w:val="00AA7725"/>
    <w:rsid w:val="00AB268E"/>
    <w:rsid w:val="00AB2D64"/>
    <w:rsid w:val="00AB4C0C"/>
    <w:rsid w:val="00AB7C41"/>
    <w:rsid w:val="00AC4272"/>
    <w:rsid w:val="00AC6B2C"/>
    <w:rsid w:val="00AE0B4D"/>
    <w:rsid w:val="00AE51A8"/>
    <w:rsid w:val="00AF34A4"/>
    <w:rsid w:val="00AF377A"/>
    <w:rsid w:val="00AF607A"/>
    <w:rsid w:val="00AF715B"/>
    <w:rsid w:val="00AF78F7"/>
    <w:rsid w:val="00B0174F"/>
    <w:rsid w:val="00B040EF"/>
    <w:rsid w:val="00B047BE"/>
    <w:rsid w:val="00B07779"/>
    <w:rsid w:val="00B07C6E"/>
    <w:rsid w:val="00B120FC"/>
    <w:rsid w:val="00B22090"/>
    <w:rsid w:val="00B23A2C"/>
    <w:rsid w:val="00B258FA"/>
    <w:rsid w:val="00B3113F"/>
    <w:rsid w:val="00B32095"/>
    <w:rsid w:val="00B33DAC"/>
    <w:rsid w:val="00B34696"/>
    <w:rsid w:val="00B348C4"/>
    <w:rsid w:val="00B4114D"/>
    <w:rsid w:val="00B433FA"/>
    <w:rsid w:val="00B5269C"/>
    <w:rsid w:val="00B637CB"/>
    <w:rsid w:val="00B6455B"/>
    <w:rsid w:val="00B7340D"/>
    <w:rsid w:val="00B74C9F"/>
    <w:rsid w:val="00B74D70"/>
    <w:rsid w:val="00B846F4"/>
    <w:rsid w:val="00B86CA6"/>
    <w:rsid w:val="00B878E1"/>
    <w:rsid w:val="00B90CFD"/>
    <w:rsid w:val="00B929F0"/>
    <w:rsid w:val="00B93870"/>
    <w:rsid w:val="00BB03C1"/>
    <w:rsid w:val="00BB1A3D"/>
    <w:rsid w:val="00BB61C5"/>
    <w:rsid w:val="00BB6222"/>
    <w:rsid w:val="00BB77EB"/>
    <w:rsid w:val="00BC3DE8"/>
    <w:rsid w:val="00BC41B0"/>
    <w:rsid w:val="00BC4BEE"/>
    <w:rsid w:val="00BD02AB"/>
    <w:rsid w:val="00BD0A0E"/>
    <w:rsid w:val="00BD0CA9"/>
    <w:rsid w:val="00BD1658"/>
    <w:rsid w:val="00BD4BE9"/>
    <w:rsid w:val="00BD5A34"/>
    <w:rsid w:val="00BD5F7E"/>
    <w:rsid w:val="00BE02A7"/>
    <w:rsid w:val="00BE091B"/>
    <w:rsid w:val="00BE1068"/>
    <w:rsid w:val="00BE2BE5"/>
    <w:rsid w:val="00BE2DC7"/>
    <w:rsid w:val="00BE2EC0"/>
    <w:rsid w:val="00BE529E"/>
    <w:rsid w:val="00BE5596"/>
    <w:rsid w:val="00BE60C0"/>
    <w:rsid w:val="00BF128C"/>
    <w:rsid w:val="00C00E5E"/>
    <w:rsid w:val="00C016DB"/>
    <w:rsid w:val="00C03B75"/>
    <w:rsid w:val="00C04809"/>
    <w:rsid w:val="00C05A78"/>
    <w:rsid w:val="00C063D4"/>
    <w:rsid w:val="00C156EF"/>
    <w:rsid w:val="00C2629B"/>
    <w:rsid w:val="00C267D9"/>
    <w:rsid w:val="00C26FC0"/>
    <w:rsid w:val="00C316A4"/>
    <w:rsid w:val="00C31E7D"/>
    <w:rsid w:val="00C32AF3"/>
    <w:rsid w:val="00C33DEA"/>
    <w:rsid w:val="00C345C2"/>
    <w:rsid w:val="00C3743B"/>
    <w:rsid w:val="00C376B3"/>
    <w:rsid w:val="00C402F1"/>
    <w:rsid w:val="00C4064E"/>
    <w:rsid w:val="00C418D9"/>
    <w:rsid w:val="00C4509C"/>
    <w:rsid w:val="00C463AE"/>
    <w:rsid w:val="00C46432"/>
    <w:rsid w:val="00C466CE"/>
    <w:rsid w:val="00C474AA"/>
    <w:rsid w:val="00C5396F"/>
    <w:rsid w:val="00C5411E"/>
    <w:rsid w:val="00C54714"/>
    <w:rsid w:val="00C621BC"/>
    <w:rsid w:val="00C63ACC"/>
    <w:rsid w:val="00C64048"/>
    <w:rsid w:val="00C64BDA"/>
    <w:rsid w:val="00C66E3E"/>
    <w:rsid w:val="00C70557"/>
    <w:rsid w:val="00C72D71"/>
    <w:rsid w:val="00C73A62"/>
    <w:rsid w:val="00C76C74"/>
    <w:rsid w:val="00C803B2"/>
    <w:rsid w:val="00C84C54"/>
    <w:rsid w:val="00C8607D"/>
    <w:rsid w:val="00C93359"/>
    <w:rsid w:val="00C96B16"/>
    <w:rsid w:val="00C9796D"/>
    <w:rsid w:val="00C97FCE"/>
    <w:rsid w:val="00CA049B"/>
    <w:rsid w:val="00CA56D3"/>
    <w:rsid w:val="00CA5A80"/>
    <w:rsid w:val="00CB1033"/>
    <w:rsid w:val="00CB1BD4"/>
    <w:rsid w:val="00CB1E9C"/>
    <w:rsid w:val="00CC0A89"/>
    <w:rsid w:val="00CC37C5"/>
    <w:rsid w:val="00CC44B9"/>
    <w:rsid w:val="00CC72BE"/>
    <w:rsid w:val="00CD1001"/>
    <w:rsid w:val="00CD6401"/>
    <w:rsid w:val="00CD673B"/>
    <w:rsid w:val="00CE0883"/>
    <w:rsid w:val="00CE4940"/>
    <w:rsid w:val="00CF465F"/>
    <w:rsid w:val="00CF47AD"/>
    <w:rsid w:val="00CF69B2"/>
    <w:rsid w:val="00D046EE"/>
    <w:rsid w:val="00D0530F"/>
    <w:rsid w:val="00D06C7F"/>
    <w:rsid w:val="00D07F11"/>
    <w:rsid w:val="00D11A88"/>
    <w:rsid w:val="00D128CD"/>
    <w:rsid w:val="00D1508F"/>
    <w:rsid w:val="00D15223"/>
    <w:rsid w:val="00D1601A"/>
    <w:rsid w:val="00D201DF"/>
    <w:rsid w:val="00D27132"/>
    <w:rsid w:val="00D30444"/>
    <w:rsid w:val="00D3344F"/>
    <w:rsid w:val="00D34074"/>
    <w:rsid w:val="00D3622E"/>
    <w:rsid w:val="00D40583"/>
    <w:rsid w:val="00D43050"/>
    <w:rsid w:val="00D52B0D"/>
    <w:rsid w:val="00D55F72"/>
    <w:rsid w:val="00D56371"/>
    <w:rsid w:val="00D62872"/>
    <w:rsid w:val="00D66E1C"/>
    <w:rsid w:val="00D711FC"/>
    <w:rsid w:val="00D7137A"/>
    <w:rsid w:val="00D7176B"/>
    <w:rsid w:val="00D736C0"/>
    <w:rsid w:val="00D80FD1"/>
    <w:rsid w:val="00D82FA6"/>
    <w:rsid w:val="00D96587"/>
    <w:rsid w:val="00D96FCC"/>
    <w:rsid w:val="00D97307"/>
    <w:rsid w:val="00DA38BD"/>
    <w:rsid w:val="00DB3AEC"/>
    <w:rsid w:val="00DB662F"/>
    <w:rsid w:val="00DC2587"/>
    <w:rsid w:val="00DC5404"/>
    <w:rsid w:val="00DD2F00"/>
    <w:rsid w:val="00DD3C2D"/>
    <w:rsid w:val="00DD484E"/>
    <w:rsid w:val="00DE01AD"/>
    <w:rsid w:val="00DE5C00"/>
    <w:rsid w:val="00DE74A6"/>
    <w:rsid w:val="00DF1532"/>
    <w:rsid w:val="00DF4B6E"/>
    <w:rsid w:val="00DF529E"/>
    <w:rsid w:val="00DF56FC"/>
    <w:rsid w:val="00DF71F6"/>
    <w:rsid w:val="00DF78A3"/>
    <w:rsid w:val="00DF7D2A"/>
    <w:rsid w:val="00E04089"/>
    <w:rsid w:val="00E0435E"/>
    <w:rsid w:val="00E06CD7"/>
    <w:rsid w:val="00E07882"/>
    <w:rsid w:val="00E1179C"/>
    <w:rsid w:val="00E120C2"/>
    <w:rsid w:val="00E12716"/>
    <w:rsid w:val="00E12AE2"/>
    <w:rsid w:val="00E1493B"/>
    <w:rsid w:val="00E166C1"/>
    <w:rsid w:val="00E203CE"/>
    <w:rsid w:val="00E20C04"/>
    <w:rsid w:val="00E224F4"/>
    <w:rsid w:val="00E229A3"/>
    <w:rsid w:val="00E23D49"/>
    <w:rsid w:val="00E24F23"/>
    <w:rsid w:val="00E27125"/>
    <w:rsid w:val="00E360B5"/>
    <w:rsid w:val="00E3793C"/>
    <w:rsid w:val="00E40D12"/>
    <w:rsid w:val="00E417AB"/>
    <w:rsid w:val="00E439C3"/>
    <w:rsid w:val="00E44DF6"/>
    <w:rsid w:val="00E45013"/>
    <w:rsid w:val="00E45777"/>
    <w:rsid w:val="00E45C73"/>
    <w:rsid w:val="00E504C2"/>
    <w:rsid w:val="00E51A37"/>
    <w:rsid w:val="00E51BA3"/>
    <w:rsid w:val="00E56C8F"/>
    <w:rsid w:val="00E60C27"/>
    <w:rsid w:val="00E6345B"/>
    <w:rsid w:val="00E63972"/>
    <w:rsid w:val="00E64D09"/>
    <w:rsid w:val="00E70AEF"/>
    <w:rsid w:val="00E719FF"/>
    <w:rsid w:val="00E72212"/>
    <w:rsid w:val="00E7460E"/>
    <w:rsid w:val="00E75EBF"/>
    <w:rsid w:val="00E77390"/>
    <w:rsid w:val="00E77815"/>
    <w:rsid w:val="00E823C6"/>
    <w:rsid w:val="00E83A04"/>
    <w:rsid w:val="00E870B6"/>
    <w:rsid w:val="00E9211A"/>
    <w:rsid w:val="00E956EA"/>
    <w:rsid w:val="00EA0AAF"/>
    <w:rsid w:val="00EA0BDD"/>
    <w:rsid w:val="00EA47DA"/>
    <w:rsid w:val="00EA5FF6"/>
    <w:rsid w:val="00EA62D8"/>
    <w:rsid w:val="00EA6794"/>
    <w:rsid w:val="00EC742B"/>
    <w:rsid w:val="00ED1A33"/>
    <w:rsid w:val="00EF2BA0"/>
    <w:rsid w:val="00EF4FE9"/>
    <w:rsid w:val="00EF7ACE"/>
    <w:rsid w:val="00F03297"/>
    <w:rsid w:val="00F056C2"/>
    <w:rsid w:val="00F05DB5"/>
    <w:rsid w:val="00F07F04"/>
    <w:rsid w:val="00F12F99"/>
    <w:rsid w:val="00F13366"/>
    <w:rsid w:val="00F15702"/>
    <w:rsid w:val="00F167FD"/>
    <w:rsid w:val="00F1749F"/>
    <w:rsid w:val="00F21882"/>
    <w:rsid w:val="00F2626A"/>
    <w:rsid w:val="00F2700E"/>
    <w:rsid w:val="00F27576"/>
    <w:rsid w:val="00F30125"/>
    <w:rsid w:val="00F31877"/>
    <w:rsid w:val="00F3598C"/>
    <w:rsid w:val="00F40C1B"/>
    <w:rsid w:val="00F41B5F"/>
    <w:rsid w:val="00F427DD"/>
    <w:rsid w:val="00F47839"/>
    <w:rsid w:val="00F52D50"/>
    <w:rsid w:val="00F572D8"/>
    <w:rsid w:val="00F573BB"/>
    <w:rsid w:val="00F57835"/>
    <w:rsid w:val="00F64726"/>
    <w:rsid w:val="00F65A5C"/>
    <w:rsid w:val="00F66B63"/>
    <w:rsid w:val="00F873C0"/>
    <w:rsid w:val="00F90456"/>
    <w:rsid w:val="00F90E6E"/>
    <w:rsid w:val="00F965C1"/>
    <w:rsid w:val="00F97861"/>
    <w:rsid w:val="00FA5385"/>
    <w:rsid w:val="00FB01C6"/>
    <w:rsid w:val="00FB0D25"/>
    <w:rsid w:val="00FB26CB"/>
    <w:rsid w:val="00FC1536"/>
    <w:rsid w:val="00FC1B24"/>
    <w:rsid w:val="00FC1FA6"/>
    <w:rsid w:val="00FC6439"/>
    <w:rsid w:val="00FC7BE8"/>
    <w:rsid w:val="00FC7DCC"/>
    <w:rsid w:val="00FD3F8E"/>
    <w:rsid w:val="00FE06E1"/>
    <w:rsid w:val="00FE2A37"/>
    <w:rsid w:val="00FE33B9"/>
    <w:rsid w:val="00FE3AB7"/>
    <w:rsid w:val="00FE569C"/>
    <w:rsid w:val="00FE77FC"/>
    <w:rsid w:val="00FF15BD"/>
    <w:rsid w:val="00FF2B5F"/>
    <w:rsid w:val="00FF3927"/>
    <w:rsid w:val="00FF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4A6D59"/>
  <w14:defaultImageDpi w14:val="32767"/>
  <w15:docId w15:val="{3BE57910-2E9E-4E2C-8B5A-74566DE3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AE2"/>
    <w:rPr>
      <w:rFonts w:ascii="MS PGothic" w:eastAsia="MS PGothic" w:hAnsi="MS PGothic" w:cs="MS PGothi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7AB"/>
    <w:pPr>
      <w:widowControl w:val="0"/>
      <w:ind w:leftChars="400" w:left="960"/>
      <w:jc w:val="both"/>
    </w:pPr>
    <w:rPr>
      <w:rFonts w:asciiTheme="minorHAnsi" w:eastAsiaTheme="minorEastAsia" w:hAnsiTheme="minorHAnsi" w:cstheme="minorBidi"/>
      <w:kern w:val="2"/>
    </w:rPr>
  </w:style>
  <w:style w:type="character" w:styleId="a4">
    <w:name w:val="Hyperlink"/>
    <w:basedOn w:val="a0"/>
    <w:uiPriority w:val="99"/>
    <w:unhideWhenUsed/>
    <w:rsid w:val="00605DA7"/>
    <w:rPr>
      <w:color w:val="0563C1" w:themeColor="hyperlink"/>
      <w:u w:val="single"/>
    </w:rPr>
  </w:style>
  <w:style w:type="paragraph" w:styleId="a5">
    <w:name w:val="Normal (Web)"/>
    <w:basedOn w:val="a"/>
    <w:uiPriority w:val="99"/>
    <w:unhideWhenUsed/>
    <w:rsid w:val="005368F7"/>
    <w:pPr>
      <w:spacing w:before="100" w:beforeAutospacing="1" w:after="100" w:afterAutospacing="1"/>
    </w:pPr>
    <w:rPr>
      <w:rFonts w:ascii="MS Mincho" w:eastAsia="MS Mincho" w:hAnsi="MS Mincho" w:cs="Times New Roman"/>
      <w:sz w:val="20"/>
      <w:szCs w:val="20"/>
    </w:rPr>
  </w:style>
  <w:style w:type="paragraph" w:styleId="HTML">
    <w:name w:val="HTML Preformatted"/>
    <w:basedOn w:val="a"/>
    <w:link w:val="HTML0"/>
    <w:uiPriority w:val="99"/>
    <w:unhideWhenUsed/>
    <w:rsid w:val="0034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HTML 预设格式 字符"/>
    <w:basedOn w:val="a0"/>
    <w:link w:val="HTML"/>
    <w:uiPriority w:val="99"/>
    <w:rsid w:val="0034335D"/>
    <w:rPr>
      <w:rFonts w:ascii="Courier" w:eastAsia="MS PGothic" w:hAnsi="Courier" w:cs="Courier"/>
      <w:kern w:val="0"/>
      <w:sz w:val="20"/>
      <w:szCs w:val="20"/>
    </w:rPr>
  </w:style>
  <w:style w:type="paragraph" w:styleId="a6">
    <w:name w:val="Balloon Text"/>
    <w:basedOn w:val="a"/>
    <w:link w:val="a7"/>
    <w:uiPriority w:val="99"/>
    <w:semiHidden/>
    <w:unhideWhenUsed/>
    <w:rsid w:val="00272137"/>
    <w:pPr>
      <w:widowControl w:val="0"/>
      <w:jc w:val="both"/>
    </w:pPr>
    <w:rPr>
      <w:rFonts w:ascii="ヒラギノ角ゴ ProN W3" w:eastAsia="ヒラギノ角ゴ ProN W3" w:hAnsiTheme="minorHAnsi" w:cstheme="minorBidi"/>
      <w:kern w:val="2"/>
      <w:sz w:val="18"/>
      <w:szCs w:val="18"/>
    </w:rPr>
  </w:style>
  <w:style w:type="character" w:customStyle="1" w:styleId="a7">
    <w:name w:val="批注框文本 字符"/>
    <w:basedOn w:val="a0"/>
    <w:link w:val="a6"/>
    <w:uiPriority w:val="99"/>
    <w:semiHidden/>
    <w:rsid w:val="00272137"/>
    <w:rPr>
      <w:rFonts w:ascii="ヒラギノ角ゴ ProN W3" w:eastAsia="ヒラギノ角ゴ ProN W3"/>
      <w:sz w:val="18"/>
      <w:szCs w:val="18"/>
    </w:rPr>
  </w:style>
  <w:style w:type="character" w:styleId="a8">
    <w:name w:val="annotation reference"/>
    <w:basedOn w:val="a0"/>
    <w:uiPriority w:val="99"/>
    <w:unhideWhenUsed/>
    <w:qFormat/>
    <w:rsid w:val="00BE2EC0"/>
    <w:rPr>
      <w:sz w:val="18"/>
      <w:szCs w:val="18"/>
    </w:rPr>
  </w:style>
  <w:style w:type="paragraph" w:styleId="a9">
    <w:name w:val="annotation text"/>
    <w:basedOn w:val="a"/>
    <w:link w:val="aa"/>
    <w:uiPriority w:val="99"/>
    <w:unhideWhenUsed/>
    <w:qFormat/>
    <w:rsid w:val="00BE2EC0"/>
    <w:pPr>
      <w:widowControl w:val="0"/>
    </w:pPr>
    <w:rPr>
      <w:rFonts w:asciiTheme="minorHAnsi" w:eastAsiaTheme="minorEastAsia" w:hAnsiTheme="minorHAnsi" w:cstheme="minorBidi"/>
      <w:kern w:val="2"/>
    </w:rPr>
  </w:style>
  <w:style w:type="character" w:customStyle="1" w:styleId="aa">
    <w:name w:val="批注文字 字符"/>
    <w:basedOn w:val="a0"/>
    <w:link w:val="a9"/>
    <w:uiPriority w:val="99"/>
    <w:qFormat/>
    <w:rsid w:val="00BE2EC0"/>
  </w:style>
  <w:style w:type="paragraph" w:styleId="ab">
    <w:name w:val="annotation subject"/>
    <w:basedOn w:val="a9"/>
    <w:next w:val="a9"/>
    <w:link w:val="ac"/>
    <w:uiPriority w:val="99"/>
    <w:semiHidden/>
    <w:unhideWhenUsed/>
    <w:rsid w:val="00BE2EC0"/>
    <w:rPr>
      <w:b/>
      <w:bCs/>
    </w:rPr>
  </w:style>
  <w:style w:type="character" w:customStyle="1" w:styleId="ac">
    <w:name w:val="批注主题 字符"/>
    <w:basedOn w:val="aa"/>
    <w:link w:val="ab"/>
    <w:uiPriority w:val="99"/>
    <w:semiHidden/>
    <w:rsid w:val="00BE2EC0"/>
    <w:rPr>
      <w:b/>
      <w:bCs/>
    </w:rPr>
  </w:style>
  <w:style w:type="character" w:styleId="ad">
    <w:name w:val="Emphasis"/>
    <w:basedOn w:val="a0"/>
    <w:uiPriority w:val="20"/>
    <w:qFormat/>
    <w:rsid w:val="003C5928"/>
    <w:rPr>
      <w:i/>
      <w:iCs/>
    </w:rPr>
  </w:style>
  <w:style w:type="paragraph" w:styleId="ae">
    <w:name w:val="Revision"/>
    <w:hidden/>
    <w:uiPriority w:val="99"/>
    <w:semiHidden/>
    <w:rsid w:val="00AA7725"/>
  </w:style>
  <w:style w:type="paragraph" w:styleId="af">
    <w:name w:val="header"/>
    <w:basedOn w:val="a"/>
    <w:link w:val="af0"/>
    <w:uiPriority w:val="99"/>
    <w:unhideWhenUsed/>
    <w:rsid w:val="003B086D"/>
    <w:pPr>
      <w:widowControl w:val="0"/>
      <w:tabs>
        <w:tab w:val="center" w:pos="4680"/>
        <w:tab w:val="right" w:pos="9360"/>
      </w:tabs>
      <w:jc w:val="both"/>
    </w:pPr>
    <w:rPr>
      <w:rFonts w:asciiTheme="minorHAnsi" w:eastAsiaTheme="minorEastAsia" w:hAnsiTheme="minorHAnsi" w:cstheme="minorBidi"/>
      <w:kern w:val="2"/>
    </w:rPr>
  </w:style>
  <w:style w:type="character" w:customStyle="1" w:styleId="af0">
    <w:name w:val="页眉 字符"/>
    <w:basedOn w:val="a0"/>
    <w:link w:val="af"/>
    <w:uiPriority w:val="99"/>
    <w:rsid w:val="003B086D"/>
  </w:style>
  <w:style w:type="paragraph" w:styleId="af1">
    <w:name w:val="footer"/>
    <w:basedOn w:val="a"/>
    <w:link w:val="af2"/>
    <w:uiPriority w:val="99"/>
    <w:unhideWhenUsed/>
    <w:rsid w:val="003B086D"/>
    <w:pPr>
      <w:widowControl w:val="0"/>
      <w:tabs>
        <w:tab w:val="center" w:pos="4680"/>
        <w:tab w:val="right" w:pos="9360"/>
      </w:tabs>
      <w:jc w:val="both"/>
    </w:pPr>
    <w:rPr>
      <w:rFonts w:asciiTheme="minorHAnsi" w:eastAsiaTheme="minorEastAsia" w:hAnsiTheme="minorHAnsi" w:cstheme="minorBidi"/>
      <w:kern w:val="2"/>
    </w:rPr>
  </w:style>
  <w:style w:type="character" w:customStyle="1" w:styleId="af2">
    <w:name w:val="页脚 字符"/>
    <w:basedOn w:val="a0"/>
    <w:link w:val="af1"/>
    <w:uiPriority w:val="99"/>
    <w:rsid w:val="003B086D"/>
  </w:style>
  <w:style w:type="character" w:customStyle="1" w:styleId="1">
    <w:name w:val="未解決のメンション1"/>
    <w:basedOn w:val="a0"/>
    <w:uiPriority w:val="99"/>
    <w:semiHidden/>
    <w:unhideWhenUsed/>
    <w:rsid w:val="00A631D8"/>
    <w:rPr>
      <w:color w:val="605E5C"/>
      <w:shd w:val="clear" w:color="auto" w:fill="E1DFDD"/>
    </w:rPr>
  </w:style>
  <w:style w:type="character" w:styleId="af3">
    <w:name w:val="Strong"/>
    <w:basedOn w:val="a0"/>
    <w:uiPriority w:val="22"/>
    <w:qFormat/>
    <w:rsid w:val="00E823C6"/>
    <w:rPr>
      <w:b/>
      <w:bCs/>
    </w:rPr>
  </w:style>
  <w:style w:type="character" w:customStyle="1" w:styleId="apple-converted-space">
    <w:name w:val="apple-converted-space"/>
    <w:basedOn w:val="a0"/>
    <w:rsid w:val="00A25886"/>
  </w:style>
  <w:style w:type="character" w:styleId="af4">
    <w:name w:val="FollowedHyperlink"/>
    <w:basedOn w:val="a0"/>
    <w:uiPriority w:val="99"/>
    <w:semiHidden/>
    <w:unhideWhenUsed/>
    <w:rsid w:val="00A25886"/>
    <w:rPr>
      <w:color w:val="954F72" w:themeColor="followedHyperlink"/>
      <w:u w:val="single"/>
    </w:rPr>
  </w:style>
  <w:style w:type="paragraph" w:customStyle="1" w:styleId="Pa28">
    <w:name w:val="Pa28"/>
    <w:basedOn w:val="a"/>
    <w:next w:val="a"/>
    <w:uiPriority w:val="99"/>
    <w:rsid w:val="008B0C8F"/>
    <w:pPr>
      <w:autoSpaceDE w:val="0"/>
      <w:autoSpaceDN w:val="0"/>
      <w:adjustRightInd w:val="0"/>
      <w:spacing w:line="241" w:lineRule="atLeast"/>
    </w:pPr>
    <w:rPr>
      <w:rFonts w:ascii="Times New Roman" w:eastAsia="宋体"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359">
      <w:bodyDiv w:val="1"/>
      <w:marLeft w:val="0"/>
      <w:marRight w:val="0"/>
      <w:marTop w:val="0"/>
      <w:marBottom w:val="0"/>
      <w:divBdr>
        <w:top w:val="none" w:sz="0" w:space="0" w:color="auto"/>
        <w:left w:val="none" w:sz="0" w:space="0" w:color="auto"/>
        <w:bottom w:val="none" w:sz="0" w:space="0" w:color="auto"/>
        <w:right w:val="none" w:sz="0" w:space="0" w:color="auto"/>
      </w:divBdr>
      <w:divsChild>
        <w:div w:id="91825281">
          <w:marLeft w:val="0"/>
          <w:marRight w:val="0"/>
          <w:marTop w:val="0"/>
          <w:marBottom w:val="0"/>
          <w:divBdr>
            <w:top w:val="none" w:sz="0" w:space="0" w:color="auto"/>
            <w:left w:val="none" w:sz="0" w:space="0" w:color="auto"/>
            <w:bottom w:val="none" w:sz="0" w:space="0" w:color="auto"/>
            <w:right w:val="none" w:sz="0" w:space="0" w:color="auto"/>
          </w:divBdr>
          <w:divsChild>
            <w:div w:id="427504090">
              <w:marLeft w:val="0"/>
              <w:marRight w:val="0"/>
              <w:marTop w:val="0"/>
              <w:marBottom w:val="0"/>
              <w:divBdr>
                <w:top w:val="none" w:sz="0" w:space="0" w:color="auto"/>
                <w:left w:val="none" w:sz="0" w:space="0" w:color="auto"/>
                <w:bottom w:val="none" w:sz="0" w:space="0" w:color="auto"/>
                <w:right w:val="none" w:sz="0" w:space="0" w:color="auto"/>
              </w:divBdr>
              <w:divsChild>
                <w:div w:id="908812509">
                  <w:marLeft w:val="0"/>
                  <w:marRight w:val="0"/>
                  <w:marTop w:val="0"/>
                  <w:marBottom w:val="0"/>
                  <w:divBdr>
                    <w:top w:val="none" w:sz="0" w:space="0" w:color="auto"/>
                    <w:left w:val="none" w:sz="0" w:space="0" w:color="auto"/>
                    <w:bottom w:val="none" w:sz="0" w:space="0" w:color="auto"/>
                    <w:right w:val="none" w:sz="0" w:space="0" w:color="auto"/>
                  </w:divBdr>
                  <w:divsChild>
                    <w:div w:id="7116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4763">
      <w:bodyDiv w:val="1"/>
      <w:marLeft w:val="0"/>
      <w:marRight w:val="0"/>
      <w:marTop w:val="0"/>
      <w:marBottom w:val="0"/>
      <w:divBdr>
        <w:top w:val="none" w:sz="0" w:space="0" w:color="auto"/>
        <w:left w:val="none" w:sz="0" w:space="0" w:color="auto"/>
        <w:bottom w:val="none" w:sz="0" w:space="0" w:color="auto"/>
        <w:right w:val="none" w:sz="0" w:space="0" w:color="auto"/>
      </w:divBdr>
      <w:divsChild>
        <w:div w:id="1764837348">
          <w:marLeft w:val="0"/>
          <w:marRight w:val="0"/>
          <w:marTop w:val="0"/>
          <w:marBottom w:val="0"/>
          <w:divBdr>
            <w:top w:val="none" w:sz="0" w:space="0" w:color="auto"/>
            <w:left w:val="none" w:sz="0" w:space="0" w:color="auto"/>
            <w:bottom w:val="none" w:sz="0" w:space="0" w:color="auto"/>
            <w:right w:val="none" w:sz="0" w:space="0" w:color="auto"/>
          </w:divBdr>
          <w:divsChild>
            <w:div w:id="819880913">
              <w:marLeft w:val="0"/>
              <w:marRight w:val="0"/>
              <w:marTop w:val="0"/>
              <w:marBottom w:val="0"/>
              <w:divBdr>
                <w:top w:val="none" w:sz="0" w:space="0" w:color="auto"/>
                <w:left w:val="none" w:sz="0" w:space="0" w:color="auto"/>
                <w:bottom w:val="none" w:sz="0" w:space="0" w:color="auto"/>
                <w:right w:val="none" w:sz="0" w:space="0" w:color="auto"/>
              </w:divBdr>
              <w:divsChild>
                <w:div w:id="8904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6951">
      <w:bodyDiv w:val="1"/>
      <w:marLeft w:val="0"/>
      <w:marRight w:val="0"/>
      <w:marTop w:val="0"/>
      <w:marBottom w:val="0"/>
      <w:divBdr>
        <w:top w:val="none" w:sz="0" w:space="0" w:color="auto"/>
        <w:left w:val="none" w:sz="0" w:space="0" w:color="auto"/>
        <w:bottom w:val="none" w:sz="0" w:space="0" w:color="auto"/>
        <w:right w:val="none" w:sz="0" w:space="0" w:color="auto"/>
      </w:divBdr>
    </w:div>
    <w:div w:id="164318977">
      <w:bodyDiv w:val="1"/>
      <w:marLeft w:val="0"/>
      <w:marRight w:val="0"/>
      <w:marTop w:val="0"/>
      <w:marBottom w:val="0"/>
      <w:divBdr>
        <w:top w:val="none" w:sz="0" w:space="0" w:color="auto"/>
        <w:left w:val="none" w:sz="0" w:space="0" w:color="auto"/>
        <w:bottom w:val="none" w:sz="0" w:space="0" w:color="auto"/>
        <w:right w:val="none" w:sz="0" w:space="0" w:color="auto"/>
      </w:divBdr>
      <w:divsChild>
        <w:div w:id="1494368931">
          <w:marLeft w:val="0"/>
          <w:marRight w:val="0"/>
          <w:marTop w:val="0"/>
          <w:marBottom w:val="0"/>
          <w:divBdr>
            <w:top w:val="none" w:sz="0" w:space="0" w:color="auto"/>
            <w:left w:val="none" w:sz="0" w:space="0" w:color="auto"/>
            <w:bottom w:val="none" w:sz="0" w:space="0" w:color="auto"/>
            <w:right w:val="none" w:sz="0" w:space="0" w:color="auto"/>
          </w:divBdr>
          <w:divsChild>
            <w:div w:id="1524443238">
              <w:marLeft w:val="0"/>
              <w:marRight w:val="0"/>
              <w:marTop w:val="0"/>
              <w:marBottom w:val="0"/>
              <w:divBdr>
                <w:top w:val="none" w:sz="0" w:space="0" w:color="auto"/>
                <w:left w:val="none" w:sz="0" w:space="0" w:color="auto"/>
                <w:bottom w:val="none" w:sz="0" w:space="0" w:color="auto"/>
                <w:right w:val="none" w:sz="0" w:space="0" w:color="auto"/>
              </w:divBdr>
              <w:divsChild>
                <w:div w:id="14271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1795">
      <w:bodyDiv w:val="1"/>
      <w:marLeft w:val="0"/>
      <w:marRight w:val="0"/>
      <w:marTop w:val="0"/>
      <w:marBottom w:val="0"/>
      <w:divBdr>
        <w:top w:val="none" w:sz="0" w:space="0" w:color="auto"/>
        <w:left w:val="none" w:sz="0" w:space="0" w:color="auto"/>
        <w:bottom w:val="none" w:sz="0" w:space="0" w:color="auto"/>
        <w:right w:val="none" w:sz="0" w:space="0" w:color="auto"/>
      </w:divBdr>
      <w:divsChild>
        <w:div w:id="1109856768">
          <w:marLeft w:val="0"/>
          <w:marRight w:val="0"/>
          <w:marTop w:val="0"/>
          <w:marBottom w:val="0"/>
          <w:divBdr>
            <w:top w:val="none" w:sz="0" w:space="0" w:color="auto"/>
            <w:left w:val="none" w:sz="0" w:space="0" w:color="auto"/>
            <w:bottom w:val="none" w:sz="0" w:space="0" w:color="auto"/>
            <w:right w:val="none" w:sz="0" w:space="0" w:color="auto"/>
          </w:divBdr>
          <w:divsChild>
            <w:div w:id="1461533418">
              <w:marLeft w:val="0"/>
              <w:marRight w:val="0"/>
              <w:marTop w:val="0"/>
              <w:marBottom w:val="0"/>
              <w:divBdr>
                <w:top w:val="none" w:sz="0" w:space="0" w:color="auto"/>
                <w:left w:val="none" w:sz="0" w:space="0" w:color="auto"/>
                <w:bottom w:val="none" w:sz="0" w:space="0" w:color="auto"/>
                <w:right w:val="none" w:sz="0" w:space="0" w:color="auto"/>
              </w:divBdr>
              <w:divsChild>
                <w:div w:id="2074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2455">
      <w:bodyDiv w:val="1"/>
      <w:marLeft w:val="0"/>
      <w:marRight w:val="0"/>
      <w:marTop w:val="0"/>
      <w:marBottom w:val="0"/>
      <w:divBdr>
        <w:top w:val="none" w:sz="0" w:space="0" w:color="auto"/>
        <w:left w:val="none" w:sz="0" w:space="0" w:color="auto"/>
        <w:bottom w:val="none" w:sz="0" w:space="0" w:color="auto"/>
        <w:right w:val="none" w:sz="0" w:space="0" w:color="auto"/>
      </w:divBdr>
    </w:div>
    <w:div w:id="570428580">
      <w:bodyDiv w:val="1"/>
      <w:marLeft w:val="0"/>
      <w:marRight w:val="0"/>
      <w:marTop w:val="0"/>
      <w:marBottom w:val="0"/>
      <w:divBdr>
        <w:top w:val="none" w:sz="0" w:space="0" w:color="auto"/>
        <w:left w:val="none" w:sz="0" w:space="0" w:color="auto"/>
        <w:bottom w:val="none" w:sz="0" w:space="0" w:color="auto"/>
        <w:right w:val="none" w:sz="0" w:space="0" w:color="auto"/>
      </w:divBdr>
      <w:divsChild>
        <w:div w:id="1867596468">
          <w:marLeft w:val="0"/>
          <w:marRight w:val="0"/>
          <w:marTop w:val="0"/>
          <w:marBottom w:val="0"/>
          <w:divBdr>
            <w:top w:val="none" w:sz="0" w:space="0" w:color="auto"/>
            <w:left w:val="none" w:sz="0" w:space="0" w:color="auto"/>
            <w:bottom w:val="none" w:sz="0" w:space="0" w:color="auto"/>
            <w:right w:val="none" w:sz="0" w:space="0" w:color="auto"/>
          </w:divBdr>
          <w:divsChild>
            <w:div w:id="713313305">
              <w:marLeft w:val="0"/>
              <w:marRight w:val="0"/>
              <w:marTop w:val="0"/>
              <w:marBottom w:val="0"/>
              <w:divBdr>
                <w:top w:val="none" w:sz="0" w:space="0" w:color="auto"/>
                <w:left w:val="none" w:sz="0" w:space="0" w:color="auto"/>
                <w:bottom w:val="none" w:sz="0" w:space="0" w:color="auto"/>
                <w:right w:val="none" w:sz="0" w:space="0" w:color="auto"/>
              </w:divBdr>
              <w:divsChild>
                <w:div w:id="18357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2591">
      <w:bodyDiv w:val="1"/>
      <w:marLeft w:val="0"/>
      <w:marRight w:val="0"/>
      <w:marTop w:val="0"/>
      <w:marBottom w:val="0"/>
      <w:divBdr>
        <w:top w:val="none" w:sz="0" w:space="0" w:color="auto"/>
        <w:left w:val="none" w:sz="0" w:space="0" w:color="auto"/>
        <w:bottom w:val="none" w:sz="0" w:space="0" w:color="auto"/>
        <w:right w:val="none" w:sz="0" w:space="0" w:color="auto"/>
      </w:divBdr>
    </w:div>
    <w:div w:id="728772998">
      <w:bodyDiv w:val="1"/>
      <w:marLeft w:val="0"/>
      <w:marRight w:val="0"/>
      <w:marTop w:val="0"/>
      <w:marBottom w:val="0"/>
      <w:divBdr>
        <w:top w:val="none" w:sz="0" w:space="0" w:color="auto"/>
        <w:left w:val="none" w:sz="0" w:space="0" w:color="auto"/>
        <w:bottom w:val="none" w:sz="0" w:space="0" w:color="auto"/>
        <w:right w:val="none" w:sz="0" w:space="0" w:color="auto"/>
      </w:divBdr>
    </w:div>
    <w:div w:id="853108166">
      <w:bodyDiv w:val="1"/>
      <w:marLeft w:val="0"/>
      <w:marRight w:val="0"/>
      <w:marTop w:val="0"/>
      <w:marBottom w:val="0"/>
      <w:divBdr>
        <w:top w:val="none" w:sz="0" w:space="0" w:color="auto"/>
        <w:left w:val="none" w:sz="0" w:space="0" w:color="auto"/>
        <w:bottom w:val="none" w:sz="0" w:space="0" w:color="auto"/>
        <w:right w:val="none" w:sz="0" w:space="0" w:color="auto"/>
      </w:divBdr>
    </w:div>
    <w:div w:id="922299454">
      <w:bodyDiv w:val="1"/>
      <w:marLeft w:val="0"/>
      <w:marRight w:val="0"/>
      <w:marTop w:val="0"/>
      <w:marBottom w:val="0"/>
      <w:divBdr>
        <w:top w:val="none" w:sz="0" w:space="0" w:color="auto"/>
        <w:left w:val="none" w:sz="0" w:space="0" w:color="auto"/>
        <w:bottom w:val="none" w:sz="0" w:space="0" w:color="auto"/>
        <w:right w:val="none" w:sz="0" w:space="0" w:color="auto"/>
      </w:divBdr>
    </w:div>
    <w:div w:id="982932269">
      <w:bodyDiv w:val="1"/>
      <w:marLeft w:val="0"/>
      <w:marRight w:val="0"/>
      <w:marTop w:val="0"/>
      <w:marBottom w:val="0"/>
      <w:divBdr>
        <w:top w:val="none" w:sz="0" w:space="0" w:color="auto"/>
        <w:left w:val="none" w:sz="0" w:space="0" w:color="auto"/>
        <w:bottom w:val="none" w:sz="0" w:space="0" w:color="auto"/>
        <w:right w:val="none" w:sz="0" w:space="0" w:color="auto"/>
      </w:divBdr>
    </w:div>
    <w:div w:id="1016812374">
      <w:bodyDiv w:val="1"/>
      <w:marLeft w:val="0"/>
      <w:marRight w:val="0"/>
      <w:marTop w:val="0"/>
      <w:marBottom w:val="0"/>
      <w:divBdr>
        <w:top w:val="none" w:sz="0" w:space="0" w:color="auto"/>
        <w:left w:val="none" w:sz="0" w:space="0" w:color="auto"/>
        <w:bottom w:val="none" w:sz="0" w:space="0" w:color="auto"/>
        <w:right w:val="none" w:sz="0" w:space="0" w:color="auto"/>
      </w:divBdr>
      <w:divsChild>
        <w:div w:id="1267276430">
          <w:marLeft w:val="0"/>
          <w:marRight w:val="0"/>
          <w:marTop w:val="0"/>
          <w:marBottom w:val="0"/>
          <w:divBdr>
            <w:top w:val="none" w:sz="0" w:space="0" w:color="auto"/>
            <w:left w:val="none" w:sz="0" w:space="0" w:color="auto"/>
            <w:bottom w:val="none" w:sz="0" w:space="0" w:color="auto"/>
            <w:right w:val="none" w:sz="0" w:space="0" w:color="auto"/>
          </w:divBdr>
          <w:divsChild>
            <w:div w:id="1714160188">
              <w:marLeft w:val="0"/>
              <w:marRight w:val="0"/>
              <w:marTop w:val="0"/>
              <w:marBottom w:val="0"/>
              <w:divBdr>
                <w:top w:val="none" w:sz="0" w:space="0" w:color="auto"/>
                <w:left w:val="none" w:sz="0" w:space="0" w:color="auto"/>
                <w:bottom w:val="none" w:sz="0" w:space="0" w:color="auto"/>
                <w:right w:val="none" w:sz="0" w:space="0" w:color="auto"/>
              </w:divBdr>
              <w:divsChild>
                <w:div w:id="1914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5682">
      <w:bodyDiv w:val="1"/>
      <w:marLeft w:val="0"/>
      <w:marRight w:val="0"/>
      <w:marTop w:val="0"/>
      <w:marBottom w:val="0"/>
      <w:divBdr>
        <w:top w:val="none" w:sz="0" w:space="0" w:color="auto"/>
        <w:left w:val="none" w:sz="0" w:space="0" w:color="auto"/>
        <w:bottom w:val="none" w:sz="0" w:space="0" w:color="auto"/>
        <w:right w:val="none" w:sz="0" w:space="0" w:color="auto"/>
      </w:divBdr>
    </w:div>
    <w:div w:id="1048409608">
      <w:bodyDiv w:val="1"/>
      <w:marLeft w:val="0"/>
      <w:marRight w:val="0"/>
      <w:marTop w:val="0"/>
      <w:marBottom w:val="0"/>
      <w:divBdr>
        <w:top w:val="none" w:sz="0" w:space="0" w:color="auto"/>
        <w:left w:val="none" w:sz="0" w:space="0" w:color="auto"/>
        <w:bottom w:val="none" w:sz="0" w:space="0" w:color="auto"/>
        <w:right w:val="none" w:sz="0" w:space="0" w:color="auto"/>
      </w:divBdr>
    </w:div>
    <w:div w:id="1162546819">
      <w:bodyDiv w:val="1"/>
      <w:marLeft w:val="0"/>
      <w:marRight w:val="0"/>
      <w:marTop w:val="0"/>
      <w:marBottom w:val="0"/>
      <w:divBdr>
        <w:top w:val="none" w:sz="0" w:space="0" w:color="auto"/>
        <w:left w:val="none" w:sz="0" w:space="0" w:color="auto"/>
        <w:bottom w:val="none" w:sz="0" w:space="0" w:color="auto"/>
        <w:right w:val="none" w:sz="0" w:space="0" w:color="auto"/>
      </w:divBdr>
    </w:div>
    <w:div w:id="1174951677">
      <w:bodyDiv w:val="1"/>
      <w:marLeft w:val="0"/>
      <w:marRight w:val="0"/>
      <w:marTop w:val="0"/>
      <w:marBottom w:val="0"/>
      <w:divBdr>
        <w:top w:val="none" w:sz="0" w:space="0" w:color="auto"/>
        <w:left w:val="none" w:sz="0" w:space="0" w:color="auto"/>
        <w:bottom w:val="none" w:sz="0" w:space="0" w:color="auto"/>
        <w:right w:val="none" w:sz="0" w:space="0" w:color="auto"/>
      </w:divBdr>
    </w:div>
    <w:div w:id="1177691762">
      <w:bodyDiv w:val="1"/>
      <w:marLeft w:val="0"/>
      <w:marRight w:val="0"/>
      <w:marTop w:val="0"/>
      <w:marBottom w:val="0"/>
      <w:divBdr>
        <w:top w:val="none" w:sz="0" w:space="0" w:color="auto"/>
        <w:left w:val="none" w:sz="0" w:space="0" w:color="auto"/>
        <w:bottom w:val="none" w:sz="0" w:space="0" w:color="auto"/>
        <w:right w:val="none" w:sz="0" w:space="0" w:color="auto"/>
      </w:divBdr>
    </w:div>
    <w:div w:id="1286740906">
      <w:bodyDiv w:val="1"/>
      <w:marLeft w:val="0"/>
      <w:marRight w:val="0"/>
      <w:marTop w:val="0"/>
      <w:marBottom w:val="0"/>
      <w:divBdr>
        <w:top w:val="none" w:sz="0" w:space="0" w:color="auto"/>
        <w:left w:val="none" w:sz="0" w:space="0" w:color="auto"/>
        <w:bottom w:val="none" w:sz="0" w:space="0" w:color="auto"/>
        <w:right w:val="none" w:sz="0" w:space="0" w:color="auto"/>
      </w:divBdr>
    </w:div>
    <w:div w:id="1352877281">
      <w:bodyDiv w:val="1"/>
      <w:marLeft w:val="0"/>
      <w:marRight w:val="0"/>
      <w:marTop w:val="0"/>
      <w:marBottom w:val="0"/>
      <w:divBdr>
        <w:top w:val="none" w:sz="0" w:space="0" w:color="auto"/>
        <w:left w:val="none" w:sz="0" w:space="0" w:color="auto"/>
        <w:bottom w:val="none" w:sz="0" w:space="0" w:color="auto"/>
        <w:right w:val="none" w:sz="0" w:space="0" w:color="auto"/>
      </w:divBdr>
    </w:div>
    <w:div w:id="1421677069">
      <w:bodyDiv w:val="1"/>
      <w:marLeft w:val="0"/>
      <w:marRight w:val="0"/>
      <w:marTop w:val="0"/>
      <w:marBottom w:val="0"/>
      <w:divBdr>
        <w:top w:val="none" w:sz="0" w:space="0" w:color="auto"/>
        <w:left w:val="none" w:sz="0" w:space="0" w:color="auto"/>
        <w:bottom w:val="none" w:sz="0" w:space="0" w:color="auto"/>
        <w:right w:val="none" w:sz="0" w:space="0" w:color="auto"/>
      </w:divBdr>
    </w:div>
    <w:div w:id="1426345534">
      <w:bodyDiv w:val="1"/>
      <w:marLeft w:val="0"/>
      <w:marRight w:val="0"/>
      <w:marTop w:val="0"/>
      <w:marBottom w:val="0"/>
      <w:divBdr>
        <w:top w:val="none" w:sz="0" w:space="0" w:color="auto"/>
        <w:left w:val="none" w:sz="0" w:space="0" w:color="auto"/>
        <w:bottom w:val="none" w:sz="0" w:space="0" w:color="auto"/>
        <w:right w:val="none" w:sz="0" w:space="0" w:color="auto"/>
      </w:divBdr>
    </w:div>
    <w:div w:id="1427993770">
      <w:bodyDiv w:val="1"/>
      <w:marLeft w:val="0"/>
      <w:marRight w:val="0"/>
      <w:marTop w:val="0"/>
      <w:marBottom w:val="0"/>
      <w:divBdr>
        <w:top w:val="none" w:sz="0" w:space="0" w:color="auto"/>
        <w:left w:val="none" w:sz="0" w:space="0" w:color="auto"/>
        <w:bottom w:val="none" w:sz="0" w:space="0" w:color="auto"/>
        <w:right w:val="none" w:sz="0" w:space="0" w:color="auto"/>
      </w:divBdr>
      <w:divsChild>
        <w:div w:id="2049262409">
          <w:marLeft w:val="0"/>
          <w:marRight w:val="0"/>
          <w:marTop w:val="0"/>
          <w:marBottom w:val="0"/>
          <w:divBdr>
            <w:top w:val="none" w:sz="0" w:space="0" w:color="auto"/>
            <w:left w:val="none" w:sz="0" w:space="0" w:color="auto"/>
            <w:bottom w:val="none" w:sz="0" w:space="0" w:color="auto"/>
            <w:right w:val="none" w:sz="0" w:space="0" w:color="auto"/>
          </w:divBdr>
          <w:divsChild>
            <w:div w:id="986667391">
              <w:marLeft w:val="0"/>
              <w:marRight w:val="0"/>
              <w:marTop w:val="0"/>
              <w:marBottom w:val="0"/>
              <w:divBdr>
                <w:top w:val="none" w:sz="0" w:space="0" w:color="auto"/>
                <w:left w:val="none" w:sz="0" w:space="0" w:color="auto"/>
                <w:bottom w:val="none" w:sz="0" w:space="0" w:color="auto"/>
                <w:right w:val="none" w:sz="0" w:space="0" w:color="auto"/>
              </w:divBdr>
              <w:divsChild>
                <w:div w:id="9541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89140">
      <w:bodyDiv w:val="1"/>
      <w:marLeft w:val="0"/>
      <w:marRight w:val="0"/>
      <w:marTop w:val="0"/>
      <w:marBottom w:val="0"/>
      <w:divBdr>
        <w:top w:val="none" w:sz="0" w:space="0" w:color="auto"/>
        <w:left w:val="none" w:sz="0" w:space="0" w:color="auto"/>
        <w:bottom w:val="none" w:sz="0" w:space="0" w:color="auto"/>
        <w:right w:val="none" w:sz="0" w:space="0" w:color="auto"/>
      </w:divBdr>
      <w:divsChild>
        <w:div w:id="407730407">
          <w:marLeft w:val="0"/>
          <w:marRight w:val="0"/>
          <w:marTop w:val="0"/>
          <w:marBottom w:val="0"/>
          <w:divBdr>
            <w:top w:val="none" w:sz="0" w:space="0" w:color="auto"/>
            <w:left w:val="none" w:sz="0" w:space="0" w:color="auto"/>
            <w:bottom w:val="none" w:sz="0" w:space="0" w:color="auto"/>
            <w:right w:val="none" w:sz="0" w:space="0" w:color="auto"/>
          </w:divBdr>
          <w:divsChild>
            <w:div w:id="1589970178">
              <w:marLeft w:val="0"/>
              <w:marRight w:val="0"/>
              <w:marTop w:val="0"/>
              <w:marBottom w:val="0"/>
              <w:divBdr>
                <w:top w:val="none" w:sz="0" w:space="0" w:color="auto"/>
                <w:left w:val="none" w:sz="0" w:space="0" w:color="auto"/>
                <w:bottom w:val="none" w:sz="0" w:space="0" w:color="auto"/>
                <w:right w:val="none" w:sz="0" w:space="0" w:color="auto"/>
              </w:divBdr>
              <w:divsChild>
                <w:div w:id="1026756908">
                  <w:marLeft w:val="0"/>
                  <w:marRight w:val="0"/>
                  <w:marTop w:val="0"/>
                  <w:marBottom w:val="0"/>
                  <w:divBdr>
                    <w:top w:val="none" w:sz="0" w:space="0" w:color="auto"/>
                    <w:left w:val="none" w:sz="0" w:space="0" w:color="auto"/>
                    <w:bottom w:val="none" w:sz="0" w:space="0" w:color="auto"/>
                    <w:right w:val="none" w:sz="0" w:space="0" w:color="auto"/>
                  </w:divBdr>
                  <w:divsChild>
                    <w:div w:id="17227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1113">
      <w:bodyDiv w:val="1"/>
      <w:marLeft w:val="0"/>
      <w:marRight w:val="0"/>
      <w:marTop w:val="0"/>
      <w:marBottom w:val="0"/>
      <w:divBdr>
        <w:top w:val="none" w:sz="0" w:space="0" w:color="auto"/>
        <w:left w:val="none" w:sz="0" w:space="0" w:color="auto"/>
        <w:bottom w:val="none" w:sz="0" w:space="0" w:color="auto"/>
        <w:right w:val="none" w:sz="0" w:space="0" w:color="auto"/>
      </w:divBdr>
      <w:divsChild>
        <w:div w:id="505245286">
          <w:marLeft w:val="0"/>
          <w:marRight w:val="0"/>
          <w:marTop w:val="0"/>
          <w:marBottom w:val="0"/>
          <w:divBdr>
            <w:top w:val="none" w:sz="0" w:space="0" w:color="auto"/>
            <w:left w:val="none" w:sz="0" w:space="0" w:color="auto"/>
            <w:bottom w:val="none" w:sz="0" w:space="0" w:color="auto"/>
            <w:right w:val="none" w:sz="0" w:space="0" w:color="auto"/>
          </w:divBdr>
          <w:divsChild>
            <w:div w:id="207301139">
              <w:marLeft w:val="0"/>
              <w:marRight w:val="0"/>
              <w:marTop w:val="0"/>
              <w:marBottom w:val="0"/>
              <w:divBdr>
                <w:top w:val="none" w:sz="0" w:space="0" w:color="auto"/>
                <w:left w:val="none" w:sz="0" w:space="0" w:color="auto"/>
                <w:bottom w:val="none" w:sz="0" w:space="0" w:color="auto"/>
                <w:right w:val="none" w:sz="0" w:space="0" w:color="auto"/>
              </w:divBdr>
              <w:divsChild>
                <w:div w:id="4416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439">
      <w:bodyDiv w:val="1"/>
      <w:marLeft w:val="0"/>
      <w:marRight w:val="0"/>
      <w:marTop w:val="0"/>
      <w:marBottom w:val="0"/>
      <w:divBdr>
        <w:top w:val="none" w:sz="0" w:space="0" w:color="auto"/>
        <w:left w:val="none" w:sz="0" w:space="0" w:color="auto"/>
        <w:bottom w:val="none" w:sz="0" w:space="0" w:color="auto"/>
        <w:right w:val="none" w:sz="0" w:space="0" w:color="auto"/>
      </w:divBdr>
    </w:div>
    <w:div w:id="1605652224">
      <w:bodyDiv w:val="1"/>
      <w:marLeft w:val="0"/>
      <w:marRight w:val="0"/>
      <w:marTop w:val="0"/>
      <w:marBottom w:val="0"/>
      <w:divBdr>
        <w:top w:val="none" w:sz="0" w:space="0" w:color="auto"/>
        <w:left w:val="none" w:sz="0" w:space="0" w:color="auto"/>
        <w:bottom w:val="none" w:sz="0" w:space="0" w:color="auto"/>
        <w:right w:val="none" w:sz="0" w:space="0" w:color="auto"/>
      </w:divBdr>
    </w:div>
    <w:div w:id="1712805033">
      <w:bodyDiv w:val="1"/>
      <w:marLeft w:val="0"/>
      <w:marRight w:val="0"/>
      <w:marTop w:val="0"/>
      <w:marBottom w:val="0"/>
      <w:divBdr>
        <w:top w:val="none" w:sz="0" w:space="0" w:color="auto"/>
        <w:left w:val="none" w:sz="0" w:space="0" w:color="auto"/>
        <w:bottom w:val="none" w:sz="0" w:space="0" w:color="auto"/>
        <w:right w:val="none" w:sz="0" w:space="0" w:color="auto"/>
      </w:divBdr>
      <w:divsChild>
        <w:div w:id="245579796">
          <w:marLeft w:val="0"/>
          <w:marRight w:val="0"/>
          <w:marTop w:val="0"/>
          <w:marBottom w:val="0"/>
          <w:divBdr>
            <w:top w:val="none" w:sz="0" w:space="0" w:color="auto"/>
            <w:left w:val="none" w:sz="0" w:space="0" w:color="auto"/>
            <w:bottom w:val="none" w:sz="0" w:space="0" w:color="auto"/>
            <w:right w:val="none" w:sz="0" w:space="0" w:color="auto"/>
          </w:divBdr>
          <w:divsChild>
            <w:div w:id="1009067121">
              <w:marLeft w:val="0"/>
              <w:marRight w:val="0"/>
              <w:marTop w:val="0"/>
              <w:marBottom w:val="0"/>
              <w:divBdr>
                <w:top w:val="none" w:sz="0" w:space="0" w:color="auto"/>
                <w:left w:val="none" w:sz="0" w:space="0" w:color="auto"/>
                <w:bottom w:val="none" w:sz="0" w:space="0" w:color="auto"/>
                <w:right w:val="none" w:sz="0" w:space="0" w:color="auto"/>
              </w:divBdr>
              <w:divsChild>
                <w:div w:id="3333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5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suke.sasaki@med.toho-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1F05-2236-4321-9956-A26AD5D9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27717</Words>
  <Characters>157987</Characters>
  <Application>Microsoft Office Word</Application>
  <DocSecurity>0</DocSecurity>
  <Lines>1316</Lines>
  <Paragraphs>370</Paragraphs>
  <ScaleCrop>false</ScaleCrop>
  <HeadingPairs>
    <vt:vector size="6" baseType="variant">
      <vt:variant>
        <vt:lpstr>タイトル</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Liansheng Ma</cp:lastModifiedBy>
  <cp:revision>2</cp:revision>
  <cp:lastPrinted>2019-02-18T03:33:00Z</cp:lastPrinted>
  <dcterms:created xsi:type="dcterms:W3CDTF">2020-05-12T20:37:00Z</dcterms:created>
  <dcterms:modified xsi:type="dcterms:W3CDTF">2020-05-12T20:37:00Z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http://www.zotero.org/styles/bmj-case-reports</vt:lpwstr>
  </property>
  <property fmtid="{D5CDD505-2E9C-101B-9397-08002B2CF9AE}" pid="3" name="Mendeley Recent Style Name 0_1">
    <vt:lpwstr>BMJ Case Reports</vt:lpwstr>
  </property>
  <property fmtid="{D5CDD505-2E9C-101B-9397-08002B2CF9AE}" pid="4" name="Mendeley Recent Style Id 1_1">
    <vt:lpwstr>http://csl.mendeley.com/styles/12591901/BCR</vt:lpwstr>
  </property>
  <property fmtid="{D5CDD505-2E9C-101B-9397-08002B2CF9AE}" pid="5" name="Mendeley Recent Style Name 1_1">
    <vt:lpwstr>BMJ case reports - Yosuke Sasaki, MD, PhD</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http://www.zotero.org/styles/geriatric-nursing</vt:lpwstr>
  </property>
  <property fmtid="{D5CDD505-2E9C-101B-9397-08002B2CF9AE}" pid="9" name="Mendeley Recent Style Name 3_1">
    <vt:lpwstr>Geriatric Nursing</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http://csl.mendeley.com/styles/12591901/Internal-Medicine</vt:lpwstr>
  </property>
  <property fmtid="{D5CDD505-2E9C-101B-9397-08002B2CF9AE}" pid="13" name="Mendeley Recent Style Name 5_1">
    <vt:lpwstr>Internal Medicine</vt:lpwstr>
  </property>
  <property fmtid="{D5CDD505-2E9C-101B-9397-08002B2CF9AE}" pid="14" name="Mendeley Recent Style Id 6_1">
    <vt:lpwstr>http://csl.mendeley.com/styles/12591901/JHGM-2</vt:lpwstr>
  </property>
  <property fmtid="{D5CDD505-2E9C-101B-9397-08002B2CF9AE}" pid="15" name="Mendeley Recent Style Name 6_1">
    <vt:lpwstr>JHGM - Yosuke Sasaki, MD, PhD</vt:lpwstr>
  </property>
  <property fmtid="{D5CDD505-2E9C-101B-9397-08002B2CF9AE}" pid="16" name="Mendeley Recent Style Id 7_1">
    <vt:lpwstr>http://csl.mendeley.com/styles/12591901/JHGM</vt:lpwstr>
  </property>
  <property fmtid="{D5CDD505-2E9C-101B-9397-08002B2CF9AE}" pid="17" name="Mendeley Recent Style Name 7_1">
    <vt:lpwstr>JHGM - Yosuke Sasaki, MD, PhD</vt:lpwstr>
  </property>
  <property fmtid="{D5CDD505-2E9C-101B-9397-08002B2CF9AE}" pid="18" name="Mendeley Recent Style Id 8_1">
    <vt:lpwstr>http://csl.mendeley.com/styles/12591901/BMJ-case-report-YS</vt:lpwstr>
  </property>
  <property fmtid="{D5CDD505-2E9C-101B-9397-08002B2CF9AE}" pid="19" name="Mendeley Recent Style Name 8_1">
    <vt:lpwstr>Vancouver - Yosuke Sasaki, MD, PhD</vt:lpwstr>
  </property>
  <property fmtid="{D5CDD505-2E9C-101B-9397-08002B2CF9AE}" pid="20" name="Mendeley Recent Style Id 9_1">
    <vt:lpwstr>http://csl.mendeley.com/styles/12591901/vancouver-WGJ</vt:lpwstr>
  </property>
  <property fmtid="{D5CDD505-2E9C-101B-9397-08002B2CF9AE}" pid="21" name="Mendeley Recent Style Name 9_1">
    <vt:lpwstr>WGJ-Sasaki - Yosuke Sasaki, MD, PhD</vt:lpwstr>
  </property>
  <property fmtid="{D5CDD505-2E9C-101B-9397-08002B2CF9AE}" pid="22" name="Mendeley Citation Style_1">
    <vt:lpwstr>http://csl.mendeley.com/styles/12591901/vancouver-WGJ</vt:lpwstr>
  </property>
  <property fmtid="{D5CDD505-2E9C-101B-9397-08002B2CF9AE}" pid="23" name="Mendeley Document_1">
    <vt:lpwstr>True</vt:lpwstr>
  </property>
  <property fmtid="{D5CDD505-2E9C-101B-9397-08002B2CF9AE}" pid="24" name="Mendeley Unique User Id_1">
    <vt:lpwstr>35ea6b54-8cfc-381b-a231-c966564c3930</vt:lpwstr>
  </property>
</Properties>
</file>