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EFD7C" w14:textId="36B09579" w:rsidR="00CA0318" w:rsidRPr="00CA0318" w:rsidRDefault="00CA0318" w:rsidP="00CA0318">
      <w:pPr>
        <w:pStyle w:val="11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246"/>
      <w:bookmarkStart w:id="12" w:name="OLE_LINK636"/>
      <w:bookmarkStart w:id="13" w:name="OLE_LINK654"/>
      <w:bookmarkStart w:id="14" w:name="OLE_LINK849"/>
      <w:bookmarkStart w:id="15" w:name="OLE_LINK939"/>
      <w:bookmarkStart w:id="16" w:name="OLE_LINK1000"/>
      <w:bookmarkStart w:id="17" w:name="OLE_LINK1039"/>
      <w:bookmarkStart w:id="18" w:name="OLE_LINK1050"/>
      <w:bookmarkStart w:id="19" w:name="OLE_LINK1071"/>
      <w:bookmarkStart w:id="20" w:name="OLE_LINK255"/>
      <w:bookmarkStart w:id="21" w:name="OLE_LINK578"/>
      <w:r w:rsidRPr="00CA0318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Name of </w:t>
      </w:r>
      <w:r w:rsidRPr="00CA0318">
        <w:rPr>
          <w:rFonts w:ascii="Book Antiqua" w:hAnsi="Book Antiqua" w:cs="Times New Roman"/>
          <w:b/>
          <w:caps/>
          <w:color w:val="auto"/>
          <w:sz w:val="24"/>
          <w:szCs w:val="24"/>
          <w:highlight w:val="white"/>
          <w:lang w:val="en-US" w:eastAsia="zh-CN"/>
        </w:rPr>
        <w:t>j</w:t>
      </w:r>
      <w:r w:rsidRPr="00CA0318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val="en-US" w:eastAsia="zh-CN"/>
        </w:rPr>
        <w:t xml:space="preserve">ournal: </w:t>
      </w:r>
      <w:r w:rsidRPr="00CA0318">
        <w:rPr>
          <w:rFonts w:ascii="Book Antiqua" w:hAnsi="Book Antiqua" w:cs="Times New Roman"/>
          <w:i/>
          <w:color w:val="auto"/>
          <w:sz w:val="24"/>
          <w:szCs w:val="24"/>
          <w:lang w:val="en-US" w:eastAsia="zh-CN"/>
        </w:rPr>
        <w:t>World Journal of Gastroenterology</w:t>
      </w:r>
    </w:p>
    <w:p w14:paraId="673F48C0" w14:textId="4A00E442" w:rsidR="00CA0318" w:rsidRPr="00CA0318" w:rsidRDefault="00CA0318" w:rsidP="00CA0318">
      <w:pPr>
        <w:pStyle w:val="11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auto"/>
          <w:sz w:val="24"/>
          <w:szCs w:val="24"/>
          <w:highlight w:val="white"/>
          <w:lang w:val="en-US" w:eastAsia="zh-CN"/>
        </w:rPr>
      </w:pPr>
      <w:bookmarkStart w:id="22" w:name="OLE_LINK485"/>
      <w:bookmarkStart w:id="23" w:name="OLE_LINK486"/>
      <w:bookmarkStart w:id="24" w:name="OLE_LINK661"/>
      <w:bookmarkStart w:id="25" w:name="OLE_LINK768"/>
      <w:bookmarkStart w:id="26" w:name="OLE_LINK568"/>
      <w:bookmarkStart w:id="27" w:name="OLE_LINK499"/>
      <w:bookmarkStart w:id="28" w:name="OLE_LINK437"/>
      <w:bookmarkStart w:id="29" w:name="OLE_LINK514"/>
      <w:bookmarkStart w:id="30" w:name="OLE_LINK515"/>
      <w:bookmarkStart w:id="31" w:name="OLE_LINK13"/>
      <w:bookmarkStart w:id="32" w:name="OLE_LINK351"/>
      <w:bookmarkStart w:id="33" w:name="OLE_LINK425"/>
      <w:r w:rsidRPr="00CA0318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>Manuscript NO:</w:t>
      </w:r>
      <w:bookmarkEnd w:id="22"/>
      <w:bookmarkEnd w:id="23"/>
      <w:bookmarkEnd w:id="24"/>
      <w:bookmarkEnd w:id="25"/>
      <w:bookmarkEnd w:id="26"/>
      <w:r w:rsidRPr="00CA0318">
        <w:rPr>
          <w:rFonts w:ascii="Book Antiqua" w:hAnsi="Book Antiqua" w:cs="Times New Roman"/>
          <w:b/>
          <w:color w:val="auto"/>
          <w:sz w:val="24"/>
          <w:szCs w:val="24"/>
          <w:highlight w:val="white"/>
          <w:lang w:eastAsia="zh-CN"/>
        </w:rPr>
        <w:t xml:space="preserve"> </w:t>
      </w:r>
      <w:bookmarkEnd w:id="27"/>
      <w:bookmarkEnd w:id="28"/>
      <w:r w:rsidRPr="00CA0318">
        <w:rPr>
          <w:rFonts w:ascii="Book Antiqua" w:hAnsi="Book Antiqua" w:cs="Times New Roman"/>
          <w:color w:val="auto"/>
          <w:sz w:val="24"/>
          <w:szCs w:val="24"/>
          <w:highlight w:val="white"/>
          <w:lang w:eastAsia="zh-CN"/>
        </w:rPr>
        <w:t>54868</w:t>
      </w:r>
    </w:p>
    <w:p w14:paraId="7D7BC498" w14:textId="679A9108" w:rsidR="0007178C" w:rsidRPr="00CA0318" w:rsidRDefault="00CA0318" w:rsidP="00151396">
      <w:pPr>
        <w:snapToGrid w:val="0"/>
        <w:spacing w:line="360" w:lineRule="auto"/>
        <w:jc w:val="both"/>
        <w:rPr>
          <w:rFonts w:ascii="Book Antiqua" w:hAnsi="Book Antiqua"/>
          <w:b/>
          <w:lang w:val="it-IT"/>
        </w:rPr>
      </w:pPr>
      <w:bookmarkStart w:id="34" w:name="OLE_LINK511"/>
      <w:bookmarkStart w:id="35" w:name="OLE_LINK512"/>
      <w:bookmarkEnd w:id="29"/>
      <w:bookmarkEnd w:id="30"/>
      <w:bookmarkEnd w:id="31"/>
      <w:bookmarkEnd w:id="32"/>
      <w:bookmarkEnd w:id="33"/>
      <w:r w:rsidRPr="00CA0318">
        <w:rPr>
          <w:rFonts w:ascii="Book Antiqua" w:hAnsi="Book Antiqua"/>
          <w:b/>
          <w:highlight w:val="white"/>
          <w:lang w:val="it-IT"/>
        </w:rPr>
        <w:t xml:space="preserve">Manuscript </w:t>
      </w:r>
      <w:r w:rsidRPr="00CA0318">
        <w:rPr>
          <w:rFonts w:ascii="Book Antiqua" w:hAnsi="Book Antiqua"/>
          <w:b/>
          <w:caps/>
          <w:highlight w:val="white"/>
        </w:rPr>
        <w:t>t</w:t>
      </w:r>
      <w:r w:rsidRPr="00CA0318">
        <w:rPr>
          <w:rFonts w:ascii="Book Antiqua" w:hAnsi="Book Antiqua"/>
          <w:b/>
          <w:highlight w:val="white"/>
          <w:lang w:val="it-IT"/>
        </w:rPr>
        <w:t>ype</w:t>
      </w:r>
      <w:r w:rsidRPr="00CA0318">
        <w:rPr>
          <w:rFonts w:ascii="Book Antiqua" w:hAnsi="Book Antiqua"/>
          <w:b/>
          <w:lang w:val="it-IT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CA0318">
        <w:rPr>
          <w:rFonts w:ascii="Book Antiqua" w:hAnsi="Book Antiqua"/>
          <w:b/>
          <w:lang w:val="it-IT"/>
        </w:rPr>
        <w:t xml:space="preserve">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34"/>
      <w:bookmarkEnd w:id="35"/>
      <w:r w:rsidRPr="00CA0318">
        <w:rPr>
          <w:rFonts w:ascii="Book Antiqua" w:hAnsi="Book Antiqua"/>
          <w:caps/>
          <w:lang w:val="it-IT"/>
        </w:rPr>
        <w:t>Minireviews</w:t>
      </w:r>
    </w:p>
    <w:p w14:paraId="1031F458" w14:textId="77777777" w:rsidR="0007178C" w:rsidRDefault="0007178C" w:rsidP="00151396">
      <w:pPr>
        <w:snapToGrid w:val="0"/>
        <w:spacing w:line="360" w:lineRule="auto"/>
        <w:jc w:val="both"/>
        <w:rPr>
          <w:rFonts w:ascii="Book Antiqua" w:hAnsi="Book Antiqua"/>
          <w:b/>
          <w:color w:val="000000"/>
          <w:shd w:val="clear" w:color="auto" w:fill="FFFFFF"/>
        </w:rPr>
      </w:pPr>
    </w:p>
    <w:p w14:paraId="44EF7182" w14:textId="2AB92497" w:rsidR="007B5641" w:rsidRPr="00EC514F" w:rsidRDefault="007B5641" w:rsidP="00151396">
      <w:pPr>
        <w:snapToGrid w:val="0"/>
        <w:spacing w:line="360" w:lineRule="auto"/>
        <w:jc w:val="both"/>
        <w:rPr>
          <w:rFonts w:ascii="Book Antiqua" w:hAnsi="Book Antiqua"/>
          <w:b/>
          <w:color w:val="000000"/>
          <w:shd w:val="clear" w:color="auto" w:fill="FFFFFF"/>
        </w:rPr>
      </w:pPr>
      <w:r w:rsidRPr="00EC514F">
        <w:rPr>
          <w:rFonts w:ascii="Book Antiqua" w:hAnsi="Book Antiqua"/>
          <w:b/>
          <w:color w:val="000000"/>
          <w:shd w:val="clear" w:color="auto" w:fill="FFFFFF"/>
        </w:rPr>
        <w:t xml:space="preserve">Treatment of </w:t>
      </w:r>
      <w:r w:rsidR="00151396" w:rsidRPr="00EC514F">
        <w:rPr>
          <w:rFonts w:ascii="Book Antiqua" w:hAnsi="Book Antiqua"/>
          <w:b/>
          <w:color w:val="000000"/>
          <w:shd w:val="clear" w:color="auto" w:fill="FFFFFF"/>
        </w:rPr>
        <w:t xml:space="preserve">gastrointestinal bleeding in left ventricular assist devices: </w:t>
      </w:r>
      <w:r w:rsidR="00151396" w:rsidRPr="00EC514F">
        <w:rPr>
          <w:rFonts w:ascii="Book Antiqua" w:hAnsi="Book Antiqua"/>
          <w:b/>
          <w:caps/>
          <w:color w:val="000000"/>
          <w:shd w:val="clear" w:color="auto" w:fill="FFFFFF"/>
        </w:rPr>
        <w:t xml:space="preserve">a </w:t>
      </w:r>
      <w:r w:rsidR="00151396" w:rsidRPr="00EC514F">
        <w:rPr>
          <w:rFonts w:ascii="Book Antiqua" w:hAnsi="Book Antiqua"/>
          <w:b/>
          <w:color w:val="000000"/>
          <w:shd w:val="clear" w:color="auto" w:fill="FFFFFF"/>
        </w:rPr>
        <w:t>comprehensive review</w:t>
      </w:r>
    </w:p>
    <w:p w14:paraId="163748A2" w14:textId="77777777" w:rsidR="00E75CE7" w:rsidRPr="00EC514F" w:rsidRDefault="00E75CE7" w:rsidP="00151396">
      <w:pPr>
        <w:snapToGrid w:val="0"/>
        <w:spacing w:line="360" w:lineRule="auto"/>
        <w:jc w:val="both"/>
        <w:rPr>
          <w:rFonts w:ascii="Book Antiqua" w:hAnsi="Book Antiqua"/>
          <w:b/>
          <w:color w:val="000000"/>
          <w:shd w:val="clear" w:color="auto" w:fill="FFFFFF"/>
        </w:rPr>
      </w:pPr>
    </w:p>
    <w:p w14:paraId="61EA2326" w14:textId="7C22446D" w:rsidR="00E75CE7" w:rsidRPr="00EC514F" w:rsidRDefault="00E75CE7" w:rsidP="00151396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EC514F">
        <w:rPr>
          <w:rFonts w:ascii="Book Antiqua" w:hAnsi="Book Antiqua"/>
          <w:color w:val="000000"/>
          <w:shd w:val="clear" w:color="auto" w:fill="FFFFFF"/>
        </w:rPr>
        <w:t>Vedachalam</w:t>
      </w:r>
      <w:proofErr w:type="spellEnd"/>
      <w:r w:rsidRPr="00EC514F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151396" w:rsidRPr="00EC514F">
        <w:rPr>
          <w:rFonts w:ascii="Book Antiqua" w:hAnsi="Book Antiqua"/>
          <w:color w:val="000000"/>
          <w:shd w:val="clear" w:color="auto" w:fill="FFFFFF"/>
        </w:rPr>
        <w:t xml:space="preserve">S </w:t>
      </w:r>
      <w:r w:rsidRPr="00EC514F">
        <w:rPr>
          <w:rFonts w:ascii="Book Antiqua" w:hAnsi="Book Antiqua"/>
          <w:i/>
          <w:color w:val="000000"/>
          <w:shd w:val="clear" w:color="auto" w:fill="FFFFFF"/>
        </w:rPr>
        <w:t>et al</w:t>
      </w:r>
      <w:r w:rsidR="00151396" w:rsidRPr="00EC514F">
        <w:rPr>
          <w:rFonts w:ascii="Book Antiqua" w:hAnsi="Book Antiqua"/>
          <w:color w:val="000000"/>
          <w:shd w:val="clear" w:color="auto" w:fill="FFFFFF"/>
        </w:rPr>
        <w:t>.</w:t>
      </w:r>
      <w:r w:rsidRPr="00EC514F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EC514F">
        <w:rPr>
          <w:rFonts w:ascii="Book Antiqua" w:hAnsi="Book Antiqua"/>
        </w:rPr>
        <w:t xml:space="preserve">Treatment of LVAD-related </w:t>
      </w:r>
      <w:r w:rsidR="00783B5B" w:rsidRPr="00EC514F">
        <w:rPr>
          <w:rFonts w:ascii="Book Antiqua" w:hAnsi="Book Antiqua"/>
        </w:rPr>
        <w:t>g</w:t>
      </w:r>
      <w:r w:rsidRPr="00EC514F">
        <w:rPr>
          <w:rFonts w:ascii="Book Antiqua" w:hAnsi="Book Antiqua"/>
        </w:rPr>
        <w:t xml:space="preserve">astrointestinal </w:t>
      </w:r>
      <w:r w:rsidR="00783B5B" w:rsidRPr="00EC514F">
        <w:rPr>
          <w:rFonts w:ascii="Book Antiqua" w:hAnsi="Book Antiqua"/>
        </w:rPr>
        <w:t>b</w:t>
      </w:r>
      <w:r w:rsidRPr="00EC514F">
        <w:rPr>
          <w:rFonts w:ascii="Book Antiqua" w:hAnsi="Book Antiqua"/>
        </w:rPr>
        <w:t>leeding</w:t>
      </w:r>
    </w:p>
    <w:p w14:paraId="6DBA925D" w14:textId="77777777" w:rsidR="00E75CE7" w:rsidRPr="00EC514F" w:rsidRDefault="00E75CE7" w:rsidP="00151396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092A6144" w14:textId="649A9C4B" w:rsidR="00151396" w:rsidRPr="00EC514F" w:rsidRDefault="00151396" w:rsidP="00151396">
      <w:pPr>
        <w:snapToGrid w:val="0"/>
        <w:spacing w:line="360" w:lineRule="auto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 xml:space="preserve">Srikanth </w:t>
      </w:r>
      <w:proofErr w:type="spellStart"/>
      <w:r w:rsidRPr="00EC514F">
        <w:rPr>
          <w:rFonts w:ascii="Book Antiqua" w:hAnsi="Book Antiqua"/>
        </w:rPr>
        <w:t>Vedachalam</w:t>
      </w:r>
      <w:proofErr w:type="spellEnd"/>
      <w:r w:rsidRPr="00EC514F">
        <w:rPr>
          <w:rFonts w:ascii="Book Antiqua" w:hAnsi="Book Antiqua"/>
        </w:rPr>
        <w:t xml:space="preserve">, </w:t>
      </w:r>
      <w:proofErr w:type="spellStart"/>
      <w:r w:rsidRPr="00EC514F">
        <w:rPr>
          <w:rFonts w:ascii="Book Antiqua" w:hAnsi="Book Antiqua"/>
        </w:rPr>
        <w:t>Gokulakrishnan</w:t>
      </w:r>
      <w:proofErr w:type="spellEnd"/>
      <w:r w:rsidRPr="00EC514F">
        <w:rPr>
          <w:rFonts w:ascii="Book Antiqua" w:hAnsi="Book Antiqua"/>
        </w:rPr>
        <w:t xml:space="preserve"> Balasubramanian, </w:t>
      </w:r>
      <w:proofErr w:type="spellStart"/>
      <w:r w:rsidRPr="00EC514F">
        <w:rPr>
          <w:rFonts w:ascii="Book Antiqua" w:hAnsi="Book Antiqua"/>
        </w:rPr>
        <w:t>Garrie</w:t>
      </w:r>
      <w:proofErr w:type="spellEnd"/>
      <w:r w:rsidRPr="00EC514F">
        <w:rPr>
          <w:rFonts w:ascii="Book Antiqua" w:hAnsi="Book Antiqua"/>
        </w:rPr>
        <w:t xml:space="preserve"> J Haas, </w:t>
      </w:r>
      <w:proofErr w:type="spellStart"/>
      <w:r w:rsidRPr="00EC514F">
        <w:rPr>
          <w:rFonts w:ascii="Book Antiqua" w:hAnsi="Book Antiqua"/>
        </w:rPr>
        <w:t>Somashekar</w:t>
      </w:r>
      <w:proofErr w:type="spellEnd"/>
      <w:r w:rsidRPr="00EC514F">
        <w:rPr>
          <w:rFonts w:ascii="Book Antiqua" w:hAnsi="Book Antiqua"/>
        </w:rPr>
        <w:t xml:space="preserve"> G Krishna</w:t>
      </w:r>
    </w:p>
    <w:p w14:paraId="1522CF0F" w14:textId="77777777" w:rsidR="00151396" w:rsidRPr="00EC514F" w:rsidRDefault="00151396" w:rsidP="00151396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39D04CBE" w14:textId="0E746187" w:rsidR="00E75CE7" w:rsidRPr="00EC514F" w:rsidRDefault="001E1BC0" w:rsidP="00151396">
      <w:pPr>
        <w:snapToGrid w:val="0"/>
        <w:spacing w:line="360" w:lineRule="auto"/>
        <w:jc w:val="both"/>
        <w:rPr>
          <w:rFonts w:ascii="Book Antiqua" w:hAnsi="Book Antiqua"/>
          <w:b/>
          <w:vertAlign w:val="superscript"/>
        </w:rPr>
      </w:pPr>
      <w:r w:rsidRPr="00EC514F">
        <w:rPr>
          <w:rFonts w:ascii="Book Antiqua" w:hAnsi="Book Antiqua"/>
          <w:b/>
        </w:rPr>
        <w:t xml:space="preserve">Srikanth </w:t>
      </w:r>
      <w:proofErr w:type="spellStart"/>
      <w:r w:rsidRPr="00EC514F">
        <w:rPr>
          <w:rFonts w:ascii="Book Antiqua" w:hAnsi="Book Antiqua"/>
          <w:b/>
        </w:rPr>
        <w:t>Vedachalam</w:t>
      </w:r>
      <w:proofErr w:type="spellEnd"/>
      <w:r w:rsidRPr="00EC514F">
        <w:rPr>
          <w:rFonts w:ascii="Book Antiqua" w:hAnsi="Book Antiqua"/>
          <w:b/>
        </w:rPr>
        <w:t>,</w:t>
      </w:r>
      <w:r w:rsidR="00151396" w:rsidRPr="00EC514F">
        <w:rPr>
          <w:rFonts w:ascii="Book Antiqua" w:hAnsi="Book Antiqua"/>
          <w:b/>
        </w:rPr>
        <w:t xml:space="preserve"> </w:t>
      </w:r>
      <w:r w:rsidRPr="00EC514F">
        <w:rPr>
          <w:rFonts w:ascii="Book Antiqua" w:hAnsi="Book Antiqua" w:cs="Arial"/>
        </w:rPr>
        <w:t>Department of Internal Medicine,</w:t>
      </w:r>
      <w:r w:rsidRPr="00EC514F">
        <w:rPr>
          <w:rFonts w:ascii="Book Antiqua" w:hAnsi="Book Antiqua"/>
          <w:vertAlign w:val="superscript"/>
        </w:rPr>
        <w:t xml:space="preserve"> </w:t>
      </w:r>
      <w:r w:rsidR="00E75CE7" w:rsidRPr="00EC514F">
        <w:rPr>
          <w:rFonts w:ascii="Book Antiqua" w:hAnsi="Book Antiqua" w:cs="Arial"/>
        </w:rPr>
        <w:t>The Ohio State University Wexner Medical Center; Columbus, OH 43210, United States</w:t>
      </w:r>
    </w:p>
    <w:p w14:paraId="7A695873" w14:textId="77777777" w:rsidR="00E75CE7" w:rsidRPr="00EC514F" w:rsidRDefault="00E75CE7" w:rsidP="00151396">
      <w:pPr>
        <w:snapToGrid w:val="0"/>
        <w:spacing w:line="360" w:lineRule="auto"/>
        <w:jc w:val="both"/>
        <w:rPr>
          <w:rFonts w:ascii="Book Antiqua" w:hAnsi="Book Antiqua"/>
          <w:b/>
          <w:vertAlign w:val="superscript"/>
        </w:rPr>
      </w:pPr>
    </w:p>
    <w:p w14:paraId="7C16C7E2" w14:textId="4389669A" w:rsidR="00217C5D" w:rsidRPr="00EC514F" w:rsidRDefault="00FA6372" w:rsidP="00151396">
      <w:pPr>
        <w:pStyle w:val="2"/>
        <w:snapToGrid w:val="0"/>
        <w:spacing w:before="0" w:line="360" w:lineRule="auto"/>
        <w:jc w:val="both"/>
        <w:rPr>
          <w:rFonts w:ascii="Book Antiqua" w:hAnsi="Book Antiqua" w:cs="Arial"/>
          <w:b w:val="0"/>
          <w:color w:val="auto"/>
          <w:sz w:val="24"/>
          <w:szCs w:val="24"/>
        </w:rPr>
      </w:pPr>
      <w:proofErr w:type="spellStart"/>
      <w:r w:rsidRPr="00EC514F">
        <w:rPr>
          <w:rFonts w:ascii="Book Antiqua" w:hAnsi="Book Antiqua"/>
          <w:color w:val="auto"/>
          <w:sz w:val="24"/>
          <w:szCs w:val="24"/>
        </w:rPr>
        <w:t>Gokulakrishnan</w:t>
      </w:r>
      <w:proofErr w:type="spellEnd"/>
      <w:r w:rsidRPr="00EC514F">
        <w:rPr>
          <w:rFonts w:ascii="Book Antiqua" w:hAnsi="Book Antiqua"/>
          <w:color w:val="auto"/>
          <w:sz w:val="24"/>
          <w:szCs w:val="24"/>
        </w:rPr>
        <w:t xml:space="preserve"> Balasubramanian,</w:t>
      </w:r>
      <w:r w:rsidR="00151396" w:rsidRPr="00EC514F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56EAC" w:rsidRPr="00EC514F">
        <w:rPr>
          <w:rFonts w:ascii="Book Antiqua" w:hAnsi="Book Antiqua"/>
          <w:color w:val="auto"/>
          <w:sz w:val="24"/>
          <w:szCs w:val="24"/>
        </w:rPr>
        <w:t>Somashekar</w:t>
      </w:r>
      <w:proofErr w:type="spellEnd"/>
      <w:r w:rsidR="00256EAC" w:rsidRPr="00EC514F">
        <w:rPr>
          <w:rFonts w:ascii="Book Antiqua" w:hAnsi="Book Antiqua"/>
          <w:color w:val="auto"/>
          <w:sz w:val="24"/>
          <w:szCs w:val="24"/>
        </w:rPr>
        <w:t xml:space="preserve"> </w:t>
      </w:r>
      <w:r w:rsidR="00C3134D" w:rsidRPr="00EC514F">
        <w:rPr>
          <w:rFonts w:ascii="Book Antiqua" w:hAnsi="Book Antiqua"/>
          <w:color w:val="auto"/>
          <w:sz w:val="24"/>
          <w:szCs w:val="24"/>
        </w:rPr>
        <w:t>G</w:t>
      </w:r>
      <w:r w:rsidR="00C356B3" w:rsidRPr="00EC514F">
        <w:rPr>
          <w:rFonts w:ascii="Book Antiqua" w:hAnsi="Book Antiqua"/>
          <w:color w:val="auto"/>
          <w:sz w:val="24"/>
          <w:szCs w:val="24"/>
        </w:rPr>
        <w:t xml:space="preserve"> </w:t>
      </w:r>
      <w:r w:rsidR="00256EAC" w:rsidRPr="00EC514F">
        <w:rPr>
          <w:rFonts w:ascii="Book Antiqua" w:hAnsi="Book Antiqua"/>
          <w:color w:val="auto"/>
          <w:sz w:val="24"/>
          <w:szCs w:val="24"/>
        </w:rPr>
        <w:t>Krishna,</w:t>
      </w:r>
      <w:r w:rsidR="00151396" w:rsidRPr="00EC514F">
        <w:rPr>
          <w:rFonts w:ascii="Book Antiqua" w:hAnsi="Book Antiqua"/>
          <w:color w:val="auto"/>
          <w:sz w:val="24"/>
          <w:szCs w:val="24"/>
        </w:rPr>
        <w:t xml:space="preserve"> </w:t>
      </w:r>
      <w:r w:rsidR="00E75CE7" w:rsidRPr="00EC514F">
        <w:rPr>
          <w:rFonts w:ascii="Book Antiqua" w:hAnsi="Book Antiqua" w:cs="Arial"/>
          <w:b w:val="0"/>
          <w:color w:val="auto"/>
          <w:sz w:val="24"/>
          <w:szCs w:val="24"/>
        </w:rPr>
        <w:t>Division of Gastroenterology, Hepatology and Nutrition,</w:t>
      </w:r>
      <w:r w:rsidR="00217C5D" w:rsidRPr="00EC514F">
        <w:rPr>
          <w:rFonts w:ascii="Book Antiqua" w:hAnsi="Book Antiqua" w:cs="Arial"/>
          <w:b w:val="0"/>
          <w:color w:val="auto"/>
          <w:sz w:val="24"/>
          <w:szCs w:val="24"/>
        </w:rPr>
        <w:t xml:space="preserve"> The Ohio State University Wexner Medical Center; Columbus, OH 43210, United States</w:t>
      </w:r>
    </w:p>
    <w:p w14:paraId="0A5BE13D" w14:textId="77777777" w:rsidR="00151396" w:rsidRPr="00EC514F" w:rsidRDefault="00151396" w:rsidP="0015139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66A0C7F" w14:textId="5B3F3A97" w:rsidR="00217C5D" w:rsidRPr="00EC514F" w:rsidRDefault="00256EAC" w:rsidP="00151396">
      <w:pPr>
        <w:snapToGrid w:val="0"/>
        <w:spacing w:line="360" w:lineRule="auto"/>
        <w:jc w:val="both"/>
        <w:rPr>
          <w:rFonts w:ascii="Book Antiqua" w:hAnsi="Book Antiqua" w:cs="Arial"/>
        </w:rPr>
      </w:pPr>
      <w:r w:rsidRPr="00EC514F">
        <w:rPr>
          <w:rFonts w:ascii="Book Antiqua" w:hAnsi="Book Antiqua"/>
        </w:rPr>
        <w:t xml:space="preserve"> </w:t>
      </w:r>
      <w:proofErr w:type="spellStart"/>
      <w:r w:rsidR="001E1BC0" w:rsidRPr="00EC514F">
        <w:rPr>
          <w:rFonts w:ascii="Book Antiqua" w:hAnsi="Book Antiqua"/>
          <w:b/>
        </w:rPr>
        <w:t>Garrie</w:t>
      </w:r>
      <w:proofErr w:type="spellEnd"/>
      <w:r w:rsidR="001E1BC0" w:rsidRPr="00EC514F">
        <w:rPr>
          <w:rFonts w:ascii="Book Antiqua" w:hAnsi="Book Antiqua"/>
          <w:b/>
        </w:rPr>
        <w:t xml:space="preserve"> J Haas,</w:t>
      </w:r>
      <w:r w:rsidR="00151396" w:rsidRPr="00EC514F">
        <w:rPr>
          <w:rFonts w:ascii="Book Antiqua" w:hAnsi="Book Antiqua"/>
          <w:b/>
        </w:rPr>
        <w:t xml:space="preserve"> </w:t>
      </w:r>
      <w:r w:rsidR="001E1BC0" w:rsidRPr="00EC514F">
        <w:rPr>
          <w:rFonts w:ascii="Book Antiqua" w:hAnsi="Book Antiqua" w:cs="Arial"/>
        </w:rPr>
        <w:t>Division of Cardiovascular Medicine,</w:t>
      </w:r>
      <w:r w:rsidR="001E1BC0" w:rsidRPr="00EC514F">
        <w:rPr>
          <w:rFonts w:ascii="Book Antiqua" w:hAnsi="Book Antiqua"/>
          <w:vertAlign w:val="superscript"/>
        </w:rPr>
        <w:t xml:space="preserve"> </w:t>
      </w:r>
      <w:r w:rsidR="00217C5D" w:rsidRPr="00EC514F">
        <w:rPr>
          <w:rFonts w:ascii="Book Antiqua" w:hAnsi="Book Antiqua" w:cs="Arial"/>
        </w:rPr>
        <w:t>The Ohio State University Wexner Medical Center; Columbus, OH 43210, United States</w:t>
      </w:r>
    </w:p>
    <w:p w14:paraId="5628B243" w14:textId="77777777" w:rsidR="00217C5D" w:rsidRPr="00EC514F" w:rsidRDefault="00217C5D" w:rsidP="00151396">
      <w:pPr>
        <w:snapToGrid w:val="0"/>
        <w:spacing w:line="360" w:lineRule="auto"/>
        <w:jc w:val="both"/>
        <w:rPr>
          <w:rFonts w:ascii="Book Antiqua" w:hAnsi="Book Antiqua"/>
          <w:b/>
          <w:vertAlign w:val="superscript"/>
        </w:rPr>
      </w:pPr>
    </w:p>
    <w:p w14:paraId="07325205" w14:textId="67E19649" w:rsidR="00E73CDC" w:rsidRPr="00EC514F" w:rsidRDefault="00217C5D" w:rsidP="00151396">
      <w:pPr>
        <w:pStyle w:val="a4"/>
        <w:snapToGrid w:val="0"/>
        <w:spacing w:after="0"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EC514F">
        <w:rPr>
          <w:rFonts w:ascii="Book Antiqua" w:hAnsi="Book Antiqua" w:cs="Arial"/>
          <w:b/>
          <w:bCs/>
          <w:sz w:val="24"/>
          <w:szCs w:val="24"/>
        </w:rPr>
        <w:t xml:space="preserve">Author contributions: </w:t>
      </w:r>
      <w:proofErr w:type="spellStart"/>
      <w:r w:rsidRPr="00EC514F">
        <w:rPr>
          <w:rFonts w:ascii="Book Antiqua" w:hAnsi="Book Antiqua" w:cs="Arial"/>
          <w:bCs/>
          <w:sz w:val="24"/>
          <w:szCs w:val="24"/>
        </w:rPr>
        <w:t>Vedachalam</w:t>
      </w:r>
      <w:proofErr w:type="spellEnd"/>
      <w:r w:rsidR="00093279" w:rsidRPr="00EC514F">
        <w:rPr>
          <w:rFonts w:ascii="Book Antiqua" w:hAnsi="Book Antiqua" w:cs="Arial"/>
          <w:bCs/>
          <w:sz w:val="24"/>
          <w:szCs w:val="24"/>
        </w:rPr>
        <w:t xml:space="preserve"> </w:t>
      </w:r>
      <w:r w:rsidRPr="00EC514F">
        <w:rPr>
          <w:rFonts w:ascii="Book Antiqua" w:hAnsi="Book Antiqua" w:cs="Arial"/>
          <w:bCs/>
          <w:sz w:val="24"/>
          <w:szCs w:val="24"/>
        </w:rPr>
        <w:t>S and Krishna</w:t>
      </w:r>
      <w:r w:rsidR="00093279" w:rsidRPr="00EC514F">
        <w:rPr>
          <w:rFonts w:ascii="Book Antiqua" w:hAnsi="Book Antiqua" w:cs="Arial"/>
          <w:bCs/>
          <w:sz w:val="24"/>
          <w:szCs w:val="24"/>
        </w:rPr>
        <w:t xml:space="preserve"> </w:t>
      </w:r>
      <w:r w:rsidRPr="00EC514F">
        <w:rPr>
          <w:rFonts w:ascii="Book Antiqua" w:hAnsi="Book Antiqua" w:cs="Arial"/>
          <w:bCs/>
          <w:sz w:val="24"/>
          <w:szCs w:val="24"/>
        </w:rPr>
        <w:t xml:space="preserve">SG designed the structure of this manuscript; </w:t>
      </w:r>
      <w:proofErr w:type="spellStart"/>
      <w:r w:rsidRPr="00EC514F">
        <w:rPr>
          <w:rFonts w:ascii="Book Antiqua" w:hAnsi="Book Antiqua" w:cs="Arial"/>
          <w:bCs/>
          <w:sz w:val="24"/>
          <w:szCs w:val="24"/>
        </w:rPr>
        <w:t>Vedachalam</w:t>
      </w:r>
      <w:proofErr w:type="spellEnd"/>
      <w:r w:rsidR="00093279" w:rsidRPr="00EC514F">
        <w:rPr>
          <w:rFonts w:ascii="Book Antiqua" w:hAnsi="Book Antiqua" w:cs="Arial"/>
          <w:bCs/>
          <w:sz w:val="24"/>
          <w:szCs w:val="24"/>
        </w:rPr>
        <w:t xml:space="preserve"> </w:t>
      </w:r>
      <w:r w:rsidRPr="00EC514F">
        <w:rPr>
          <w:rFonts w:ascii="Book Antiqua" w:hAnsi="Book Antiqua" w:cs="Arial"/>
          <w:bCs/>
          <w:sz w:val="24"/>
          <w:szCs w:val="24"/>
        </w:rPr>
        <w:t>S, Krishna SG, and Balasubramanian</w:t>
      </w:r>
      <w:r w:rsidR="00093279" w:rsidRPr="00EC514F">
        <w:rPr>
          <w:rFonts w:ascii="Book Antiqua" w:hAnsi="Book Antiqua" w:cs="Arial"/>
          <w:bCs/>
          <w:sz w:val="24"/>
          <w:szCs w:val="24"/>
        </w:rPr>
        <w:t xml:space="preserve"> </w:t>
      </w:r>
      <w:r w:rsidRPr="00EC514F">
        <w:rPr>
          <w:rFonts w:ascii="Book Antiqua" w:hAnsi="Book Antiqua" w:cs="Arial"/>
          <w:bCs/>
          <w:sz w:val="24"/>
          <w:szCs w:val="24"/>
        </w:rPr>
        <w:t>G drafted the manuscript and contributed critical revisions to this manuscript; Haas</w:t>
      </w:r>
      <w:r w:rsidR="00093279" w:rsidRPr="00EC514F">
        <w:rPr>
          <w:rFonts w:ascii="Book Antiqua" w:hAnsi="Book Antiqua" w:cs="Arial"/>
          <w:bCs/>
          <w:sz w:val="24"/>
          <w:szCs w:val="24"/>
        </w:rPr>
        <w:t xml:space="preserve"> </w:t>
      </w:r>
      <w:r w:rsidRPr="00EC514F">
        <w:rPr>
          <w:rFonts w:ascii="Book Antiqua" w:hAnsi="Book Antiqua" w:cs="Arial"/>
          <w:bCs/>
          <w:sz w:val="24"/>
          <w:szCs w:val="24"/>
        </w:rPr>
        <w:t xml:space="preserve">GJ contributed critical revisions to this manuscript. </w:t>
      </w:r>
    </w:p>
    <w:p w14:paraId="0B1059DD" w14:textId="77777777" w:rsidR="00256EAC" w:rsidRPr="00EC514F" w:rsidRDefault="00256EAC" w:rsidP="00151396">
      <w:pPr>
        <w:pStyle w:val="a4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5C06A565" w14:textId="1C47FBB7" w:rsidR="00484AE0" w:rsidRDefault="00484AE0" w:rsidP="00151396">
      <w:pPr>
        <w:pStyle w:val="a4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C514F">
        <w:rPr>
          <w:rFonts w:ascii="Book Antiqua" w:hAnsi="Book Antiqua" w:cs="Arial"/>
          <w:b/>
          <w:bCs/>
          <w:sz w:val="24"/>
          <w:szCs w:val="24"/>
        </w:rPr>
        <w:t xml:space="preserve">Corresponding </w:t>
      </w:r>
      <w:r w:rsidR="002D5A0A" w:rsidRPr="00EC514F">
        <w:rPr>
          <w:rFonts w:ascii="Book Antiqua" w:hAnsi="Book Antiqua" w:cs="Arial"/>
          <w:b/>
          <w:bCs/>
          <w:sz w:val="24"/>
          <w:szCs w:val="24"/>
        </w:rPr>
        <w:t>a</w:t>
      </w:r>
      <w:r w:rsidRPr="00EC514F">
        <w:rPr>
          <w:rFonts w:ascii="Book Antiqua" w:hAnsi="Book Antiqua" w:cs="Arial"/>
          <w:b/>
          <w:bCs/>
          <w:sz w:val="24"/>
          <w:szCs w:val="24"/>
        </w:rPr>
        <w:t>uthor</w:t>
      </w:r>
      <w:r w:rsidR="00217C5D" w:rsidRPr="00EC514F">
        <w:rPr>
          <w:rFonts w:ascii="Book Antiqua" w:hAnsi="Book Antiqua"/>
          <w:b/>
          <w:sz w:val="24"/>
          <w:szCs w:val="24"/>
        </w:rPr>
        <w:t xml:space="preserve">: </w:t>
      </w:r>
      <w:proofErr w:type="spellStart"/>
      <w:r w:rsidRPr="00EC514F">
        <w:rPr>
          <w:rFonts w:ascii="Book Antiqua" w:hAnsi="Book Antiqua"/>
          <w:b/>
          <w:sz w:val="24"/>
          <w:szCs w:val="24"/>
        </w:rPr>
        <w:t>Somashekar</w:t>
      </w:r>
      <w:proofErr w:type="spellEnd"/>
      <w:r w:rsidRPr="00EC514F">
        <w:rPr>
          <w:rFonts w:ascii="Book Antiqua" w:hAnsi="Book Antiqua"/>
          <w:b/>
          <w:sz w:val="24"/>
          <w:szCs w:val="24"/>
        </w:rPr>
        <w:t xml:space="preserve"> </w:t>
      </w:r>
      <w:r w:rsidRPr="00EC514F">
        <w:rPr>
          <w:rFonts w:ascii="Book Antiqua" w:hAnsi="Book Antiqua" w:cs="Arial"/>
          <w:b/>
          <w:bCs/>
          <w:sz w:val="24"/>
          <w:szCs w:val="24"/>
        </w:rPr>
        <w:t xml:space="preserve">G </w:t>
      </w:r>
      <w:r w:rsidRPr="00EC514F">
        <w:rPr>
          <w:rFonts w:ascii="Book Antiqua" w:hAnsi="Book Antiqua"/>
          <w:b/>
          <w:sz w:val="24"/>
          <w:szCs w:val="24"/>
        </w:rPr>
        <w:t xml:space="preserve">Krishna, </w:t>
      </w:r>
      <w:r w:rsidRPr="00EC514F">
        <w:rPr>
          <w:rFonts w:ascii="Book Antiqua" w:hAnsi="Book Antiqua" w:cs="Arial"/>
          <w:b/>
          <w:bCs/>
          <w:sz w:val="24"/>
          <w:szCs w:val="24"/>
        </w:rPr>
        <w:t>MD</w:t>
      </w:r>
      <w:r w:rsidRPr="00EC514F">
        <w:rPr>
          <w:rFonts w:ascii="Book Antiqua" w:hAnsi="Book Antiqua"/>
          <w:b/>
          <w:sz w:val="24"/>
          <w:szCs w:val="24"/>
        </w:rPr>
        <w:t xml:space="preserve">, </w:t>
      </w:r>
      <w:r w:rsidRPr="00EC514F">
        <w:rPr>
          <w:rFonts w:ascii="Book Antiqua" w:hAnsi="Book Antiqua" w:cs="Arial"/>
          <w:b/>
          <w:bCs/>
          <w:sz w:val="24"/>
          <w:szCs w:val="24"/>
        </w:rPr>
        <w:t>Associate Professor</w:t>
      </w:r>
      <w:r w:rsidR="00DA642F">
        <w:rPr>
          <w:rFonts w:ascii="Book Antiqua" w:hAnsi="Book Antiqua" w:cs="Arial"/>
          <w:b/>
          <w:bCs/>
          <w:sz w:val="24"/>
          <w:szCs w:val="24"/>
        </w:rPr>
        <w:t xml:space="preserve">, </w:t>
      </w:r>
      <w:r w:rsidRPr="00EC514F">
        <w:rPr>
          <w:rFonts w:ascii="Book Antiqua" w:hAnsi="Book Antiqua" w:cs="Arial"/>
          <w:b/>
          <w:bCs/>
          <w:sz w:val="24"/>
          <w:szCs w:val="24"/>
        </w:rPr>
        <w:t>Director of Clinical Research</w:t>
      </w:r>
      <w:r w:rsidR="00217C5D" w:rsidRPr="00EC514F">
        <w:rPr>
          <w:rFonts w:ascii="Book Antiqua" w:hAnsi="Book Antiqua"/>
          <w:b/>
          <w:sz w:val="24"/>
          <w:szCs w:val="24"/>
        </w:rPr>
        <w:t>,</w:t>
      </w:r>
      <w:r w:rsidR="00217C5D" w:rsidRPr="00EC514F">
        <w:rPr>
          <w:rFonts w:ascii="Book Antiqua" w:hAnsi="Book Antiqua"/>
          <w:sz w:val="24"/>
          <w:szCs w:val="24"/>
        </w:rPr>
        <w:t xml:space="preserve"> </w:t>
      </w:r>
      <w:r w:rsidRPr="00EC514F">
        <w:rPr>
          <w:rFonts w:ascii="Book Antiqua" w:hAnsi="Book Antiqua"/>
          <w:sz w:val="24"/>
          <w:szCs w:val="24"/>
        </w:rPr>
        <w:t>Division of Gastroenterology, Hepatology</w:t>
      </w:r>
      <w:r w:rsidRPr="00EC514F">
        <w:rPr>
          <w:rFonts w:ascii="Book Antiqua" w:hAnsi="Book Antiqua" w:cs="Arial"/>
          <w:bCs/>
          <w:sz w:val="24"/>
          <w:szCs w:val="24"/>
        </w:rPr>
        <w:t>,</w:t>
      </w:r>
      <w:r w:rsidRPr="00EC514F">
        <w:rPr>
          <w:rFonts w:ascii="Book Antiqua" w:hAnsi="Book Antiqua"/>
          <w:sz w:val="24"/>
          <w:szCs w:val="24"/>
        </w:rPr>
        <w:t xml:space="preserve"> and </w:t>
      </w:r>
      <w:r w:rsidRPr="00EC514F">
        <w:rPr>
          <w:rFonts w:ascii="Book Antiqua" w:hAnsi="Book Antiqua"/>
          <w:sz w:val="24"/>
          <w:szCs w:val="24"/>
        </w:rPr>
        <w:lastRenderedPageBreak/>
        <w:t>Nutrition</w:t>
      </w:r>
      <w:r w:rsidR="00217C5D" w:rsidRPr="00EC514F">
        <w:rPr>
          <w:rFonts w:ascii="Book Antiqua" w:hAnsi="Book Antiqua"/>
          <w:sz w:val="24"/>
          <w:szCs w:val="24"/>
        </w:rPr>
        <w:t xml:space="preserve">, </w:t>
      </w:r>
      <w:r w:rsidRPr="00EC514F">
        <w:rPr>
          <w:rFonts w:ascii="Book Antiqua" w:hAnsi="Book Antiqua"/>
          <w:sz w:val="24"/>
          <w:szCs w:val="24"/>
        </w:rPr>
        <w:t>The Ohio State University Wexner Medical Center</w:t>
      </w:r>
      <w:r w:rsidR="00217C5D" w:rsidRPr="00EC514F">
        <w:rPr>
          <w:rFonts w:ascii="Book Antiqua" w:hAnsi="Book Antiqua" w:cs="Arial"/>
          <w:bCs/>
          <w:sz w:val="24"/>
          <w:szCs w:val="24"/>
        </w:rPr>
        <w:t xml:space="preserve">, </w:t>
      </w:r>
      <w:r w:rsidRPr="00EC514F">
        <w:rPr>
          <w:rFonts w:ascii="Book Antiqua" w:hAnsi="Book Antiqua" w:cs="Arial"/>
          <w:bCs/>
          <w:sz w:val="24"/>
          <w:szCs w:val="24"/>
        </w:rPr>
        <w:t>395 W. 12</w:t>
      </w:r>
      <w:r w:rsidRPr="007A5E20">
        <w:rPr>
          <w:rFonts w:ascii="Book Antiqua" w:hAnsi="Book Antiqua" w:cs="Arial"/>
          <w:bCs/>
          <w:sz w:val="24"/>
          <w:szCs w:val="24"/>
          <w:vertAlign w:val="superscript"/>
        </w:rPr>
        <w:t>th</w:t>
      </w:r>
      <w:r w:rsidRPr="00EC514F">
        <w:rPr>
          <w:rFonts w:ascii="Book Antiqua" w:hAnsi="Book Antiqua" w:cs="Arial"/>
          <w:bCs/>
          <w:sz w:val="24"/>
          <w:szCs w:val="24"/>
        </w:rPr>
        <w:t xml:space="preserve"> Avenue, Suite 262</w:t>
      </w:r>
      <w:r w:rsidR="00217C5D" w:rsidRPr="00EC514F">
        <w:rPr>
          <w:rFonts w:ascii="Book Antiqua" w:hAnsi="Book Antiqua"/>
          <w:sz w:val="24"/>
          <w:szCs w:val="24"/>
        </w:rPr>
        <w:t xml:space="preserve">, </w:t>
      </w:r>
      <w:r w:rsidRPr="00EC514F">
        <w:rPr>
          <w:rFonts w:ascii="Book Antiqua" w:hAnsi="Book Antiqua"/>
          <w:sz w:val="24"/>
          <w:szCs w:val="24"/>
        </w:rPr>
        <w:t xml:space="preserve">Columbus, </w:t>
      </w:r>
      <w:r w:rsidRPr="00EC514F">
        <w:rPr>
          <w:rFonts w:ascii="Book Antiqua" w:hAnsi="Book Antiqua" w:cs="Arial"/>
          <w:bCs/>
          <w:sz w:val="24"/>
          <w:szCs w:val="24"/>
        </w:rPr>
        <w:t>O</w:t>
      </w:r>
      <w:r w:rsidR="00DD5A9F" w:rsidRPr="00EC514F">
        <w:rPr>
          <w:rFonts w:ascii="Book Antiqua" w:hAnsi="Book Antiqua" w:cs="Arial"/>
          <w:bCs/>
          <w:sz w:val="24"/>
          <w:szCs w:val="24"/>
        </w:rPr>
        <w:t xml:space="preserve">H </w:t>
      </w:r>
      <w:r w:rsidRPr="00EC514F">
        <w:rPr>
          <w:rFonts w:ascii="Book Antiqua" w:hAnsi="Book Antiqua"/>
          <w:sz w:val="24"/>
          <w:szCs w:val="24"/>
        </w:rPr>
        <w:t>43210</w:t>
      </w:r>
      <w:r w:rsidR="00263F08" w:rsidRPr="00EC514F">
        <w:rPr>
          <w:rFonts w:ascii="Book Antiqua" w:hAnsi="Book Antiqua"/>
          <w:sz w:val="24"/>
          <w:szCs w:val="24"/>
        </w:rPr>
        <w:t>,</w:t>
      </w:r>
      <w:r w:rsidRPr="00EC514F">
        <w:rPr>
          <w:rFonts w:ascii="Book Antiqua" w:hAnsi="Book Antiqua" w:cs="Arial"/>
          <w:bCs/>
          <w:sz w:val="24"/>
          <w:szCs w:val="24"/>
        </w:rPr>
        <w:t xml:space="preserve"> </w:t>
      </w:r>
      <w:r w:rsidR="000F6524" w:rsidRPr="00EC514F">
        <w:rPr>
          <w:rFonts w:ascii="Book Antiqua" w:hAnsi="Book Antiqua" w:cs="Arial"/>
          <w:sz w:val="24"/>
          <w:szCs w:val="24"/>
        </w:rPr>
        <w:t>United States.</w:t>
      </w:r>
      <w:r w:rsidR="000F6524" w:rsidRPr="00EC514F">
        <w:rPr>
          <w:rFonts w:ascii="Book Antiqua" w:hAnsi="Book Antiqua"/>
          <w:sz w:val="24"/>
          <w:szCs w:val="24"/>
        </w:rPr>
        <w:t xml:space="preserve"> </w:t>
      </w:r>
      <w:r w:rsidR="00E41E49" w:rsidRPr="00EC514F">
        <w:rPr>
          <w:rFonts w:ascii="Book Antiqua" w:hAnsi="Book Antiqua"/>
          <w:sz w:val="24"/>
          <w:szCs w:val="24"/>
        </w:rPr>
        <w:t>s</w:t>
      </w:r>
      <w:r w:rsidRPr="00EC514F">
        <w:rPr>
          <w:rFonts w:ascii="Book Antiqua" w:hAnsi="Book Antiqua"/>
          <w:sz w:val="24"/>
          <w:szCs w:val="24"/>
        </w:rPr>
        <w:t>omashekar.</w:t>
      </w:r>
      <w:r w:rsidRPr="00EC514F">
        <w:rPr>
          <w:rFonts w:ascii="Book Antiqua" w:hAnsi="Book Antiqua" w:cs="Arial"/>
          <w:bCs/>
          <w:sz w:val="24"/>
          <w:szCs w:val="24"/>
        </w:rPr>
        <w:t>krishna</w:t>
      </w:r>
      <w:r w:rsidRPr="00EC514F">
        <w:rPr>
          <w:rFonts w:ascii="Book Antiqua" w:hAnsi="Book Antiqua"/>
          <w:sz w:val="24"/>
          <w:szCs w:val="24"/>
        </w:rPr>
        <w:t>@osumc.edu</w:t>
      </w:r>
      <w:r w:rsidR="00E41E49">
        <w:rPr>
          <w:rFonts w:ascii="Book Antiqua" w:hAnsi="Book Antiqua" w:cs="Arial"/>
          <w:bCs/>
          <w:sz w:val="24"/>
          <w:szCs w:val="24"/>
        </w:rPr>
        <w:t xml:space="preserve"> </w:t>
      </w:r>
    </w:p>
    <w:p w14:paraId="33EBC5D4" w14:textId="77777777" w:rsidR="009D0ABF" w:rsidRDefault="009D0ABF" w:rsidP="00151396">
      <w:pPr>
        <w:pStyle w:val="a4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0BBC217" w14:textId="0408C4E1" w:rsidR="007A5E20" w:rsidRPr="007A5E20" w:rsidRDefault="007A5E20" w:rsidP="007A5E2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7A5E20">
        <w:rPr>
          <w:rFonts w:ascii="Book Antiqua" w:eastAsia="宋体" w:hAnsi="Book Antiqua" w:cs="Times New Roman"/>
          <w:b/>
          <w:lang w:eastAsia="zh-CN"/>
        </w:rPr>
        <w:t xml:space="preserve">Received: </w:t>
      </w:r>
      <w:r w:rsidRPr="007A5E20">
        <w:rPr>
          <w:rFonts w:ascii="Book Antiqua" w:eastAsia="宋体" w:hAnsi="Book Antiqua" w:cs="Times New Roman"/>
          <w:lang w:eastAsia="zh-CN"/>
        </w:rPr>
        <w:t>February 2</w:t>
      </w:r>
      <w:r>
        <w:rPr>
          <w:rFonts w:ascii="Book Antiqua" w:eastAsia="宋体" w:hAnsi="Book Antiqua" w:cs="Times New Roman"/>
          <w:lang w:eastAsia="zh-CN"/>
        </w:rPr>
        <w:t>5</w:t>
      </w:r>
      <w:r w:rsidRPr="007A5E20">
        <w:rPr>
          <w:rFonts w:ascii="Book Antiqua" w:eastAsia="宋体" w:hAnsi="Book Antiqua" w:cs="Times New Roman"/>
          <w:lang w:eastAsia="zh-CN"/>
        </w:rPr>
        <w:t>, 2020</w:t>
      </w:r>
    </w:p>
    <w:p w14:paraId="0E11B6D6" w14:textId="08A684D5" w:rsidR="007A5E20" w:rsidRPr="007A5E20" w:rsidRDefault="007A5E20" w:rsidP="007A5E2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7A5E20">
        <w:rPr>
          <w:rFonts w:ascii="Book Antiqua" w:eastAsia="宋体" w:hAnsi="Book Antiqua" w:cs="Times New Roman"/>
          <w:b/>
          <w:lang w:eastAsia="zh-CN"/>
        </w:rPr>
        <w:t xml:space="preserve">Revised: </w:t>
      </w:r>
      <w:r>
        <w:rPr>
          <w:rFonts w:ascii="Book Antiqua" w:eastAsia="宋体" w:hAnsi="Book Antiqua" w:cs="Times New Roman"/>
          <w:lang w:eastAsia="zh-CN"/>
        </w:rPr>
        <w:t>May 2</w:t>
      </w:r>
      <w:r w:rsidRPr="007A5E20">
        <w:rPr>
          <w:rFonts w:ascii="Book Antiqua" w:eastAsia="宋体" w:hAnsi="Book Antiqua" w:cs="Times New Roman"/>
          <w:lang w:eastAsia="zh-CN"/>
        </w:rPr>
        <w:t>, 2020</w:t>
      </w:r>
    </w:p>
    <w:p w14:paraId="589FF859" w14:textId="6EFB0956" w:rsidR="007A5E20" w:rsidRPr="007A5E20" w:rsidRDefault="007A5E20" w:rsidP="007A5E2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7A5E20">
        <w:rPr>
          <w:rFonts w:ascii="Book Antiqua" w:eastAsia="宋体" w:hAnsi="Book Antiqua" w:cs="Times New Roman"/>
          <w:b/>
          <w:lang w:eastAsia="zh-CN"/>
        </w:rPr>
        <w:t>Accepted:</w:t>
      </w:r>
      <w:r w:rsidR="00777400" w:rsidRPr="00777400">
        <w:t xml:space="preserve"> </w:t>
      </w:r>
      <w:r w:rsidR="00777400" w:rsidRPr="00777400">
        <w:rPr>
          <w:rFonts w:ascii="Book Antiqua" w:eastAsia="宋体" w:hAnsi="Book Antiqua" w:cs="Times New Roman"/>
          <w:bCs/>
          <w:lang w:eastAsia="zh-CN"/>
        </w:rPr>
        <w:t>May 14, 2020</w:t>
      </w:r>
    </w:p>
    <w:p w14:paraId="0C07488D" w14:textId="77777777" w:rsidR="007A5E20" w:rsidRPr="007A5E20" w:rsidRDefault="007A5E20" w:rsidP="007A5E20">
      <w:pPr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7A5E20">
        <w:rPr>
          <w:rFonts w:ascii="Book Antiqua" w:eastAsia="宋体" w:hAnsi="Book Antiqua" w:cs="Times New Roman"/>
          <w:b/>
          <w:lang w:eastAsia="zh-CN"/>
        </w:rPr>
        <w:t>Published online:</w:t>
      </w:r>
    </w:p>
    <w:p w14:paraId="5743DEF4" w14:textId="77777777" w:rsidR="003434FE" w:rsidRDefault="003434F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2E69B013" w14:textId="54338360" w:rsidR="002E41BC" w:rsidRPr="00EC514F" w:rsidRDefault="002E41BC" w:rsidP="00151396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EC514F">
        <w:rPr>
          <w:rFonts w:ascii="Book Antiqua" w:hAnsi="Book Antiqua"/>
          <w:b/>
        </w:rPr>
        <w:lastRenderedPageBreak/>
        <w:t>Abstract</w:t>
      </w:r>
    </w:p>
    <w:p w14:paraId="08D00BC1" w14:textId="767779C7" w:rsidR="00406BFB" w:rsidRPr="00EC514F" w:rsidRDefault="002E41BC" w:rsidP="00151396">
      <w:pPr>
        <w:snapToGrid w:val="0"/>
        <w:spacing w:line="360" w:lineRule="auto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 xml:space="preserve">Left </w:t>
      </w:r>
      <w:r w:rsidR="0054023C" w:rsidRPr="00EC514F">
        <w:rPr>
          <w:rFonts w:ascii="Book Antiqua" w:hAnsi="Book Antiqua"/>
        </w:rPr>
        <w:t>ventricular assist d</w:t>
      </w:r>
      <w:r w:rsidRPr="00EC514F">
        <w:rPr>
          <w:rFonts w:ascii="Book Antiqua" w:hAnsi="Book Antiqua"/>
        </w:rPr>
        <w:t xml:space="preserve">evices </w:t>
      </w:r>
      <w:r w:rsidR="009F11E1" w:rsidRPr="00EC514F">
        <w:rPr>
          <w:rFonts w:ascii="Book Antiqua" w:hAnsi="Book Antiqua"/>
        </w:rPr>
        <w:t xml:space="preserve">(LVAD) </w:t>
      </w:r>
      <w:r w:rsidRPr="00EC514F">
        <w:rPr>
          <w:rFonts w:ascii="Book Antiqua" w:hAnsi="Book Antiqua"/>
        </w:rPr>
        <w:t xml:space="preserve">are </w:t>
      </w:r>
      <w:r w:rsidR="008864BD" w:rsidRPr="00EC514F">
        <w:rPr>
          <w:rFonts w:ascii="Book Antiqua" w:hAnsi="Book Antiqua"/>
        </w:rPr>
        <w:t>increasingly become</w:t>
      </w:r>
      <w:r w:rsidRPr="00EC514F">
        <w:rPr>
          <w:rFonts w:ascii="Book Antiqua" w:hAnsi="Book Antiqua"/>
        </w:rPr>
        <w:t xml:space="preserve"> common as life prolonging </w:t>
      </w:r>
      <w:r w:rsidR="003A0CB3" w:rsidRPr="00EC514F">
        <w:rPr>
          <w:rFonts w:ascii="Book Antiqua" w:hAnsi="Book Antiqua"/>
        </w:rPr>
        <w:t xml:space="preserve">therapy in patients with advanced heart failure. Current devices are now used as definitive treatment in some patients given the improved durability of continuous flow pumps. </w:t>
      </w:r>
      <w:r w:rsidRPr="00EC514F">
        <w:rPr>
          <w:rFonts w:ascii="Book Antiqua" w:hAnsi="Book Antiqua"/>
        </w:rPr>
        <w:t>Unfortunately, continuous flow LVAD</w:t>
      </w:r>
      <w:r w:rsidR="00870CC4" w:rsidRPr="00EC514F">
        <w:rPr>
          <w:rFonts w:ascii="Book Antiqua" w:hAnsi="Book Antiqua"/>
        </w:rPr>
        <w:t>s</w:t>
      </w:r>
      <w:r w:rsidRPr="00EC514F">
        <w:rPr>
          <w:rFonts w:ascii="Book Antiqua" w:hAnsi="Book Antiqua"/>
        </w:rPr>
        <w:t xml:space="preserve"> are fraught with</w:t>
      </w:r>
      <w:r w:rsidR="000C25A8" w:rsidRPr="00EC514F">
        <w:rPr>
          <w:rFonts w:ascii="Book Antiqua" w:hAnsi="Book Antiqua"/>
        </w:rPr>
        <w:t xml:space="preserve"> complications such as gastrointestinal (GI</w:t>
      </w:r>
      <w:r w:rsidR="001E1BC0" w:rsidRPr="00EC514F">
        <w:rPr>
          <w:rFonts w:ascii="Book Antiqua" w:hAnsi="Book Antiqua"/>
        </w:rPr>
        <w:t>) bleeding</w:t>
      </w:r>
      <w:r w:rsidRPr="00EC514F">
        <w:rPr>
          <w:rFonts w:ascii="Book Antiqua" w:hAnsi="Book Antiqua"/>
        </w:rPr>
        <w:t xml:space="preserve"> that are </w:t>
      </w:r>
      <w:r w:rsidR="00372EB8" w:rsidRPr="00EC514F">
        <w:rPr>
          <w:rFonts w:ascii="Book Antiqua" w:hAnsi="Book Antiqua"/>
        </w:rPr>
        <w:t>primarily</w:t>
      </w:r>
      <w:r w:rsidRPr="00EC514F">
        <w:rPr>
          <w:rFonts w:ascii="Book Antiqua" w:hAnsi="Book Antiqua"/>
        </w:rPr>
        <w:t xml:space="preserve"> attributed to</w:t>
      </w:r>
      <w:r w:rsidR="003A0CB3" w:rsidRPr="00EC514F">
        <w:rPr>
          <w:rFonts w:ascii="Book Antiqua" w:hAnsi="Book Antiqua"/>
        </w:rPr>
        <w:t xml:space="preserve"> the formation of</w:t>
      </w:r>
      <w:r w:rsidRPr="00EC514F">
        <w:rPr>
          <w:rFonts w:ascii="Book Antiqua" w:hAnsi="Book Antiqua"/>
        </w:rPr>
        <w:t xml:space="preserve"> </w:t>
      </w:r>
      <w:r w:rsidR="00372EB8" w:rsidRPr="00EC514F">
        <w:rPr>
          <w:rFonts w:ascii="Book Antiqua" w:hAnsi="Book Antiqua"/>
        </w:rPr>
        <w:t>arteriovenous</w:t>
      </w:r>
      <w:r w:rsidR="00870CC4" w:rsidRPr="00EC514F">
        <w:rPr>
          <w:rFonts w:ascii="Book Antiqua" w:hAnsi="Book Antiqua"/>
        </w:rPr>
        <w:t xml:space="preserve"> mal</w:t>
      </w:r>
      <w:r w:rsidRPr="00EC514F">
        <w:rPr>
          <w:rFonts w:ascii="Book Antiqua" w:hAnsi="Book Antiqua"/>
        </w:rPr>
        <w:t>formation</w:t>
      </w:r>
      <w:r w:rsidR="00870CC4" w:rsidRPr="00EC514F">
        <w:rPr>
          <w:rFonts w:ascii="Book Antiqua" w:hAnsi="Book Antiqua"/>
        </w:rPr>
        <w:t>s</w:t>
      </w:r>
      <w:r w:rsidRPr="00EC514F">
        <w:rPr>
          <w:rFonts w:ascii="Book Antiqua" w:hAnsi="Book Antiqua"/>
        </w:rPr>
        <w:t>.</w:t>
      </w:r>
      <w:r w:rsidR="00C043D2">
        <w:rPr>
          <w:rFonts w:ascii="Book Antiqua" w:hAnsi="Book Antiqua"/>
        </w:rPr>
        <w:t xml:space="preserve"> </w:t>
      </w:r>
      <w:r w:rsidR="00673121" w:rsidRPr="00EC514F">
        <w:rPr>
          <w:rFonts w:ascii="Book Antiqua" w:hAnsi="Book Antiqua"/>
        </w:rPr>
        <w:t xml:space="preserve">With frequent GI bleeding, antiplatelet and anticoagulation </w:t>
      </w:r>
      <w:r w:rsidR="001E1BC0" w:rsidRPr="00EC514F">
        <w:rPr>
          <w:rFonts w:ascii="Book Antiqua" w:hAnsi="Book Antiqua"/>
        </w:rPr>
        <w:t>therapies are</w:t>
      </w:r>
      <w:r w:rsidR="00673121" w:rsidRPr="00EC514F">
        <w:rPr>
          <w:rFonts w:ascii="Book Antiqua" w:hAnsi="Book Antiqua"/>
        </w:rPr>
        <w:t xml:space="preserve"> usually discontinued increasing</w:t>
      </w:r>
      <w:r w:rsidR="00372EB8" w:rsidRPr="00EC514F">
        <w:rPr>
          <w:rFonts w:ascii="Book Antiqua" w:hAnsi="Book Antiqua"/>
        </w:rPr>
        <w:t xml:space="preserve"> the</w:t>
      </w:r>
      <w:r w:rsidR="00673121" w:rsidRPr="00EC514F">
        <w:rPr>
          <w:rFonts w:ascii="Book Antiqua" w:hAnsi="Book Antiqua"/>
        </w:rPr>
        <w:t xml:space="preserve"> risk of life-threatening events. Small bowel bleeds account for 15% as the source and patients often undergo multiple endoscopy procedures. Treatment strategy includes resuscitation measures and endoscopic therap</w:t>
      </w:r>
      <w:r w:rsidR="00C826A6" w:rsidRPr="00EC514F">
        <w:rPr>
          <w:rFonts w:ascii="Book Antiqua" w:hAnsi="Book Antiqua"/>
        </w:rPr>
        <w:t>ies. Medical treatment is with o</w:t>
      </w:r>
      <w:r w:rsidR="00673121" w:rsidRPr="00EC514F">
        <w:rPr>
          <w:rFonts w:ascii="Book Antiqua" w:hAnsi="Book Antiqua"/>
        </w:rPr>
        <w:t xml:space="preserve">ctreotide. </w:t>
      </w:r>
      <w:r w:rsidR="00673121" w:rsidRPr="00EC514F">
        <w:rPr>
          <w:rFonts w:ascii="Book Antiqua" w:hAnsi="Book Antiqua"/>
          <w:color w:val="000000"/>
        </w:rPr>
        <w:t>Novel treatment options include</w:t>
      </w:r>
      <w:r w:rsidR="00673121" w:rsidRPr="00EC514F">
        <w:rPr>
          <w:rFonts w:ascii="Book Antiqua" w:hAnsi="Book Antiqua"/>
        </w:rPr>
        <w:t xml:space="preserve"> thalidomide, </w:t>
      </w:r>
      <w:r w:rsidR="000A5E66" w:rsidRPr="00EC514F">
        <w:rPr>
          <w:rFonts w:ascii="Book Antiqua" w:hAnsi="Book Antiqua"/>
        </w:rPr>
        <w:t>angiotensin converting enzyme inhibitors</w:t>
      </w:r>
      <w:r w:rsidR="00673121" w:rsidRPr="00EC514F">
        <w:rPr>
          <w:rFonts w:ascii="Book Antiqua" w:hAnsi="Book Antiqua"/>
        </w:rPr>
        <w:t>/</w:t>
      </w:r>
      <w:r w:rsidR="000A5E66" w:rsidRPr="00EC514F">
        <w:rPr>
          <w:rFonts w:ascii="Book Antiqua" w:hAnsi="Book Antiqua"/>
        </w:rPr>
        <w:t>angiotensin II receptor blockers</w:t>
      </w:r>
      <w:r w:rsidR="00673121" w:rsidRPr="00EC514F">
        <w:rPr>
          <w:rFonts w:ascii="Book Antiqua" w:hAnsi="Book Antiqua"/>
        </w:rPr>
        <w:t xml:space="preserve">, estrogen-based hormonal therapies, doxycycline, desmopressin and bevacizumab. </w:t>
      </w:r>
      <w:r w:rsidR="000C25A8" w:rsidRPr="00EC514F">
        <w:rPr>
          <w:rFonts w:ascii="Book Antiqua" w:hAnsi="Book Antiqua"/>
        </w:rPr>
        <w:t xml:space="preserve">Current research has explored the mechanism of frequent GI bleeds in this population, including destruction of von Willebrand factor, upregulation of </w:t>
      </w:r>
      <w:r w:rsidR="00B903D8" w:rsidRPr="00EC514F">
        <w:rPr>
          <w:rFonts w:ascii="Book Antiqua" w:hAnsi="Book Antiqua"/>
        </w:rPr>
        <w:t>tissue factor</w:t>
      </w:r>
      <w:r w:rsidR="000C25A8" w:rsidRPr="00EC514F">
        <w:rPr>
          <w:rFonts w:ascii="Book Antiqua" w:hAnsi="Book Antiqua"/>
        </w:rPr>
        <w:t xml:space="preserve">, </w:t>
      </w:r>
      <w:r w:rsidR="00B903D8" w:rsidRPr="00EC514F">
        <w:rPr>
          <w:rFonts w:ascii="Book Antiqua" w:hAnsi="Book Antiqua"/>
        </w:rPr>
        <w:t>vascular endothelial growth factor</w:t>
      </w:r>
      <w:r w:rsidR="000C25A8" w:rsidRPr="00EC514F">
        <w:rPr>
          <w:rFonts w:ascii="Book Antiqua" w:hAnsi="Book Antiqua"/>
        </w:rPr>
        <w:t xml:space="preserve">, </w:t>
      </w:r>
      <w:r w:rsidR="00B903D8" w:rsidRPr="00EC514F">
        <w:rPr>
          <w:rFonts w:ascii="Book Antiqua" w:hAnsi="Book Antiqua"/>
        </w:rPr>
        <w:t>tumor necrosis factor-</w:t>
      </w:r>
      <w:r w:rsidR="00B903D8" w:rsidRPr="00EC514F">
        <w:rPr>
          <w:rFonts w:ascii="Book Antiqua" w:hAnsi="Book Antiqua" w:cs="Times New Roman"/>
        </w:rPr>
        <w:t>α</w:t>
      </w:r>
      <w:r w:rsidR="000C25A8" w:rsidRPr="00EC514F">
        <w:rPr>
          <w:rFonts w:ascii="Book Antiqua" w:hAnsi="Book Antiqua"/>
        </w:rPr>
        <w:t xml:space="preserve">, </w:t>
      </w:r>
      <w:r w:rsidR="00B903D8" w:rsidRPr="00EC514F">
        <w:rPr>
          <w:rFonts w:ascii="Book Antiqua" w:hAnsi="Book Antiqua"/>
        </w:rPr>
        <w:t>tumor growth factor-</w:t>
      </w:r>
      <w:r w:rsidR="00B903D8" w:rsidRPr="00EC514F">
        <w:rPr>
          <w:rFonts w:ascii="Book Antiqua" w:hAnsi="Book Antiqua" w:cs="Times New Roman"/>
        </w:rPr>
        <w:t>β</w:t>
      </w:r>
      <w:r w:rsidR="000C25A8" w:rsidRPr="00EC514F">
        <w:rPr>
          <w:rFonts w:ascii="Book Antiqua" w:hAnsi="Book Antiqua"/>
        </w:rPr>
        <w:t xml:space="preserve">, and angiopoetin-2, and downregulation of angiopoetin-1. </w:t>
      </w:r>
      <w:r w:rsidR="00117B4D" w:rsidRPr="00EC514F">
        <w:rPr>
          <w:rFonts w:ascii="Book Antiqua" w:hAnsi="Book Antiqua"/>
        </w:rPr>
        <w:t>In addition, healthcare resource utilization is only increasing in this patient population with higher admissions, readmissions, blood product utilization</w:t>
      </w:r>
      <w:r w:rsidR="0081227F" w:rsidRPr="00EC514F">
        <w:rPr>
          <w:rFonts w:ascii="Book Antiqua" w:hAnsi="Book Antiqua"/>
        </w:rPr>
        <w:t>,</w:t>
      </w:r>
      <w:r w:rsidR="00117B4D" w:rsidRPr="00EC514F">
        <w:rPr>
          <w:rFonts w:ascii="Book Antiqua" w:hAnsi="Book Antiqua"/>
        </w:rPr>
        <w:t xml:space="preserve"> and endoscopy.</w:t>
      </w:r>
      <w:r w:rsidR="00353C84" w:rsidRPr="00EC514F">
        <w:rPr>
          <w:rFonts w:ascii="Book Antiqua" w:hAnsi="Book Antiqua"/>
        </w:rPr>
        <w:t xml:space="preserve"> While some of the novel</w:t>
      </w:r>
      <w:r w:rsidR="00B90009" w:rsidRPr="00EC514F">
        <w:rPr>
          <w:rFonts w:ascii="Book Antiqua" w:hAnsi="Book Antiqua"/>
        </w:rPr>
        <w:t xml:space="preserve"> endoscopic and medical</w:t>
      </w:r>
      <w:r w:rsidR="009F11E1" w:rsidRPr="00EC514F">
        <w:rPr>
          <w:rFonts w:ascii="Book Antiqua" w:hAnsi="Book Antiqua"/>
        </w:rPr>
        <w:t xml:space="preserve"> therapies for LVAD b</w:t>
      </w:r>
      <w:r w:rsidR="003775DF" w:rsidRPr="00EC514F">
        <w:rPr>
          <w:rFonts w:ascii="Book Antiqua" w:hAnsi="Book Antiqua"/>
        </w:rPr>
        <w:t>leeds are still in their development</w:t>
      </w:r>
      <w:r w:rsidR="009F11E1" w:rsidRPr="00EC514F">
        <w:rPr>
          <w:rFonts w:ascii="Book Antiqua" w:hAnsi="Book Antiqua"/>
        </w:rPr>
        <w:t xml:space="preserve"> stage</w:t>
      </w:r>
      <w:r w:rsidR="00AD4343" w:rsidRPr="00EC514F">
        <w:rPr>
          <w:rFonts w:ascii="Book Antiqua" w:hAnsi="Book Antiqua"/>
        </w:rPr>
        <w:t>s</w:t>
      </w:r>
      <w:r w:rsidR="00C826A6" w:rsidRPr="00EC514F">
        <w:rPr>
          <w:rFonts w:ascii="Book Antiqua" w:hAnsi="Book Antiqua"/>
        </w:rPr>
        <w:t xml:space="preserve">, </w:t>
      </w:r>
      <w:r w:rsidR="009F11E1" w:rsidRPr="00EC514F">
        <w:rPr>
          <w:rFonts w:ascii="Book Antiqua" w:hAnsi="Book Antiqua"/>
        </w:rPr>
        <w:t xml:space="preserve">these </w:t>
      </w:r>
      <w:r w:rsidR="00B90009" w:rsidRPr="00EC514F">
        <w:rPr>
          <w:rFonts w:ascii="Book Antiqua" w:hAnsi="Book Antiqua"/>
        </w:rPr>
        <w:t xml:space="preserve">tools </w:t>
      </w:r>
      <w:r w:rsidR="009F11E1" w:rsidRPr="00EC514F">
        <w:rPr>
          <w:rFonts w:ascii="Book Antiqua" w:hAnsi="Book Antiqua"/>
        </w:rPr>
        <w:t>will</w:t>
      </w:r>
      <w:r w:rsidR="00C826A6" w:rsidRPr="00EC514F">
        <w:rPr>
          <w:rFonts w:ascii="Book Antiqua" w:hAnsi="Book Antiqua"/>
        </w:rPr>
        <w:t xml:space="preserve"> yet</w:t>
      </w:r>
      <w:r w:rsidR="009F11E1" w:rsidRPr="00EC514F">
        <w:rPr>
          <w:rFonts w:ascii="Book Antiqua" w:hAnsi="Book Antiqua"/>
        </w:rPr>
        <w:t xml:space="preserve"> be crucial as the number of LVAD placement</w:t>
      </w:r>
      <w:r w:rsidR="00353C84" w:rsidRPr="00EC514F">
        <w:rPr>
          <w:rFonts w:ascii="Book Antiqua" w:hAnsi="Book Antiqua"/>
        </w:rPr>
        <w:t>s</w:t>
      </w:r>
      <w:r w:rsidR="009F11E1" w:rsidRPr="00EC514F">
        <w:rPr>
          <w:rFonts w:ascii="Book Antiqua" w:hAnsi="Book Antiqua"/>
        </w:rPr>
        <w:t xml:space="preserve"> will </w:t>
      </w:r>
      <w:r w:rsidR="00AD4343" w:rsidRPr="00EC514F">
        <w:rPr>
          <w:rFonts w:ascii="Book Antiqua" w:hAnsi="Book Antiqua"/>
        </w:rPr>
        <w:t>likely only</w:t>
      </w:r>
      <w:r w:rsidR="009F11E1" w:rsidRPr="00EC514F">
        <w:rPr>
          <w:rFonts w:ascii="Book Antiqua" w:hAnsi="Book Antiqua"/>
        </w:rPr>
        <w:t xml:space="preserve"> increase in </w:t>
      </w:r>
      <w:r w:rsidR="00AD4343" w:rsidRPr="00EC514F">
        <w:rPr>
          <w:rFonts w:ascii="Book Antiqua" w:hAnsi="Book Antiqua"/>
        </w:rPr>
        <w:t>the coming years</w:t>
      </w:r>
      <w:r w:rsidR="009F11E1" w:rsidRPr="00EC514F">
        <w:rPr>
          <w:rFonts w:ascii="Book Antiqua" w:hAnsi="Book Antiqua"/>
        </w:rPr>
        <w:t>.</w:t>
      </w:r>
    </w:p>
    <w:p w14:paraId="61CC3C13" w14:textId="77777777" w:rsidR="00406BFB" w:rsidRPr="00EC514F" w:rsidRDefault="00406BFB" w:rsidP="00151396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5FA87C79" w14:textId="07491DEE" w:rsidR="003434FE" w:rsidRPr="00EC514F" w:rsidRDefault="003434FE" w:rsidP="003434FE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3434FE">
        <w:rPr>
          <w:rFonts w:ascii="Book Antiqua" w:hAnsi="Book Antiqua" w:cs="Arial"/>
          <w:b/>
          <w:bCs/>
        </w:rPr>
        <w:t>Key words:</w:t>
      </w:r>
      <w:r w:rsidRPr="00EC514F">
        <w:rPr>
          <w:rFonts w:ascii="Book Antiqua" w:hAnsi="Book Antiqua" w:cs="Arial"/>
          <w:bCs/>
        </w:rPr>
        <w:t xml:space="preserve"> Left ventricular assist device</w:t>
      </w:r>
      <w:r>
        <w:rPr>
          <w:rFonts w:ascii="Book Antiqua" w:hAnsi="Book Antiqua" w:cs="Arial"/>
          <w:bCs/>
        </w:rPr>
        <w:t xml:space="preserve">; </w:t>
      </w:r>
      <w:r w:rsidRPr="003434FE">
        <w:rPr>
          <w:rFonts w:ascii="Book Antiqua" w:hAnsi="Book Antiqua" w:cs="Arial"/>
          <w:bCs/>
          <w:caps/>
        </w:rPr>
        <w:t>p</w:t>
      </w:r>
      <w:r w:rsidRPr="00EC514F">
        <w:rPr>
          <w:rFonts w:ascii="Book Antiqua" w:hAnsi="Book Antiqua" w:cs="Arial"/>
          <w:bCs/>
        </w:rPr>
        <w:t xml:space="preserve">ush </w:t>
      </w:r>
      <w:proofErr w:type="spellStart"/>
      <w:r w:rsidRPr="00EC514F">
        <w:rPr>
          <w:rFonts w:ascii="Book Antiqua" w:hAnsi="Book Antiqua" w:cs="Arial"/>
          <w:bCs/>
        </w:rPr>
        <w:t>enteroscopy</w:t>
      </w:r>
      <w:proofErr w:type="spellEnd"/>
      <w:r>
        <w:rPr>
          <w:rFonts w:ascii="Book Antiqua" w:hAnsi="Book Antiqua" w:cs="Arial"/>
          <w:bCs/>
        </w:rPr>
        <w:t>;</w:t>
      </w:r>
      <w:r w:rsidRPr="00EC514F">
        <w:rPr>
          <w:rFonts w:ascii="Book Antiqua" w:hAnsi="Book Antiqua" w:cs="Arial"/>
          <w:bCs/>
        </w:rPr>
        <w:t xml:space="preserve"> </w:t>
      </w:r>
      <w:r w:rsidRPr="003434FE">
        <w:rPr>
          <w:rFonts w:ascii="Book Antiqua" w:hAnsi="Book Antiqua" w:cs="Arial"/>
          <w:bCs/>
          <w:caps/>
        </w:rPr>
        <w:t>d</w:t>
      </w:r>
      <w:r w:rsidRPr="00EC514F">
        <w:rPr>
          <w:rFonts w:ascii="Book Antiqua" w:hAnsi="Book Antiqua" w:cs="Arial"/>
          <w:bCs/>
        </w:rPr>
        <w:t xml:space="preserve">ouble balloon </w:t>
      </w:r>
      <w:proofErr w:type="spellStart"/>
      <w:r w:rsidRPr="00EC514F">
        <w:rPr>
          <w:rFonts w:ascii="Book Antiqua" w:hAnsi="Book Antiqua" w:cs="Arial"/>
          <w:bCs/>
        </w:rPr>
        <w:t>enteroscopy</w:t>
      </w:r>
      <w:proofErr w:type="spellEnd"/>
      <w:r>
        <w:rPr>
          <w:rFonts w:ascii="Book Antiqua" w:hAnsi="Book Antiqua" w:cs="Arial"/>
          <w:bCs/>
        </w:rPr>
        <w:t xml:space="preserve">; </w:t>
      </w:r>
      <w:r w:rsidRPr="003434FE">
        <w:rPr>
          <w:rFonts w:ascii="Book Antiqua" w:hAnsi="Book Antiqua" w:cs="Arial"/>
          <w:bCs/>
          <w:caps/>
        </w:rPr>
        <w:t>v</w:t>
      </w:r>
      <w:r w:rsidRPr="00EC514F">
        <w:rPr>
          <w:rFonts w:ascii="Book Antiqua" w:hAnsi="Book Antiqua" w:cs="Arial"/>
          <w:bCs/>
        </w:rPr>
        <w:t>ideo capsule endoscopy</w:t>
      </w:r>
      <w:r>
        <w:rPr>
          <w:rFonts w:ascii="Book Antiqua" w:hAnsi="Book Antiqua" w:cs="Arial"/>
          <w:bCs/>
        </w:rPr>
        <w:t xml:space="preserve">; </w:t>
      </w:r>
      <w:r w:rsidRPr="003434FE">
        <w:rPr>
          <w:rFonts w:ascii="Book Antiqua" w:hAnsi="Book Antiqua" w:cs="Arial"/>
          <w:bCs/>
          <w:caps/>
        </w:rPr>
        <w:t>o</w:t>
      </w:r>
      <w:r w:rsidRPr="00EC514F">
        <w:rPr>
          <w:rFonts w:ascii="Book Antiqua" w:hAnsi="Book Antiqua" w:cs="Arial"/>
          <w:bCs/>
        </w:rPr>
        <w:t>ctreotide</w:t>
      </w:r>
      <w:r>
        <w:rPr>
          <w:rFonts w:ascii="Book Antiqua" w:hAnsi="Book Antiqua" w:cs="Arial"/>
          <w:bCs/>
        </w:rPr>
        <w:t>;</w:t>
      </w:r>
      <w:r w:rsidRPr="00EC514F">
        <w:rPr>
          <w:rFonts w:ascii="Book Antiqua" w:hAnsi="Book Antiqua" w:cs="Arial"/>
          <w:bCs/>
        </w:rPr>
        <w:t xml:space="preserve"> </w:t>
      </w:r>
      <w:r w:rsidRPr="003434FE">
        <w:rPr>
          <w:rFonts w:ascii="Book Antiqua" w:hAnsi="Book Antiqua"/>
          <w:caps/>
          <w:color w:val="000000"/>
        </w:rPr>
        <w:t>b</w:t>
      </w:r>
      <w:r w:rsidRPr="00EC514F">
        <w:rPr>
          <w:rFonts w:ascii="Book Antiqua" w:hAnsi="Book Antiqua"/>
          <w:color w:val="000000"/>
        </w:rPr>
        <w:t>evacizumab</w:t>
      </w:r>
      <w:r>
        <w:rPr>
          <w:rFonts w:ascii="Book Antiqua" w:hAnsi="Book Antiqua"/>
          <w:color w:val="000000"/>
        </w:rPr>
        <w:t>;</w:t>
      </w:r>
      <w:r w:rsidRPr="00EC514F">
        <w:rPr>
          <w:rFonts w:ascii="Book Antiqua" w:hAnsi="Book Antiqua"/>
          <w:color w:val="000000"/>
        </w:rPr>
        <w:t xml:space="preserve"> </w:t>
      </w:r>
      <w:r w:rsidRPr="003434FE">
        <w:rPr>
          <w:rFonts w:ascii="Book Antiqua" w:hAnsi="Book Antiqua"/>
          <w:caps/>
          <w:color w:val="000000"/>
        </w:rPr>
        <w:t>g</w:t>
      </w:r>
      <w:r w:rsidRPr="00EC514F">
        <w:rPr>
          <w:rFonts w:ascii="Book Antiqua" w:hAnsi="Book Antiqua"/>
          <w:color w:val="000000"/>
        </w:rPr>
        <w:t>astrointestinal bleeding</w:t>
      </w:r>
    </w:p>
    <w:p w14:paraId="5DBC0C5D" w14:textId="77777777" w:rsidR="003434FE" w:rsidRDefault="003434FE" w:rsidP="003434FE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</w:p>
    <w:p w14:paraId="0A735498" w14:textId="604D19F1" w:rsidR="003434FE" w:rsidRPr="00EC514F" w:rsidRDefault="003434FE" w:rsidP="003434FE">
      <w:pPr>
        <w:snapToGrid w:val="0"/>
        <w:spacing w:line="360" w:lineRule="auto"/>
        <w:jc w:val="both"/>
        <w:rPr>
          <w:rFonts w:ascii="Book Antiqua" w:hAnsi="Book Antiqua"/>
          <w:b/>
        </w:rPr>
      </w:pPr>
      <w:proofErr w:type="spellStart"/>
      <w:r w:rsidRPr="00EC514F">
        <w:rPr>
          <w:rFonts w:ascii="Book Antiqua" w:hAnsi="Book Antiqua"/>
        </w:rPr>
        <w:lastRenderedPageBreak/>
        <w:t>Vedachalam</w:t>
      </w:r>
      <w:proofErr w:type="spellEnd"/>
      <w:r>
        <w:rPr>
          <w:rFonts w:ascii="Book Antiqua" w:hAnsi="Book Antiqua"/>
        </w:rPr>
        <w:t xml:space="preserve"> </w:t>
      </w:r>
      <w:r w:rsidRPr="00EC514F">
        <w:rPr>
          <w:rFonts w:ascii="Book Antiqua" w:hAnsi="Book Antiqua"/>
        </w:rPr>
        <w:t>S, Balasubramanian</w:t>
      </w:r>
      <w:r>
        <w:rPr>
          <w:rFonts w:ascii="Book Antiqua" w:hAnsi="Book Antiqua"/>
        </w:rPr>
        <w:t xml:space="preserve"> </w:t>
      </w:r>
      <w:r w:rsidRPr="00EC514F">
        <w:rPr>
          <w:rFonts w:ascii="Book Antiqua" w:hAnsi="Book Antiqua"/>
        </w:rPr>
        <w:t>G, Haas GJ, Krishna</w:t>
      </w:r>
      <w:r>
        <w:rPr>
          <w:rFonts w:ascii="Book Antiqua" w:hAnsi="Book Antiqua"/>
        </w:rPr>
        <w:t xml:space="preserve"> </w:t>
      </w:r>
      <w:r w:rsidRPr="00EC514F">
        <w:rPr>
          <w:rFonts w:ascii="Book Antiqua" w:hAnsi="Book Antiqua"/>
        </w:rPr>
        <w:t>SG</w:t>
      </w:r>
      <w:r>
        <w:rPr>
          <w:rFonts w:ascii="Book Antiqua" w:hAnsi="Book Antiqua"/>
        </w:rPr>
        <w:t xml:space="preserve">. </w:t>
      </w:r>
      <w:r w:rsidRPr="00E41E49">
        <w:rPr>
          <w:rFonts w:ascii="Book Antiqua" w:hAnsi="Book Antiqua"/>
        </w:rPr>
        <w:t>Treatment of gastrointestinal bleeding in left ventricular assist devices: A comprehensive review</w:t>
      </w:r>
      <w:r>
        <w:rPr>
          <w:rFonts w:ascii="Book Antiqua" w:hAnsi="Book Antiqua"/>
        </w:rPr>
        <w:t>.</w:t>
      </w:r>
      <w:r w:rsidR="0054023C">
        <w:rPr>
          <w:rFonts w:ascii="Book Antiqua" w:hAnsi="Book Antiqua"/>
        </w:rPr>
        <w:t xml:space="preserve"> </w:t>
      </w:r>
      <w:r w:rsidR="001C4627" w:rsidRPr="00CA0318">
        <w:rPr>
          <w:rFonts w:ascii="Book Antiqua" w:hAnsi="Book Antiqua" w:cs="Times New Roman"/>
          <w:i/>
          <w:lang w:eastAsia="zh-CN"/>
        </w:rPr>
        <w:t>World J</w:t>
      </w:r>
      <w:r w:rsidR="001C4627">
        <w:rPr>
          <w:rFonts w:ascii="Book Antiqua" w:hAnsi="Book Antiqua" w:cs="Times New Roman"/>
          <w:i/>
          <w:lang w:eastAsia="zh-CN"/>
        </w:rPr>
        <w:t xml:space="preserve"> </w:t>
      </w:r>
      <w:r w:rsidR="001C4627" w:rsidRPr="00CA0318">
        <w:rPr>
          <w:rFonts w:ascii="Book Antiqua" w:hAnsi="Book Antiqua" w:cs="Times New Roman"/>
          <w:i/>
          <w:lang w:eastAsia="zh-CN"/>
        </w:rPr>
        <w:t>Gastroenterol</w:t>
      </w:r>
      <w:r w:rsidR="001C4627">
        <w:rPr>
          <w:rFonts w:ascii="Book Antiqua" w:hAnsi="Book Antiqua" w:cs="Times New Roman"/>
          <w:i/>
          <w:lang w:eastAsia="zh-CN"/>
        </w:rPr>
        <w:t xml:space="preserve"> </w:t>
      </w:r>
      <w:r w:rsidR="001C4627" w:rsidRPr="001C4627">
        <w:rPr>
          <w:rFonts w:ascii="Book Antiqua" w:hAnsi="Book Antiqua" w:cs="Times New Roman"/>
          <w:lang w:eastAsia="zh-CN"/>
        </w:rPr>
        <w:t>2020; In press</w:t>
      </w:r>
    </w:p>
    <w:p w14:paraId="132EEE29" w14:textId="77777777" w:rsidR="003434FE" w:rsidRDefault="003434FE" w:rsidP="003434FE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</w:p>
    <w:p w14:paraId="123346E5" w14:textId="52102495" w:rsidR="003434FE" w:rsidRPr="00EC514F" w:rsidRDefault="003434FE" w:rsidP="003434FE">
      <w:pPr>
        <w:snapToGrid w:val="0"/>
        <w:spacing w:line="360" w:lineRule="auto"/>
        <w:jc w:val="both"/>
        <w:rPr>
          <w:rFonts w:ascii="Book Antiqua" w:hAnsi="Book Antiqua"/>
          <w:bCs/>
          <w:color w:val="000000"/>
        </w:rPr>
      </w:pPr>
      <w:r w:rsidRPr="007372F4">
        <w:rPr>
          <w:rFonts w:ascii="Book Antiqua" w:hAnsi="Book Antiqua"/>
          <w:b/>
          <w:color w:val="000000"/>
        </w:rPr>
        <w:t xml:space="preserve">Core tip: </w:t>
      </w:r>
      <w:r w:rsidRPr="00EC514F">
        <w:rPr>
          <w:rFonts w:ascii="Book Antiqua" w:hAnsi="Book Antiqua"/>
          <w:color w:val="000000"/>
        </w:rPr>
        <w:t>Left ventricular assist devices</w:t>
      </w:r>
      <w:r w:rsidR="001F2595">
        <w:rPr>
          <w:rFonts w:ascii="Book Antiqua" w:hAnsi="Book Antiqua"/>
          <w:color w:val="000000"/>
        </w:rPr>
        <w:t xml:space="preserve"> </w:t>
      </w:r>
      <w:r w:rsidRPr="00EC514F">
        <w:rPr>
          <w:rFonts w:ascii="Book Antiqua" w:hAnsi="Book Antiqua"/>
          <w:color w:val="000000"/>
        </w:rPr>
        <w:t xml:space="preserve">are becoming increasingly common as life-prolonging therapy in advanced heart failure. However, </w:t>
      </w:r>
      <w:r w:rsidR="001F2595" w:rsidRPr="00EC514F">
        <w:rPr>
          <w:rFonts w:ascii="Book Antiqua" w:hAnsi="Book Antiqua"/>
          <w:color w:val="000000"/>
        </w:rPr>
        <w:t>left ventricular assist devices</w:t>
      </w:r>
      <w:r w:rsidRPr="00EC514F">
        <w:rPr>
          <w:rFonts w:ascii="Book Antiqua" w:hAnsi="Book Antiqua"/>
          <w:color w:val="000000"/>
        </w:rPr>
        <w:t xml:space="preserve"> have shown high rates of </w:t>
      </w:r>
      <w:r w:rsidR="001F2595" w:rsidRPr="00EC514F">
        <w:rPr>
          <w:rFonts w:ascii="Book Antiqua" w:hAnsi="Book Antiqua"/>
        </w:rPr>
        <w:t>gastrointestinal</w:t>
      </w:r>
      <w:r w:rsidRPr="00EC514F">
        <w:rPr>
          <w:rFonts w:ascii="Book Antiqua" w:hAnsi="Book Antiqua"/>
          <w:color w:val="000000"/>
        </w:rPr>
        <w:t xml:space="preserve"> bleeding with 18</w:t>
      </w:r>
      <w:r w:rsidR="000F7C02" w:rsidRPr="00EC514F">
        <w:rPr>
          <w:rFonts w:ascii="Book Antiqua" w:hAnsi="Book Antiqua"/>
          <w:color w:val="000000"/>
        </w:rPr>
        <w:t>%</w:t>
      </w:r>
      <w:r w:rsidRPr="00EC514F">
        <w:rPr>
          <w:rFonts w:ascii="Book Antiqua" w:hAnsi="Book Antiqua"/>
          <w:color w:val="000000"/>
        </w:rPr>
        <w:t xml:space="preserve">-40% of patients having episodes of bleed. Arteriovenous malformations are primarily responsible, which can be both challenging to control and cause many patients to discontinue essential anti-platelet and anti-coagulation therapies. Small bowel lesions are common in this population, frequently requiring small bowel endoscopic evaluation. For refractory cases, medical management is required including octreotide, thalidomide, </w:t>
      </w:r>
      <w:r w:rsidR="000A5E66" w:rsidRPr="00EC514F">
        <w:rPr>
          <w:rFonts w:ascii="Book Antiqua" w:hAnsi="Book Antiqua"/>
        </w:rPr>
        <w:t>angiotensin converting enzyme inhibitors/angiotensin II receptor blockers</w:t>
      </w:r>
      <w:r w:rsidRPr="00EC514F">
        <w:rPr>
          <w:rFonts w:ascii="Book Antiqua" w:hAnsi="Book Antiqua"/>
          <w:color w:val="000000"/>
        </w:rPr>
        <w:t xml:space="preserve">, estrogen-based therapies, desmopressin, doxycycline or </w:t>
      </w:r>
      <w:r w:rsidRPr="00EC514F">
        <w:rPr>
          <w:rFonts w:ascii="Book Antiqua" w:hAnsi="Book Antiqua"/>
          <w:bCs/>
          <w:color w:val="000000"/>
        </w:rPr>
        <w:t xml:space="preserve">bevacizumab to prevent further </w:t>
      </w:r>
      <w:r w:rsidR="001F2595" w:rsidRPr="00EC514F">
        <w:rPr>
          <w:rFonts w:ascii="Book Antiqua" w:hAnsi="Book Antiqua"/>
        </w:rPr>
        <w:t>gastrointestinal</w:t>
      </w:r>
      <w:r w:rsidRPr="00EC514F">
        <w:rPr>
          <w:rFonts w:ascii="Book Antiqua" w:hAnsi="Book Antiqua"/>
          <w:bCs/>
          <w:color w:val="000000"/>
        </w:rPr>
        <w:t xml:space="preserve"> bleeding.</w:t>
      </w:r>
    </w:p>
    <w:p w14:paraId="09918A0E" w14:textId="77777777" w:rsidR="000F7C02" w:rsidRDefault="000F7C0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4FB163E0" w14:textId="33A63023" w:rsidR="00B03593" w:rsidRPr="000A6B4A" w:rsidRDefault="00256EAC" w:rsidP="00151396">
      <w:pPr>
        <w:snapToGrid w:val="0"/>
        <w:spacing w:line="360" w:lineRule="auto"/>
        <w:jc w:val="both"/>
        <w:rPr>
          <w:rFonts w:ascii="Book Antiqua" w:hAnsi="Book Antiqua"/>
          <w:b/>
          <w:caps/>
          <w:u w:val="single"/>
        </w:rPr>
      </w:pPr>
      <w:r w:rsidRPr="000A6B4A">
        <w:rPr>
          <w:rFonts w:ascii="Book Antiqua" w:hAnsi="Book Antiqua"/>
          <w:b/>
          <w:caps/>
          <w:u w:val="single"/>
        </w:rPr>
        <w:lastRenderedPageBreak/>
        <w:t>Introduction</w:t>
      </w:r>
    </w:p>
    <w:p w14:paraId="449924FF" w14:textId="7BB44E2F" w:rsidR="003D1982" w:rsidRPr="00EC514F" w:rsidRDefault="000F3409" w:rsidP="00151396">
      <w:pPr>
        <w:snapToGrid w:val="0"/>
        <w:spacing w:line="360" w:lineRule="auto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 xml:space="preserve">Left Ventricular Assist </w:t>
      </w:r>
      <w:r w:rsidRPr="00EC514F">
        <w:rPr>
          <w:rFonts w:ascii="Book Antiqua" w:hAnsi="Book Antiqua" w:cs="Arial"/>
        </w:rPr>
        <w:t>Device</w:t>
      </w:r>
      <w:r w:rsidR="00484AE0" w:rsidRPr="00EC514F">
        <w:rPr>
          <w:rFonts w:ascii="Book Antiqua" w:hAnsi="Book Antiqua" w:cs="Arial"/>
        </w:rPr>
        <w:t>s (LVAD)</w:t>
      </w:r>
      <w:r w:rsidRPr="00EC514F">
        <w:rPr>
          <w:rFonts w:ascii="Book Antiqua" w:hAnsi="Book Antiqua"/>
        </w:rPr>
        <w:t xml:space="preserve"> </w:t>
      </w:r>
      <w:r w:rsidR="00484A13" w:rsidRPr="00EC514F">
        <w:rPr>
          <w:rFonts w:ascii="Book Antiqua" w:hAnsi="Book Antiqua"/>
        </w:rPr>
        <w:t>are becoming increasingly</w:t>
      </w:r>
      <w:r w:rsidRPr="00EC514F">
        <w:rPr>
          <w:rFonts w:ascii="Book Antiqua" w:hAnsi="Book Antiqua"/>
        </w:rPr>
        <w:t xml:space="preserve"> common for end-stage heart failure</w:t>
      </w:r>
      <w:r w:rsidR="000A6B4A">
        <w:rPr>
          <w:rFonts w:ascii="Book Antiqua" w:hAnsi="Book Antiqua"/>
        </w:rPr>
        <w:t xml:space="preserve"> with 20</w:t>
      </w:r>
      <w:r w:rsidR="00270AA4" w:rsidRPr="00EC514F">
        <w:rPr>
          <w:rFonts w:ascii="Book Antiqua" w:hAnsi="Book Antiqua"/>
        </w:rPr>
        <w:t>000</w:t>
      </w:r>
      <w:r w:rsidR="00431E04" w:rsidRPr="00EC514F">
        <w:rPr>
          <w:rFonts w:ascii="Book Antiqua" w:hAnsi="Book Antiqua"/>
        </w:rPr>
        <w:t>+</w:t>
      </w:r>
      <w:r w:rsidR="00270AA4" w:rsidRPr="00EC514F">
        <w:rPr>
          <w:rFonts w:ascii="Book Antiqua" w:hAnsi="Book Antiqua"/>
        </w:rPr>
        <w:t xml:space="preserve"> devices</w:t>
      </w:r>
      <w:r w:rsidR="00E31B1B" w:rsidRPr="00EC514F">
        <w:rPr>
          <w:rFonts w:ascii="Book Antiqua" w:hAnsi="Book Antiqua"/>
        </w:rPr>
        <w:t xml:space="preserve"> placed</w:t>
      </w:r>
      <w:r w:rsidR="00366D6E" w:rsidRPr="00EC514F">
        <w:rPr>
          <w:rFonts w:ascii="Book Antiqua" w:hAnsi="Book Antiqua"/>
        </w:rPr>
        <w:t xml:space="preserve"> a year</w:t>
      </w:r>
      <w:r w:rsidR="00270AA4" w:rsidRPr="00EC514F">
        <w:rPr>
          <w:rFonts w:ascii="Book Antiqua" w:hAnsi="Book Antiqua"/>
        </w:rPr>
        <w:t xml:space="preserve"> </w:t>
      </w:r>
      <w:r w:rsidR="00431E04" w:rsidRPr="00EC514F">
        <w:rPr>
          <w:rFonts w:ascii="Book Antiqua" w:hAnsi="Book Antiqua"/>
        </w:rPr>
        <w:t>in over</w:t>
      </w:r>
      <w:r w:rsidR="00270AA4" w:rsidRPr="00EC514F">
        <w:rPr>
          <w:rFonts w:ascii="Book Antiqua" w:hAnsi="Book Antiqua"/>
        </w:rPr>
        <w:t xml:space="preserve"> 180 hospitals around the U</w:t>
      </w:r>
      <w:r w:rsidR="000A6B4A">
        <w:rPr>
          <w:rFonts w:ascii="Book Antiqua" w:hAnsi="Book Antiqua"/>
        </w:rPr>
        <w:t xml:space="preserve">nited </w:t>
      </w:r>
      <w:r w:rsidR="00270AA4" w:rsidRPr="00EC514F">
        <w:rPr>
          <w:rFonts w:ascii="Book Antiqua" w:hAnsi="Book Antiqua"/>
        </w:rPr>
        <w:t>S</w:t>
      </w:r>
      <w:r w:rsidR="000A6B4A">
        <w:rPr>
          <w:rFonts w:ascii="Book Antiqua" w:hAnsi="Book Antiqua"/>
        </w:rPr>
        <w:t>tates</w:t>
      </w:r>
      <w:r w:rsidR="00270AA4" w:rsidRPr="00EC514F">
        <w:rPr>
          <w:rFonts w:ascii="Book Antiqua" w:hAnsi="Book Antiqua"/>
        </w:rPr>
        <w:t xml:space="preserve"> and </w:t>
      </w:r>
      <w:proofErr w:type="gramStart"/>
      <w:r w:rsidR="00270AA4" w:rsidRPr="00EC514F">
        <w:rPr>
          <w:rFonts w:ascii="Book Antiqua" w:hAnsi="Book Antiqua"/>
        </w:rPr>
        <w:t>growing</w:t>
      </w:r>
      <w:r w:rsidR="000A6B4A" w:rsidRPr="00EC514F">
        <w:rPr>
          <w:rFonts w:ascii="Book Antiqua" w:hAnsi="Book Antiqua"/>
          <w:vertAlign w:val="superscript"/>
        </w:rPr>
        <w:t>[</w:t>
      </w:r>
      <w:proofErr w:type="gramEnd"/>
      <w:r w:rsidR="000A6B4A" w:rsidRPr="00EC514F">
        <w:rPr>
          <w:rFonts w:ascii="Book Antiqua" w:hAnsi="Book Antiqua"/>
          <w:vertAlign w:val="superscript"/>
        </w:rPr>
        <w:t>1]</w:t>
      </w:r>
      <w:r w:rsidR="0051081A" w:rsidRPr="00EC514F">
        <w:rPr>
          <w:rFonts w:ascii="Book Antiqua" w:hAnsi="Book Antiqua"/>
        </w:rPr>
        <w:t xml:space="preserve">. </w:t>
      </w:r>
      <w:r w:rsidR="00270AA4" w:rsidRPr="00EC514F">
        <w:rPr>
          <w:rFonts w:ascii="Book Antiqua" w:hAnsi="Book Antiqua"/>
        </w:rPr>
        <w:t>These devices are used</w:t>
      </w:r>
      <w:r w:rsidRPr="00EC514F">
        <w:rPr>
          <w:rFonts w:ascii="Book Antiqua" w:hAnsi="Book Antiqua"/>
        </w:rPr>
        <w:t xml:space="preserve"> </w:t>
      </w:r>
      <w:r w:rsidR="003A0CB3" w:rsidRPr="00EC514F">
        <w:rPr>
          <w:rFonts w:ascii="Book Antiqua" w:hAnsi="Book Antiqua"/>
        </w:rPr>
        <w:t xml:space="preserve">either </w:t>
      </w:r>
      <w:r w:rsidRPr="00EC514F">
        <w:rPr>
          <w:rFonts w:ascii="Book Antiqua" w:hAnsi="Book Antiqua"/>
        </w:rPr>
        <w:t xml:space="preserve">as a bridge to </w:t>
      </w:r>
      <w:r w:rsidR="003A0CB3" w:rsidRPr="00EC514F">
        <w:rPr>
          <w:rFonts w:ascii="Book Antiqua" w:hAnsi="Book Antiqua"/>
        </w:rPr>
        <w:t xml:space="preserve">heart </w:t>
      </w:r>
      <w:r w:rsidRPr="00EC514F">
        <w:rPr>
          <w:rFonts w:ascii="Book Antiqua" w:hAnsi="Book Antiqua"/>
        </w:rPr>
        <w:t>transplant</w:t>
      </w:r>
      <w:r w:rsidR="003A0CB3" w:rsidRPr="00EC514F">
        <w:rPr>
          <w:rFonts w:ascii="Book Antiqua" w:hAnsi="Book Antiqua"/>
        </w:rPr>
        <w:t>ation</w:t>
      </w:r>
      <w:r w:rsidRPr="00EC514F">
        <w:rPr>
          <w:rFonts w:ascii="Book Antiqua" w:hAnsi="Book Antiqua"/>
        </w:rPr>
        <w:t xml:space="preserve"> or </w:t>
      </w:r>
      <w:r w:rsidR="003A0CB3" w:rsidRPr="00EC514F">
        <w:rPr>
          <w:rFonts w:ascii="Book Antiqua" w:hAnsi="Book Antiqua"/>
        </w:rPr>
        <w:t xml:space="preserve">as definitive, </w:t>
      </w:r>
      <w:r w:rsidRPr="00EC514F">
        <w:rPr>
          <w:rFonts w:ascii="Book Antiqua" w:hAnsi="Book Antiqua"/>
        </w:rPr>
        <w:t>destination therapy</w:t>
      </w:r>
      <w:r w:rsidR="003038CD" w:rsidRPr="00EC514F">
        <w:rPr>
          <w:rFonts w:ascii="Book Antiqua" w:hAnsi="Book Antiqua"/>
        </w:rPr>
        <w:t>, which</w:t>
      </w:r>
      <w:r w:rsidRPr="00EC514F">
        <w:rPr>
          <w:rFonts w:ascii="Book Antiqua" w:hAnsi="Book Antiqua"/>
        </w:rPr>
        <w:t xml:space="preserve"> </w:t>
      </w:r>
      <w:r w:rsidR="003A0CB3" w:rsidRPr="00EC514F">
        <w:rPr>
          <w:rFonts w:ascii="Book Antiqua" w:hAnsi="Book Antiqua"/>
        </w:rPr>
        <w:t xml:space="preserve">owe their success in part to continuous flow technology which improves pump durability. Unfortunately, current devices appear to increase the incidence of </w:t>
      </w:r>
      <w:r w:rsidR="003A0CB3" w:rsidRPr="00EC514F">
        <w:rPr>
          <w:rFonts w:ascii="Book Antiqua" w:hAnsi="Book Antiqua" w:cs="Arial"/>
        </w:rPr>
        <w:t>gastrointestinal (GI)</w:t>
      </w:r>
      <w:r w:rsidR="003A0CB3" w:rsidRPr="00EC514F">
        <w:rPr>
          <w:rFonts w:ascii="Book Antiqua" w:hAnsi="Book Antiqua"/>
        </w:rPr>
        <w:t xml:space="preserve"> bleeding, which is seen in </w:t>
      </w:r>
      <w:r w:rsidR="00256EAC" w:rsidRPr="00EC514F">
        <w:rPr>
          <w:rFonts w:ascii="Book Antiqua" w:hAnsi="Book Antiqua"/>
        </w:rPr>
        <w:t>18-40</w:t>
      </w:r>
      <w:r w:rsidRPr="00EC514F">
        <w:rPr>
          <w:rFonts w:ascii="Book Antiqua" w:hAnsi="Book Antiqua"/>
        </w:rPr>
        <w:t>%</w:t>
      </w:r>
      <w:r w:rsidR="00256EAC" w:rsidRPr="00EC514F">
        <w:rPr>
          <w:rFonts w:ascii="Book Antiqua" w:hAnsi="Book Antiqua"/>
        </w:rPr>
        <w:t xml:space="preserve"> of patients that have received an </w:t>
      </w:r>
      <w:proofErr w:type="gramStart"/>
      <w:r w:rsidR="00256EAC" w:rsidRPr="00EC514F">
        <w:rPr>
          <w:rFonts w:ascii="Book Antiqua" w:hAnsi="Book Antiqua"/>
        </w:rPr>
        <w:t>LVAD</w:t>
      </w:r>
      <w:r w:rsidR="00FE493C" w:rsidRPr="00EC514F">
        <w:rPr>
          <w:rFonts w:ascii="Book Antiqua" w:hAnsi="Book Antiqua"/>
          <w:vertAlign w:val="superscript"/>
        </w:rPr>
        <w:t>[</w:t>
      </w:r>
      <w:proofErr w:type="gramEnd"/>
      <w:r w:rsidR="00FE493C" w:rsidRPr="00EC514F">
        <w:rPr>
          <w:rFonts w:ascii="Book Antiqua" w:hAnsi="Book Antiqua"/>
          <w:vertAlign w:val="superscript"/>
        </w:rPr>
        <w:t>2-7]</w:t>
      </w:r>
      <w:r w:rsidR="003A0CB3" w:rsidRPr="00EC514F">
        <w:rPr>
          <w:rFonts w:ascii="Book Antiqua" w:hAnsi="Book Antiqua"/>
        </w:rPr>
        <w:t>. This is a major contributor to inc</w:t>
      </w:r>
      <w:r w:rsidR="00F616B0" w:rsidRPr="00EC514F">
        <w:rPr>
          <w:rFonts w:ascii="Book Antiqua" w:hAnsi="Book Antiqua"/>
        </w:rPr>
        <w:t xml:space="preserve">reased morbidity and mortality, </w:t>
      </w:r>
      <w:r w:rsidR="003A0CB3" w:rsidRPr="00EC514F">
        <w:rPr>
          <w:rFonts w:ascii="Book Antiqua" w:hAnsi="Book Antiqua"/>
        </w:rPr>
        <w:t>whe</w:t>
      </w:r>
      <w:r w:rsidR="003038CD" w:rsidRPr="00EC514F">
        <w:rPr>
          <w:rFonts w:ascii="Book Antiqua" w:hAnsi="Book Antiqua"/>
        </w:rPr>
        <w:t>re there is a 5-</w:t>
      </w:r>
      <w:r w:rsidR="003A0CB3" w:rsidRPr="00EC514F">
        <w:rPr>
          <w:rFonts w:ascii="Book Antiqua" w:hAnsi="Book Antiqua"/>
        </w:rPr>
        <w:t xml:space="preserve">fold increased risk for readmission due to GI </w:t>
      </w:r>
      <w:proofErr w:type="gramStart"/>
      <w:r w:rsidR="003A0CB3" w:rsidRPr="00EC514F">
        <w:rPr>
          <w:rFonts w:ascii="Book Antiqua" w:hAnsi="Book Antiqua"/>
        </w:rPr>
        <w:t>bleeding</w:t>
      </w:r>
      <w:r w:rsidR="00AA2CAF" w:rsidRPr="00EC514F">
        <w:rPr>
          <w:rFonts w:ascii="Book Antiqua" w:hAnsi="Book Antiqua"/>
          <w:vertAlign w:val="superscript"/>
        </w:rPr>
        <w:t>[</w:t>
      </w:r>
      <w:proofErr w:type="gramEnd"/>
      <w:r w:rsidR="00AA2CAF" w:rsidRPr="00EC514F">
        <w:rPr>
          <w:rFonts w:ascii="Book Antiqua" w:hAnsi="Book Antiqua"/>
          <w:vertAlign w:val="superscript"/>
        </w:rPr>
        <w:t>8]</w:t>
      </w:r>
      <w:r w:rsidR="003A0CB3" w:rsidRPr="00EC514F">
        <w:rPr>
          <w:rFonts w:ascii="Book Antiqua" w:hAnsi="Book Antiqua"/>
        </w:rPr>
        <w:t xml:space="preserve">. </w:t>
      </w:r>
      <w:r w:rsidR="00366D6E" w:rsidRPr="00EC514F">
        <w:rPr>
          <w:rFonts w:ascii="Book Antiqua" w:hAnsi="Book Antiqua"/>
        </w:rPr>
        <w:t>These</w:t>
      </w:r>
      <w:r w:rsidR="00256EAC" w:rsidRPr="00EC514F">
        <w:rPr>
          <w:rFonts w:ascii="Book Antiqua" w:hAnsi="Book Antiqua"/>
        </w:rPr>
        <w:t xml:space="preserve"> episodes lead to </w:t>
      </w:r>
      <w:r w:rsidR="00F616B0" w:rsidRPr="00EC514F">
        <w:rPr>
          <w:rFonts w:ascii="Book Antiqua" w:hAnsi="Book Antiqua" w:cs="Arial"/>
        </w:rPr>
        <w:t xml:space="preserve">recurrent </w:t>
      </w:r>
      <w:r w:rsidR="00256EAC" w:rsidRPr="00EC514F">
        <w:rPr>
          <w:rFonts w:ascii="Book Antiqua" w:hAnsi="Book Antiqua"/>
        </w:rPr>
        <w:t>hospitalizations</w:t>
      </w:r>
      <w:r w:rsidRPr="00EC514F">
        <w:rPr>
          <w:rFonts w:ascii="Book Antiqua" w:hAnsi="Book Antiqua"/>
        </w:rPr>
        <w:t>,</w:t>
      </w:r>
      <w:r w:rsidR="00F616B0" w:rsidRPr="00EC514F">
        <w:rPr>
          <w:rFonts w:ascii="Book Antiqua" w:hAnsi="Book Antiqua"/>
        </w:rPr>
        <w:t xml:space="preserve"> increased</w:t>
      </w:r>
      <w:r w:rsidR="00366D6E" w:rsidRPr="00EC514F">
        <w:rPr>
          <w:rFonts w:ascii="Book Antiqua" w:hAnsi="Book Antiqua"/>
        </w:rPr>
        <w:t xml:space="preserve"> lengths of stay, costs,</w:t>
      </w:r>
      <w:r w:rsidRPr="00EC514F">
        <w:rPr>
          <w:rFonts w:ascii="Book Antiqua" w:hAnsi="Book Antiqua"/>
        </w:rPr>
        <w:t xml:space="preserve"> blood transfusions, </w:t>
      </w:r>
      <w:r w:rsidR="00256EAC" w:rsidRPr="00EC514F">
        <w:rPr>
          <w:rFonts w:ascii="Book Antiqua" w:hAnsi="Book Antiqua"/>
        </w:rPr>
        <w:t xml:space="preserve">and </w:t>
      </w:r>
      <w:r w:rsidRPr="00EC514F">
        <w:rPr>
          <w:rFonts w:ascii="Book Antiqua" w:hAnsi="Book Antiqua"/>
        </w:rPr>
        <w:t>time off anticoagulation and antiplatelet therapy</w:t>
      </w:r>
      <w:r w:rsidR="003038CD" w:rsidRPr="00EC514F">
        <w:rPr>
          <w:rFonts w:ascii="Book Antiqua" w:hAnsi="Book Antiqua"/>
        </w:rPr>
        <w:t>,</w:t>
      </w:r>
      <w:r w:rsidRPr="00EC514F">
        <w:rPr>
          <w:rFonts w:ascii="Book Antiqua" w:hAnsi="Book Antiqua"/>
        </w:rPr>
        <w:t xml:space="preserve"> </w:t>
      </w:r>
      <w:r w:rsidR="00F616B0" w:rsidRPr="00EC514F">
        <w:rPr>
          <w:rFonts w:ascii="Book Antiqua" w:hAnsi="Book Antiqua"/>
        </w:rPr>
        <w:t xml:space="preserve">which significantly increases the risk of pump thrombosis and </w:t>
      </w:r>
      <w:proofErr w:type="gramStart"/>
      <w:r w:rsidR="00F616B0" w:rsidRPr="00EC514F">
        <w:rPr>
          <w:rFonts w:ascii="Book Antiqua" w:hAnsi="Book Antiqua"/>
        </w:rPr>
        <w:t>stroke</w:t>
      </w:r>
      <w:r w:rsidR="00AA2CAF" w:rsidRPr="00EC514F">
        <w:rPr>
          <w:rFonts w:ascii="Book Antiqua" w:hAnsi="Book Antiqua"/>
          <w:vertAlign w:val="superscript"/>
        </w:rPr>
        <w:t>[</w:t>
      </w:r>
      <w:proofErr w:type="gramEnd"/>
      <w:r w:rsidR="00AA2CAF" w:rsidRPr="00EC514F">
        <w:rPr>
          <w:rFonts w:ascii="Book Antiqua" w:hAnsi="Book Antiqua"/>
          <w:vertAlign w:val="superscript"/>
        </w:rPr>
        <w:t>8]</w:t>
      </w:r>
      <w:r w:rsidRPr="00EC514F">
        <w:rPr>
          <w:rFonts w:ascii="Book Antiqua" w:hAnsi="Book Antiqua"/>
        </w:rPr>
        <w:t>.</w:t>
      </w:r>
      <w:r w:rsidR="00256EAC" w:rsidRPr="00EC514F">
        <w:rPr>
          <w:rFonts w:ascii="Book Antiqua" w:hAnsi="Book Antiqua"/>
        </w:rPr>
        <w:t xml:space="preserve"> </w:t>
      </w:r>
      <w:r w:rsidR="0049341C" w:rsidRPr="00EC514F">
        <w:rPr>
          <w:rFonts w:ascii="Book Antiqua" w:hAnsi="Book Antiqua"/>
        </w:rPr>
        <w:t xml:space="preserve">Furthermore, as many of these patients are being bridged to transplant, </w:t>
      </w:r>
      <w:r w:rsidR="003D1982" w:rsidRPr="00EC514F">
        <w:rPr>
          <w:rFonts w:ascii="Book Antiqua" w:hAnsi="Book Antiqua" w:cs="Arial"/>
        </w:rPr>
        <w:t xml:space="preserve">the </w:t>
      </w:r>
      <w:r w:rsidR="0049341C" w:rsidRPr="00EC514F">
        <w:rPr>
          <w:rFonts w:ascii="Book Antiqua" w:hAnsi="Book Antiqua"/>
        </w:rPr>
        <w:t xml:space="preserve">increased number of blood transfusions may lead to </w:t>
      </w:r>
      <w:r w:rsidR="003D1982" w:rsidRPr="00EC514F">
        <w:rPr>
          <w:rFonts w:ascii="Book Antiqua" w:hAnsi="Book Antiqua" w:cs="Arial"/>
        </w:rPr>
        <w:t>higher</w:t>
      </w:r>
      <w:r w:rsidR="003D1982" w:rsidRPr="00EC514F">
        <w:rPr>
          <w:rFonts w:ascii="Book Antiqua" w:hAnsi="Book Antiqua"/>
        </w:rPr>
        <w:t xml:space="preserve"> </w:t>
      </w:r>
      <w:r w:rsidR="0049341C" w:rsidRPr="00EC514F">
        <w:rPr>
          <w:rFonts w:ascii="Book Antiqua" w:hAnsi="Book Antiqua"/>
        </w:rPr>
        <w:t>antibody production</w:t>
      </w:r>
      <w:r w:rsidR="00F616B0" w:rsidRPr="00EC514F">
        <w:rPr>
          <w:rFonts w:ascii="Book Antiqua" w:hAnsi="Book Antiqua"/>
        </w:rPr>
        <w:t xml:space="preserve"> (</w:t>
      </w:r>
      <w:proofErr w:type="spellStart"/>
      <w:r w:rsidR="00F616B0" w:rsidRPr="00EC514F">
        <w:rPr>
          <w:rFonts w:ascii="Book Antiqua" w:hAnsi="Book Antiqua"/>
        </w:rPr>
        <w:t>allosensitization</w:t>
      </w:r>
      <w:proofErr w:type="spellEnd"/>
      <w:r w:rsidR="00F616B0" w:rsidRPr="00EC514F">
        <w:rPr>
          <w:rFonts w:ascii="Book Antiqua" w:hAnsi="Book Antiqua"/>
        </w:rPr>
        <w:t xml:space="preserve">), thus limiting the donor pool and prolonging the time to transplant. </w:t>
      </w:r>
      <w:r w:rsidR="003D1982" w:rsidRPr="00EC514F">
        <w:rPr>
          <w:rFonts w:ascii="Book Antiqua" w:hAnsi="Book Antiqua" w:cs="Arial"/>
        </w:rPr>
        <w:t xml:space="preserve">In </w:t>
      </w:r>
      <w:r w:rsidR="003D1982" w:rsidRPr="00EC514F">
        <w:rPr>
          <w:rFonts w:ascii="Book Antiqua" w:hAnsi="Book Antiqua"/>
        </w:rPr>
        <w:t>this revie</w:t>
      </w:r>
      <w:r w:rsidR="00402D2B" w:rsidRPr="00EC514F">
        <w:rPr>
          <w:rFonts w:ascii="Book Antiqua" w:hAnsi="Book Antiqua" w:cs="Arial"/>
        </w:rPr>
        <w:t xml:space="preserve">w </w:t>
      </w:r>
      <w:r w:rsidR="003D1982" w:rsidRPr="00EC514F">
        <w:rPr>
          <w:rFonts w:ascii="Book Antiqua" w:hAnsi="Book Antiqua" w:cs="Arial"/>
        </w:rPr>
        <w:t>we aim</w:t>
      </w:r>
      <w:r w:rsidR="003D1982" w:rsidRPr="00EC514F">
        <w:rPr>
          <w:rFonts w:ascii="Book Antiqua" w:hAnsi="Book Antiqua"/>
        </w:rPr>
        <w:t xml:space="preserve"> to </w:t>
      </w:r>
      <w:r w:rsidR="003D1982" w:rsidRPr="00EC514F">
        <w:rPr>
          <w:rFonts w:ascii="Book Antiqua" w:hAnsi="Book Antiqua" w:cs="Arial"/>
        </w:rPr>
        <w:t xml:space="preserve">summarize current literature addressing </w:t>
      </w:r>
      <w:r w:rsidR="00E31B1B" w:rsidRPr="00EC514F">
        <w:rPr>
          <w:rFonts w:ascii="Book Antiqua" w:hAnsi="Book Antiqua" w:cs="Arial"/>
        </w:rPr>
        <w:t xml:space="preserve">the </w:t>
      </w:r>
      <w:r w:rsidR="003D1982" w:rsidRPr="00EC514F">
        <w:rPr>
          <w:rFonts w:ascii="Book Antiqua" w:hAnsi="Book Antiqua" w:cs="Arial"/>
        </w:rPr>
        <w:t>management of</w:t>
      </w:r>
      <w:r w:rsidR="003D1982" w:rsidRPr="00EC514F">
        <w:rPr>
          <w:rFonts w:ascii="Book Antiqua" w:hAnsi="Book Antiqua"/>
        </w:rPr>
        <w:t xml:space="preserve"> GI bleeding </w:t>
      </w:r>
      <w:r w:rsidR="003D1982" w:rsidRPr="00EC514F">
        <w:rPr>
          <w:rFonts w:ascii="Book Antiqua" w:hAnsi="Book Antiqua" w:cs="Arial"/>
        </w:rPr>
        <w:t xml:space="preserve">in patients with </w:t>
      </w:r>
      <w:r w:rsidR="003D1982" w:rsidRPr="00EC514F">
        <w:rPr>
          <w:rFonts w:ascii="Book Antiqua" w:hAnsi="Book Antiqua"/>
        </w:rPr>
        <w:t>LVAD</w:t>
      </w:r>
      <w:r w:rsidR="00E31B1B" w:rsidRPr="00EC514F">
        <w:rPr>
          <w:rFonts w:ascii="Book Antiqua" w:hAnsi="Book Antiqua"/>
        </w:rPr>
        <w:t>s</w:t>
      </w:r>
      <w:r w:rsidR="003D1982" w:rsidRPr="00EC514F">
        <w:rPr>
          <w:rFonts w:ascii="Book Antiqua" w:hAnsi="Book Antiqua" w:cs="Arial"/>
        </w:rPr>
        <w:t xml:space="preserve">. </w:t>
      </w:r>
    </w:p>
    <w:p w14:paraId="422D291F" w14:textId="77777777" w:rsidR="00256EAC" w:rsidRPr="00EC514F" w:rsidRDefault="00256EAC" w:rsidP="0015139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98F65F9" w14:textId="77777777" w:rsidR="003D1982" w:rsidRPr="00FE493C" w:rsidRDefault="003D1982" w:rsidP="00151396">
      <w:pPr>
        <w:snapToGrid w:val="0"/>
        <w:spacing w:line="360" w:lineRule="auto"/>
        <w:jc w:val="both"/>
        <w:rPr>
          <w:rFonts w:ascii="Book Antiqua" w:hAnsi="Book Antiqua" w:cs="Arial"/>
          <w:b/>
          <w:caps/>
          <w:u w:val="single"/>
        </w:rPr>
      </w:pPr>
      <w:r w:rsidRPr="00FE493C">
        <w:rPr>
          <w:rFonts w:ascii="Book Antiqua" w:hAnsi="Book Antiqua" w:cs="Arial"/>
          <w:b/>
          <w:caps/>
          <w:u w:val="single"/>
        </w:rPr>
        <w:t xml:space="preserve">Etiology and </w:t>
      </w:r>
      <w:r w:rsidR="003038CD" w:rsidRPr="00FE493C">
        <w:rPr>
          <w:rFonts w:ascii="Book Antiqua" w:hAnsi="Book Antiqua" w:cs="Arial"/>
          <w:b/>
          <w:caps/>
          <w:u w:val="single"/>
        </w:rPr>
        <w:t>P</w:t>
      </w:r>
      <w:r w:rsidRPr="00FE493C">
        <w:rPr>
          <w:rFonts w:ascii="Book Antiqua" w:hAnsi="Book Antiqua" w:cs="Arial"/>
          <w:b/>
          <w:caps/>
          <w:u w:val="single"/>
        </w:rPr>
        <w:t>athophysiology</w:t>
      </w:r>
    </w:p>
    <w:p w14:paraId="7A97AE8D" w14:textId="075AF3C3" w:rsidR="0049341C" w:rsidRPr="00EC514F" w:rsidRDefault="00AE4FCD" w:rsidP="00151396">
      <w:pPr>
        <w:snapToGrid w:val="0"/>
        <w:spacing w:line="360" w:lineRule="auto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>Among all GI bleeding in patien</w:t>
      </w:r>
      <w:r w:rsidR="005F0DEB" w:rsidRPr="00EC514F">
        <w:rPr>
          <w:rFonts w:ascii="Book Antiqua" w:hAnsi="Book Antiqua"/>
        </w:rPr>
        <w:t>t</w:t>
      </w:r>
      <w:r w:rsidRPr="00EC514F">
        <w:rPr>
          <w:rFonts w:ascii="Book Antiqua" w:hAnsi="Book Antiqua"/>
        </w:rPr>
        <w:t xml:space="preserve">s with LVADs, </w:t>
      </w:r>
      <w:r w:rsidR="003D1982" w:rsidRPr="00EC514F">
        <w:rPr>
          <w:rFonts w:ascii="Book Antiqua" w:hAnsi="Book Antiqua"/>
        </w:rPr>
        <w:t xml:space="preserve">47% </w:t>
      </w:r>
      <w:r w:rsidR="003D1982" w:rsidRPr="00EC514F">
        <w:rPr>
          <w:rFonts w:ascii="Book Antiqua" w:hAnsi="Book Antiqua" w:cs="Arial"/>
        </w:rPr>
        <w:t xml:space="preserve">of the </w:t>
      </w:r>
      <w:r w:rsidR="00666673" w:rsidRPr="00EC514F">
        <w:rPr>
          <w:rFonts w:ascii="Book Antiqua" w:hAnsi="Book Antiqua" w:cs="Arial"/>
        </w:rPr>
        <w:t xml:space="preserve">episodes </w:t>
      </w:r>
      <w:r w:rsidR="001E1BC0" w:rsidRPr="00EC514F">
        <w:rPr>
          <w:rFonts w:ascii="Book Antiqua" w:hAnsi="Book Antiqua" w:cs="Arial"/>
        </w:rPr>
        <w:t>originated from</w:t>
      </w:r>
      <w:r w:rsidR="003D1982" w:rsidRPr="00EC514F">
        <w:rPr>
          <w:rFonts w:ascii="Book Antiqua" w:hAnsi="Book Antiqua" w:cs="Arial"/>
        </w:rPr>
        <w:t xml:space="preserve"> the </w:t>
      </w:r>
      <w:r w:rsidR="003D1982" w:rsidRPr="00EC514F">
        <w:rPr>
          <w:rFonts w:ascii="Book Antiqua" w:hAnsi="Book Antiqua"/>
        </w:rPr>
        <w:t xml:space="preserve">upper GI </w:t>
      </w:r>
      <w:r w:rsidR="003D1982" w:rsidRPr="00EC514F">
        <w:rPr>
          <w:rFonts w:ascii="Book Antiqua" w:hAnsi="Book Antiqua" w:cs="Arial"/>
        </w:rPr>
        <w:t>tract</w:t>
      </w:r>
      <w:r w:rsidR="003D1982" w:rsidRPr="00EC514F">
        <w:rPr>
          <w:rFonts w:ascii="Book Antiqua" w:hAnsi="Book Antiqua"/>
        </w:rPr>
        <w:t xml:space="preserve">, 22% </w:t>
      </w:r>
      <w:r w:rsidR="00666673" w:rsidRPr="00EC514F">
        <w:rPr>
          <w:rFonts w:ascii="Book Antiqua" w:hAnsi="Book Antiqua"/>
        </w:rPr>
        <w:t xml:space="preserve">are </w:t>
      </w:r>
      <w:r w:rsidR="003D1982" w:rsidRPr="00EC514F">
        <w:rPr>
          <w:rFonts w:ascii="Book Antiqua" w:hAnsi="Book Antiqua" w:cs="Arial"/>
        </w:rPr>
        <w:t xml:space="preserve">from the </w:t>
      </w:r>
      <w:r w:rsidR="003D1982" w:rsidRPr="00EC514F">
        <w:rPr>
          <w:rFonts w:ascii="Book Antiqua" w:hAnsi="Book Antiqua"/>
        </w:rPr>
        <w:t xml:space="preserve">lower GI </w:t>
      </w:r>
      <w:r w:rsidR="003D1982" w:rsidRPr="00EC514F">
        <w:rPr>
          <w:rFonts w:ascii="Book Antiqua" w:hAnsi="Book Antiqua" w:cs="Arial"/>
        </w:rPr>
        <w:t>tract</w:t>
      </w:r>
      <w:r w:rsidR="003D1982" w:rsidRPr="00EC514F">
        <w:rPr>
          <w:rFonts w:ascii="Book Antiqua" w:hAnsi="Book Antiqua"/>
        </w:rPr>
        <w:t xml:space="preserve">, 15% </w:t>
      </w:r>
      <w:r w:rsidR="00666673" w:rsidRPr="00EC514F">
        <w:rPr>
          <w:rFonts w:ascii="Book Antiqua" w:hAnsi="Book Antiqua"/>
        </w:rPr>
        <w:t xml:space="preserve">are </w:t>
      </w:r>
      <w:r w:rsidR="003D1982" w:rsidRPr="00EC514F">
        <w:rPr>
          <w:rFonts w:ascii="Book Antiqua" w:hAnsi="Book Antiqua" w:cs="Arial"/>
        </w:rPr>
        <w:t xml:space="preserve">from the </w:t>
      </w:r>
      <w:r w:rsidR="000D2F69" w:rsidRPr="00EC514F">
        <w:rPr>
          <w:rFonts w:ascii="Book Antiqua" w:hAnsi="Book Antiqua"/>
        </w:rPr>
        <w:t xml:space="preserve">midgut </w:t>
      </w:r>
      <w:r w:rsidR="000D2F69" w:rsidRPr="00EC514F">
        <w:rPr>
          <w:rFonts w:ascii="Book Antiqua" w:hAnsi="Book Antiqua"/>
          <w:color w:val="1A1718"/>
        </w:rPr>
        <w:t>(ligament of Treitz to the ileocecal valve)</w:t>
      </w:r>
      <w:r w:rsidR="003D1982" w:rsidRPr="00EC514F">
        <w:rPr>
          <w:rFonts w:ascii="Book Antiqua" w:hAnsi="Book Antiqua" w:cs="Arial"/>
        </w:rPr>
        <w:t>,</w:t>
      </w:r>
      <w:r w:rsidR="003D1982" w:rsidRPr="00EC514F">
        <w:rPr>
          <w:rFonts w:ascii="Book Antiqua" w:hAnsi="Book Antiqua"/>
        </w:rPr>
        <w:t xml:space="preserve"> and </w:t>
      </w:r>
      <w:r w:rsidR="003D1982" w:rsidRPr="00EC514F">
        <w:rPr>
          <w:rFonts w:ascii="Book Antiqua" w:hAnsi="Book Antiqua" w:cs="Arial"/>
        </w:rPr>
        <w:t xml:space="preserve">nearly </w:t>
      </w:r>
      <w:r w:rsidR="003D1982" w:rsidRPr="00EC514F">
        <w:rPr>
          <w:rFonts w:ascii="Book Antiqua" w:hAnsi="Book Antiqua"/>
        </w:rPr>
        <w:t xml:space="preserve">19% </w:t>
      </w:r>
      <w:r w:rsidR="003D1982" w:rsidRPr="00EC514F">
        <w:rPr>
          <w:rFonts w:ascii="Book Antiqua" w:hAnsi="Book Antiqua" w:cs="Arial"/>
        </w:rPr>
        <w:t xml:space="preserve">remain </w:t>
      </w:r>
      <w:proofErr w:type="gramStart"/>
      <w:r w:rsidR="003D1982" w:rsidRPr="00EC514F">
        <w:rPr>
          <w:rFonts w:ascii="Book Antiqua" w:hAnsi="Book Antiqua"/>
        </w:rPr>
        <w:t>unknown</w:t>
      </w:r>
      <w:r w:rsidR="001B4CE0" w:rsidRPr="00EC514F">
        <w:rPr>
          <w:rFonts w:ascii="Book Antiqua" w:hAnsi="Book Antiqua"/>
          <w:vertAlign w:val="superscript"/>
        </w:rPr>
        <w:t>[</w:t>
      </w:r>
      <w:proofErr w:type="gramEnd"/>
      <w:r w:rsidR="001B4CE0" w:rsidRPr="00EC514F">
        <w:rPr>
          <w:rFonts w:ascii="Book Antiqua" w:hAnsi="Book Antiqua"/>
          <w:vertAlign w:val="superscript"/>
        </w:rPr>
        <w:t>5]</w:t>
      </w:r>
      <w:r w:rsidR="001C7F87" w:rsidRPr="00EC514F">
        <w:rPr>
          <w:rFonts w:ascii="Book Antiqua" w:hAnsi="Book Antiqua"/>
        </w:rPr>
        <w:t xml:space="preserve">. </w:t>
      </w:r>
      <w:r w:rsidR="003F42CC" w:rsidRPr="00EC514F">
        <w:rPr>
          <w:rFonts w:ascii="Book Antiqua" w:hAnsi="Book Antiqua" w:cs="Arial"/>
        </w:rPr>
        <w:t>Arteriovenous</w:t>
      </w:r>
      <w:r w:rsidR="00BE3BB6" w:rsidRPr="00EC514F">
        <w:rPr>
          <w:rFonts w:ascii="Book Antiqua" w:hAnsi="Book Antiqua" w:cs="Arial"/>
        </w:rPr>
        <w:t xml:space="preserve"> malformations</w:t>
      </w:r>
      <w:r w:rsidR="003F42CC" w:rsidRPr="00EC514F">
        <w:rPr>
          <w:rFonts w:ascii="Book Antiqua" w:hAnsi="Book Antiqua" w:cs="Arial"/>
        </w:rPr>
        <w:t xml:space="preserve"> (AVM) </w:t>
      </w:r>
      <w:r w:rsidR="00666673" w:rsidRPr="00EC514F">
        <w:rPr>
          <w:rFonts w:ascii="Book Antiqua" w:hAnsi="Book Antiqua" w:cs="Arial"/>
        </w:rPr>
        <w:t>account for</w:t>
      </w:r>
      <w:r w:rsidR="00666673" w:rsidRPr="00EC514F">
        <w:rPr>
          <w:rFonts w:ascii="Book Antiqua" w:hAnsi="Book Antiqua"/>
        </w:rPr>
        <w:t xml:space="preserve"> </w:t>
      </w:r>
      <w:r w:rsidR="007013FF" w:rsidRPr="00EC514F">
        <w:rPr>
          <w:rFonts w:ascii="Book Antiqua" w:hAnsi="Book Antiqua"/>
        </w:rPr>
        <w:t>29</w:t>
      </w:r>
      <w:r w:rsidR="00453B4C" w:rsidRPr="00EC514F">
        <w:rPr>
          <w:rFonts w:ascii="Book Antiqua" w:hAnsi="Book Antiqua"/>
        </w:rPr>
        <w:t>%</w:t>
      </w:r>
      <w:r w:rsidR="0038753E" w:rsidRPr="00EC514F">
        <w:rPr>
          <w:rFonts w:ascii="Book Antiqua" w:hAnsi="Book Antiqua"/>
        </w:rPr>
        <w:t>-44</w:t>
      </w:r>
      <w:r w:rsidR="007013FF" w:rsidRPr="00EC514F">
        <w:rPr>
          <w:rFonts w:ascii="Book Antiqua" w:hAnsi="Book Antiqua"/>
        </w:rPr>
        <w:t xml:space="preserve">% </w:t>
      </w:r>
      <w:r w:rsidR="003D1982" w:rsidRPr="00EC514F">
        <w:rPr>
          <w:rFonts w:ascii="Book Antiqua" w:hAnsi="Book Antiqua" w:cs="Arial"/>
        </w:rPr>
        <w:t>of GI bleeding in this population</w:t>
      </w:r>
      <w:r w:rsidR="00A142FB" w:rsidRPr="00EC514F">
        <w:rPr>
          <w:rFonts w:ascii="Book Antiqua" w:hAnsi="Book Antiqua"/>
        </w:rPr>
        <w:t>,</w:t>
      </w:r>
      <w:r w:rsidR="003038CD" w:rsidRPr="00EC514F">
        <w:rPr>
          <w:rFonts w:ascii="Book Antiqua" w:hAnsi="Book Antiqua"/>
        </w:rPr>
        <w:t xml:space="preserve"> </w:t>
      </w:r>
      <w:r w:rsidR="00666673" w:rsidRPr="00EC514F">
        <w:rPr>
          <w:rFonts w:ascii="Book Antiqua" w:hAnsi="Book Antiqua"/>
        </w:rPr>
        <w:t>and many are</w:t>
      </w:r>
      <w:r w:rsidR="007013FF" w:rsidRPr="00EC514F">
        <w:rPr>
          <w:rFonts w:ascii="Book Antiqua" w:hAnsi="Book Antiqua"/>
        </w:rPr>
        <w:t xml:space="preserve"> found in the </w:t>
      </w:r>
      <w:proofErr w:type="gramStart"/>
      <w:r w:rsidR="00A7325A" w:rsidRPr="00EC514F">
        <w:rPr>
          <w:rFonts w:ascii="Book Antiqua" w:hAnsi="Book Antiqua"/>
        </w:rPr>
        <w:t>midgut</w:t>
      </w:r>
      <w:r w:rsidR="001B4CE0" w:rsidRPr="00EC514F">
        <w:rPr>
          <w:rFonts w:ascii="Book Antiqua" w:hAnsi="Book Antiqua" w:cs="Arial"/>
          <w:vertAlign w:val="superscript"/>
        </w:rPr>
        <w:t>[</w:t>
      </w:r>
      <w:proofErr w:type="gramEnd"/>
      <w:r w:rsidR="001B4CE0" w:rsidRPr="00EC514F">
        <w:rPr>
          <w:rFonts w:ascii="Book Antiqua" w:hAnsi="Book Antiqua" w:cs="Arial"/>
          <w:vertAlign w:val="superscript"/>
        </w:rPr>
        <w:t>5,9]</w:t>
      </w:r>
      <w:r w:rsidR="00666673" w:rsidRPr="00EC514F">
        <w:rPr>
          <w:rFonts w:ascii="Book Antiqua" w:hAnsi="Book Antiqua" w:cs="Arial"/>
        </w:rPr>
        <w:t xml:space="preserve">. These lesions </w:t>
      </w:r>
      <w:r w:rsidR="007013FF" w:rsidRPr="00EC514F">
        <w:rPr>
          <w:rFonts w:ascii="Book Antiqua" w:hAnsi="Book Antiqua"/>
        </w:rPr>
        <w:t xml:space="preserve">can be notoriously hard to </w:t>
      </w:r>
      <w:r w:rsidR="0038753E" w:rsidRPr="00EC514F">
        <w:rPr>
          <w:rFonts w:ascii="Book Antiqua" w:hAnsi="Book Antiqua"/>
        </w:rPr>
        <w:t>treat</w:t>
      </w:r>
      <w:r w:rsidR="00666673" w:rsidRPr="00EC514F">
        <w:rPr>
          <w:rFonts w:ascii="Book Antiqua" w:hAnsi="Book Antiqua" w:cs="Arial"/>
        </w:rPr>
        <w:t>, as</w:t>
      </w:r>
      <w:r w:rsidR="003D1982" w:rsidRPr="00EC514F">
        <w:rPr>
          <w:rFonts w:ascii="Book Antiqua" w:hAnsi="Book Antiqua" w:cs="Arial"/>
        </w:rPr>
        <w:t xml:space="preserve"> </w:t>
      </w:r>
      <w:r w:rsidR="00666673" w:rsidRPr="00EC514F">
        <w:rPr>
          <w:rFonts w:ascii="Book Antiqua" w:hAnsi="Book Antiqua" w:cs="Arial"/>
        </w:rPr>
        <w:t>they</w:t>
      </w:r>
      <w:r w:rsidR="00A142FB" w:rsidRPr="00EC514F">
        <w:rPr>
          <w:rFonts w:ascii="Book Antiqua" w:hAnsi="Book Antiqua" w:cs="Arial"/>
        </w:rPr>
        <w:t xml:space="preserve"> are</w:t>
      </w:r>
      <w:r w:rsidR="003D1982" w:rsidRPr="00EC514F">
        <w:rPr>
          <w:rFonts w:ascii="Book Antiqua" w:hAnsi="Book Antiqua" w:cs="Arial"/>
        </w:rPr>
        <w:t xml:space="preserve"> frequently multiple</w:t>
      </w:r>
      <w:r w:rsidR="00666673" w:rsidRPr="00EC514F">
        <w:rPr>
          <w:rFonts w:ascii="Book Antiqua" w:hAnsi="Book Antiqua" w:cs="Arial"/>
        </w:rPr>
        <w:t xml:space="preserve"> lesions throughout the GI tract</w:t>
      </w:r>
      <w:r w:rsidR="003D1982" w:rsidRPr="00EC514F">
        <w:rPr>
          <w:rFonts w:ascii="Book Antiqua" w:hAnsi="Book Antiqua" w:cs="Arial"/>
        </w:rPr>
        <w:t xml:space="preserve"> and bleed intermittently</w:t>
      </w:r>
      <w:r w:rsidR="007C1291" w:rsidRPr="00EC514F">
        <w:rPr>
          <w:rFonts w:ascii="Book Antiqua" w:hAnsi="Book Antiqua" w:cs="Arial"/>
        </w:rPr>
        <w:t xml:space="preserve"> leading to unremarkable endoscopic </w:t>
      </w:r>
      <w:proofErr w:type="gramStart"/>
      <w:r w:rsidR="007C1291" w:rsidRPr="00EC514F">
        <w:rPr>
          <w:rFonts w:ascii="Book Antiqua" w:hAnsi="Book Antiqua" w:cs="Arial"/>
        </w:rPr>
        <w:t>evaluations</w:t>
      </w:r>
      <w:r w:rsidR="00803E11" w:rsidRPr="00EC514F">
        <w:rPr>
          <w:rFonts w:ascii="Book Antiqua" w:hAnsi="Book Antiqua" w:cs="Arial"/>
          <w:vertAlign w:val="superscript"/>
        </w:rPr>
        <w:t>[</w:t>
      </w:r>
      <w:proofErr w:type="gramEnd"/>
      <w:r w:rsidR="00803E11" w:rsidRPr="00EC514F">
        <w:rPr>
          <w:rFonts w:ascii="Book Antiqua" w:hAnsi="Book Antiqua" w:cs="Arial"/>
          <w:vertAlign w:val="superscript"/>
        </w:rPr>
        <w:t>5]</w:t>
      </w:r>
      <w:r w:rsidR="003D1982" w:rsidRPr="00EC514F">
        <w:rPr>
          <w:rFonts w:ascii="Book Antiqua" w:hAnsi="Book Antiqua" w:cs="Arial"/>
        </w:rPr>
        <w:t>.</w:t>
      </w:r>
      <w:r w:rsidR="0038753E" w:rsidRPr="00EC514F">
        <w:rPr>
          <w:rFonts w:ascii="Book Antiqua" w:hAnsi="Book Antiqua"/>
        </w:rPr>
        <w:t xml:space="preserve"> </w:t>
      </w:r>
      <w:r w:rsidR="003F42CC" w:rsidRPr="00EC514F">
        <w:rPr>
          <w:rFonts w:ascii="Book Antiqua" w:hAnsi="Book Antiqua"/>
        </w:rPr>
        <w:t>Other common le</w:t>
      </w:r>
      <w:r w:rsidR="00D916C0" w:rsidRPr="00EC514F">
        <w:rPr>
          <w:rFonts w:ascii="Book Antiqua" w:hAnsi="Book Antiqua"/>
        </w:rPr>
        <w:t xml:space="preserve">sions include </w:t>
      </w:r>
      <w:r w:rsidR="009F2D78" w:rsidRPr="00EC514F">
        <w:rPr>
          <w:rFonts w:ascii="Book Antiqua" w:hAnsi="Book Antiqua"/>
        </w:rPr>
        <w:t xml:space="preserve">gastritis (22%), peptic </w:t>
      </w:r>
      <w:r w:rsidR="009F2D78" w:rsidRPr="00EC514F">
        <w:rPr>
          <w:rFonts w:ascii="Book Antiqua" w:hAnsi="Book Antiqua"/>
        </w:rPr>
        <w:lastRenderedPageBreak/>
        <w:t xml:space="preserve">ulcer disease (13%), diverticular hemorrhage (6%), colonic polyps (5%), </w:t>
      </w:r>
      <w:r w:rsidR="00A7325A" w:rsidRPr="00EC514F">
        <w:rPr>
          <w:rFonts w:ascii="Book Antiqua" w:hAnsi="Book Antiqua"/>
        </w:rPr>
        <w:t xml:space="preserve">and </w:t>
      </w:r>
      <w:r w:rsidR="009F2D78" w:rsidRPr="00EC514F">
        <w:rPr>
          <w:rFonts w:ascii="Book Antiqua" w:hAnsi="Book Antiqua"/>
        </w:rPr>
        <w:t>colitis (4%)</w:t>
      </w:r>
      <w:r w:rsidR="00A7325A" w:rsidRPr="00EC514F">
        <w:rPr>
          <w:rFonts w:ascii="Book Antiqua" w:hAnsi="Book Antiqua"/>
        </w:rPr>
        <w:t>,</w:t>
      </w:r>
      <w:r w:rsidR="009F2D78" w:rsidRPr="00EC514F">
        <w:rPr>
          <w:rFonts w:ascii="Book Antiqua" w:hAnsi="Book Antiqua"/>
        </w:rPr>
        <w:t xml:space="preserve"> with the </w:t>
      </w:r>
      <w:r w:rsidR="001E1BC0" w:rsidRPr="00EC514F">
        <w:rPr>
          <w:rFonts w:ascii="Book Antiqua" w:hAnsi="Book Antiqua"/>
        </w:rPr>
        <w:t>remaining</w:t>
      </w:r>
      <w:r w:rsidR="009F2D78" w:rsidRPr="00EC514F">
        <w:rPr>
          <w:rFonts w:ascii="Book Antiqua" w:hAnsi="Book Antiqua"/>
        </w:rPr>
        <w:t xml:space="preserve"> causes unknown</w:t>
      </w:r>
      <w:r w:rsidR="001B4CE0" w:rsidRPr="00EC514F">
        <w:rPr>
          <w:rFonts w:ascii="Book Antiqua" w:hAnsi="Book Antiqua"/>
          <w:vertAlign w:val="superscript"/>
        </w:rPr>
        <w:t>[10]</w:t>
      </w:r>
      <w:r w:rsidR="003F42CC" w:rsidRPr="00EC514F">
        <w:rPr>
          <w:rFonts w:ascii="Book Antiqua" w:hAnsi="Book Antiqua"/>
        </w:rPr>
        <w:t>.</w:t>
      </w:r>
    </w:p>
    <w:p w14:paraId="15A645F8" w14:textId="6E94C31E" w:rsidR="00A94EA9" w:rsidRPr="00EC514F" w:rsidRDefault="003D1982" w:rsidP="001B4CE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514F">
        <w:rPr>
          <w:rFonts w:ascii="Book Antiqua" w:hAnsi="Book Antiqua" w:cs="Arial"/>
        </w:rPr>
        <w:t>Both</w:t>
      </w:r>
      <w:r w:rsidR="00AD4343" w:rsidRPr="001B4CE0">
        <w:rPr>
          <w:rFonts w:ascii="Book Antiqua" w:hAnsi="Book Antiqua"/>
          <w:i/>
        </w:rPr>
        <w:t xml:space="preserve"> </w:t>
      </w:r>
      <w:r w:rsidR="0038753E" w:rsidRPr="001B4CE0">
        <w:rPr>
          <w:rFonts w:ascii="Book Antiqua" w:hAnsi="Book Antiqua"/>
          <w:i/>
        </w:rPr>
        <w:t xml:space="preserve">in vitro </w:t>
      </w:r>
      <w:r w:rsidR="0038753E" w:rsidRPr="00EC514F">
        <w:rPr>
          <w:rFonts w:ascii="Book Antiqua" w:hAnsi="Book Antiqua"/>
        </w:rPr>
        <w:t>and</w:t>
      </w:r>
      <w:r w:rsidR="0038753E" w:rsidRPr="001B4CE0">
        <w:rPr>
          <w:rFonts w:ascii="Book Antiqua" w:hAnsi="Book Antiqua"/>
          <w:i/>
        </w:rPr>
        <w:t xml:space="preserve"> </w:t>
      </w:r>
      <w:r w:rsidR="00372EB8" w:rsidRPr="001B4CE0">
        <w:rPr>
          <w:rFonts w:ascii="Book Antiqua" w:hAnsi="Book Antiqua"/>
          <w:i/>
        </w:rPr>
        <w:t>in</w:t>
      </w:r>
      <w:r w:rsidR="0038753E" w:rsidRPr="001B4CE0">
        <w:rPr>
          <w:rFonts w:ascii="Book Antiqua" w:hAnsi="Book Antiqua"/>
          <w:i/>
        </w:rPr>
        <w:t xml:space="preserve"> vivo</w:t>
      </w:r>
      <w:r w:rsidRPr="00EC514F">
        <w:rPr>
          <w:rFonts w:ascii="Book Antiqua" w:hAnsi="Book Antiqua" w:cs="Arial"/>
        </w:rPr>
        <w:t xml:space="preserve"> studies</w:t>
      </w:r>
      <w:r w:rsidR="0038753E" w:rsidRPr="00EC514F">
        <w:rPr>
          <w:rFonts w:ascii="Book Antiqua" w:hAnsi="Book Antiqua"/>
        </w:rPr>
        <w:t xml:space="preserve"> have </w:t>
      </w:r>
      <w:r w:rsidR="00F616B0" w:rsidRPr="00EC514F">
        <w:rPr>
          <w:rFonts w:ascii="Book Antiqua" w:hAnsi="Book Antiqua"/>
        </w:rPr>
        <w:t>investigated</w:t>
      </w:r>
      <w:r w:rsidR="0038753E" w:rsidRPr="00EC514F">
        <w:rPr>
          <w:rFonts w:ascii="Book Antiqua" w:hAnsi="Book Antiqua"/>
        </w:rPr>
        <w:t xml:space="preserve"> </w:t>
      </w:r>
      <w:r w:rsidR="00AD4343" w:rsidRPr="00EC514F">
        <w:rPr>
          <w:rFonts w:ascii="Book Antiqua" w:hAnsi="Book Antiqua"/>
        </w:rPr>
        <w:t>the etiology of</w:t>
      </w:r>
      <w:r w:rsidR="0038753E" w:rsidRPr="00EC514F">
        <w:rPr>
          <w:rFonts w:ascii="Book Antiqua" w:hAnsi="Book Antiqua"/>
        </w:rPr>
        <w:t xml:space="preserve"> </w:t>
      </w:r>
      <w:r w:rsidR="00476F6B" w:rsidRPr="00EC514F">
        <w:rPr>
          <w:rFonts w:ascii="Book Antiqua" w:hAnsi="Book Antiqua"/>
        </w:rPr>
        <w:t xml:space="preserve">increased </w:t>
      </w:r>
      <w:r w:rsidR="003F42CC" w:rsidRPr="00EC514F">
        <w:rPr>
          <w:rFonts w:ascii="Book Antiqua" w:hAnsi="Book Antiqua"/>
        </w:rPr>
        <w:t xml:space="preserve">AVMs </w:t>
      </w:r>
      <w:r w:rsidR="00AD4343" w:rsidRPr="00EC514F">
        <w:rPr>
          <w:rFonts w:ascii="Book Antiqua" w:hAnsi="Book Antiqua"/>
        </w:rPr>
        <w:t>in LVAD patients</w:t>
      </w:r>
      <w:r w:rsidR="0038753E" w:rsidRPr="00EC514F">
        <w:rPr>
          <w:rFonts w:ascii="Book Antiqua" w:hAnsi="Book Antiqua"/>
        </w:rPr>
        <w:t xml:space="preserve">, which </w:t>
      </w:r>
      <w:r w:rsidR="00BF427C" w:rsidRPr="00EC514F">
        <w:rPr>
          <w:rFonts w:ascii="Book Antiqua" w:hAnsi="Book Antiqua"/>
        </w:rPr>
        <w:t>h</w:t>
      </w:r>
      <w:r w:rsidR="0038753E" w:rsidRPr="00EC514F">
        <w:rPr>
          <w:rFonts w:ascii="Book Antiqua" w:hAnsi="Book Antiqua"/>
        </w:rPr>
        <w:t xml:space="preserve">as </w:t>
      </w:r>
      <w:proofErr w:type="spellStart"/>
      <w:proofErr w:type="gramStart"/>
      <w:r w:rsidR="0038753E" w:rsidRPr="00EC514F">
        <w:rPr>
          <w:rFonts w:ascii="Book Antiqua" w:hAnsi="Book Antiqua"/>
        </w:rPr>
        <w:t>lead</w:t>
      </w:r>
      <w:proofErr w:type="spellEnd"/>
      <w:proofErr w:type="gramEnd"/>
      <w:r w:rsidR="00BF427C" w:rsidRPr="00EC514F">
        <w:rPr>
          <w:rFonts w:ascii="Book Antiqua" w:hAnsi="Book Antiqua"/>
        </w:rPr>
        <w:t xml:space="preserve"> to</w:t>
      </w:r>
      <w:r w:rsidR="0038753E" w:rsidRPr="00EC514F">
        <w:rPr>
          <w:rFonts w:ascii="Book Antiqua" w:hAnsi="Book Antiqua"/>
        </w:rPr>
        <w:t xml:space="preserve"> the development </w:t>
      </w:r>
      <w:r w:rsidR="00402D2B" w:rsidRPr="00EC514F">
        <w:rPr>
          <w:rFonts w:ascii="Book Antiqua" w:hAnsi="Book Antiqua"/>
        </w:rPr>
        <w:t xml:space="preserve">of </w:t>
      </w:r>
      <w:r w:rsidR="00AD4343" w:rsidRPr="00EC514F">
        <w:rPr>
          <w:rFonts w:ascii="Book Antiqua" w:hAnsi="Book Antiqua"/>
        </w:rPr>
        <w:t>current</w:t>
      </w:r>
      <w:r w:rsidR="0038753E" w:rsidRPr="00EC514F">
        <w:rPr>
          <w:rFonts w:ascii="Book Antiqua" w:hAnsi="Book Antiqua"/>
        </w:rPr>
        <w:t xml:space="preserve"> therapeutics. </w:t>
      </w:r>
      <w:r w:rsidR="006A5CF8" w:rsidRPr="00EC514F">
        <w:rPr>
          <w:rFonts w:ascii="Book Antiqua" w:hAnsi="Book Antiqua"/>
        </w:rPr>
        <w:t>Bio</w:t>
      </w:r>
      <w:r w:rsidR="000A52A9" w:rsidRPr="00EC514F">
        <w:rPr>
          <w:rFonts w:ascii="Book Antiqua" w:hAnsi="Book Antiqua"/>
        </w:rPr>
        <w:t>m</w:t>
      </w:r>
      <w:r w:rsidR="00A94EA9" w:rsidRPr="00EC514F">
        <w:rPr>
          <w:rFonts w:ascii="Book Antiqua" w:hAnsi="Book Antiqua"/>
        </w:rPr>
        <w:t>arkers studied include von Willebrand factor</w:t>
      </w:r>
      <w:r w:rsidR="00E50883" w:rsidRPr="00EC514F">
        <w:rPr>
          <w:rFonts w:ascii="Book Antiqua" w:hAnsi="Book Antiqua"/>
        </w:rPr>
        <w:t xml:space="preserve"> (</w:t>
      </w:r>
      <w:proofErr w:type="spellStart"/>
      <w:r w:rsidR="00E50883" w:rsidRPr="00EC514F">
        <w:rPr>
          <w:rFonts w:ascii="Book Antiqua" w:hAnsi="Book Antiqua"/>
        </w:rPr>
        <w:t>vWF</w:t>
      </w:r>
      <w:proofErr w:type="spellEnd"/>
      <w:r w:rsidR="00E50883" w:rsidRPr="00EC514F">
        <w:rPr>
          <w:rFonts w:ascii="Book Antiqua" w:hAnsi="Book Antiqua"/>
        </w:rPr>
        <w:t>)</w:t>
      </w:r>
      <w:r w:rsidR="00A94EA9" w:rsidRPr="00EC514F">
        <w:rPr>
          <w:rFonts w:ascii="Book Antiqua" w:hAnsi="Book Antiqua"/>
        </w:rPr>
        <w:t>, tumor growth factor-</w:t>
      </w:r>
      <w:r w:rsidR="00844D7B" w:rsidRPr="00EC514F">
        <w:rPr>
          <w:rFonts w:ascii="Book Antiqua" w:hAnsi="Book Antiqua" w:cs="Times New Roman"/>
        </w:rPr>
        <w:t>β</w:t>
      </w:r>
      <w:r w:rsidR="00844D7B" w:rsidRPr="00EC514F">
        <w:rPr>
          <w:rFonts w:ascii="Book Antiqua" w:hAnsi="Book Antiqua" w:cs="Arial"/>
        </w:rPr>
        <w:t xml:space="preserve"> </w:t>
      </w:r>
      <w:r w:rsidR="00A94EA9" w:rsidRPr="00EC514F">
        <w:rPr>
          <w:rFonts w:ascii="Book Antiqua" w:hAnsi="Book Antiqua"/>
        </w:rPr>
        <w:t>(</w:t>
      </w:r>
      <w:r w:rsidR="00844D7B" w:rsidRPr="00EC514F">
        <w:rPr>
          <w:rFonts w:ascii="Book Antiqua" w:hAnsi="Book Antiqua" w:cs="Arial"/>
        </w:rPr>
        <w:t>TGF-</w:t>
      </w:r>
      <w:r w:rsidR="001E1BC0" w:rsidRPr="00EC514F">
        <w:rPr>
          <w:rFonts w:ascii="Book Antiqua" w:hAnsi="Book Antiqua" w:cs="Times New Roman"/>
        </w:rPr>
        <w:t>β</w:t>
      </w:r>
      <w:r w:rsidR="001E1BC0" w:rsidRPr="00EC514F" w:rsidDel="00844D7B">
        <w:rPr>
          <w:rFonts w:ascii="Book Antiqua" w:hAnsi="Book Antiqua"/>
        </w:rPr>
        <w:t>)</w:t>
      </w:r>
      <w:r w:rsidR="00A94EA9" w:rsidRPr="00EC514F">
        <w:rPr>
          <w:rFonts w:ascii="Book Antiqua" w:hAnsi="Book Antiqua"/>
          <w:b/>
        </w:rPr>
        <w:t>,</w:t>
      </w:r>
      <w:r w:rsidR="00A94EA9" w:rsidRPr="00EC514F">
        <w:rPr>
          <w:rFonts w:ascii="Book Antiqua" w:hAnsi="Book Antiqua"/>
        </w:rPr>
        <w:t xml:space="preserve"> tissue factor (TF), vascular endothelial growth factor (VEGF),</w:t>
      </w:r>
      <w:r w:rsidR="004E3440" w:rsidRPr="00EC514F">
        <w:rPr>
          <w:rFonts w:ascii="Book Antiqua" w:hAnsi="Book Antiqua"/>
        </w:rPr>
        <w:t xml:space="preserve"> tumor necrosis factor-</w:t>
      </w:r>
      <w:r w:rsidR="00844D7B" w:rsidRPr="00EC514F">
        <w:rPr>
          <w:rFonts w:ascii="Book Antiqua" w:hAnsi="Book Antiqua" w:cs="Times New Roman"/>
        </w:rPr>
        <w:t>α</w:t>
      </w:r>
      <w:r w:rsidR="004E3440" w:rsidRPr="00EC514F">
        <w:rPr>
          <w:rFonts w:ascii="Book Antiqua" w:hAnsi="Book Antiqua"/>
        </w:rPr>
        <w:t xml:space="preserve"> (TNF-</w:t>
      </w:r>
      <w:r w:rsidR="00844D7B" w:rsidRPr="00EC514F">
        <w:rPr>
          <w:rFonts w:ascii="Book Antiqua" w:hAnsi="Book Antiqua" w:cs="Times New Roman"/>
        </w:rPr>
        <w:t>α</w:t>
      </w:r>
      <w:r w:rsidR="004E3440" w:rsidRPr="00EC514F">
        <w:rPr>
          <w:rFonts w:ascii="Book Antiqua" w:hAnsi="Book Antiqua"/>
        </w:rPr>
        <w:t>),</w:t>
      </w:r>
      <w:r w:rsidR="00A94EA9" w:rsidRPr="00EC514F">
        <w:rPr>
          <w:rFonts w:ascii="Book Antiqua" w:hAnsi="Book Antiqua"/>
        </w:rPr>
        <w:t xml:space="preserve"> and </w:t>
      </w:r>
      <w:r w:rsidR="00A94EA9" w:rsidRPr="00EC514F">
        <w:rPr>
          <w:rFonts w:ascii="Book Antiqua" w:hAnsi="Book Antiqua" w:cs="Arial"/>
        </w:rPr>
        <w:t>angiopo</w:t>
      </w:r>
      <w:r w:rsidR="002B442E" w:rsidRPr="00EC514F">
        <w:rPr>
          <w:rFonts w:ascii="Book Antiqua" w:hAnsi="Book Antiqua" w:cs="Arial"/>
        </w:rPr>
        <w:t>i</w:t>
      </w:r>
      <w:r w:rsidR="00A94EA9" w:rsidRPr="00EC514F">
        <w:rPr>
          <w:rFonts w:ascii="Book Antiqua" w:hAnsi="Book Antiqua" w:cs="Arial"/>
        </w:rPr>
        <w:t>etin</w:t>
      </w:r>
      <w:r w:rsidR="00A94EA9" w:rsidRPr="00EC514F">
        <w:rPr>
          <w:rFonts w:ascii="Book Antiqua" w:hAnsi="Book Antiqua"/>
        </w:rPr>
        <w:t xml:space="preserve"> 1 and 2. </w:t>
      </w:r>
      <w:r w:rsidR="00EF1C33" w:rsidRPr="00EC514F">
        <w:rPr>
          <w:rFonts w:ascii="Book Antiqua" w:hAnsi="Book Antiqua"/>
        </w:rPr>
        <w:t>Von Willebrand factor</w:t>
      </w:r>
      <w:r w:rsidRPr="00EC514F">
        <w:rPr>
          <w:rFonts w:ascii="Book Antiqua" w:hAnsi="Book Antiqua" w:cs="Arial"/>
        </w:rPr>
        <w:t xml:space="preserve"> </w:t>
      </w:r>
      <w:r w:rsidR="007C1291" w:rsidRPr="00EC514F">
        <w:rPr>
          <w:rFonts w:ascii="Book Antiqua" w:hAnsi="Book Antiqua" w:cs="Arial"/>
        </w:rPr>
        <w:t>(</w:t>
      </w:r>
      <w:proofErr w:type="spellStart"/>
      <w:r w:rsidRPr="00EC514F">
        <w:rPr>
          <w:rFonts w:ascii="Book Antiqua" w:hAnsi="Book Antiqua"/>
        </w:rPr>
        <w:t>vWF</w:t>
      </w:r>
      <w:proofErr w:type="spellEnd"/>
      <w:r w:rsidR="007C1291" w:rsidRPr="00EC514F">
        <w:rPr>
          <w:rFonts w:ascii="Book Antiqua" w:hAnsi="Book Antiqua"/>
        </w:rPr>
        <w:t>)</w:t>
      </w:r>
      <w:r w:rsidR="00EF1C33" w:rsidRPr="00EC514F">
        <w:rPr>
          <w:rFonts w:ascii="Book Antiqua" w:hAnsi="Book Antiqua"/>
        </w:rPr>
        <w:t xml:space="preserve"> is significantly broken down in LVAD patients.  According to </w:t>
      </w:r>
      <w:r w:rsidR="001C7F87" w:rsidRPr="00EC514F">
        <w:rPr>
          <w:rFonts w:ascii="Book Antiqua" w:hAnsi="Book Antiqua"/>
        </w:rPr>
        <w:t xml:space="preserve">Bartoli </w:t>
      </w:r>
      <w:r w:rsidR="00372EB8" w:rsidRPr="00EC514F">
        <w:rPr>
          <w:rFonts w:ascii="Book Antiqua" w:hAnsi="Book Antiqua"/>
        </w:rPr>
        <w:t>et</w:t>
      </w:r>
      <w:r w:rsidR="00EF1C33" w:rsidRPr="00EC514F">
        <w:rPr>
          <w:rFonts w:ascii="Book Antiqua" w:hAnsi="Book Antiqua"/>
        </w:rPr>
        <w:t xml:space="preserve"> al, ther</w:t>
      </w:r>
      <w:r w:rsidRPr="00EC514F">
        <w:rPr>
          <w:rFonts w:ascii="Book Antiqua" w:hAnsi="Book Antiqua"/>
        </w:rPr>
        <w:t>e is a “2-hit hypothesis</w:t>
      </w:r>
      <w:r w:rsidRPr="00EC514F">
        <w:rPr>
          <w:rFonts w:ascii="Book Antiqua" w:hAnsi="Book Antiqua" w:cs="Arial"/>
        </w:rPr>
        <w:t>”.</w:t>
      </w:r>
      <w:r w:rsidRPr="00EC514F">
        <w:rPr>
          <w:rFonts w:ascii="Book Antiqua" w:hAnsi="Book Antiqua"/>
        </w:rPr>
        <w:t xml:space="preserve"> </w:t>
      </w:r>
      <w:r w:rsidR="007C1291" w:rsidRPr="00EC514F">
        <w:rPr>
          <w:rFonts w:ascii="Book Antiqua" w:hAnsi="Book Antiqua"/>
        </w:rPr>
        <w:t>The first</w:t>
      </w:r>
      <w:r w:rsidR="00EF1C33" w:rsidRPr="00EC514F">
        <w:rPr>
          <w:rFonts w:ascii="Book Antiqua" w:hAnsi="Book Antiqua"/>
        </w:rPr>
        <w:t xml:space="preserve"> hit includes the degradation of </w:t>
      </w:r>
      <w:proofErr w:type="spellStart"/>
      <w:r w:rsidRPr="00EC514F">
        <w:rPr>
          <w:rFonts w:ascii="Book Antiqua" w:hAnsi="Book Antiqua" w:cs="Arial"/>
        </w:rPr>
        <w:t>vWF</w:t>
      </w:r>
      <w:proofErr w:type="spellEnd"/>
      <w:r w:rsidR="00372EB8" w:rsidRPr="00EC514F">
        <w:rPr>
          <w:rFonts w:ascii="Book Antiqua" w:hAnsi="Book Antiqua" w:cs="Arial"/>
        </w:rPr>
        <w:t xml:space="preserve"> causing acquired </w:t>
      </w:r>
      <w:proofErr w:type="spellStart"/>
      <w:r w:rsidR="00372EB8" w:rsidRPr="00EC514F">
        <w:rPr>
          <w:rFonts w:ascii="Book Antiqua" w:hAnsi="Book Antiqua" w:cs="Arial"/>
        </w:rPr>
        <w:t>v</w:t>
      </w:r>
      <w:r w:rsidR="0033057F" w:rsidRPr="00EC514F">
        <w:rPr>
          <w:rFonts w:ascii="Book Antiqua" w:hAnsi="Book Antiqua" w:cs="Arial"/>
        </w:rPr>
        <w:t>WF</w:t>
      </w:r>
      <w:proofErr w:type="spellEnd"/>
      <w:r w:rsidR="0033057F" w:rsidRPr="00EC514F">
        <w:rPr>
          <w:rFonts w:ascii="Book Antiqua" w:hAnsi="Book Antiqua" w:cs="Arial"/>
        </w:rPr>
        <w:t xml:space="preserve"> deficiency</w:t>
      </w:r>
      <w:r w:rsidR="003F42CC" w:rsidRPr="00EC514F">
        <w:rPr>
          <w:rFonts w:ascii="Book Antiqua" w:hAnsi="Book Antiqua" w:cs="Arial"/>
        </w:rPr>
        <w:t xml:space="preserve"> </w:t>
      </w:r>
      <w:r w:rsidR="0033057F" w:rsidRPr="00EC514F">
        <w:rPr>
          <w:rFonts w:ascii="Book Antiqua" w:hAnsi="Book Antiqua" w:cs="Arial"/>
        </w:rPr>
        <w:t xml:space="preserve">(due to sheer stress </w:t>
      </w:r>
      <w:r w:rsidR="00775E2A" w:rsidRPr="00EC514F">
        <w:rPr>
          <w:rFonts w:ascii="Book Antiqua" w:hAnsi="Book Antiqua" w:cs="Arial"/>
        </w:rPr>
        <w:t xml:space="preserve">creating </w:t>
      </w:r>
      <w:r w:rsidR="0033057F" w:rsidRPr="00EC514F">
        <w:rPr>
          <w:rFonts w:ascii="Book Antiqua" w:hAnsi="Book Antiqua" w:cs="Arial"/>
        </w:rPr>
        <w:t>protein unraveling</w:t>
      </w:r>
      <w:r w:rsidR="00A7325A" w:rsidRPr="00EC514F">
        <w:rPr>
          <w:rFonts w:ascii="Book Antiqua" w:hAnsi="Book Antiqua" w:cs="Arial"/>
        </w:rPr>
        <w:t>,</w:t>
      </w:r>
      <w:r w:rsidR="0033057F" w:rsidRPr="00EC514F">
        <w:rPr>
          <w:rFonts w:ascii="Book Antiqua" w:hAnsi="Book Antiqua" w:cs="Arial"/>
        </w:rPr>
        <w:t xml:space="preserve"> </w:t>
      </w:r>
      <w:r w:rsidR="0033057F" w:rsidRPr="00EC514F">
        <w:rPr>
          <w:rFonts w:ascii="Book Antiqua" w:hAnsi="Book Antiqua"/>
        </w:rPr>
        <w:t xml:space="preserve">making </w:t>
      </w:r>
      <w:proofErr w:type="spellStart"/>
      <w:r w:rsidR="0033057F" w:rsidRPr="00EC514F">
        <w:rPr>
          <w:rFonts w:ascii="Book Antiqua" w:hAnsi="Book Antiqua"/>
        </w:rPr>
        <w:t>vWF</w:t>
      </w:r>
      <w:proofErr w:type="spellEnd"/>
      <w:r w:rsidR="0033057F" w:rsidRPr="00EC514F">
        <w:rPr>
          <w:rFonts w:ascii="Book Antiqua" w:hAnsi="Book Antiqua"/>
        </w:rPr>
        <w:t xml:space="preserve"> susceptible </w:t>
      </w:r>
      <w:r w:rsidR="0033057F" w:rsidRPr="00EC514F">
        <w:rPr>
          <w:rFonts w:ascii="Book Antiqua" w:hAnsi="Book Antiqua" w:cs="Arial"/>
        </w:rPr>
        <w:t>to</w:t>
      </w:r>
      <w:r w:rsidR="0033057F" w:rsidRPr="00EC514F">
        <w:rPr>
          <w:rFonts w:ascii="Book Antiqua" w:hAnsi="Book Antiqua"/>
        </w:rPr>
        <w:t xml:space="preserve"> ADAMSTS-13 breakdown)</w:t>
      </w:r>
      <w:r w:rsidR="0033057F" w:rsidRPr="00EC514F">
        <w:rPr>
          <w:rFonts w:ascii="Book Antiqua" w:hAnsi="Book Antiqua" w:cs="Arial"/>
        </w:rPr>
        <w:t>, contribu</w:t>
      </w:r>
      <w:r w:rsidR="00372EB8" w:rsidRPr="00EC514F">
        <w:rPr>
          <w:rFonts w:ascii="Book Antiqua" w:hAnsi="Book Antiqua" w:cs="Arial"/>
        </w:rPr>
        <w:t xml:space="preserve">ting to reduced interaction of </w:t>
      </w:r>
      <w:proofErr w:type="spellStart"/>
      <w:r w:rsidR="00372EB8" w:rsidRPr="00EC514F">
        <w:rPr>
          <w:rFonts w:ascii="Book Antiqua" w:hAnsi="Book Antiqua" w:cs="Arial"/>
        </w:rPr>
        <w:t>vWF</w:t>
      </w:r>
      <w:proofErr w:type="spellEnd"/>
      <w:r w:rsidR="00372EB8" w:rsidRPr="00EC514F">
        <w:rPr>
          <w:rFonts w:ascii="Book Antiqua" w:hAnsi="Book Antiqua" w:cs="Arial"/>
        </w:rPr>
        <w:t xml:space="preserve">-platelet and </w:t>
      </w:r>
      <w:proofErr w:type="spellStart"/>
      <w:r w:rsidR="00372EB8" w:rsidRPr="00EC514F">
        <w:rPr>
          <w:rFonts w:ascii="Book Antiqua" w:hAnsi="Book Antiqua" w:cs="Arial"/>
        </w:rPr>
        <w:t>v</w:t>
      </w:r>
      <w:r w:rsidR="0033057F" w:rsidRPr="00EC514F">
        <w:rPr>
          <w:rFonts w:ascii="Book Antiqua" w:hAnsi="Book Antiqua" w:cs="Arial"/>
        </w:rPr>
        <w:t>WF</w:t>
      </w:r>
      <w:proofErr w:type="spellEnd"/>
      <w:r w:rsidR="0033057F" w:rsidRPr="00EC514F">
        <w:rPr>
          <w:rFonts w:ascii="Book Antiqua" w:hAnsi="Book Antiqua" w:cs="Arial"/>
        </w:rPr>
        <w:t>-collagen</w:t>
      </w:r>
      <w:r w:rsidR="004A1E5C" w:rsidRPr="00EC514F">
        <w:rPr>
          <w:rFonts w:ascii="Book Antiqua" w:hAnsi="Book Antiqua" w:cs="Arial"/>
        </w:rPr>
        <w:t xml:space="preserve">. </w:t>
      </w:r>
      <w:r w:rsidR="00222EA9" w:rsidRPr="00EC514F">
        <w:rPr>
          <w:rFonts w:ascii="Book Antiqua" w:hAnsi="Book Antiqua" w:cs="Arial"/>
        </w:rPr>
        <w:t>The second hit</w:t>
      </w:r>
      <w:r w:rsidR="004A1E5C" w:rsidRPr="00EC514F">
        <w:rPr>
          <w:rFonts w:ascii="Book Antiqua" w:hAnsi="Book Antiqua"/>
        </w:rPr>
        <w:t xml:space="preserve"> involves these smaller </w:t>
      </w:r>
      <w:proofErr w:type="spellStart"/>
      <w:r w:rsidR="004A1E5C" w:rsidRPr="00EC514F">
        <w:rPr>
          <w:rFonts w:ascii="Book Antiqua" w:hAnsi="Book Antiqua"/>
        </w:rPr>
        <w:t>vWF</w:t>
      </w:r>
      <w:proofErr w:type="spellEnd"/>
      <w:r w:rsidR="004A1E5C" w:rsidRPr="00EC514F">
        <w:rPr>
          <w:rFonts w:ascii="Book Antiqua" w:hAnsi="Book Antiqua"/>
        </w:rPr>
        <w:t xml:space="preserve"> causing</w:t>
      </w:r>
      <w:r w:rsidR="00A006AF" w:rsidRPr="00EC514F">
        <w:rPr>
          <w:rFonts w:ascii="Book Antiqua" w:hAnsi="Book Antiqua"/>
        </w:rPr>
        <w:t xml:space="preserve"> upregulation of angiogenesis and </w:t>
      </w:r>
      <w:r w:rsidR="003F42CC" w:rsidRPr="00EC514F">
        <w:rPr>
          <w:rFonts w:ascii="Book Antiqua" w:hAnsi="Book Antiqua"/>
        </w:rPr>
        <w:t xml:space="preserve">AVM </w:t>
      </w:r>
      <w:r w:rsidR="00A006AF" w:rsidRPr="00EC514F">
        <w:rPr>
          <w:rFonts w:ascii="Book Antiqua" w:hAnsi="Book Antiqua"/>
        </w:rPr>
        <w:t>formation</w:t>
      </w:r>
      <w:r w:rsidR="007C1291" w:rsidRPr="00EC514F">
        <w:rPr>
          <w:rFonts w:ascii="Book Antiqua" w:hAnsi="Book Antiqua"/>
        </w:rPr>
        <w:t xml:space="preserve"> in LVAD </w:t>
      </w:r>
      <w:proofErr w:type="gramStart"/>
      <w:r w:rsidR="007C1291" w:rsidRPr="00EC514F">
        <w:rPr>
          <w:rFonts w:ascii="Book Antiqua" w:hAnsi="Book Antiqua"/>
        </w:rPr>
        <w:t>patients</w:t>
      </w:r>
      <w:r w:rsidR="00AA2CAF" w:rsidRPr="00EC514F">
        <w:rPr>
          <w:rFonts w:ascii="Book Antiqua" w:hAnsi="Book Antiqua"/>
          <w:vertAlign w:val="superscript"/>
        </w:rPr>
        <w:t>[</w:t>
      </w:r>
      <w:proofErr w:type="gramEnd"/>
      <w:r w:rsidR="00AA2CAF" w:rsidRPr="00EC514F">
        <w:rPr>
          <w:rFonts w:ascii="Book Antiqua" w:hAnsi="Book Antiqua"/>
          <w:vertAlign w:val="superscript"/>
        </w:rPr>
        <w:t>11]</w:t>
      </w:r>
      <w:r w:rsidR="001C7F87" w:rsidRPr="00EC514F">
        <w:rPr>
          <w:rFonts w:ascii="Book Antiqua" w:hAnsi="Book Antiqua"/>
        </w:rPr>
        <w:t xml:space="preserve">. </w:t>
      </w:r>
      <w:r w:rsidR="004E3440" w:rsidRPr="00EC514F">
        <w:rPr>
          <w:rFonts w:ascii="Book Antiqua" w:hAnsi="Book Antiqua"/>
        </w:rPr>
        <w:t>TNF-</w:t>
      </w:r>
      <w:r w:rsidR="00844D7B" w:rsidRPr="00EC514F">
        <w:rPr>
          <w:rFonts w:ascii="Book Antiqua" w:hAnsi="Book Antiqua" w:cs="Times New Roman"/>
        </w:rPr>
        <w:t>α</w:t>
      </w:r>
      <w:r w:rsidR="004E3440" w:rsidRPr="00EC514F">
        <w:rPr>
          <w:rFonts w:ascii="Book Antiqua" w:hAnsi="Book Antiqua"/>
        </w:rPr>
        <w:t xml:space="preserve"> has been reported to induce pericyte </w:t>
      </w:r>
      <w:r w:rsidR="004E3440" w:rsidRPr="00EC514F">
        <w:rPr>
          <w:rFonts w:ascii="Book Antiqua" w:hAnsi="Book Antiqua" w:cs="Arial"/>
        </w:rPr>
        <w:t>apop</w:t>
      </w:r>
      <w:r w:rsidR="00222EA9" w:rsidRPr="00EC514F">
        <w:rPr>
          <w:rFonts w:ascii="Book Antiqua" w:hAnsi="Book Antiqua" w:cs="Arial"/>
        </w:rPr>
        <w:t>t</w:t>
      </w:r>
      <w:r w:rsidR="004E3440" w:rsidRPr="00EC514F">
        <w:rPr>
          <w:rFonts w:ascii="Book Antiqua" w:hAnsi="Book Antiqua" w:cs="Arial"/>
        </w:rPr>
        <w:t>osis</w:t>
      </w:r>
      <w:r w:rsidR="004E3440" w:rsidRPr="00EC514F">
        <w:rPr>
          <w:rFonts w:ascii="Book Antiqua" w:hAnsi="Book Antiqua"/>
        </w:rPr>
        <w:t xml:space="preserve">, TF </w:t>
      </w:r>
      <w:r w:rsidR="00E50883" w:rsidRPr="00EC514F">
        <w:rPr>
          <w:rFonts w:ascii="Book Antiqua" w:hAnsi="Book Antiqua"/>
        </w:rPr>
        <w:t xml:space="preserve">and </w:t>
      </w:r>
      <w:r w:rsidR="00E50883" w:rsidRPr="00EC514F">
        <w:rPr>
          <w:rFonts w:ascii="Book Antiqua" w:hAnsi="Book Antiqua" w:cs="Arial"/>
        </w:rPr>
        <w:t>a</w:t>
      </w:r>
      <w:r w:rsidR="00E80F50" w:rsidRPr="00EC514F">
        <w:rPr>
          <w:rFonts w:ascii="Book Antiqua" w:hAnsi="Book Antiqua" w:cs="Arial"/>
        </w:rPr>
        <w:t>ngiopo</w:t>
      </w:r>
      <w:r w:rsidR="00222EA9" w:rsidRPr="00EC514F">
        <w:rPr>
          <w:rFonts w:ascii="Book Antiqua" w:hAnsi="Book Antiqua" w:cs="Arial"/>
        </w:rPr>
        <w:t>i</w:t>
      </w:r>
      <w:r w:rsidR="00E80F50" w:rsidRPr="00EC514F">
        <w:rPr>
          <w:rFonts w:ascii="Book Antiqua" w:hAnsi="Book Antiqua" w:cs="Arial"/>
        </w:rPr>
        <w:t>etin</w:t>
      </w:r>
      <w:r w:rsidR="00E80F50" w:rsidRPr="00EC514F">
        <w:rPr>
          <w:rFonts w:ascii="Book Antiqua" w:hAnsi="Book Antiqua"/>
        </w:rPr>
        <w:t>-2 expression,</w:t>
      </w:r>
      <w:r w:rsidR="004E3440" w:rsidRPr="00EC514F">
        <w:rPr>
          <w:rFonts w:ascii="Book Antiqua" w:hAnsi="Book Antiqua"/>
        </w:rPr>
        <w:t xml:space="preserve"> and vascular instability leading to increase</w:t>
      </w:r>
      <w:r w:rsidR="001C7F87" w:rsidRPr="00EC514F">
        <w:rPr>
          <w:rFonts w:ascii="Book Antiqua" w:hAnsi="Book Antiqua"/>
        </w:rPr>
        <w:t xml:space="preserve">d risk of </w:t>
      </w:r>
      <w:r w:rsidR="003F42CC" w:rsidRPr="00EC514F">
        <w:rPr>
          <w:rFonts w:ascii="Book Antiqua" w:hAnsi="Book Antiqua"/>
        </w:rPr>
        <w:t xml:space="preserve">AVM-related </w:t>
      </w:r>
      <w:proofErr w:type="gramStart"/>
      <w:r w:rsidR="001C7F87" w:rsidRPr="00EC514F">
        <w:rPr>
          <w:rFonts w:ascii="Book Antiqua" w:hAnsi="Book Antiqua"/>
        </w:rPr>
        <w:t>bleeds</w:t>
      </w:r>
      <w:r w:rsidR="00803E11" w:rsidRPr="00EC514F">
        <w:rPr>
          <w:rFonts w:ascii="Book Antiqua" w:hAnsi="Book Antiqua"/>
          <w:vertAlign w:val="superscript"/>
        </w:rPr>
        <w:t>[</w:t>
      </w:r>
      <w:proofErr w:type="gramEnd"/>
      <w:r w:rsidR="00803E11" w:rsidRPr="00EC514F">
        <w:rPr>
          <w:rFonts w:ascii="Book Antiqua" w:hAnsi="Book Antiqua"/>
          <w:vertAlign w:val="superscript"/>
        </w:rPr>
        <w:t>12]</w:t>
      </w:r>
      <w:r w:rsidR="00D177BA" w:rsidRPr="00EC514F">
        <w:rPr>
          <w:rFonts w:ascii="Book Antiqua" w:hAnsi="Book Antiqua"/>
        </w:rPr>
        <w:t>.</w:t>
      </w:r>
      <w:r w:rsidR="001C7F87" w:rsidRPr="00EC514F">
        <w:rPr>
          <w:rFonts w:ascii="Book Antiqua" w:hAnsi="Book Antiqua"/>
        </w:rPr>
        <w:t xml:space="preserve"> </w:t>
      </w:r>
      <w:r w:rsidR="00BF427C" w:rsidRPr="00EC514F">
        <w:rPr>
          <w:rFonts w:ascii="Book Antiqua" w:hAnsi="Book Antiqua"/>
        </w:rPr>
        <w:t>Likewise VEGF</w:t>
      </w:r>
      <w:r w:rsidR="00402D2B" w:rsidRPr="00EC514F">
        <w:rPr>
          <w:rFonts w:ascii="Book Antiqua" w:hAnsi="Book Antiqua"/>
        </w:rPr>
        <w:t xml:space="preserve"> and</w:t>
      </w:r>
      <w:r w:rsidR="00BF427C" w:rsidRPr="00EC514F">
        <w:rPr>
          <w:rFonts w:ascii="Book Antiqua" w:hAnsi="Book Antiqua"/>
        </w:rPr>
        <w:t xml:space="preserve"> TGF-</w:t>
      </w:r>
      <w:r w:rsidR="00844D7B" w:rsidRPr="00EC514F">
        <w:rPr>
          <w:rFonts w:ascii="Book Antiqua" w:hAnsi="Book Antiqua" w:cs="Times New Roman"/>
        </w:rPr>
        <w:t>β</w:t>
      </w:r>
      <w:r w:rsidR="00844D7B" w:rsidRPr="00EC514F" w:rsidDel="00844D7B">
        <w:rPr>
          <w:rFonts w:ascii="Book Antiqua" w:hAnsi="Book Antiqua"/>
        </w:rPr>
        <w:t xml:space="preserve"> </w:t>
      </w:r>
      <w:r w:rsidR="002C2955" w:rsidRPr="00EC514F">
        <w:rPr>
          <w:rFonts w:ascii="Book Antiqua" w:hAnsi="Book Antiqua"/>
        </w:rPr>
        <w:t>have been similarly upregulated</w:t>
      </w:r>
      <w:r w:rsidR="00C468C3" w:rsidRPr="00EC514F">
        <w:rPr>
          <w:rFonts w:ascii="Book Antiqua" w:hAnsi="Book Antiqua"/>
        </w:rPr>
        <w:t xml:space="preserve"> in LVAD patients</w:t>
      </w:r>
      <w:r w:rsidR="002C2955" w:rsidRPr="00EC514F">
        <w:rPr>
          <w:rFonts w:ascii="Book Antiqua" w:hAnsi="Book Antiqua"/>
        </w:rPr>
        <w:t xml:space="preserve"> and implicated in these </w:t>
      </w:r>
      <w:proofErr w:type="gramStart"/>
      <w:r w:rsidR="002C2955" w:rsidRPr="00EC514F">
        <w:rPr>
          <w:rFonts w:ascii="Book Antiqua" w:hAnsi="Book Antiqua"/>
        </w:rPr>
        <w:t>bleeds</w:t>
      </w:r>
      <w:r w:rsidR="00AA2CAF" w:rsidRPr="00EC514F">
        <w:rPr>
          <w:rFonts w:ascii="Book Antiqua" w:hAnsi="Book Antiqua"/>
          <w:vertAlign w:val="superscript"/>
        </w:rPr>
        <w:t>[</w:t>
      </w:r>
      <w:proofErr w:type="gramEnd"/>
      <w:r w:rsidR="00AA2CAF" w:rsidRPr="00EC514F">
        <w:rPr>
          <w:rFonts w:ascii="Book Antiqua" w:hAnsi="Book Antiqua"/>
          <w:vertAlign w:val="superscript"/>
        </w:rPr>
        <w:t>3,5,12,13]</w:t>
      </w:r>
      <w:r w:rsidR="000129B7" w:rsidRPr="00EC514F">
        <w:rPr>
          <w:rFonts w:ascii="Book Antiqua" w:hAnsi="Book Antiqua"/>
        </w:rPr>
        <w:t>.</w:t>
      </w:r>
      <w:r w:rsidR="00E80F50" w:rsidRPr="00EC514F">
        <w:rPr>
          <w:rFonts w:ascii="Book Antiqua" w:hAnsi="Book Antiqua"/>
        </w:rPr>
        <w:t xml:space="preserve"> </w:t>
      </w:r>
      <w:r w:rsidR="00E80F50" w:rsidRPr="00EC514F">
        <w:rPr>
          <w:rFonts w:ascii="Book Antiqua" w:hAnsi="Book Antiqua" w:cs="Arial"/>
        </w:rPr>
        <w:t>Angiopo</w:t>
      </w:r>
      <w:r w:rsidR="00222EA9" w:rsidRPr="00EC514F">
        <w:rPr>
          <w:rFonts w:ascii="Book Antiqua" w:hAnsi="Book Antiqua" w:cs="Arial"/>
        </w:rPr>
        <w:t>i</w:t>
      </w:r>
      <w:r w:rsidR="00E80F50" w:rsidRPr="00EC514F">
        <w:rPr>
          <w:rFonts w:ascii="Book Antiqua" w:hAnsi="Book Antiqua" w:cs="Arial"/>
        </w:rPr>
        <w:t>etin-1</w:t>
      </w:r>
      <w:r w:rsidR="009503D2" w:rsidRPr="00EC514F">
        <w:rPr>
          <w:rFonts w:ascii="Book Antiqua" w:hAnsi="Book Antiqua" w:cs="Arial"/>
        </w:rPr>
        <w:t>,</w:t>
      </w:r>
      <w:r w:rsidR="00C468C3" w:rsidRPr="00EC514F">
        <w:rPr>
          <w:rFonts w:ascii="Book Antiqua" w:hAnsi="Book Antiqua" w:cs="Arial"/>
        </w:rPr>
        <w:t xml:space="preserve"> </w:t>
      </w:r>
      <w:r w:rsidR="00222EA9" w:rsidRPr="00EC514F">
        <w:rPr>
          <w:rFonts w:ascii="Book Antiqua" w:hAnsi="Book Antiqua" w:cs="Arial"/>
        </w:rPr>
        <w:t>which normally is associated with vascular stability</w:t>
      </w:r>
      <w:r w:rsidR="00D177BA" w:rsidRPr="00EC514F">
        <w:rPr>
          <w:rFonts w:ascii="Book Antiqua" w:hAnsi="Book Antiqua" w:cs="Arial"/>
        </w:rPr>
        <w:t>,</w:t>
      </w:r>
      <w:r w:rsidR="00222EA9" w:rsidRPr="00EC514F">
        <w:rPr>
          <w:rFonts w:ascii="Book Antiqua" w:hAnsi="Book Antiqua" w:cs="Arial"/>
        </w:rPr>
        <w:t xml:space="preserve"> is</w:t>
      </w:r>
      <w:r w:rsidR="00C468C3" w:rsidRPr="00EC514F">
        <w:rPr>
          <w:rFonts w:ascii="Book Antiqua" w:hAnsi="Book Antiqua" w:cs="Arial"/>
        </w:rPr>
        <w:t xml:space="preserve"> downregulated in </w:t>
      </w:r>
      <w:r w:rsidR="00222EA9" w:rsidRPr="00EC514F">
        <w:rPr>
          <w:rFonts w:ascii="Book Antiqua" w:hAnsi="Book Antiqua" w:cs="Arial"/>
        </w:rPr>
        <w:t xml:space="preserve">patients with </w:t>
      </w:r>
      <w:proofErr w:type="gramStart"/>
      <w:r w:rsidR="00222EA9" w:rsidRPr="00EC514F">
        <w:rPr>
          <w:rFonts w:ascii="Book Antiqua" w:hAnsi="Book Antiqua" w:cs="Arial"/>
        </w:rPr>
        <w:t>LVAD</w:t>
      </w:r>
      <w:r w:rsidR="00AA2CAF" w:rsidRPr="00EC514F">
        <w:rPr>
          <w:rFonts w:ascii="Book Antiqua" w:hAnsi="Book Antiqua" w:cs="Arial"/>
          <w:vertAlign w:val="superscript"/>
        </w:rPr>
        <w:t>[</w:t>
      </w:r>
      <w:proofErr w:type="gramEnd"/>
      <w:r w:rsidR="00AA2CAF" w:rsidRPr="00EC514F">
        <w:rPr>
          <w:rFonts w:ascii="Book Antiqua" w:hAnsi="Book Antiqua" w:cs="Arial"/>
          <w:vertAlign w:val="superscript"/>
        </w:rPr>
        <w:t>3]</w:t>
      </w:r>
      <w:r w:rsidR="00222EA9" w:rsidRPr="00EC514F">
        <w:rPr>
          <w:rFonts w:ascii="Book Antiqua" w:hAnsi="Book Antiqua" w:cs="Arial"/>
        </w:rPr>
        <w:t xml:space="preserve">. </w:t>
      </w:r>
      <w:r w:rsidR="006074CE" w:rsidRPr="00EC514F">
        <w:rPr>
          <w:rFonts w:ascii="Book Antiqua" w:hAnsi="Book Antiqua" w:cs="Arial"/>
        </w:rPr>
        <w:t xml:space="preserve">These factors affecting </w:t>
      </w:r>
      <w:r w:rsidR="003F42CC" w:rsidRPr="00EC514F">
        <w:rPr>
          <w:rFonts w:ascii="Book Antiqua" w:hAnsi="Book Antiqua" w:cs="Arial"/>
        </w:rPr>
        <w:t xml:space="preserve">AVM </w:t>
      </w:r>
      <w:r w:rsidR="006074CE" w:rsidRPr="00EC514F">
        <w:rPr>
          <w:rFonts w:ascii="Book Antiqua" w:hAnsi="Book Antiqua" w:cs="Arial"/>
        </w:rPr>
        <w:t>formation and stability</w:t>
      </w:r>
      <w:r w:rsidR="00A94EA9" w:rsidRPr="00EC514F">
        <w:rPr>
          <w:rFonts w:ascii="Book Antiqua" w:hAnsi="Book Antiqua" w:cs="Arial"/>
        </w:rPr>
        <w:t xml:space="preserve"> lead to</w:t>
      </w:r>
      <w:r w:rsidR="00BE3BB6" w:rsidRPr="00EC514F">
        <w:rPr>
          <w:rFonts w:ascii="Book Antiqua" w:hAnsi="Book Antiqua" w:cs="Arial"/>
        </w:rPr>
        <w:t xml:space="preserve"> an</w:t>
      </w:r>
      <w:r w:rsidR="00A94EA9" w:rsidRPr="00EC514F">
        <w:rPr>
          <w:rFonts w:ascii="Book Antiqua" w:hAnsi="Book Antiqua" w:cs="Arial"/>
        </w:rPr>
        <w:t xml:space="preserve"> increased </w:t>
      </w:r>
      <w:r w:rsidR="00222EA9" w:rsidRPr="00EC514F">
        <w:rPr>
          <w:rFonts w:ascii="Book Antiqua" w:hAnsi="Book Antiqua" w:cs="Arial"/>
        </w:rPr>
        <w:t>risk of GI bleeding</w:t>
      </w:r>
      <w:r w:rsidR="006074CE" w:rsidRPr="00EC514F">
        <w:rPr>
          <w:rFonts w:ascii="Book Antiqua" w:hAnsi="Book Antiqua" w:cs="Arial"/>
        </w:rPr>
        <w:t xml:space="preserve"> and </w:t>
      </w:r>
      <w:r w:rsidR="00222EA9" w:rsidRPr="00EC514F">
        <w:rPr>
          <w:rFonts w:ascii="Book Antiqua" w:hAnsi="Book Antiqua" w:cs="Arial"/>
        </w:rPr>
        <w:t>dictate</w:t>
      </w:r>
      <w:r w:rsidR="00A94EA9" w:rsidRPr="00EC514F">
        <w:rPr>
          <w:rFonts w:ascii="Book Antiqua" w:hAnsi="Book Antiqua" w:cs="Arial"/>
        </w:rPr>
        <w:t xml:space="preserve"> many medical therapies that will be discussed in this review</w:t>
      </w:r>
      <w:r w:rsidR="0008712E" w:rsidRPr="00EC514F">
        <w:rPr>
          <w:rFonts w:ascii="Book Antiqua" w:hAnsi="Book Antiqua" w:cs="Arial"/>
        </w:rPr>
        <w:t xml:space="preserve"> </w:t>
      </w:r>
      <w:r w:rsidR="0008712E" w:rsidRPr="007A1B4A">
        <w:rPr>
          <w:rFonts w:ascii="Book Antiqua" w:hAnsi="Book Antiqua"/>
        </w:rPr>
        <w:t>(</w:t>
      </w:r>
      <w:r w:rsidR="00DC5451" w:rsidRPr="007A1B4A">
        <w:rPr>
          <w:rFonts w:ascii="Book Antiqua" w:hAnsi="Book Antiqua" w:cs="Arial"/>
        </w:rPr>
        <w:t>F</w:t>
      </w:r>
      <w:r w:rsidR="0008712E" w:rsidRPr="007A1B4A">
        <w:rPr>
          <w:rFonts w:ascii="Book Antiqua" w:hAnsi="Book Antiqua" w:cs="Arial"/>
        </w:rPr>
        <w:t>igure</w:t>
      </w:r>
      <w:r w:rsidR="0008712E" w:rsidRPr="007A1B4A">
        <w:rPr>
          <w:rFonts w:ascii="Book Antiqua" w:hAnsi="Book Antiqua"/>
        </w:rPr>
        <w:t xml:space="preserve"> 1)</w:t>
      </w:r>
      <w:r w:rsidR="00A94EA9" w:rsidRPr="007A1B4A">
        <w:rPr>
          <w:rFonts w:ascii="Book Antiqua" w:hAnsi="Book Antiqua" w:cs="Arial"/>
        </w:rPr>
        <w:t xml:space="preserve">. </w:t>
      </w:r>
    </w:p>
    <w:p w14:paraId="26D6F564" w14:textId="77777777" w:rsidR="00E80F50" w:rsidRPr="00EC514F" w:rsidRDefault="00E80F50" w:rsidP="00151396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F90BCF2" w14:textId="66318D70" w:rsidR="003A63CA" w:rsidRPr="00AA2CAF" w:rsidRDefault="003A63CA" w:rsidP="00AA2CAF">
      <w:pPr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AA2CAF">
        <w:rPr>
          <w:rFonts w:ascii="Book Antiqua" w:hAnsi="Book Antiqua"/>
          <w:b/>
          <w:i/>
        </w:rPr>
        <w:t xml:space="preserve">Acute GI </w:t>
      </w:r>
      <w:r w:rsidR="00AA2CAF" w:rsidRPr="00AA2CAF">
        <w:rPr>
          <w:rFonts w:ascii="Book Antiqua" w:hAnsi="Book Antiqua"/>
          <w:b/>
          <w:i/>
        </w:rPr>
        <w:t>b</w:t>
      </w:r>
      <w:r w:rsidRPr="00AA2CAF">
        <w:rPr>
          <w:rFonts w:ascii="Book Antiqua" w:hAnsi="Book Antiqua"/>
          <w:b/>
          <w:i/>
        </w:rPr>
        <w:t xml:space="preserve">leeding </w:t>
      </w:r>
      <w:r w:rsidR="00AA2CAF" w:rsidRPr="00AA2CAF">
        <w:rPr>
          <w:rFonts w:ascii="Book Antiqua" w:hAnsi="Book Antiqua"/>
          <w:b/>
          <w:i/>
        </w:rPr>
        <w:t>management</w:t>
      </w:r>
    </w:p>
    <w:p w14:paraId="76366078" w14:textId="3A8AA2A2" w:rsidR="00E80F50" w:rsidRPr="00AA2CAF" w:rsidRDefault="006C5E82" w:rsidP="00151396">
      <w:pPr>
        <w:snapToGrid w:val="0"/>
        <w:spacing w:line="360" w:lineRule="auto"/>
        <w:jc w:val="both"/>
        <w:rPr>
          <w:rFonts w:ascii="Book Antiqua" w:hAnsi="Book Antiqua"/>
        </w:rPr>
      </w:pPr>
      <w:r w:rsidRPr="00EC514F">
        <w:rPr>
          <w:rFonts w:ascii="Book Antiqua" w:hAnsi="Book Antiqua"/>
          <w:b/>
        </w:rPr>
        <w:t xml:space="preserve">Medical </w:t>
      </w:r>
      <w:r w:rsidR="00AA2CAF" w:rsidRPr="00EC514F">
        <w:rPr>
          <w:rFonts w:ascii="Book Antiqua" w:hAnsi="Book Antiqua"/>
          <w:b/>
        </w:rPr>
        <w:t>m</w:t>
      </w:r>
      <w:r w:rsidR="00372EB8" w:rsidRPr="00EC514F">
        <w:rPr>
          <w:rFonts w:ascii="Book Antiqua" w:hAnsi="Book Antiqua"/>
          <w:b/>
        </w:rPr>
        <w:t>anagement</w:t>
      </w:r>
      <w:r w:rsidR="00AA2CAF">
        <w:rPr>
          <w:rFonts w:ascii="Book Antiqua" w:hAnsi="Book Antiqua"/>
          <w:b/>
        </w:rPr>
        <w:t xml:space="preserve">: </w:t>
      </w:r>
      <w:r w:rsidR="00815F4C" w:rsidRPr="00EC514F">
        <w:rPr>
          <w:rFonts w:ascii="Book Antiqua" w:hAnsi="Book Antiqua"/>
        </w:rPr>
        <w:t>G</w:t>
      </w:r>
      <w:r w:rsidR="009503D2" w:rsidRPr="00EC514F">
        <w:rPr>
          <w:rFonts w:ascii="Book Antiqua" w:hAnsi="Book Antiqua"/>
        </w:rPr>
        <w:t xml:space="preserve">astrointestinal </w:t>
      </w:r>
      <w:r w:rsidR="00C80102" w:rsidRPr="00EC514F">
        <w:rPr>
          <w:rFonts w:ascii="Book Antiqua" w:hAnsi="Book Antiqua" w:cs="Arial"/>
        </w:rPr>
        <w:t>bleeding</w:t>
      </w:r>
      <w:r w:rsidR="00E80F50" w:rsidRPr="00EC514F">
        <w:rPr>
          <w:rFonts w:ascii="Book Antiqua" w:hAnsi="Book Antiqua"/>
        </w:rPr>
        <w:t xml:space="preserve"> </w:t>
      </w:r>
      <w:r w:rsidR="00C80102" w:rsidRPr="00EC514F">
        <w:rPr>
          <w:rFonts w:ascii="Book Antiqua" w:hAnsi="Book Antiqua"/>
        </w:rPr>
        <w:t>is</w:t>
      </w:r>
      <w:r w:rsidR="00E80F50" w:rsidRPr="00EC514F">
        <w:rPr>
          <w:rFonts w:ascii="Book Antiqua" w:hAnsi="Book Antiqua"/>
        </w:rPr>
        <w:t xml:space="preserve"> a significant issue in LVAD patients leading to</w:t>
      </w:r>
      <w:r w:rsidR="00B0755A" w:rsidRPr="00EC514F">
        <w:rPr>
          <w:rFonts w:ascii="Book Antiqua" w:hAnsi="Book Antiqua"/>
        </w:rPr>
        <w:t xml:space="preserve"> the</w:t>
      </w:r>
      <w:r w:rsidR="00E80F50" w:rsidRPr="00EC514F">
        <w:rPr>
          <w:rFonts w:ascii="Book Antiqua" w:hAnsi="Book Antiqua"/>
        </w:rPr>
        <w:t xml:space="preserve"> discontinuation of antiplatelet and anticoagulation therapy. Initial ma</w:t>
      </w:r>
      <w:r w:rsidR="00B0755A" w:rsidRPr="00EC514F">
        <w:rPr>
          <w:rFonts w:ascii="Book Antiqua" w:hAnsi="Book Antiqua"/>
        </w:rPr>
        <w:t xml:space="preserve">nagement for acute </w:t>
      </w:r>
      <w:r w:rsidR="00C80102" w:rsidRPr="00EC514F">
        <w:rPr>
          <w:rFonts w:ascii="Book Antiqua" w:hAnsi="Book Antiqua"/>
        </w:rPr>
        <w:t xml:space="preserve">GI </w:t>
      </w:r>
      <w:r w:rsidR="00C80102" w:rsidRPr="00EC514F">
        <w:rPr>
          <w:rFonts w:ascii="Book Antiqua" w:hAnsi="Book Antiqua" w:cs="Arial"/>
        </w:rPr>
        <w:t>bleeding</w:t>
      </w:r>
      <w:r w:rsidR="008C7945" w:rsidRPr="00EC514F">
        <w:rPr>
          <w:rFonts w:ascii="Book Antiqua" w:hAnsi="Book Antiqua" w:cs="Arial"/>
        </w:rPr>
        <w:t xml:space="preserve"> include IV fluid </w:t>
      </w:r>
      <w:r w:rsidR="001E1BC0" w:rsidRPr="00EC514F">
        <w:rPr>
          <w:rFonts w:ascii="Book Antiqua" w:hAnsi="Book Antiqua" w:cs="Arial"/>
        </w:rPr>
        <w:t>resuscitation</w:t>
      </w:r>
      <w:r w:rsidR="00BE3BB6" w:rsidRPr="00EC514F">
        <w:rPr>
          <w:rFonts w:ascii="Book Antiqua" w:hAnsi="Book Antiqua" w:cs="Arial"/>
        </w:rPr>
        <w:t>, electrolyte replacement</w:t>
      </w:r>
      <w:r w:rsidR="008C7945" w:rsidRPr="00EC514F">
        <w:rPr>
          <w:rFonts w:ascii="Book Antiqua" w:hAnsi="Book Antiqua" w:cs="Arial"/>
        </w:rPr>
        <w:t xml:space="preserve">, </w:t>
      </w:r>
      <w:r w:rsidR="008D4891" w:rsidRPr="00EC514F">
        <w:rPr>
          <w:rFonts w:ascii="Book Antiqua" w:hAnsi="Book Antiqua" w:cs="Arial"/>
        </w:rPr>
        <w:t xml:space="preserve">packed red blood cell </w:t>
      </w:r>
      <w:r w:rsidR="008C7945" w:rsidRPr="00EC514F">
        <w:rPr>
          <w:rFonts w:ascii="Book Antiqua" w:hAnsi="Book Antiqua" w:cs="Arial"/>
        </w:rPr>
        <w:t>transfusion to hemoglobin goals of 7-9</w:t>
      </w:r>
      <w:r w:rsidR="00BE3BB6" w:rsidRPr="00EC514F">
        <w:rPr>
          <w:rFonts w:ascii="Book Antiqua" w:hAnsi="Book Antiqua" w:cs="Arial"/>
        </w:rPr>
        <w:t xml:space="preserve"> g/d</w:t>
      </w:r>
      <w:r w:rsidR="00BE3BB6" w:rsidRPr="00005E3F">
        <w:rPr>
          <w:rFonts w:ascii="Book Antiqua" w:hAnsi="Book Antiqua" w:cs="Arial"/>
          <w:caps/>
        </w:rPr>
        <w:t>l</w:t>
      </w:r>
      <w:r w:rsidR="008C7945" w:rsidRPr="00EC514F">
        <w:rPr>
          <w:rFonts w:ascii="Book Antiqua" w:hAnsi="Book Antiqua" w:cs="Arial"/>
        </w:rPr>
        <w:t>, and</w:t>
      </w:r>
      <w:r w:rsidR="00E80F50" w:rsidRPr="00EC514F">
        <w:rPr>
          <w:rFonts w:ascii="Book Antiqua" w:hAnsi="Book Antiqua"/>
        </w:rPr>
        <w:t xml:space="preserve"> discontinuation of antiplatelet (</w:t>
      </w:r>
      <w:r w:rsidR="00C80102" w:rsidRPr="00EC514F">
        <w:rPr>
          <w:rFonts w:ascii="Book Antiqua" w:hAnsi="Book Antiqua" w:cs="Arial"/>
        </w:rPr>
        <w:t>acetylsalicylic acid (ASA)</w:t>
      </w:r>
      <w:r w:rsidR="00E06FB5" w:rsidRPr="00EC514F">
        <w:rPr>
          <w:rFonts w:ascii="Book Antiqua" w:hAnsi="Book Antiqua" w:cs="Arial"/>
        </w:rPr>
        <w:t xml:space="preserve"> and P2Y12 inhibitors</w:t>
      </w:r>
      <w:r w:rsidR="00E80F50" w:rsidRPr="00EC514F">
        <w:rPr>
          <w:rFonts w:ascii="Book Antiqua" w:hAnsi="Book Antiqua" w:cs="Arial"/>
        </w:rPr>
        <w:t>)</w:t>
      </w:r>
      <w:r w:rsidR="00C80102" w:rsidRPr="00EC514F">
        <w:rPr>
          <w:rFonts w:ascii="Book Antiqua" w:hAnsi="Book Antiqua" w:cs="Arial"/>
        </w:rPr>
        <w:t xml:space="preserve"> </w:t>
      </w:r>
      <w:r w:rsidR="00E06FB5" w:rsidRPr="00EC514F">
        <w:rPr>
          <w:rFonts w:ascii="Book Antiqua" w:hAnsi="Book Antiqua" w:cs="Arial"/>
        </w:rPr>
        <w:t>and a</w:t>
      </w:r>
      <w:r w:rsidR="00616959" w:rsidRPr="00EC514F">
        <w:rPr>
          <w:rFonts w:ascii="Book Antiqua" w:hAnsi="Book Antiqua" w:cs="Arial"/>
        </w:rPr>
        <w:t>nticoagulation</w:t>
      </w:r>
      <w:r w:rsidR="009503D2" w:rsidRPr="00EC514F">
        <w:rPr>
          <w:rFonts w:ascii="Book Antiqua" w:hAnsi="Book Antiqua" w:cs="Arial"/>
        </w:rPr>
        <w:t xml:space="preserve"> </w:t>
      </w:r>
      <w:r w:rsidR="00C80102" w:rsidRPr="00EC514F">
        <w:rPr>
          <w:rFonts w:ascii="Book Antiqua" w:hAnsi="Book Antiqua" w:cs="Arial"/>
        </w:rPr>
        <w:t>(</w:t>
      </w:r>
      <w:r w:rsidR="00372EB8" w:rsidRPr="00EC514F">
        <w:rPr>
          <w:rFonts w:ascii="Book Antiqua" w:hAnsi="Book Antiqua" w:cs="Arial"/>
        </w:rPr>
        <w:t>C</w:t>
      </w:r>
      <w:r w:rsidR="003F42CC" w:rsidRPr="00EC514F">
        <w:rPr>
          <w:rFonts w:ascii="Book Antiqua" w:hAnsi="Book Antiqua" w:cs="Arial"/>
        </w:rPr>
        <w:t>oumadin</w:t>
      </w:r>
      <w:r w:rsidR="00C80102" w:rsidRPr="00EC514F">
        <w:rPr>
          <w:rFonts w:ascii="Book Antiqua" w:hAnsi="Book Antiqua" w:cs="Arial"/>
        </w:rPr>
        <w:t>)</w:t>
      </w:r>
      <w:r w:rsidR="009503D2" w:rsidRPr="00EC514F">
        <w:rPr>
          <w:rFonts w:ascii="Book Antiqua" w:hAnsi="Book Antiqua" w:cs="Arial"/>
        </w:rPr>
        <w:t xml:space="preserve"> </w:t>
      </w:r>
      <w:proofErr w:type="gramStart"/>
      <w:r w:rsidR="009503D2" w:rsidRPr="00EC514F">
        <w:rPr>
          <w:rFonts w:ascii="Book Antiqua" w:hAnsi="Book Antiqua" w:cs="Arial"/>
        </w:rPr>
        <w:t>medications</w:t>
      </w:r>
      <w:r w:rsidR="00005E3F" w:rsidRPr="00EC514F">
        <w:rPr>
          <w:rFonts w:ascii="Book Antiqua" w:hAnsi="Book Antiqua" w:cs="Arial"/>
          <w:vertAlign w:val="superscript"/>
        </w:rPr>
        <w:t>[</w:t>
      </w:r>
      <w:proofErr w:type="gramEnd"/>
      <w:r w:rsidR="00005E3F" w:rsidRPr="00EC514F">
        <w:rPr>
          <w:rFonts w:ascii="Book Antiqua" w:hAnsi="Book Antiqua" w:cs="Arial"/>
          <w:vertAlign w:val="superscript"/>
        </w:rPr>
        <w:t>14-16]</w:t>
      </w:r>
      <w:r w:rsidR="00E73CDC" w:rsidRPr="00EC514F">
        <w:rPr>
          <w:rFonts w:ascii="Book Antiqua" w:hAnsi="Book Antiqua" w:cs="Arial"/>
        </w:rPr>
        <w:t xml:space="preserve">. </w:t>
      </w:r>
      <w:r w:rsidR="00B0755A" w:rsidRPr="00EC514F">
        <w:rPr>
          <w:rFonts w:ascii="Book Antiqua" w:hAnsi="Book Antiqua"/>
        </w:rPr>
        <w:t xml:space="preserve">After an </w:t>
      </w:r>
      <w:r w:rsidR="00B0755A" w:rsidRPr="00EC514F">
        <w:rPr>
          <w:rFonts w:ascii="Book Antiqua" w:hAnsi="Book Antiqua"/>
        </w:rPr>
        <w:lastRenderedPageBreak/>
        <w:t xml:space="preserve">acute episode, </w:t>
      </w:r>
      <w:r w:rsidR="006D018D" w:rsidRPr="00EC514F">
        <w:rPr>
          <w:rFonts w:ascii="Book Antiqua" w:hAnsi="Book Antiqua"/>
        </w:rPr>
        <w:t>antiplatelet</w:t>
      </w:r>
      <w:r w:rsidR="005D4988" w:rsidRPr="00EC514F">
        <w:rPr>
          <w:rFonts w:ascii="Book Antiqua" w:hAnsi="Book Antiqua"/>
        </w:rPr>
        <w:t xml:space="preserve"> drugs</w:t>
      </w:r>
      <w:r w:rsidR="006D018D" w:rsidRPr="00EC514F">
        <w:rPr>
          <w:rFonts w:ascii="Book Antiqua" w:hAnsi="Book Antiqua"/>
        </w:rPr>
        <w:t xml:space="preserve"> may be restarted and</w:t>
      </w:r>
      <w:r w:rsidR="00B0755A" w:rsidRPr="00EC514F">
        <w:rPr>
          <w:rFonts w:ascii="Book Antiqua" w:hAnsi="Book Antiqua"/>
        </w:rPr>
        <w:t xml:space="preserve"> anticoagulation may be </w:t>
      </w:r>
      <w:proofErr w:type="spellStart"/>
      <w:r w:rsidR="00B0755A" w:rsidRPr="00EC514F">
        <w:rPr>
          <w:rFonts w:ascii="Book Antiqua" w:hAnsi="Book Antiqua"/>
        </w:rPr>
        <w:t>rechallenged</w:t>
      </w:r>
      <w:proofErr w:type="spellEnd"/>
      <w:r w:rsidR="006D018D" w:rsidRPr="00EC514F">
        <w:rPr>
          <w:rFonts w:ascii="Book Antiqua" w:hAnsi="Book Antiqua"/>
        </w:rPr>
        <w:t xml:space="preserve"> with either the same</w:t>
      </w:r>
      <w:r w:rsidR="00616959" w:rsidRPr="00EC514F">
        <w:rPr>
          <w:rFonts w:ascii="Book Antiqua" w:hAnsi="Book Antiqua"/>
        </w:rPr>
        <w:t xml:space="preserve"> </w:t>
      </w:r>
      <w:r w:rsidR="00657BD6" w:rsidRPr="00EC514F">
        <w:rPr>
          <w:rFonts w:ascii="Book Antiqua" w:hAnsi="Book Antiqua" w:cs="Arial"/>
        </w:rPr>
        <w:t>International Normalized Ratio (</w:t>
      </w:r>
      <w:r w:rsidR="00616959" w:rsidRPr="00EC514F">
        <w:rPr>
          <w:rFonts w:ascii="Book Antiqua" w:hAnsi="Book Antiqua"/>
        </w:rPr>
        <w:t>INR</w:t>
      </w:r>
      <w:r w:rsidR="00657BD6" w:rsidRPr="00EC514F">
        <w:rPr>
          <w:rFonts w:ascii="Book Antiqua" w:hAnsi="Book Antiqua" w:cs="Arial"/>
        </w:rPr>
        <w:t>)</w:t>
      </w:r>
      <w:r w:rsidR="00616959" w:rsidRPr="00EC514F">
        <w:rPr>
          <w:rFonts w:ascii="Book Antiqua" w:hAnsi="Book Antiqua"/>
        </w:rPr>
        <w:t xml:space="preserve"> </w:t>
      </w:r>
      <w:r w:rsidR="006D018D" w:rsidRPr="00EC514F">
        <w:rPr>
          <w:rFonts w:ascii="Book Antiqua" w:hAnsi="Book Antiqua"/>
        </w:rPr>
        <w:t>goal (typically</w:t>
      </w:r>
      <w:r w:rsidR="00616959" w:rsidRPr="00EC514F">
        <w:rPr>
          <w:rFonts w:ascii="Book Antiqua" w:hAnsi="Book Antiqua"/>
        </w:rPr>
        <w:t xml:space="preserve"> </w:t>
      </w:r>
      <w:r w:rsidR="00052266" w:rsidRPr="00EC514F">
        <w:rPr>
          <w:rFonts w:ascii="Book Antiqua" w:hAnsi="Book Antiqua"/>
        </w:rPr>
        <w:t>1.5-3.5</w:t>
      </w:r>
      <w:r w:rsidR="006D018D" w:rsidRPr="00EC514F">
        <w:rPr>
          <w:rFonts w:ascii="Book Antiqua" w:hAnsi="Book Antiqua"/>
        </w:rPr>
        <w:t xml:space="preserve">) or at a reduced </w:t>
      </w:r>
      <w:proofErr w:type="gramStart"/>
      <w:r w:rsidR="006D018D" w:rsidRPr="00EC514F">
        <w:rPr>
          <w:rFonts w:ascii="Book Antiqua" w:hAnsi="Book Antiqua"/>
        </w:rPr>
        <w:t>goal</w:t>
      </w:r>
      <w:r w:rsidR="00AA2CAF" w:rsidRPr="00EC514F">
        <w:rPr>
          <w:rFonts w:ascii="Book Antiqua" w:hAnsi="Book Antiqua"/>
          <w:vertAlign w:val="superscript"/>
        </w:rPr>
        <w:t>[</w:t>
      </w:r>
      <w:proofErr w:type="gramEnd"/>
      <w:r w:rsidR="00AA2CAF" w:rsidRPr="00EC514F">
        <w:rPr>
          <w:rFonts w:ascii="Book Antiqua" w:hAnsi="Book Antiqua"/>
          <w:vertAlign w:val="superscript"/>
        </w:rPr>
        <w:t>17,18]</w:t>
      </w:r>
      <w:r w:rsidR="00616959" w:rsidRPr="00EC514F">
        <w:rPr>
          <w:rFonts w:ascii="Book Antiqua" w:hAnsi="Book Antiqua"/>
        </w:rPr>
        <w:t xml:space="preserve">. </w:t>
      </w:r>
      <w:r w:rsidR="006D018D" w:rsidRPr="00EC514F">
        <w:rPr>
          <w:rFonts w:ascii="Book Antiqua" w:hAnsi="Book Antiqua"/>
        </w:rPr>
        <w:t xml:space="preserve"> </w:t>
      </w:r>
      <w:r w:rsidR="00F616B0" w:rsidRPr="00EC514F">
        <w:rPr>
          <w:rFonts w:ascii="Book Antiqua" w:hAnsi="Book Antiqua"/>
        </w:rPr>
        <w:t xml:space="preserve">Those patients with a high frequency of GI </w:t>
      </w:r>
      <w:r w:rsidR="00F616B0" w:rsidRPr="00EC514F">
        <w:rPr>
          <w:rFonts w:ascii="Book Antiqua" w:hAnsi="Book Antiqua" w:cs="Arial"/>
        </w:rPr>
        <w:t>bleeding</w:t>
      </w:r>
      <w:r w:rsidR="00F616B0" w:rsidRPr="00EC514F">
        <w:rPr>
          <w:rFonts w:ascii="Book Antiqua" w:hAnsi="Book Antiqua"/>
        </w:rPr>
        <w:t xml:space="preserve"> may have both antiplatelet and </w:t>
      </w:r>
      <w:r w:rsidR="00F616B0" w:rsidRPr="00EC514F">
        <w:rPr>
          <w:rFonts w:ascii="Book Antiqua" w:hAnsi="Book Antiqua" w:cs="Arial"/>
        </w:rPr>
        <w:t xml:space="preserve">anticoagulation medications </w:t>
      </w:r>
      <w:r w:rsidR="00F616B0" w:rsidRPr="00EC514F">
        <w:rPr>
          <w:rFonts w:ascii="Book Antiqua" w:hAnsi="Book Antiqua"/>
        </w:rPr>
        <w:t xml:space="preserve">discontinued </w:t>
      </w:r>
      <w:r w:rsidR="00F616B0" w:rsidRPr="00EC514F">
        <w:rPr>
          <w:rFonts w:ascii="Book Antiqua" w:hAnsi="Book Antiqua" w:cs="Arial"/>
        </w:rPr>
        <w:t xml:space="preserve">for an extended period of time, thus imparting significant risk for LVAD thrombosis. </w:t>
      </w:r>
    </w:p>
    <w:p w14:paraId="22E142A3" w14:textId="319911B4" w:rsidR="00DA094E" w:rsidRPr="00EC514F" w:rsidRDefault="001E49AE" w:rsidP="00A12596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r w:rsidRPr="00EC514F">
        <w:rPr>
          <w:rFonts w:ascii="Book Antiqua" w:hAnsi="Book Antiqua"/>
        </w:rPr>
        <w:t xml:space="preserve">While present day continuous flow devices have several advantages over the older pulsatile pumps, they </w:t>
      </w:r>
      <w:r w:rsidR="00957D53" w:rsidRPr="00EC514F">
        <w:rPr>
          <w:rFonts w:ascii="Book Antiqua" w:hAnsi="Book Antiqua"/>
        </w:rPr>
        <w:t xml:space="preserve">have been implicated in the </w:t>
      </w:r>
      <w:r w:rsidR="0033057F" w:rsidRPr="00EC514F">
        <w:rPr>
          <w:rFonts w:ascii="Book Antiqua" w:hAnsi="Book Antiqua"/>
        </w:rPr>
        <w:t xml:space="preserve">higher risk for </w:t>
      </w:r>
      <w:r w:rsidR="00182E49" w:rsidRPr="00EC514F">
        <w:rPr>
          <w:rFonts w:ascii="Book Antiqua" w:hAnsi="Book Antiqua"/>
        </w:rPr>
        <w:t xml:space="preserve">the </w:t>
      </w:r>
      <w:r w:rsidR="00957D53" w:rsidRPr="00EC514F">
        <w:rPr>
          <w:rFonts w:ascii="Book Antiqua" w:hAnsi="Book Antiqua"/>
        </w:rPr>
        <w:t xml:space="preserve">formation of </w:t>
      </w:r>
      <w:r w:rsidR="00B81FE6" w:rsidRPr="00EC514F">
        <w:rPr>
          <w:rFonts w:ascii="Book Antiqua" w:hAnsi="Book Antiqua"/>
        </w:rPr>
        <w:t xml:space="preserve">AVMs </w:t>
      </w:r>
      <w:r w:rsidR="00957D53" w:rsidRPr="00EC514F">
        <w:rPr>
          <w:rFonts w:ascii="Book Antiqua" w:hAnsi="Book Antiqua"/>
        </w:rPr>
        <w:t xml:space="preserve">and increased </w:t>
      </w:r>
      <w:r w:rsidR="00C94C27" w:rsidRPr="00EC514F">
        <w:rPr>
          <w:rFonts w:ascii="Book Antiqua" w:hAnsi="Book Antiqua"/>
        </w:rPr>
        <w:t xml:space="preserve">GI </w:t>
      </w:r>
      <w:r w:rsidR="00957D53" w:rsidRPr="00EC514F">
        <w:rPr>
          <w:rFonts w:ascii="Book Antiqua" w:hAnsi="Book Antiqua"/>
        </w:rPr>
        <w:t>bleed</w:t>
      </w:r>
      <w:r w:rsidR="005D4988" w:rsidRPr="00EC514F">
        <w:rPr>
          <w:rFonts w:ascii="Book Antiqua" w:hAnsi="Book Antiqua"/>
        </w:rPr>
        <w:t>ing</w:t>
      </w:r>
      <w:r w:rsidR="00957D53" w:rsidRPr="00EC514F">
        <w:rPr>
          <w:rFonts w:ascii="Book Antiqua" w:hAnsi="Book Antiqua"/>
        </w:rPr>
        <w:t>.</w:t>
      </w:r>
      <w:r w:rsidR="00747609" w:rsidRPr="00EC514F">
        <w:rPr>
          <w:rFonts w:ascii="Book Antiqua" w:hAnsi="Book Antiqua"/>
        </w:rPr>
        <w:t xml:space="preserve"> It is thought that continuous flow LVADs lead to intestinal hypoperfusion, local hypoxia, vascular dilation, and AVM </w:t>
      </w:r>
      <w:proofErr w:type="gramStart"/>
      <w:r w:rsidR="00747609" w:rsidRPr="00EC514F">
        <w:rPr>
          <w:rFonts w:ascii="Book Antiqua" w:hAnsi="Book Antiqua"/>
        </w:rPr>
        <w:t>formation</w:t>
      </w:r>
      <w:r w:rsidR="00803E11" w:rsidRPr="00EC514F">
        <w:rPr>
          <w:rFonts w:ascii="Book Antiqua" w:hAnsi="Book Antiqua"/>
          <w:vertAlign w:val="superscript"/>
        </w:rPr>
        <w:t>[</w:t>
      </w:r>
      <w:proofErr w:type="gramEnd"/>
      <w:r w:rsidR="00803E11" w:rsidRPr="00EC514F">
        <w:rPr>
          <w:rFonts w:ascii="Book Antiqua" w:hAnsi="Book Antiqua"/>
          <w:vertAlign w:val="superscript"/>
        </w:rPr>
        <w:t>19]</w:t>
      </w:r>
      <w:r w:rsidR="00747609" w:rsidRPr="00EC514F">
        <w:rPr>
          <w:rFonts w:ascii="Book Antiqua" w:hAnsi="Book Antiqua"/>
        </w:rPr>
        <w:t>.</w:t>
      </w:r>
      <w:r w:rsidR="00957D53" w:rsidRPr="00EC514F">
        <w:rPr>
          <w:rFonts w:ascii="Book Antiqua" w:hAnsi="Book Antiqua"/>
        </w:rPr>
        <w:t xml:space="preserve"> One tech</w:t>
      </w:r>
      <w:r w:rsidR="00DA094E" w:rsidRPr="00EC514F">
        <w:rPr>
          <w:rFonts w:ascii="Book Antiqua" w:hAnsi="Book Antiqua"/>
        </w:rPr>
        <w:t xml:space="preserve">nique that can be instituted </w:t>
      </w:r>
      <w:r w:rsidR="00657BD6" w:rsidRPr="00EC514F">
        <w:rPr>
          <w:rFonts w:ascii="Book Antiqua" w:hAnsi="Book Antiqua"/>
        </w:rPr>
        <w:t xml:space="preserve">to reduce GI </w:t>
      </w:r>
      <w:r w:rsidR="00657BD6" w:rsidRPr="00EC514F">
        <w:rPr>
          <w:rFonts w:ascii="Book Antiqua" w:hAnsi="Book Antiqua" w:cs="Arial"/>
        </w:rPr>
        <w:t>bleeding</w:t>
      </w:r>
      <w:r w:rsidR="00C94C27" w:rsidRPr="00EC514F">
        <w:rPr>
          <w:rFonts w:ascii="Book Antiqua" w:hAnsi="Book Antiqua"/>
        </w:rPr>
        <w:t xml:space="preserve"> </w:t>
      </w:r>
      <w:r w:rsidR="00DA094E" w:rsidRPr="00EC514F">
        <w:rPr>
          <w:rFonts w:ascii="Book Antiqua" w:hAnsi="Book Antiqua"/>
        </w:rPr>
        <w:t>is reducing the pump speed under ECHO guidan</w:t>
      </w:r>
      <w:r w:rsidR="00233308" w:rsidRPr="00EC514F">
        <w:rPr>
          <w:rFonts w:ascii="Book Antiqua" w:hAnsi="Book Antiqua"/>
        </w:rPr>
        <w:t>ce to increase pulsating flow</w:t>
      </w:r>
      <w:r w:rsidR="00DA094E" w:rsidRPr="00EC514F">
        <w:rPr>
          <w:rFonts w:ascii="Book Antiqua" w:hAnsi="Book Antiqua"/>
        </w:rPr>
        <w:t xml:space="preserve"> while </w:t>
      </w:r>
      <w:r w:rsidR="00657BD6" w:rsidRPr="00EC514F">
        <w:rPr>
          <w:rFonts w:ascii="Book Antiqua" w:hAnsi="Book Antiqua" w:cs="Arial"/>
        </w:rPr>
        <w:t>e</w:t>
      </w:r>
      <w:r w:rsidR="00DA094E" w:rsidRPr="00EC514F">
        <w:rPr>
          <w:rFonts w:ascii="Book Antiqua" w:hAnsi="Book Antiqua" w:cs="Arial"/>
        </w:rPr>
        <w:t>nsuring</w:t>
      </w:r>
      <w:r w:rsidR="00DA094E" w:rsidRPr="00EC514F">
        <w:rPr>
          <w:rFonts w:ascii="Book Antiqua" w:hAnsi="Book Antiqua"/>
        </w:rPr>
        <w:t xml:space="preserve"> adequate LV off-</w:t>
      </w:r>
      <w:proofErr w:type="gramStart"/>
      <w:r w:rsidR="00DA094E" w:rsidRPr="00EC514F">
        <w:rPr>
          <w:rFonts w:ascii="Book Antiqua" w:hAnsi="Book Antiqua"/>
        </w:rPr>
        <w:t>loading</w:t>
      </w:r>
      <w:r w:rsidR="00A12596" w:rsidRPr="00EC514F">
        <w:rPr>
          <w:rFonts w:ascii="Book Antiqua" w:hAnsi="Book Antiqua"/>
          <w:vertAlign w:val="superscript"/>
        </w:rPr>
        <w:t>[</w:t>
      </w:r>
      <w:proofErr w:type="gramEnd"/>
      <w:r w:rsidR="00A12596" w:rsidRPr="00EC514F">
        <w:rPr>
          <w:rFonts w:ascii="Book Antiqua" w:hAnsi="Book Antiqua"/>
          <w:vertAlign w:val="superscript"/>
        </w:rPr>
        <w:t>5]</w:t>
      </w:r>
      <w:r w:rsidR="00DA094E" w:rsidRPr="00EC514F">
        <w:rPr>
          <w:rFonts w:ascii="Book Antiqua" w:hAnsi="Book Antiqua"/>
        </w:rPr>
        <w:t xml:space="preserve">. </w:t>
      </w:r>
      <w:r w:rsidR="00A30232" w:rsidRPr="00EC514F">
        <w:rPr>
          <w:rFonts w:ascii="Book Antiqua" w:hAnsi="Book Antiqua"/>
        </w:rPr>
        <w:t xml:space="preserve">One study looking at the factors of GI bleeds in LVAD patients found </w:t>
      </w:r>
      <w:r w:rsidR="006D018D" w:rsidRPr="00EC514F">
        <w:rPr>
          <w:rFonts w:ascii="Book Antiqua" w:hAnsi="Book Antiqua"/>
        </w:rPr>
        <w:t>decreases in</w:t>
      </w:r>
      <w:r w:rsidR="00887B1E" w:rsidRPr="00EC514F">
        <w:rPr>
          <w:rFonts w:ascii="Book Antiqua" w:hAnsi="Book Antiqua"/>
        </w:rPr>
        <w:t xml:space="preserve"> GI bleed</w:t>
      </w:r>
      <w:r w:rsidR="006074CE" w:rsidRPr="00EC514F">
        <w:rPr>
          <w:rFonts w:ascii="Book Antiqua" w:hAnsi="Book Antiqua"/>
        </w:rPr>
        <w:t>ing rates</w:t>
      </w:r>
      <w:r w:rsidR="00A30232" w:rsidRPr="00EC514F">
        <w:rPr>
          <w:rFonts w:ascii="Book Antiqua" w:hAnsi="Book Antiqua"/>
        </w:rPr>
        <w:t xml:space="preserve"> with only </w:t>
      </w:r>
      <w:r w:rsidR="006D018D" w:rsidRPr="00EC514F">
        <w:rPr>
          <w:rFonts w:ascii="Book Antiqua" w:hAnsi="Book Antiqua"/>
        </w:rPr>
        <w:t>small decreases in pump speed</w:t>
      </w:r>
      <w:r w:rsidR="00887B1E" w:rsidRPr="00EC514F">
        <w:rPr>
          <w:rFonts w:ascii="Book Antiqua" w:hAnsi="Book Antiqua"/>
        </w:rPr>
        <w:t xml:space="preserve"> </w:t>
      </w:r>
      <w:r w:rsidR="00A30232" w:rsidRPr="00EC514F">
        <w:rPr>
          <w:rFonts w:ascii="Book Antiqua" w:hAnsi="Book Antiqua"/>
        </w:rPr>
        <w:t>(HeartMate II 9560</w:t>
      </w:r>
      <w:r w:rsidR="00A30232" w:rsidRPr="00EC514F">
        <w:rPr>
          <w:rFonts w:ascii="MS Gothic" w:hAnsi="MS Gothic" w:cs="MS Gothic"/>
        </w:rPr>
        <w:t> </w:t>
      </w:r>
      <w:r w:rsidR="00A30232" w:rsidRPr="00EC514F">
        <w:rPr>
          <w:rStyle w:val="highlight"/>
          <w:rFonts w:ascii="Book Antiqua" w:hAnsi="Book Antiqua"/>
        </w:rPr>
        <w:t>rpm</w:t>
      </w:r>
      <w:r w:rsidR="006208D3" w:rsidRPr="00EC514F">
        <w:rPr>
          <w:rFonts w:ascii="Book Antiqua" w:hAnsi="Book Antiqua"/>
        </w:rPr>
        <w:t xml:space="preserve"> vs</w:t>
      </w:r>
      <w:r w:rsidR="00A30232" w:rsidRPr="00EC514F">
        <w:rPr>
          <w:rFonts w:ascii="Book Antiqua" w:hAnsi="Book Antiqua"/>
        </w:rPr>
        <w:t xml:space="preserve"> 9490</w:t>
      </w:r>
      <w:r w:rsidR="00A30232" w:rsidRPr="00EC514F">
        <w:rPr>
          <w:rFonts w:ascii="MS Gothic" w:hAnsi="MS Gothic" w:cs="MS Gothic"/>
        </w:rPr>
        <w:t> </w:t>
      </w:r>
      <w:r w:rsidR="00A30232" w:rsidRPr="00EC514F">
        <w:rPr>
          <w:rStyle w:val="highlight"/>
          <w:rFonts w:ascii="Book Antiqua" w:hAnsi="Book Antiqua"/>
        </w:rPr>
        <w:t>rpm</w:t>
      </w:r>
      <w:r w:rsidR="00A30232" w:rsidRPr="00EC514F">
        <w:rPr>
          <w:rFonts w:ascii="Book Antiqua" w:hAnsi="Book Antiqua"/>
        </w:rPr>
        <w:t>, P</w:t>
      </w:r>
      <w:r w:rsidR="00A30232" w:rsidRPr="00EC514F">
        <w:rPr>
          <w:rFonts w:ascii="MS Gothic" w:hAnsi="MS Gothic" w:cs="MS Gothic"/>
        </w:rPr>
        <w:t> </w:t>
      </w:r>
      <w:r w:rsidR="00A30232" w:rsidRPr="00EC514F">
        <w:rPr>
          <w:rFonts w:ascii="Book Antiqua" w:hAnsi="Book Antiqua"/>
        </w:rPr>
        <w:t>&lt;</w:t>
      </w:r>
      <w:r w:rsidR="00A30232" w:rsidRPr="00EC514F">
        <w:rPr>
          <w:rFonts w:ascii="MS Gothic" w:hAnsi="MS Gothic" w:cs="MS Gothic"/>
        </w:rPr>
        <w:t> </w:t>
      </w:r>
      <w:r w:rsidR="00A30232" w:rsidRPr="00EC514F">
        <w:rPr>
          <w:rFonts w:ascii="Book Antiqua" w:hAnsi="Book Antiqua"/>
        </w:rPr>
        <w:t xml:space="preserve">0.001; </w:t>
      </w:r>
      <w:proofErr w:type="spellStart"/>
      <w:r w:rsidR="00A30232" w:rsidRPr="00EC514F">
        <w:rPr>
          <w:rFonts w:ascii="Book Antiqua" w:hAnsi="Book Antiqua"/>
        </w:rPr>
        <w:t>HeartWare</w:t>
      </w:r>
      <w:proofErr w:type="spellEnd"/>
      <w:r w:rsidR="00A30232" w:rsidRPr="00EC514F">
        <w:rPr>
          <w:rFonts w:ascii="Book Antiqua" w:hAnsi="Book Antiqua"/>
        </w:rPr>
        <w:t xml:space="preserve"> 2949</w:t>
      </w:r>
      <w:r w:rsidR="00A30232" w:rsidRPr="00EC514F">
        <w:rPr>
          <w:rFonts w:ascii="MS Gothic" w:hAnsi="MS Gothic" w:cs="MS Gothic"/>
        </w:rPr>
        <w:t> </w:t>
      </w:r>
      <w:r w:rsidR="00A30232" w:rsidRPr="00EC514F">
        <w:rPr>
          <w:rStyle w:val="highlight"/>
          <w:rFonts w:ascii="Book Antiqua" w:hAnsi="Book Antiqua"/>
        </w:rPr>
        <w:t>rpm</w:t>
      </w:r>
      <w:r w:rsidR="006208D3" w:rsidRPr="00EC514F">
        <w:rPr>
          <w:rFonts w:ascii="Book Antiqua" w:hAnsi="Book Antiqua"/>
        </w:rPr>
        <w:t xml:space="preserve"> </w:t>
      </w:r>
      <w:r w:rsidR="006208D3" w:rsidRPr="00A12596">
        <w:rPr>
          <w:rFonts w:ascii="Book Antiqua" w:hAnsi="Book Antiqua"/>
          <w:i/>
        </w:rPr>
        <w:t>vs</w:t>
      </w:r>
      <w:r w:rsidR="00A30232" w:rsidRPr="00EC514F">
        <w:rPr>
          <w:rFonts w:ascii="Book Antiqua" w:hAnsi="Book Antiqua"/>
        </w:rPr>
        <w:t xml:space="preserve"> 2710</w:t>
      </w:r>
      <w:r w:rsidR="00A30232" w:rsidRPr="00EC514F">
        <w:rPr>
          <w:rFonts w:ascii="MS Gothic" w:hAnsi="MS Gothic" w:cs="MS Gothic"/>
        </w:rPr>
        <w:t> </w:t>
      </w:r>
      <w:r w:rsidR="00A30232" w:rsidRPr="00EC514F">
        <w:rPr>
          <w:rStyle w:val="highlight"/>
          <w:rFonts w:ascii="Book Antiqua" w:hAnsi="Book Antiqua"/>
        </w:rPr>
        <w:t>rpm</w:t>
      </w:r>
      <w:r w:rsidR="00AA180F" w:rsidRPr="00EC514F">
        <w:rPr>
          <w:rFonts w:ascii="Book Antiqua" w:hAnsi="Book Antiqua"/>
        </w:rPr>
        <w:t>, P</w:t>
      </w:r>
      <w:r w:rsidR="00AA180F" w:rsidRPr="00EC514F">
        <w:rPr>
          <w:rFonts w:ascii="MS Gothic" w:hAnsi="MS Gothic" w:cs="MS Gothic"/>
        </w:rPr>
        <w:t> </w:t>
      </w:r>
      <w:r w:rsidR="00AA180F" w:rsidRPr="00EC514F">
        <w:rPr>
          <w:rFonts w:ascii="Book Antiqua" w:hAnsi="Book Antiqua"/>
        </w:rPr>
        <w:t>&lt;</w:t>
      </w:r>
      <w:r w:rsidR="00AA180F" w:rsidRPr="00EC514F">
        <w:rPr>
          <w:rFonts w:ascii="MS Gothic" w:hAnsi="MS Gothic" w:cs="MS Gothic"/>
        </w:rPr>
        <w:t> </w:t>
      </w:r>
      <w:proofErr w:type="gramStart"/>
      <w:r w:rsidR="00AA180F" w:rsidRPr="00EC514F">
        <w:rPr>
          <w:rFonts w:ascii="Book Antiqua" w:hAnsi="Book Antiqua"/>
        </w:rPr>
        <w:t>0.001)</w:t>
      </w:r>
      <w:r w:rsidR="00A12596" w:rsidRPr="00EC514F">
        <w:rPr>
          <w:rFonts w:ascii="Book Antiqua" w:hAnsi="Book Antiqua"/>
          <w:vertAlign w:val="superscript"/>
        </w:rPr>
        <w:t>[</w:t>
      </w:r>
      <w:proofErr w:type="gramEnd"/>
      <w:r w:rsidR="00A12596" w:rsidRPr="00EC514F">
        <w:rPr>
          <w:rFonts w:ascii="Book Antiqua" w:hAnsi="Book Antiqua"/>
          <w:vertAlign w:val="superscript"/>
        </w:rPr>
        <w:t>20]</w:t>
      </w:r>
      <w:r w:rsidR="00A30232" w:rsidRPr="00EC514F">
        <w:rPr>
          <w:rFonts w:ascii="Book Antiqua" w:hAnsi="Book Antiqua"/>
        </w:rPr>
        <w:t>.</w:t>
      </w:r>
    </w:p>
    <w:p w14:paraId="36C62542" w14:textId="0FA1935D" w:rsidR="005D4988" w:rsidRPr="00EC514F" w:rsidRDefault="006F4FE5" w:rsidP="00A12596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 xml:space="preserve">Other conservative </w:t>
      </w:r>
      <w:r w:rsidRPr="00EC514F">
        <w:rPr>
          <w:rFonts w:ascii="Book Antiqua" w:eastAsia="Times New Roman" w:hAnsi="Book Antiqua" w:cs="Arial"/>
        </w:rPr>
        <w:t>management</w:t>
      </w:r>
      <w:r w:rsidR="00815F4C" w:rsidRPr="00EC514F">
        <w:rPr>
          <w:rFonts w:ascii="Book Antiqua" w:eastAsia="Times New Roman" w:hAnsi="Book Antiqua" w:cs="Arial"/>
        </w:rPr>
        <w:t xml:space="preserve"> </w:t>
      </w:r>
      <w:r w:rsidR="001E49AE" w:rsidRPr="00EC514F">
        <w:rPr>
          <w:rFonts w:ascii="Book Antiqua" w:eastAsia="Times New Roman" w:hAnsi="Book Antiqua" w:cs="Arial"/>
        </w:rPr>
        <w:t xml:space="preserve">strategies </w:t>
      </w:r>
      <w:r w:rsidR="00815F4C" w:rsidRPr="00EC514F">
        <w:rPr>
          <w:rFonts w:ascii="Book Antiqua" w:eastAsia="Times New Roman" w:hAnsi="Book Antiqua" w:cs="Arial"/>
        </w:rPr>
        <w:t>for active GI bleeding and prevention of future episodes</w:t>
      </w:r>
      <w:r w:rsidRPr="00EC514F">
        <w:rPr>
          <w:rFonts w:ascii="Book Antiqua" w:hAnsi="Book Antiqua"/>
        </w:rPr>
        <w:t xml:space="preserve"> </w:t>
      </w:r>
      <w:r w:rsidR="00657BD6" w:rsidRPr="00EC514F">
        <w:rPr>
          <w:rFonts w:ascii="Book Antiqua" w:hAnsi="Book Antiqua"/>
        </w:rPr>
        <w:t xml:space="preserve">include </w:t>
      </w:r>
      <w:r w:rsidR="008A0B98" w:rsidRPr="00EC514F">
        <w:rPr>
          <w:rFonts w:ascii="Book Antiqua" w:hAnsi="Book Antiqua"/>
        </w:rPr>
        <w:t>prophylactic</w:t>
      </w:r>
      <w:r w:rsidRPr="00EC514F">
        <w:rPr>
          <w:rFonts w:ascii="Book Antiqua" w:hAnsi="Book Antiqua"/>
        </w:rPr>
        <w:t xml:space="preserve"> proton pump inhibitor (PPI) use and </w:t>
      </w:r>
      <w:r w:rsidR="00657BD6" w:rsidRPr="00EC514F">
        <w:rPr>
          <w:rFonts w:ascii="Book Antiqua" w:eastAsia="Times New Roman" w:hAnsi="Book Antiqua" w:cs="Arial"/>
        </w:rPr>
        <w:t xml:space="preserve">reversal of </w:t>
      </w:r>
      <w:r w:rsidR="00657BD6" w:rsidRPr="00EC514F">
        <w:rPr>
          <w:rFonts w:ascii="Book Antiqua" w:hAnsi="Book Antiqua"/>
        </w:rPr>
        <w:t>anticoagulation</w:t>
      </w:r>
      <w:r w:rsidRPr="00EC514F">
        <w:rPr>
          <w:rFonts w:ascii="Book Antiqua" w:hAnsi="Book Antiqua"/>
        </w:rPr>
        <w:t xml:space="preserve">. PPIs are </w:t>
      </w:r>
      <w:r w:rsidR="00483EE7" w:rsidRPr="00EC514F">
        <w:rPr>
          <w:rFonts w:ascii="Book Antiqua" w:hAnsi="Book Antiqua"/>
        </w:rPr>
        <w:t xml:space="preserve">often </w:t>
      </w:r>
      <w:r w:rsidRPr="00EC514F">
        <w:rPr>
          <w:rFonts w:ascii="Book Antiqua" w:hAnsi="Book Antiqua"/>
        </w:rPr>
        <w:t>prescribed to LVAD pa</w:t>
      </w:r>
      <w:r w:rsidR="00657BD6" w:rsidRPr="00EC514F">
        <w:rPr>
          <w:rFonts w:ascii="Book Antiqua" w:hAnsi="Book Antiqua"/>
        </w:rPr>
        <w:t xml:space="preserve">tients, especially when they </w:t>
      </w:r>
      <w:r w:rsidR="00657BD6" w:rsidRPr="00EC514F">
        <w:rPr>
          <w:rFonts w:ascii="Book Antiqua" w:eastAsia="Times New Roman" w:hAnsi="Book Antiqua" w:cs="Arial"/>
        </w:rPr>
        <w:t xml:space="preserve">have </w:t>
      </w:r>
      <w:r w:rsidR="00657BD6" w:rsidRPr="00EC514F">
        <w:rPr>
          <w:rFonts w:ascii="Book Antiqua" w:hAnsi="Book Antiqua"/>
        </w:rPr>
        <w:t>had</w:t>
      </w:r>
      <w:r w:rsidR="00657BD6" w:rsidRPr="00EC514F">
        <w:rPr>
          <w:rFonts w:ascii="Book Antiqua" w:eastAsia="Times New Roman" w:hAnsi="Book Antiqua" w:cs="Arial"/>
        </w:rPr>
        <w:t xml:space="preserve"> prior</w:t>
      </w:r>
      <w:r w:rsidR="00657BD6" w:rsidRPr="00EC514F">
        <w:rPr>
          <w:rFonts w:ascii="Book Antiqua" w:hAnsi="Book Antiqua"/>
        </w:rPr>
        <w:t xml:space="preserve"> episodes of GI </w:t>
      </w:r>
      <w:r w:rsidR="00657BD6" w:rsidRPr="00EC514F">
        <w:rPr>
          <w:rFonts w:ascii="Book Antiqua" w:eastAsia="Times New Roman" w:hAnsi="Book Antiqua" w:cs="Arial"/>
        </w:rPr>
        <w:t>bleeding</w:t>
      </w:r>
      <w:r w:rsidRPr="00EC514F">
        <w:rPr>
          <w:rFonts w:ascii="Book Antiqua" w:eastAsia="Times New Roman" w:hAnsi="Book Antiqua" w:cs="Arial"/>
        </w:rPr>
        <w:t>.</w:t>
      </w:r>
      <w:r w:rsidRPr="00EC514F">
        <w:rPr>
          <w:rFonts w:ascii="Book Antiqua" w:hAnsi="Book Antiqua"/>
        </w:rPr>
        <w:t xml:space="preserve"> </w:t>
      </w:r>
      <w:r w:rsidR="00483EE7" w:rsidRPr="00EC514F">
        <w:rPr>
          <w:rFonts w:ascii="Book Antiqua" w:hAnsi="Book Antiqua"/>
        </w:rPr>
        <w:t xml:space="preserve">However, </w:t>
      </w:r>
      <w:r w:rsidR="00657BD6" w:rsidRPr="00EC514F">
        <w:rPr>
          <w:rFonts w:ascii="Book Antiqua" w:eastAsia="Times New Roman" w:hAnsi="Book Antiqua" w:cs="Arial"/>
        </w:rPr>
        <w:t xml:space="preserve">the </w:t>
      </w:r>
      <w:r w:rsidR="006074CE" w:rsidRPr="00EC514F">
        <w:rPr>
          <w:rFonts w:ascii="Book Antiqua" w:eastAsia="Times New Roman" w:hAnsi="Book Antiqua" w:cs="Arial"/>
        </w:rPr>
        <w:t xml:space="preserve">risk reduction </w:t>
      </w:r>
      <w:r w:rsidR="00657BD6" w:rsidRPr="00EC514F">
        <w:rPr>
          <w:rFonts w:ascii="Book Antiqua" w:eastAsia="Times New Roman" w:hAnsi="Book Antiqua" w:cs="Arial"/>
        </w:rPr>
        <w:t>of</w:t>
      </w:r>
      <w:r w:rsidR="00657BD6" w:rsidRPr="00EC514F">
        <w:rPr>
          <w:rFonts w:ascii="Book Antiqua" w:hAnsi="Book Antiqua"/>
        </w:rPr>
        <w:t xml:space="preserve"> further </w:t>
      </w:r>
      <w:r w:rsidR="00657BD6" w:rsidRPr="00EC514F">
        <w:rPr>
          <w:rFonts w:ascii="Book Antiqua" w:eastAsia="Times New Roman" w:hAnsi="Book Antiqua" w:cs="Arial"/>
        </w:rPr>
        <w:t xml:space="preserve">GI </w:t>
      </w:r>
      <w:r w:rsidR="00657BD6" w:rsidRPr="00EC514F">
        <w:rPr>
          <w:rFonts w:ascii="Book Antiqua" w:hAnsi="Book Antiqua"/>
        </w:rPr>
        <w:t xml:space="preserve">bleeding </w:t>
      </w:r>
      <w:r w:rsidR="00657BD6" w:rsidRPr="00EC514F">
        <w:rPr>
          <w:rFonts w:ascii="Book Antiqua" w:eastAsia="Times New Roman" w:hAnsi="Book Antiqua" w:cs="Arial"/>
        </w:rPr>
        <w:t>is</w:t>
      </w:r>
      <w:r w:rsidR="00657BD6" w:rsidRPr="00EC514F">
        <w:rPr>
          <w:rFonts w:ascii="Book Antiqua" w:hAnsi="Book Antiqua"/>
        </w:rPr>
        <w:t xml:space="preserve"> marginal</w:t>
      </w:r>
      <w:r w:rsidR="0033057F" w:rsidRPr="00EC514F">
        <w:rPr>
          <w:rFonts w:ascii="Book Antiqua" w:hAnsi="Book Antiqua"/>
        </w:rPr>
        <w:t xml:space="preserve"> as the majo</w:t>
      </w:r>
      <w:r w:rsidR="0063232F" w:rsidRPr="00EC514F">
        <w:rPr>
          <w:rFonts w:ascii="Book Antiqua" w:hAnsi="Book Antiqua"/>
        </w:rPr>
        <w:t xml:space="preserve">rity of bleeding are from </w:t>
      </w:r>
      <w:r w:rsidR="00B81FE6" w:rsidRPr="00EC514F">
        <w:rPr>
          <w:rFonts w:ascii="Book Antiqua" w:hAnsi="Book Antiqua"/>
        </w:rPr>
        <w:t>AVM</w:t>
      </w:r>
      <w:r w:rsidR="006E6154" w:rsidRPr="00EC514F">
        <w:rPr>
          <w:rFonts w:ascii="Book Antiqua" w:hAnsi="Book Antiqua"/>
        </w:rPr>
        <w:t>s</w:t>
      </w:r>
      <w:r w:rsidR="00657BD6" w:rsidRPr="00EC514F">
        <w:rPr>
          <w:rFonts w:ascii="Book Antiqua" w:hAnsi="Book Antiqua"/>
        </w:rPr>
        <w:t xml:space="preserve">. </w:t>
      </w:r>
      <w:r w:rsidR="008A0B98" w:rsidRPr="00EC514F">
        <w:rPr>
          <w:rFonts w:ascii="Book Antiqua" w:hAnsi="Book Antiqua"/>
        </w:rPr>
        <w:t>PPI use</w:t>
      </w:r>
      <w:r w:rsidR="00C94C27" w:rsidRPr="00EC514F">
        <w:rPr>
          <w:rFonts w:ascii="Book Antiqua" w:hAnsi="Book Antiqua"/>
        </w:rPr>
        <w:t xml:space="preserve"> was similar</w:t>
      </w:r>
      <w:r w:rsidR="00483EE7" w:rsidRPr="00EC514F">
        <w:rPr>
          <w:rFonts w:ascii="Book Antiqua" w:hAnsi="Book Antiqua"/>
        </w:rPr>
        <w:t xml:space="preserve"> between those that did have GI bleed</w:t>
      </w:r>
      <w:r w:rsidR="00EE6540" w:rsidRPr="00EC514F">
        <w:rPr>
          <w:rFonts w:ascii="Book Antiqua" w:hAnsi="Book Antiqua"/>
        </w:rPr>
        <w:t>ing</w:t>
      </w:r>
      <w:r w:rsidR="00483EE7" w:rsidRPr="00EC514F">
        <w:rPr>
          <w:rFonts w:ascii="Book Antiqua" w:hAnsi="Book Antiqua"/>
        </w:rPr>
        <w:t xml:space="preserve"> v</w:t>
      </w:r>
      <w:r w:rsidR="00556114" w:rsidRPr="00EC514F">
        <w:rPr>
          <w:rFonts w:ascii="Book Antiqua" w:hAnsi="Book Antiqua"/>
        </w:rPr>
        <w:t>ersu</w:t>
      </w:r>
      <w:r w:rsidR="00483EE7" w:rsidRPr="00EC514F">
        <w:rPr>
          <w:rFonts w:ascii="Book Antiqua" w:hAnsi="Book Antiqua"/>
        </w:rPr>
        <w:t xml:space="preserve">s those </w:t>
      </w:r>
      <w:r w:rsidR="00556114" w:rsidRPr="00EC514F">
        <w:rPr>
          <w:rFonts w:ascii="Book Antiqua" w:hAnsi="Book Antiqua"/>
        </w:rPr>
        <w:t xml:space="preserve">that did not in a study </w:t>
      </w:r>
      <w:r w:rsidR="00483EE7" w:rsidRPr="00EC514F">
        <w:rPr>
          <w:rFonts w:ascii="Book Antiqua" w:hAnsi="Book Antiqua"/>
        </w:rPr>
        <w:t>observing 101 LV</w:t>
      </w:r>
      <w:r w:rsidR="00AA180F" w:rsidRPr="00EC514F">
        <w:rPr>
          <w:rFonts w:ascii="Book Antiqua" w:hAnsi="Book Antiqua"/>
        </w:rPr>
        <w:t>AD patients (</w:t>
      </w:r>
      <w:r w:rsidR="00AA180F" w:rsidRPr="00A12596">
        <w:rPr>
          <w:rFonts w:ascii="Book Antiqua" w:hAnsi="Book Antiqua"/>
          <w:i/>
          <w:caps/>
        </w:rPr>
        <w:t>p</w:t>
      </w:r>
      <w:r w:rsidR="00A12596">
        <w:rPr>
          <w:rFonts w:ascii="Book Antiqua" w:hAnsi="Book Antiqua"/>
          <w:i/>
          <w:caps/>
        </w:rPr>
        <w:t xml:space="preserve"> </w:t>
      </w:r>
      <w:r w:rsidR="00AA180F" w:rsidRPr="00EC514F">
        <w:rPr>
          <w:rFonts w:ascii="Book Antiqua" w:hAnsi="Book Antiqua"/>
        </w:rPr>
        <w:t>=</w:t>
      </w:r>
      <w:r w:rsidR="00A12596">
        <w:rPr>
          <w:rFonts w:ascii="Book Antiqua" w:hAnsi="Book Antiqua"/>
        </w:rPr>
        <w:t xml:space="preserve"> </w:t>
      </w:r>
      <w:proofErr w:type="gramStart"/>
      <w:r w:rsidR="00AA180F" w:rsidRPr="00EC514F">
        <w:rPr>
          <w:rFonts w:ascii="Book Antiqua" w:hAnsi="Book Antiqua"/>
        </w:rPr>
        <w:t>0.47)</w:t>
      </w:r>
      <w:r w:rsidR="00A12596" w:rsidRPr="00EC514F">
        <w:rPr>
          <w:rFonts w:ascii="Book Antiqua" w:hAnsi="Book Antiqua"/>
          <w:vertAlign w:val="superscript"/>
        </w:rPr>
        <w:t>[</w:t>
      </w:r>
      <w:proofErr w:type="gramEnd"/>
      <w:r w:rsidR="00A12596" w:rsidRPr="00EC514F">
        <w:rPr>
          <w:rFonts w:ascii="Book Antiqua" w:hAnsi="Book Antiqua"/>
          <w:vertAlign w:val="superscript"/>
        </w:rPr>
        <w:t>18]</w:t>
      </w:r>
      <w:r w:rsidR="00AA180F" w:rsidRPr="00EC514F">
        <w:rPr>
          <w:rFonts w:ascii="Book Antiqua" w:hAnsi="Book Antiqua"/>
        </w:rPr>
        <w:t>.</w:t>
      </w:r>
      <w:r w:rsidR="008D4891" w:rsidRPr="00EC514F">
        <w:rPr>
          <w:rFonts w:ascii="Book Antiqua" w:hAnsi="Book Antiqua"/>
        </w:rPr>
        <w:t xml:space="preserve"> </w:t>
      </w:r>
    </w:p>
    <w:p w14:paraId="6A9017BC" w14:textId="732E00D8" w:rsidR="005F0DEB" w:rsidRPr="00EC514F" w:rsidRDefault="003A722F" w:rsidP="00A12596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i/>
        </w:rPr>
      </w:pPr>
      <w:r w:rsidRPr="00EC514F">
        <w:rPr>
          <w:rFonts w:ascii="Book Antiqua" w:hAnsi="Book Antiqua"/>
        </w:rPr>
        <w:t xml:space="preserve">Reversal of anticoagulation </w:t>
      </w:r>
      <w:r w:rsidR="001E49AE" w:rsidRPr="00EC514F">
        <w:rPr>
          <w:rFonts w:ascii="Book Antiqua" w:hAnsi="Book Antiqua"/>
        </w:rPr>
        <w:t xml:space="preserve">is </w:t>
      </w:r>
      <w:r w:rsidR="00916166" w:rsidRPr="00EC514F">
        <w:rPr>
          <w:rFonts w:ascii="Book Antiqua" w:hAnsi="Book Antiqua"/>
        </w:rPr>
        <w:t>typically done with a combination of vitamin K (oral or IV), fresh frozen plasma</w:t>
      </w:r>
      <w:r w:rsidR="00182E49" w:rsidRPr="00EC514F">
        <w:rPr>
          <w:rFonts w:ascii="Book Antiqua" w:hAnsi="Book Antiqua"/>
        </w:rPr>
        <w:t xml:space="preserve"> (FFP)</w:t>
      </w:r>
      <w:r w:rsidR="00916166" w:rsidRPr="00EC514F">
        <w:rPr>
          <w:rFonts w:ascii="Book Antiqua" w:hAnsi="Book Antiqua"/>
        </w:rPr>
        <w:t xml:space="preserve"> and/or prothrombin complex concentrate (PCC). There is currently a lack of high-quality, prospective large-scale stud</w:t>
      </w:r>
      <w:r w:rsidR="008A0B98" w:rsidRPr="00EC514F">
        <w:rPr>
          <w:rFonts w:ascii="Book Antiqua" w:hAnsi="Book Antiqua"/>
        </w:rPr>
        <w:t>ies</w:t>
      </w:r>
      <w:r w:rsidR="00916166" w:rsidRPr="00EC514F">
        <w:rPr>
          <w:rFonts w:ascii="Book Antiqua" w:hAnsi="Book Antiqua"/>
        </w:rPr>
        <w:t xml:space="preserve"> </w:t>
      </w:r>
      <w:r w:rsidR="001E49AE" w:rsidRPr="00EC514F">
        <w:rPr>
          <w:rFonts w:ascii="Book Antiqua" w:hAnsi="Book Antiqua"/>
        </w:rPr>
        <w:t>providing</w:t>
      </w:r>
      <w:r w:rsidR="00916166" w:rsidRPr="00EC514F">
        <w:rPr>
          <w:rFonts w:ascii="Book Antiqua" w:hAnsi="Book Antiqua"/>
        </w:rPr>
        <w:t xml:space="preserve"> recommendations on specific </w:t>
      </w:r>
      <w:r w:rsidR="00556114" w:rsidRPr="00EC514F">
        <w:rPr>
          <w:rFonts w:ascii="Book Antiqua" w:hAnsi="Book Antiqua"/>
        </w:rPr>
        <w:t xml:space="preserve">regimens and </w:t>
      </w:r>
      <w:proofErr w:type="spellStart"/>
      <w:r w:rsidR="00556114" w:rsidRPr="00EC514F">
        <w:rPr>
          <w:rFonts w:ascii="Book Antiqua" w:hAnsi="Book Antiqua"/>
        </w:rPr>
        <w:t>dosings</w:t>
      </w:r>
      <w:proofErr w:type="spellEnd"/>
      <w:r w:rsidR="00556114" w:rsidRPr="00EC514F">
        <w:rPr>
          <w:rFonts w:ascii="Book Antiqua" w:hAnsi="Book Antiqua"/>
        </w:rPr>
        <w:t>. However</w:t>
      </w:r>
      <w:r w:rsidR="00657BD6" w:rsidRPr="00EC514F">
        <w:rPr>
          <w:rFonts w:ascii="Book Antiqua" w:eastAsia="Times New Roman" w:hAnsi="Book Antiqua" w:cs="Arial"/>
        </w:rPr>
        <w:t>,</w:t>
      </w:r>
      <w:r w:rsidR="00916166" w:rsidRPr="00EC514F">
        <w:rPr>
          <w:rFonts w:ascii="Book Antiqua" w:hAnsi="Book Antiqua"/>
        </w:rPr>
        <w:t xml:space="preserve"> one review articl</w:t>
      </w:r>
      <w:r w:rsidR="00C94C27" w:rsidRPr="00EC514F">
        <w:rPr>
          <w:rFonts w:ascii="Book Antiqua" w:hAnsi="Book Antiqua"/>
        </w:rPr>
        <w:t>e on anticoagulation</w:t>
      </w:r>
      <w:r w:rsidR="00657BD6" w:rsidRPr="00EC514F">
        <w:rPr>
          <w:rFonts w:ascii="Book Antiqua" w:hAnsi="Book Antiqua"/>
        </w:rPr>
        <w:t xml:space="preserve"> </w:t>
      </w:r>
      <w:r w:rsidR="00657BD6" w:rsidRPr="00EC514F">
        <w:rPr>
          <w:rFonts w:ascii="Book Antiqua" w:eastAsia="Times New Roman" w:hAnsi="Book Antiqua" w:cs="Arial"/>
        </w:rPr>
        <w:t>reversal</w:t>
      </w:r>
      <w:r w:rsidRPr="00EC514F">
        <w:rPr>
          <w:rFonts w:ascii="Book Antiqua" w:hAnsi="Book Antiqua"/>
        </w:rPr>
        <w:t xml:space="preserve"> has </w:t>
      </w:r>
      <w:r w:rsidR="00916166" w:rsidRPr="00EC514F">
        <w:rPr>
          <w:rFonts w:ascii="Book Antiqua" w:hAnsi="Book Antiqua"/>
        </w:rPr>
        <w:t>suggested</w:t>
      </w:r>
      <w:r w:rsidR="00C94C27" w:rsidRPr="00EC514F">
        <w:rPr>
          <w:rFonts w:ascii="Book Antiqua" w:hAnsi="Book Antiqua"/>
        </w:rPr>
        <w:t xml:space="preserve"> using</w:t>
      </w:r>
      <w:r w:rsidR="00916166" w:rsidRPr="00EC514F">
        <w:rPr>
          <w:rFonts w:ascii="Book Antiqua" w:hAnsi="Book Antiqua"/>
        </w:rPr>
        <w:t xml:space="preserve"> IV vitamin K and PCC in hemodynamically significant </w:t>
      </w:r>
      <w:proofErr w:type="gramStart"/>
      <w:r w:rsidR="00916166" w:rsidRPr="00EC514F">
        <w:rPr>
          <w:rFonts w:ascii="Book Antiqua" w:hAnsi="Book Antiqua"/>
        </w:rPr>
        <w:t>bleed</w:t>
      </w:r>
      <w:r w:rsidR="00815F4C" w:rsidRPr="00EC514F">
        <w:rPr>
          <w:rFonts w:ascii="Book Antiqua" w:hAnsi="Book Antiqua"/>
        </w:rPr>
        <w:t>ing</w:t>
      </w:r>
      <w:r w:rsidR="00803E11" w:rsidRPr="00EC514F">
        <w:rPr>
          <w:rFonts w:ascii="Book Antiqua" w:hAnsi="Book Antiqua"/>
          <w:vertAlign w:val="superscript"/>
        </w:rPr>
        <w:t>[</w:t>
      </w:r>
      <w:proofErr w:type="gramEnd"/>
      <w:r w:rsidR="00803E11" w:rsidRPr="00EC514F">
        <w:rPr>
          <w:rFonts w:ascii="Book Antiqua" w:hAnsi="Book Antiqua"/>
          <w:vertAlign w:val="superscript"/>
        </w:rPr>
        <w:t>21]</w:t>
      </w:r>
      <w:r w:rsidR="00AA180F" w:rsidRPr="00EC514F">
        <w:rPr>
          <w:rFonts w:ascii="Book Antiqua" w:hAnsi="Book Antiqua"/>
        </w:rPr>
        <w:t>.</w:t>
      </w:r>
      <w:r w:rsidR="008D4891" w:rsidRPr="00EC514F">
        <w:rPr>
          <w:rFonts w:ascii="Book Antiqua" w:hAnsi="Book Antiqua"/>
        </w:rPr>
        <w:t xml:space="preserve"> </w:t>
      </w:r>
      <w:r w:rsidR="005D4988" w:rsidRPr="00EC514F">
        <w:rPr>
          <w:rFonts w:ascii="Book Antiqua" w:eastAsia="Times New Roman" w:hAnsi="Book Antiqua" w:cs="Arial"/>
        </w:rPr>
        <w:t>Since FFPs</w:t>
      </w:r>
      <w:r w:rsidR="006074CE" w:rsidRPr="00EC514F">
        <w:rPr>
          <w:rFonts w:ascii="Book Antiqua" w:eastAsia="Times New Roman" w:hAnsi="Book Antiqua" w:cs="Arial"/>
        </w:rPr>
        <w:t xml:space="preserve"> requir</w:t>
      </w:r>
      <w:r w:rsidR="005D4988" w:rsidRPr="00EC514F">
        <w:rPr>
          <w:rFonts w:ascii="Book Antiqua" w:eastAsia="Times New Roman" w:hAnsi="Book Antiqua" w:cs="Arial"/>
        </w:rPr>
        <w:t>e</w:t>
      </w:r>
      <w:r w:rsidR="00657BD6" w:rsidRPr="00EC514F">
        <w:rPr>
          <w:rFonts w:ascii="Book Antiqua" w:hAnsi="Book Antiqua"/>
        </w:rPr>
        <w:t xml:space="preserve"> </w:t>
      </w:r>
      <w:r w:rsidR="00657BD6" w:rsidRPr="00EC514F">
        <w:rPr>
          <w:rFonts w:ascii="Book Antiqua" w:eastAsia="Times New Roman" w:hAnsi="Book Antiqua" w:cs="Arial"/>
        </w:rPr>
        <w:lastRenderedPageBreak/>
        <w:t>crossmatching</w:t>
      </w:r>
      <w:r w:rsidR="00657BD6" w:rsidRPr="00EC514F">
        <w:rPr>
          <w:rFonts w:ascii="Book Antiqua" w:hAnsi="Book Antiqua"/>
        </w:rPr>
        <w:t xml:space="preserve">, time for thawing, increased volume per </w:t>
      </w:r>
      <w:r w:rsidR="00657BD6" w:rsidRPr="00EC514F">
        <w:rPr>
          <w:rFonts w:ascii="Book Antiqua" w:eastAsia="Times New Roman" w:hAnsi="Book Antiqua" w:cs="Arial"/>
        </w:rPr>
        <w:t>unit</w:t>
      </w:r>
      <w:r w:rsidR="00657BD6" w:rsidRPr="00EC514F">
        <w:rPr>
          <w:rFonts w:ascii="Book Antiqua" w:hAnsi="Book Antiqua"/>
        </w:rPr>
        <w:t xml:space="preserve"> administered</w:t>
      </w:r>
      <w:r w:rsidR="006074CE" w:rsidRPr="00EC514F">
        <w:rPr>
          <w:rFonts w:ascii="Book Antiqua" w:hAnsi="Book Antiqua"/>
        </w:rPr>
        <w:t xml:space="preserve"> in a fluid sensitive population</w:t>
      </w:r>
      <w:r w:rsidR="00657BD6" w:rsidRPr="00EC514F">
        <w:rPr>
          <w:rFonts w:ascii="Book Antiqua" w:hAnsi="Book Antiqua"/>
        </w:rPr>
        <w:t xml:space="preserve">, and </w:t>
      </w:r>
      <w:r w:rsidR="00657BD6" w:rsidRPr="00EC514F">
        <w:rPr>
          <w:rFonts w:ascii="Book Antiqua" w:eastAsia="Times New Roman" w:hAnsi="Book Antiqua" w:cs="Arial"/>
        </w:rPr>
        <w:t>have a higher</w:t>
      </w:r>
      <w:r w:rsidR="00657BD6" w:rsidRPr="00EC514F">
        <w:rPr>
          <w:rFonts w:ascii="Book Antiqua" w:hAnsi="Book Antiqua"/>
        </w:rPr>
        <w:t xml:space="preserve"> risk of transfusion-related reactions</w:t>
      </w:r>
      <w:r w:rsidR="005D4988" w:rsidRPr="00EC514F">
        <w:rPr>
          <w:rFonts w:ascii="Book Antiqua" w:hAnsi="Book Antiqua"/>
        </w:rPr>
        <w:t>, PCC is preferred for reversal of anticoagulation</w:t>
      </w:r>
      <w:r w:rsidR="004E4203" w:rsidRPr="00EC514F">
        <w:rPr>
          <w:rFonts w:ascii="Book Antiqua" w:hAnsi="Book Antiqua"/>
          <w:vertAlign w:val="superscript"/>
        </w:rPr>
        <w:t>[21]</w:t>
      </w:r>
      <w:r w:rsidR="005D4988" w:rsidRPr="00EC514F">
        <w:rPr>
          <w:rFonts w:ascii="Book Antiqua" w:hAnsi="Book Antiqua"/>
        </w:rPr>
        <w:t>.</w:t>
      </w:r>
      <w:r w:rsidR="008D4891" w:rsidRPr="00EC514F">
        <w:rPr>
          <w:rFonts w:ascii="Book Antiqua" w:hAnsi="Book Antiqua"/>
        </w:rPr>
        <w:t xml:space="preserve"> </w:t>
      </w:r>
      <w:r w:rsidR="00815F4C" w:rsidRPr="00EC514F">
        <w:rPr>
          <w:rFonts w:ascii="Book Antiqua" w:hAnsi="Book Antiqua"/>
        </w:rPr>
        <w:t>Ultimately</w:t>
      </w:r>
      <w:r w:rsidR="001411B3" w:rsidRPr="00EC514F">
        <w:rPr>
          <w:rFonts w:ascii="Book Antiqua" w:hAnsi="Book Antiqua"/>
        </w:rPr>
        <w:t xml:space="preserve">, </w:t>
      </w:r>
      <w:r w:rsidR="00815F4C" w:rsidRPr="00EC514F">
        <w:rPr>
          <w:rFonts w:ascii="Book Antiqua" w:hAnsi="Book Antiqua"/>
        </w:rPr>
        <w:t>there remains</w:t>
      </w:r>
      <w:r w:rsidR="001411B3" w:rsidRPr="00EC514F">
        <w:rPr>
          <w:rFonts w:ascii="Book Antiqua" w:hAnsi="Book Antiqua"/>
        </w:rPr>
        <w:t xml:space="preserve"> high </w:t>
      </w:r>
      <w:r w:rsidR="008A0B98" w:rsidRPr="00EC514F">
        <w:rPr>
          <w:rFonts w:ascii="Book Antiqua" w:hAnsi="Book Antiqua"/>
        </w:rPr>
        <w:t>variability</w:t>
      </w:r>
      <w:r w:rsidR="00455702" w:rsidRPr="00EC514F">
        <w:rPr>
          <w:rFonts w:ascii="Book Antiqua" w:hAnsi="Book Antiqua"/>
        </w:rPr>
        <w:t xml:space="preserve"> of dosages used throughout the literature</w:t>
      </w:r>
      <w:r w:rsidR="006074CE" w:rsidRPr="00EC514F">
        <w:rPr>
          <w:rFonts w:ascii="Book Antiqua" w:hAnsi="Book Antiqua"/>
        </w:rPr>
        <w:t xml:space="preserve">, </w:t>
      </w:r>
      <w:r w:rsidR="001411B3" w:rsidRPr="00EC514F">
        <w:rPr>
          <w:rFonts w:ascii="Book Antiqua" w:hAnsi="Book Antiqua"/>
        </w:rPr>
        <w:t xml:space="preserve">and </w:t>
      </w:r>
      <w:r w:rsidR="006074CE" w:rsidRPr="00EC514F">
        <w:rPr>
          <w:rFonts w:ascii="Book Antiqua" w:hAnsi="Book Antiqua"/>
        </w:rPr>
        <w:t>differing</w:t>
      </w:r>
      <w:r w:rsidR="001411B3" w:rsidRPr="00EC514F">
        <w:rPr>
          <w:rFonts w:ascii="Book Antiqua" w:hAnsi="Book Antiqua"/>
        </w:rPr>
        <w:t xml:space="preserve"> indications for</w:t>
      </w:r>
      <w:r w:rsidR="005D4988" w:rsidRPr="00EC514F">
        <w:rPr>
          <w:rFonts w:ascii="Book Antiqua" w:hAnsi="Book Antiqua"/>
        </w:rPr>
        <w:t xml:space="preserve"> reversal of anticoagulation which often </w:t>
      </w:r>
      <w:r w:rsidR="001411B3" w:rsidRPr="00EC514F">
        <w:rPr>
          <w:rFonts w:ascii="Book Antiqua" w:hAnsi="Book Antiqua"/>
        </w:rPr>
        <w:t xml:space="preserve">remains </w:t>
      </w:r>
      <w:r w:rsidR="00455702" w:rsidRPr="00EC514F">
        <w:rPr>
          <w:rFonts w:ascii="Book Antiqua" w:hAnsi="Book Antiqua"/>
        </w:rPr>
        <w:t>large</w:t>
      </w:r>
      <w:r w:rsidR="00C94C27" w:rsidRPr="00EC514F">
        <w:rPr>
          <w:rFonts w:ascii="Book Antiqua" w:hAnsi="Book Antiqua"/>
        </w:rPr>
        <w:t>ly</w:t>
      </w:r>
      <w:r w:rsidR="00455702" w:rsidRPr="00EC514F">
        <w:rPr>
          <w:rFonts w:ascii="Book Antiqua" w:hAnsi="Book Antiqua"/>
        </w:rPr>
        <w:t xml:space="preserve"> at the discretion of the treating provider. </w:t>
      </w:r>
      <w:r w:rsidR="009B459C" w:rsidRPr="00EC514F">
        <w:rPr>
          <w:rFonts w:ascii="Book Antiqua" w:hAnsi="Book Antiqua"/>
        </w:rPr>
        <w:t xml:space="preserve">Following </w:t>
      </w:r>
      <w:r w:rsidR="00182E49" w:rsidRPr="00EC514F">
        <w:rPr>
          <w:rFonts w:ascii="Book Antiqua" w:hAnsi="Book Antiqua"/>
        </w:rPr>
        <w:t xml:space="preserve">the </w:t>
      </w:r>
      <w:r w:rsidR="009B459C" w:rsidRPr="00EC514F">
        <w:rPr>
          <w:rFonts w:ascii="Book Antiqua" w:hAnsi="Book Antiqua"/>
        </w:rPr>
        <w:t xml:space="preserve">reversal of anticoagulation, varying rates of thromboembolic events have been reported. While older studies utilizing recombinant activated factor VII at “high-doses” (30-70 </w:t>
      </w:r>
      <w:r w:rsidR="00D62434">
        <w:rPr>
          <w:rFonts w:ascii="Book Antiqua" w:hAnsi="Book Antiqua"/>
        </w:rPr>
        <w:t>µ</w:t>
      </w:r>
      <w:r w:rsidR="009B459C" w:rsidRPr="00EC514F">
        <w:rPr>
          <w:rFonts w:ascii="Book Antiqua" w:hAnsi="Book Antiqua"/>
        </w:rPr>
        <w:t>g/kg) revealed thromboembolic event rate of</w:t>
      </w:r>
      <w:r w:rsidR="005F0DEB" w:rsidRPr="00EC514F">
        <w:rPr>
          <w:rFonts w:ascii="Book Antiqua" w:hAnsi="Book Antiqua"/>
        </w:rPr>
        <w:t xml:space="preserve"> 36.7</w:t>
      </w:r>
      <w:proofErr w:type="gramStart"/>
      <w:r w:rsidR="005F0DEB" w:rsidRPr="00EC514F">
        <w:rPr>
          <w:rFonts w:ascii="Book Antiqua" w:hAnsi="Book Antiqua"/>
        </w:rPr>
        <w:t>%</w:t>
      </w:r>
      <w:r w:rsidR="0086720B" w:rsidRPr="00EC514F">
        <w:rPr>
          <w:rFonts w:ascii="Book Antiqua" w:hAnsi="Book Antiqua"/>
          <w:vertAlign w:val="superscript"/>
        </w:rPr>
        <w:t>[</w:t>
      </w:r>
      <w:proofErr w:type="gramEnd"/>
      <w:r w:rsidR="0086720B" w:rsidRPr="00EC514F">
        <w:rPr>
          <w:rFonts w:ascii="Book Antiqua" w:hAnsi="Book Antiqua"/>
          <w:vertAlign w:val="superscript"/>
        </w:rPr>
        <w:t>22]</w:t>
      </w:r>
      <w:r w:rsidR="005F0DEB" w:rsidRPr="00EC514F">
        <w:rPr>
          <w:rFonts w:ascii="Book Antiqua" w:hAnsi="Book Antiqua"/>
        </w:rPr>
        <w:t>,</w:t>
      </w:r>
      <w:r w:rsidR="008D4891" w:rsidRPr="00EC514F">
        <w:rPr>
          <w:rFonts w:ascii="Book Antiqua" w:hAnsi="Book Antiqua"/>
        </w:rPr>
        <w:t xml:space="preserve"> </w:t>
      </w:r>
      <w:r w:rsidR="005F0DEB" w:rsidRPr="00EC514F">
        <w:rPr>
          <w:rFonts w:ascii="Book Antiqua" w:hAnsi="Book Antiqua"/>
        </w:rPr>
        <w:t xml:space="preserve">more recent literature quote rates of 2.9% (1 of 38) and suggest that larger doses of reversal agents can </w:t>
      </w:r>
      <w:r w:rsidR="006E6154" w:rsidRPr="00EC514F">
        <w:rPr>
          <w:rFonts w:ascii="Book Antiqua" w:hAnsi="Book Antiqua"/>
        </w:rPr>
        <w:t xml:space="preserve">still have low </w:t>
      </w:r>
      <w:r w:rsidR="005F0DEB" w:rsidRPr="00EC514F">
        <w:rPr>
          <w:rFonts w:ascii="Book Antiqua" w:hAnsi="Book Antiqua"/>
        </w:rPr>
        <w:t>rates of thromboembolism</w:t>
      </w:r>
      <w:r w:rsidR="0086720B" w:rsidRPr="00EC514F">
        <w:rPr>
          <w:rFonts w:ascii="Book Antiqua" w:hAnsi="Book Antiqua"/>
          <w:vertAlign w:val="superscript"/>
        </w:rPr>
        <w:t>[4]</w:t>
      </w:r>
      <w:r w:rsidR="005F0DEB" w:rsidRPr="00EC514F">
        <w:rPr>
          <w:rFonts w:ascii="Book Antiqua" w:hAnsi="Book Antiqua"/>
        </w:rPr>
        <w:t xml:space="preserve">. </w:t>
      </w:r>
    </w:p>
    <w:p w14:paraId="211F3F76" w14:textId="77777777" w:rsidR="004E4203" w:rsidRDefault="004E4203" w:rsidP="004E4203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51A0399E" w14:textId="7E4AB86A" w:rsidR="003B219F" w:rsidRPr="004E4203" w:rsidRDefault="003B219F" w:rsidP="004E4203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EC514F">
        <w:rPr>
          <w:rFonts w:ascii="Book Antiqua" w:hAnsi="Book Antiqua"/>
          <w:b/>
        </w:rPr>
        <w:t xml:space="preserve">Endoscopic </w:t>
      </w:r>
      <w:r w:rsidR="004E4203" w:rsidRPr="00EC514F">
        <w:rPr>
          <w:rFonts w:ascii="Book Antiqua" w:hAnsi="Book Antiqua"/>
          <w:b/>
        </w:rPr>
        <w:t>t</w:t>
      </w:r>
      <w:r w:rsidRPr="00EC514F">
        <w:rPr>
          <w:rFonts w:ascii="Book Antiqua" w:hAnsi="Book Antiqua"/>
          <w:b/>
        </w:rPr>
        <w:t>herapy</w:t>
      </w:r>
      <w:r w:rsidR="004E4203">
        <w:rPr>
          <w:rFonts w:ascii="Book Antiqua" w:eastAsia="宋体" w:hAnsi="Book Antiqua" w:hint="eastAsia"/>
          <w:b/>
          <w:lang w:eastAsia="zh-CN"/>
        </w:rPr>
        <w:t>:</w:t>
      </w:r>
      <w:r w:rsidR="004E4203">
        <w:rPr>
          <w:rFonts w:ascii="Book Antiqua" w:eastAsia="宋体" w:hAnsi="Book Antiqua"/>
          <w:b/>
          <w:lang w:eastAsia="zh-CN"/>
        </w:rPr>
        <w:t xml:space="preserve"> </w:t>
      </w:r>
      <w:r w:rsidRPr="00EC514F">
        <w:rPr>
          <w:rFonts w:ascii="Book Antiqua" w:hAnsi="Book Antiqua"/>
        </w:rPr>
        <w:t xml:space="preserve">A treatment algorithm is shown in </w:t>
      </w:r>
      <w:r w:rsidRPr="00C06477">
        <w:rPr>
          <w:rFonts w:ascii="Book Antiqua" w:hAnsi="Book Antiqua"/>
        </w:rPr>
        <w:t>Figure 2.</w:t>
      </w:r>
      <w:r w:rsidRPr="00EC514F">
        <w:rPr>
          <w:rFonts w:ascii="Book Antiqua" w:hAnsi="Book Antiqua"/>
        </w:rPr>
        <w:t xml:space="preserve"> Endoscopic evaluation and treatment </w:t>
      </w:r>
      <w:proofErr w:type="gramStart"/>
      <w:r w:rsidRPr="00EC514F">
        <w:rPr>
          <w:rFonts w:ascii="Book Antiqua" w:hAnsi="Book Antiqua"/>
        </w:rPr>
        <w:t>is</w:t>
      </w:r>
      <w:proofErr w:type="gramEnd"/>
      <w:r w:rsidRPr="00EC514F">
        <w:rPr>
          <w:rFonts w:ascii="Book Antiqua" w:hAnsi="Book Antiqua"/>
        </w:rPr>
        <w:t xml:space="preserve"> frequently performed in LVAD patients given their high rates of GI bleeding. Most patients will receive an esophagogastroduodenoscopy (EGD) and/or colonoscopy on </w:t>
      </w:r>
      <w:r w:rsidR="00182E49" w:rsidRPr="00EC514F">
        <w:rPr>
          <w:rFonts w:ascii="Book Antiqua" w:hAnsi="Book Antiqua"/>
        </w:rPr>
        <w:t xml:space="preserve">the </w:t>
      </w:r>
      <w:r w:rsidRPr="00EC514F">
        <w:rPr>
          <w:rFonts w:ascii="Book Antiqua" w:hAnsi="Book Antiqua"/>
        </w:rPr>
        <w:t>initial presentation with concerns for GI bleeding. If these evaluations are unremarkable, the next step would be to consider a repeat EGD</w:t>
      </w:r>
      <w:r w:rsidR="001C52BC" w:rsidRPr="00EC514F">
        <w:rPr>
          <w:rFonts w:ascii="Book Antiqua" w:hAnsi="Book Antiqua"/>
        </w:rPr>
        <w:t>,</w:t>
      </w:r>
      <w:r w:rsidRPr="00EC514F">
        <w:rPr>
          <w:rFonts w:ascii="Book Antiqua" w:hAnsi="Book Antiqua"/>
        </w:rPr>
        <w:t xml:space="preserve"> given the high rates of upper GI bleeds, with possible push </w:t>
      </w:r>
      <w:proofErr w:type="spellStart"/>
      <w:r w:rsidRPr="00EC514F">
        <w:rPr>
          <w:rFonts w:ascii="Book Antiqua" w:hAnsi="Book Antiqua"/>
        </w:rPr>
        <w:t>enteroscopy</w:t>
      </w:r>
      <w:proofErr w:type="spellEnd"/>
      <w:r w:rsidR="001C52BC" w:rsidRPr="00EC514F">
        <w:rPr>
          <w:rFonts w:ascii="Book Antiqua" w:hAnsi="Book Antiqua"/>
        </w:rPr>
        <w:t xml:space="preserve"> to</w:t>
      </w:r>
      <w:r w:rsidRPr="00EC514F">
        <w:rPr>
          <w:rFonts w:ascii="Book Antiqua" w:hAnsi="Book Antiqua"/>
        </w:rPr>
        <w:t xml:space="preserve"> explore small bowel sources, and repeat a colonoscopy if the initial</w:t>
      </w:r>
      <w:r w:rsidR="00443D43" w:rsidRPr="00EC514F">
        <w:rPr>
          <w:rFonts w:ascii="Book Antiqua" w:hAnsi="Book Antiqua"/>
        </w:rPr>
        <w:t xml:space="preserve"> colonoscopy</w:t>
      </w:r>
      <w:r w:rsidRPr="00EC514F">
        <w:rPr>
          <w:rFonts w:ascii="Book Antiqua" w:hAnsi="Book Antiqua"/>
        </w:rPr>
        <w:t xml:space="preserve"> prep was </w:t>
      </w:r>
      <w:proofErr w:type="gramStart"/>
      <w:r w:rsidRPr="00EC514F">
        <w:rPr>
          <w:rFonts w:ascii="Book Antiqua" w:hAnsi="Book Antiqua"/>
        </w:rPr>
        <w:t>suboptimal</w:t>
      </w:r>
      <w:r w:rsidR="00C06477" w:rsidRPr="00EC514F">
        <w:rPr>
          <w:rFonts w:ascii="Book Antiqua" w:hAnsi="Book Antiqua"/>
          <w:vertAlign w:val="superscript"/>
        </w:rPr>
        <w:t>[</w:t>
      </w:r>
      <w:proofErr w:type="gramEnd"/>
      <w:r w:rsidR="00C06477" w:rsidRPr="00EC514F">
        <w:rPr>
          <w:rFonts w:ascii="Book Antiqua" w:hAnsi="Book Antiqua"/>
          <w:vertAlign w:val="superscript"/>
        </w:rPr>
        <w:t>7,16]</w:t>
      </w:r>
      <w:r w:rsidRPr="00EC514F">
        <w:rPr>
          <w:rFonts w:ascii="Book Antiqua" w:hAnsi="Book Antiqua"/>
        </w:rPr>
        <w:t xml:space="preserve">. </w:t>
      </w:r>
    </w:p>
    <w:p w14:paraId="0ACF478E" w14:textId="0E0A03A6" w:rsidR="003B219F" w:rsidRPr="00EC514F" w:rsidRDefault="003B219F" w:rsidP="00C06477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 xml:space="preserve">Push </w:t>
      </w:r>
      <w:proofErr w:type="spellStart"/>
      <w:r w:rsidRPr="00EC514F">
        <w:rPr>
          <w:rFonts w:ascii="Book Antiqua" w:hAnsi="Book Antiqua"/>
        </w:rPr>
        <w:t>enteroscopy</w:t>
      </w:r>
      <w:proofErr w:type="spellEnd"/>
      <w:r w:rsidRPr="00EC514F">
        <w:rPr>
          <w:rFonts w:ascii="Book Antiqua" w:hAnsi="Book Antiqua"/>
        </w:rPr>
        <w:t xml:space="preserve"> allows for evaluation of the small bowel</w:t>
      </w:r>
      <w:r w:rsidR="00F35102" w:rsidRPr="00EC514F">
        <w:rPr>
          <w:rFonts w:ascii="Book Antiqua" w:hAnsi="Book Antiqua"/>
        </w:rPr>
        <w:t xml:space="preserve"> and most commonly to the proximal jejunum. </w:t>
      </w:r>
      <w:proofErr w:type="spellStart"/>
      <w:r w:rsidRPr="00EC514F">
        <w:rPr>
          <w:rFonts w:ascii="Book Antiqua" w:hAnsi="Book Antiqua"/>
        </w:rPr>
        <w:t>Marsano</w:t>
      </w:r>
      <w:proofErr w:type="spellEnd"/>
      <w:r w:rsidRPr="00EC514F">
        <w:rPr>
          <w:rFonts w:ascii="Book Antiqua" w:hAnsi="Book Antiqua"/>
        </w:rPr>
        <w:t xml:space="preserve"> et al found that EGD had high rates of detection (45%), however many required repeat </w:t>
      </w:r>
      <w:proofErr w:type="gramStart"/>
      <w:r w:rsidRPr="00EC514F">
        <w:rPr>
          <w:rFonts w:ascii="Book Antiqua" w:hAnsi="Book Antiqua"/>
        </w:rPr>
        <w:t>endoscopy</w:t>
      </w:r>
      <w:proofErr w:type="gramEnd"/>
      <w:r w:rsidRPr="00EC514F">
        <w:rPr>
          <w:rFonts w:ascii="Book Antiqua" w:hAnsi="Book Antiqua"/>
        </w:rPr>
        <w:t xml:space="preserve"> at a rate of 1.8 endoscopes per patient in their study. On repeat endoscopy the majority underwent push </w:t>
      </w:r>
      <w:proofErr w:type="spellStart"/>
      <w:r w:rsidRPr="00EC514F">
        <w:rPr>
          <w:rFonts w:ascii="Book Antiqua" w:hAnsi="Book Antiqua"/>
        </w:rPr>
        <w:t>enteroscopy</w:t>
      </w:r>
      <w:proofErr w:type="spellEnd"/>
      <w:r w:rsidRPr="00EC514F">
        <w:rPr>
          <w:rFonts w:ascii="Book Antiqua" w:hAnsi="Book Antiqua"/>
        </w:rPr>
        <w:t xml:space="preserve"> with a high small bowel detection rate of 80% in repeat bleeding episodes with 25% of their patients having jejunal </w:t>
      </w:r>
      <w:proofErr w:type="gramStart"/>
      <w:r w:rsidRPr="00EC514F">
        <w:rPr>
          <w:rFonts w:ascii="Book Antiqua" w:hAnsi="Book Antiqua"/>
        </w:rPr>
        <w:t>lesions</w:t>
      </w:r>
      <w:r w:rsidR="000A1168" w:rsidRPr="00EC514F">
        <w:rPr>
          <w:rFonts w:ascii="Book Antiqua" w:hAnsi="Book Antiqua"/>
          <w:vertAlign w:val="superscript"/>
        </w:rPr>
        <w:t>[</w:t>
      </w:r>
      <w:proofErr w:type="gramEnd"/>
      <w:r w:rsidR="000A1168" w:rsidRPr="00EC514F">
        <w:rPr>
          <w:rFonts w:ascii="Book Antiqua" w:hAnsi="Book Antiqua"/>
          <w:vertAlign w:val="superscript"/>
        </w:rPr>
        <w:t>23]</w:t>
      </w:r>
      <w:r w:rsidRPr="00EC514F">
        <w:rPr>
          <w:rFonts w:ascii="Book Antiqua" w:hAnsi="Book Antiqua"/>
        </w:rPr>
        <w:t xml:space="preserve">. </w:t>
      </w:r>
    </w:p>
    <w:p w14:paraId="4CF8CE4E" w14:textId="51ECDE92" w:rsidR="003B219F" w:rsidRPr="00EC514F" w:rsidRDefault="003B219F" w:rsidP="000A1168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r w:rsidRPr="00EC514F">
        <w:rPr>
          <w:rFonts w:ascii="Book Antiqua" w:hAnsi="Book Antiqua"/>
        </w:rPr>
        <w:t>A significant portion of LVAD-related GI bleeding com</w:t>
      </w:r>
      <w:r w:rsidR="00C94E53" w:rsidRPr="00EC514F">
        <w:rPr>
          <w:rFonts w:ascii="Book Antiqua" w:hAnsi="Book Antiqua"/>
        </w:rPr>
        <w:t>e</w:t>
      </w:r>
      <w:r w:rsidRPr="00EC514F">
        <w:rPr>
          <w:rFonts w:ascii="Book Antiqua" w:hAnsi="Book Antiqua"/>
        </w:rPr>
        <w:t xml:space="preserve"> from the midgut/unknown origins, which makes evaluation of the small bowel important </w:t>
      </w:r>
      <w:r w:rsidRPr="00EC514F">
        <w:rPr>
          <w:rFonts w:ascii="Book Antiqua" w:hAnsi="Book Antiqua"/>
        </w:rPr>
        <w:lastRenderedPageBreak/>
        <w:t xml:space="preserve">in this population. While there may be some conflicting data that balloon </w:t>
      </w:r>
      <w:r w:rsidR="00F35102" w:rsidRPr="00EC514F">
        <w:rPr>
          <w:rFonts w:ascii="Book Antiqua" w:hAnsi="Book Antiqua"/>
        </w:rPr>
        <w:t xml:space="preserve">(single or double) </w:t>
      </w:r>
      <w:proofErr w:type="spellStart"/>
      <w:r w:rsidRPr="00EC514F">
        <w:rPr>
          <w:rFonts w:ascii="Book Antiqua" w:hAnsi="Book Antiqua"/>
        </w:rPr>
        <w:t>enteroscopy</w:t>
      </w:r>
      <w:proofErr w:type="spellEnd"/>
      <w:r w:rsidRPr="00EC514F">
        <w:rPr>
          <w:rFonts w:ascii="Book Antiqua" w:hAnsi="Book Antiqua"/>
        </w:rPr>
        <w:t xml:space="preserve"> is superior,</w:t>
      </w:r>
      <w:r w:rsidR="00F35102" w:rsidRPr="00EC514F">
        <w:rPr>
          <w:rFonts w:ascii="Book Antiqua" w:hAnsi="Book Antiqua"/>
        </w:rPr>
        <w:t xml:space="preserve"> however,</w:t>
      </w:r>
      <w:r w:rsidRPr="00EC514F">
        <w:rPr>
          <w:rFonts w:ascii="Book Antiqua" w:hAnsi="Book Antiqua"/>
        </w:rPr>
        <w:t xml:space="preserve"> according to </w:t>
      </w:r>
      <w:r w:rsidR="00F35102" w:rsidRPr="00EC514F">
        <w:rPr>
          <w:rFonts w:ascii="Book Antiqua" w:hAnsi="Book Antiqua"/>
        </w:rPr>
        <w:t xml:space="preserve">the </w:t>
      </w:r>
      <w:r w:rsidRPr="00EC514F">
        <w:rPr>
          <w:rFonts w:ascii="Book Antiqua" w:hAnsi="Book Antiqua"/>
        </w:rPr>
        <w:t>American Society of Gastro</w:t>
      </w:r>
      <w:r w:rsidR="00F35102" w:rsidRPr="00EC514F">
        <w:rPr>
          <w:rFonts w:ascii="Book Antiqua" w:hAnsi="Book Antiqua"/>
        </w:rPr>
        <w:t>intestinal Endoscopy</w:t>
      </w:r>
      <w:r w:rsidR="001D3515" w:rsidRPr="00EC514F">
        <w:rPr>
          <w:rFonts w:ascii="Book Antiqua" w:hAnsi="Book Antiqua"/>
        </w:rPr>
        <w:t xml:space="preserve"> (ASGE)</w:t>
      </w:r>
      <w:r w:rsidRPr="00EC514F">
        <w:rPr>
          <w:rFonts w:ascii="Book Antiqua" w:hAnsi="Book Antiqua"/>
        </w:rPr>
        <w:t xml:space="preserve"> guidelines, it is still recommended to proceed with video capsule endoscopy (VCE)</w:t>
      </w:r>
      <w:r w:rsidR="00F35102" w:rsidRPr="00EC514F">
        <w:rPr>
          <w:rFonts w:ascii="Book Antiqua" w:hAnsi="Book Antiqua"/>
        </w:rPr>
        <w:t xml:space="preserve"> </w:t>
      </w:r>
      <w:r w:rsidRPr="00EC514F">
        <w:rPr>
          <w:rFonts w:ascii="Book Antiqua" w:hAnsi="Book Antiqua"/>
        </w:rPr>
        <w:t xml:space="preserve">as first line evaluation of the small </w:t>
      </w:r>
      <w:proofErr w:type="gramStart"/>
      <w:r w:rsidRPr="00EC514F">
        <w:rPr>
          <w:rFonts w:ascii="Book Antiqua" w:hAnsi="Book Antiqua"/>
        </w:rPr>
        <w:t>bowel</w:t>
      </w:r>
      <w:r w:rsidR="00803E11" w:rsidRPr="00EC514F">
        <w:rPr>
          <w:rFonts w:ascii="Book Antiqua" w:hAnsi="Book Antiqua"/>
          <w:vertAlign w:val="superscript"/>
        </w:rPr>
        <w:t>[</w:t>
      </w:r>
      <w:proofErr w:type="gramEnd"/>
      <w:r w:rsidR="00803E11" w:rsidRPr="00EC514F">
        <w:rPr>
          <w:rFonts w:ascii="Book Antiqua" w:hAnsi="Book Antiqua"/>
          <w:vertAlign w:val="superscript"/>
        </w:rPr>
        <w:t>15]</w:t>
      </w:r>
      <w:r w:rsidRPr="00EC514F">
        <w:rPr>
          <w:rFonts w:ascii="Book Antiqua" w:hAnsi="Book Antiqua"/>
        </w:rPr>
        <w:t>. This is safe technique with no electromagnetic interference to LVADs or implantable cardioverte</w:t>
      </w:r>
      <w:r w:rsidR="00E37210" w:rsidRPr="00EC514F">
        <w:rPr>
          <w:rFonts w:ascii="Book Antiqua" w:hAnsi="Book Antiqua"/>
        </w:rPr>
        <w:t>r-defibrillators (ICD) devices</w:t>
      </w:r>
      <w:r w:rsidR="00803E11" w:rsidRPr="00EC514F">
        <w:rPr>
          <w:rFonts w:ascii="Book Antiqua" w:hAnsi="Book Antiqua"/>
          <w:vertAlign w:val="superscript"/>
        </w:rPr>
        <w:t>[24]</w:t>
      </w:r>
      <w:r w:rsidR="00E37210" w:rsidRPr="00EC514F">
        <w:rPr>
          <w:rFonts w:ascii="Book Antiqua" w:hAnsi="Book Antiqua"/>
        </w:rPr>
        <w:t xml:space="preserve">. </w:t>
      </w:r>
      <w:r w:rsidR="00C94E53" w:rsidRPr="00EC514F">
        <w:rPr>
          <w:rFonts w:ascii="Book Antiqua" w:hAnsi="Book Antiqua"/>
        </w:rPr>
        <w:t>One study showed initial VCE had</w:t>
      </w:r>
      <w:r w:rsidRPr="00EC514F">
        <w:rPr>
          <w:rFonts w:ascii="Book Antiqua" w:hAnsi="Book Antiqua"/>
        </w:rPr>
        <w:t xml:space="preserve"> a diagnostic yield of 58.5% versus proceeding with </w:t>
      </w:r>
      <w:r w:rsidR="00CB0F6A" w:rsidRPr="00EC514F">
        <w:rPr>
          <w:rFonts w:ascii="Book Antiqua" w:hAnsi="Book Antiqua"/>
        </w:rPr>
        <w:t xml:space="preserve">double </w:t>
      </w:r>
      <w:r w:rsidRPr="00EC514F">
        <w:rPr>
          <w:rFonts w:ascii="Book Antiqua" w:hAnsi="Book Antiqua"/>
        </w:rPr>
        <w:t xml:space="preserve">balloon </w:t>
      </w:r>
      <w:proofErr w:type="spellStart"/>
      <w:r w:rsidRPr="00EC514F">
        <w:rPr>
          <w:rFonts w:ascii="Book Antiqua" w:hAnsi="Book Antiqua"/>
        </w:rPr>
        <w:t>enteroscopy</w:t>
      </w:r>
      <w:proofErr w:type="spellEnd"/>
      <w:r w:rsidRPr="00EC514F">
        <w:rPr>
          <w:rFonts w:ascii="Book Antiqua" w:hAnsi="Book Antiqua"/>
        </w:rPr>
        <w:t xml:space="preserve"> first that had a yield of 41.5%</w:t>
      </w:r>
      <w:r w:rsidR="00AD7F95" w:rsidRPr="00EC514F">
        <w:rPr>
          <w:rFonts w:ascii="Book Antiqua" w:hAnsi="Book Antiqua"/>
          <w:vertAlign w:val="superscript"/>
        </w:rPr>
        <w:t>[25]</w:t>
      </w:r>
      <w:r w:rsidR="00E37210" w:rsidRPr="00EC514F">
        <w:rPr>
          <w:rFonts w:ascii="Book Antiqua" w:hAnsi="Book Antiqua"/>
        </w:rPr>
        <w:t xml:space="preserve">. </w:t>
      </w:r>
      <w:r w:rsidRPr="00EC514F">
        <w:rPr>
          <w:rFonts w:ascii="Book Antiqua" w:hAnsi="Book Antiqua"/>
        </w:rPr>
        <w:t xml:space="preserve">Not only does VCE have a greater diagnostic yield, but </w:t>
      </w:r>
      <w:r w:rsidR="00F35102" w:rsidRPr="00EC514F">
        <w:rPr>
          <w:rFonts w:ascii="Book Antiqua" w:hAnsi="Book Antiqua"/>
        </w:rPr>
        <w:t>also is helpful in deciding the subsequent endoscopic approach based on the presumed location of the bleed. Further, t</w:t>
      </w:r>
      <w:r w:rsidRPr="00EC514F">
        <w:rPr>
          <w:rFonts w:ascii="Book Antiqua" w:hAnsi="Book Antiqua"/>
        </w:rPr>
        <w:t xml:space="preserve">here is an increased overall yield of 7% with </w:t>
      </w:r>
      <w:r w:rsidR="00CB0F6A" w:rsidRPr="00EC514F">
        <w:rPr>
          <w:rFonts w:ascii="Book Antiqua" w:hAnsi="Book Antiqua"/>
        </w:rPr>
        <w:t xml:space="preserve">double </w:t>
      </w:r>
      <w:r w:rsidRPr="00EC514F">
        <w:rPr>
          <w:rFonts w:ascii="Book Antiqua" w:hAnsi="Book Antiqua"/>
        </w:rPr>
        <w:t xml:space="preserve">balloon </w:t>
      </w:r>
      <w:proofErr w:type="spellStart"/>
      <w:r w:rsidRPr="00EC514F">
        <w:rPr>
          <w:rFonts w:ascii="Book Antiqua" w:hAnsi="Book Antiqua"/>
        </w:rPr>
        <w:t>enteroscopy</w:t>
      </w:r>
      <w:proofErr w:type="spellEnd"/>
      <w:r w:rsidRPr="00EC514F">
        <w:rPr>
          <w:rFonts w:ascii="Book Antiqua" w:hAnsi="Book Antiqua"/>
        </w:rPr>
        <w:t xml:space="preserve"> if done after </w:t>
      </w:r>
      <w:proofErr w:type="gramStart"/>
      <w:r w:rsidRPr="00EC514F">
        <w:rPr>
          <w:rFonts w:ascii="Book Antiqua" w:hAnsi="Book Antiqua"/>
        </w:rPr>
        <w:t>VCE</w:t>
      </w:r>
      <w:r w:rsidR="00803E11" w:rsidRPr="00EC514F">
        <w:rPr>
          <w:rFonts w:ascii="Book Antiqua" w:hAnsi="Book Antiqua"/>
          <w:vertAlign w:val="superscript"/>
        </w:rPr>
        <w:t>[</w:t>
      </w:r>
      <w:proofErr w:type="gramEnd"/>
      <w:r w:rsidR="00803E11" w:rsidRPr="00EC514F">
        <w:rPr>
          <w:rFonts w:ascii="Book Antiqua" w:hAnsi="Book Antiqua"/>
          <w:vertAlign w:val="superscript"/>
        </w:rPr>
        <w:t>25]</w:t>
      </w:r>
      <w:r w:rsidRPr="00EC514F">
        <w:rPr>
          <w:rFonts w:ascii="Book Antiqua" w:hAnsi="Book Antiqua"/>
        </w:rPr>
        <w:t>.</w:t>
      </w:r>
    </w:p>
    <w:p w14:paraId="000F5743" w14:textId="2E49BA3B" w:rsidR="003B219F" w:rsidRPr="00EC514F" w:rsidRDefault="003B219F" w:rsidP="00AD7F95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1A1718"/>
        </w:rPr>
      </w:pPr>
      <w:r w:rsidRPr="00EC514F">
        <w:rPr>
          <w:rFonts w:ascii="Book Antiqua" w:hAnsi="Book Antiqua"/>
        </w:rPr>
        <w:t xml:space="preserve">Double balloon </w:t>
      </w:r>
      <w:proofErr w:type="spellStart"/>
      <w:r w:rsidRPr="00EC514F">
        <w:rPr>
          <w:rFonts w:ascii="Book Antiqua" w:hAnsi="Book Antiqua"/>
        </w:rPr>
        <w:t>enteroscopy</w:t>
      </w:r>
      <w:proofErr w:type="spellEnd"/>
      <w:r w:rsidRPr="00EC514F">
        <w:rPr>
          <w:rFonts w:ascii="Book Antiqua" w:hAnsi="Book Antiqua"/>
        </w:rPr>
        <w:t xml:space="preserve"> (DBE) allows clinicians to use a “push-and-pull” technique to visualize the small bowel. In the realm of obscure GI bleed</w:t>
      </w:r>
      <w:r w:rsidR="002A6A37" w:rsidRPr="00EC514F">
        <w:rPr>
          <w:rFonts w:ascii="Book Antiqua" w:hAnsi="Book Antiqua"/>
        </w:rPr>
        <w:t>ing,</w:t>
      </w:r>
      <w:r w:rsidRPr="00EC514F">
        <w:rPr>
          <w:rFonts w:ascii="Book Antiqua" w:hAnsi="Book Antiqua"/>
        </w:rPr>
        <w:t xml:space="preserve"> the diagnostic yield of this technique was found to be </w:t>
      </w:r>
      <w:r w:rsidR="00AD7F95">
        <w:rPr>
          <w:rFonts w:ascii="Book Antiqua" w:hAnsi="Book Antiqua"/>
          <w:color w:val="1A1718"/>
        </w:rPr>
        <w:t>56 % (95</w:t>
      </w:r>
      <w:r w:rsidRPr="00EC514F">
        <w:rPr>
          <w:rFonts w:ascii="Book Antiqua" w:hAnsi="Book Antiqua"/>
          <w:color w:val="1A1718"/>
        </w:rPr>
        <w:t>%CI</w:t>
      </w:r>
      <w:r w:rsidR="00AD7F95">
        <w:rPr>
          <w:rFonts w:ascii="Book Antiqua" w:hAnsi="Book Antiqua"/>
          <w:color w:val="1A1718"/>
        </w:rPr>
        <w:t>:</w:t>
      </w:r>
      <w:r w:rsidRPr="00EC514F">
        <w:rPr>
          <w:rFonts w:ascii="Book Antiqua" w:hAnsi="Book Antiqua"/>
          <w:color w:val="1A1718"/>
        </w:rPr>
        <w:t xml:space="preserve"> 48.9%</w:t>
      </w:r>
      <w:r w:rsidR="00AD7F95">
        <w:rPr>
          <w:rFonts w:ascii="Book Antiqua" w:hAnsi="Book Antiqua"/>
          <w:color w:val="1A1718"/>
        </w:rPr>
        <w:t>-</w:t>
      </w:r>
      <w:r w:rsidRPr="00EC514F">
        <w:rPr>
          <w:rFonts w:ascii="Book Antiqua" w:hAnsi="Book Antiqua"/>
          <w:color w:val="1A1718"/>
        </w:rPr>
        <w:t>62.1%) in one large meta-</w:t>
      </w:r>
      <w:proofErr w:type="gramStart"/>
      <w:r w:rsidRPr="00EC514F">
        <w:rPr>
          <w:rFonts w:ascii="Book Antiqua" w:hAnsi="Book Antiqua"/>
          <w:color w:val="1A1718"/>
        </w:rPr>
        <w:t>analysis</w:t>
      </w:r>
      <w:r w:rsidR="0073408D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73408D" w:rsidRPr="00EC514F">
        <w:rPr>
          <w:rFonts w:ascii="Book Antiqua" w:hAnsi="Book Antiqua"/>
          <w:color w:val="1A1718"/>
          <w:vertAlign w:val="superscript"/>
        </w:rPr>
        <w:t>26]</w:t>
      </w:r>
      <w:r w:rsidRPr="00EC514F">
        <w:rPr>
          <w:rFonts w:ascii="Book Antiqua" w:hAnsi="Book Antiqua"/>
          <w:color w:val="1A1718"/>
        </w:rPr>
        <w:t xml:space="preserve">. </w:t>
      </w:r>
      <w:r w:rsidR="00F35102" w:rsidRPr="00EC514F">
        <w:rPr>
          <w:rFonts w:ascii="Book Antiqua" w:hAnsi="Book Antiqua"/>
          <w:color w:val="1A1718"/>
        </w:rPr>
        <w:t>Specifically in LVAD patients with GI bleeding</w:t>
      </w:r>
      <w:r w:rsidRPr="00EC514F">
        <w:rPr>
          <w:rFonts w:ascii="Book Antiqua" w:hAnsi="Book Antiqua"/>
          <w:color w:val="1A1718"/>
        </w:rPr>
        <w:t>, the diagnostic yield with DBE was 69</w:t>
      </w:r>
      <w:proofErr w:type="gramStart"/>
      <w:r w:rsidRPr="00EC514F">
        <w:rPr>
          <w:rFonts w:ascii="Book Antiqua" w:hAnsi="Book Antiqua"/>
          <w:color w:val="1A1718"/>
        </w:rPr>
        <w:t>%</w:t>
      </w:r>
      <w:r w:rsidR="0073408D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73408D" w:rsidRPr="00EC514F">
        <w:rPr>
          <w:rFonts w:ascii="Book Antiqua" w:hAnsi="Book Antiqua"/>
          <w:color w:val="1A1718"/>
          <w:vertAlign w:val="superscript"/>
        </w:rPr>
        <w:t>27]</w:t>
      </w:r>
      <w:r w:rsidRPr="00EC514F">
        <w:rPr>
          <w:rFonts w:ascii="Book Antiqua" w:hAnsi="Book Antiqua"/>
          <w:color w:val="1A1718"/>
        </w:rPr>
        <w:t>. In this study</w:t>
      </w:r>
      <w:r w:rsidR="00BB7085" w:rsidRPr="00EC514F">
        <w:rPr>
          <w:rFonts w:ascii="Book Antiqua" w:hAnsi="Book Antiqua"/>
          <w:color w:val="1A1718"/>
        </w:rPr>
        <w:t>,</w:t>
      </w:r>
      <w:r w:rsidRPr="00EC514F">
        <w:rPr>
          <w:rFonts w:ascii="Book Antiqua" w:hAnsi="Book Antiqua"/>
          <w:color w:val="1A1718"/>
        </w:rPr>
        <w:t xml:space="preserve"> 10 patients underwent 13 DBEs for 11 episodes of mel</w:t>
      </w:r>
      <w:r w:rsidR="00F35102" w:rsidRPr="00EC514F">
        <w:rPr>
          <w:rFonts w:ascii="Book Antiqua" w:hAnsi="Book Antiqua"/>
          <w:color w:val="1A1718"/>
        </w:rPr>
        <w:t>e</w:t>
      </w:r>
      <w:r w:rsidRPr="00EC514F">
        <w:rPr>
          <w:rFonts w:ascii="Book Antiqua" w:hAnsi="Book Antiqua"/>
          <w:color w:val="1A1718"/>
        </w:rPr>
        <w:t>na and 2 episodes of hematochezia. Mid-bowel lesions were found 56% of the times, while 33% of lesions were in the proximal bowel, and 11% were in both proximal and mid bowel. The most common lesions identified were AVMs</w:t>
      </w:r>
      <w:r w:rsidR="002A6A37" w:rsidRPr="00EC514F">
        <w:rPr>
          <w:rFonts w:ascii="Book Antiqua" w:hAnsi="Book Antiqua"/>
          <w:color w:val="1A1718"/>
        </w:rPr>
        <w:t>,</w:t>
      </w:r>
      <w:r w:rsidRPr="00EC514F">
        <w:rPr>
          <w:rFonts w:ascii="Book Antiqua" w:hAnsi="Book Antiqua"/>
          <w:color w:val="1A1718"/>
        </w:rPr>
        <w:t xml:space="preserve"> consisting of 44% of the discovered lesions. </w:t>
      </w:r>
    </w:p>
    <w:p w14:paraId="67935F68" w14:textId="21589654" w:rsidR="003B219F" w:rsidRPr="00EC514F" w:rsidRDefault="00E91BDF" w:rsidP="0040421E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1A1718"/>
        </w:rPr>
      </w:pPr>
      <w:r w:rsidRPr="00EC514F">
        <w:rPr>
          <w:rFonts w:ascii="Book Antiqua" w:hAnsi="Book Antiqua"/>
          <w:color w:val="1A1718"/>
        </w:rPr>
        <w:t>AVMs</w:t>
      </w:r>
      <w:r w:rsidR="003B219F" w:rsidRPr="00EC514F">
        <w:rPr>
          <w:rFonts w:ascii="Book Antiqua" w:hAnsi="Book Antiqua"/>
          <w:color w:val="1A1718"/>
        </w:rPr>
        <w:t xml:space="preserve"> are often found in LVAD patients and are commonly treated with contact or non-contact thermal therapy </w:t>
      </w:r>
      <w:r w:rsidR="0040421E">
        <w:rPr>
          <w:rFonts w:ascii="Book Antiqua" w:hAnsi="Book Antiqua"/>
          <w:color w:val="1A1718"/>
        </w:rPr>
        <w:t>[</w:t>
      </w:r>
      <w:r w:rsidR="003B219F" w:rsidRPr="00EC514F">
        <w:rPr>
          <w:rFonts w:ascii="Book Antiqua" w:hAnsi="Book Antiqua"/>
          <w:color w:val="1A1718"/>
        </w:rPr>
        <w:t>argon plasma coagulation (APC)</w:t>
      </w:r>
      <w:r w:rsidR="0040421E">
        <w:rPr>
          <w:rFonts w:ascii="Book Antiqua" w:hAnsi="Book Antiqua"/>
          <w:color w:val="1A1718"/>
        </w:rPr>
        <w:t>]</w:t>
      </w:r>
      <w:r w:rsidR="003B219F" w:rsidRPr="00EC514F">
        <w:rPr>
          <w:rFonts w:ascii="Book Antiqua" w:hAnsi="Book Antiqua"/>
          <w:color w:val="1A1718"/>
        </w:rPr>
        <w:t xml:space="preserve"> given the large, diffuse nature of these </w:t>
      </w:r>
      <w:proofErr w:type="gramStart"/>
      <w:r w:rsidR="003B219F" w:rsidRPr="00EC514F">
        <w:rPr>
          <w:rFonts w:ascii="Book Antiqua" w:hAnsi="Book Antiqua"/>
          <w:color w:val="1A1718"/>
        </w:rPr>
        <w:t>lesions</w:t>
      </w:r>
      <w:r w:rsidR="0040421E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40421E" w:rsidRPr="00EC514F">
        <w:rPr>
          <w:rFonts w:ascii="Book Antiqua" w:hAnsi="Book Antiqua"/>
          <w:color w:val="1A1718"/>
          <w:vertAlign w:val="superscript"/>
        </w:rPr>
        <w:t>16]</w:t>
      </w:r>
      <w:r w:rsidR="003B219F" w:rsidRPr="00EC514F">
        <w:rPr>
          <w:rFonts w:ascii="Book Antiqua" w:hAnsi="Book Antiqua"/>
          <w:color w:val="1A1718"/>
        </w:rPr>
        <w:t>.</w:t>
      </w:r>
      <w:r w:rsidR="00522FE1" w:rsidRPr="00EC514F">
        <w:rPr>
          <w:rFonts w:ascii="Book Antiqua" w:hAnsi="Book Antiqua"/>
          <w:color w:val="1A1718"/>
        </w:rPr>
        <w:t xml:space="preserve"> </w:t>
      </w:r>
      <w:r w:rsidR="003B219F" w:rsidRPr="00EC514F">
        <w:rPr>
          <w:rFonts w:ascii="Book Antiqua" w:hAnsi="Book Antiqua"/>
          <w:color w:val="1A1718"/>
        </w:rPr>
        <w:t>One study showed that APC treatment of colonic AVMs c</w:t>
      </w:r>
      <w:r w:rsidR="00182E49" w:rsidRPr="00EC514F">
        <w:rPr>
          <w:rFonts w:ascii="Book Antiqua" w:hAnsi="Book Antiqua"/>
          <w:color w:val="1A1718"/>
        </w:rPr>
        <w:t>ould</w:t>
      </w:r>
      <w:r w:rsidR="003B219F" w:rsidRPr="00EC514F">
        <w:rPr>
          <w:rFonts w:ascii="Book Antiqua" w:hAnsi="Book Antiqua"/>
          <w:color w:val="1A1718"/>
        </w:rPr>
        <w:t xml:space="preserve"> significantly decrease</w:t>
      </w:r>
      <w:r w:rsidR="002A6A37" w:rsidRPr="00EC514F">
        <w:rPr>
          <w:rFonts w:ascii="Book Antiqua" w:hAnsi="Book Antiqua"/>
          <w:color w:val="1A1718"/>
        </w:rPr>
        <w:t xml:space="preserve"> blood</w:t>
      </w:r>
      <w:r w:rsidR="003B219F" w:rsidRPr="00EC514F">
        <w:rPr>
          <w:rFonts w:ascii="Book Antiqua" w:hAnsi="Book Antiqua"/>
          <w:color w:val="1A1718"/>
        </w:rPr>
        <w:t xml:space="preserve"> transfusion</w:t>
      </w:r>
      <w:r w:rsidR="002A6A37" w:rsidRPr="00EC514F">
        <w:rPr>
          <w:rFonts w:ascii="Book Antiqua" w:hAnsi="Book Antiqua"/>
          <w:color w:val="1A1718"/>
        </w:rPr>
        <w:t>s</w:t>
      </w:r>
      <w:r w:rsidR="003B219F" w:rsidRPr="00EC514F">
        <w:rPr>
          <w:rFonts w:ascii="Book Antiqua" w:hAnsi="Book Antiqua"/>
          <w:color w:val="1A1718"/>
        </w:rPr>
        <w:t xml:space="preserve"> and increase overall hemoglobin in a 16</w:t>
      </w:r>
      <w:r w:rsidR="008337D2" w:rsidRPr="00EC514F">
        <w:rPr>
          <w:rFonts w:ascii="Book Antiqua" w:hAnsi="Book Antiqua"/>
          <w:color w:val="1A1718"/>
        </w:rPr>
        <w:t>-</w:t>
      </w:r>
      <w:r w:rsidR="003B219F" w:rsidRPr="00EC514F">
        <w:rPr>
          <w:rFonts w:ascii="Book Antiqua" w:hAnsi="Book Antiqua"/>
          <w:color w:val="1A1718"/>
        </w:rPr>
        <w:t>mo</w:t>
      </w:r>
      <w:r w:rsidR="0040421E">
        <w:rPr>
          <w:rFonts w:ascii="Book Antiqua" w:hAnsi="Book Antiqua"/>
          <w:color w:val="1A1718"/>
        </w:rPr>
        <w:t xml:space="preserve"> </w:t>
      </w:r>
      <w:r w:rsidR="003B219F" w:rsidRPr="00EC514F">
        <w:rPr>
          <w:rFonts w:ascii="Book Antiqua" w:hAnsi="Book Antiqua"/>
          <w:color w:val="1A1718"/>
        </w:rPr>
        <w:t>follow-</w:t>
      </w:r>
      <w:proofErr w:type="gramStart"/>
      <w:r w:rsidR="003B219F" w:rsidRPr="00EC514F">
        <w:rPr>
          <w:rFonts w:ascii="Book Antiqua" w:hAnsi="Book Antiqua"/>
          <w:color w:val="1A1718"/>
        </w:rPr>
        <w:t>up</w:t>
      </w:r>
      <w:r w:rsidR="00B513A2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B513A2" w:rsidRPr="00EC514F">
        <w:rPr>
          <w:rFonts w:ascii="Book Antiqua" w:hAnsi="Book Antiqua"/>
          <w:color w:val="1A1718"/>
          <w:vertAlign w:val="superscript"/>
        </w:rPr>
        <w:t>28]</w:t>
      </w:r>
      <w:r w:rsidR="00522FE1" w:rsidRPr="00EC514F">
        <w:rPr>
          <w:rFonts w:ascii="Book Antiqua" w:hAnsi="Book Antiqua"/>
          <w:color w:val="1A1718"/>
        </w:rPr>
        <w:t>.</w:t>
      </w:r>
      <w:r w:rsidR="003B219F" w:rsidRPr="00EC514F">
        <w:rPr>
          <w:rFonts w:ascii="Book Antiqua" w:hAnsi="Book Antiqua"/>
          <w:color w:val="1A1718"/>
        </w:rPr>
        <w:t xml:space="preserve"> However, the upper/mid</w:t>
      </w:r>
      <w:r w:rsidRPr="00EC514F">
        <w:rPr>
          <w:rFonts w:ascii="Book Antiqua" w:hAnsi="Book Antiqua"/>
          <w:color w:val="1A1718"/>
        </w:rPr>
        <w:t>gut</w:t>
      </w:r>
      <w:r w:rsidR="003B219F" w:rsidRPr="00EC514F">
        <w:rPr>
          <w:rFonts w:ascii="Book Antiqua" w:hAnsi="Book Antiqua"/>
          <w:color w:val="1A1718"/>
        </w:rPr>
        <w:t xml:space="preserve"> predominance of AVMs in LVAD patients versus the classic right colonic location of AVMs in non-LVAD patient may change the nature of these AVMs. In addition</w:t>
      </w:r>
      <w:r w:rsidR="002A6A37" w:rsidRPr="00EC514F">
        <w:rPr>
          <w:rFonts w:ascii="Book Antiqua" w:hAnsi="Book Antiqua"/>
          <w:color w:val="1A1718"/>
        </w:rPr>
        <w:t>,</w:t>
      </w:r>
      <w:r w:rsidR="003B219F" w:rsidRPr="00EC514F">
        <w:rPr>
          <w:rFonts w:ascii="Book Antiqua" w:hAnsi="Book Antiqua"/>
          <w:color w:val="1A1718"/>
        </w:rPr>
        <w:t xml:space="preserve"> the tendency of increased anticoagulation in LVAD patients </w:t>
      </w:r>
      <w:r w:rsidR="003B219F" w:rsidRPr="00EC514F">
        <w:rPr>
          <w:rFonts w:ascii="Book Antiqua" w:hAnsi="Book Antiqua"/>
          <w:color w:val="1A1718"/>
        </w:rPr>
        <w:lastRenderedPageBreak/>
        <w:t xml:space="preserve">may cause APC to be less effective in LVAD patients, and may even provoke future bleeding episodes as APC can cause </w:t>
      </w:r>
      <w:proofErr w:type="gramStart"/>
      <w:r w:rsidR="003B219F" w:rsidRPr="00EC514F">
        <w:rPr>
          <w:rFonts w:ascii="Book Antiqua" w:hAnsi="Book Antiqua"/>
          <w:color w:val="1A1718"/>
        </w:rPr>
        <w:t>ulceration</w:t>
      </w:r>
      <w:r w:rsidR="00803E11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803E11" w:rsidRPr="00EC514F">
        <w:rPr>
          <w:rFonts w:ascii="Book Antiqua" w:hAnsi="Book Antiqua"/>
          <w:color w:val="1A1718"/>
          <w:vertAlign w:val="superscript"/>
        </w:rPr>
        <w:t>29]</w:t>
      </w:r>
      <w:r w:rsidR="003B219F" w:rsidRPr="00EC514F">
        <w:rPr>
          <w:rFonts w:ascii="Book Antiqua" w:hAnsi="Book Antiqua"/>
          <w:color w:val="1A1718"/>
        </w:rPr>
        <w:t>. Clinicians should carefully consider the use of APC in LVAD patients, and may benefit from alternative methods to control bleed endoscopically or with the medical therap</w:t>
      </w:r>
      <w:r w:rsidR="00BB7085" w:rsidRPr="00EC514F">
        <w:rPr>
          <w:rFonts w:ascii="Book Antiqua" w:hAnsi="Book Antiqua"/>
          <w:color w:val="1A1718"/>
        </w:rPr>
        <w:t>ies</w:t>
      </w:r>
      <w:r w:rsidR="003B219F" w:rsidRPr="00EC514F">
        <w:rPr>
          <w:rFonts w:ascii="Book Antiqua" w:hAnsi="Book Antiqua"/>
          <w:color w:val="1A1718"/>
        </w:rPr>
        <w:t xml:space="preserve"> discussed below. According to the European Society of Gastroenterology</w:t>
      </w:r>
      <w:r w:rsidR="001D3515" w:rsidRPr="00EC514F">
        <w:rPr>
          <w:rFonts w:ascii="Book Antiqua" w:hAnsi="Book Antiqua"/>
          <w:color w:val="1A1718"/>
        </w:rPr>
        <w:t xml:space="preserve"> (ESGE)</w:t>
      </w:r>
      <w:r w:rsidR="003B219F" w:rsidRPr="00EC514F">
        <w:rPr>
          <w:rFonts w:ascii="Book Antiqua" w:hAnsi="Book Antiqua"/>
          <w:color w:val="1A1718"/>
        </w:rPr>
        <w:t xml:space="preserve">, there is not </w:t>
      </w:r>
      <w:r w:rsidR="002A6A37" w:rsidRPr="00EC514F">
        <w:rPr>
          <w:rFonts w:ascii="Book Antiqua" w:hAnsi="Book Antiqua"/>
          <w:color w:val="1A1718"/>
        </w:rPr>
        <w:t xml:space="preserve">enough </w:t>
      </w:r>
      <w:r w:rsidR="003B219F" w:rsidRPr="00EC514F">
        <w:rPr>
          <w:rFonts w:ascii="Book Antiqua" w:hAnsi="Book Antiqua"/>
          <w:color w:val="1A1718"/>
        </w:rPr>
        <w:t>evidence to prescribe treatment recommendation</w:t>
      </w:r>
      <w:r w:rsidR="00037538" w:rsidRPr="00EC514F">
        <w:rPr>
          <w:rFonts w:ascii="Book Antiqua" w:hAnsi="Book Antiqua"/>
          <w:color w:val="1A1718"/>
        </w:rPr>
        <w:t>s</w:t>
      </w:r>
      <w:r w:rsidR="003B219F" w:rsidRPr="00EC514F">
        <w:rPr>
          <w:rFonts w:ascii="Book Antiqua" w:hAnsi="Book Antiqua"/>
          <w:color w:val="1A1718"/>
        </w:rPr>
        <w:t xml:space="preserve"> for AVM lesions at this </w:t>
      </w:r>
      <w:proofErr w:type="gramStart"/>
      <w:r w:rsidR="00522FE1" w:rsidRPr="00EC514F">
        <w:rPr>
          <w:rFonts w:ascii="Book Antiqua" w:hAnsi="Book Antiqua"/>
          <w:color w:val="1A1718"/>
        </w:rPr>
        <w:t>time</w:t>
      </w:r>
      <w:r w:rsidR="00177A43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177A43" w:rsidRPr="00EC514F">
        <w:rPr>
          <w:rFonts w:ascii="Book Antiqua" w:hAnsi="Book Antiqua"/>
          <w:color w:val="1A1718"/>
          <w:vertAlign w:val="superscript"/>
        </w:rPr>
        <w:t>14]</w:t>
      </w:r>
      <w:r w:rsidR="00522FE1" w:rsidRPr="00EC514F">
        <w:rPr>
          <w:rFonts w:ascii="Book Antiqua" w:hAnsi="Book Antiqua"/>
          <w:color w:val="1A1718"/>
        </w:rPr>
        <w:t>.</w:t>
      </w:r>
      <w:r w:rsidR="003B219F" w:rsidRPr="00EC514F">
        <w:rPr>
          <w:rFonts w:ascii="Book Antiqua" w:hAnsi="Book Antiqua"/>
          <w:color w:val="1A1718"/>
        </w:rPr>
        <w:t xml:space="preserve"> </w:t>
      </w:r>
    </w:p>
    <w:p w14:paraId="203BD267" w14:textId="7596E1BD" w:rsidR="00037538" w:rsidRPr="00EC514F" w:rsidRDefault="003B219F" w:rsidP="00177A43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1A1718"/>
          <w:vertAlign w:val="superscript"/>
        </w:rPr>
      </w:pPr>
      <w:r w:rsidRPr="00EC514F">
        <w:rPr>
          <w:rFonts w:ascii="Book Antiqua" w:hAnsi="Book Antiqua"/>
          <w:color w:val="1A1718"/>
        </w:rPr>
        <w:t xml:space="preserve">Apart from thermal therapy, other endoscopic treatment options for AVMs and other sources of GI </w:t>
      </w:r>
      <w:r w:rsidR="00171726" w:rsidRPr="00EC514F">
        <w:rPr>
          <w:rFonts w:ascii="Book Antiqua" w:hAnsi="Book Antiqua"/>
          <w:color w:val="1A1718"/>
        </w:rPr>
        <w:t>bleeding found in LVAD patients</w:t>
      </w:r>
      <w:r w:rsidRPr="00EC514F">
        <w:rPr>
          <w:rFonts w:ascii="Book Antiqua" w:hAnsi="Book Antiqua"/>
          <w:color w:val="1A1718"/>
        </w:rPr>
        <w:t xml:space="preserve"> include epinephrine injection, electrocautery, </w:t>
      </w:r>
      <w:proofErr w:type="spellStart"/>
      <w:r w:rsidRPr="00EC514F">
        <w:rPr>
          <w:rFonts w:ascii="Book Antiqua" w:hAnsi="Book Antiqua"/>
          <w:color w:val="1A1718"/>
        </w:rPr>
        <w:t>endoclips</w:t>
      </w:r>
      <w:proofErr w:type="spellEnd"/>
      <w:r w:rsidRPr="00EC514F">
        <w:rPr>
          <w:rFonts w:ascii="Book Antiqua" w:hAnsi="Book Antiqua"/>
          <w:color w:val="1A1718"/>
        </w:rPr>
        <w:t>, band ligation, acrylic glue and hemostatic spray/</w:t>
      </w:r>
      <w:proofErr w:type="gramStart"/>
      <w:r w:rsidRPr="00EC514F">
        <w:rPr>
          <w:rFonts w:ascii="Book Antiqua" w:hAnsi="Book Antiqua"/>
          <w:color w:val="1A1718"/>
        </w:rPr>
        <w:t>powder</w:t>
      </w:r>
      <w:r w:rsidR="00177A43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177A43" w:rsidRPr="00EC514F">
        <w:rPr>
          <w:rFonts w:ascii="Book Antiqua" w:hAnsi="Book Antiqua"/>
          <w:color w:val="1A1718"/>
          <w:vertAlign w:val="superscript"/>
        </w:rPr>
        <w:t>15,16,30,31]</w:t>
      </w:r>
      <w:r w:rsidRPr="00EC514F">
        <w:rPr>
          <w:rFonts w:ascii="Book Antiqua" w:hAnsi="Book Antiqua"/>
          <w:color w:val="1A1718"/>
        </w:rPr>
        <w:t>. With large bleeding ulcers, it is recommended to approach the</w:t>
      </w:r>
      <w:r w:rsidR="00171726" w:rsidRPr="00EC514F">
        <w:rPr>
          <w:rFonts w:ascii="Book Antiqua" w:hAnsi="Book Antiqua"/>
          <w:color w:val="1A1718"/>
        </w:rPr>
        <w:t>se</w:t>
      </w:r>
      <w:r w:rsidRPr="00EC514F">
        <w:rPr>
          <w:rFonts w:ascii="Book Antiqua" w:hAnsi="Book Antiqua"/>
          <w:color w:val="1A1718"/>
        </w:rPr>
        <w:t xml:space="preserve"> lesion</w:t>
      </w:r>
      <w:r w:rsidR="00171726" w:rsidRPr="00EC514F">
        <w:rPr>
          <w:rFonts w:ascii="Book Antiqua" w:hAnsi="Book Antiqua"/>
          <w:color w:val="1A1718"/>
        </w:rPr>
        <w:t>s</w:t>
      </w:r>
      <w:r w:rsidRPr="00EC514F">
        <w:rPr>
          <w:rFonts w:ascii="Book Antiqua" w:hAnsi="Book Antiqua"/>
          <w:color w:val="1A1718"/>
        </w:rPr>
        <w:t xml:space="preserve"> with “dual therapy”, typically with epinephrine and another </w:t>
      </w:r>
      <w:proofErr w:type="gramStart"/>
      <w:r w:rsidRPr="00EC514F">
        <w:rPr>
          <w:rFonts w:ascii="Book Antiqua" w:hAnsi="Book Antiqua"/>
          <w:color w:val="1A1718"/>
        </w:rPr>
        <w:t>modality</w:t>
      </w:r>
      <w:r w:rsidR="00177A43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177A43" w:rsidRPr="00EC514F">
        <w:rPr>
          <w:rFonts w:ascii="Book Antiqua" w:hAnsi="Book Antiqua"/>
          <w:color w:val="1A1718"/>
          <w:vertAlign w:val="superscript"/>
        </w:rPr>
        <w:t>14]</w:t>
      </w:r>
      <w:r w:rsidRPr="00EC514F">
        <w:rPr>
          <w:rFonts w:ascii="Book Antiqua" w:hAnsi="Book Antiqua"/>
          <w:color w:val="1A1718"/>
        </w:rPr>
        <w:t>. Hemostatic spray is currently not seen as “conventional” therapy</w:t>
      </w:r>
      <w:r w:rsidR="00A53EE9" w:rsidRPr="00EC514F">
        <w:rPr>
          <w:rFonts w:ascii="Book Antiqua" w:hAnsi="Book Antiqua"/>
          <w:color w:val="1A1718"/>
        </w:rPr>
        <w:t xml:space="preserve"> and used</w:t>
      </w:r>
      <w:r w:rsidR="00577ABD" w:rsidRPr="00EC514F">
        <w:rPr>
          <w:rFonts w:ascii="Book Antiqua" w:hAnsi="Book Antiqua"/>
          <w:color w:val="1A1718"/>
        </w:rPr>
        <w:t xml:space="preserve"> in setting of “salvage” </w:t>
      </w:r>
      <w:proofErr w:type="gramStart"/>
      <w:r w:rsidR="00577ABD" w:rsidRPr="00EC514F">
        <w:rPr>
          <w:rFonts w:ascii="Book Antiqua" w:hAnsi="Book Antiqua"/>
          <w:color w:val="1A1718"/>
        </w:rPr>
        <w:t>therapy</w:t>
      </w:r>
      <w:r w:rsidR="00177A43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177A43" w:rsidRPr="00EC514F">
        <w:rPr>
          <w:rFonts w:ascii="Book Antiqua" w:hAnsi="Book Antiqua"/>
          <w:color w:val="1A1718"/>
          <w:vertAlign w:val="superscript"/>
        </w:rPr>
        <w:t>24,30]</w:t>
      </w:r>
      <w:r w:rsidRPr="00EC514F">
        <w:rPr>
          <w:rFonts w:ascii="Book Antiqua" w:hAnsi="Book Antiqua"/>
          <w:color w:val="1A1718"/>
        </w:rPr>
        <w:t xml:space="preserve">. One study looking at TC-325, hemostatic </w:t>
      </w:r>
      <w:r w:rsidR="00BB7085" w:rsidRPr="00EC514F">
        <w:rPr>
          <w:rFonts w:ascii="Book Antiqua" w:hAnsi="Book Antiqua"/>
          <w:color w:val="1A1718"/>
        </w:rPr>
        <w:t>powder</w:t>
      </w:r>
      <w:r w:rsidRPr="00EC514F">
        <w:rPr>
          <w:rFonts w:ascii="Book Antiqua" w:hAnsi="Book Antiqua"/>
          <w:color w:val="1A1718"/>
        </w:rPr>
        <w:t>, showed</w:t>
      </w:r>
      <w:r w:rsidR="00BB7085" w:rsidRPr="00EC514F">
        <w:rPr>
          <w:rFonts w:ascii="Book Antiqua" w:hAnsi="Book Antiqua"/>
          <w:color w:val="1A1718"/>
        </w:rPr>
        <w:t xml:space="preserve"> a</w:t>
      </w:r>
      <w:r w:rsidRPr="00EC514F">
        <w:rPr>
          <w:rFonts w:ascii="Book Antiqua" w:hAnsi="Book Antiqua"/>
          <w:color w:val="1A1718"/>
        </w:rPr>
        <w:t xml:space="preserve"> 90.7% primary hemostasis rate with a rebleeding rate of 26.1%. It was</w:t>
      </w:r>
      <w:r w:rsidR="00037538" w:rsidRPr="00EC514F">
        <w:rPr>
          <w:rFonts w:ascii="Book Antiqua" w:hAnsi="Book Antiqua"/>
          <w:color w:val="1A1718"/>
        </w:rPr>
        <w:t>,</w:t>
      </w:r>
      <w:r w:rsidRPr="00EC514F">
        <w:rPr>
          <w:rFonts w:ascii="Book Antiqua" w:hAnsi="Book Antiqua"/>
          <w:color w:val="1A1718"/>
        </w:rPr>
        <w:t xml:space="preserve"> however, </w:t>
      </w:r>
      <w:r w:rsidR="00BB7085" w:rsidRPr="00EC514F">
        <w:rPr>
          <w:rFonts w:ascii="Book Antiqua" w:hAnsi="Book Antiqua"/>
          <w:color w:val="1A1718"/>
        </w:rPr>
        <w:t>found</w:t>
      </w:r>
      <w:r w:rsidRPr="00EC514F">
        <w:rPr>
          <w:rFonts w:ascii="Book Antiqua" w:hAnsi="Book Antiqua"/>
          <w:color w:val="1A1718"/>
        </w:rPr>
        <w:t xml:space="preserve"> to be less effective in patients on anticoagulation, like LVAD patients, with a hemostasis rate of 63</w:t>
      </w:r>
      <w:proofErr w:type="gramStart"/>
      <w:r w:rsidRPr="00EC514F">
        <w:rPr>
          <w:rFonts w:ascii="Book Antiqua" w:hAnsi="Book Antiqua"/>
          <w:color w:val="1A1718"/>
        </w:rPr>
        <w:t>%</w:t>
      </w:r>
      <w:r w:rsidR="00177A43" w:rsidRPr="00EC514F">
        <w:rPr>
          <w:rFonts w:ascii="Book Antiqua" w:hAnsi="Book Antiqua"/>
          <w:color w:val="1A1718"/>
          <w:vertAlign w:val="superscript"/>
        </w:rPr>
        <w:t>[</w:t>
      </w:r>
      <w:proofErr w:type="gramEnd"/>
      <w:r w:rsidR="00177A43" w:rsidRPr="00EC514F">
        <w:rPr>
          <w:rFonts w:ascii="Book Antiqua" w:hAnsi="Book Antiqua"/>
          <w:color w:val="1A1718"/>
          <w:vertAlign w:val="superscript"/>
        </w:rPr>
        <w:t>30]</w:t>
      </w:r>
      <w:r w:rsidR="00577ABD" w:rsidRPr="00EC514F">
        <w:rPr>
          <w:rFonts w:ascii="Book Antiqua" w:hAnsi="Book Antiqua"/>
          <w:color w:val="1A1718"/>
        </w:rPr>
        <w:t>.</w:t>
      </w:r>
    </w:p>
    <w:p w14:paraId="5D40C623" w14:textId="77777777" w:rsidR="00BB7085" w:rsidRPr="00EC514F" w:rsidRDefault="00BB7085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1A1718"/>
        </w:rPr>
      </w:pPr>
    </w:p>
    <w:p w14:paraId="5D3B1DAB" w14:textId="17535B7B" w:rsidR="006C5E82" w:rsidRPr="00177A43" w:rsidRDefault="003A63CA" w:rsidP="00151396">
      <w:pPr>
        <w:snapToGrid w:val="0"/>
        <w:spacing w:line="360" w:lineRule="auto"/>
        <w:jc w:val="both"/>
        <w:rPr>
          <w:rFonts w:ascii="Book Antiqua" w:hAnsi="Book Antiqua"/>
          <w:i/>
          <w:color w:val="1A1718"/>
        </w:rPr>
      </w:pPr>
      <w:r w:rsidRPr="00177A43">
        <w:rPr>
          <w:rFonts w:ascii="Book Antiqua" w:hAnsi="Book Antiqua"/>
          <w:b/>
          <w:i/>
          <w:color w:val="1A1718"/>
        </w:rPr>
        <w:t xml:space="preserve">Prophylactic </w:t>
      </w:r>
      <w:r w:rsidR="00177A43" w:rsidRPr="00177A43">
        <w:rPr>
          <w:rFonts w:ascii="Book Antiqua" w:hAnsi="Book Antiqua"/>
          <w:b/>
          <w:i/>
          <w:color w:val="1A1718"/>
        </w:rPr>
        <w:t>m</w:t>
      </w:r>
      <w:r w:rsidRPr="00177A43">
        <w:rPr>
          <w:rFonts w:ascii="Book Antiqua" w:hAnsi="Book Antiqua"/>
          <w:b/>
          <w:i/>
          <w:color w:val="1A1718"/>
        </w:rPr>
        <w:t>edications:</w:t>
      </w:r>
      <w:r w:rsidR="00270E7E">
        <w:rPr>
          <w:rFonts w:ascii="Book Antiqua" w:hAnsi="Book Antiqua"/>
          <w:b/>
          <w:i/>
          <w:color w:val="1A1718"/>
        </w:rPr>
        <w:t xml:space="preserve"> </w:t>
      </w:r>
      <w:r w:rsidR="00270E7E" w:rsidRPr="009903DF">
        <w:rPr>
          <w:rFonts w:ascii="Book Antiqua" w:hAnsi="Book Antiqua"/>
          <w:b/>
          <w:i/>
          <w:caps/>
          <w:color w:val="1A1718"/>
        </w:rPr>
        <w:t>a</w:t>
      </w:r>
      <w:r w:rsidR="00270E7E" w:rsidRPr="00177A43">
        <w:rPr>
          <w:rFonts w:ascii="Book Antiqua" w:hAnsi="Book Antiqua"/>
          <w:b/>
          <w:i/>
          <w:color w:val="1A1718"/>
        </w:rPr>
        <w:t>rteriovenous malformation targeted medical therapy</w:t>
      </w:r>
    </w:p>
    <w:p w14:paraId="3FEE0E93" w14:textId="14007A79" w:rsidR="00E80D45" w:rsidRPr="00EC514F" w:rsidRDefault="00E80D45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 xml:space="preserve">The diffuse nature </w:t>
      </w:r>
      <w:r w:rsidR="00A2526A" w:rsidRPr="00EC514F">
        <w:rPr>
          <w:rFonts w:ascii="Book Antiqua" w:hAnsi="Book Antiqua"/>
        </w:rPr>
        <w:t xml:space="preserve">AVM are </w:t>
      </w:r>
      <w:r w:rsidRPr="00EC514F">
        <w:rPr>
          <w:rFonts w:ascii="Book Antiqua" w:hAnsi="Book Antiqua"/>
        </w:rPr>
        <w:t xml:space="preserve">responsible for many cases of </w:t>
      </w:r>
      <w:r w:rsidR="00FE7360" w:rsidRPr="00EC514F">
        <w:rPr>
          <w:rFonts w:ascii="Book Antiqua" w:hAnsi="Book Antiqua"/>
        </w:rPr>
        <w:t>bleeding/</w:t>
      </w:r>
      <w:r w:rsidRPr="00EC514F">
        <w:rPr>
          <w:rFonts w:ascii="Book Antiqua" w:hAnsi="Book Antiqua"/>
        </w:rPr>
        <w:t>rebleeding in LVAD patients</w:t>
      </w:r>
      <w:r w:rsidR="00BD49F7" w:rsidRPr="00EC514F">
        <w:rPr>
          <w:rFonts w:ascii="Book Antiqua" w:hAnsi="Book Antiqua"/>
        </w:rPr>
        <w:t>; up to 29</w:t>
      </w:r>
      <w:r w:rsidR="000602BD" w:rsidRPr="00EC514F">
        <w:rPr>
          <w:rFonts w:ascii="Book Antiqua" w:hAnsi="Book Antiqua"/>
        </w:rPr>
        <w:t>%</w:t>
      </w:r>
      <w:r w:rsidR="00BD49F7" w:rsidRPr="00EC514F">
        <w:rPr>
          <w:rFonts w:ascii="Book Antiqua" w:hAnsi="Book Antiqua"/>
        </w:rPr>
        <w:t>-44%</w:t>
      </w:r>
      <w:r w:rsidRPr="00EC514F">
        <w:rPr>
          <w:rFonts w:ascii="Book Antiqua" w:hAnsi="Book Antiqua"/>
        </w:rPr>
        <w:t xml:space="preserve">. Endoscopy may be able to identify an acutely bleeding lesion, but one bleeding </w:t>
      </w:r>
      <w:r w:rsidR="00A2526A" w:rsidRPr="00EC514F">
        <w:rPr>
          <w:rFonts w:ascii="Book Antiqua" w:hAnsi="Book Antiqua"/>
        </w:rPr>
        <w:t xml:space="preserve">AVM </w:t>
      </w:r>
      <w:r w:rsidR="00F04152" w:rsidRPr="00EC514F">
        <w:rPr>
          <w:rFonts w:ascii="Book Antiqua" w:hAnsi="Book Antiqua"/>
        </w:rPr>
        <w:t xml:space="preserve">lesion </w:t>
      </w:r>
      <w:r w:rsidRPr="00EC514F">
        <w:rPr>
          <w:rFonts w:ascii="Book Antiqua" w:hAnsi="Book Antiqua"/>
        </w:rPr>
        <w:t xml:space="preserve">usually portends others along the GI tract that may bleed in the future, as well as </w:t>
      </w:r>
      <w:r w:rsidR="00D814D3" w:rsidRPr="00EC514F">
        <w:rPr>
          <w:rFonts w:ascii="Book Antiqua" w:hAnsi="Book Antiqua"/>
        </w:rPr>
        <w:t xml:space="preserve">the formation of new </w:t>
      </w:r>
      <w:r w:rsidR="00A2526A" w:rsidRPr="00EC514F">
        <w:rPr>
          <w:rFonts w:ascii="Book Antiqua" w:hAnsi="Book Antiqua"/>
        </w:rPr>
        <w:t>AVMs</w:t>
      </w:r>
      <w:r w:rsidR="00D814D3" w:rsidRPr="00EC514F">
        <w:rPr>
          <w:rFonts w:ascii="Book Antiqua" w:hAnsi="Book Antiqua"/>
        </w:rPr>
        <w:t xml:space="preserve">. Therefore, medical therapy </w:t>
      </w:r>
      <w:r w:rsidR="000D2B56" w:rsidRPr="00EC514F">
        <w:rPr>
          <w:rFonts w:ascii="Book Antiqua" w:hAnsi="Book Antiqua"/>
        </w:rPr>
        <w:t xml:space="preserve">targeted at </w:t>
      </w:r>
      <w:r w:rsidR="00D814D3" w:rsidRPr="00EC514F">
        <w:rPr>
          <w:rFonts w:ascii="Book Antiqua" w:hAnsi="Book Antiqua"/>
        </w:rPr>
        <w:t xml:space="preserve">the driving factors of these </w:t>
      </w:r>
      <w:r w:rsidR="00FE7360" w:rsidRPr="00EC514F">
        <w:rPr>
          <w:rFonts w:ascii="Book Antiqua" w:hAnsi="Book Antiqua"/>
        </w:rPr>
        <w:t>lesions</w:t>
      </w:r>
      <w:r w:rsidR="00D814D3" w:rsidRPr="00EC514F">
        <w:rPr>
          <w:rFonts w:ascii="Book Antiqua" w:hAnsi="Book Antiqua"/>
        </w:rPr>
        <w:t xml:space="preserve"> have been used to reduce the episodes of rebleeding and ultimately decreas</w:t>
      </w:r>
      <w:r w:rsidR="00F04152" w:rsidRPr="00EC514F">
        <w:rPr>
          <w:rFonts w:ascii="Book Antiqua" w:hAnsi="Book Antiqua"/>
        </w:rPr>
        <w:t>e</w:t>
      </w:r>
      <w:r w:rsidR="00D814D3" w:rsidRPr="00EC514F">
        <w:rPr>
          <w:rFonts w:ascii="Book Antiqua" w:hAnsi="Book Antiqua"/>
        </w:rPr>
        <w:t xml:space="preserve"> the number of hospitalizations</w:t>
      </w:r>
      <w:r w:rsidR="00171726" w:rsidRPr="00EC514F">
        <w:rPr>
          <w:rFonts w:ascii="Book Antiqua" w:hAnsi="Book Antiqua"/>
        </w:rPr>
        <w:t>, endoscopic procedures</w:t>
      </w:r>
      <w:r w:rsidR="00D814D3" w:rsidRPr="00EC514F">
        <w:rPr>
          <w:rFonts w:ascii="Book Antiqua" w:hAnsi="Book Antiqua"/>
        </w:rPr>
        <w:t xml:space="preserve"> and blood transfusions. </w:t>
      </w:r>
    </w:p>
    <w:p w14:paraId="076C8930" w14:textId="77777777" w:rsidR="000602BD" w:rsidRDefault="000602BD" w:rsidP="000602B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i/>
        </w:rPr>
      </w:pPr>
    </w:p>
    <w:p w14:paraId="08109B14" w14:textId="17F7FE1D" w:rsidR="00B72E46" w:rsidRPr="000602BD" w:rsidRDefault="00BE3C22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0602BD">
        <w:rPr>
          <w:rFonts w:ascii="Book Antiqua" w:hAnsi="Book Antiqua"/>
          <w:b/>
        </w:rPr>
        <w:t>Oct</w:t>
      </w:r>
      <w:r w:rsidR="00FE7360" w:rsidRPr="000602BD">
        <w:rPr>
          <w:rFonts w:ascii="Book Antiqua" w:hAnsi="Book Antiqua"/>
          <w:b/>
        </w:rPr>
        <w:t>reotide</w:t>
      </w:r>
      <w:r w:rsidR="000602BD">
        <w:rPr>
          <w:rFonts w:ascii="Book Antiqua" w:hAnsi="Book Antiqua"/>
          <w:b/>
        </w:rPr>
        <w:t xml:space="preserve">: </w:t>
      </w:r>
      <w:r w:rsidR="00E10DB8" w:rsidRPr="00EC514F">
        <w:rPr>
          <w:rFonts w:ascii="Book Antiqua" w:hAnsi="Book Antiqua"/>
        </w:rPr>
        <w:t>After conservative medical therapy</w:t>
      </w:r>
      <w:r w:rsidR="000D2A62" w:rsidRPr="00EC514F">
        <w:rPr>
          <w:rFonts w:ascii="Book Antiqua" w:hAnsi="Book Antiqua"/>
        </w:rPr>
        <w:t xml:space="preserve"> is tried and failed, a common</w:t>
      </w:r>
      <w:r w:rsidR="00E10DB8" w:rsidRPr="00EC514F">
        <w:rPr>
          <w:rFonts w:ascii="Book Antiqua" w:hAnsi="Book Antiqua"/>
        </w:rPr>
        <w:t xml:space="preserve"> </w:t>
      </w:r>
      <w:r w:rsidR="00E10DB8" w:rsidRPr="00EC514F">
        <w:rPr>
          <w:rFonts w:ascii="Book Antiqua" w:hAnsi="Book Antiqua"/>
        </w:rPr>
        <w:lastRenderedPageBreak/>
        <w:t xml:space="preserve">first agent that is </w:t>
      </w:r>
      <w:r w:rsidR="00F04152" w:rsidRPr="00EC514F">
        <w:rPr>
          <w:rFonts w:ascii="Book Antiqua" w:hAnsi="Book Antiqua"/>
        </w:rPr>
        <w:t xml:space="preserve">used </w:t>
      </w:r>
      <w:r w:rsidR="00E10DB8" w:rsidRPr="00EC514F">
        <w:rPr>
          <w:rFonts w:ascii="Book Antiqua" w:hAnsi="Book Antiqua"/>
        </w:rPr>
        <w:t>to reduce recurrent GI bleed</w:t>
      </w:r>
      <w:r w:rsidR="00F04152" w:rsidRPr="00EC514F">
        <w:rPr>
          <w:rFonts w:ascii="Book Antiqua" w:hAnsi="Book Antiqua"/>
        </w:rPr>
        <w:t>ing</w:t>
      </w:r>
      <w:r w:rsidR="00E10DB8" w:rsidRPr="00EC514F">
        <w:rPr>
          <w:rFonts w:ascii="Book Antiqua" w:hAnsi="Book Antiqua"/>
        </w:rPr>
        <w:t xml:space="preserve"> in LVAD patients is octreotide</w:t>
      </w:r>
      <w:r w:rsidR="009867F0" w:rsidRPr="00EC514F">
        <w:rPr>
          <w:rFonts w:ascii="Book Antiqua" w:hAnsi="Book Antiqua"/>
        </w:rPr>
        <w:t>, a somatostatin analogue</w:t>
      </w:r>
      <w:r w:rsidR="00E10DB8" w:rsidRPr="00EC514F">
        <w:rPr>
          <w:rFonts w:ascii="Book Antiqua" w:hAnsi="Book Antiqua"/>
        </w:rPr>
        <w:t>. It is believed that octre</w:t>
      </w:r>
      <w:r w:rsidR="0097032E" w:rsidRPr="00EC514F">
        <w:rPr>
          <w:rFonts w:ascii="Book Antiqua" w:hAnsi="Book Antiqua"/>
        </w:rPr>
        <w:t>o</w:t>
      </w:r>
      <w:r w:rsidR="00E10DB8" w:rsidRPr="00EC514F">
        <w:rPr>
          <w:rFonts w:ascii="Book Antiqua" w:hAnsi="Book Antiqua"/>
        </w:rPr>
        <w:t xml:space="preserve">tide reduces bleeding rates by decreasing portal venous pressures due </w:t>
      </w:r>
      <w:r w:rsidR="0097032E" w:rsidRPr="00EC514F">
        <w:rPr>
          <w:rFonts w:ascii="Book Antiqua" w:hAnsi="Book Antiqua"/>
        </w:rPr>
        <w:t>to splenic vasodilation, enhancing</w:t>
      </w:r>
      <w:r w:rsidR="00E10DB8" w:rsidRPr="00EC514F">
        <w:rPr>
          <w:rFonts w:ascii="Book Antiqua" w:hAnsi="Book Antiqua"/>
        </w:rPr>
        <w:t xml:space="preserve"> platelet aggregation,</w:t>
      </w:r>
      <w:r w:rsidR="0097032E" w:rsidRPr="00EC514F">
        <w:rPr>
          <w:rFonts w:ascii="Book Antiqua" w:hAnsi="Book Antiqua"/>
        </w:rPr>
        <w:t xml:space="preserve"> and</w:t>
      </w:r>
      <w:r w:rsidR="00E10DB8" w:rsidRPr="00EC514F">
        <w:rPr>
          <w:rFonts w:ascii="Book Antiqua" w:hAnsi="Book Antiqua"/>
        </w:rPr>
        <w:t xml:space="preserve"> inhib</w:t>
      </w:r>
      <w:r w:rsidR="0097032E" w:rsidRPr="00EC514F">
        <w:rPr>
          <w:rFonts w:ascii="Book Antiqua" w:hAnsi="Book Antiqua"/>
        </w:rPr>
        <w:t>iting</w:t>
      </w:r>
      <w:r w:rsidR="00E10DB8" w:rsidRPr="00EC514F">
        <w:rPr>
          <w:rFonts w:ascii="Book Antiqua" w:hAnsi="Book Antiqua"/>
        </w:rPr>
        <w:t xml:space="preserve"> </w:t>
      </w:r>
      <w:r w:rsidR="00053EB9" w:rsidRPr="00EC514F">
        <w:rPr>
          <w:rFonts w:ascii="Book Antiqua" w:hAnsi="Book Antiqua"/>
        </w:rPr>
        <w:t xml:space="preserve">of angiogenesis in the GI tract through downregulation of VEGF </w:t>
      </w:r>
      <w:r w:rsidR="00E10DB8" w:rsidRPr="00EC514F">
        <w:rPr>
          <w:rFonts w:ascii="Book Antiqua" w:hAnsi="Book Antiqua"/>
        </w:rPr>
        <w:t xml:space="preserve">and suppression of digestive </w:t>
      </w:r>
      <w:proofErr w:type="gramStart"/>
      <w:r w:rsidR="00E10DB8" w:rsidRPr="00EC514F">
        <w:rPr>
          <w:rFonts w:ascii="Book Antiqua" w:hAnsi="Book Antiqua"/>
        </w:rPr>
        <w:t>enzymes</w:t>
      </w:r>
      <w:r w:rsidR="009D6476" w:rsidRPr="00EC514F">
        <w:rPr>
          <w:rFonts w:ascii="Book Antiqua" w:hAnsi="Book Antiqua"/>
          <w:vertAlign w:val="superscript"/>
        </w:rPr>
        <w:t>[</w:t>
      </w:r>
      <w:proofErr w:type="gramEnd"/>
      <w:r w:rsidR="009D6476" w:rsidRPr="00EC514F">
        <w:rPr>
          <w:rFonts w:ascii="Book Antiqua" w:hAnsi="Book Antiqua"/>
          <w:vertAlign w:val="superscript"/>
        </w:rPr>
        <w:t>5,32]</w:t>
      </w:r>
      <w:r w:rsidR="00BA10B3" w:rsidRPr="00EC514F">
        <w:rPr>
          <w:rFonts w:ascii="Book Antiqua" w:hAnsi="Book Antiqua"/>
        </w:rPr>
        <w:t xml:space="preserve">. </w:t>
      </w:r>
      <w:r w:rsidR="009867F0" w:rsidRPr="00EC514F">
        <w:rPr>
          <w:rFonts w:ascii="Book Antiqua" w:hAnsi="Book Antiqua"/>
        </w:rPr>
        <w:t>Octreotide is currently dosed 50 to 100</w:t>
      </w:r>
      <w:r w:rsidR="009D6476">
        <w:rPr>
          <w:rFonts w:ascii="Book Antiqua" w:hAnsi="Book Antiqua"/>
        </w:rPr>
        <w:t xml:space="preserve"> </w:t>
      </w:r>
      <w:proofErr w:type="spellStart"/>
      <w:r w:rsidR="009867F0" w:rsidRPr="00EC514F">
        <w:rPr>
          <w:rFonts w:ascii="Book Antiqua" w:hAnsi="Book Antiqua" w:cs="Times New Roman"/>
        </w:rPr>
        <w:t>μ</w:t>
      </w:r>
      <w:r w:rsidR="009867F0" w:rsidRPr="00EC514F">
        <w:rPr>
          <w:rFonts w:ascii="Book Antiqua" w:hAnsi="Book Antiqua"/>
        </w:rPr>
        <w:t>g</w:t>
      </w:r>
      <w:proofErr w:type="spellEnd"/>
      <w:r w:rsidR="009867F0" w:rsidRPr="00EC514F">
        <w:rPr>
          <w:rFonts w:ascii="Book Antiqua" w:hAnsi="Book Antiqua"/>
        </w:rPr>
        <w:t xml:space="preserve"> subcutaneous (SQ) twice daily (BID) or octreotide </w:t>
      </w:r>
      <w:r w:rsidR="00037538" w:rsidRPr="00EC514F">
        <w:rPr>
          <w:rFonts w:ascii="Book Antiqua" w:hAnsi="Book Antiqua"/>
        </w:rPr>
        <w:t>long-acting release (</w:t>
      </w:r>
      <w:r w:rsidR="009867F0" w:rsidRPr="00EC514F">
        <w:rPr>
          <w:rFonts w:ascii="Book Antiqua" w:hAnsi="Book Antiqua"/>
        </w:rPr>
        <w:t>LAR</w:t>
      </w:r>
      <w:r w:rsidR="00037538" w:rsidRPr="00EC514F">
        <w:rPr>
          <w:rFonts w:ascii="Book Antiqua" w:hAnsi="Book Antiqua"/>
        </w:rPr>
        <w:t>)</w:t>
      </w:r>
      <w:r w:rsidR="009867F0" w:rsidRPr="00EC514F">
        <w:rPr>
          <w:rFonts w:ascii="Book Antiqua" w:hAnsi="Book Antiqua"/>
        </w:rPr>
        <w:t xml:space="preserve"> 20 to 30 mg intramuscularly (IM) monthly. A study observing the effects of </w:t>
      </w:r>
      <w:r w:rsidR="003F4805" w:rsidRPr="00EC514F">
        <w:rPr>
          <w:rFonts w:ascii="Book Antiqua" w:hAnsi="Book Antiqua"/>
        </w:rPr>
        <w:t>o</w:t>
      </w:r>
      <w:r w:rsidR="001E1BC0" w:rsidRPr="00EC514F">
        <w:rPr>
          <w:rFonts w:ascii="Book Antiqua" w:hAnsi="Book Antiqua"/>
        </w:rPr>
        <w:t>ctreotide</w:t>
      </w:r>
      <w:r w:rsidR="009867F0" w:rsidRPr="00EC514F">
        <w:rPr>
          <w:rFonts w:ascii="Book Antiqua" w:hAnsi="Book Antiqua"/>
        </w:rPr>
        <w:t xml:space="preserve"> LAR 20 mg IM monthly in LVAD patients showed </w:t>
      </w:r>
      <w:r w:rsidR="00C7441A" w:rsidRPr="00EC514F">
        <w:rPr>
          <w:rFonts w:ascii="Book Antiqua" w:hAnsi="Book Antiqua"/>
        </w:rPr>
        <w:t xml:space="preserve">a significant </w:t>
      </w:r>
      <w:r w:rsidR="00FA2652" w:rsidRPr="00EC514F">
        <w:rPr>
          <w:rFonts w:ascii="Book Antiqua" w:hAnsi="Book Antiqua"/>
        </w:rPr>
        <w:t>reduction</w:t>
      </w:r>
      <w:r w:rsidR="00C7441A" w:rsidRPr="00EC514F">
        <w:rPr>
          <w:rFonts w:ascii="Book Antiqua" w:hAnsi="Book Antiqua"/>
        </w:rPr>
        <w:t xml:space="preserve"> of bleeding events in their </w:t>
      </w:r>
      <w:proofErr w:type="gramStart"/>
      <w:r w:rsidR="00C7441A" w:rsidRPr="00EC514F">
        <w:rPr>
          <w:rFonts w:ascii="Book Antiqua" w:hAnsi="Book Antiqua"/>
        </w:rPr>
        <w:t xml:space="preserve">26 </w:t>
      </w:r>
      <w:r w:rsidR="002A54F4" w:rsidRPr="00EC514F">
        <w:rPr>
          <w:rFonts w:ascii="Book Antiqua" w:hAnsi="Book Antiqua"/>
        </w:rPr>
        <w:t>patient</w:t>
      </w:r>
      <w:proofErr w:type="gramEnd"/>
      <w:r w:rsidR="00C7441A" w:rsidRPr="00EC514F">
        <w:rPr>
          <w:rFonts w:ascii="Book Antiqua" w:hAnsi="Book Antiqua"/>
        </w:rPr>
        <w:t xml:space="preserve"> cohort (20 Heartmate II, 5 HVAD, </w:t>
      </w:r>
      <w:r w:rsidR="00171726" w:rsidRPr="00EC514F">
        <w:rPr>
          <w:rFonts w:ascii="Book Antiqua" w:hAnsi="Book Antiqua"/>
        </w:rPr>
        <w:t xml:space="preserve">and </w:t>
      </w:r>
      <w:r w:rsidR="00C7441A" w:rsidRPr="00EC514F">
        <w:rPr>
          <w:rFonts w:ascii="Book Antiqua" w:hAnsi="Book Antiqua"/>
        </w:rPr>
        <w:t xml:space="preserve">1 </w:t>
      </w:r>
      <w:proofErr w:type="spellStart"/>
      <w:r w:rsidR="00C7441A" w:rsidRPr="00EC514F">
        <w:rPr>
          <w:rFonts w:ascii="Book Antiqua" w:hAnsi="Book Antiqua"/>
        </w:rPr>
        <w:t>HeartAssist</w:t>
      </w:r>
      <w:proofErr w:type="spellEnd"/>
      <w:r w:rsidR="00C7441A" w:rsidRPr="00EC514F">
        <w:rPr>
          <w:rFonts w:ascii="Book Antiqua" w:hAnsi="Book Antiqua"/>
        </w:rPr>
        <w:t>). The average number of bleeding episodes</w:t>
      </w:r>
      <w:r w:rsidR="00B72E46" w:rsidRPr="00EC514F">
        <w:rPr>
          <w:rFonts w:ascii="Book Antiqua" w:hAnsi="Book Antiqua"/>
        </w:rPr>
        <w:t xml:space="preserve"> pre-treatment was 3</w:t>
      </w:r>
      <w:r w:rsidR="009D6476">
        <w:rPr>
          <w:rFonts w:ascii="Book Antiqua" w:hAnsi="Book Antiqua"/>
        </w:rPr>
        <w:t xml:space="preserve"> ± </w:t>
      </w:r>
      <w:r w:rsidR="00B72E46" w:rsidRPr="00EC514F">
        <w:rPr>
          <w:rFonts w:ascii="Book Antiqua" w:hAnsi="Book Antiqua"/>
        </w:rPr>
        <w:t xml:space="preserve">2.4 per year in this group with improvement to 0.7 </w:t>
      </w:r>
      <w:r w:rsidR="009D6476">
        <w:rPr>
          <w:rFonts w:ascii="Book Antiqua" w:hAnsi="Book Antiqua"/>
        </w:rPr>
        <w:t>±</w:t>
      </w:r>
      <w:r w:rsidR="00B72E46" w:rsidRPr="00EC514F">
        <w:rPr>
          <w:rFonts w:ascii="Book Antiqua" w:hAnsi="Book Antiqua"/>
        </w:rPr>
        <w:t xml:space="preserve"> 1.3 per year after </w:t>
      </w:r>
      <w:r w:rsidR="002A54F4" w:rsidRPr="00EC514F">
        <w:rPr>
          <w:rFonts w:ascii="Book Antiqua" w:hAnsi="Book Antiqua"/>
        </w:rPr>
        <w:t>initiation</w:t>
      </w:r>
      <w:r w:rsidR="00B72E46" w:rsidRPr="00EC514F">
        <w:rPr>
          <w:rFonts w:ascii="Book Antiqua" w:hAnsi="Book Antiqua"/>
        </w:rPr>
        <w:t xml:space="preserve"> of monthly o</w:t>
      </w:r>
      <w:r w:rsidR="00FA2652" w:rsidRPr="00EC514F">
        <w:rPr>
          <w:rFonts w:ascii="Book Antiqua" w:hAnsi="Book Antiqua"/>
        </w:rPr>
        <w:t>ctre</w:t>
      </w:r>
      <w:r w:rsidR="001E1BC0" w:rsidRPr="00EC514F">
        <w:rPr>
          <w:rFonts w:ascii="Book Antiqua" w:hAnsi="Book Antiqua"/>
        </w:rPr>
        <w:t>o</w:t>
      </w:r>
      <w:r w:rsidR="00FA2652" w:rsidRPr="00EC514F">
        <w:rPr>
          <w:rFonts w:ascii="Book Antiqua" w:hAnsi="Book Antiqua"/>
        </w:rPr>
        <w:t>tide</w:t>
      </w:r>
      <w:r w:rsidR="00B72E46" w:rsidRPr="00EC514F">
        <w:rPr>
          <w:rFonts w:ascii="Book Antiqua" w:hAnsi="Book Antiqua"/>
        </w:rPr>
        <w:t xml:space="preserve">. 43% of the cohort was free of further </w:t>
      </w:r>
      <w:r w:rsidR="00446212" w:rsidRPr="00EC514F">
        <w:rPr>
          <w:rFonts w:ascii="Book Antiqua" w:hAnsi="Book Antiqua"/>
        </w:rPr>
        <w:t>bleed</w:t>
      </w:r>
      <w:r w:rsidR="00EA33C0" w:rsidRPr="00EC514F">
        <w:rPr>
          <w:rFonts w:ascii="Book Antiqua" w:hAnsi="Book Antiqua"/>
        </w:rPr>
        <w:t>ing episodes</w:t>
      </w:r>
      <w:r w:rsidR="00446212" w:rsidRPr="00EC514F">
        <w:rPr>
          <w:rFonts w:ascii="Book Antiqua" w:hAnsi="Book Antiqua"/>
        </w:rPr>
        <w:t xml:space="preserve"> in follow-</w:t>
      </w:r>
      <w:proofErr w:type="gramStart"/>
      <w:r w:rsidR="00446212" w:rsidRPr="00EC514F">
        <w:rPr>
          <w:rFonts w:ascii="Book Antiqua" w:hAnsi="Book Antiqua"/>
        </w:rPr>
        <w:t>up</w:t>
      </w:r>
      <w:r w:rsidR="00502F2B" w:rsidRPr="00EC514F">
        <w:rPr>
          <w:rFonts w:ascii="Book Antiqua" w:hAnsi="Book Antiqua"/>
          <w:vertAlign w:val="superscript"/>
        </w:rPr>
        <w:t>[</w:t>
      </w:r>
      <w:proofErr w:type="gramEnd"/>
      <w:r w:rsidR="00502F2B" w:rsidRPr="00EC514F">
        <w:rPr>
          <w:rFonts w:ascii="Book Antiqua" w:hAnsi="Book Antiqua"/>
          <w:vertAlign w:val="superscript"/>
        </w:rPr>
        <w:t>13]</w:t>
      </w:r>
      <w:r w:rsidR="00B72E46" w:rsidRPr="00EC514F">
        <w:rPr>
          <w:rFonts w:ascii="Book Antiqua" w:hAnsi="Book Antiqua"/>
        </w:rPr>
        <w:t>. Furthermore,</w:t>
      </w:r>
      <w:r w:rsidR="001B07EB" w:rsidRPr="00EC514F">
        <w:rPr>
          <w:rFonts w:ascii="Book Antiqua" w:hAnsi="Book Antiqua"/>
        </w:rPr>
        <w:t xml:space="preserve"> </w:t>
      </w:r>
      <w:r w:rsidR="003F4805" w:rsidRPr="00EC514F">
        <w:rPr>
          <w:rFonts w:ascii="Book Antiqua" w:hAnsi="Book Antiqua"/>
        </w:rPr>
        <w:t xml:space="preserve">AVM </w:t>
      </w:r>
      <w:r w:rsidR="001B07EB" w:rsidRPr="00EC514F">
        <w:rPr>
          <w:rFonts w:ascii="Book Antiqua" w:hAnsi="Book Antiqua"/>
        </w:rPr>
        <w:t>lesions</w:t>
      </w:r>
      <w:r w:rsidR="00B72E46" w:rsidRPr="00EC514F">
        <w:rPr>
          <w:rFonts w:ascii="Book Antiqua" w:hAnsi="Book Antiqua"/>
        </w:rPr>
        <w:t xml:space="preserve"> were found 44% of the times on endoscopy prior to octreotide therapy, b</w:t>
      </w:r>
      <w:r w:rsidR="00446212" w:rsidRPr="00EC514F">
        <w:rPr>
          <w:rFonts w:ascii="Book Antiqua" w:hAnsi="Book Antiqua"/>
        </w:rPr>
        <w:t>ut only 28%</w:t>
      </w:r>
      <w:r w:rsidR="00326549" w:rsidRPr="00EC514F">
        <w:rPr>
          <w:rFonts w:ascii="Book Antiqua" w:hAnsi="Book Antiqua"/>
        </w:rPr>
        <w:t xml:space="preserve"> of the times</w:t>
      </w:r>
      <w:r w:rsidR="00446212" w:rsidRPr="00EC514F">
        <w:rPr>
          <w:rFonts w:ascii="Book Antiqua" w:hAnsi="Book Antiqua"/>
        </w:rPr>
        <w:t xml:space="preserve"> after</w:t>
      </w:r>
      <w:r w:rsidR="00F16706" w:rsidRPr="00EC514F">
        <w:rPr>
          <w:rFonts w:ascii="Book Antiqua" w:hAnsi="Book Antiqua"/>
        </w:rPr>
        <w:t>w</w:t>
      </w:r>
      <w:r w:rsidR="00446212" w:rsidRPr="00EC514F">
        <w:rPr>
          <w:rFonts w:ascii="Book Antiqua" w:hAnsi="Book Antiqua"/>
        </w:rPr>
        <w:t>ards</w:t>
      </w:r>
      <w:r w:rsidR="00B72E46" w:rsidRPr="00EC514F">
        <w:rPr>
          <w:rFonts w:ascii="Book Antiqua" w:hAnsi="Book Antiqua"/>
        </w:rPr>
        <w:t>.</w:t>
      </w:r>
      <w:r w:rsidR="006B2A36" w:rsidRPr="00EC514F">
        <w:rPr>
          <w:rFonts w:ascii="Book Antiqua" w:hAnsi="Book Antiqua"/>
          <w:vertAlign w:val="superscript"/>
        </w:rPr>
        <w:t>[</w:t>
      </w:r>
      <w:r w:rsidR="00446212" w:rsidRPr="00EC514F">
        <w:rPr>
          <w:rFonts w:ascii="Book Antiqua" w:hAnsi="Book Antiqua"/>
          <w:vertAlign w:val="superscript"/>
        </w:rPr>
        <w:t>1</w:t>
      </w:r>
      <w:r w:rsidR="009F2D78" w:rsidRPr="00EC514F">
        <w:rPr>
          <w:rFonts w:ascii="Book Antiqua" w:hAnsi="Book Antiqua"/>
          <w:vertAlign w:val="superscript"/>
        </w:rPr>
        <w:t>3</w:t>
      </w:r>
      <w:r w:rsidR="006B2A36" w:rsidRPr="00EC514F">
        <w:rPr>
          <w:rFonts w:ascii="Book Antiqua" w:hAnsi="Book Antiqua"/>
          <w:vertAlign w:val="superscript"/>
        </w:rPr>
        <w:t>]</w:t>
      </w:r>
      <w:r w:rsidR="00053EB9" w:rsidRPr="00EC514F">
        <w:rPr>
          <w:rFonts w:ascii="Book Antiqua" w:hAnsi="Book Antiqua"/>
        </w:rPr>
        <w:t xml:space="preserve"> </w:t>
      </w:r>
      <w:r w:rsidR="00AC5D49" w:rsidRPr="00EC514F">
        <w:rPr>
          <w:rFonts w:ascii="Book Antiqua" w:hAnsi="Book Antiqua"/>
        </w:rPr>
        <w:t>Long acting 20 mg depot octreotide</w:t>
      </w:r>
      <w:r w:rsidR="00053EB9" w:rsidRPr="00EC514F">
        <w:rPr>
          <w:rFonts w:ascii="Book Antiqua" w:hAnsi="Book Antiqua"/>
        </w:rPr>
        <w:t xml:space="preserve"> has also been studied in a prophylactic setting started within 1 </w:t>
      </w:r>
      <w:proofErr w:type="spellStart"/>
      <w:r w:rsidR="00053EB9" w:rsidRPr="00EC514F">
        <w:rPr>
          <w:rFonts w:ascii="Book Antiqua" w:hAnsi="Book Antiqua"/>
        </w:rPr>
        <w:t>mo</w:t>
      </w:r>
      <w:proofErr w:type="spellEnd"/>
      <w:r w:rsidR="00502F2B">
        <w:rPr>
          <w:rFonts w:ascii="Book Antiqua" w:hAnsi="Book Antiqua"/>
        </w:rPr>
        <w:t xml:space="preserve"> </w:t>
      </w:r>
      <w:r w:rsidR="00053EB9" w:rsidRPr="00EC514F">
        <w:rPr>
          <w:rFonts w:ascii="Book Antiqua" w:hAnsi="Book Antiqua"/>
        </w:rPr>
        <w:t xml:space="preserve">of LVAD implant </w:t>
      </w:r>
      <w:r w:rsidR="002A54F4" w:rsidRPr="00EC514F">
        <w:rPr>
          <w:rFonts w:ascii="Book Antiqua" w:hAnsi="Book Antiqua"/>
        </w:rPr>
        <w:t>in a phase I trial of 10 patient</w:t>
      </w:r>
      <w:r w:rsidR="00F16706" w:rsidRPr="00EC514F">
        <w:rPr>
          <w:rFonts w:ascii="Book Antiqua" w:hAnsi="Book Antiqua"/>
        </w:rPr>
        <w:t>s</w:t>
      </w:r>
      <w:r w:rsidR="00AC5D49" w:rsidRPr="00EC514F">
        <w:rPr>
          <w:rFonts w:ascii="Book Antiqua" w:hAnsi="Book Antiqua"/>
        </w:rPr>
        <w:t xml:space="preserve"> that </w:t>
      </w:r>
      <w:r w:rsidR="002A54F4" w:rsidRPr="00EC514F">
        <w:rPr>
          <w:rFonts w:ascii="Book Antiqua" w:hAnsi="Book Antiqua"/>
        </w:rPr>
        <w:t>prevented any</w:t>
      </w:r>
      <w:r w:rsidR="00AC5D49" w:rsidRPr="00EC514F">
        <w:rPr>
          <w:rFonts w:ascii="Book Antiqua" w:hAnsi="Book Antiqua"/>
        </w:rPr>
        <w:t xml:space="preserve"> GI</w:t>
      </w:r>
      <w:r w:rsidR="002A54F4" w:rsidRPr="00EC514F">
        <w:rPr>
          <w:rFonts w:ascii="Book Antiqua" w:hAnsi="Book Antiqua"/>
        </w:rPr>
        <w:t xml:space="preserve"> bleeding episodes within the first four months when</w:t>
      </w:r>
      <w:r w:rsidR="00326549" w:rsidRPr="00EC514F">
        <w:rPr>
          <w:rFonts w:ascii="Book Antiqua" w:hAnsi="Book Antiqua"/>
        </w:rPr>
        <w:t xml:space="preserve"> otherwise</w:t>
      </w:r>
      <w:r w:rsidR="002A54F4" w:rsidRPr="00EC514F">
        <w:rPr>
          <w:rFonts w:ascii="Book Antiqua" w:hAnsi="Book Antiqua"/>
        </w:rPr>
        <w:t xml:space="preserve"> typical rates are </w:t>
      </w:r>
      <w:r w:rsidR="0082699B" w:rsidRPr="00EC514F">
        <w:rPr>
          <w:rFonts w:ascii="Book Antiqua" w:hAnsi="Book Antiqua"/>
        </w:rPr>
        <w:t xml:space="preserve">39% within the first 2 </w:t>
      </w:r>
      <w:proofErr w:type="spellStart"/>
      <w:r w:rsidR="0082699B" w:rsidRPr="00EC514F">
        <w:rPr>
          <w:rFonts w:ascii="Book Antiqua" w:hAnsi="Book Antiqua"/>
        </w:rPr>
        <w:t>mo</w:t>
      </w:r>
      <w:proofErr w:type="spellEnd"/>
      <w:r w:rsidR="00502F2B">
        <w:rPr>
          <w:rFonts w:ascii="Book Antiqua" w:hAnsi="Book Antiqua"/>
        </w:rPr>
        <w:t xml:space="preserve"> </w:t>
      </w:r>
      <w:r w:rsidR="0082699B" w:rsidRPr="00EC514F">
        <w:rPr>
          <w:rFonts w:ascii="Book Antiqua" w:hAnsi="Book Antiqua"/>
        </w:rPr>
        <w:t>after implantation</w:t>
      </w:r>
      <w:r w:rsidR="00502F2B" w:rsidRPr="00EC514F">
        <w:rPr>
          <w:rFonts w:ascii="Book Antiqua" w:hAnsi="Book Antiqua"/>
          <w:vertAlign w:val="superscript"/>
        </w:rPr>
        <w:t>[32,33]</w:t>
      </w:r>
      <w:r w:rsidR="00446212" w:rsidRPr="00EC514F">
        <w:rPr>
          <w:rFonts w:ascii="Book Antiqua" w:hAnsi="Book Antiqua"/>
        </w:rPr>
        <w:t>.</w:t>
      </w:r>
    </w:p>
    <w:p w14:paraId="001A09D6" w14:textId="02BEF3E7" w:rsidR="006C5E82" w:rsidRPr="00EC514F" w:rsidRDefault="006C5E82" w:rsidP="00502F2B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vertAlign w:val="superscript"/>
        </w:rPr>
      </w:pPr>
      <w:r w:rsidRPr="00EC514F">
        <w:rPr>
          <w:rFonts w:ascii="Book Antiqua" w:hAnsi="Book Antiqua"/>
        </w:rPr>
        <w:t xml:space="preserve">Octreotide is seen currently as the first line agent, but does have some potential side effects </w:t>
      </w:r>
      <w:r w:rsidR="001D3DD2" w:rsidRPr="00EC514F">
        <w:rPr>
          <w:rFonts w:ascii="Book Antiqua" w:hAnsi="Book Antiqua"/>
        </w:rPr>
        <w:t>that need to be discussed with patients. These side effects</w:t>
      </w:r>
      <w:r w:rsidR="00193F9A" w:rsidRPr="00EC514F">
        <w:rPr>
          <w:rFonts w:ascii="Book Antiqua" w:hAnsi="Book Antiqua"/>
        </w:rPr>
        <w:t xml:space="preserve"> </w:t>
      </w:r>
      <w:r w:rsidR="0071339B" w:rsidRPr="00EC514F">
        <w:rPr>
          <w:rFonts w:ascii="Book Antiqua" w:hAnsi="Book Antiqua"/>
        </w:rPr>
        <w:t xml:space="preserve">include </w:t>
      </w:r>
      <w:r w:rsidR="00193F9A" w:rsidRPr="00EC514F">
        <w:rPr>
          <w:rFonts w:ascii="Book Antiqua" w:hAnsi="Book Antiqua"/>
        </w:rPr>
        <w:t xml:space="preserve">diarrhea, abdominal pain, </w:t>
      </w:r>
      <w:r w:rsidR="0071339B" w:rsidRPr="00EC514F">
        <w:rPr>
          <w:rFonts w:ascii="Book Antiqua" w:hAnsi="Book Antiqua"/>
        </w:rPr>
        <w:t>nausea, vomiting, gallstone formation</w:t>
      </w:r>
      <w:r w:rsidR="00CF0F81" w:rsidRPr="00EC514F">
        <w:rPr>
          <w:rFonts w:ascii="Book Antiqua" w:hAnsi="Book Antiqua"/>
        </w:rPr>
        <w:t xml:space="preserve">, glucose abnormalities, pruritis, hypothyroidism, headaches and </w:t>
      </w:r>
      <w:proofErr w:type="gramStart"/>
      <w:r w:rsidR="00CF0F81" w:rsidRPr="00EC514F">
        <w:rPr>
          <w:rFonts w:ascii="Book Antiqua" w:hAnsi="Book Antiqua"/>
        </w:rPr>
        <w:t>dizziness</w:t>
      </w:r>
      <w:r w:rsidR="00803E11" w:rsidRPr="00EC514F">
        <w:rPr>
          <w:rFonts w:ascii="Book Antiqua" w:hAnsi="Book Antiqua"/>
          <w:vertAlign w:val="superscript"/>
        </w:rPr>
        <w:t>[</w:t>
      </w:r>
      <w:proofErr w:type="gramEnd"/>
      <w:r w:rsidR="00803E11" w:rsidRPr="00EC514F">
        <w:rPr>
          <w:rFonts w:ascii="Book Antiqua" w:hAnsi="Book Antiqua"/>
          <w:vertAlign w:val="superscript"/>
        </w:rPr>
        <w:t>34]</w:t>
      </w:r>
      <w:r w:rsidR="00193F9A" w:rsidRPr="00EC514F">
        <w:rPr>
          <w:rFonts w:ascii="Book Antiqua" w:hAnsi="Book Antiqua"/>
        </w:rPr>
        <w:t>.</w:t>
      </w:r>
    </w:p>
    <w:p w14:paraId="59298143" w14:textId="77777777" w:rsidR="00502F2B" w:rsidRDefault="00502F2B" w:rsidP="00502F2B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i/>
        </w:rPr>
      </w:pPr>
    </w:p>
    <w:p w14:paraId="25FFDD40" w14:textId="3CD6F4BF" w:rsidR="00B72E46" w:rsidRPr="00502F2B" w:rsidRDefault="0082699B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502F2B">
        <w:rPr>
          <w:rFonts w:ascii="Book Antiqua" w:hAnsi="Book Antiqua"/>
          <w:b/>
        </w:rPr>
        <w:t>Thalidomide</w:t>
      </w:r>
      <w:r w:rsidR="00502F2B" w:rsidRPr="00502F2B">
        <w:rPr>
          <w:rFonts w:ascii="Book Antiqua" w:eastAsia="宋体" w:hAnsi="Book Antiqua"/>
          <w:b/>
          <w:lang w:eastAsia="zh-CN"/>
        </w:rPr>
        <w:t>:</w:t>
      </w:r>
      <w:r w:rsidR="00502F2B">
        <w:rPr>
          <w:rFonts w:ascii="Book Antiqua" w:eastAsia="宋体" w:hAnsi="Book Antiqua" w:hint="eastAsia"/>
          <w:b/>
          <w:lang w:eastAsia="zh-CN"/>
        </w:rPr>
        <w:t xml:space="preserve"> </w:t>
      </w:r>
      <w:r w:rsidR="00BD5453" w:rsidRPr="00EC514F">
        <w:rPr>
          <w:rFonts w:ascii="Book Antiqua" w:hAnsi="Book Antiqua"/>
        </w:rPr>
        <w:t xml:space="preserve">Thalidomide has been used for several indications over the years since it was initially synthesized in the 1950s, including for morning sickness, sedation, and Kaposi sarcoma treatment. </w:t>
      </w:r>
      <w:r w:rsidR="0063611C" w:rsidRPr="00EC514F">
        <w:rPr>
          <w:rFonts w:ascii="Book Antiqua" w:hAnsi="Book Antiqua"/>
        </w:rPr>
        <w:t>LVAD patients have benefited from thalidomide for its anti</w:t>
      </w:r>
      <w:r w:rsidR="00C3115C" w:rsidRPr="00EC514F">
        <w:rPr>
          <w:rFonts w:ascii="Book Antiqua" w:hAnsi="Book Antiqua"/>
        </w:rPr>
        <w:t>-</w:t>
      </w:r>
      <w:r w:rsidR="0063611C" w:rsidRPr="00EC514F">
        <w:rPr>
          <w:rFonts w:ascii="Book Antiqua" w:hAnsi="Book Antiqua"/>
        </w:rPr>
        <w:t>angiogenesis effect through its ability to downregulate VEGF and basic fibroblastic growth factor (</w:t>
      </w:r>
      <w:proofErr w:type="spellStart"/>
      <w:r w:rsidR="0063611C" w:rsidRPr="00EC514F">
        <w:rPr>
          <w:rFonts w:ascii="Book Antiqua" w:hAnsi="Book Antiqua"/>
        </w:rPr>
        <w:t>bFGF</w:t>
      </w:r>
      <w:proofErr w:type="spellEnd"/>
      <w:proofErr w:type="gramStart"/>
      <w:r w:rsidR="0063611C" w:rsidRPr="00EC514F">
        <w:rPr>
          <w:rFonts w:ascii="Book Antiqua" w:hAnsi="Book Antiqua"/>
        </w:rPr>
        <w:t>)</w:t>
      </w:r>
      <w:r w:rsidR="00643335" w:rsidRPr="00EC514F">
        <w:rPr>
          <w:rFonts w:ascii="Book Antiqua" w:hAnsi="Book Antiqua"/>
          <w:vertAlign w:val="superscript"/>
        </w:rPr>
        <w:t>[</w:t>
      </w:r>
      <w:proofErr w:type="gramEnd"/>
      <w:r w:rsidR="00643335" w:rsidRPr="00EC514F">
        <w:rPr>
          <w:rFonts w:ascii="Book Antiqua" w:hAnsi="Book Antiqua"/>
          <w:vertAlign w:val="superscript"/>
        </w:rPr>
        <w:t>35]</w:t>
      </w:r>
      <w:r w:rsidR="00C67F77" w:rsidRPr="00EC514F">
        <w:rPr>
          <w:rFonts w:ascii="Book Antiqua" w:hAnsi="Book Antiqua"/>
        </w:rPr>
        <w:t>.</w:t>
      </w:r>
      <w:r w:rsidR="006B2A36" w:rsidRPr="00EC514F">
        <w:rPr>
          <w:rFonts w:ascii="Book Antiqua" w:hAnsi="Book Antiqua"/>
        </w:rPr>
        <w:t xml:space="preserve"> </w:t>
      </w:r>
      <w:r w:rsidR="0063611C" w:rsidRPr="00EC514F">
        <w:rPr>
          <w:rFonts w:ascii="Book Antiqua" w:hAnsi="Book Antiqua"/>
        </w:rPr>
        <w:t xml:space="preserve">This has been shown to </w:t>
      </w:r>
      <w:r w:rsidR="0063611C" w:rsidRPr="00EC514F">
        <w:rPr>
          <w:rFonts w:ascii="Book Antiqua" w:hAnsi="Book Antiqua"/>
        </w:rPr>
        <w:lastRenderedPageBreak/>
        <w:t>reduce the r</w:t>
      </w:r>
      <w:r w:rsidR="0040632A" w:rsidRPr="00EC514F">
        <w:rPr>
          <w:rFonts w:ascii="Book Antiqua" w:hAnsi="Book Antiqua"/>
        </w:rPr>
        <w:t xml:space="preserve">ate of recurrent </w:t>
      </w:r>
      <w:r w:rsidR="00A57631" w:rsidRPr="00EC514F">
        <w:rPr>
          <w:rFonts w:ascii="Book Antiqua" w:hAnsi="Book Antiqua"/>
        </w:rPr>
        <w:t>AVM</w:t>
      </w:r>
      <w:r w:rsidR="0040632A" w:rsidRPr="00EC514F">
        <w:rPr>
          <w:rFonts w:ascii="Book Antiqua" w:hAnsi="Book Antiqua"/>
        </w:rPr>
        <w:t>-</w:t>
      </w:r>
      <w:r w:rsidR="0063611C" w:rsidRPr="00EC514F">
        <w:rPr>
          <w:rFonts w:ascii="Book Antiqua" w:hAnsi="Book Antiqua"/>
        </w:rPr>
        <w:t>related bleeds. In a study that tested thalidomide 100 mg daily v</w:t>
      </w:r>
      <w:r w:rsidR="00B52AAD" w:rsidRPr="00EC514F">
        <w:rPr>
          <w:rFonts w:ascii="Book Antiqua" w:hAnsi="Book Antiqua"/>
        </w:rPr>
        <w:t>ersu</w:t>
      </w:r>
      <w:r w:rsidR="0063611C" w:rsidRPr="00EC514F">
        <w:rPr>
          <w:rFonts w:ascii="Book Antiqua" w:hAnsi="Book Antiqua"/>
        </w:rPr>
        <w:t>s iron supplementation</w:t>
      </w:r>
      <w:r w:rsidR="009E7AAE" w:rsidRPr="00EC514F">
        <w:rPr>
          <w:rFonts w:ascii="Book Antiqua" w:hAnsi="Book Antiqua"/>
        </w:rPr>
        <w:t xml:space="preserve"> daily</w:t>
      </w:r>
      <w:r w:rsidR="0063611C" w:rsidRPr="00EC514F">
        <w:rPr>
          <w:rFonts w:ascii="Book Antiqua" w:hAnsi="Book Antiqua"/>
        </w:rPr>
        <w:t xml:space="preserve"> (control)</w:t>
      </w:r>
      <w:r w:rsidR="009E7AAE" w:rsidRPr="00EC514F">
        <w:rPr>
          <w:rFonts w:ascii="Book Antiqua" w:hAnsi="Book Antiqua"/>
        </w:rPr>
        <w:t xml:space="preserve"> </w:t>
      </w:r>
      <w:r w:rsidR="00266875" w:rsidRPr="00EC514F">
        <w:rPr>
          <w:rFonts w:ascii="Book Antiqua" w:hAnsi="Book Antiqua"/>
        </w:rPr>
        <w:t xml:space="preserve">in non-LVAD patient </w:t>
      </w:r>
      <w:r w:rsidR="009E7AAE" w:rsidRPr="00EC514F">
        <w:rPr>
          <w:rFonts w:ascii="Book Antiqua" w:hAnsi="Book Antiqua"/>
        </w:rPr>
        <w:t>for four months</w:t>
      </w:r>
      <w:r w:rsidR="0063611C" w:rsidRPr="00EC514F">
        <w:rPr>
          <w:rFonts w:ascii="Book Antiqua" w:hAnsi="Book Antiqua"/>
        </w:rPr>
        <w:t xml:space="preserve"> showed a 50% or greater reduction in the rate of GI bleed</w:t>
      </w:r>
      <w:r w:rsidR="00494BCA" w:rsidRPr="00EC514F">
        <w:rPr>
          <w:rFonts w:ascii="Book Antiqua" w:hAnsi="Book Antiqua"/>
        </w:rPr>
        <w:t>ing</w:t>
      </w:r>
      <w:r w:rsidR="0063611C" w:rsidRPr="00EC514F">
        <w:rPr>
          <w:rFonts w:ascii="Book Antiqua" w:hAnsi="Book Antiqua"/>
        </w:rPr>
        <w:t xml:space="preserve"> in 71.4% of patients on thalidomide versus only 3.7% in the control group</w:t>
      </w:r>
      <w:r w:rsidR="009E7AAE" w:rsidRPr="00EC514F">
        <w:rPr>
          <w:rFonts w:ascii="Book Antiqua" w:hAnsi="Book Antiqua"/>
        </w:rPr>
        <w:t xml:space="preserve"> over a </w:t>
      </w:r>
      <w:proofErr w:type="gramStart"/>
      <w:r w:rsidR="009E7AAE" w:rsidRPr="00EC514F">
        <w:rPr>
          <w:rFonts w:ascii="Book Antiqua" w:hAnsi="Book Antiqua"/>
        </w:rPr>
        <w:t>one year</w:t>
      </w:r>
      <w:proofErr w:type="gramEnd"/>
      <w:r w:rsidR="009E7AAE" w:rsidRPr="00EC514F">
        <w:rPr>
          <w:rFonts w:ascii="Book Antiqua" w:hAnsi="Book Antiqua"/>
        </w:rPr>
        <w:t xml:space="preserve"> follow-up</w:t>
      </w:r>
      <w:r w:rsidR="0063611C" w:rsidRPr="00EC514F">
        <w:rPr>
          <w:rFonts w:ascii="Book Antiqua" w:hAnsi="Book Antiqua"/>
        </w:rPr>
        <w:t>. 46.4% of patients in thalidomide arm had complete cessation of further bleeds</w:t>
      </w:r>
      <w:r w:rsidR="00C67F77" w:rsidRPr="00EC514F">
        <w:rPr>
          <w:rFonts w:ascii="Book Antiqua" w:hAnsi="Book Antiqua"/>
        </w:rPr>
        <w:t xml:space="preserve"> versus 0% in the control </w:t>
      </w:r>
      <w:proofErr w:type="gramStart"/>
      <w:r w:rsidR="00C67F77" w:rsidRPr="00EC514F">
        <w:rPr>
          <w:rFonts w:ascii="Book Antiqua" w:hAnsi="Book Antiqua"/>
        </w:rPr>
        <w:t>arm</w:t>
      </w:r>
      <w:r w:rsidR="00643335" w:rsidRPr="00EC514F">
        <w:rPr>
          <w:rFonts w:ascii="Book Antiqua" w:hAnsi="Book Antiqua"/>
          <w:vertAlign w:val="superscript"/>
        </w:rPr>
        <w:t>[</w:t>
      </w:r>
      <w:proofErr w:type="gramEnd"/>
      <w:r w:rsidR="00643335" w:rsidRPr="00EC514F">
        <w:rPr>
          <w:rFonts w:ascii="Book Antiqua" w:hAnsi="Book Antiqua"/>
          <w:vertAlign w:val="superscript"/>
        </w:rPr>
        <w:t>35]</w:t>
      </w:r>
      <w:r w:rsidR="0063611C" w:rsidRPr="00EC514F">
        <w:rPr>
          <w:rFonts w:ascii="Book Antiqua" w:hAnsi="Book Antiqua"/>
        </w:rPr>
        <w:t xml:space="preserve">. </w:t>
      </w:r>
      <w:r w:rsidR="00266875" w:rsidRPr="00EC514F">
        <w:rPr>
          <w:rFonts w:ascii="Book Antiqua" w:hAnsi="Book Antiqua"/>
        </w:rPr>
        <w:t>Recently, a 2019 study of 17 LVAD patient</w:t>
      </w:r>
      <w:r w:rsidR="00494BCA" w:rsidRPr="00EC514F">
        <w:rPr>
          <w:rFonts w:ascii="Book Antiqua" w:hAnsi="Book Antiqua"/>
        </w:rPr>
        <w:t>s</w:t>
      </w:r>
      <w:r w:rsidR="00266875" w:rsidRPr="00EC514F">
        <w:rPr>
          <w:rFonts w:ascii="Book Antiqua" w:hAnsi="Book Antiqua"/>
        </w:rPr>
        <w:t xml:space="preserve"> receiving thalidomide showed favorable results with a reduction of GI bleed</w:t>
      </w:r>
      <w:r w:rsidR="00BD3D68" w:rsidRPr="00EC514F">
        <w:rPr>
          <w:rFonts w:ascii="Book Antiqua" w:hAnsi="Book Antiqua"/>
        </w:rPr>
        <w:t>ing</w:t>
      </w:r>
      <w:r w:rsidR="00266875" w:rsidRPr="00EC514F">
        <w:rPr>
          <w:rFonts w:ascii="Book Antiqua" w:hAnsi="Book Antiqua"/>
        </w:rPr>
        <w:t xml:space="preserve"> from an average 4.6</w:t>
      </w:r>
      <w:r w:rsidR="00BD3D68" w:rsidRPr="00EC514F">
        <w:rPr>
          <w:rFonts w:ascii="Book Antiqua" w:hAnsi="Book Antiqua"/>
        </w:rPr>
        <w:t xml:space="preserve"> episodes</w:t>
      </w:r>
      <w:r w:rsidR="00266875" w:rsidRPr="00EC514F">
        <w:rPr>
          <w:rFonts w:ascii="Book Antiqua" w:hAnsi="Book Antiqua"/>
        </w:rPr>
        <w:t xml:space="preserve"> per year to 0.4</w:t>
      </w:r>
      <w:r w:rsidR="00BD3D68" w:rsidRPr="00EC514F">
        <w:rPr>
          <w:rFonts w:ascii="Book Antiqua" w:hAnsi="Book Antiqua"/>
        </w:rPr>
        <w:t xml:space="preserve"> episodes</w:t>
      </w:r>
      <w:r w:rsidR="00266875" w:rsidRPr="00EC514F">
        <w:rPr>
          <w:rFonts w:ascii="Book Antiqua" w:hAnsi="Book Antiqua"/>
        </w:rPr>
        <w:t xml:space="preserve"> per year. Additionally, blood transfusions reduced from 36.1 to 0.9</w:t>
      </w:r>
      <w:r w:rsidR="00E63710" w:rsidRPr="00EC514F">
        <w:rPr>
          <w:rFonts w:ascii="Book Antiqua" w:hAnsi="Book Antiqua"/>
        </w:rPr>
        <w:t xml:space="preserve"> units of transfusions per year. In this study 50 mg of thalidomide was used daily or twice daily with </w:t>
      </w:r>
      <w:proofErr w:type="spellStart"/>
      <w:r w:rsidR="00E63710" w:rsidRPr="00EC514F">
        <w:rPr>
          <w:rFonts w:ascii="Book Antiqua" w:hAnsi="Book Antiqua"/>
        </w:rPr>
        <w:t>uptitration</w:t>
      </w:r>
      <w:proofErr w:type="spellEnd"/>
      <w:r w:rsidR="00E63710" w:rsidRPr="00EC514F">
        <w:rPr>
          <w:rFonts w:ascii="Book Antiqua" w:hAnsi="Book Antiqua"/>
        </w:rPr>
        <w:t xml:space="preserve"> to 100 mg</w:t>
      </w:r>
      <w:r w:rsidR="00975E60" w:rsidRPr="00EC514F">
        <w:rPr>
          <w:rFonts w:ascii="Book Antiqua" w:hAnsi="Book Antiqua"/>
        </w:rPr>
        <w:t xml:space="preserve"> twice daily</w:t>
      </w:r>
      <w:r w:rsidR="00E63710" w:rsidRPr="00EC514F">
        <w:rPr>
          <w:rFonts w:ascii="Book Antiqua" w:hAnsi="Book Antiqua"/>
        </w:rPr>
        <w:t xml:space="preserve"> with bleeding </w:t>
      </w:r>
      <w:proofErr w:type="gramStart"/>
      <w:r w:rsidR="00E63710" w:rsidRPr="00EC514F">
        <w:rPr>
          <w:rFonts w:ascii="Book Antiqua" w:hAnsi="Book Antiqua"/>
        </w:rPr>
        <w:t>episodes</w:t>
      </w:r>
      <w:r w:rsidR="00643335" w:rsidRPr="00EC514F">
        <w:rPr>
          <w:rFonts w:ascii="Book Antiqua" w:hAnsi="Book Antiqua"/>
          <w:vertAlign w:val="superscript"/>
        </w:rPr>
        <w:t>[</w:t>
      </w:r>
      <w:proofErr w:type="gramEnd"/>
      <w:r w:rsidR="00643335" w:rsidRPr="00EC514F">
        <w:rPr>
          <w:rFonts w:ascii="Book Antiqua" w:hAnsi="Book Antiqua"/>
          <w:vertAlign w:val="superscript"/>
        </w:rPr>
        <w:t>6]</w:t>
      </w:r>
      <w:r w:rsidR="00B52AAD" w:rsidRPr="00EC514F">
        <w:rPr>
          <w:rFonts w:ascii="Book Antiqua" w:hAnsi="Book Antiqua"/>
        </w:rPr>
        <w:t>.</w:t>
      </w:r>
    </w:p>
    <w:p w14:paraId="63D79895" w14:textId="52A28C06" w:rsidR="004D0F15" w:rsidRPr="00EC514F" w:rsidRDefault="00266875" w:rsidP="00643335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>However,</w:t>
      </w:r>
      <w:r w:rsidR="00E63710" w:rsidRPr="00EC514F">
        <w:rPr>
          <w:rFonts w:ascii="Book Antiqua" w:hAnsi="Book Antiqua"/>
        </w:rPr>
        <w:t xml:space="preserve"> there are some notable shortcomings with thalidomide.</w:t>
      </w:r>
      <w:r w:rsidRPr="00EC514F">
        <w:rPr>
          <w:rFonts w:ascii="Book Antiqua" w:hAnsi="Book Antiqua"/>
        </w:rPr>
        <w:t xml:space="preserve"> </w:t>
      </w:r>
      <w:r w:rsidR="00E63710" w:rsidRPr="00EC514F">
        <w:rPr>
          <w:rFonts w:ascii="Book Antiqua" w:hAnsi="Book Antiqua"/>
        </w:rPr>
        <w:t>T</w:t>
      </w:r>
      <w:r w:rsidR="006E1CBD" w:rsidRPr="00EC514F">
        <w:rPr>
          <w:rFonts w:ascii="Book Antiqua" w:hAnsi="Book Antiqua"/>
        </w:rPr>
        <w:t>halidomide has been shown to have a relatively high adverse effect rate</w:t>
      </w:r>
      <w:r w:rsidR="00536B20" w:rsidRPr="00EC514F">
        <w:rPr>
          <w:rFonts w:ascii="Book Antiqua" w:hAnsi="Book Antiqua"/>
        </w:rPr>
        <w:t>;</w:t>
      </w:r>
      <w:r w:rsidR="006E1CBD" w:rsidRPr="00EC514F">
        <w:rPr>
          <w:rFonts w:ascii="Book Antiqua" w:hAnsi="Book Antiqua"/>
        </w:rPr>
        <w:t xml:space="preserve"> </w:t>
      </w:r>
      <w:r w:rsidR="00536B20" w:rsidRPr="00EC514F">
        <w:rPr>
          <w:rFonts w:ascii="Book Antiqua" w:hAnsi="Book Antiqua"/>
        </w:rPr>
        <w:t xml:space="preserve">ranging </w:t>
      </w:r>
      <w:r w:rsidR="006E1CBD" w:rsidRPr="00EC514F">
        <w:rPr>
          <w:rFonts w:ascii="Book Antiqua" w:hAnsi="Book Antiqua"/>
        </w:rPr>
        <w:t>from 58-71</w:t>
      </w:r>
      <w:proofErr w:type="gramStart"/>
      <w:r w:rsidR="006E1CBD" w:rsidRPr="00EC514F">
        <w:rPr>
          <w:rFonts w:ascii="Book Antiqua" w:hAnsi="Book Antiqua"/>
        </w:rPr>
        <w:t>%</w:t>
      </w:r>
      <w:r w:rsidR="00643335" w:rsidRPr="00EC514F">
        <w:rPr>
          <w:rFonts w:ascii="Book Antiqua" w:hAnsi="Book Antiqua"/>
          <w:vertAlign w:val="superscript"/>
        </w:rPr>
        <w:t>[</w:t>
      </w:r>
      <w:proofErr w:type="gramEnd"/>
      <w:r w:rsidR="00643335" w:rsidRPr="00EC514F">
        <w:rPr>
          <w:rFonts w:ascii="Book Antiqua" w:hAnsi="Book Antiqua"/>
          <w:vertAlign w:val="superscript"/>
        </w:rPr>
        <w:t>6,36]</w:t>
      </w:r>
      <w:r w:rsidR="006E1CBD" w:rsidRPr="00EC514F">
        <w:rPr>
          <w:rFonts w:ascii="Book Antiqua" w:hAnsi="Book Antiqua"/>
        </w:rPr>
        <w:t xml:space="preserve">. </w:t>
      </w:r>
      <w:r w:rsidR="0040632A" w:rsidRPr="00EC514F">
        <w:rPr>
          <w:rFonts w:ascii="Book Antiqua" w:hAnsi="Book Antiqua"/>
        </w:rPr>
        <w:t xml:space="preserve">The more common adverse events </w:t>
      </w:r>
      <w:r w:rsidR="00A57631" w:rsidRPr="00EC514F">
        <w:rPr>
          <w:rFonts w:ascii="Book Antiqua" w:hAnsi="Book Antiqua"/>
        </w:rPr>
        <w:t>encountered</w:t>
      </w:r>
      <w:r w:rsidR="007B3C83" w:rsidRPr="00EC514F">
        <w:rPr>
          <w:rFonts w:ascii="Book Antiqua" w:hAnsi="Book Antiqua"/>
        </w:rPr>
        <w:t xml:space="preserve"> were dizziness, neuropathy, fatigue, constipation, transaminitis, and somnolence. </w:t>
      </w:r>
      <w:r w:rsidR="00E63710" w:rsidRPr="00EC514F">
        <w:rPr>
          <w:rFonts w:ascii="Book Antiqua" w:hAnsi="Book Antiqua"/>
        </w:rPr>
        <w:t>There does seem to be dose-dependent response</w:t>
      </w:r>
      <w:r w:rsidR="0040632A" w:rsidRPr="00EC514F">
        <w:rPr>
          <w:rFonts w:ascii="Book Antiqua" w:hAnsi="Book Antiqua"/>
        </w:rPr>
        <w:t xml:space="preserve"> in adverse effects</w:t>
      </w:r>
      <w:r w:rsidR="00E63710" w:rsidRPr="00EC514F">
        <w:rPr>
          <w:rFonts w:ascii="Book Antiqua" w:hAnsi="Book Antiqua"/>
        </w:rPr>
        <w:t xml:space="preserve"> with 87.5% of patients improving with lower doses of thalidomide. Additionally, access and cost </w:t>
      </w:r>
      <w:r w:rsidR="0040632A" w:rsidRPr="00EC514F">
        <w:rPr>
          <w:rFonts w:ascii="Book Antiqua" w:hAnsi="Book Antiqua"/>
        </w:rPr>
        <w:t>are</w:t>
      </w:r>
      <w:r w:rsidR="00E63710" w:rsidRPr="00EC514F">
        <w:rPr>
          <w:rFonts w:ascii="Book Antiqua" w:hAnsi="Book Antiqua"/>
        </w:rPr>
        <w:t xml:space="preserve"> both seemingly issues. Thalidomide is generally cost-prohibitive if not covered by insurance, and prior au</w:t>
      </w:r>
      <w:r w:rsidR="00C3115C" w:rsidRPr="00EC514F">
        <w:rPr>
          <w:rFonts w:ascii="Book Antiqua" w:hAnsi="Book Antiqua"/>
        </w:rPr>
        <w:t xml:space="preserve">thorization is typically needed; </w:t>
      </w:r>
      <w:r w:rsidR="00E63710" w:rsidRPr="00EC514F">
        <w:rPr>
          <w:rFonts w:ascii="Book Antiqua" w:hAnsi="Book Antiqua"/>
        </w:rPr>
        <w:t xml:space="preserve">delaying </w:t>
      </w:r>
      <w:r w:rsidR="00536B20" w:rsidRPr="00EC514F">
        <w:rPr>
          <w:rFonts w:ascii="Book Antiqua" w:hAnsi="Book Antiqua"/>
        </w:rPr>
        <w:t>drug initiation</w:t>
      </w:r>
      <w:r w:rsidR="00E63710" w:rsidRPr="00EC514F">
        <w:rPr>
          <w:rFonts w:ascii="Book Antiqua" w:hAnsi="Book Antiqua"/>
        </w:rPr>
        <w:t xml:space="preserve">. In </w:t>
      </w:r>
      <w:proofErr w:type="spellStart"/>
      <w:r w:rsidR="00E63710" w:rsidRPr="00EC514F">
        <w:rPr>
          <w:rFonts w:ascii="Book Antiqua" w:hAnsi="Book Antiqua"/>
        </w:rPr>
        <w:t>Nam</w:t>
      </w:r>
      <w:r w:rsidR="00B52AAD" w:rsidRPr="00EC514F">
        <w:rPr>
          <w:rFonts w:ascii="Book Antiqua" w:hAnsi="Book Antiqua"/>
        </w:rPr>
        <w:t>daran</w:t>
      </w:r>
      <w:proofErr w:type="spellEnd"/>
      <w:r w:rsidR="00E63710" w:rsidRPr="00EC514F">
        <w:rPr>
          <w:rFonts w:ascii="Book Antiqua" w:hAnsi="Book Antiqua"/>
        </w:rPr>
        <w:t xml:space="preserve"> et al, </w:t>
      </w:r>
      <w:r w:rsidR="00C3115C" w:rsidRPr="00EC514F">
        <w:rPr>
          <w:rFonts w:ascii="Book Antiqua" w:hAnsi="Book Antiqua"/>
        </w:rPr>
        <w:t xml:space="preserve">bridging with </w:t>
      </w:r>
      <w:r w:rsidR="00E63710" w:rsidRPr="00EC514F">
        <w:rPr>
          <w:rFonts w:ascii="Book Antiqua" w:hAnsi="Book Antiqua"/>
        </w:rPr>
        <w:t>oc</w:t>
      </w:r>
      <w:r w:rsidR="00C3115C" w:rsidRPr="00EC514F">
        <w:rPr>
          <w:rFonts w:ascii="Book Antiqua" w:hAnsi="Book Antiqua"/>
        </w:rPr>
        <w:t>t</w:t>
      </w:r>
      <w:r w:rsidR="00E63710" w:rsidRPr="00EC514F">
        <w:rPr>
          <w:rFonts w:ascii="Book Antiqua" w:hAnsi="Book Antiqua"/>
        </w:rPr>
        <w:t>reotide was used on average for 11 d</w:t>
      </w:r>
      <w:r w:rsidR="00505BC3">
        <w:rPr>
          <w:rFonts w:ascii="Book Antiqua" w:hAnsi="Book Antiqua"/>
        </w:rPr>
        <w:t xml:space="preserve"> </w:t>
      </w:r>
      <w:r w:rsidR="00E63710" w:rsidRPr="00EC514F">
        <w:rPr>
          <w:rFonts w:ascii="Book Antiqua" w:hAnsi="Book Antiqua"/>
        </w:rPr>
        <w:t>while approval was received</w:t>
      </w:r>
      <w:r w:rsidR="00C3115C" w:rsidRPr="00EC514F">
        <w:rPr>
          <w:rFonts w:ascii="Book Antiqua" w:hAnsi="Book Antiqua"/>
        </w:rPr>
        <w:t xml:space="preserve"> and could be used as a </w:t>
      </w:r>
      <w:proofErr w:type="gramStart"/>
      <w:r w:rsidR="00C3115C" w:rsidRPr="00EC514F">
        <w:rPr>
          <w:rFonts w:ascii="Book Antiqua" w:hAnsi="Book Antiqua"/>
        </w:rPr>
        <w:t>workaround</w:t>
      </w:r>
      <w:r w:rsidR="00643335" w:rsidRPr="00EC514F">
        <w:rPr>
          <w:rFonts w:ascii="Book Antiqua" w:hAnsi="Book Antiqua"/>
          <w:vertAlign w:val="superscript"/>
        </w:rPr>
        <w:t>[</w:t>
      </w:r>
      <w:proofErr w:type="gramEnd"/>
      <w:r w:rsidR="00643335" w:rsidRPr="00EC514F">
        <w:rPr>
          <w:rFonts w:ascii="Book Antiqua" w:hAnsi="Book Antiqua"/>
          <w:vertAlign w:val="superscript"/>
        </w:rPr>
        <w:t>6]</w:t>
      </w:r>
      <w:r w:rsidR="00B52AAD" w:rsidRPr="00EC514F">
        <w:rPr>
          <w:rFonts w:ascii="Book Antiqua" w:hAnsi="Book Antiqua"/>
        </w:rPr>
        <w:t xml:space="preserve">. </w:t>
      </w:r>
      <w:r w:rsidR="00E63710" w:rsidRPr="00EC514F">
        <w:rPr>
          <w:rFonts w:ascii="Book Antiqua" w:hAnsi="Book Antiqua"/>
        </w:rPr>
        <w:t>Finally, both prescriber and pharmacist need to be approved by the THALOMID Risk Evaluation and Mitigation Strategy program to prescribe the thalidomide</w:t>
      </w:r>
      <w:r w:rsidR="006F6CF4" w:rsidRPr="00EC514F">
        <w:rPr>
          <w:rFonts w:ascii="Book Antiqua" w:hAnsi="Book Antiqua"/>
        </w:rPr>
        <w:t>, which limit the number of providers that can offer this therapy</w:t>
      </w:r>
      <w:r w:rsidR="00E63710" w:rsidRPr="00EC514F">
        <w:rPr>
          <w:rFonts w:ascii="Book Antiqua" w:hAnsi="Book Antiqua"/>
        </w:rPr>
        <w:t>.</w:t>
      </w:r>
    </w:p>
    <w:p w14:paraId="577AD2DB" w14:textId="77777777" w:rsidR="00643335" w:rsidRDefault="00643335" w:rsidP="00643335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i/>
        </w:rPr>
      </w:pPr>
    </w:p>
    <w:p w14:paraId="2A93D54C" w14:textId="585DE6DE" w:rsidR="00C922CF" w:rsidRPr="00643335" w:rsidRDefault="003C44E5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3C44E5">
        <w:rPr>
          <w:rFonts w:ascii="Book Antiqua" w:hAnsi="Book Antiqua"/>
          <w:b/>
          <w:caps/>
        </w:rPr>
        <w:t>a</w:t>
      </w:r>
      <w:r w:rsidRPr="003C44E5">
        <w:rPr>
          <w:rFonts w:ascii="Book Antiqua" w:hAnsi="Book Antiqua"/>
          <w:b/>
        </w:rPr>
        <w:t>ngiotensin converting enzyme inhibitors/angiotensin II receptor blockers</w:t>
      </w:r>
      <w:r w:rsidR="00643335" w:rsidRPr="00643335">
        <w:rPr>
          <w:rFonts w:ascii="Book Antiqua" w:hAnsi="Book Antiqua"/>
          <w:b/>
        </w:rPr>
        <w:t>:</w:t>
      </w:r>
      <w:r w:rsidR="00643335">
        <w:rPr>
          <w:rFonts w:ascii="Book Antiqua" w:eastAsia="宋体" w:hAnsi="Book Antiqua" w:hint="eastAsia"/>
          <w:b/>
          <w:lang w:eastAsia="zh-CN"/>
        </w:rPr>
        <w:t xml:space="preserve"> </w:t>
      </w:r>
      <w:r w:rsidR="001A754A" w:rsidRPr="00EC514F">
        <w:rPr>
          <w:rFonts w:ascii="Book Antiqua" w:hAnsi="Book Antiqua"/>
        </w:rPr>
        <w:t>Angiotensin converting enzyme</w:t>
      </w:r>
      <w:r w:rsidR="004D0F15" w:rsidRPr="00EC514F">
        <w:rPr>
          <w:rFonts w:ascii="Book Antiqua" w:hAnsi="Book Antiqua"/>
        </w:rPr>
        <w:t xml:space="preserve"> inhibitors</w:t>
      </w:r>
      <w:r w:rsidR="0046222A" w:rsidRPr="00EC514F">
        <w:rPr>
          <w:rFonts w:ascii="Book Antiqua" w:hAnsi="Book Antiqua"/>
        </w:rPr>
        <w:t xml:space="preserve"> </w:t>
      </w:r>
      <w:r w:rsidR="001A754A" w:rsidRPr="00EC514F">
        <w:rPr>
          <w:rFonts w:ascii="Book Antiqua" w:hAnsi="Book Antiqua"/>
        </w:rPr>
        <w:t>(</w:t>
      </w:r>
      <w:proofErr w:type="spellStart"/>
      <w:r w:rsidR="001A754A" w:rsidRPr="00EC514F">
        <w:rPr>
          <w:rFonts w:ascii="Book Antiqua" w:hAnsi="Book Antiqua"/>
        </w:rPr>
        <w:t>ACEi</w:t>
      </w:r>
      <w:proofErr w:type="spellEnd"/>
      <w:r w:rsidR="001A754A" w:rsidRPr="00EC514F">
        <w:rPr>
          <w:rFonts w:ascii="Book Antiqua" w:hAnsi="Book Antiqua"/>
        </w:rPr>
        <w:t>)</w:t>
      </w:r>
      <w:r w:rsidR="004D0F15" w:rsidRPr="00EC514F">
        <w:rPr>
          <w:rFonts w:ascii="Book Antiqua" w:hAnsi="Book Antiqua"/>
        </w:rPr>
        <w:t xml:space="preserve"> and </w:t>
      </w:r>
      <w:r w:rsidR="00FE32B1" w:rsidRPr="00EC514F">
        <w:rPr>
          <w:rFonts w:ascii="Book Antiqua" w:hAnsi="Book Antiqua"/>
        </w:rPr>
        <w:t>a</w:t>
      </w:r>
      <w:r w:rsidR="001A754A" w:rsidRPr="00EC514F">
        <w:rPr>
          <w:rFonts w:ascii="Book Antiqua" w:hAnsi="Book Antiqua"/>
        </w:rPr>
        <w:t>ngiotensin II receptor blockers (</w:t>
      </w:r>
      <w:r w:rsidR="004D0F15" w:rsidRPr="00EC514F">
        <w:rPr>
          <w:rFonts w:ascii="Book Antiqua" w:hAnsi="Book Antiqua"/>
        </w:rPr>
        <w:t>ARBs</w:t>
      </w:r>
      <w:r w:rsidR="001A754A" w:rsidRPr="00EC514F">
        <w:rPr>
          <w:rFonts w:ascii="Book Antiqua" w:hAnsi="Book Antiqua"/>
        </w:rPr>
        <w:t>)</w:t>
      </w:r>
      <w:r w:rsidR="004D0F15" w:rsidRPr="00EC514F">
        <w:rPr>
          <w:rFonts w:ascii="Book Antiqua" w:hAnsi="Book Antiqua"/>
        </w:rPr>
        <w:t xml:space="preserve"> are common cardiac medications that </w:t>
      </w:r>
      <w:r w:rsidR="00583B55" w:rsidRPr="00EC514F">
        <w:rPr>
          <w:rFonts w:ascii="Book Antiqua" w:hAnsi="Book Antiqua"/>
        </w:rPr>
        <w:t>appear to have</w:t>
      </w:r>
      <w:r w:rsidR="004D0F15" w:rsidRPr="00EC514F">
        <w:rPr>
          <w:rFonts w:ascii="Book Antiqua" w:hAnsi="Book Antiqua"/>
        </w:rPr>
        <w:t xml:space="preserve"> a benefit in preventing recurrent GI bleed</w:t>
      </w:r>
      <w:r w:rsidR="00C31BAA" w:rsidRPr="00EC514F">
        <w:rPr>
          <w:rFonts w:ascii="Book Antiqua" w:hAnsi="Book Antiqua"/>
        </w:rPr>
        <w:t>ing</w:t>
      </w:r>
      <w:r w:rsidR="004D0F15" w:rsidRPr="00EC514F">
        <w:rPr>
          <w:rFonts w:ascii="Book Antiqua" w:hAnsi="Book Antiqua"/>
        </w:rPr>
        <w:t xml:space="preserve"> in LVAD patients.</w:t>
      </w:r>
      <w:r w:rsidR="000D4F70" w:rsidRPr="00EC514F">
        <w:rPr>
          <w:rFonts w:ascii="Book Antiqua" w:hAnsi="Book Antiqua"/>
        </w:rPr>
        <w:t xml:space="preserve"> Houston et al l</w:t>
      </w:r>
      <w:r w:rsidR="001E6F86" w:rsidRPr="00EC514F">
        <w:rPr>
          <w:rFonts w:ascii="Book Antiqua" w:hAnsi="Book Antiqua"/>
        </w:rPr>
        <w:t xml:space="preserve">ooked at 131 </w:t>
      </w:r>
      <w:r w:rsidR="001E6F86" w:rsidRPr="00EC514F">
        <w:rPr>
          <w:rFonts w:ascii="Book Antiqua" w:hAnsi="Book Antiqua"/>
        </w:rPr>
        <w:lastRenderedPageBreak/>
        <w:t>LVAD patients</w:t>
      </w:r>
      <w:r w:rsidR="00583B55" w:rsidRPr="00EC514F">
        <w:rPr>
          <w:rFonts w:ascii="Book Antiqua" w:hAnsi="Book Antiqua"/>
        </w:rPr>
        <w:t xml:space="preserve"> and</w:t>
      </w:r>
      <w:r w:rsidR="001E6F86" w:rsidRPr="00EC514F">
        <w:rPr>
          <w:rFonts w:ascii="Book Antiqua" w:hAnsi="Book Antiqua"/>
        </w:rPr>
        <w:t xml:space="preserve"> </w:t>
      </w:r>
      <w:r w:rsidR="000D4F70" w:rsidRPr="00EC514F">
        <w:rPr>
          <w:rFonts w:ascii="Book Antiqua" w:hAnsi="Book Antiqua"/>
        </w:rPr>
        <w:t>recorded whether or not they</w:t>
      </w:r>
      <w:r w:rsidR="00BC3F71" w:rsidRPr="00EC514F">
        <w:rPr>
          <w:rFonts w:ascii="Book Antiqua" w:hAnsi="Book Antiqua"/>
        </w:rPr>
        <w:t xml:space="preserve"> were on an</w:t>
      </w:r>
      <w:r w:rsidR="001E6F86" w:rsidRPr="00EC514F">
        <w:rPr>
          <w:rFonts w:ascii="Book Antiqua" w:hAnsi="Book Antiqua"/>
        </w:rPr>
        <w:t xml:space="preserve"> </w:t>
      </w:r>
      <w:proofErr w:type="spellStart"/>
      <w:r w:rsidR="001E6F86" w:rsidRPr="00EC514F">
        <w:rPr>
          <w:rFonts w:ascii="Book Antiqua" w:hAnsi="Book Antiqua"/>
        </w:rPr>
        <w:t>ACE</w:t>
      </w:r>
      <w:r w:rsidR="004E109D" w:rsidRPr="00EC514F">
        <w:rPr>
          <w:rFonts w:ascii="Book Antiqua" w:hAnsi="Book Antiqua"/>
        </w:rPr>
        <w:t>i</w:t>
      </w:r>
      <w:proofErr w:type="spellEnd"/>
      <w:r w:rsidR="001E6F86" w:rsidRPr="00EC514F">
        <w:rPr>
          <w:rFonts w:ascii="Book Antiqua" w:hAnsi="Book Antiqua"/>
        </w:rPr>
        <w:t xml:space="preserve"> or ARB for at least 30 days with LVAD support.</w:t>
      </w:r>
      <w:r w:rsidR="00E414DF" w:rsidRPr="00EC514F">
        <w:rPr>
          <w:rFonts w:ascii="Book Antiqua" w:hAnsi="Book Antiqua"/>
          <w:vertAlign w:val="superscript"/>
        </w:rPr>
        <w:t>[</w:t>
      </w:r>
      <w:r w:rsidR="00B52AAD" w:rsidRPr="00EC514F">
        <w:rPr>
          <w:rFonts w:ascii="Book Antiqua" w:hAnsi="Book Antiqua"/>
          <w:vertAlign w:val="superscript"/>
        </w:rPr>
        <w:t>3</w:t>
      </w:r>
      <w:r w:rsidR="00E414DF" w:rsidRPr="00EC514F">
        <w:rPr>
          <w:rFonts w:ascii="Book Antiqua" w:hAnsi="Book Antiqua"/>
          <w:vertAlign w:val="superscript"/>
        </w:rPr>
        <w:t>]</w:t>
      </w:r>
      <w:r w:rsidR="001E6F86" w:rsidRPr="00EC514F">
        <w:rPr>
          <w:rFonts w:ascii="Book Antiqua" w:hAnsi="Book Antiqua"/>
        </w:rPr>
        <w:t xml:space="preserve"> This study found that of the 31 patient</w:t>
      </w:r>
      <w:r w:rsidR="004E109D" w:rsidRPr="00EC514F">
        <w:rPr>
          <w:rFonts w:ascii="Book Antiqua" w:hAnsi="Book Antiqua"/>
        </w:rPr>
        <w:t>s</w:t>
      </w:r>
      <w:r w:rsidR="001E6F86" w:rsidRPr="00EC514F">
        <w:rPr>
          <w:rFonts w:ascii="Book Antiqua" w:hAnsi="Book Antiqua"/>
        </w:rPr>
        <w:t xml:space="preserve"> that did not receive an </w:t>
      </w:r>
      <w:proofErr w:type="spellStart"/>
      <w:r w:rsidR="001E6F86" w:rsidRPr="00EC514F">
        <w:rPr>
          <w:rFonts w:ascii="Book Antiqua" w:hAnsi="Book Antiqua"/>
        </w:rPr>
        <w:t>ACEi</w:t>
      </w:r>
      <w:proofErr w:type="spellEnd"/>
      <w:r w:rsidR="001E6F86" w:rsidRPr="00EC514F">
        <w:rPr>
          <w:rFonts w:ascii="Book Antiqua" w:hAnsi="Book Antiqua"/>
        </w:rPr>
        <w:t xml:space="preserve"> or an ARB</w:t>
      </w:r>
      <w:r w:rsidR="00E414DF" w:rsidRPr="00EC514F">
        <w:rPr>
          <w:rFonts w:ascii="Book Antiqua" w:hAnsi="Book Antiqua"/>
        </w:rPr>
        <w:t>, 48%</w:t>
      </w:r>
      <w:r w:rsidR="001E6F86" w:rsidRPr="00EC514F">
        <w:rPr>
          <w:rFonts w:ascii="Book Antiqua" w:hAnsi="Book Antiqua"/>
        </w:rPr>
        <w:t xml:space="preserve"> had a </w:t>
      </w:r>
      <w:r w:rsidR="00F7096F" w:rsidRPr="00EC514F">
        <w:rPr>
          <w:rFonts w:ascii="Book Antiqua" w:hAnsi="Book Antiqua"/>
        </w:rPr>
        <w:t>GI bleed</w:t>
      </w:r>
      <w:r w:rsidR="00BC3F71" w:rsidRPr="00EC514F">
        <w:rPr>
          <w:rFonts w:ascii="Book Antiqua" w:hAnsi="Book Antiqua"/>
        </w:rPr>
        <w:t>ing</w:t>
      </w:r>
      <w:r w:rsidR="00F7096F" w:rsidRPr="00EC514F">
        <w:rPr>
          <w:rFonts w:ascii="Book Antiqua" w:hAnsi="Book Antiqua"/>
        </w:rPr>
        <w:t xml:space="preserve"> </w:t>
      </w:r>
      <w:r w:rsidR="00E414DF" w:rsidRPr="00EC514F">
        <w:rPr>
          <w:rFonts w:ascii="Book Antiqua" w:hAnsi="Book Antiqua"/>
        </w:rPr>
        <w:t>episode</w:t>
      </w:r>
      <w:r w:rsidR="00F7096F" w:rsidRPr="00EC514F">
        <w:rPr>
          <w:rFonts w:ascii="Book Antiqua" w:hAnsi="Book Antiqua"/>
        </w:rPr>
        <w:t xml:space="preserve"> with 29% of those being related to </w:t>
      </w:r>
      <w:r w:rsidR="00DA28F1" w:rsidRPr="00EC514F">
        <w:rPr>
          <w:rFonts w:ascii="Book Antiqua" w:hAnsi="Book Antiqua"/>
        </w:rPr>
        <w:t>AVMs</w:t>
      </w:r>
      <w:r w:rsidR="00F7096F" w:rsidRPr="00EC514F">
        <w:rPr>
          <w:rFonts w:ascii="Book Antiqua" w:hAnsi="Book Antiqua"/>
        </w:rPr>
        <w:t>; while on</w:t>
      </w:r>
      <w:r w:rsidR="00583B55" w:rsidRPr="00EC514F">
        <w:rPr>
          <w:rFonts w:ascii="Book Antiqua" w:hAnsi="Book Antiqua"/>
        </w:rPr>
        <w:t>ly</w:t>
      </w:r>
      <w:r w:rsidR="00F7096F" w:rsidRPr="00EC514F">
        <w:rPr>
          <w:rFonts w:ascii="Book Antiqua" w:hAnsi="Book Antiqua"/>
        </w:rPr>
        <w:t xml:space="preserve"> 24% of those </w:t>
      </w:r>
      <w:r w:rsidR="00583B55" w:rsidRPr="00EC514F">
        <w:rPr>
          <w:rFonts w:ascii="Book Antiqua" w:hAnsi="Book Antiqua"/>
        </w:rPr>
        <w:t xml:space="preserve">that received an </w:t>
      </w:r>
      <w:proofErr w:type="spellStart"/>
      <w:r w:rsidR="00583B55" w:rsidRPr="00EC514F">
        <w:rPr>
          <w:rFonts w:ascii="Book Antiqua" w:hAnsi="Book Antiqua"/>
        </w:rPr>
        <w:t>ACEi</w:t>
      </w:r>
      <w:proofErr w:type="spellEnd"/>
      <w:r w:rsidR="00583B55" w:rsidRPr="00EC514F">
        <w:rPr>
          <w:rFonts w:ascii="Book Antiqua" w:hAnsi="Book Antiqua"/>
        </w:rPr>
        <w:t xml:space="preserve"> or ARB </w:t>
      </w:r>
      <w:r w:rsidR="00F7096F" w:rsidRPr="00EC514F">
        <w:rPr>
          <w:rFonts w:ascii="Book Antiqua" w:hAnsi="Book Antiqua"/>
        </w:rPr>
        <w:t>had GI bleed</w:t>
      </w:r>
      <w:r w:rsidR="00BC3F71" w:rsidRPr="00EC514F">
        <w:rPr>
          <w:rFonts w:ascii="Book Antiqua" w:hAnsi="Book Antiqua"/>
        </w:rPr>
        <w:t>ing</w:t>
      </w:r>
      <w:r w:rsidR="00F7096F" w:rsidRPr="00EC514F">
        <w:rPr>
          <w:rFonts w:ascii="Book Antiqua" w:hAnsi="Book Antiqua"/>
        </w:rPr>
        <w:t xml:space="preserve"> and only 9% were related to </w:t>
      </w:r>
      <w:r w:rsidR="00DA28F1" w:rsidRPr="00EC514F">
        <w:rPr>
          <w:rFonts w:ascii="Book Antiqua" w:hAnsi="Book Antiqua"/>
        </w:rPr>
        <w:t>AVMs</w:t>
      </w:r>
      <w:r w:rsidR="00F7096F" w:rsidRPr="00EC514F">
        <w:rPr>
          <w:rFonts w:ascii="Book Antiqua" w:hAnsi="Book Antiqua"/>
        </w:rPr>
        <w:t xml:space="preserve">. </w:t>
      </w:r>
      <w:r w:rsidR="00C922CF" w:rsidRPr="00EC514F">
        <w:rPr>
          <w:rFonts w:ascii="Book Antiqua" w:hAnsi="Book Antiqua"/>
        </w:rPr>
        <w:t>Ultimately, an OR 0.29 for all causes of GI bleed, along with</w:t>
      </w:r>
      <w:r w:rsidR="006762AD" w:rsidRPr="00EC514F">
        <w:rPr>
          <w:rFonts w:ascii="Book Antiqua" w:hAnsi="Book Antiqua"/>
        </w:rPr>
        <w:t xml:space="preserve"> an</w:t>
      </w:r>
      <w:r w:rsidR="00C922CF" w:rsidRPr="00EC514F">
        <w:rPr>
          <w:rFonts w:ascii="Book Antiqua" w:hAnsi="Book Antiqua"/>
        </w:rPr>
        <w:t xml:space="preserve"> OR 0.23 for </w:t>
      </w:r>
      <w:r w:rsidR="00DA28F1" w:rsidRPr="00EC514F">
        <w:rPr>
          <w:rFonts w:ascii="Book Antiqua" w:hAnsi="Book Antiqua"/>
        </w:rPr>
        <w:t xml:space="preserve">AVM </w:t>
      </w:r>
      <w:r w:rsidR="00C922CF" w:rsidRPr="00EC514F">
        <w:rPr>
          <w:rFonts w:ascii="Book Antiqua" w:hAnsi="Book Antiqua"/>
        </w:rPr>
        <w:t>bleeds were found. It is thought the mechanism mainly centers around the downreg</w:t>
      </w:r>
      <w:r w:rsidR="001E1BC0" w:rsidRPr="00EC514F">
        <w:rPr>
          <w:rFonts w:ascii="Book Antiqua" w:hAnsi="Book Antiqua"/>
        </w:rPr>
        <w:t>ulation</w:t>
      </w:r>
      <w:r w:rsidR="00C922CF" w:rsidRPr="00EC514F">
        <w:rPr>
          <w:rFonts w:ascii="Book Antiqua" w:hAnsi="Book Antiqua"/>
        </w:rPr>
        <w:t xml:space="preserve"> of</w:t>
      </w:r>
      <w:r w:rsidR="00DA28F1" w:rsidRPr="00EC514F">
        <w:rPr>
          <w:rFonts w:ascii="Book Antiqua" w:hAnsi="Book Antiqua"/>
        </w:rPr>
        <w:t xml:space="preserve"> </w:t>
      </w:r>
      <w:r w:rsidR="00844D7B" w:rsidRPr="00EC514F">
        <w:rPr>
          <w:rFonts w:ascii="Book Antiqua" w:hAnsi="Book Antiqua"/>
        </w:rPr>
        <w:t>TGF-</w:t>
      </w:r>
      <w:r w:rsidR="00844D7B" w:rsidRPr="00EC514F">
        <w:rPr>
          <w:rFonts w:ascii="Book Antiqua" w:hAnsi="Book Antiqua" w:cs="Times New Roman"/>
        </w:rPr>
        <w:t>β</w:t>
      </w:r>
      <w:r w:rsidR="00C922CF" w:rsidRPr="00EC514F">
        <w:rPr>
          <w:rFonts w:ascii="Book Antiqua" w:hAnsi="Book Antiqua"/>
        </w:rPr>
        <w:t>, which normally upregulates VEGF. In addition</w:t>
      </w:r>
      <w:r w:rsidR="00E414DF" w:rsidRPr="00EC514F">
        <w:rPr>
          <w:rFonts w:ascii="Book Antiqua" w:hAnsi="Book Antiqua"/>
        </w:rPr>
        <w:t>,</w:t>
      </w:r>
      <w:r w:rsidR="006762AD" w:rsidRPr="00EC514F">
        <w:rPr>
          <w:rFonts w:ascii="Book Antiqua" w:hAnsi="Book Antiqua"/>
        </w:rPr>
        <w:t xml:space="preserve"> these agents create a</w:t>
      </w:r>
      <w:r w:rsidR="00C922CF" w:rsidRPr="00EC514F">
        <w:rPr>
          <w:rFonts w:ascii="Book Antiqua" w:hAnsi="Book Antiqua"/>
        </w:rPr>
        <w:t xml:space="preserve"> blockade of angiotensin-II from acting upon angiotensin I receptors</w:t>
      </w:r>
      <w:r w:rsidR="00D916C0" w:rsidRPr="00EC514F">
        <w:rPr>
          <w:rFonts w:ascii="Book Antiqua" w:hAnsi="Book Antiqua"/>
        </w:rPr>
        <w:t>,</w:t>
      </w:r>
      <w:r w:rsidR="00C922CF" w:rsidRPr="00EC514F">
        <w:rPr>
          <w:rFonts w:ascii="Book Antiqua" w:hAnsi="Book Antiqua"/>
        </w:rPr>
        <w:t xml:space="preserve"> causing </w:t>
      </w:r>
      <w:r w:rsidR="00C86491" w:rsidRPr="00EC514F">
        <w:rPr>
          <w:rFonts w:ascii="Book Antiqua" w:hAnsi="Book Antiqua"/>
        </w:rPr>
        <w:t>a downregulation</w:t>
      </w:r>
      <w:r w:rsidR="00C922CF" w:rsidRPr="00EC514F">
        <w:rPr>
          <w:rFonts w:ascii="Book Antiqua" w:hAnsi="Book Antiqua"/>
        </w:rPr>
        <w:t xml:space="preserve"> of the ang</w:t>
      </w:r>
      <w:r w:rsidR="00B52AAD" w:rsidRPr="00EC514F">
        <w:rPr>
          <w:rFonts w:ascii="Book Antiqua" w:hAnsi="Book Antiqua"/>
        </w:rPr>
        <w:t>iogenesis</w:t>
      </w:r>
      <w:r w:rsidR="00C86491" w:rsidRPr="00EC514F">
        <w:rPr>
          <w:rFonts w:ascii="Book Antiqua" w:hAnsi="Book Antiqua"/>
        </w:rPr>
        <w:t>.</w:t>
      </w:r>
    </w:p>
    <w:p w14:paraId="046A8221" w14:textId="0D92E51F" w:rsidR="00C922CF" w:rsidRPr="00EC514F" w:rsidRDefault="00F7096F" w:rsidP="00DB35A4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C514F">
        <w:rPr>
          <w:rFonts w:ascii="Book Antiqua" w:hAnsi="Book Antiqua"/>
        </w:rPr>
        <w:t xml:space="preserve">Their study also looked at dosing of these medications and failed to show a dose-dependence on its ability to reduce </w:t>
      </w:r>
      <w:r w:rsidR="00DA28F1" w:rsidRPr="00EC514F">
        <w:rPr>
          <w:rFonts w:ascii="Book Antiqua" w:hAnsi="Book Antiqua"/>
        </w:rPr>
        <w:t>AVM</w:t>
      </w:r>
      <w:r w:rsidRPr="00EC514F">
        <w:rPr>
          <w:rFonts w:ascii="Book Antiqua" w:hAnsi="Book Antiqua"/>
        </w:rPr>
        <w:t xml:space="preserve">-related </w:t>
      </w:r>
      <w:proofErr w:type="gramStart"/>
      <w:r w:rsidRPr="00EC514F">
        <w:rPr>
          <w:rFonts w:ascii="Book Antiqua" w:hAnsi="Book Antiqua"/>
        </w:rPr>
        <w:t>bleeds</w:t>
      </w:r>
      <w:r w:rsidR="00DB35A4" w:rsidRPr="00EC514F">
        <w:rPr>
          <w:rFonts w:ascii="Book Antiqua" w:hAnsi="Book Antiqua"/>
          <w:vertAlign w:val="superscript"/>
        </w:rPr>
        <w:t>[</w:t>
      </w:r>
      <w:proofErr w:type="gramEnd"/>
      <w:r w:rsidR="00DB35A4" w:rsidRPr="00EC514F">
        <w:rPr>
          <w:rFonts w:ascii="Book Antiqua" w:hAnsi="Book Antiqua"/>
          <w:vertAlign w:val="superscript"/>
        </w:rPr>
        <w:t>3]</w:t>
      </w:r>
      <w:r w:rsidR="00B52AAD" w:rsidRPr="00EC514F">
        <w:rPr>
          <w:rFonts w:ascii="Book Antiqua" w:hAnsi="Book Antiqua"/>
        </w:rPr>
        <w:t>.</w:t>
      </w:r>
      <w:r w:rsidR="00B52AAD" w:rsidRPr="00EC514F">
        <w:rPr>
          <w:rFonts w:ascii="Book Antiqua" w:hAnsi="Book Antiqua"/>
          <w:vertAlign w:val="superscript"/>
        </w:rPr>
        <w:t xml:space="preserve"> </w:t>
      </w:r>
      <w:r w:rsidR="00E65F06" w:rsidRPr="00EC514F">
        <w:rPr>
          <w:rFonts w:ascii="Book Antiqua" w:hAnsi="Book Antiqua"/>
        </w:rPr>
        <w:t xml:space="preserve">The effect of </w:t>
      </w:r>
      <w:proofErr w:type="spellStart"/>
      <w:r w:rsidR="00E65F06" w:rsidRPr="00EC514F">
        <w:rPr>
          <w:rFonts w:ascii="Book Antiqua" w:hAnsi="Book Antiqua"/>
        </w:rPr>
        <w:t>ACEi</w:t>
      </w:r>
      <w:proofErr w:type="spellEnd"/>
      <w:r w:rsidR="00E65F06" w:rsidRPr="00EC514F">
        <w:rPr>
          <w:rFonts w:ascii="Book Antiqua" w:hAnsi="Book Antiqua"/>
        </w:rPr>
        <w:t xml:space="preserve">/ARB on </w:t>
      </w:r>
      <w:r w:rsidR="00DA28F1" w:rsidRPr="00EC514F">
        <w:rPr>
          <w:rFonts w:ascii="Book Antiqua" w:hAnsi="Book Antiqua"/>
        </w:rPr>
        <w:t>AVM</w:t>
      </w:r>
      <w:r w:rsidR="00E65F06" w:rsidRPr="00EC514F">
        <w:rPr>
          <w:rFonts w:ascii="Book Antiqua" w:hAnsi="Book Antiqua"/>
        </w:rPr>
        <w:t xml:space="preserve"> lesions seem to be separate </w:t>
      </w:r>
      <w:r w:rsidR="00DA28F1" w:rsidRPr="00EC514F">
        <w:rPr>
          <w:rFonts w:ascii="Book Antiqua" w:hAnsi="Book Antiqua"/>
        </w:rPr>
        <w:t xml:space="preserve">to </w:t>
      </w:r>
      <w:r w:rsidR="00E65F06" w:rsidRPr="00EC514F">
        <w:rPr>
          <w:rFonts w:ascii="Book Antiqua" w:hAnsi="Book Antiqua"/>
        </w:rPr>
        <w:t xml:space="preserve">its blood pressure effect as </w:t>
      </w:r>
      <w:r w:rsidR="00CC6E54" w:rsidRPr="00EC514F">
        <w:rPr>
          <w:rFonts w:ascii="Book Antiqua" w:hAnsi="Book Antiqua"/>
        </w:rPr>
        <w:t xml:space="preserve">beta-blockers and calcium </w:t>
      </w:r>
      <w:r w:rsidR="000D4F70" w:rsidRPr="00EC514F">
        <w:rPr>
          <w:rFonts w:ascii="Book Antiqua" w:hAnsi="Book Antiqua"/>
        </w:rPr>
        <w:t>channel</w:t>
      </w:r>
      <w:r w:rsidR="00CC6E54" w:rsidRPr="00EC514F">
        <w:rPr>
          <w:rFonts w:ascii="Book Antiqua" w:hAnsi="Book Antiqua"/>
        </w:rPr>
        <w:t xml:space="preserve"> blockers independently tested in LVAD patients did not produce the same results </w:t>
      </w:r>
      <w:r w:rsidR="00DA28F1" w:rsidRPr="00EC514F">
        <w:rPr>
          <w:rFonts w:ascii="Book Antiqua" w:hAnsi="Book Antiqua"/>
        </w:rPr>
        <w:t>in decreasing</w:t>
      </w:r>
      <w:r w:rsidR="00CC6E54" w:rsidRPr="00EC514F">
        <w:rPr>
          <w:rFonts w:ascii="Book Antiqua" w:hAnsi="Book Antiqua"/>
        </w:rPr>
        <w:t xml:space="preserve"> the number of GI bleeds that </w:t>
      </w:r>
      <w:proofErr w:type="spellStart"/>
      <w:r w:rsidR="00CC6E54" w:rsidRPr="00EC514F">
        <w:rPr>
          <w:rFonts w:ascii="Book Antiqua" w:hAnsi="Book Antiqua"/>
        </w:rPr>
        <w:t>ACEi</w:t>
      </w:r>
      <w:proofErr w:type="spellEnd"/>
      <w:r w:rsidR="00CC6E54" w:rsidRPr="00EC514F">
        <w:rPr>
          <w:rFonts w:ascii="Book Antiqua" w:hAnsi="Book Antiqua"/>
        </w:rPr>
        <w:t xml:space="preserve">/ARBs were able to. </w:t>
      </w:r>
      <w:r w:rsidR="00AC5D49" w:rsidRPr="00EC514F">
        <w:rPr>
          <w:rFonts w:ascii="Book Antiqua" w:hAnsi="Book Antiqua"/>
        </w:rPr>
        <w:t>Additional studies are needed to validate</w:t>
      </w:r>
      <w:r w:rsidR="006478CC" w:rsidRPr="00EC514F">
        <w:rPr>
          <w:rFonts w:ascii="Book Antiqua" w:hAnsi="Book Antiqua"/>
        </w:rPr>
        <w:t xml:space="preserve"> the effect of </w:t>
      </w:r>
      <w:proofErr w:type="spellStart"/>
      <w:r w:rsidR="006478CC" w:rsidRPr="00EC514F">
        <w:rPr>
          <w:rFonts w:ascii="Book Antiqua" w:hAnsi="Book Antiqua"/>
        </w:rPr>
        <w:t>ACEi</w:t>
      </w:r>
      <w:proofErr w:type="spellEnd"/>
      <w:r w:rsidR="006478CC" w:rsidRPr="00EC514F">
        <w:rPr>
          <w:rFonts w:ascii="Book Antiqua" w:hAnsi="Book Antiqua"/>
        </w:rPr>
        <w:t>/ARBs in this population.</w:t>
      </w:r>
    </w:p>
    <w:p w14:paraId="6B9C4848" w14:textId="77777777" w:rsidR="00DB35A4" w:rsidRDefault="00DB35A4" w:rsidP="00DB35A4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i/>
        </w:rPr>
      </w:pPr>
    </w:p>
    <w:p w14:paraId="275A817F" w14:textId="20011A96" w:rsidR="00915EF8" w:rsidRPr="00DB35A4" w:rsidRDefault="00C922CF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B35A4">
        <w:rPr>
          <w:rFonts w:ascii="Book Antiqua" w:hAnsi="Book Antiqua"/>
          <w:b/>
        </w:rPr>
        <w:t>Estrogen-</w:t>
      </w:r>
      <w:r w:rsidR="00DB35A4" w:rsidRPr="00DB35A4">
        <w:rPr>
          <w:rFonts w:ascii="Book Antiqua" w:hAnsi="Book Antiqua"/>
          <w:b/>
        </w:rPr>
        <w:t>based hormone therapy</w:t>
      </w:r>
      <w:r w:rsidR="00DB35A4">
        <w:rPr>
          <w:rFonts w:ascii="Book Antiqua" w:hAnsi="Book Antiqua"/>
          <w:b/>
        </w:rPr>
        <w:t xml:space="preserve">: </w:t>
      </w:r>
      <w:r w:rsidR="0094653F" w:rsidRPr="00EC514F">
        <w:rPr>
          <w:rFonts w:ascii="Book Antiqua" w:hAnsi="Book Antiqua"/>
        </w:rPr>
        <w:t>Hormone therap</w:t>
      </w:r>
      <w:r w:rsidR="006F3A56" w:rsidRPr="00EC514F">
        <w:rPr>
          <w:rFonts w:ascii="Book Antiqua" w:hAnsi="Book Antiqua"/>
        </w:rPr>
        <w:t>ies</w:t>
      </w:r>
      <w:r w:rsidR="0094653F" w:rsidRPr="00EC514F">
        <w:rPr>
          <w:rFonts w:ascii="Book Antiqua" w:hAnsi="Book Antiqua"/>
        </w:rPr>
        <w:t>, either estrogen-only or estrogen in combination with progesterone</w:t>
      </w:r>
      <w:r w:rsidR="0001423B" w:rsidRPr="00EC514F">
        <w:rPr>
          <w:rFonts w:ascii="Book Antiqua" w:hAnsi="Book Antiqua"/>
        </w:rPr>
        <w:t>,</w:t>
      </w:r>
      <w:r w:rsidR="0094653F" w:rsidRPr="00EC514F">
        <w:rPr>
          <w:rFonts w:ascii="Book Antiqua" w:hAnsi="Book Antiqua"/>
        </w:rPr>
        <w:t xml:space="preserve"> </w:t>
      </w:r>
      <w:r w:rsidR="006F3A56" w:rsidRPr="00EC514F">
        <w:rPr>
          <w:rFonts w:ascii="Book Antiqua" w:hAnsi="Book Antiqua"/>
        </w:rPr>
        <w:t xml:space="preserve">have </w:t>
      </w:r>
      <w:r w:rsidR="0094653F" w:rsidRPr="00EC514F">
        <w:rPr>
          <w:rFonts w:ascii="Book Antiqua" w:hAnsi="Book Antiqua"/>
        </w:rPr>
        <w:t xml:space="preserve">been studied in </w:t>
      </w:r>
      <w:r w:rsidR="006F3A56" w:rsidRPr="00EC514F">
        <w:rPr>
          <w:rFonts w:ascii="Book Antiqua" w:hAnsi="Book Antiqua"/>
        </w:rPr>
        <w:t xml:space="preserve">the prevention of </w:t>
      </w:r>
      <w:r w:rsidR="006767D5" w:rsidRPr="00EC514F">
        <w:rPr>
          <w:rFonts w:ascii="Book Antiqua" w:hAnsi="Book Antiqua"/>
        </w:rPr>
        <w:t xml:space="preserve">AVM </w:t>
      </w:r>
      <w:r w:rsidR="0094653F" w:rsidRPr="00EC514F">
        <w:rPr>
          <w:rFonts w:ascii="Book Antiqua" w:hAnsi="Book Antiqua"/>
        </w:rPr>
        <w:t xml:space="preserve">bleeds with conflicting results. </w:t>
      </w:r>
      <w:r w:rsidR="00DC5451" w:rsidRPr="00EC514F">
        <w:rPr>
          <w:rFonts w:ascii="Book Antiqua" w:hAnsi="Book Antiqua"/>
        </w:rPr>
        <w:t xml:space="preserve">One multicentered, randomized, controlled trial studied 72 non-LVAD patients that used </w:t>
      </w:r>
      <w:proofErr w:type="spellStart"/>
      <w:r w:rsidR="00DC5451" w:rsidRPr="00EC514F">
        <w:rPr>
          <w:rFonts w:ascii="Book Antiqua" w:hAnsi="Book Antiqua"/>
        </w:rPr>
        <w:t>ethi</w:t>
      </w:r>
      <w:r w:rsidR="001E1BC0" w:rsidRPr="00EC514F">
        <w:rPr>
          <w:rFonts w:ascii="Book Antiqua" w:hAnsi="Book Antiqua"/>
        </w:rPr>
        <w:t>nylestradiol</w:t>
      </w:r>
      <w:proofErr w:type="spellEnd"/>
      <w:r w:rsidR="001E1BC0" w:rsidRPr="00EC514F">
        <w:rPr>
          <w:rFonts w:ascii="Book Antiqua" w:hAnsi="Book Antiqua"/>
        </w:rPr>
        <w:t xml:space="preserve"> 0.01 mg daily and norethisterone</w:t>
      </w:r>
      <w:r w:rsidR="00DC5451" w:rsidRPr="00EC514F">
        <w:rPr>
          <w:rFonts w:ascii="Book Antiqua" w:hAnsi="Book Antiqua"/>
        </w:rPr>
        <w:t xml:space="preserve"> 2 mg daily v</w:t>
      </w:r>
      <w:r w:rsidR="006208D3" w:rsidRPr="00EC514F">
        <w:rPr>
          <w:rFonts w:ascii="Book Antiqua" w:hAnsi="Book Antiqua"/>
        </w:rPr>
        <w:t>ersu</w:t>
      </w:r>
      <w:r w:rsidR="00DC5451" w:rsidRPr="00EC514F">
        <w:rPr>
          <w:rFonts w:ascii="Book Antiqua" w:hAnsi="Book Antiqua"/>
        </w:rPr>
        <w:t>s placebo for at least a year. This trial did not show</w:t>
      </w:r>
      <w:r w:rsidR="006F3A56" w:rsidRPr="00EC514F">
        <w:rPr>
          <w:rFonts w:ascii="Book Antiqua" w:hAnsi="Book Antiqua"/>
        </w:rPr>
        <w:t xml:space="preserve"> a</w:t>
      </w:r>
      <w:r w:rsidR="00DC5451" w:rsidRPr="00EC514F">
        <w:rPr>
          <w:rFonts w:ascii="Book Antiqua" w:hAnsi="Book Antiqua"/>
        </w:rPr>
        <w:t xml:space="preserve"> significant difference between the two arms. Treatment failure rate was 39% v</w:t>
      </w:r>
      <w:r w:rsidR="006208D3" w:rsidRPr="00EC514F">
        <w:rPr>
          <w:rFonts w:ascii="Book Antiqua" w:hAnsi="Book Antiqua"/>
        </w:rPr>
        <w:t>s</w:t>
      </w:r>
      <w:r w:rsidR="00DC5451" w:rsidRPr="00EC514F">
        <w:rPr>
          <w:rFonts w:ascii="Book Antiqua" w:hAnsi="Book Antiqua"/>
        </w:rPr>
        <w:t xml:space="preserve"> 46% between hormone therapy and control, respectively. Likewise, the number of bleeding episodes, transfusion requirements, severe adverse events and mortality did not differ significantly between </w:t>
      </w:r>
      <w:proofErr w:type="gramStart"/>
      <w:r w:rsidR="00DC5451" w:rsidRPr="00EC514F">
        <w:rPr>
          <w:rFonts w:ascii="Book Antiqua" w:hAnsi="Book Antiqua"/>
        </w:rPr>
        <w:t>groups</w:t>
      </w:r>
      <w:r w:rsidR="00803E11" w:rsidRPr="00EC514F">
        <w:rPr>
          <w:rFonts w:ascii="Book Antiqua" w:hAnsi="Book Antiqua"/>
          <w:vertAlign w:val="superscript"/>
        </w:rPr>
        <w:t>[</w:t>
      </w:r>
      <w:proofErr w:type="gramEnd"/>
      <w:r w:rsidR="00803E11" w:rsidRPr="00EC514F">
        <w:rPr>
          <w:rFonts w:ascii="Book Antiqua" w:hAnsi="Book Antiqua"/>
          <w:vertAlign w:val="superscript"/>
        </w:rPr>
        <w:t>37]</w:t>
      </w:r>
      <w:r w:rsidR="00DC5451" w:rsidRPr="00EC514F">
        <w:rPr>
          <w:rFonts w:ascii="Book Antiqua" w:hAnsi="Book Antiqua"/>
        </w:rPr>
        <w:t>.</w:t>
      </w:r>
      <w:r w:rsidR="006F3A56" w:rsidRPr="00EC514F">
        <w:rPr>
          <w:rFonts w:ascii="Book Antiqua" w:hAnsi="Book Antiqua"/>
          <w:vertAlign w:val="superscript"/>
        </w:rPr>
        <w:t xml:space="preserve"> </w:t>
      </w:r>
      <w:r w:rsidR="009430DB" w:rsidRPr="00EC514F">
        <w:rPr>
          <w:rFonts w:ascii="Book Antiqua" w:hAnsi="Book Antiqua"/>
        </w:rPr>
        <w:t>Contrarily, isolated case reports have evaluated</w:t>
      </w:r>
      <w:r w:rsidR="00881A88" w:rsidRPr="00EC514F">
        <w:rPr>
          <w:rFonts w:ascii="Book Antiqua" w:hAnsi="Book Antiqua"/>
        </w:rPr>
        <w:t xml:space="preserve"> individual LVAD patients with remarkable results</w:t>
      </w:r>
      <w:r w:rsidR="0001423B" w:rsidRPr="00EC514F">
        <w:rPr>
          <w:rFonts w:ascii="Book Antiqua" w:hAnsi="Book Antiqua"/>
        </w:rPr>
        <w:t xml:space="preserve"> reducing frequent GI bleeds</w:t>
      </w:r>
      <w:r w:rsidR="00881A88" w:rsidRPr="00EC514F">
        <w:rPr>
          <w:rFonts w:ascii="Book Antiqua" w:hAnsi="Book Antiqua"/>
        </w:rPr>
        <w:t xml:space="preserve"> </w:t>
      </w:r>
      <w:r w:rsidR="006762AD" w:rsidRPr="00EC514F">
        <w:rPr>
          <w:rFonts w:ascii="Book Antiqua" w:hAnsi="Book Antiqua"/>
        </w:rPr>
        <w:t>through</w:t>
      </w:r>
      <w:r w:rsidR="00881A88" w:rsidRPr="00EC514F">
        <w:rPr>
          <w:rFonts w:ascii="Book Antiqua" w:hAnsi="Book Antiqua"/>
        </w:rPr>
        <w:t xml:space="preserve"> the use of estrogen-</w:t>
      </w:r>
      <w:r w:rsidR="00881A88" w:rsidRPr="00EC514F">
        <w:rPr>
          <w:rFonts w:ascii="Book Antiqua" w:hAnsi="Book Antiqua"/>
        </w:rPr>
        <w:lastRenderedPageBreak/>
        <w:t xml:space="preserve">based </w:t>
      </w:r>
      <w:proofErr w:type="gramStart"/>
      <w:r w:rsidR="00881A88" w:rsidRPr="00EC514F">
        <w:rPr>
          <w:rFonts w:ascii="Book Antiqua" w:hAnsi="Book Antiqua"/>
        </w:rPr>
        <w:t>therap</w:t>
      </w:r>
      <w:r w:rsidR="006762AD" w:rsidRPr="00EC514F">
        <w:rPr>
          <w:rFonts w:ascii="Book Antiqua" w:hAnsi="Book Antiqua"/>
        </w:rPr>
        <w:t>ies</w:t>
      </w:r>
      <w:r w:rsidR="004F2477" w:rsidRPr="00EC514F">
        <w:rPr>
          <w:rFonts w:ascii="Book Antiqua" w:hAnsi="Book Antiqua"/>
          <w:vertAlign w:val="superscript"/>
        </w:rPr>
        <w:t>[</w:t>
      </w:r>
      <w:proofErr w:type="gramEnd"/>
      <w:r w:rsidR="004F2477" w:rsidRPr="00EC514F">
        <w:rPr>
          <w:rFonts w:ascii="Book Antiqua" w:hAnsi="Book Antiqua"/>
          <w:vertAlign w:val="superscript"/>
        </w:rPr>
        <w:t>35,38]</w:t>
      </w:r>
      <w:r w:rsidR="00881A88" w:rsidRPr="00EC514F">
        <w:rPr>
          <w:rFonts w:ascii="Book Antiqua" w:hAnsi="Book Antiqua"/>
        </w:rPr>
        <w:t>.</w:t>
      </w:r>
      <w:r w:rsidR="0082201D" w:rsidRPr="00EC514F">
        <w:rPr>
          <w:rFonts w:ascii="Book Antiqua" w:hAnsi="Book Antiqua"/>
        </w:rPr>
        <w:t xml:space="preserve"> </w:t>
      </w:r>
      <w:r w:rsidR="00115AC9" w:rsidRPr="00EC514F">
        <w:rPr>
          <w:rFonts w:ascii="Book Antiqua" w:hAnsi="Book Antiqua"/>
        </w:rPr>
        <w:t xml:space="preserve">Overall, the </w:t>
      </w:r>
      <w:r w:rsidR="00A377E3" w:rsidRPr="00EC514F">
        <w:rPr>
          <w:rFonts w:ascii="Book Antiqua" w:hAnsi="Book Antiqua"/>
        </w:rPr>
        <w:t>benefits of hormone therapy are</w:t>
      </w:r>
      <w:r w:rsidR="00115AC9" w:rsidRPr="00EC514F">
        <w:rPr>
          <w:rFonts w:ascii="Book Antiqua" w:hAnsi="Book Antiqua"/>
        </w:rPr>
        <w:t xml:space="preserve"> </w:t>
      </w:r>
      <w:r w:rsidR="00A63099" w:rsidRPr="00EC514F">
        <w:rPr>
          <w:rFonts w:ascii="Book Antiqua" w:hAnsi="Book Antiqua"/>
        </w:rPr>
        <w:t>theorized</w:t>
      </w:r>
      <w:r w:rsidR="00115AC9" w:rsidRPr="00EC514F">
        <w:rPr>
          <w:rFonts w:ascii="Book Antiqua" w:hAnsi="Book Antiqua"/>
        </w:rPr>
        <w:t xml:space="preserve"> to be </w:t>
      </w:r>
      <w:r w:rsidR="00A63099" w:rsidRPr="00EC514F">
        <w:rPr>
          <w:rFonts w:ascii="Book Antiqua" w:hAnsi="Book Antiqua"/>
        </w:rPr>
        <w:t>caused by improve</w:t>
      </w:r>
      <w:r w:rsidR="00A377E3" w:rsidRPr="00EC514F">
        <w:rPr>
          <w:rFonts w:ascii="Book Antiqua" w:hAnsi="Book Antiqua"/>
        </w:rPr>
        <w:t>d</w:t>
      </w:r>
      <w:r w:rsidR="00A63099" w:rsidRPr="00EC514F">
        <w:rPr>
          <w:rFonts w:ascii="Book Antiqua" w:hAnsi="Book Antiqua"/>
        </w:rPr>
        <w:t xml:space="preserve"> vascular endothelium</w:t>
      </w:r>
      <w:r w:rsidR="00A377E3" w:rsidRPr="00EC514F">
        <w:rPr>
          <w:rFonts w:ascii="Book Antiqua" w:hAnsi="Book Antiqua"/>
        </w:rPr>
        <w:t xml:space="preserve"> integrity</w:t>
      </w:r>
      <w:r w:rsidR="00A63099" w:rsidRPr="00EC514F">
        <w:rPr>
          <w:rFonts w:ascii="Book Antiqua" w:hAnsi="Book Antiqua"/>
        </w:rPr>
        <w:t xml:space="preserve"> and reduced bleeding </w:t>
      </w:r>
      <w:proofErr w:type="gramStart"/>
      <w:r w:rsidR="00A63099" w:rsidRPr="00EC514F">
        <w:rPr>
          <w:rFonts w:ascii="Book Antiqua" w:hAnsi="Book Antiqua"/>
        </w:rPr>
        <w:t>times</w:t>
      </w:r>
      <w:r w:rsidR="00010AD5" w:rsidRPr="00EC514F">
        <w:rPr>
          <w:rFonts w:ascii="Book Antiqua" w:hAnsi="Book Antiqua"/>
          <w:vertAlign w:val="superscript"/>
        </w:rPr>
        <w:t>[</w:t>
      </w:r>
      <w:proofErr w:type="gramEnd"/>
      <w:r w:rsidR="00010AD5" w:rsidRPr="00EC514F">
        <w:rPr>
          <w:rFonts w:ascii="Book Antiqua" w:hAnsi="Book Antiqua"/>
          <w:vertAlign w:val="superscript"/>
        </w:rPr>
        <w:t>5]</w:t>
      </w:r>
      <w:r w:rsidR="00DA3C5F" w:rsidRPr="00EC514F">
        <w:rPr>
          <w:rFonts w:ascii="Book Antiqua" w:hAnsi="Book Antiqua"/>
        </w:rPr>
        <w:t>.</w:t>
      </w:r>
      <w:r w:rsidR="00010AD5">
        <w:rPr>
          <w:rFonts w:ascii="Book Antiqua" w:hAnsi="Book Antiqua"/>
          <w:vertAlign w:val="superscript"/>
        </w:rPr>
        <w:t xml:space="preserve"> </w:t>
      </w:r>
      <w:r w:rsidR="009430DB" w:rsidRPr="00EC514F">
        <w:rPr>
          <w:rFonts w:ascii="Book Antiqua" w:hAnsi="Book Antiqua"/>
        </w:rPr>
        <w:t>Th</w:t>
      </w:r>
      <w:r w:rsidR="00FF642E" w:rsidRPr="00EC514F">
        <w:rPr>
          <w:rFonts w:ascii="Book Antiqua" w:hAnsi="Book Antiqua"/>
        </w:rPr>
        <w:t xml:space="preserve">e literature available for hormone therapy in LVAD patients is very sparse. Furthermore, the concerns for thromboembolism with estrogen-based therapies </w:t>
      </w:r>
      <w:r w:rsidR="00A377E3" w:rsidRPr="00EC514F">
        <w:rPr>
          <w:rFonts w:ascii="Book Antiqua" w:hAnsi="Book Antiqua"/>
        </w:rPr>
        <w:t xml:space="preserve">will </w:t>
      </w:r>
      <w:r w:rsidR="00FF642E" w:rsidRPr="00EC514F">
        <w:rPr>
          <w:rFonts w:ascii="Book Antiqua" w:hAnsi="Book Antiqua"/>
        </w:rPr>
        <w:t>li</w:t>
      </w:r>
      <w:r w:rsidR="00A377E3" w:rsidRPr="00EC514F">
        <w:rPr>
          <w:rFonts w:ascii="Book Antiqua" w:hAnsi="Book Antiqua"/>
        </w:rPr>
        <w:t>kely give pause to many practition</w:t>
      </w:r>
      <w:r w:rsidR="00FF642E" w:rsidRPr="00EC514F">
        <w:rPr>
          <w:rFonts w:ascii="Book Antiqua" w:hAnsi="Book Antiqua"/>
        </w:rPr>
        <w:t xml:space="preserve">ers </w:t>
      </w:r>
      <w:r w:rsidR="00A377E3" w:rsidRPr="00EC514F">
        <w:rPr>
          <w:rFonts w:ascii="Book Antiqua" w:hAnsi="Book Antiqua"/>
        </w:rPr>
        <w:t xml:space="preserve">in this already pro-thrombotic population </w:t>
      </w:r>
      <w:r w:rsidR="00FF642E" w:rsidRPr="00EC514F">
        <w:rPr>
          <w:rFonts w:ascii="Book Antiqua" w:hAnsi="Book Antiqua"/>
        </w:rPr>
        <w:t>without further large</w:t>
      </w:r>
      <w:r w:rsidR="00BC5682" w:rsidRPr="00EC514F">
        <w:rPr>
          <w:rFonts w:ascii="Book Antiqua" w:hAnsi="Book Antiqua"/>
        </w:rPr>
        <w:t>-</w:t>
      </w:r>
      <w:r w:rsidR="00FF642E" w:rsidRPr="00EC514F">
        <w:rPr>
          <w:rFonts w:ascii="Book Antiqua" w:hAnsi="Book Antiqua"/>
        </w:rPr>
        <w:t>scaled studies.</w:t>
      </w:r>
    </w:p>
    <w:p w14:paraId="3F067460" w14:textId="77777777" w:rsidR="00FE1417" w:rsidRDefault="00FE1417" w:rsidP="00FE1417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i/>
        </w:rPr>
      </w:pPr>
    </w:p>
    <w:p w14:paraId="2781EE1B" w14:textId="2120F57C" w:rsidR="00915EF8" w:rsidRPr="00FE1417" w:rsidRDefault="00DB74BE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FE1417">
        <w:rPr>
          <w:rFonts w:ascii="Book Antiqua" w:hAnsi="Book Antiqua"/>
          <w:b/>
        </w:rPr>
        <w:t>Doxycycline</w:t>
      </w:r>
      <w:r w:rsidR="00FE1417">
        <w:rPr>
          <w:rFonts w:ascii="Book Antiqua" w:hAnsi="Book Antiqua"/>
          <w:b/>
        </w:rPr>
        <w:t xml:space="preserve">: </w:t>
      </w:r>
      <w:r w:rsidRPr="00EC514F">
        <w:rPr>
          <w:rFonts w:ascii="Book Antiqua" w:hAnsi="Book Antiqua"/>
        </w:rPr>
        <w:t>Doxycycline is</w:t>
      </w:r>
      <w:r w:rsidR="000A0370" w:rsidRPr="00EC514F">
        <w:rPr>
          <w:rFonts w:ascii="Book Antiqua" w:hAnsi="Book Antiqua"/>
        </w:rPr>
        <w:t xml:space="preserve"> a relatively inexpensive medication that is</w:t>
      </w:r>
      <w:r w:rsidRPr="00EC514F">
        <w:rPr>
          <w:rFonts w:ascii="Book Antiqua" w:hAnsi="Book Antiqua"/>
        </w:rPr>
        <w:t xml:space="preserve"> widely used in both </w:t>
      </w:r>
      <w:r w:rsidR="0023124A" w:rsidRPr="00EC514F">
        <w:rPr>
          <w:rFonts w:ascii="Book Antiqua" w:hAnsi="Book Antiqua"/>
        </w:rPr>
        <w:t xml:space="preserve">the </w:t>
      </w:r>
      <w:r w:rsidR="00CA1D19" w:rsidRPr="00EC514F">
        <w:rPr>
          <w:rFonts w:ascii="Book Antiqua" w:hAnsi="Book Antiqua"/>
        </w:rPr>
        <w:t>short-</w:t>
      </w:r>
      <w:r w:rsidRPr="00EC514F">
        <w:rPr>
          <w:rFonts w:ascii="Book Antiqua" w:hAnsi="Book Antiqua"/>
        </w:rPr>
        <w:t xml:space="preserve">term setting to treat pneumonia to chronic management in inflammatory acne. Bartoli et al conducted an in vitro study looking at the </w:t>
      </w:r>
      <w:r w:rsidR="000A0370" w:rsidRPr="00EC514F">
        <w:rPr>
          <w:rFonts w:ascii="Book Antiqua" w:hAnsi="Book Antiqua"/>
        </w:rPr>
        <w:t>prospect of using doxycycline to reduce LVAD bleeds by stabilizing ADAMTS-13</w:t>
      </w:r>
      <w:r w:rsidR="00010AD5" w:rsidRPr="00EC514F">
        <w:rPr>
          <w:rFonts w:ascii="Book Antiqua" w:hAnsi="Book Antiqua"/>
          <w:vertAlign w:val="superscript"/>
        </w:rPr>
        <w:t>[11]</w:t>
      </w:r>
      <w:r w:rsidR="000A0370" w:rsidRPr="00EC514F">
        <w:rPr>
          <w:rFonts w:ascii="Book Antiqua" w:hAnsi="Book Antiqua"/>
        </w:rPr>
        <w:t xml:space="preserve">. </w:t>
      </w:r>
      <w:r w:rsidR="00FD24F0" w:rsidRPr="00EC514F">
        <w:rPr>
          <w:rFonts w:ascii="Book Antiqua" w:hAnsi="Book Antiqua"/>
        </w:rPr>
        <w:t>High shear stress w</w:t>
      </w:r>
      <w:r w:rsidR="006514CB" w:rsidRPr="00EC514F">
        <w:rPr>
          <w:rFonts w:ascii="Book Antiqua" w:hAnsi="Book Antiqua"/>
        </w:rPr>
        <w:t>as</w:t>
      </w:r>
      <w:r w:rsidR="00FD24F0" w:rsidRPr="00EC514F">
        <w:rPr>
          <w:rFonts w:ascii="Book Antiqua" w:hAnsi="Book Antiqua"/>
        </w:rPr>
        <w:t xml:space="preserve"> added to human plasma samples with high doses of</w:t>
      </w:r>
      <w:r w:rsidR="00CA1D19" w:rsidRPr="00EC514F">
        <w:rPr>
          <w:rFonts w:ascii="Book Antiqua" w:hAnsi="Book Antiqua"/>
        </w:rPr>
        <w:t xml:space="preserve"> </w:t>
      </w:r>
      <w:r w:rsidR="001E1BC0" w:rsidRPr="00EC514F">
        <w:rPr>
          <w:rFonts w:ascii="Book Antiqua" w:hAnsi="Book Antiqua"/>
        </w:rPr>
        <w:t>doxycycline</w:t>
      </w:r>
      <w:r w:rsidR="00FD24F0" w:rsidRPr="00EC514F">
        <w:rPr>
          <w:rFonts w:ascii="Book Antiqua" w:hAnsi="Book Antiqua"/>
        </w:rPr>
        <w:t xml:space="preserve"> (0.6 to </w:t>
      </w:r>
      <w:r w:rsidR="0023124A" w:rsidRPr="00EC514F">
        <w:rPr>
          <w:rFonts w:ascii="Book Antiqua" w:hAnsi="Book Antiqua"/>
        </w:rPr>
        <w:t>2</w:t>
      </w:r>
      <w:r w:rsidR="00FD24F0" w:rsidRPr="00EC514F">
        <w:rPr>
          <w:rFonts w:ascii="Book Antiqua" w:hAnsi="Book Antiqua"/>
        </w:rPr>
        <w:t>0 mg/d</w:t>
      </w:r>
      <w:r w:rsidR="00FD24F0" w:rsidRPr="00456439">
        <w:rPr>
          <w:rFonts w:ascii="Book Antiqua" w:hAnsi="Book Antiqua"/>
          <w:caps/>
        </w:rPr>
        <w:t>l</w:t>
      </w:r>
      <w:r w:rsidR="00FD24F0" w:rsidRPr="00EC514F">
        <w:rPr>
          <w:rFonts w:ascii="Book Antiqua" w:hAnsi="Book Antiqua"/>
        </w:rPr>
        <w:t xml:space="preserve">). </w:t>
      </w:r>
      <w:proofErr w:type="spellStart"/>
      <w:r w:rsidR="00FD24F0" w:rsidRPr="00EC514F">
        <w:rPr>
          <w:rFonts w:ascii="Book Antiqua" w:hAnsi="Book Antiqua"/>
        </w:rPr>
        <w:t>vWF</w:t>
      </w:r>
      <w:proofErr w:type="spellEnd"/>
      <w:r w:rsidR="00FD24F0" w:rsidRPr="00EC514F">
        <w:rPr>
          <w:rFonts w:ascii="Book Antiqua" w:hAnsi="Book Antiqua"/>
        </w:rPr>
        <w:t xml:space="preserve"> degradation was greatly diminished with 10 out </w:t>
      </w:r>
      <w:r w:rsidR="0023124A" w:rsidRPr="00EC514F">
        <w:rPr>
          <w:rFonts w:ascii="Book Antiqua" w:hAnsi="Book Antiqua"/>
        </w:rPr>
        <w:t xml:space="preserve">of </w:t>
      </w:r>
      <w:r w:rsidR="00FD24F0" w:rsidRPr="00EC514F">
        <w:rPr>
          <w:rFonts w:ascii="Book Antiqua" w:hAnsi="Book Antiqua"/>
        </w:rPr>
        <w:t>the 11 degradation fragments reduced from baseline</w:t>
      </w:r>
      <w:r w:rsidR="00AA1CB3" w:rsidRPr="00EC514F">
        <w:rPr>
          <w:rFonts w:ascii="Book Antiqua" w:hAnsi="Book Antiqua"/>
        </w:rPr>
        <w:t xml:space="preserve"> by 12</w:t>
      </w:r>
      <w:r w:rsidR="00456439" w:rsidRPr="00EC514F">
        <w:rPr>
          <w:rFonts w:ascii="Book Antiqua" w:hAnsi="Book Antiqua"/>
        </w:rPr>
        <w:t>%</w:t>
      </w:r>
      <w:r w:rsidR="00AA1CB3" w:rsidRPr="00EC514F">
        <w:rPr>
          <w:rFonts w:ascii="Book Antiqua" w:hAnsi="Book Antiqua"/>
        </w:rPr>
        <w:t xml:space="preserve"> </w:t>
      </w:r>
      <w:r w:rsidR="00456439">
        <w:rPr>
          <w:rFonts w:ascii="Book Antiqua" w:hAnsi="Book Antiqua"/>
        </w:rPr>
        <w:t xml:space="preserve">± </w:t>
      </w:r>
      <w:r w:rsidR="00AA1CB3" w:rsidRPr="00EC514F">
        <w:rPr>
          <w:rFonts w:ascii="Book Antiqua" w:hAnsi="Book Antiqua"/>
        </w:rPr>
        <w:t>2%</w:t>
      </w:r>
      <w:r w:rsidR="006514CB" w:rsidRPr="00EC514F">
        <w:rPr>
          <w:rFonts w:ascii="Book Antiqua" w:hAnsi="Book Antiqua"/>
        </w:rPr>
        <w:t xml:space="preserve"> when doxycycline was added</w:t>
      </w:r>
      <w:r w:rsidR="00FD24F0" w:rsidRPr="00EC514F">
        <w:rPr>
          <w:rFonts w:ascii="Book Antiqua" w:hAnsi="Book Antiqua"/>
        </w:rPr>
        <w:t>.</w:t>
      </w:r>
      <w:r w:rsidR="006514CB" w:rsidRPr="00EC514F">
        <w:rPr>
          <w:rFonts w:ascii="Book Antiqua" w:hAnsi="Book Antiqua"/>
        </w:rPr>
        <w:t xml:space="preserve"> It was found that doxycycline reduced the plasma and recombinant forms of ADAMTS-13 activity in these </w:t>
      </w:r>
      <w:proofErr w:type="spellStart"/>
      <w:r w:rsidR="006514CB" w:rsidRPr="00EC514F">
        <w:rPr>
          <w:rFonts w:ascii="Book Antiqua" w:hAnsi="Book Antiqua"/>
        </w:rPr>
        <w:t>suprashear</w:t>
      </w:r>
      <w:proofErr w:type="spellEnd"/>
      <w:r w:rsidR="006514CB" w:rsidRPr="00EC514F">
        <w:rPr>
          <w:rFonts w:ascii="Book Antiqua" w:hAnsi="Book Antiqua"/>
        </w:rPr>
        <w:t xml:space="preserve"> stress environments.</w:t>
      </w:r>
      <w:r w:rsidR="00FD24F0" w:rsidRPr="00EC514F">
        <w:rPr>
          <w:rFonts w:ascii="Book Antiqua" w:hAnsi="Book Antiqua"/>
        </w:rPr>
        <w:t xml:space="preserve"> </w:t>
      </w:r>
      <w:r w:rsidR="006514CB" w:rsidRPr="00EC514F">
        <w:rPr>
          <w:rFonts w:ascii="Book Antiqua" w:hAnsi="Book Antiqua"/>
        </w:rPr>
        <w:t xml:space="preserve">Additionally, </w:t>
      </w:r>
      <w:proofErr w:type="spellStart"/>
      <w:r w:rsidR="00795249" w:rsidRPr="00EC514F">
        <w:rPr>
          <w:rFonts w:ascii="Book Antiqua" w:hAnsi="Book Antiqua"/>
        </w:rPr>
        <w:t>v</w:t>
      </w:r>
      <w:r w:rsidR="00AA1CB3" w:rsidRPr="00EC514F">
        <w:rPr>
          <w:rFonts w:ascii="Book Antiqua" w:hAnsi="Book Antiqua"/>
        </w:rPr>
        <w:t>WF</w:t>
      </w:r>
      <w:proofErr w:type="spellEnd"/>
      <w:r w:rsidR="001E1BC0" w:rsidRPr="00EC514F">
        <w:rPr>
          <w:rFonts w:ascii="Book Antiqua" w:hAnsi="Book Antiqua"/>
        </w:rPr>
        <w:t>: collagen</w:t>
      </w:r>
      <w:r w:rsidR="00AA1CB3" w:rsidRPr="00EC514F">
        <w:rPr>
          <w:rFonts w:ascii="Book Antiqua" w:hAnsi="Book Antiqua"/>
        </w:rPr>
        <w:t xml:space="preserve"> binding</w:t>
      </w:r>
      <w:r w:rsidR="006514CB" w:rsidRPr="00EC514F">
        <w:rPr>
          <w:rFonts w:ascii="Book Antiqua" w:hAnsi="Book Antiqua"/>
        </w:rPr>
        <w:t xml:space="preserve"> was increased with doxycycline</w:t>
      </w:r>
      <w:r w:rsidR="00AA1CB3" w:rsidRPr="00EC514F">
        <w:rPr>
          <w:rFonts w:ascii="Book Antiqua" w:hAnsi="Book Antiqua"/>
        </w:rPr>
        <w:t xml:space="preserve"> </w:t>
      </w:r>
      <w:r w:rsidR="006514CB" w:rsidRPr="00EC514F">
        <w:rPr>
          <w:rFonts w:ascii="Book Antiqua" w:hAnsi="Book Antiqua"/>
        </w:rPr>
        <w:t>and resulted in</w:t>
      </w:r>
      <w:r w:rsidR="00AA1CB3" w:rsidRPr="00EC514F">
        <w:rPr>
          <w:rFonts w:ascii="Book Antiqua" w:hAnsi="Book Antiqua"/>
        </w:rPr>
        <w:t xml:space="preserve"> overall </w:t>
      </w:r>
      <w:r w:rsidR="006514CB" w:rsidRPr="00EC514F">
        <w:rPr>
          <w:rFonts w:ascii="Book Antiqua" w:hAnsi="Book Antiqua"/>
        </w:rPr>
        <w:t xml:space="preserve">improved </w:t>
      </w:r>
      <w:r w:rsidR="00AA1CB3" w:rsidRPr="00EC514F">
        <w:rPr>
          <w:rFonts w:ascii="Book Antiqua" w:hAnsi="Book Antiqua"/>
        </w:rPr>
        <w:t>platelet aggregation without hyperactivating platelets to increase thrombosis formation. This showed promising in vitro results, but dosages of doxycycline that were ef</w:t>
      </w:r>
      <w:r w:rsidR="00CA1D19" w:rsidRPr="00EC514F">
        <w:rPr>
          <w:rFonts w:ascii="Book Antiqua" w:hAnsi="Book Antiqua"/>
        </w:rPr>
        <w:t>fective</w:t>
      </w:r>
      <w:r w:rsidR="006514CB" w:rsidRPr="00EC514F">
        <w:rPr>
          <w:rFonts w:ascii="Book Antiqua" w:hAnsi="Book Antiqua"/>
        </w:rPr>
        <w:t xml:space="preserve"> </w:t>
      </w:r>
      <w:r w:rsidR="0023124A" w:rsidRPr="00EC514F">
        <w:rPr>
          <w:rFonts w:ascii="Book Antiqua" w:hAnsi="Book Antiqua"/>
        </w:rPr>
        <w:t xml:space="preserve">ranged from </w:t>
      </w:r>
      <w:r w:rsidR="006514CB" w:rsidRPr="00EC514F">
        <w:rPr>
          <w:rFonts w:ascii="Book Antiqua" w:hAnsi="Book Antiqua"/>
        </w:rPr>
        <w:t>5-20 mg/d</w:t>
      </w:r>
      <w:r w:rsidR="006514CB" w:rsidRPr="007D344C">
        <w:rPr>
          <w:rFonts w:ascii="Book Antiqua" w:hAnsi="Book Antiqua"/>
          <w:caps/>
        </w:rPr>
        <w:t>l</w:t>
      </w:r>
      <w:r w:rsidR="006514CB" w:rsidRPr="00EC514F">
        <w:rPr>
          <w:rFonts w:ascii="Book Antiqua" w:hAnsi="Book Antiqua"/>
        </w:rPr>
        <w:t xml:space="preserve">, </w:t>
      </w:r>
      <w:r w:rsidR="00CA1D19" w:rsidRPr="00EC514F">
        <w:rPr>
          <w:rFonts w:ascii="Book Antiqua" w:hAnsi="Book Antiqua"/>
        </w:rPr>
        <w:t xml:space="preserve">which </w:t>
      </w:r>
      <w:r w:rsidR="006514CB" w:rsidRPr="00EC514F">
        <w:rPr>
          <w:rFonts w:ascii="Book Antiqua" w:hAnsi="Book Antiqua"/>
        </w:rPr>
        <w:t>far exceeds</w:t>
      </w:r>
      <w:r w:rsidR="00AA1CB3" w:rsidRPr="00EC514F">
        <w:rPr>
          <w:rFonts w:ascii="Book Antiqua" w:hAnsi="Book Antiqua"/>
        </w:rPr>
        <w:t xml:space="preserve"> the 0.3 to 0.5 mg/d</w:t>
      </w:r>
      <w:r w:rsidR="00AA1CB3" w:rsidRPr="007D344C">
        <w:rPr>
          <w:rFonts w:ascii="Book Antiqua" w:hAnsi="Book Antiqua"/>
          <w:caps/>
        </w:rPr>
        <w:t>l</w:t>
      </w:r>
      <w:r w:rsidR="00AA1CB3" w:rsidRPr="00EC514F">
        <w:rPr>
          <w:rFonts w:ascii="Book Antiqua" w:hAnsi="Book Antiqua"/>
        </w:rPr>
        <w:t xml:space="preserve"> most patients receive today. While this is below toxic limits of 2000 mg/kg in rat models, further testing will surely need to occur before t</w:t>
      </w:r>
      <w:r w:rsidR="00356562" w:rsidRPr="00EC514F">
        <w:rPr>
          <w:rFonts w:ascii="Book Antiqua" w:hAnsi="Book Antiqua"/>
        </w:rPr>
        <w:t>his therapy becomes mainstream</w:t>
      </w:r>
      <w:r w:rsidR="00AA1CB3" w:rsidRPr="00EC514F">
        <w:rPr>
          <w:rFonts w:ascii="Book Antiqua" w:hAnsi="Book Antiqua"/>
        </w:rPr>
        <w:t>.</w:t>
      </w:r>
      <w:r w:rsidR="006514CB" w:rsidRPr="00EC514F">
        <w:rPr>
          <w:rFonts w:ascii="Book Antiqua" w:hAnsi="Book Antiqua"/>
        </w:rPr>
        <w:t xml:space="preserve"> To date, there is sparse other data on doxycycline </w:t>
      </w:r>
      <w:r w:rsidR="004B4E14" w:rsidRPr="00EC514F">
        <w:rPr>
          <w:rFonts w:ascii="Book Antiqua" w:hAnsi="Book Antiqua"/>
        </w:rPr>
        <w:t xml:space="preserve">use </w:t>
      </w:r>
      <w:r w:rsidR="006514CB" w:rsidRPr="00EC514F">
        <w:rPr>
          <w:rFonts w:ascii="Book Antiqua" w:hAnsi="Book Antiqua"/>
        </w:rPr>
        <w:t>in LVAD patients.</w:t>
      </w:r>
    </w:p>
    <w:p w14:paraId="48558A9C" w14:textId="77777777" w:rsidR="007D344C" w:rsidRPr="007D344C" w:rsidRDefault="007D344C" w:rsidP="007D344C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74153717" w14:textId="32ECEFB1" w:rsidR="006F48BA" w:rsidRPr="007D344C" w:rsidRDefault="006514CB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7D344C">
        <w:rPr>
          <w:rFonts w:ascii="Book Antiqua" w:hAnsi="Book Antiqua"/>
          <w:b/>
        </w:rPr>
        <w:t>Desmopressin</w:t>
      </w:r>
      <w:r w:rsidR="007D344C">
        <w:rPr>
          <w:rFonts w:ascii="Book Antiqua" w:hAnsi="Book Antiqua"/>
          <w:b/>
        </w:rPr>
        <w:t xml:space="preserve">: </w:t>
      </w:r>
      <w:r w:rsidR="00B24328" w:rsidRPr="00EC514F">
        <w:rPr>
          <w:rFonts w:ascii="Book Antiqua" w:hAnsi="Book Antiqua"/>
        </w:rPr>
        <w:t>Desmopressin is</w:t>
      </w:r>
      <w:r w:rsidR="00951057" w:rsidRPr="00EC514F">
        <w:rPr>
          <w:rFonts w:ascii="Book Antiqua" w:hAnsi="Book Antiqua"/>
        </w:rPr>
        <w:t xml:space="preserve"> a</w:t>
      </w:r>
      <w:r w:rsidR="00B24328" w:rsidRPr="00EC514F">
        <w:rPr>
          <w:rFonts w:ascii="Book Antiqua" w:hAnsi="Book Antiqua"/>
        </w:rPr>
        <w:t xml:space="preserve"> vasopressin analog that</w:t>
      </w:r>
      <w:r w:rsidR="00E66536" w:rsidRPr="00EC514F">
        <w:rPr>
          <w:rFonts w:ascii="Book Antiqua" w:hAnsi="Book Antiqua"/>
        </w:rPr>
        <w:t xml:space="preserve"> is currently approved for use </w:t>
      </w:r>
      <w:r w:rsidR="00B24328" w:rsidRPr="00EC514F">
        <w:rPr>
          <w:rFonts w:ascii="Book Antiqua" w:hAnsi="Book Antiqua"/>
          <w:color w:val="000000"/>
        </w:rPr>
        <w:t xml:space="preserve">in patients with either hemophilia A or mild-to-moderate </w:t>
      </w:r>
      <w:r w:rsidR="00E66536" w:rsidRPr="00EC514F">
        <w:rPr>
          <w:rFonts w:ascii="Book Antiqua" w:hAnsi="Book Antiqua"/>
          <w:color w:val="000000"/>
        </w:rPr>
        <w:t>von Willebrand disease (type I)</w:t>
      </w:r>
      <w:r w:rsidR="000E69A9" w:rsidRPr="00EC514F">
        <w:rPr>
          <w:rFonts w:ascii="Book Antiqua" w:hAnsi="Book Antiqua"/>
          <w:color w:val="000000"/>
        </w:rPr>
        <w:t>,</w:t>
      </w:r>
      <w:r w:rsidR="00B24328" w:rsidRPr="00EC514F">
        <w:rPr>
          <w:rFonts w:ascii="Book Antiqua" w:hAnsi="Book Antiqua"/>
          <w:color w:val="000000"/>
        </w:rPr>
        <w:t xml:space="preserve"> </w:t>
      </w:r>
      <w:r w:rsidR="00E66536" w:rsidRPr="00EC514F">
        <w:rPr>
          <w:rFonts w:ascii="Book Antiqua" w:hAnsi="Book Antiqua"/>
          <w:color w:val="000000"/>
        </w:rPr>
        <w:t>and may</w:t>
      </w:r>
      <w:r w:rsidR="00843562" w:rsidRPr="00EC514F">
        <w:rPr>
          <w:rFonts w:ascii="Book Antiqua" w:hAnsi="Book Antiqua"/>
          <w:color w:val="000000"/>
        </w:rPr>
        <w:t xml:space="preserve"> also</w:t>
      </w:r>
      <w:r w:rsidR="00E66536" w:rsidRPr="00EC514F">
        <w:rPr>
          <w:rFonts w:ascii="Book Antiqua" w:hAnsi="Book Antiqua"/>
          <w:color w:val="000000"/>
        </w:rPr>
        <w:t xml:space="preserve"> have its use in LVAD patient</w:t>
      </w:r>
      <w:r w:rsidR="00356562" w:rsidRPr="00EC514F">
        <w:rPr>
          <w:rFonts w:ascii="Book Antiqua" w:hAnsi="Book Antiqua"/>
          <w:color w:val="000000"/>
        </w:rPr>
        <w:t xml:space="preserve">s to reduce GI </w:t>
      </w:r>
      <w:proofErr w:type="gramStart"/>
      <w:r w:rsidR="00356562" w:rsidRPr="00EC514F">
        <w:rPr>
          <w:rFonts w:ascii="Book Antiqua" w:hAnsi="Book Antiqua"/>
          <w:color w:val="000000"/>
        </w:rPr>
        <w:t>bleed</w:t>
      </w:r>
      <w:r w:rsidR="00951057" w:rsidRPr="00EC514F">
        <w:rPr>
          <w:rFonts w:ascii="Book Antiqua" w:hAnsi="Book Antiqua"/>
          <w:color w:val="000000"/>
        </w:rPr>
        <w:t>ing</w:t>
      </w:r>
      <w:r w:rsidR="00312B2E" w:rsidRPr="00EC514F">
        <w:rPr>
          <w:rFonts w:ascii="Book Antiqua" w:hAnsi="Book Antiqua"/>
          <w:color w:val="000000"/>
          <w:vertAlign w:val="superscript"/>
        </w:rPr>
        <w:t>[</w:t>
      </w:r>
      <w:proofErr w:type="gramEnd"/>
      <w:r w:rsidR="00312B2E" w:rsidRPr="00EC514F">
        <w:rPr>
          <w:rFonts w:ascii="Book Antiqua" w:hAnsi="Book Antiqua"/>
          <w:color w:val="000000"/>
          <w:vertAlign w:val="superscript"/>
        </w:rPr>
        <w:t>39]</w:t>
      </w:r>
      <w:r w:rsidR="00B24328" w:rsidRPr="00EC514F">
        <w:rPr>
          <w:rFonts w:ascii="Book Antiqua" w:hAnsi="Book Antiqua"/>
          <w:color w:val="000000"/>
        </w:rPr>
        <w:t>.</w:t>
      </w:r>
      <w:r w:rsidR="006F3A56" w:rsidRPr="00EC514F">
        <w:rPr>
          <w:rFonts w:ascii="Book Antiqua" w:hAnsi="Book Antiqua"/>
          <w:color w:val="000000"/>
        </w:rPr>
        <w:t xml:space="preserve"> </w:t>
      </w:r>
      <w:r w:rsidR="009430DB" w:rsidRPr="00EC514F">
        <w:rPr>
          <w:rFonts w:ascii="Book Antiqua" w:hAnsi="Book Antiqua"/>
          <w:color w:val="000000"/>
        </w:rPr>
        <w:t>There are isolated case reports of achieving control of GI bleed</w:t>
      </w:r>
      <w:r w:rsidR="009C6990" w:rsidRPr="00EC514F">
        <w:rPr>
          <w:rFonts w:ascii="Book Antiqua" w:hAnsi="Book Antiqua"/>
          <w:color w:val="000000"/>
        </w:rPr>
        <w:t>ing</w:t>
      </w:r>
      <w:r w:rsidR="009430DB" w:rsidRPr="00EC514F">
        <w:rPr>
          <w:rFonts w:ascii="Book Antiqua" w:hAnsi="Book Antiqua"/>
          <w:color w:val="000000"/>
        </w:rPr>
        <w:t xml:space="preserve"> </w:t>
      </w:r>
      <w:r w:rsidR="009430DB" w:rsidRPr="00EC514F">
        <w:rPr>
          <w:rFonts w:ascii="Book Antiqua" w:hAnsi="Book Antiqua"/>
          <w:color w:val="000000"/>
        </w:rPr>
        <w:lastRenderedPageBreak/>
        <w:t>secondary to LVAD</w:t>
      </w:r>
      <w:r w:rsidR="00D61A6A" w:rsidRPr="00D61A6A">
        <w:rPr>
          <w:rFonts w:ascii="Book Antiqua" w:hAnsi="Book Antiqua"/>
          <w:color w:val="000000"/>
          <w:vertAlign w:val="superscript"/>
        </w:rPr>
        <w:t>[2]</w:t>
      </w:r>
      <w:r w:rsidR="000E69A9" w:rsidRPr="00EC514F">
        <w:rPr>
          <w:rFonts w:ascii="Book Antiqua" w:hAnsi="Book Antiqua"/>
          <w:color w:val="000000"/>
        </w:rPr>
        <w:t xml:space="preserve">. </w:t>
      </w:r>
      <w:proofErr w:type="spellStart"/>
      <w:r w:rsidR="00182E49" w:rsidRPr="00EC514F">
        <w:rPr>
          <w:rFonts w:ascii="Book Antiqua" w:hAnsi="Book Antiqua"/>
          <w:color w:val="000000"/>
        </w:rPr>
        <w:t>vW</w:t>
      </w:r>
      <w:r w:rsidR="00B14312" w:rsidRPr="00EC514F">
        <w:rPr>
          <w:rFonts w:ascii="Book Antiqua" w:hAnsi="Book Antiqua"/>
          <w:color w:val="000000"/>
        </w:rPr>
        <w:t>F</w:t>
      </w:r>
      <w:proofErr w:type="spellEnd"/>
      <w:r w:rsidR="00B14312" w:rsidRPr="00EC514F">
        <w:rPr>
          <w:rFonts w:ascii="Book Antiqua" w:hAnsi="Book Antiqua"/>
          <w:color w:val="000000"/>
        </w:rPr>
        <w:t xml:space="preserve"> multimers are in gross deficit</w:t>
      </w:r>
      <w:r w:rsidR="001E68B8" w:rsidRPr="00EC514F">
        <w:rPr>
          <w:rFonts w:ascii="Book Antiqua" w:hAnsi="Book Antiqua"/>
          <w:color w:val="000000"/>
        </w:rPr>
        <w:t xml:space="preserve"> in LVAD patients</w:t>
      </w:r>
      <w:r w:rsidR="00B14312" w:rsidRPr="00EC514F">
        <w:rPr>
          <w:rFonts w:ascii="Book Antiqua" w:hAnsi="Book Antiqua"/>
          <w:color w:val="000000"/>
        </w:rPr>
        <w:t xml:space="preserve">, as noted </w:t>
      </w:r>
      <w:r w:rsidR="00E66536" w:rsidRPr="00EC514F">
        <w:rPr>
          <w:rFonts w:ascii="Book Antiqua" w:hAnsi="Book Antiqua"/>
          <w:color w:val="000000"/>
        </w:rPr>
        <w:t xml:space="preserve">in </w:t>
      </w:r>
      <w:r w:rsidR="009430DB" w:rsidRPr="00EC514F">
        <w:rPr>
          <w:rFonts w:ascii="Book Antiqua" w:hAnsi="Book Antiqua"/>
          <w:color w:val="000000"/>
        </w:rPr>
        <w:t>this review</w:t>
      </w:r>
      <w:r w:rsidR="00B14312" w:rsidRPr="00EC514F">
        <w:rPr>
          <w:rFonts w:ascii="Book Antiqua" w:hAnsi="Book Antiqua"/>
          <w:color w:val="000000"/>
        </w:rPr>
        <w:t xml:space="preserve">. Desmopressin has the ability to increase the amount of </w:t>
      </w:r>
      <w:proofErr w:type="spellStart"/>
      <w:r w:rsidR="00B14312" w:rsidRPr="00EC514F">
        <w:rPr>
          <w:rFonts w:ascii="Book Antiqua" w:hAnsi="Book Antiqua"/>
          <w:color w:val="000000"/>
        </w:rPr>
        <w:t>vWF</w:t>
      </w:r>
      <w:proofErr w:type="spellEnd"/>
      <w:r w:rsidR="00B14312" w:rsidRPr="00EC514F">
        <w:rPr>
          <w:rFonts w:ascii="Book Antiqua" w:hAnsi="Book Antiqua"/>
          <w:color w:val="000000"/>
        </w:rPr>
        <w:t xml:space="preserve"> by 150</w:t>
      </w:r>
      <w:r w:rsidR="00D61A6A" w:rsidRPr="00EC514F">
        <w:rPr>
          <w:rFonts w:ascii="Book Antiqua" w:hAnsi="Book Antiqua"/>
          <w:color w:val="000000"/>
        </w:rPr>
        <w:t>%</w:t>
      </w:r>
      <w:r w:rsidR="00B14312" w:rsidRPr="00EC514F">
        <w:rPr>
          <w:rFonts w:ascii="Book Antiqua" w:hAnsi="Book Antiqua"/>
          <w:color w:val="000000"/>
        </w:rPr>
        <w:t xml:space="preserve">-200% at the 150 mcg </w:t>
      </w:r>
      <w:proofErr w:type="gramStart"/>
      <w:r w:rsidR="00B14312" w:rsidRPr="00EC514F">
        <w:rPr>
          <w:rFonts w:ascii="Book Antiqua" w:hAnsi="Book Antiqua"/>
          <w:color w:val="000000"/>
        </w:rPr>
        <w:t>dose</w:t>
      </w:r>
      <w:r w:rsidR="00FC270D" w:rsidRPr="00EC514F">
        <w:rPr>
          <w:rFonts w:ascii="Book Antiqua" w:hAnsi="Book Antiqua"/>
          <w:color w:val="000000"/>
          <w:vertAlign w:val="superscript"/>
        </w:rPr>
        <w:t>[</w:t>
      </w:r>
      <w:proofErr w:type="gramEnd"/>
      <w:r w:rsidR="00FC270D" w:rsidRPr="00EC514F">
        <w:rPr>
          <w:rFonts w:ascii="Book Antiqua" w:hAnsi="Book Antiqua"/>
          <w:color w:val="000000"/>
          <w:vertAlign w:val="superscript"/>
        </w:rPr>
        <w:t>2]</w:t>
      </w:r>
      <w:r w:rsidR="00E06A50" w:rsidRPr="00EC514F">
        <w:rPr>
          <w:rFonts w:ascii="Book Antiqua" w:hAnsi="Book Antiqua"/>
          <w:color w:val="000000"/>
        </w:rPr>
        <w:t>. A</w:t>
      </w:r>
      <w:r w:rsidR="00132FC4" w:rsidRPr="00EC514F">
        <w:rPr>
          <w:rFonts w:ascii="Book Antiqua" w:hAnsi="Book Antiqua"/>
          <w:color w:val="000000"/>
        </w:rPr>
        <w:t>lthough</w:t>
      </w:r>
      <w:r w:rsidR="00E06A50" w:rsidRPr="00EC514F">
        <w:rPr>
          <w:rFonts w:ascii="Book Antiqua" w:hAnsi="Book Antiqua"/>
          <w:color w:val="000000"/>
        </w:rPr>
        <w:t xml:space="preserve"> </w:t>
      </w:r>
      <w:r w:rsidR="00C153F9" w:rsidRPr="00EC514F">
        <w:rPr>
          <w:rFonts w:ascii="Book Antiqua" w:hAnsi="Book Antiqua"/>
          <w:color w:val="000000"/>
        </w:rPr>
        <w:t xml:space="preserve">there are potential </w:t>
      </w:r>
      <w:r w:rsidR="001E68B8" w:rsidRPr="00EC514F">
        <w:rPr>
          <w:rFonts w:ascii="Book Antiqua" w:hAnsi="Book Antiqua"/>
          <w:color w:val="000000"/>
        </w:rPr>
        <w:t>adverse e</w:t>
      </w:r>
      <w:r w:rsidR="007438F0" w:rsidRPr="00EC514F">
        <w:rPr>
          <w:rFonts w:ascii="Book Antiqua" w:hAnsi="Book Antiqua"/>
          <w:color w:val="000000"/>
        </w:rPr>
        <w:t>ffects</w:t>
      </w:r>
      <w:r w:rsidR="001E68B8" w:rsidRPr="00EC514F">
        <w:rPr>
          <w:rFonts w:ascii="Book Antiqua" w:hAnsi="Book Antiqua"/>
          <w:color w:val="000000"/>
        </w:rPr>
        <w:t xml:space="preserve"> of hyponatremia and fluid retention with </w:t>
      </w:r>
      <w:r w:rsidR="00C153F9" w:rsidRPr="00EC514F">
        <w:rPr>
          <w:rFonts w:ascii="Book Antiqua" w:hAnsi="Book Antiqua"/>
          <w:color w:val="000000"/>
        </w:rPr>
        <w:t>desmopressin</w:t>
      </w:r>
      <w:r w:rsidR="00FC46C1" w:rsidRPr="00EC514F">
        <w:rPr>
          <w:rFonts w:ascii="Book Antiqua" w:hAnsi="Book Antiqua"/>
          <w:color w:val="000000"/>
        </w:rPr>
        <w:t>,</w:t>
      </w:r>
      <w:r w:rsidR="00AC1E8F" w:rsidRPr="00EC514F">
        <w:rPr>
          <w:rFonts w:ascii="Book Antiqua" w:hAnsi="Book Antiqua"/>
          <w:color w:val="000000"/>
        </w:rPr>
        <w:t xml:space="preserve"> which</w:t>
      </w:r>
      <w:r w:rsidR="001E68B8" w:rsidRPr="00EC514F">
        <w:rPr>
          <w:rFonts w:ascii="Book Antiqua" w:hAnsi="Book Antiqua"/>
          <w:color w:val="000000"/>
        </w:rPr>
        <w:t xml:space="preserve"> can be </w:t>
      </w:r>
      <w:r w:rsidR="005F55FB" w:rsidRPr="00EC514F">
        <w:rPr>
          <w:rFonts w:ascii="Book Antiqua" w:hAnsi="Book Antiqua"/>
          <w:color w:val="000000"/>
        </w:rPr>
        <w:t>detrimental</w:t>
      </w:r>
      <w:r w:rsidR="001E68B8" w:rsidRPr="00EC514F">
        <w:rPr>
          <w:rFonts w:ascii="Book Antiqua" w:hAnsi="Book Antiqua"/>
          <w:color w:val="000000"/>
        </w:rPr>
        <w:t xml:space="preserve"> to patients with poor right-sided cardiac function and may requir</w:t>
      </w:r>
      <w:r w:rsidR="009430DB" w:rsidRPr="00EC514F">
        <w:rPr>
          <w:rFonts w:ascii="Book Antiqua" w:hAnsi="Book Antiqua"/>
          <w:color w:val="000000"/>
        </w:rPr>
        <w:t>e</w:t>
      </w:r>
      <w:r w:rsidR="001E68B8" w:rsidRPr="00EC514F">
        <w:rPr>
          <w:rFonts w:ascii="Book Antiqua" w:hAnsi="Book Antiqua"/>
          <w:color w:val="000000"/>
        </w:rPr>
        <w:t xml:space="preserve"> intensi</w:t>
      </w:r>
      <w:r w:rsidR="005F55FB" w:rsidRPr="00EC514F">
        <w:rPr>
          <w:rFonts w:ascii="Book Antiqua" w:hAnsi="Book Antiqua"/>
          <w:color w:val="000000"/>
        </w:rPr>
        <w:t xml:space="preserve">fied oral diuretic </w:t>
      </w:r>
      <w:proofErr w:type="gramStart"/>
      <w:r w:rsidR="005F55FB" w:rsidRPr="00EC514F">
        <w:rPr>
          <w:rFonts w:ascii="Book Antiqua" w:hAnsi="Book Antiqua"/>
          <w:color w:val="000000"/>
        </w:rPr>
        <w:t>regimens</w:t>
      </w:r>
      <w:r w:rsidR="00300FDC" w:rsidRPr="00EC514F">
        <w:rPr>
          <w:rFonts w:ascii="Book Antiqua" w:hAnsi="Book Antiqua"/>
          <w:color w:val="000000"/>
          <w:vertAlign w:val="superscript"/>
        </w:rPr>
        <w:t>[</w:t>
      </w:r>
      <w:proofErr w:type="gramEnd"/>
      <w:r w:rsidR="00300FDC" w:rsidRPr="00EC514F">
        <w:rPr>
          <w:rFonts w:ascii="Book Antiqua" w:hAnsi="Book Antiqua"/>
          <w:color w:val="000000"/>
          <w:vertAlign w:val="superscript"/>
        </w:rPr>
        <w:t>2]</w:t>
      </w:r>
      <w:r w:rsidR="005F55FB" w:rsidRPr="00EC514F">
        <w:rPr>
          <w:rFonts w:ascii="Book Antiqua" w:hAnsi="Book Antiqua"/>
          <w:color w:val="000000"/>
        </w:rPr>
        <w:t>.</w:t>
      </w:r>
      <w:r w:rsidR="00AC1E8F" w:rsidRPr="00EC514F">
        <w:rPr>
          <w:rFonts w:ascii="Book Antiqua" w:hAnsi="Book Antiqua"/>
          <w:color w:val="000000"/>
        </w:rPr>
        <w:t xml:space="preserve"> Overall, t</w:t>
      </w:r>
      <w:r w:rsidR="00676357" w:rsidRPr="00EC514F">
        <w:rPr>
          <w:rFonts w:ascii="Book Antiqua" w:hAnsi="Book Antiqua"/>
          <w:color w:val="000000"/>
        </w:rPr>
        <w:t>his medication</w:t>
      </w:r>
      <w:r w:rsidR="00C153F9" w:rsidRPr="00EC514F">
        <w:rPr>
          <w:rFonts w:ascii="Book Antiqua" w:hAnsi="Book Antiqua"/>
          <w:color w:val="000000"/>
        </w:rPr>
        <w:t xml:space="preserve"> </w:t>
      </w:r>
      <w:r w:rsidR="00AC1E8F" w:rsidRPr="00EC514F">
        <w:rPr>
          <w:rFonts w:ascii="Book Antiqua" w:hAnsi="Book Antiqua"/>
          <w:color w:val="000000"/>
        </w:rPr>
        <w:t xml:space="preserve">still </w:t>
      </w:r>
      <w:r w:rsidR="00C153F9" w:rsidRPr="00EC514F">
        <w:rPr>
          <w:rFonts w:ascii="Book Antiqua" w:hAnsi="Book Antiqua"/>
          <w:color w:val="000000"/>
        </w:rPr>
        <w:t xml:space="preserve">shows promise. </w:t>
      </w:r>
      <w:proofErr w:type="gramStart"/>
      <w:r w:rsidR="009430DB" w:rsidRPr="00EC514F">
        <w:rPr>
          <w:rFonts w:ascii="Book Antiqua" w:hAnsi="Book Antiqua"/>
          <w:color w:val="000000"/>
        </w:rPr>
        <w:t>Again</w:t>
      </w:r>
      <w:proofErr w:type="gramEnd"/>
      <w:r w:rsidR="009430DB" w:rsidRPr="00EC514F">
        <w:rPr>
          <w:rFonts w:ascii="Book Antiqua" w:hAnsi="Book Antiqua"/>
          <w:color w:val="000000"/>
        </w:rPr>
        <w:t xml:space="preserve"> the literature is sparse and larger studies are needed. </w:t>
      </w:r>
    </w:p>
    <w:p w14:paraId="59FD8E0A" w14:textId="77777777" w:rsidR="00FC270D" w:rsidRDefault="00FC270D" w:rsidP="00FC270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/>
        </w:rPr>
      </w:pPr>
    </w:p>
    <w:p w14:paraId="34992352" w14:textId="7AF82334" w:rsidR="00E17876" w:rsidRPr="00FC270D" w:rsidRDefault="00E17876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  <w:r w:rsidRPr="00FC270D">
        <w:rPr>
          <w:rFonts w:ascii="Book Antiqua" w:hAnsi="Book Antiqua"/>
          <w:b/>
          <w:bCs/>
          <w:color w:val="000000"/>
        </w:rPr>
        <w:t>Bevacizumab</w:t>
      </w:r>
      <w:r w:rsidR="00FC270D">
        <w:rPr>
          <w:rFonts w:ascii="Book Antiqua" w:hAnsi="Book Antiqua"/>
          <w:b/>
          <w:bCs/>
          <w:color w:val="000000"/>
        </w:rPr>
        <w:t xml:space="preserve">: </w:t>
      </w:r>
      <w:r w:rsidRPr="00EC514F">
        <w:rPr>
          <w:rFonts w:ascii="Book Antiqua" w:hAnsi="Book Antiqua"/>
          <w:color w:val="000000"/>
        </w:rPr>
        <w:t>Preliminary results from a single institutional</w:t>
      </w:r>
      <w:r w:rsidR="006208D3" w:rsidRPr="00EC514F">
        <w:rPr>
          <w:rFonts w:ascii="Book Antiqua" w:hAnsi="Book Antiqua"/>
          <w:color w:val="000000"/>
        </w:rPr>
        <w:t xml:space="preserve"> study</w:t>
      </w:r>
      <w:r w:rsidRPr="00EC514F">
        <w:rPr>
          <w:rFonts w:ascii="Book Antiqua" w:hAnsi="Book Antiqua"/>
          <w:color w:val="000000"/>
        </w:rPr>
        <w:t xml:space="preserve"> </w:t>
      </w:r>
      <w:proofErr w:type="spellStart"/>
      <w:r w:rsidRPr="00EC514F">
        <w:rPr>
          <w:rFonts w:ascii="Book Antiqua" w:hAnsi="Book Antiqua"/>
          <w:color w:val="000000"/>
        </w:rPr>
        <w:t>show</w:t>
      </w:r>
      <w:proofErr w:type="spellEnd"/>
      <w:r w:rsidRPr="00EC514F">
        <w:rPr>
          <w:rFonts w:ascii="Book Antiqua" w:hAnsi="Book Antiqua"/>
          <w:color w:val="000000"/>
        </w:rPr>
        <w:t xml:space="preserve"> rem</w:t>
      </w:r>
      <w:r w:rsidR="007F0BA7" w:rsidRPr="00EC514F">
        <w:rPr>
          <w:rFonts w:ascii="Book Antiqua" w:hAnsi="Book Antiqua"/>
          <w:color w:val="000000"/>
        </w:rPr>
        <w:t>arkable results from b</w:t>
      </w:r>
      <w:r w:rsidRPr="00EC514F">
        <w:rPr>
          <w:rFonts w:ascii="Book Antiqua" w:hAnsi="Book Antiqua"/>
          <w:color w:val="000000"/>
        </w:rPr>
        <w:t xml:space="preserve">evacizumab, a humanized monoclonal antibody against VEGF, in lowering the rate of GI bleeding in refractory </w:t>
      </w:r>
      <w:proofErr w:type="gramStart"/>
      <w:r w:rsidRPr="00EC514F">
        <w:rPr>
          <w:rFonts w:ascii="Book Antiqua" w:hAnsi="Book Antiqua"/>
          <w:color w:val="000000"/>
        </w:rPr>
        <w:t>cases</w:t>
      </w:r>
      <w:r w:rsidR="00962B5F" w:rsidRPr="00EC514F">
        <w:rPr>
          <w:rFonts w:ascii="Book Antiqua" w:hAnsi="Book Antiqua"/>
          <w:color w:val="000000"/>
          <w:vertAlign w:val="superscript"/>
        </w:rPr>
        <w:t>[</w:t>
      </w:r>
      <w:proofErr w:type="gramEnd"/>
      <w:r w:rsidR="00962B5F" w:rsidRPr="00EC514F">
        <w:rPr>
          <w:rFonts w:ascii="Book Antiqua" w:hAnsi="Book Antiqua"/>
          <w:color w:val="000000"/>
          <w:vertAlign w:val="superscript"/>
        </w:rPr>
        <w:t>40]</w:t>
      </w:r>
      <w:r w:rsidRPr="00EC514F">
        <w:rPr>
          <w:rFonts w:ascii="Book Antiqua" w:hAnsi="Book Antiqua"/>
          <w:color w:val="000000"/>
        </w:rPr>
        <w:t>. This study</w:t>
      </w:r>
      <w:r w:rsidR="007915BF" w:rsidRPr="00EC514F">
        <w:rPr>
          <w:rFonts w:ascii="Book Antiqua" w:hAnsi="Book Antiqua"/>
          <w:color w:val="000000"/>
        </w:rPr>
        <w:t xml:space="preserve"> </w:t>
      </w:r>
      <w:r w:rsidR="009430DB" w:rsidRPr="00EC514F">
        <w:rPr>
          <w:rFonts w:ascii="Book Antiqua" w:hAnsi="Book Antiqua"/>
          <w:color w:val="000000"/>
        </w:rPr>
        <w:t xml:space="preserve">evaluated </w:t>
      </w:r>
      <w:r w:rsidR="007915BF" w:rsidRPr="00EC514F">
        <w:rPr>
          <w:rFonts w:ascii="Book Antiqua" w:hAnsi="Book Antiqua"/>
          <w:color w:val="000000"/>
        </w:rPr>
        <w:t>5 patients</w:t>
      </w:r>
      <w:r w:rsidR="009430DB" w:rsidRPr="00EC514F">
        <w:rPr>
          <w:rFonts w:ascii="Book Antiqua" w:hAnsi="Book Antiqua"/>
          <w:color w:val="000000"/>
        </w:rPr>
        <w:t xml:space="preserve"> with LVAD</w:t>
      </w:r>
      <w:r w:rsidR="007915BF" w:rsidRPr="00EC514F">
        <w:rPr>
          <w:rFonts w:ascii="Book Antiqua" w:hAnsi="Book Antiqua"/>
          <w:color w:val="000000"/>
        </w:rPr>
        <w:t xml:space="preserve"> and</w:t>
      </w:r>
      <w:r w:rsidRPr="00EC514F">
        <w:rPr>
          <w:rFonts w:ascii="Book Antiqua" w:hAnsi="Book Antiqua"/>
          <w:color w:val="000000"/>
        </w:rPr>
        <w:t xml:space="preserve"> showed </w:t>
      </w:r>
      <w:r w:rsidR="007915BF" w:rsidRPr="00EC514F">
        <w:rPr>
          <w:rFonts w:ascii="Book Antiqua" w:hAnsi="Book Antiqua"/>
          <w:color w:val="000000"/>
        </w:rPr>
        <w:t>annual decreases in blood product usage from 45.8 to 6.0 units, reduced hospitalizations per year from 5.6 to 1.7 and an annual reduction in e</w:t>
      </w:r>
      <w:r w:rsidR="00A34760" w:rsidRPr="00EC514F">
        <w:rPr>
          <w:rFonts w:ascii="Book Antiqua" w:hAnsi="Book Antiqua"/>
          <w:color w:val="000000"/>
        </w:rPr>
        <w:t>n</w:t>
      </w:r>
      <w:r w:rsidR="007915BF" w:rsidRPr="00EC514F">
        <w:rPr>
          <w:rFonts w:ascii="Book Antiqua" w:hAnsi="Book Antiqua"/>
          <w:color w:val="000000"/>
        </w:rPr>
        <w:t>doscopy from 10.6 to 2.3</w:t>
      </w:r>
      <w:r w:rsidR="00A34760" w:rsidRPr="00EC514F">
        <w:rPr>
          <w:rFonts w:ascii="Book Antiqua" w:hAnsi="Book Antiqua"/>
          <w:color w:val="000000"/>
        </w:rPr>
        <w:t xml:space="preserve"> procedures</w:t>
      </w:r>
      <w:r w:rsidR="007915BF" w:rsidRPr="00EC514F">
        <w:rPr>
          <w:rFonts w:ascii="Book Antiqua" w:hAnsi="Book Antiqua"/>
          <w:color w:val="000000"/>
        </w:rPr>
        <w:t xml:space="preserve">. Bevacizumab was well tolerated without side effects in the study participants. </w:t>
      </w:r>
      <w:r w:rsidR="009430DB" w:rsidRPr="00EC514F">
        <w:rPr>
          <w:rFonts w:ascii="Book Antiqua" w:hAnsi="Book Antiqua"/>
          <w:color w:val="000000"/>
        </w:rPr>
        <w:t xml:space="preserve">As with other novel agents, further studies are necessary. </w:t>
      </w:r>
    </w:p>
    <w:p w14:paraId="4F285630" w14:textId="77777777" w:rsidR="00AA2CAF" w:rsidRDefault="00AA2CAF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</w:p>
    <w:p w14:paraId="71ECCEF0" w14:textId="77777777" w:rsidR="00887C35" w:rsidRPr="00AA2CAF" w:rsidRDefault="00887C35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  <w:color w:val="000000"/>
          <w:u w:val="single"/>
        </w:rPr>
      </w:pPr>
      <w:r w:rsidRPr="00AA2CAF">
        <w:rPr>
          <w:rFonts w:ascii="Book Antiqua" w:hAnsi="Book Antiqua"/>
          <w:b/>
          <w:caps/>
          <w:color w:val="000000"/>
          <w:u w:val="single"/>
        </w:rPr>
        <w:t>Conclusion</w:t>
      </w:r>
    </w:p>
    <w:p w14:paraId="24CBB856" w14:textId="10C10BE4" w:rsidR="00676532" w:rsidRPr="00EC514F" w:rsidRDefault="009B047C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EC514F">
        <w:rPr>
          <w:rFonts w:ascii="Book Antiqua" w:hAnsi="Book Antiqua"/>
          <w:color w:val="000000"/>
        </w:rPr>
        <w:t>GI bleed</w:t>
      </w:r>
      <w:r w:rsidR="00C153F9" w:rsidRPr="00EC514F">
        <w:rPr>
          <w:rFonts w:ascii="Book Antiqua" w:hAnsi="Book Antiqua"/>
          <w:color w:val="000000"/>
        </w:rPr>
        <w:t>ing</w:t>
      </w:r>
      <w:r w:rsidRPr="00EC514F">
        <w:rPr>
          <w:rFonts w:ascii="Book Antiqua" w:hAnsi="Book Antiqua"/>
          <w:color w:val="000000"/>
        </w:rPr>
        <w:t xml:space="preserve"> is a frequent complication </w:t>
      </w:r>
      <w:r w:rsidR="000A52A9" w:rsidRPr="00EC514F">
        <w:rPr>
          <w:rFonts w:ascii="Book Antiqua" w:hAnsi="Book Antiqua"/>
          <w:color w:val="000000"/>
        </w:rPr>
        <w:t xml:space="preserve">of LVAD placement due to </w:t>
      </w:r>
      <w:r w:rsidR="00B84AE3" w:rsidRPr="00EC514F">
        <w:rPr>
          <w:rFonts w:ascii="Book Antiqua" w:hAnsi="Book Antiqua"/>
          <w:color w:val="000000"/>
        </w:rPr>
        <w:t xml:space="preserve">the </w:t>
      </w:r>
      <w:r w:rsidR="000A52A9" w:rsidRPr="00EC514F">
        <w:rPr>
          <w:rFonts w:ascii="Book Antiqua" w:hAnsi="Book Antiqua"/>
          <w:color w:val="000000"/>
        </w:rPr>
        <w:t xml:space="preserve">continuous flow LVAD devices causing dysregulation of angiogenesis-related biomarkers and sheer stress. </w:t>
      </w:r>
      <w:r w:rsidR="008635B5" w:rsidRPr="00EC514F">
        <w:rPr>
          <w:rFonts w:ascii="Book Antiqua" w:hAnsi="Book Antiqua"/>
          <w:color w:val="000000"/>
        </w:rPr>
        <w:t>Conservative methods such as</w:t>
      </w:r>
      <w:r w:rsidR="009C6990" w:rsidRPr="00EC514F">
        <w:rPr>
          <w:rFonts w:ascii="Book Antiqua" w:hAnsi="Book Antiqua"/>
          <w:color w:val="000000"/>
        </w:rPr>
        <w:t xml:space="preserve"> </w:t>
      </w:r>
      <w:r w:rsidR="008635B5" w:rsidRPr="00EC514F">
        <w:rPr>
          <w:rFonts w:ascii="Book Antiqua" w:hAnsi="Book Antiqua"/>
          <w:color w:val="000000"/>
        </w:rPr>
        <w:t xml:space="preserve">reducing </w:t>
      </w:r>
      <w:r w:rsidR="00D76688" w:rsidRPr="00EC514F">
        <w:rPr>
          <w:rFonts w:ascii="Book Antiqua" w:hAnsi="Book Antiqua"/>
          <w:color w:val="000000"/>
        </w:rPr>
        <w:t>anticoagulation doses and discontinuing antiplatelet and anticoagulation therap</w:t>
      </w:r>
      <w:r w:rsidR="001E1BC0" w:rsidRPr="00EC514F">
        <w:rPr>
          <w:rFonts w:ascii="Book Antiqua" w:hAnsi="Book Antiqua"/>
          <w:color w:val="000000"/>
        </w:rPr>
        <w:t xml:space="preserve">ies are </w:t>
      </w:r>
      <w:r w:rsidR="00F322B5" w:rsidRPr="00EC514F">
        <w:rPr>
          <w:rFonts w:ascii="Book Antiqua" w:hAnsi="Book Antiqua"/>
          <w:color w:val="000000"/>
        </w:rPr>
        <w:t>unsafe</w:t>
      </w:r>
      <w:r w:rsidR="00A86EEA" w:rsidRPr="00EC514F">
        <w:rPr>
          <w:rFonts w:ascii="Book Antiqua" w:hAnsi="Book Antiqua"/>
          <w:color w:val="000000"/>
        </w:rPr>
        <w:t xml:space="preserve"> and not successful in most </w:t>
      </w:r>
      <w:r w:rsidR="001E1BC0" w:rsidRPr="00EC514F">
        <w:rPr>
          <w:rFonts w:ascii="Book Antiqua" w:hAnsi="Book Antiqua"/>
          <w:color w:val="000000"/>
        </w:rPr>
        <w:t>instances</w:t>
      </w:r>
      <w:r w:rsidR="00A86EEA" w:rsidRPr="00EC514F">
        <w:rPr>
          <w:rFonts w:ascii="Book Antiqua" w:hAnsi="Book Antiqua"/>
          <w:color w:val="000000"/>
        </w:rPr>
        <w:t xml:space="preserve">. </w:t>
      </w:r>
      <w:r w:rsidR="00F322B5" w:rsidRPr="00EC514F">
        <w:rPr>
          <w:rFonts w:ascii="Book Antiqua" w:hAnsi="Book Antiqua"/>
          <w:color w:val="000000"/>
        </w:rPr>
        <w:t>The AVMs</w:t>
      </w:r>
      <w:r w:rsidR="00A86EEA" w:rsidRPr="00EC514F">
        <w:rPr>
          <w:rFonts w:ascii="Book Antiqua" w:hAnsi="Book Antiqua"/>
          <w:color w:val="000000"/>
        </w:rPr>
        <w:t xml:space="preserve"> are frequently located in the midgut and </w:t>
      </w:r>
      <w:r w:rsidR="003219D2" w:rsidRPr="00EC514F">
        <w:rPr>
          <w:rFonts w:ascii="Book Antiqua" w:hAnsi="Book Antiqua"/>
          <w:color w:val="000000"/>
        </w:rPr>
        <w:t>pos</w:t>
      </w:r>
      <w:r w:rsidR="009C6990" w:rsidRPr="00EC514F">
        <w:rPr>
          <w:rFonts w:ascii="Book Antiqua" w:hAnsi="Book Antiqua"/>
          <w:color w:val="000000"/>
        </w:rPr>
        <w:t>e</w:t>
      </w:r>
      <w:r w:rsidR="003219D2" w:rsidRPr="00EC514F">
        <w:rPr>
          <w:rFonts w:ascii="Book Antiqua" w:hAnsi="Book Antiqua"/>
          <w:color w:val="000000"/>
        </w:rPr>
        <w:t xml:space="preserve"> challenges with routine endoscopy. </w:t>
      </w:r>
      <w:r w:rsidR="0055331D" w:rsidRPr="00EC514F">
        <w:rPr>
          <w:rFonts w:ascii="Book Antiqua" w:hAnsi="Book Antiqua"/>
          <w:color w:val="000000"/>
        </w:rPr>
        <w:t xml:space="preserve">Video capsule endoscopy </w:t>
      </w:r>
      <w:r w:rsidR="003219D2" w:rsidRPr="00EC514F">
        <w:rPr>
          <w:rFonts w:ascii="Book Antiqua" w:hAnsi="Book Antiqua"/>
          <w:color w:val="000000"/>
        </w:rPr>
        <w:t>has</w:t>
      </w:r>
      <w:r w:rsidR="00182E49" w:rsidRPr="00EC514F">
        <w:rPr>
          <w:rFonts w:ascii="Book Antiqua" w:hAnsi="Book Antiqua"/>
          <w:color w:val="000000"/>
        </w:rPr>
        <w:t xml:space="preserve"> a</w:t>
      </w:r>
      <w:r w:rsidR="003219D2" w:rsidRPr="00EC514F">
        <w:rPr>
          <w:rFonts w:ascii="Book Antiqua" w:hAnsi="Book Antiqua"/>
          <w:color w:val="000000"/>
        </w:rPr>
        <w:t xml:space="preserve"> </w:t>
      </w:r>
      <w:r w:rsidR="00182E49" w:rsidRPr="00EC514F">
        <w:rPr>
          <w:rFonts w:ascii="Book Antiqua" w:hAnsi="Book Antiqua"/>
          <w:color w:val="000000"/>
        </w:rPr>
        <w:t>high diagnostic yield</w:t>
      </w:r>
      <w:r w:rsidR="0055331D" w:rsidRPr="00EC514F">
        <w:rPr>
          <w:rFonts w:ascii="Book Antiqua" w:hAnsi="Book Antiqua"/>
          <w:color w:val="000000"/>
        </w:rPr>
        <w:t xml:space="preserve"> </w:t>
      </w:r>
      <w:r w:rsidR="009C6990" w:rsidRPr="00EC514F">
        <w:rPr>
          <w:rFonts w:ascii="Book Antiqua" w:hAnsi="Book Antiqua"/>
          <w:color w:val="000000"/>
        </w:rPr>
        <w:t>and should be performed after unremarkable EGD and colonoscopy in most cases</w:t>
      </w:r>
      <w:r w:rsidR="0055331D" w:rsidRPr="00EC514F">
        <w:rPr>
          <w:rFonts w:ascii="Book Antiqua" w:hAnsi="Book Antiqua"/>
          <w:color w:val="000000"/>
        </w:rPr>
        <w:t xml:space="preserve">. </w:t>
      </w:r>
      <w:r w:rsidR="009C6990" w:rsidRPr="00EC514F">
        <w:rPr>
          <w:rFonts w:ascii="Book Antiqua" w:hAnsi="Book Antiqua"/>
          <w:color w:val="000000"/>
        </w:rPr>
        <w:t>Afte</w:t>
      </w:r>
      <w:r w:rsidR="00182E49" w:rsidRPr="00EC514F">
        <w:rPr>
          <w:rFonts w:ascii="Book Antiqua" w:hAnsi="Book Antiqua"/>
          <w:color w:val="000000"/>
        </w:rPr>
        <w:t>rward</w:t>
      </w:r>
      <w:r w:rsidR="009C6990" w:rsidRPr="00EC514F">
        <w:rPr>
          <w:rFonts w:ascii="Book Antiqua" w:hAnsi="Book Antiqua"/>
          <w:color w:val="000000"/>
        </w:rPr>
        <w:t xml:space="preserve">, prompt push </w:t>
      </w:r>
      <w:proofErr w:type="spellStart"/>
      <w:r w:rsidR="009C6990" w:rsidRPr="00EC514F">
        <w:rPr>
          <w:rFonts w:ascii="Book Antiqua" w:hAnsi="Book Antiqua"/>
          <w:color w:val="000000"/>
        </w:rPr>
        <w:t>enteroscopy</w:t>
      </w:r>
      <w:proofErr w:type="spellEnd"/>
      <w:r w:rsidR="00182E49" w:rsidRPr="00EC514F">
        <w:rPr>
          <w:rFonts w:ascii="Book Antiqua" w:hAnsi="Book Antiqua"/>
          <w:color w:val="000000"/>
        </w:rPr>
        <w:t>,</w:t>
      </w:r>
      <w:r w:rsidR="00270729" w:rsidRPr="00EC514F">
        <w:rPr>
          <w:rFonts w:ascii="Book Antiqua" w:hAnsi="Book Antiqua"/>
          <w:color w:val="000000"/>
        </w:rPr>
        <w:t xml:space="preserve"> </w:t>
      </w:r>
      <w:r w:rsidR="009C6990" w:rsidRPr="00EC514F">
        <w:rPr>
          <w:rFonts w:ascii="Book Antiqua" w:hAnsi="Book Antiqua"/>
          <w:color w:val="000000"/>
        </w:rPr>
        <w:t xml:space="preserve">or </w:t>
      </w:r>
      <w:r w:rsidR="003219D2" w:rsidRPr="00EC514F">
        <w:rPr>
          <w:rFonts w:ascii="Book Antiqua" w:hAnsi="Book Antiqua"/>
          <w:color w:val="000000"/>
        </w:rPr>
        <w:t>DBE</w:t>
      </w:r>
      <w:r w:rsidR="0055331D" w:rsidRPr="00EC514F">
        <w:rPr>
          <w:rFonts w:ascii="Book Antiqua" w:hAnsi="Book Antiqua"/>
          <w:color w:val="000000"/>
        </w:rPr>
        <w:t xml:space="preserve"> is recommended to treat lesions before they stop bleeding, as well</w:t>
      </w:r>
      <w:r w:rsidR="00C153F9" w:rsidRPr="00EC514F">
        <w:rPr>
          <w:rFonts w:ascii="Book Antiqua" w:hAnsi="Book Antiqua"/>
          <w:color w:val="000000"/>
        </w:rPr>
        <w:t xml:space="preserve"> as</w:t>
      </w:r>
      <w:r w:rsidR="0055331D" w:rsidRPr="00EC514F">
        <w:rPr>
          <w:rFonts w:ascii="Book Antiqua" w:hAnsi="Book Antiqua"/>
          <w:color w:val="000000"/>
        </w:rPr>
        <w:t xml:space="preserve"> to reduce the number of blood products </w:t>
      </w:r>
      <w:r w:rsidR="00F322B5" w:rsidRPr="00EC514F">
        <w:rPr>
          <w:rFonts w:ascii="Book Antiqua" w:hAnsi="Book Antiqua"/>
          <w:color w:val="000000"/>
        </w:rPr>
        <w:t xml:space="preserve">transfused in </w:t>
      </w:r>
      <w:r w:rsidR="0003019A" w:rsidRPr="00EC514F">
        <w:rPr>
          <w:rFonts w:ascii="Book Antiqua" w:hAnsi="Book Antiqua"/>
          <w:color w:val="000000"/>
        </w:rPr>
        <w:t xml:space="preserve">LVAD </w:t>
      </w:r>
      <w:r w:rsidR="0055331D" w:rsidRPr="00EC514F">
        <w:rPr>
          <w:rFonts w:ascii="Book Antiqua" w:hAnsi="Book Antiqua"/>
          <w:color w:val="000000"/>
        </w:rPr>
        <w:t>patients.</w:t>
      </w:r>
      <w:r w:rsidR="00A34760" w:rsidRPr="00EC514F">
        <w:rPr>
          <w:rFonts w:ascii="Book Antiqua" w:hAnsi="Book Antiqua"/>
          <w:color w:val="000000"/>
        </w:rPr>
        <w:t xml:space="preserve"> </w:t>
      </w:r>
      <w:r w:rsidR="00A6454F" w:rsidRPr="00EC514F">
        <w:rPr>
          <w:rFonts w:ascii="Book Antiqua" w:hAnsi="Book Antiqua"/>
          <w:color w:val="000000"/>
        </w:rPr>
        <w:t>Octreotide is a commonly used medication in GI bleed</w:t>
      </w:r>
      <w:r w:rsidR="0003019A" w:rsidRPr="00EC514F">
        <w:rPr>
          <w:rFonts w:ascii="Book Antiqua" w:hAnsi="Book Antiqua"/>
          <w:color w:val="000000"/>
        </w:rPr>
        <w:t>ing</w:t>
      </w:r>
      <w:r w:rsidR="00A6454F" w:rsidRPr="00EC514F">
        <w:rPr>
          <w:rFonts w:ascii="Book Antiqua" w:hAnsi="Book Antiqua"/>
          <w:color w:val="000000"/>
        </w:rPr>
        <w:t xml:space="preserve"> and </w:t>
      </w:r>
      <w:r w:rsidR="004C33A8" w:rsidRPr="00EC514F">
        <w:rPr>
          <w:rFonts w:ascii="Book Antiqua" w:hAnsi="Book Antiqua"/>
          <w:color w:val="000000"/>
        </w:rPr>
        <w:t>is</w:t>
      </w:r>
      <w:r w:rsidR="00FA6372" w:rsidRPr="00EC514F">
        <w:rPr>
          <w:rFonts w:ascii="Book Antiqua" w:hAnsi="Book Antiqua"/>
          <w:color w:val="000000"/>
        </w:rPr>
        <w:t xml:space="preserve"> the</w:t>
      </w:r>
      <w:r w:rsidR="00A6454F" w:rsidRPr="00EC514F">
        <w:rPr>
          <w:rFonts w:ascii="Book Antiqua" w:hAnsi="Book Antiqua"/>
          <w:color w:val="000000"/>
        </w:rPr>
        <w:t xml:space="preserve"> first line agent for those </w:t>
      </w:r>
      <w:r w:rsidR="00A6454F" w:rsidRPr="00EC514F">
        <w:rPr>
          <w:rFonts w:ascii="Book Antiqua" w:hAnsi="Book Antiqua"/>
          <w:color w:val="000000"/>
        </w:rPr>
        <w:lastRenderedPageBreak/>
        <w:t>with refractory bleed</w:t>
      </w:r>
      <w:r w:rsidR="0003019A" w:rsidRPr="00EC514F">
        <w:rPr>
          <w:rFonts w:ascii="Book Antiqua" w:hAnsi="Book Antiqua"/>
          <w:color w:val="000000"/>
        </w:rPr>
        <w:t>ing</w:t>
      </w:r>
      <w:r w:rsidR="00A6454F" w:rsidRPr="00EC514F">
        <w:rPr>
          <w:rFonts w:ascii="Book Antiqua" w:hAnsi="Book Antiqua"/>
          <w:color w:val="000000"/>
        </w:rPr>
        <w:t xml:space="preserve">. </w:t>
      </w:r>
      <w:proofErr w:type="spellStart"/>
      <w:r w:rsidR="00F322B5" w:rsidRPr="00EC514F">
        <w:rPr>
          <w:rFonts w:ascii="Book Antiqua" w:hAnsi="Book Antiqua"/>
          <w:color w:val="000000"/>
        </w:rPr>
        <w:t>ACEi</w:t>
      </w:r>
      <w:proofErr w:type="spellEnd"/>
      <w:r w:rsidR="00F322B5" w:rsidRPr="00EC514F">
        <w:rPr>
          <w:rFonts w:ascii="Book Antiqua" w:hAnsi="Book Antiqua"/>
          <w:color w:val="000000"/>
        </w:rPr>
        <w:t>/ARB may have secondary benefits in reducing AVM-related bleeding. Some case studies indicate the role of estrogen</w:t>
      </w:r>
      <w:r w:rsidR="009C6990" w:rsidRPr="00EC514F">
        <w:rPr>
          <w:rFonts w:ascii="Book Antiqua" w:hAnsi="Book Antiqua"/>
          <w:color w:val="000000"/>
        </w:rPr>
        <w:t>-</w:t>
      </w:r>
      <w:r w:rsidR="00F322B5" w:rsidRPr="00EC514F">
        <w:rPr>
          <w:rFonts w:ascii="Book Antiqua" w:hAnsi="Book Antiqua"/>
          <w:color w:val="000000"/>
        </w:rPr>
        <w:t>based hormone therapies, doxycycline, and desmopressin. Other medications with significant side</w:t>
      </w:r>
      <w:r w:rsidR="009C6990" w:rsidRPr="00EC514F">
        <w:rPr>
          <w:rFonts w:ascii="Book Antiqua" w:hAnsi="Book Antiqua"/>
          <w:color w:val="000000"/>
        </w:rPr>
        <w:t xml:space="preserve"> </w:t>
      </w:r>
      <w:r w:rsidR="00F322B5" w:rsidRPr="00EC514F">
        <w:rPr>
          <w:rFonts w:ascii="Book Antiqua" w:hAnsi="Book Antiqua"/>
          <w:color w:val="000000"/>
        </w:rPr>
        <w:t>effects need to be evaluated in larger studies</w:t>
      </w:r>
      <w:r w:rsidR="006208D3" w:rsidRPr="00EC514F">
        <w:rPr>
          <w:rFonts w:ascii="Book Antiqua" w:hAnsi="Book Antiqua"/>
          <w:color w:val="000000"/>
        </w:rPr>
        <w:t>,</w:t>
      </w:r>
      <w:r w:rsidR="00F322B5" w:rsidRPr="00EC514F">
        <w:rPr>
          <w:rFonts w:ascii="Book Antiqua" w:hAnsi="Book Antiqua"/>
          <w:color w:val="000000"/>
        </w:rPr>
        <w:t xml:space="preserve"> including thalidomide and bevacizumab. </w:t>
      </w:r>
      <w:r w:rsidR="002F58A6" w:rsidRPr="00EC514F">
        <w:rPr>
          <w:rFonts w:ascii="Book Antiqua" w:hAnsi="Book Antiqua"/>
          <w:color w:val="000000"/>
        </w:rPr>
        <w:t>With the increase of durable LVAD placements each year</w:t>
      </w:r>
      <w:r w:rsidR="009C6990" w:rsidRPr="00EC514F">
        <w:rPr>
          <w:rFonts w:ascii="Book Antiqua" w:hAnsi="Book Antiqua"/>
          <w:color w:val="000000"/>
        </w:rPr>
        <w:t>,</w:t>
      </w:r>
      <w:r w:rsidR="002F58A6" w:rsidRPr="00EC514F">
        <w:rPr>
          <w:rFonts w:ascii="Book Antiqua" w:hAnsi="Book Antiqua"/>
          <w:color w:val="000000"/>
        </w:rPr>
        <w:t xml:space="preserve"> we will </w:t>
      </w:r>
      <w:r w:rsidR="00F322B5" w:rsidRPr="00EC514F">
        <w:rPr>
          <w:rFonts w:ascii="Book Antiqua" w:hAnsi="Book Antiqua"/>
          <w:color w:val="000000"/>
        </w:rPr>
        <w:t>manage</w:t>
      </w:r>
      <w:r w:rsidR="002F58A6" w:rsidRPr="00EC514F">
        <w:rPr>
          <w:rFonts w:ascii="Book Antiqua" w:hAnsi="Book Antiqua"/>
          <w:color w:val="000000"/>
        </w:rPr>
        <w:t xml:space="preserve"> more </w:t>
      </w:r>
      <w:r w:rsidR="00F322B5" w:rsidRPr="00EC514F">
        <w:rPr>
          <w:rFonts w:ascii="Book Antiqua" w:hAnsi="Book Antiqua"/>
          <w:color w:val="000000"/>
        </w:rPr>
        <w:t>frequent</w:t>
      </w:r>
      <w:r w:rsidR="002F58A6" w:rsidRPr="00EC514F">
        <w:rPr>
          <w:rFonts w:ascii="Book Antiqua" w:hAnsi="Book Antiqua"/>
          <w:color w:val="000000"/>
        </w:rPr>
        <w:t xml:space="preserve"> instances of GI bleed</w:t>
      </w:r>
      <w:r w:rsidR="00897980" w:rsidRPr="00EC514F">
        <w:rPr>
          <w:rFonts w:ascii="Book Antiqua" w:hAnsi="Book Antiqua"/>
          <w:color w:val="000000"/>
        </w:rPr>
        <w:t xml:space="preserve">ing, </w:t>
      </w:r>
      <w:r w:rsidR="002F58A6" w:rsidRPr="00EC514F">
        <w:rPr>
          <w:rFonts w:ascii="Book Antiqua" w:hAnsi="Book Antiqua"/>
          <w:color w:val="000000"/>
        </w:rPr>
        <w:t xml:space="preserve">and </w:t>
      </w:r>
      <w:r w:rsidR="00897980" w:rsidRPr="00EC514F">
        <w:rPr>
          <w:rFonts w:ascii="Book Antiqua" w:hAnsi="Book Antiqua"/>
          <w:color w:val="000000"/>
        </w:rPr>
        <w:t xml:space="preserve">it </w:t>
      </w:r>
      <w:r w:rsidR="002F58A6" w:rsidRPr="00EC514F">
        <w:rPr>
          <w:rFonts w:ascii="Book Antiqua" w:hAnsi="Book Antiqua"/>
          <w:color w:val="000000"/>
        </w:rPr>
        <w:t xml:space="preserve">will be important </w:t>
      </w:r>
      <w:r w:rsidR="00897980" w:rsidRPr="00EC514F">
        <w:rPr>
          <w:rFonts w:ascii="Book Antiqua" w:hAnsi="Book Antiqua"/>
          <w:color w:val="000000"/>
        </w:rPr>
        <w:t xml:space="preserve">to </w:t>
      </w:r>
      <w:r w:rsidR="002F58A6" w:rsidRPr="00EC514F">
        <w:rPr>
          <w:rFonts w:ascii="Book Antiqua" w:hAnsi="Book Antiqua"/>
          <w:color w:val="000000"/>
        </w:rPr>
        <w:t>continue to refine diagnostic and therapeutic methods to treat and prevent these episodes.</w:t>
      </w:r>
    </w:p>
    <w:p w14:paraId="640BA93F" w14:textId="77777777" w:rsidR="005324C0" w:rsidRPr="00EC514F" w:rsidRDefault="005324C0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E68BBDE" w14:textId="77777777" w:rsidR="00597EAB" w:rsidRPr="0081411C" w:rsidRDefault="005375E2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81411C">
        <w:rPr>
          <w:rFonts w:ascii="Book Antiqua" w:hAnsi="Book Antiqua"/>
          <w:b/>
          <w:caps/>
        </w:rPr>
        <w:t>References</w:t>
      </w:r>
    </w:p>
    <w:p w14:paraId="2880A342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Kirklin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JK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Pagani FD,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Kormos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RL, Stevenson LW, Blume ED, Myers SL, Miller MA, Baldwin JT, Young JB,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Naftel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DC. Eighth annual INTERMACS report: Special focus on framing the impact of adverse events.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J Heart Lung Transplant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36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1080-1086 [PMID: 28942782 DOI: 10.1016/j.healun.2017.07.005]</w:t>
      </w:r>
    </w:p>
    <w:p w14:paraId="6A03EDD8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Hollis IB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Chen SL, Chang PP, Katz JN. Inhaled Desmopressin for Refractory Gastrointestinal Bleeding in a Patient </w:t>
      </w:r>
      <w:proofErr w:type="gramStart"/>
      <w:r w:rsidRPr="0081411C">
        <w:rPr>
          <w:rFonts w:ascii="Book Antiqua" w:eastAsia="宋体" w:hAnsi="Book Antiqua" w:cs="Times New Roman"/>
          <w:kern w:val="2"/>
          <w:lang w:eastAsia="zh-CN"/>
        </w:rPr>
        <w:t>With</w:t>
      </w:r>
      <w:proofErr w:type="gram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 HeartMate II Left Ventricular Assist Device.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ASAIO J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63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e47-e49 [PMID: 27556142 DOI: 10.1097/MAT.0000000000000433]</w:t>
      </w:r>
    </w:p>
    <w:p w14:paraId="33C873A0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Houston BA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Schneider AL, Vaishnav J, Cromwell DM, Miller PE,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Faridi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KF, Shah A,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Sciortino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C, Whitman G, Tedford RJ, Stevens GR, Judge DP, Russell SD,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Rouf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R. Angiotensin II antagonism is associated with reduced risk for gastrointestinal bleeding caused by arteriovenous malformations in patients with left ventricular assist devices.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J Heart Lung Transplant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36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380-385 [PMID: 28169115 DOI: 10.1016/j.healun.2016.12.016]</w:t>
      </w:r>
    </w:p>
    <w:p w14:paraId="2C089A24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4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Jennings DL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Rimsans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J, Connors JM. Prothrombin Complex Concentrate for Warfarin Reversal in Patients with Continuous-Flow Left Ventricular Assist Devices: A Narrative Review.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ASAIO J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2020;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66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482-488 [PMID: 31192853 DOI: 10.1097/MAT.0000000000001021]</w:t>
      </w:r>
    </w:p>
    <w:p w14:paraId="610E28D3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5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Molina TL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Krisl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JC, Donahue KR,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Varnado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S. Gastrointestinal Bleeding in Left </w:t>
      </w:r>
      <w:r w:rsidRPr="0081411C">
        <w:rPr>
          <w:rFonts w:ascii="Book Antiqua" w:eastAsia="宋体" w:hAnsi="Book Antiqua" w:cs="Times New Roman"/>
          <w:kern w:val="2"/>
          <w:lang w:eastAsia="zh-CN"/>
        </w:rPr>
        <w:lastRenderedPageBreak/>
        <w:t xml:space="preserve">Ventricular Assist Device: Octreotide and Other Treatment Modalities.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ASAIO J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64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433-439 [PMID: 29406356 DOI: 10.1097/MAT.0000000000000758]</w:t>
      </w:r>
    </w:p>
    <w:p w14:paraId="77410702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6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Namdaran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P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Zikos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TA, Pan JY, Banerjee D. Thalidomide Use Reduces Risk of Refractory Gastrointestinal Bleeding in Patients with Continuous Flow Left Ventricular Assist Devices.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ASAIO J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2019; Online ahead of print [PMID: 31425265 DOI: 10.1097/MAT.0000000000001054]</w:t>
      </w:r>
    </w:p>
    <w:p w14:paraId="14B6C832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7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Zikos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TA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Pan J,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Limketkai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B, Banerjee D, Fernandez-Becker N. Efficacy of Video Capsule Endoscopy in the Management of Suspected Small Bowel Bleeding in Patients </w:t>
      </w:r>
      <w:proofErr w:type="gramStart"/>
      <w:r w:rsidRPr="0081411C">
        <w:rPr>
          <w:rFonts w:ascii="Book Antiqua" w:eastAsia="宋体" w:hAnsi="Book Antiqua" w:cs="Times New Roman"/>
          <w:kern w:val="2"/>
          <w:lang w:eastAsia="zh-CN"/>
        </w:rPr>
        <w:t>With</w:t>
      </w:r>
      <w:proofErr w:type="gram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Continuous Flow Left Ventricular Assist Devices.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Gastroenterology Res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10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280-287 [PMID: 29118868 DOI: 10.14740/gr908w]</w:t>
      </w:r>
    </w:p>
    <w:p w14:paraId="432AF25E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8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Shah R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Qayed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E. Outcomes and Predictors of Readmissions with GI Bleeding in Patients with Left Ventricular Assist Devices.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South Med J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111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666-673 [PMID: 30392001 DOI: 10.14423/SMJ.0000000000000883]</w:t>
      </w:r>
    </w:p>
    <w:p w14:paraId="61A0CF92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9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Malik S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Malik SA, Ulmer LL, Jha LK,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Strupp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MS,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Raichlin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E,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Lyden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ER, Hewlett AT. Gastrointestinal Bleeding </w:t>
      </w:r>
      <w:proofErr w:type="gramStart"/>
      <w:r w:rsidRPr="0081411C">
        <w:rPr>
          <w:rFonts w:ascii="Book Antiqua" w:eastAsia="宋体" w:hAnsi="Book Antiqua" w:cs="Times New Roman"/>
          <w:kern w:val="2"/>
          <w:lang w:eastAsia="zh-CN"/>
        </w:rPr>
        <w:t>With</w:t>
      </w:r>
      <w:proofErr w:type="gram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Left Ventricular Assist Devices (LVAD): Locating the Leak and Identifying Outcomes.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J Clin Gastroenterol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2019;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53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e202-e207 [PMID: 29688916 DOI: 10.1097/MCG.0000000000001041]</w:t>
      </w:r>
    </w:p>
    <w:p w14:paraId="7148028E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10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Draper KV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Huang RJ, Gerson LB. GI bleeding in patients with continuous-flow left ventricular assist devices: a systematic review and meta-analysis.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Gastrointest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2014;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80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435-446.e1 [PMID: 24975405 DOI: 10.1016/j.gie.2014.03.040]</w:t>
      </w:r>
    </w:p>
    <w:p w14:paraId="7296FEB7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11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Bartoli CR</w:t>
      </w:r>
      <w:r w:rsidRPr="0081411C">
        <w:rPr>
          <w:rFonts w:ascii="Book Antiqua" w:eastAsia="宋体" w:hAnsi="Book Antiqua" w:cs="Times New Roman"/>
          <w:kern w:val="2"/>
          <w:lang w:eastAsia="zh-CN"/>
        </w:rPr>
        <w:t>, Zhang DM, Hennessy-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Strahs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S, Kang J,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Restle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DJ, Bermudez C,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Atluri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P, Acker MA. Clinical and In Vitro Evidence That Left Ventricular Assist Device-Induced von Willebrand Factor Degradation Alters Angiogenesis.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Circ Heart Fail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11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e004638 [PMID: 30354363 DOI: 10.1161/CIRCHEARTFAILURE.117.004638]</w:t>
      </w:r>
    </w:p>
    <w:p w14:paraId="25B69982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12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Tabit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CE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Coplan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MJ, Chen P,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Jeevanandam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V, Uriel N, Liao JK. Tumor necrosis factor-α levels and non-surgical bleeding in continuous-flow left ventricular assist devices.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J Heart Lung Transplant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37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: 107-115 [PMID: </w:t>
      </w:r>
      <w:r w:rsidRPr="0081411C">
        <w:rPr>
          <w:rFonts w:ascii="Book Antiqua" w:eastAsia="宋体" w:hAnsi="Book Antiqua" w:cs="Times New Roman"/>
          <w:kern w:val="2"/>
          <w:lang w:eastAsia="zh-CN"/>
        </w:rPr>
        <w:lastRenderedPageBreak/>
        <w:t>28651907 DOI: 10.1016/j.healun.2017.06.001]</w:t>
      </w:r>
    </w:p>
    <w:p w14:paraId="692BE0C6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13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Juricek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C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Imamura T, Nguyen A, Chung B, Rodgers D,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Sarswat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N, Kim G,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Raikhelkar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J, Ota T, Song T,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Burkhoff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D, Sayer G,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Jeevanandam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V, Uriel N. Long-Acting Octreotide Reduces the Recurrence of Gastrointestinal Bleeding in Patients With a Continuous-Flow Left Ventricular Assist Device.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J Card Fail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24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249-254 [PMID: 29427603 DOI: 10.1016/j.cardfail.2018.01.011]</w:t>
      </w:r>
    </w:p>
    <w:p w14:paraId="535AEFE2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14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Karstensen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JG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Ebigbo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Aabakken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L,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Dinis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-Ribeiro 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Gralnek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I, Le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Moine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O,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Vilmann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Ijoma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U,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Anigbo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Afihene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Duduyemi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B,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Ponchon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T, Hassan C. Nonvariceal upper gastrointestinal hemorrhage: European Society of Gastrointestinal Endoscopy (ESGE) Cascade Guideline.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Int Open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6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E1256-E1263 [PMID: 30302383 DOI: 10.1055/a-0677-2084]</w:t>
      </w:r>
    </w:p>
    <w:p w14:paraId="62B196C7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15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ASGE Standards of Practice Committee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Gurudu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SR,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Bruining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DH, Acosta RD,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Eloubeidi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MA,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Faulx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AL,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Khashab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MA, Kothari S,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Lightdale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JR, Muthusamy VR, Yang J, DeWitt JM. The role of endoscopy in the management of suspected small-bowel bleeding.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Gastrointest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85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22-31 [PMID: 27374798 DOI: 10.1016/j.gie.2016.06.013]</w:t>
      </w:r>
    </w:p>
    <w:p w14:paraId="51F23CCA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16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ASGE Standards of Practice Committee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Pasha SF,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Shergill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A, Acosta RD, Chandrasekhara V,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Chathadi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KV, Early D, Evans JA, Fisher D,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Fonkalsrud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L, Hwang JH,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Khashab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MA,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Lightdale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JR, Muthusamy VR, Saltzman JR, Cash BD. The role of endoscopy in the patient with lower GI bleeding.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Gastrointest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2014;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79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875-885 [PMID: 24703084 DOI: 10.1016/j.gie.2013.10.039]</w:t>
      </w:r>
    </w:p>
    <w:p w14:paraId="5512EBD2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17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Baumann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Kreuziger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Karkouti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K,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Tweddell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Massicotte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MP. Antithrombotic therapy management of adult and pediatric cardiac surgery patients.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J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Thromb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Haemost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16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2133-2146 [PMID: 30153372 DOI: 10.1111/jth.14276]</w:t>
      </w:r>
    </w:p>
    <w:p w14:paraId="51EDBA58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18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Aggarwal A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Pant R, Kumar S, Sharma P, Gallagher C,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Tatooles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AJ, Pappas PS, Bhat G. Incidence and management of gastrointestinal bleeding with continuous flow assist devices.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Ann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Thorac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Surg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2012;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93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1534-1540 [PMID: 22541185 DOI: 10.1016/j.athoracsur.2012.02.035]</w:t>
      </w:r>
    </w:p>
    <w:p w14:paraId="2812A0C1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lastRenderedPageBreak/>
        <w:t xml:space="preserve">19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Nascimbene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A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Neelamegham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S, Frazier OH,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Moake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JL, Dong JF. Acquired von Willebrand syndrome associated with left ventricular assist device.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Blood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2016;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127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3133-3141 [PMID: 27143258 DOI: 10.1182/blood-2015-10-636480]</w:t>
      </w:r>
    </w:p>
    <w:p w14:paraId="6DADDD55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20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Lopilato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AC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Doligalski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CT,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Caldeira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C. Incidence and Risk Factor Analysis for Gastrointestinal Bleeding and Pump Thrombosis in Left Ventricular Assist Device Recipients.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Artif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Organs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2015;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39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939-944 [PMID: 25912789 DOI: 10.1111/aor.12471]</w:t>
      </w:r>
    </w:p>
    <w:p w14:paraId="4211022F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21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Holbrook A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Schulman S, Witt DM,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Vandvik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PO, Fish J, Kovacs MJ,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Svensson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PJ,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Veenstra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DL, Crowther 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Guyatt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GH. Evidence-based management of anticoagulant therapy: Antithrombotic Therapy and Prevention of Thrombosis, 9th ed: American College of Chest Physicians Evidence-Based Clinical Practice Guidelines.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Chest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2012;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141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e152S-e184S [PMID: 22315259 DOI: 10.1378/chest.11-2295]</w:t>
      </w:r>
    </w:p>
    <w:p w14:paraId="218DAC1A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22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Bruckner BA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DiBardino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DJ, Ning Q,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Adeboygeun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A, Mahmoud K, Valdes J, Eze J, Allison PM, Cooley DA,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Gregoric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ID, Frazier OH. High incidence of thromboembolic events in left ventricular assist device patients treated with recombinant activated factor VII.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J Heart Lung Transplant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2009;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28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785-790 [PMID: 19632574 DOI: 10.1016/j.healun.2009.04.028]</w:t>
      </w:r>
    </w:p>
    <w:p w14:paraId="531031EB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23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Marsano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J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Desai J, Chang S, Chau 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Pochapin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Gurvits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GE. Characteristics of gastrointestinal bleeding after placement of continuous-flow left ventricular assist device: a case series.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Dig Dis Sci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2015;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60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1859-1867 [PMID: 25616611 DOI: 10.1007/s10620-015-3538-7]</w:t>
      </w:r>
    </w:p>
    <w:p w14:paraId="2F57E15C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24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Rondonotti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E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Spada C, Adler S, May A,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Despott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EJ,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Koulaouzidis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Panter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S, Domagk D, Fernandez-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Urien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I,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Rahmi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G,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Riccioni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ME, van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Hooft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JE, Hassan C,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Pennazio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M. Small-bowel capsule endoscopy and device-assisted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enteroscopy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for diagnosis and treatment of small-bowel disorders: European Society of Gastrointestinal Endoscopy (ESGE) Technical Review.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Endoscopy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50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423-446 [PMID: 29539652 DOI: 10.1055/a-0576-0566]</w:t>
      </w:r>
    </w:p>
    <w:p w14:paraId="596D49DB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25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Brito HP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Ribeiro IB, de Moura DTH, Bernardo WM, Chaves DM, Kuga R,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lastRenderedPageBreak/>
        <w:t>Maahs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ED, Ishida RK, de Moura ETH, de Moura EGH. Video capsule endoscopy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vs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double-balloon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enteroscopy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in the diagnosis of small bowel bleeding: A systematic review and meta-analysis.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World J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Gastrointest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10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400-421 [PMID: 30631404 DOI: 10.4253/</w:t>
      </w:r>
      <w:proofErr w:type="gramStart"/>
      <w:r w:rsidRPr="0081411C">
        <w:rPr>
          <w:rFonts w:ascii="Book Antiqua" w:eastAsia="宋体" w:hAnsi="Book Antiqua" w:cs="Times New Roman"/>
          <w:kern w:val="2"/>
          <w:lang w:eastAsia="zh-CN"/>
        </w:rPr>
        <w:t>wjge.v10.i</w:t>
      </w:r>
      <w:proofErr w:type="gramEnd"/>
      <w:r w:rsidRPr="0081411C">
        <w:rPr>
          <w:rFonts w:ascii="Book Antiqua" w:eastAsia="宋体" w:hAnsi="Book Antiqua" w:cs="Times New Roman"/>
          <w:kern w:val="2"/>
          <w:lang w:eastAsia="zh-CN"/>
        </w:rPr>
        <w:t>12.400]</w:t>
      </w:r>
    </w:p>
    <w:p w14:paraId="50B742AE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26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Teshima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CW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Kuipers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EJ, van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Zanten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SV,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Mensink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PB. Double balloon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enteroscopy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and capsule endoscopy for obscure gastrointestinal bleeding: an updated meta-analysis.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J Gastroenterol Hepatol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2011;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26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796-801 [PMID: 21155884 DOI: 10.1111/j.1440-1746.</w:t>
      </w:r>
      <w:proofErr w:type="gramStart"/>
      <w:r w:rsidRPr="0081411C">
        <w:rPr>
          <w:rFonts w:ascii="Book Antiqua" w:eastAsia="宋体" w:hAnsi="Book Antiqua" w:cs="Times New Roman"/>
          <w:kern w:val="2"/>
          <w:lang w:eastAsia="zh-CN"/>
        </w:rPr>
        <w:t>2010.06530.x</w:t>
      </w:r>
      <w:proofErr w:type="gramEnd"/>
      <w:r w:rsidRPr="0081411C">
        <w:rPr>
          <w:rFonts w:ascii="Book Antiqua" w:eastAsia="宋体" w:hAnsi="Book Antiqua" w:cs="Times New Roman"/>
          <w:kern w:val="2"/>
          <w:lang w:eastAsia="zh-CN"/>
        </w:rPr>
        <w:t>]</w:t>
      </w:r>
    </w:p>
    <w:p w14:paraId="2185EB2C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27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Edwards AL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Mönkemüller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K,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Pamboukian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SV, George JF, Wilcox CM, Peter S. Utility of double-balloon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enteroscopy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in patients with left ventricular assist devices and obscure overt gastrointestinal bleeding.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Endoscopy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2014;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46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986-991 [PMID: 25290096 DOI: 10.1055/s-0034-1377512]</w:t>
      </w:r>
    </w:p>
    <w:p w14:paraId="299BC849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28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Kwan V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Bourke MJ, Williams SJ, Gillespie PE, Murray MA,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Kaffes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AJ, Henriquez MS, Chan RO. Argon plasma coagulation in the management of symptomatic gastrointestinal vascular lesions: experience in 100 consecutive patients with long-term follow-up.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Am J Gastroenterol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2006;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101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58-63 [PMID: 16405534 DOI: 10.1111/j.1572-0241.</w:t>
      </w:r>
      <w:proofErr w:type="gramStart"/>
      <w:r w:rsidRPr="0081411C">
        <w:rPr>
          <w:rFonts w:ascii="Book Antiqua" w:eastAsia="宋体" w:hAnsi="Book Antiqua" w:cs="Times New Roman"/>
          <w:kern w:val="2"/>
          <w:lang w:eastAsia="zh-CN"/>
        </w:rPr>
        <w:t>2006.00370.x</w:t>
      </w:r>
      <w:proofErr w:type="gramEnd"/>
      <w:r w:rsidRPr="0081411C">
        <w:rPr>
          <w:rFonts w:ascii="Book Antiqua" w:eastAsia="宋体" w:hAnsi="Book Antiqua" w:cs="Times New Roman"/>
          <w:kern w:val="2"/>
          <w:lang w:eastAsia="zh-CN"/>
        </w:rPr>
        <w:t>]</w:t>
      </w:r>
    </w:p>
    <w:p w14:paraId="585F4F11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29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Zikos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TA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Namdaran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P, Banerjee D, Friedland S, Pan JY. Arteriovenous malformations respond poorly to argon plasma coagulation in patients with continuous flow left ventricular assist devices.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Eur J Gastroenterol Hepatol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2019;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31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792-798 [PMID: 31150365 DOI: 10.1097/MEG.0000000000001427]</w:t>
      </w:r>
    </w:p>
    <w:p w14:paraId="5B692201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30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de Rezende DT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Brunaldi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VO, Bernardo WM, Ribeiro IB,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Mota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RCL,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Baracat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FI, de Moura DTH,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Baracat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R,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Matuguma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SE, de Moura EGH. Use of hemostatic powder in treatment of upper gastrointestinal bleeding: a systematic review and meta-analysis.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Int Open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2019;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7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E1704-E1713 [PMID: 31803822 DOI: 10.1055/a-0977-2897]</w:t>
      </w:r>
    </w:p>
    <w:p w14:paraId="6B4A709B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31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Ribeiro IB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Rezende DT,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Madruga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Neto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AC, Ide E,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Furuya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CK, De Moura DTH, De Moura EGH. Endoscopic dual therapy for giant peptic ulcer hemorrhage.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Endoscopy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2018;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50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E316-E317 [PMID: 30107634 DOI: 10.1055/a-</w:t>
      </w:r>
      <w:r w:rsidRPr="0081411C">
        <w:rPr>
          <w:rFonts w:ascii="Book Antiqua" w:eastAsia="宋体" w:hAnsi="Book Antiqua" w:cs="Times New Roman"/>
          <w:kern w:val="2"/>
          <w:lang w:eastAsia="zh-CN"/>
        </w:rPr>
        <w:lastRenderedPageBreak/>
        <w:t>0665-4142]</w:t>
      </w:r>
    </w:p>
    <w:p w14:paraId="21CEC7E5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32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Malhotra R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Shah KB, Chawla R,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Pedram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Smallfield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MC,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Priday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AG,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DeWilde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CT, Brophy DF. Tolerability and Biological Effects of Long-Acting Octreotide in Patients </w:t>
      </w:r>
      <w:proofErr w:type="gramStart"/>
      <w:r w:rsidRPr="0081411C">
        <w:rPr>
          <w:rFonts w:ascii="Book Antiqua" w:eastAsia="宋体" w:hAnsi="Book Antiqua" w:cs="Times New Roman"/>
          <w:kern w:val="2"/>
          <w:lang w:eastAsia="zh-CN"/>
        </w:rPr>
        <w:t>With</w:t>
      </w:r>
      <w:proofErr w:type="gram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Continuous Flow Left Ventricular Assist Devices.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ASAIO J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63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367-370 [PMID: 27922890 DOI: 10.1097/MAT.0000000000000491]</w:t>
      </w:r>
    </w:p>
    <w:p w14:paraId="14D77117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33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Jabbar HR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Abbas A, Ahmed 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Klodell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CT Jr, Chang M, Dai Y,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Draganov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PV. The Incidence, Predictors and Outcomes of Gastrointestinal Bleeding in Patients with Left Ventricular Assist Device (LVAD).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Dig Dis Sci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2015;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60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3697-3706 [PMID: 26072320 DOI: 10.1007/s10620-015-3743-4]</w:t>
      </w:r>
    </w:p>
    <w:p w14:paraId="281A2B1E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34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Borna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RM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Jahr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JS, Kmiecik S, Mancuso KF, Kaye AD. Pharmacology of Octreotide: Clinical Implications for Anesthesiologists and Associated Risks.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Anesthesiol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Clin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2017;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35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327-339 [PMID: 28526153 DOI: 10.1016/j.anclin.2017.01.021]</w:t>
      </w:r>
    </w:p>
    <w:p w14:paraId="0EF4D460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35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D'Amato RJ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Loughnan MS, Flynn E, Folkman J. Thalidomide is an inhibitor of angiogenesis.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Proc Natl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Acad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Sci USA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1994;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91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4082-4085 [PMID: 7513432 DOI: 10.1073/pnas.91.9.4082]</w:t>
      </w:r>
    </w:p>
    <w:p w14:paraId="61841C5F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36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Ge ZZ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Chen HM, Gao YJ, Liu WZ, Xu CH, Tan HH, Chen HY, Wei W, Fang JY, Xiao SD. Efficacy of thalidomide for refractory gastrointestinal bleeding from vascular malformation.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Gastroenterology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2011;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141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1629-</w:t>
      </w:r>
      <w:proofErr w:type="gramStart"/>
      <w:r w:rsidRPr="0081411C">
        <w:rPr>
          <w:rFonts w:ascii="Book Antiqua" w:eastAsia="宋体" w:hAnsi="Book Antiqua" w:cs="Times New Roman"/>
          <w:kern w:val="2"/>
          <w:lang w:eastAsia="zh-CN"/>
        </w:rPr>
        <w:t>37.e</w:t>
      </w:r>
      <w:proofErr w:type="gramEnd"/>
      <w:r w:rsidRPr="0081411C">
        <w:rPr>
          <w:rFonts w:ascii="Book Antiqua" w:eastAsia="宋体" w:hAnsi="Book Antiqua" w:cs="Times New Roman"/>
          <w:kern w:val="2"/>
          <w:lang w:eastAsia="zh-CN"/>
        </w:rPr>
        <w:t>1-4 [PMID: 21784047 DOI: 10.1053/j.gastro.2011.07.018]</w:t>
      </w:r>
    </w:p>
    <w:p w14:paraId="24415CE1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37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Junquera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F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Feu F,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Papo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Videla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Armengol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JR,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Bordas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Saperas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E, Piqué JM,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Malagelada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JR. A multicenter, randomized, clinical trial of hormonal therapy in the prevention of rebleeding from gastrointestinal angiodysplasia.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Gastroenterology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2001;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121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1073-1079 [PMID: 11677198 DOI: 10.1053/gast.2001.28650]</w:t>
      </w:r>
    </w:p>
    <w:p w14:paraId="7A94DA95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38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Gutsche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JT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Atluri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P,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Augoustides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JG. Treatment of ventricular assist-device-associated gastrointestinal bleeding with hormonal therapy.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J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Cardiothorac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Vasc</w:t>
      </w:r>
      <w:proofErr w:type="spellEnd"/>
      <w:r w:rsidRPr="0081411C">
        <w:rPr>
          <w:rFonts w:ascii="Book Antiqua" w:eastAsia="宋体" w:hAnsi="Book Antiqua" w:cs="Times New Roman"/>
          <w:i/>
          <w:kern w:val="2"/>
          <w:lang w:eastAsia="zh-CN"/>
        </w:rPr>
        <w:t xml:space="preserve"> </w:t>
      </w:r>
      <w:proofErr w:type="spellStart"/>
      <w:r w:rsidRPr="0081411C">
        <w:rPr>
          <w:rFonts w:ascii="Book Antiqua" w:eastAsia="宋体" w:hAnsi="Book Antiqua" w:cs="Times New Roman"/>
          <w:i/>
          <w:kern w:val="2"/>
          <w:lang w:eastAsia="zh-CN"/>
        </w:rPr>
        <w:t>Anesth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2013;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27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939-943 [PMID: 24054188 DOI: 10.1053/j.jvca.2013.05.019]</w:t>
      </w:r>
    </w:p>
    <w:p w14:paraId="3B9284D5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lastRenderedPageBreak/>
        <w:t xml:space="preserve">39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Cushing M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Kawaguchi K, Friedman KD, Mark T. Factor VIII/von Willebrand factor concentrate therapy for ventricular assist device-associated acquired von Willebrand disease.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Transfusion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2012;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52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1535-1541 [PMID: 22229973 DOI: 10.1111/j.1537-2995.</w:t>
      </w:r>
      <w:proofErr w:type="gramStart"/>
      <w:r w:rsidRPr="0081411C">
        <w:rPr>
          <w:rFonts w:ascii="Book Antiqua" w:eastAsia="宋体" w:hAnsi="Book Antiqua" w:cs="Times New Roman"/>
          <w:kern w:val="2"/>
          <w:lang w:eastAsia="zh-CN"/>
        </w:rPr>
        <w:t>2011.03500.x</w:t>
      </w:r>
      <w:proofErr w:type="gramEnd"/>
      <w:r w:rsidRPr="0081411C">
        <w:rPr>
          <w:rFonts w:ascii="Book Antiqua" w:eastAsia="宋体" w:hAnsi="Book Antiqua" w:cs="Times New Roman"/>
          <w:kern w:val="2"/>
          <w:lang w:eastAsia="zh-CN"/>
        </w:rPr>
        <w:t>]</w:t>
      </w:r>
    </w:p>
    <w:p w14:paraId="7EFEBF35" w14:textId="77777777" w:rsidR="0081411C" w:rsidRPr="0081411C" w:rsidRDefault="0081411C" w:rsidP="0081411C">
      <w:pPr>
        <w:widowControl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40 </w:t>
      </w:r>
      <w:proofErr w:type="spell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Asleh</w:t>
      </w:r>
      <w:proofErr w:type="spellEnd"/>
      <w:r w:rsidRPr="0081411C">
        <w:rPr>
          <w:rFonts w:ascii="Book Antiqua" w:eastAsia="宋体" w:hAnsi="Book Antiqua" w:cs="Times New Roman"/>
          <w:b/>
          <w:kern w:val="2"/>
          <w:lang w:eastAsia="zh-CN"/>
        </w:rPr>
        <w:t xml:space="preserve"> </w:t>
      </w:r>
      <w:proofErr w:type="gramStart"/>
      <w:r w:rsidRPr="0081411C">
        <w:rPr>
          <w:rFonts w:ascii="Book Antiqua" w:eastAsia="宋体" w:hAnsi="Book Antiqua" w:cs="Times New Roman"/>
          <w:b/>
          <w:kern w:val="2"/>
          <w:lang w:eastAsia="zh-CN"/>
        </w:rPr>
        <w:t>R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, 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Schettle</w:t>
      </w:r>
      <w:proofErr w:type="spellEnd"/>
      <w:proofErr w:type="gram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SD,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Maltais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S, Daly RC,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Iyer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V,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Stulak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JM,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Rodeheffer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R. Promising Novel Treatment with Intravenous Bevacizumab for Refractory Gastrointestinal Bleeding from </w:t>
      </w:r>
      <w:proofErr w:type="spellStart"/>
      <w:r w:rsidRPr="0081411C">
        <w:rPr>
          <w:rFonts w:ascii="Book Antiqua" w:eastAsia="宋体" w:hAnsi="Book Antiqua" w:cs="Times New Roman"/>
          <w:kern w:val="2"/>
          <w:lang w:eastAsia="zh-CN"/>
        </w:rPr>
        <w:t>Angiodysplastic</w:t>
      </w:r>
      <w:proofErr w:type="spellEnd"/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Lesions in Patients Supported with a Continuous-Flow Left Ventricular Assist Device: A Pilot Study. </w:t>
      </w:r>
      <w:r w:rsidRPr="0081411C">
        <w:rPr>
          <w:rFonts w:ascii="Book Antiqua" w:eastAsia="宋体" w:hAnsi="Book Antiqua" w:cs="Times New Roman"/>
          <w:i/>
          <w:kern w:val="2"/>
          <w:lang w:eastAsia="zh-CN"/>
        </w:rPr>
        <w:t>J Heart Lung Transplant</w:t>
      </w:r>
      <w:r w:rsidRPr="0081411C">
        <w:rPr>
          <w:rFonts w:ascii="Book Antiqua" w:eastAsia="宋体" w:hAnsi="Book Antiqua" w:cs="Times New Roman"/>
          <w:kern w:val="2"/>
          <w:lang w:eastAsia="zh-CN"/>
        </w:rPr>
        <w:t xml:space="preserve"> 2019; </w:t>
      </w:r>
      <w:r w:rsidRPr="0081411C">
        <w:rPr>
          <w:rFonts w:ascii="Book Antiqua" w:eastAsia="宋体" w:hAnsi="Book Antiqua" w:cs="Times New Roman"/>
          <w:b/>
          <w:kern w:val="2"/>
          <w:lang w:eastAsia="zh-CN"/>
        </w:rPr>
        <w:t>38</w:t>
      </w:r>
      <w:r w:rsidRPr="0081411C">
        <w:rPr>
          <w:rFonts w:ascii="Book Antiqua" w:eastAsia="宋体" w:hAnsi="Book Antiqua" w:cs="Times New Roman"/>
          <w:kern w:val="2"/>
          <w:lang w:eastAsia="zh-CN"/>
        </w:rPr>
        <w:t>: S135 [DOI: 10.1016/j.healun.2019.01.320]</w:t>
      </w:r>
    </w:p>
    <w:p w14:paraId="60EDBB2B" w14:textId="1B32470D" w:rsidR="0081411C" w:rsidRDefault="0081411C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br w:type="page"/>
      </w:r>
    </w:p>
    <w:p w14:paraId="72DC7CCF" w14:textId="77777777" w:rsidR="0081411C" w:rsidRDefault="0081411C">
      <w:pPr>
        <w:rPr>
          <w:rFonts w:ascii="Book Antiqua" w:hAnsi="Book Antiqua" w:cs="Times New Roman"/>
          <w:b/>
        </w:rPr>
      </w:pPr>
    </w:p>
    <w:p w14:paraId="63A820C9" w14:textId="1CC7E5F4" w:rsidR="000E4E67" w:rsidRPr="009D0ABF" w:rsidRDefault="009D0ABF" w:rsidP="00151396">
      <w:pPr>
        <w:widowControl w:val="0"/>
        <w:autoSpaceDE w:val="0"/>
        <w:autoSpaceDN w:val="0"/>
        <w:adjustRightInd w:val="0"/>
        <w:snapToGrid w:val="0"/>
        <w:spacing w:line="360" w:lineRule="auto"/>
        <w:ind w:right="-720"/>
        <w:jc w:val="both"/>
        <w:rPr>
          <w:rFonts w:ascii="Book Antiqua" w:hAnsi="Book Antiqua" w:cs="Times New Roman"/>
          <w:b/>
        </w:rPr>
      </w:pPr>
      <w:r w:rsidRPr="009D0ABF">
        <w:rPr>
          <w:rFonts w:ascii="Book Antiqua" w:hAnsi="Book Antiqua" w:cs="Times New Roman"/>
          <w:b/>
        </w:rPr>
        <w:t>Footnotes</w:t>
      </w:r>
    </w:p>
    <w:p w14:paraId="6A5A0B3C" w14:textId="77777777" w:rsidR="009D0ABF" w:rsidRPr="00EC514F" w:rsidRDefault="009D0ABF" w:rsidP="009D0ABF">
      <w:pPr>
        <w:pStyle w:val="a4"/>
        <w:snapToGrid w:val="0"/>
        <w:spacing w:after="0" w:line="36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9D0ABF">
        <w:rPr>
          <w:rFonts w:ascii="Book Antiqua" w:hAnsi="Book Antiqua"/>
          <w:b/>
          <w:sz w:val="24"/>
          <w:szCs w:val="24"/>
        </w:rPr>
        <w:t xml:space="preserve">Conflict-of-interest statement: </w:t>
      </w:r>
      <w:r w:rsidRPr="00EC514F">
        <w:rPr>
          <w:rFonts w:ascii="Book Antiqua" w:hAnsi="Book Antiqua" w:cs="Arial"/>
          <w:bCs/>
          <w:sz w:val="24"/>
          <w:szCs w:val="24"/>
        </w:rPr>
        <w:t>None of the authors have any conflicts of interest or financial ties to disclose related to the current study.</w:t>
      </w:r>
    </w:p>
    <w:p w14:paraId="653B04A4" w14:textId="04E7E26C" w:rsidR="003B219F" w:rsidRPr="00EC514F" w:rsidRDefault="003B219F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</w:p>
    <w:p w14:paraId="7A5BB7EA" w14:textId="77777777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kern w:val="2"/>
          <w:lang w:eastAsia="zh-CN"/>
        </w:rPr>
      </w:pPr>
      <w:r w:rsidRPr="009D0ABF">
        <w:rPr>
          <w:rFonts w:ascii="Book Antiqua" w:eastAsia="宋体" w:hAnsi="Book Antiqua" w:cs="Times New Roman"/>
          <w:b/>
          <w:color w:val="000000"/>
          <w:kern w:val="2"/>
          <w:lang w:eastAsia="zh-CN"/>
        </w:rPr>
        <w:t>Open-Access:</w:t>
      </w:r>
      <w:r w:rsidRPr="009D0ABF">
        <w:rPr>
          <w:rFonts w:ascii="Book Antiqua" w:eastAsia="宋体" w:hAnsi="Book Antiqua" w:cs="Times New Roman"/>
          <w:color w:val="000000"/>
          <w:kern w:val="2"/>
          <w:lang w:eastAsia="zh-CN"/>
        </w:rPr>
        <w:t xml:space="preserve"> This article is an open-access </w:t>
      </w:r>
      <w:r w:rsidRPr="009D0ABF">
        <w:rPr>
          <w:rFonts w:ascii="Book Antiqua" w:eastAsia="宋体" w:hAnsi="Book Antiqua" w:cs="Times New Roman"/>
          <w:kern w:val="2"/>
          <w:lang w:eastAsia="zh-CN"/>
        </w:rPr>
        <w:t xml:space="preserve">article that was selected </w:t>
      </w:r>
      <w:r w:rsidRPr="009D0ABF">
        <w:rPr>
          <w:rFonts w:ascii="Book Antiqua" w:eastAsia="宋体" w:hAnsi="Book Antiqua" w:cs="Times New Roman"/>
          <w:color w:val="000000"/>
          <w:kern w:val="2"/>
          <w:lang w:eastAsia="zh-CN"/>
        </w:rPr>
        <w:t xml:space="preserve">by an in-house editor and fully peer-reviewed by external reviewers. It is distributed in accordance with the Creative Commons Attribution </w:t>
      </w:r>
      <w:proofErr w:type="spellStart"/>
      <w:r w:rsidRPr="009D0ABF">
        <w:rPr>
          <w:rFonts w:ascii="Book Antiqua" w:eastAsia="宋体" w:hAnsi="Book Antiqua" w:cs="Times New Roman"/>
          <w:color w:val="000000"/>
          <w:kern w:val="2"/>
          <w:lang w:eastAsia="zh-CN"/>
        </w:rPr>
        <w:t>NonCommercial</w:t>
      </w:r>
      <w:proofErr w:type="spellEnd"/>
      <w:r w:rsidRPr="009D0ABF">
        <w:rPr>
          <w:rFonts w:ascii="Book Antiqua" w:eastAsia="宋体" w:hAnsi="Book Antiqua" w:cs="Times New Roman"/>
          <w:color w:val="000000"/>
          <w:kern w:val="2"/>
          <w:lang w:eastAsia="zh-CN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BAB950E" w14:textId="77777777" w:rsidR="009D0ABF" w:rsidRPr="009D0ABF" w:rsidRDefault="009D0ABF" w:rsidP="009D0ABF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7081F61A" w14:textId="7E347789" w:rsidR="009D0ABF" w:rsidRPr="009D0ABF" w:rsidRDefault="009D0ABF" w:rsidP="009D0ABF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Cs/>
          <w:color w:val="000000"/>
          <w:lang w:val="fr-FR" w:eastAsia="pl-PL"/>
        </w:rPr>
      </w:pPr>
      <w:r w:rsidRPr="009D0ABF">
        <w:rPr>
          <w:rFonts w:ascii="Book Antiqua" w:eastAsia="宋体" w:hAnsi="Book Antiqua" w:cs="Times New Roman"/>
          <w:b/>
          <w:bCs/>
          <w:color w:val="000000"/>
          <w:lang w:val="fr-FR" w:eastAsia="pl-PL"/>
        </w:rPr>
        <w:t>Manuscript source:</w:t>
      </w:r>
      <w:r w:rsidRPr="009D0ABF">
        <w:rPr>
          <w:rFonts w:ascii="Book Antiqua" w:eastAsia="宋体" w:hAnsi="Book Antiqua" w:cs="Times New Roman"/>
          <w:b/>
          <w:bCs/>
          <w:color w:val="000000"/>
          <w:lang w:val="fr-FR" w:eastAsia="zh-CN"/>
        </w:rPr>
        <w:t xml:space="preserve"> </w:t>
      </w:r>
      <w:r w:rsidR="00924B13" w:rsidRPr="00924B13">
        <w:rPr>
          <w:rFonts w:ascii="Book Antiqua" w:eastAsia="宋体" w:hAnsi="Book Antiqua" w:cs="Times New Roman"/>
          <w:bCs/>
          <w:color w:val="000000"/>
          <w:lang w:val="fr-FR" w:eastAsia="pl-PL"/>
        </w:rPr>
        <w:t>Invited</w:t>
      </w:r>
      <w:r w:rsidRPr="009D0ABF">
        <w:rPr>
          <w:rFonts w:ascii="Book Antiqua" w:eastAsia="宋体" w:hAnsi="Book Antiqua" w:cs="Times New Roman"/>
          <w:bCs/>
          <w:color w:val="000000"/>
          <w:lang w:val="fr-FR" w:eastAsia="pl-PL"/>
        </w:rPr>
        <w:t> manuscript</w:t>
      </w:r>
    </w:p>
    <w:p w14:paraId="44CB303E" w14:textId="77777777" w:rsidR="009D0ABF" w:rsidRPr="009D0ABF" w:rsidRDefault="009D0ABF" w:rsidP="009D0ABF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bCs/>
          <w:color w:val="000000"/>
          <w:lang w:val="fr-FR" w:eastAsia="zh-CN"/>
        </w:rPr>
      </w:pPr>
    </w:p>
    <w:p w14:paraId="42068A79" w14:textId="1E2B8558" w:rsidR="009D0ABF" w:rsidRPr="009D0ABF" w:rsidRDefault="009D0ABF" w:rsidP="009D0ABF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9D0ABF">
        <w:rPr>
          <w:rFonts w:ascii="Book Antiqua" w:eastAsia="宋体" w:hAnsi="Book Antiqua" w:cs="Times New Roman"/>
          <w:b/>
        </w:rPr>
        <w:t>Peer-review started:</w:t>
      </w:r>
      <w:r w:rsidRPr="009D0ABF">
        <w:rPr>
          <w:rFonts w:ascii="Book Antiqua" w:eastAsia="宋体" w:hAnsi="Book Antiqua" w:cs="Times New Roman"/>
          <w:b/>
          <w:lang w:eastAsia="zh-CN"/>
        </w:rPr>
        <w:t xml:space="preserve"> </w:t>
      </w:r>
      <w:r w:rsidR="00D04C6F">
        <w:rPr>
          <w:rFonts w:ascii="Book Antiqua" w:eastAsia="宋体" w:hAnsi="Book Antiqua" w:cs="Times New Roman"/>
          <w:lang w:eastAsia="zh-CN"/>
        </w:rPr>
        <w:t>February</w:t>
      </w:r>
      <w:r w:rsidR="00D04C6F" w:rsidRPr="009D0ABF">
        <w:rPr>
          <w:rFonts w:ascii="Book Antiqua" w:eastAsia="宋体" w:hAnsi="Book Antiqua" w:cs="Times New Roman"/>
          <w:lang w:eastAsia="zh-CN"/>
        </w:rPr>
        <w:t xml:space="preserve"> 2</w:t>
      </w:r>
      <w:r w:rsidR="00D04C6F">
        <w:rPr>
          <w:rFonts w:ascii="Book Antiqua" w:eastAsia="宋体" w:hAnsi="Book Antiqua" w:cs="Times New Roman"/>
          <w:lang w:eastAsia="zh-CN"/>
        </w:rPr>
        <w:t>5</w:t>
      </w:r>
      <w:r w:rsidR="00D04C6F" w:rsidRPr="009D0ABF">
        <w:rPr>
          <w:rFonts w:ascii="Book Antiqua" w:eastAsia="宋体" w:hAnsi="Book Antiqua" w:cs="Times New Roman"/>
          <w:lang w:eastAsia="zh-CN"/>
        </w:rPr>
        <w:t>, 2020</w:t>
      </w:r>
    </w:p>
    <w:p w14:paraId="0FFB1688" w14:textId="10A7C69F" w:rsidR="009D0ABF" w:rsidRPr="009D0ABF" w:rsidRDefault="009D0ABF" w:rsidP="009D0ABF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9D0ABF">
        <w:rPr>
          <w:rFonts w:ascii="Book Antiqua" w:eastAsia="宋体" w:hAnsi="Book Antiqua" w:cs="Times New Roman"/>
          <w:b/>
        </w:rPr>
        <w:t>First decision:</w:t>
      </w:r>
      <w:r w:rsidRPr="009D0ABF">
        <w:rPr>
          <w:rFonts w:ascii="Book Antiqua" w:eastAsia="宋体" w:hAnsi="Book Antiqua" w:cs="Times New Roman"/>
          <w:b/>
          <w:lang w:eastAsia="zh-CN"/>
        </w:rPr>
        <w:t xml:space="preserve"> </w:t>
      </w:r>
      <w:r w:rsidR="00D04C6F">
        <w:rPr>
          <w:rFonts w:ascii="Book Antiqua" w:eastAsia="宋体" w:hAnsi="Book Antiqua" w:cs="Times New Roman"/>
          <w:lang w:eastAsia="zh-CN"/>
        </w:rPr>
        <w:t xml:space="preserve">April </w:t>
      </w:r>
      <w:r w:rsidRPr="009D0ABF">
        <w:rPr>
          <w:rFonts w:ascii="Book Antiqua" w:eastAsia="宋体" w:hAnsi="Book Antiqua" w:cs="Times New Roman"/>
          <w:lang w:eastAsia="zh-CN"/>
        </w:rPr>
        <w:t>2</w:t>
      </w:r>
      <w:r w:rsidR="00D04C6F">
        <w:rPr>
          <w:rFonts w:ascii="Book Antiqua" w:eastAsia="宋体" w:hAnsi="Book Antiqua" w:cs="Times New Roman"/>
          <w:lang w:eastAsia="zh-CN"/>
        </w:rPr>
        <w:t>2</w:t>
      </w:r>
      <w:r w:rsidRPr="009D0ABF">
        <w:rPr>
          <w:rFonts w:ascii="Book Antiqua" w:eastAsia="宋体" w:hAnsi="Book Antiqua" w:cs="Times New Roman"/>
          <w:lang w:eastAsia="zh-CN"/>
        </w:rPr>
        <w:t>, 2020</w:t>
      </w:r>
    </w:p>
    <w:p w14:paraId="2E9C1954" w14:textId="77777777" w:rsidR="009D0ABF" w:rsidRPr="009D0ABF" w:rsidRDefault="009D0ABF" w:rsidP="009D0ABF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lang w:eastAsia="zh-CN"/>
        </w:rPr>
      </w:pPr>
      <w:r w:rsidRPr="009D0ABF">
        <w:rPr>
          <w:rFonts w:ascii="Book Antiqua" w:eastAsia="宋体" w:hAnsi="Book Antiqua" w:cs="Times New Roman"/>
          <w:b/>
        </w:rPr>
        <w:t>Article in press:</w:t>
      </w:r>
    </w:p>
    <w:p w14:paraId="35846EA7" w14:textId="77777777" w:rsidR="009D0ABF" w:rsidRPr="009D0ABF" w:rsidRDefault="009D0ABF" w:rsidP="009D0ABF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lang w:eastAsia="zh-CN"/>
        </w:rPr>
      </w:pPr>
    </w:p>
    <w:p w14:paraId="3495CCEB" w14:textId="77777777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微软雅黑" w:hAnsi="Book Antiqua" w:cs="Times New Roman"/>
          <w:lang w:val="fr-FR" w:eastAsia="zh-CN"/>
        </w:rPr>
      </w:pPr>
      <w:r w:rsidRPr="009D0ABF">
        <w:rPr>
          <w:rFonts w:ascii="Book Antiqua" w:eastAsia="宋体" w:hAnsi="Book Antiqua" w:cs="Times New Roman"/>
          <w:b/>
          <w:lang w:val="fr-FR" w:eastAsia="zh-CN"/>
        </w:rPr>
        <w:t xml:space="preserve">Specialty type: </w:t>
      </w:r>
      <w:r w:rsidRPr="009D0ABF">
        <w:rPr>
          <w:rFonts w:ascii="Book Antiqua" w:eastAsia="微软雅黑" w:hAnsi="Book Antiqua" w:cs="Times New Roman"/>
          <w:lang w:val="fr-FR" w:eastAsia="zh-CN"/>
        </w:rPr>
        <w:t>Gastroenterology and hepatology</w:t>
      </w:r>
    </w:p>
    <w:p w14:paraId="71E31B73" w14:textId="0BAF6D31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fr-FR" w:eastAsia="zh-CN"/>
        </w:rPr>
      </w:pPr>
      <w:r w:rsidRPr="009D0ABF">
        <w:rPr>
          <w:rFonts w:ascii="Book Antiqua" w:eastAsia="宋体" w:hAnsi="Book Antiqua" w:cs="Times New Roman"/>
          <w:b/>
          <w:lang w:val="fr-FR" w:eastAsia="zh-CN"/>
        </w:rPr>
        <w:t xml:space="preserve">Country/Territory of origin: </w:t>
      </w:r>
      <w:r w:rsidR="00924B13" w:rsidRPr="00924B13">
        <w:rPr>
          <w:rFonts w:ascii="Book Antiqua" w:eastAsia="宋体" w:hAnsi="Book Antiqua" w:cs="Times New Roman"/>
          <w:lang w:eastAsia="zh-CN"/>
        </w:rPr>
        <w:t>United States</w:t>
      </w:r>
    </w:p>
    <w:p w14:paraId="30A100F1" w14:textId="77777777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/>
          <w:lang w:val="fr-FR" w:eastAsia="zh-CN"/>
        </w:rPr>
      </w:pPr>
      <w:r w:rsidRPr="009D0ABF">
        <w:rPr>
          <w:rFonts w:ascii="Book Antiqua" w:eastAsia="宋体" w:hAnsi="Book Antiqua" w:cs="Times New Roman"/>
          <w:b/>
          <w:lang w:val="fr-FR" w:eastAsia="zh-CN"/>
        </w:rPr>
        <w:t>Peer-review report’s scientific quality classification</w:t>
      </w:r>
    </w:p>
    <w:p w14:paraId="2BADE243" w14:textId="77777777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fr-FR" w:eastAsia="zh-CN"/>
        </w:rPr>
      </w:pPr>
      <w:r w:rsidRPr="009D0ABF">
        <w:rPr>
          <w:rFonts w:ascii="Book Antiqua" w:eastAsia="宋体" w:hAnsi="Book Antiqua" w:cs="Times New Roman"/>
          <w:lang w:val="fr-FR" w:eastAsia="zh-CN"/>
        </w:rPr>
        <w:t>Grade A (Excellent): 0</w:t>
      </w:r>
    </w:p>
    <w:p w14:paraId="48CDED78" w14:textId="77777777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fr-FR" w:eastAsia="zh-CN"/>
        </w:rPr>
      </w:pPr>
      <w:r w:rsidRPr="009D0ABF">
        <w:rPr>
          <w:rFonts w:ascii="Book Antiqua" w:eastAsia="宋体" w:hAnsi="Book Antiqua" w:cs="Times New Roman"/>
          <w:lang w:val="fr-FR" w:eastAsia="zh-CN"/>
        </w:rPr>
        <w:t>Grade B (Very good): B</w:t>
      </w:r>
    </w:p>
    <w:p w14:paraId="1F1BF93A" w14:textId="77777777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fr-FR" w:eastAsia="zh-CN"/>
        </w:rPr>
      </w:pPr>
      <w:r w:rsidRPr="009D0ABF">
        <w:rPr>
          <w:rFonts w:ascii="Book Antiqua" w:eastAsia="宋体" w:hAnsi="Book Antiqua" w:cs="Times New Roman"/>
          <w:lang w:val="fr-FR" w:eastAsia="zh-CN"/>
        </w:rPr>
        <w:t>Grade C (Good): 0</w:t>
      </w:r>
    </w:p>
    <w:p w14:paraId="0F34D760" w14:textId="77777777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lang w:val="fr-FR" w:eastAsia="zh-CN"/>
        </w:rPr>
      </w:pPr>
      <w:r w:rsidRPr="009D0ABF">
        <w:rPr>
          <w:rFonts w:ascii="Book Antiqua" w:eastAsia="宋体" w:hAnsi="Book Antiqua" w:cs="Times New Roman"/>
          <w:lang w:val="fr-FR" w:eastAsia="zh-CN"/>
        </w:rPr>
        <w:t>Grade D (Fair): 0</w:t>
      </w:r>
    </w:p>
    <w:p w14:paraId="79374547" w14:textId="77777777" w:rsidR="009D0ABF" w:rsidRPr="009D0ABF" w:rsidRDefault="009D0ABF" w:rsidP="009D0ABF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lang w:val="hu-HU" w:eastAsia="zh-CN"/>
        </w:rPr>
      </w:pPr>
      <w:r w:rsidRPr="009D0ABF">
        <w:rPr>
          <w:rFonts w:ascii="Book Antiqua" w:eastAsia="宋体" w:hAnsi="Book Antiqua" w:cs="Times New Roman"/>
          <w:lang w:val="fr-FR" w:eastAsia="zh-CN"/>
        </w:rPr>
        <w:t>Grade E (Poor): 0</w:t>
      </w:r>
    </w:p>
    <w:p w14:paraId="5869B8F7" w14:textId="77777777" w:rsidR="009D0ABF" w:rsidRPr="009D0ABF" w:rsidRDefault="009D0ABF" w:rsidP="009D0ABF">
      <w:pPr>
        <w:adjustRightInd w:val="0"/>
        <w:snapToGrid w:val="0"/>
        <w:spacing w:line="360" w:lineRule="auto"/>
        <w:ind w:right="361"/>
        <w:rPr>
          <w:rFonts w:ascii="Book Antiqua" w:eastAsia="宋体" w:hAnsi="Book Antiqua" w:cs="Times New Roman"/>
          <w:lang w:eastAsia="zh-CN"/>
        </w:rPr>
      </w:pPr>
    </w:p>
    <w:p w14:paraId="423F824A" w14:textId="36866C65" w:rsidR="00E64164" w:rsidRPr="009D0ABF" w:rsidRDefault="009D0ABF" w:rsidP="009D0ABF">
      <w:pPr>
        <w:adjustRightInd w:val="0"/>
        <w:snapToGrid w:val="0"/>
        <w:spacing w:line="360" w:lineRule="auto"/>
        <w:ind w:right="361"/>
        <w:rPr>
          <w:rFonts w:ascii="Book Antiqua" w:eastAsia="宋体" w:hAnsi="Book Antiqua" w:cs="Times New Roman"/>
          <w:b/>
          <w:bCs/>
          <w:lang w:eastAsia="zh-CN"/>
        </w:rPr>
      </w:pPr>
      <w:r w:rsidRPr="009D0ABF">
        <w:rPr>
          <w:rFonts w:ascii="Book Antiqua" w:eastAsia="宋体" w:hAnsi="Book Antiqua" w:cs="Times New Roman"/>
          <w:b/>
        </w:rPr>
        <w:t>P-Reviewer</w:t>
      </w:r>
      <w:r w:rsidRPr="009D0ABF">
        <w:rPr>
          <w:rFonts w:ascii="Book Antiqua" w:eastAsia="宋体" w:hAnsi="Book Antiqua" w:cs="Times New Roman"/>
          <w:b/>
          <w:lang w:eastAsia="zh-CN"/>
        </w:rPr>
        <w:t>:</w:t>
      </w:r>
      <w:r w:rsidR="003339C6">
        <w:rPr>
          <w:rFonts w:ascii="Book Antiqua" w:eastAsia="宋体" w:hAnsi="Book Antiqua" w:cs="Times New Roman"/>
          <w:bCs/>
        </w:rPr>
        <w:t xml:space="preserve"> </w:t>
      </w:r>
      <w:r w:rsidR="003339C6" w:rsidRPr="003339C6">
        <w:rPr>
          <w:rFonts w:ascii="Book Antiqua" w:eastAsia="宋体" w:hAnsi="Book Antiqua" w:cs="Times New Roman"/>
          <w:bCs/>
        </w:rPr>
        <w:t xml:space="preserve">Ribeiro </w:t>
      </w:r>
      <w:r w:rsidR="003339C6">
        <w:rPr>
          <w:rFonts w:ascii="Book Antiqua" w:eastAsia="宋体" w:hAnsi="Book Antiqua" w:cs="Times New Roman"/>
          <w:bCs/>
        </w:rPr>
        <w:t xml:space="preserve">IB </w:t>
      </w:r>
      <w:r w:rsidRPr="009D0ABF">
        <w:rPr>
          <w:rFonts w:ascii="Book Antiqua" w:eastAsia="宋体" w:hAnsi="Book Antiqua" w:cs="Times New Roman"/>
          <w:b/>
          <w:bCs/>
        </w:rPr>
        <w:t>S-Editor</w:t>
      </w:r>
      <w:r w:rsidRPr="009D0ABF">
        <w:rPr>
          <w:rFonts w:ascii="Book Antiqua" w:eastAsia="宋体" w:hAnsi="Book Antiqua" w:cs="Times New Roman"/>
          <w:b/>
          <w:bCs/>
          <w:lang w:eastAsia="zh-CN"/>
        </w:rPr>
        <w:t>:</w:t>
      </w:r>
      <w:r w:rsidRPr="009D0ABF">
        <w:rPr>
          <w:rFonts w:ascii="Book Antiqua" w:eastAsia="宋体" w:hAnsi="Book Antiqua" w:cs="Times New Roman"/>
          <w:bCs/>
        </w:rPr>
        <w:t xml:space="preserve"> </w:t>
      </w:r>
      <w:r w:rsidRPr="009D0ABF">
        <w:rPr>
          <w:rFonts w:ascii="Book Antiqua" w:eastAsia="宋体" w:hAnsi="Book Antiqua" w:cs="Times New Roman"/>
          <w:bCs/>
          <w:lang w:eastAsia="zh-CN"/>
        </w:rPr>
        <w:t>Gong ZM</w:t>
      </w:r>
      <w:r w:rsidRPr="009D0ABF">
        <w:rPr>
          <w:rFonts w:ascii="Book Antiqua" w:eastAsia="宋体" w:hAnsi="Book Antiqua" w:cs="Times New Roman"/>
          <w:b/>
          <w:bCs/>
        </w:rPr>
        <w:t xml:space="preserve"> L-Editor</w:t>
      </w:r>
      <w:r w:rsidRPr="009D0ABF">
        <w:rPr>
          <w:rFonts w:ascii="Book Antiqua" w:eastAsia="宋体" w:hAnsi="Book Antiqua" w:cs="Times New Roman"/>
          <w:b/>
          <w:bCs/>
          <w:lang w:eastAsia="zh-CN"/>
        </w:rPr>
        <w:t>:</w:t>
      </w:r>
      <w:r w:rsidRPr="009D0ABF">
        <w:rPr>
          <w:rFonts w:ascii="Book Antiqua" w:eastAsia="宋体" w:hAnsi="Book Antiqua" w:cs="Times New Roman"/>
          <w:b/>
          <w:bCs/>
        </w:rPr>
        <w:t xml:space="preserve"> E-Editor</w:t>
      </w:r>
      <w:r w:rsidRPr="009D0ABF">
        <w:rPr>
          <w:rFonts w:ascii="Book Antiqua" w:eastAsia="宋体" w:hAnsi="Book Antiqua" w:cs="Times New Roman"/>
          <w:b/>
          <w:bCs/>
          <w:lang w:eastAsia="zh-CN"/>
        </w:rPr>
        <w:t>:</w:t>
      </w:r>
    </w:p>
    <w:p w14:paraId="7D99E11E" w14:textId="6605844E" w:rsidR="001E1BC0" w:rsidRPr="00EC514F" w:rsidRDefault="009D0ABF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9D0ABF">
        <w:rPr>
          <w:rFonts w:ascii="Book Antiqua" w:hAnsi="Book Antiqua"/>
          <w:b/>
          <w:color w:val="000000"/>
        </w:rPr>
        <w:lastRenderedPageBreak/>
        <w:t>Figure Legends</w:t>
      </w:r>
    </w:p>
    <w:p w14:paraId="53B05C01" w14:textId="72613985" w:rsidR="006E58CD" w:rsidRPr="006E58CD" w:rsidRDefault="0005194C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  <w:r w:rsidRPr="00EC514F">
        <w:rPr>
          <w:rFonts w:ascii="Book Antiqua" w:hAnsi="Book Antiqua" w:cs="Helvetica"/>
          <w:noProof/>
          <w:lang w:eastAsia="zh-CN"/>
        </w:rPr>
        <w:drawing>
          <wp:inline distT="0" distB="0" distL="0" distR="0" wp14:anchorId="18DDF6F9" wp14:editId="165865FB">
            <wp:extent cx="5486400" cy="2950210"/>
            <wp:effectExtent l="76200" t="0" r="9525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92CD4144-EEF0-4118-93C4-38457578F8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9D0ABF" w:rsidRPr="00EC514F">
        <w:rPr>
          <w:rFonts w:ascii="Book Antiqua" w:hAnsi="Book Antiqua"/>
          <w:b/>
          <w:color w:val="000000"/>
        </w:rPr>
        <w:t>Figure 1</w:t>
      </w:r>
      <w:r w:rsidR="009D0ABF">
        <w:rPr>
          <w:rFonts w:ascii="Book Antiqua" w:hAnsi="Book Antiqua"/>
          <w:b/>
          <w:color w:val="000000"/>
        </w:rPr>
        <w:t xml:space="preserve"> </w:t>
      </w:r>
      <w:r w:rsidR="009D0ABF" w:rsidRPr="00EC514F">
        <w:rPr>
          <w:rFonts w:ascii="Book Antiqua" w:hAnsi="Book Antiqua"/>
          <w:b/>
          <w:color w:val="000000"/>
        </w:rPr>
        <w:t xml:space="preserve">Pathophysiology of </w:t>
      </w:r>
      <w:r w:rsidR="00CB3B73" w:rsidRPr="00CB3B73">
        <w:rPr>
          <w:rFonts w:ascii="Book Antiqua" w:hAnsi="Book Antiqua"/>
          <w:b/>
          <w:color w:val="000000"/>
        </w:rPr>
        <w:t xml:space="preserve">gastrointestinal </w:t>
      </w:r>
      <w:r w:rsidR="00A203BC" w:rsidRPr="00EC514F">
        <w:rPr>
          <w:rFonts w:ascii="Book Antiqua" w:hAnsi="Book Antiqua"/>
          <w:b/>
          <w:color w:val="000000"/>
        </w:rPr>
        <w:t>b</w:t>
      </w:r>
      <w:r w:rsidR="009D0ABF" w:rsidRPr="00EC514F">
        <w:rPr>
          <w:rFonts w:ascii="Book Antiqua" w:hAnsi="Book Antiqua"/>
          <w:b/>
          <w:color w:val="000000"/>
        </w:rPr>
        <w:t xml:space="preserve">leeding in </w:t>
      </w:r>
      <w:r w:rsidR="00CB3B73" w:rsidRPr="00CB3B73">
        <w:rPr>
          <w:rFonts w:ascii="Book Antiqua" w:hAnsi="Book Antiqua"/>
          <w:b/>
          <w:color w:val="000000"/>
        </w:rPr>
        <w:t>left ventricular assist device</w:t>
      </w:r>
      <w:r w:rsidR="009D0ABF" w:rsidRPr="00EC514F">
        <w:rPr>
          <w:rFonts w:ascii="Book Antiqua" w:hAnsi="Book Antiqua"/>
          <w:b/>
          <w:color w:val="000000"/>
        </w:rPr>
        <w:t xml:space="preserve"> </w:t>
      </w:r>
      <w:r w:rsidR="00A203BC" w:rsidRPr="00EC514F">
        <w:rPr>
          <w:rFonts w:ascii="Book Antiqua" w:hAnsi="Book Antiqua"/>
          <w:b/>
          <w:color w:val="000000"/>
        </w:rPr>
        <w:t>p</w:t>
      </w:r>
      <w:r w:rsidR="009D0ABF" w:rsidRPr="00EC514F">
        <w:rPr>
          <w:rFonts w:ascii="Book Antiqua" w:hAnsi="Book Antiqua"/>
          <w:b/>
          <w:color w:val="000000"/>
        </w:rPr>
        <w:t>atients</w:t>
      </w:r>
      <w:r w:rsidR="009D0ABF">
        <w:rPr>
          <w:rFonts w:ascii="Book Antiqua" w:eastAsia="宋体" w:hAnsi="Book Antiqua" w:hint="eastAsia"/>
          <w:b/>
          <w:color w:val="000000"/>
          <w:lang w:eastAsia="zh-CN"/>
        </w:rPr>
        <w:t>.</w:t>
      </w:r>
      <w:r w:rsidR="00CE7815">
        <w:rPr>
          <w:rFonts w:ascii="Book Antiqua" w:eastAsia="宋体" w:hAnsi="Book Antiqua"/>
          <w:b/>
          <w:color w:val="000000"/>
          <w:lang w:eastAsia="zh-CN"/>
        </w:rPr>
        <w:t xml:space="preserve"> </w:t>
      </w:r>
      <w:r w:rsidR="00CE7815" w:rsidRPr="00CE7815">
        <w:rPr>
          <w:rFonts w:ascii="Book Antiqua" w:eastAsia="宋体" w:hAnsi="Book Antiqua"/>
          <w:color w:val="000000"/>
          <w:lang w:eastAsia="zh-CN"/>
        </w:rPr>
        <w:t xml:space="preserve">LVAD: </w:t>
      </w:r>
      <w:r w:rsidR="00CE7815" w:rsidRPr="00CE7815">
        <w:rPr>
          <w:rFonts w:ascii="Book Antiqua" w:hAnsi="Book Antiqua"/>
          <w:caps/>
          <w:color w:val="000000"/>
        </w:rPr>
        <w:t>l</w:t>
      </w:r>
      <w:r w:rsidR="00CE7815" w:rsidRPr="00CE7815">
        <w:rPr>
          <w:rFonts w:ascii="Book Antiqua" w:hAnsi="Book Antiqua"/>
          <w:color w:val="000000"/>
        </w:rPr>
        <w:t>eft ventricular assist device</w:t>
      </w:r>
      <w:r w:rsidR="006E58CD">
        <w:rPr>
          <w:rFonts w:ascii="Book Antiqua" w:hAnsi="Book Antiqua"/>
          <w:color w:val="000000"/>
        </w:rPr>
        <w:t xml:space="preserve">; </w:t>
      </w:r>
      <w:proofErr w:type="spellStart"/>
      <w:r w:rsidR="006E58CD">
        <w:rPr>
          <w:rFonts w:ascii="Book Antiqua" w:hAnsi="Book Antiqua"/>
          <w:color w:val="000000"/>
        </w:rPr>
        <w:t>vWF</w:t>
      </w:r>
      <w:proofErr w:type="spellEnd"/>
      <w:r w:rsidR="006E58CD">
        <w:rPr>
          <w:rFonts w:ascii="Book Antiqua" w:eastAsia="宋体" w:hAnsi="Book Antiqua" w:hint="eastAsia"/>
          <w:color w:val="000000"/>
          <w:lang w:eastAsia="zh-CN"/>
        </w:rPr>
        <w:t>:</w:t>
      </w:r>
      <w:r w:rsidR="006E58CD">
        <w:rPr>
          <w:rFonts w:ascii="Book Antiqua" w:eastAsia="宋体" w:hAnsi="Book Antiqua"/>
          <w:color w:val="000000"/>
          <w:lang w:eastAsia="zh-CN"/>
        </w:rPr>
        <w:t xml:space="preserve"> </w:t>
      </w:r>
      <w:r w:rsidR="006E58CD" w:rsidRPr="00EC514F">
        <w:rPr>
          <w:rFonts w:ascii="Book Antiqua" w:hAnsi="Book Antiqua"/>
        </w:rPr>
        <w:t>von Willebrand factor</w:t>
      </w:r>
      <w:r w:rsidR="006E58CD">
        <w:rPr>
          <w:rFonts w:ascii="Book Antiqua" w:hAnsi="Book Antiqua"/>
        </w:rPr>
        <w:t>.</w:t>
      </w:r>
    </w:p>
    <w:p w14:paraId="5260D21A" w14:textId="77777777" w:rsidR="009D0ABF" w:rsidRDefault="009D0ABF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br w:type="page"/>
      </w:r>
    </w:p>
    <w:p w14:paraId="5566ACBF" w14:textId="1AA5EFBD" w:rsidR="00BC55F5" w:rsidRDefault="00D5777B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D5777B">
        <w:rPr>
          <w:rFonts w:ascii="Book Antiqua" w:hAnsi="Book Antiqua"/>
          <w:b/>
          <w:color w:val="000000"/>
        </w:rPr>
        <w:lastRenderedPageBreak/>
        <w:t xml:space="preserve">   </w:t>
      </w:r>
      <w:r w:rsidRPr="00D5777B">
        <w:rPr>
          <w:rFonts w:ascii="Book Antiqua" w:hAnsi="Book Antiqua"/>
          <w:b/>
          <w:noProof/>
          <w:color w:val="000000"/>
          <w:lang w:eastAsia="zh-CN"/>
        </w:rPr>
        <w:drawing>
          <wp:inline distT="0" distB="0" distL="0" distR="0" wp14:anchorId="60DE1583" wp14:editId="21A9D1EA">
            <wp:extent cx="5486400" cy="6115050"/>
            <wp:effectExtent l="0" t="0" r="0" b="0"/>
            <wp:docPr id="9" name="图片 9" descr="C:\Users\Admin\Desktop\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图片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58E25" w14:textId="66DAD4DC" w:rsidR="00DF1348" w:rsidRPr="00A203BC" w:rsidRDefault="009D0ABF" w:rsidP="0015139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EC514F">
        <w:rPr>
          <w:rFonts w:ascii="Book Antiqua" w:hAnsi="Book Antiqua"/>
          <w:b/>
          <w:color w:val="000000"/>
        </w:rPr>
        <w:t>Figure 2</w:t>
      </w:r>
      <w:r w:rsidR="00CA1493">
        <w:rPr>
          <w:rFonts w:ascii="Book Antiqua" w:hAnsi="Book Antiqua"/>
          <w:b/>
          <w:color w:val="000000"/>
        </w:rPr>
        <w:t xml:space="preserve"> </w:t>
      </w:r>
      <w:r w:rsidRPr="00EC514F">
        <w:rPr>
          <w:rFonts w:ascii="Book Antiqua" w:hAnsi="Book Antiqua"/>
          <w:b/>
          <w:color w:val="000000"/>
        </w:rPr>
        <w:t xml:space="preserve">Treatment </w:t>
      </w:r>
      <w:r w:rsidR="00A203BC" w:rsidRPr="00EC514F">
        <w:rPr>
          <w:rFonts w:ascii="Book Antiqua" w:hAnsi="Book Antiqua"/>
          <w:b/>
          <w:color w:val="000000"/>
        </w:rPr>
        <w:t>a</w:t>
      </w:r>
      <w:r w:rsidRPr="00EC514F">
        <w:rPr>
          <w:rFonts w:ascii="Book Antiqua" w:hAnsi="Book Antiqua"/>
          <w:b/>
          <w:color w:val="000000"/>
        </w:rPr>
        <w:t xml:space="preserve">lgorithm for </w:t>
      </w:r>
      <w:r w:rsidR="00CB3B73" w:rsidRPr="00CB3B73">
        <w:rPr>
          <w:rFonts w:ascii="Book Antiqua" w:hAnsi="Book Antiqua"/>
          <w:b/>
          <w:color w:val="000000"/>
        </w:rPr>
        <w:t>left ventricular assist device</w:t>
      </w:r>
      <w:r w:rsidRPr="00EC514F">
        <w:rPr>
          <w:rFonts w:ascii="Book Antiqua" w:hAnsi="Book Antiqua"/>
          <w:b/>
          <w:color w:val="000000"/>
        </w:rPr>
        <w:t>-</w:t>
      </w:r>
      <w:r w:rsidR="00A203BC" w:rsidRPr="00EC514F">
        <w:rPr>
          <w:rFonts w:ascii="Book Antiqua" w:hAnsi="Book Antiqua"/>
          <w:b/>
          <w:color w:val="000000"/>
        </w:rPr>
        <w:t>r</w:t>
      </w:r>
      <w:r w:rsidRPr="00EC514F">
        <w:rPr>
          <w:rFonts w:ascii="Book Antiqua" w:hAnsi="Book Antiqua"/>
          <w:b/>
          <w:color w:val="000000"/>
        </w:rPr>
        <w:t xml:space="preserve">elated </w:t>
      </w:r>
      <w:r w:rsidR="00CB3B73" w:rsidRPr="00CB3B73">
        <w:rPr>
          <w:rFonts w:ascii="Book Antiqua" w:hAnsi="Book Antiqua"/>
          <w:b/>
          <w:color w:val="000000"/>
        </w:rPr>
        <w:t>gastrointestinal</w:t>
      </w:r>
      <w:r w:rsidR="00CB3B73">
        <w:rPr>
          <w:rFonts w:ascii="Book Antiqua" w:hAnsi="Book Antiqua"/>
          <w:b/>
          <w:color w:val="000000"/>
        </w:rPr>
        <w:t xml:space="preserve"> </w:t>
      </w:r>
      <w:r w:rsidR="00A203BC" w:rsidRPr="00EC514F">
        <w:rPr>
          <w:rFonts w:ascii="Book Antiqua" w:hAnsi="Book Antiqua"/>
          <w:b/>
          <w:color w:val="000000"/>
        </w:rPr>
        <w:t>b</w:t>
      </w:r>
      <w:r w:rsidRPr="00EC514F">
        <w:rPr>
          <w:rFonts w:ascii="Book Antiqua" w:hAnsi="Book Antiqua"/>
          <w:b/>
          <w:color w:val="000000"/>
        </w:rPr>
        <w:t>leeding</w:t>
      </w:r>
      <w:r w:rsidR="00A203BC">
        <w:rPr>
          <w:rFonts w:ascii="Book Antiqua" w:hAnsi="Book Antiqua"/>
          <w:b/>
          <w:color w:val="000000"/>
        </w:rPr>
        <w:t>.</w:t>
      </w:r>
      <w:r w:rsidR="00A203BC">
        <w:rPr>
          <w:rFonts w:ascii="Book Antiqua" w:eastAsia="宋体" w:hAnsi="Book Antiqua" w:hint="eastAsia"/>
          <w:b/>
          <w:color w:val="000000"/>
          <w:lang w:eastAsia="zh-CN"/>
        </w:rPr>
        <w:t xml:space="preserve"> </w:t>
      </w:r>
      <w:r w:rsidR="00DF1348" w:rsidRPr="00A203BC">
        <w:rPr>
          <w:rFonts w:ascii="Book Antiqua" w:hAnsi="Book Antiqua"/>
          <w:color w:val="000000"/>
        </w:rPr>
        <w:t xml:space="preserve">Angiogram and tagged </w:t>
      </w:r>
      <w:bookmarkStart w:id="36" w:name="OLE_LINK184"/>
      <w:bookmarkStart w:id="37" w:name="OLE_LINK185"/>
      <w:r w:rsidR="00DF1348" w:rsidRPr="00A203BC">
        <w:rPr>
          <w:rFonts w:ascii="Book Antiqua" w:hAnsi="Book Antiqua"/>
          <w:color w:val="000000"/>
        </w:rPr>
        <w:t>RBC</w:t>
      </w:r>
      <w:bookmarkEnd w:id="36"/>
      <w:bookmarkEnd w:id="37"/>
      <w:r w:rsidR="00DF1348" w:rsidRPr="00A203BC">
        <w:rPr>
          <w:rFonts w:ascii="Book Antiqua" w:hAnsi="Book Antiqua"/>
          <w:color w:val="000000"/>
        </w:rPr>
        <w:t xml:space="preserve"> scan are two common imaging </w:t>
      </w:r>
      <w:proofErr w:type="gramStart"/>
      <w:r w:rsidR="00DF1348" w:rsidRPr="00A203BC">
        <w:rPr>
          <w:rFonts w:ascii="Book Antiqua" w:hAnsi="Book Antiqua"/>
          <w:color w:val="000000"/>
        </w:rPr>
        <w:t>modality</w:t>
      </w:r>
      <w:proofErr w:type="gramEnd"/>
      <w:r w:rsidR="00DF1348" w:rsidRPr="00A203BC">
        <w:rPr>
          <w:rFonts w:ascii="Book Antiqua" w:hAnsi="Book Antiqua"/>
          <w:color w:val="000000"/>
        </w:rPr>
        <w:t xml:space="preserve"> to </w:t>
      </w:r>
      <w:r w:rsidR="001E1BC0" w:rsidRPr="00A203BC">
        <w:rPr>
          <w:rFonts w:ascii="Book Antiqua" w:hAnsi="Book Antiqua"/>
          <w:color w:val="000000"/>
        </w:rPr>
        <w:t>elucidate</w:t>
      </w:r>
      <w:r w:rsidR="00DF1348" w:rsidRPr="00A203BC">
        <w:rPr>
          <w:rFonts w:ascii="Book Antiqua" w:hAnsi="Book Antiqua"/>
          <w:color w:val="000000"/>
        </w:rPr>
        <w:t xml:space="preserve"> locations of bleed for further intervention.</w:t>
      </w:r>
      <w:r w:rsidR="00A203BC">
        <w:rPr>
          <w:rFonts w:ascii="Book Antiqua" w:eastAsia="宋体" w:hAnsi="Book Antiqua" w:hint="eastAsia"/>
          <w:b/>
          <w:color w:val="000000"/>
          <w:lang w:eastAsia="zh-CN"/>
        </w:rPr>
        <w:t xml:space="preserve"> </w:t>
      </w:r>
      <w:r w:rsidR="00DF1348" w:rsidRPr="00A203BC">
        <w:rPr>
          <w:rFonts w:ascii="Book Antiqua" w:hAnsi="Book Antiqua"/>
          <w:color w:val="000000"/>
        </w:rPr>
        <w:t xml:space="preserve">Iron deficiency is a common with chronic hemolysis in </w:t>
      </w:r>
      <w:r w:rsidR="00576433" w:rsidRPr="00576433">
        <w:rPr>
          <w:rFonts w:ascii="Book Antiqua" w:hAnsi="Book Antiqua"/>
          <w:color w:val="000000"/>
        </w:rPr>
        <w:t>left ventricular assist device</w:t>
      </w:r>
      <w:r w:rsidR="00DF1348" w:rsidRPr="00A203BC">
        <w:rPr>
          <w:rFonts w:ascii="Book Antiqua" w:hAnsi="Book Antiqua"/>
          <w:color w:val="000000"/>
        </w:rPr>
        <w:t xml:space="preserve"> patients. Iron replacement can be initiated after checking iron studies.</w:t>
      </w:r>
      <w:r w:rsidR="00B905E5">
        <w:rPr>
          <w:rFonts w:ascii="Book Antiqua" w:hAnsi="Book Antiqua"/>
          <w:color w:val="000000"/>
        </w:rPr>
        <w:t xml:space="preserve"> </w:t>
      </w:r>
      <w:r w:rsidR="00D5777B" w:rsidRPr="00CE7815">
        <w:rPr>
          <w:rFonts w:ascii="Book Antiqua" w:eastAsia="宋体" w:hAnsi="Book Antiqua"/>
          <w:color w:val="000000"/>
          <w:lang w:eastAsia="zh-CN"/>
        </w:rPr>
        <w:t xml:space="preserve">LVAD: </w:t>
      </w:r>
      <w:r w:rsidR="00D5777B" w:rsidRPr="00CE7815">
        <w:rPr>
          <w:rFonts w:ascii="Book Antiqua" w:hAnsi="Book Antiqua"/>
          <w:caps/>
          <w:color w:val="000000"/>
        </w:rPr>
        <w:t>l</w:t>
      </w:r>
      <w:r w:rsidR="00D5777B" w:rsidRPr="00CE7815">
        <w:rPr>
          <w:rFonts w:ascii="Book Antiqua" w:hAnsi="Book Antiqua"/>
          <w:color w:val="000000"/>
        </w:rPr>
        <w:t>eft ventricular assist device</w:t>
      </w:r>
      <w:r w:rsidR="00D5777B">
        <w:rPr>
          <w:rFonts w:ascii="Book Antiqua" w:hAnsi="Book Antiqua"/>
          <w:color w:val="000000"/>
        </w:rPr>
        <w:t xml:space="preserve">; GI: </w:t>
      </w:r>
      <w:r w:rsidR="00D5777B" w:rsidRPr="00D5777B">
        <w:rPr>
          <w:rFonts w:ascii="Book Antiqua" w:hAnsi="Book Antiqua"/>
          <w:caps/>
          <w:color w:val="000000"/>
        </w:rPr>
        <w:t>g</w:t>
      </w:r>
      <w:r w:rsidR="00D5777B" w:rsidRPr="00D5777B">
        <w:rPr>
          <w:rFonts w:ascii="Book Antiqua" w:hAnsi="Book Antiqua"/>
          <w:color w:val="000000"/>
        </w:rPr>
        <w:t>astrointestinal</w:t>
      </w:r>
      <w:r w:rsidR="00D5777B">
        <w:rPr>
          <w:rFonts w:ascii="Book Antiqua" w:hAnsi="Book Antiqua"/>
        </w:rPr>
        <w:t>.</w:t>
      </w:r>
    </w:p>
    <w:sectPr w:rsidR="00DF1348" w:rsidRPr="00A203BC" w:rsidSect="00D22E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62AE8" w14:textId="77777777" w:rsidR="00E458EA" w:rsidRDefault="00E458EA" w:rsidP="00D41DEC">
      <w:r>
        <w:separator/>
      </w:r>
    </w:p>
  </w:endnote>
  <w:endnote w:type="continuationSeparator" w:id="0">
    <w:p w14:paraId="61F4A537" w14:textId="77777777" w:rsidR="00E458EA" w:rsidRDefault="00E458EA" w:rsidP="00D41DEC">
      <w:r>
        <w:continuationSeparator/>
      </w:r>
    </w:p>
  </w:endnote>
  <w:endnote w:type="continuationNotice" w:id="1">
    <w:p w14:paraId="36B5BFFC" w14:textId="77777777" w:rsidR="00E458EA" w:rsidRDefault="00E45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Calibri"/>
    <w:charset w:val="00"/>
    <w:family w:val="auto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BB11F" w14:textId="77777777" w:rsidR="00E458EA" w:rsidRDefault="00E458EA" w:rsidP="00D41DEC">
      <w:r>
        <w:separator/>
      </w:r>
    </w:p>
  </w:footnote>
  <w:footnote w:type="continuationSeparator" w:id="0">
    <w:p w14:paraId="79901045" w14:textId="77777777" w:rsidR="00E458EA" w:rsidRDefault="00E458EA" w:rsidP="00D41DEC">
      <w:r>
        <w:continuationSeparator/>
      </w:r>
    </w:p>
  </w:footnote>
  <w:footnote w:type="continuationNotice" w:id="1">
    <w:p w14:paraId="25406CA5" w14:textId="77777777" w:rsidR="00E458EA" w:rsidRDefault="00E458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1708"/>
    <w:multiLevelType w:val="hybridMultilevel"/>
    <w:tmpl w:val="B4824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D6E"/>
    <w:multiLevelType w:val="hybridMultilevel"/>
    <w:tmpl w:val="F5D6DDB8"/>
    <w:lvl w:ilvl="0" w:tplc="B6705D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28A6"/>
    <w:multiLevelType w:val="hybridMultilevel"/>
    <w:tmpl w:val="686C544C"/>
    <w:lvl w:ilvl="0" w:tplc="B6705D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E22E9"/>
    <w:multiLevelType w:val="hybridMultilevel"/>
    <w:tmpl w:val="985CB0B6"/>
    <w:lvl w:ilvl="0" w:tplc="D2C67B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E5059"/>
    <w:multiLevelType w:val="multilevel"/>
    <w:tmpl w:val="F5D6DDB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12D2"/>
    <w:multiLevelType w:val="hybridMultilevel"/>
    <w:tmpl w:val="684A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6E39"/>
    <w:multiLevelType w:val="hybridMultilevel"/>
    <w:tmpl w:val="A47A7A22"/>
    <w:lvl w:ilvl="0" w:tplc="F06E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0MDMxNrAwMjazMDFR0lEKTi0uzszPAykwrwUA+FXlmCwAAAA="/>
  </w:docVars>
  <w:rsids>
    <w:rsidRoot w:val="00256EAC"/>
    <w:rsid w:val="00002438"/>
    <w:rsid w:val="00005E3F"/>
    <w:rsid w:val="00010AD5"/>
    <w:rsid w:val="000129B7"/>
    <w:rsid w:val="0001423B"/>
    <w:rsid w:val="00021463"/>
    <w:rsid w:val="0003019A"/>
    <w:rsid w:val="00037538"/>
    <w:rsid w:val="00050EF6"/>
    <w:rsid w:val="0005194C"/>
    <w:rsid w:val="00052249"/>
    <w:rsid w:val="00052266"/>
    <w:rsid w:val="00053EB9"/>
    <w:rsid w:val="0005424D"/>
    <w:rsid w:val="00055511"/>
    <w:rsid w:val="000602BD"/>
    <w:rsid w:val="00070E02"/>
    <w:rsid w:val="0007178C"/>
    <w:rsid w:val="00086905"/>
    <w:rsid w:val="0008712E"/>
    <w:rsid w:val="00093279"/>
    <w:rsid w:val="00096762"/>
    <w:rsid w:val="000A0370"/>
    <w:rsid w:val="000A1168"/>
    <w:rsid w:val="000A14B5"/>
    <w:rsid w:val="000A30F8"/>
    <w:rsid w:val="000A52A9"/>
    <w:rsid w:val="000A5E66"/>
    <w:rsid w:val="000A6B4A"/>
    <w:rsid w:val="000B30E9"/>
    <w:rsid w:val="000B51B4"/>
    <w:rsid w:val="000C25A8"/>
    <w:rsid w:val="000C3FBE"/>
    <w:rsid w:val="000D1E67"/>
    <w:rsid w:val="000D2A62"/>
    <w:rsid w:val="000D2B56"/>
    <w:rsid w:val="000D2F69"/>
    <w:rsid w:val="000D3C8F"/>
    <w:rsid w:val="000D4F70"/>
    <w:rsid w:val="000E4E67"/>
    <w:rsid w:val="000E69A9"/>
    <w:rsid w:val="000F3409"/>
    <w:rsid w:val="000F6524"/>
    <w:rsid w:val="000F7C02"/>
    <w:rsid w:val="00114705"/>
    <w:rsid w:val="00115AC9"/>
    <w:rsid w:val="00117B4D"/>
    <w:rsid w:val="00123FBB"/>
    <w:rsid w:val="00132FC4"/>
    <w:rsid w:val="00135CCC"/>
    <w:rsid w:val="001411B3"/>
    <w:rsid w:val="001437E5"/>
    <w:rsid w:val="00144879"/>
    <w:rsid w:val="00151396"/>
    <w:rsid w:val="00155042"/>
    <w:rsid w:val="001657EA"/>
    <w:rsid w:val="00166C00"/>
    <w:rsid w:val="00171726"/>
    <w:rsid w:val="001726CB"/>
    <w:rsid w:val="0017273D"/>
    <w:rsid w:val="00177A43"/>
    <w:rsid w:val="00182E49"/>
    <w:rsid w:val="00190E23"/>
    <w:rsid w:val="0019345A"/>
    <w:rsid w:val="00193F9A"/>
    <w:rsid w:val="00195C7C"/>
    <w:rsid w:val="001A054C"/>
    <w:rsid w:val="001A2E34"/>
    <w:rsid w:val="001A3D42"/>
    <w:rsid w:val="001A3F1E"/>
    <w:rsid w:val="001A6F92"/>
    <w:rsid w:val="001A754A"/>
    <w:rsid w:val="001B07EB"/>
    <w:rsid w:val="001B0D5A"/>
    <w:rsid w:val="001B4CE0"/>
    <w:rsid w:val="001C4627"/>
    <w:rsid w:val="001C52BC"/>
    <w:rsid w:val="001C5BD7"/>
    <w:rsid w:val="001C5EA9"/>
    <w:rsid w:val="001C7F87"/>
    <w:rsid w:val="001D3515"/>
    <w:rsid w:val="001D3DD2"/>
    <w:rsid w:val="001D5235"/>
    <w:rsid w:val="001E05F1"/>
    <w:rsid w:val="001E1BC0"/>
    <w:rsid w:val="001E49AE"/>
    <w:rsid w:val="001E5461"/>
    <w:rsid w:val="001E68B8"/>
    <w:rsid w:val="001E6F86"/>
    <w:rsid w:val="001F2595"/>
    <w:rsid w:val="001F2645"/>
    <w:rsid w:val="00206D0D"/>
    <w:rsid w:val="00217C5D"/>
    <w:rsid w:val="00222EA9"/>
    <w:rsid w:val="00226FBB"/>
    <w:rsid w:val="0023124A"/>
    <w:rsid w:val="00233308"/>
    <w:rsid w:val="00252ACC"/>
    <w:rsid w:val="00256EAC"/>
    <w:rsid w:val="00263F08"/>
    <w:rsid w:val="00266875"/>
    <w:rsid w:val="002676A0"/>
    <w:rsid w:val="00270729"/>
    <w:rsid w:val="00270AA4"/>
    <w:rsid w:val="00270E7E"/>
    <w:rsid w:val="002764C9"/>
    <w:rsid w:val="00282647"/>
    <w:rsid w:val="002951C7"/>
    <w:rsid w:val="0029591F"/>
    <w:rsid w:val="002A54F4"/>
    <w:rsid w:val="002A6A37"/>
    <w:rsid w:val="002A775D"/>
    <w:rsid w:val="002B0892"/>
    <w:rsid w:val="002B442E"/>
    <w:rsid w:val="002C0F2A"/>
    <w:rsid w:val="002C27F3"/>
    <w:rsid w:val="002C2955"/>
    <w:rsid w:val="002C4A49"/>
    <w:rsid w:val="002D40C3"/>
    <w:rsid w:val="002D5817"/>
    <w:rsid w:val="002D5A0A"/>
    <w:rsid w:val="002D7F6E"/>
    <w:rsid w:val="002E41BC"/>
    <w:rsid w:val="002E6462"/>
    <w:rsid w:val="002F0662"/>
    <w:rsid w:val="002F4FC4"/>
    <w:rsid w:val="002F58A6"/>
    <w:rsid w:val="002F6244"/>
    <w:rsid w:val="00300FDC"/>
    <w:rsid w:val="003038CD"/>
    <w:rsid w:val="00312B2E"/>
    <w:rsid w:val="0031672D"/>
    <w:rsid w:val="003219D2"/>
    <w:rsid w:val="00326549"/>
    <w:rsid w:val="0033057F"/>
    <w:rsid w:val="003339C6"/>
    <w:rsid w:val="00333A3B"/>
    <w:rsid w:val="003434FE"/>
    <w:rsid w:val="003515A9"/>
    <w:rsid w:val="00352533"/>
    <w:rsid w:val="00352A54"/>
    <w:rsid w:val="00353C84"/>
    <w:rsid w:val="00356562"/>
    <w:rsid w:val="003601EE"/>
    <w:rsid w:val="00366D6E"/>
    <w:rsid w:val="00372EB8"/>
    <w:rsid w:val="003775DF"/>
    <w:rsid w:val="00382F37"/>
    <w:rsid w:val="0038753E"/>
    <w:rsid w:val="003A0CB3"/>
    <w:rsid w:val="003A2EC0"/>
    <w:rsid w:val="003A5A75"/>
    <w:rsid w:val="003A63CA"/>
    <w:rsid w:val="003A722F"/>
    <w:rsid w:val="003B219F"/>
    <w:rsid w:val="003B7866"/>
    <w:rsid w:val="003C44E5"/>
    <w:rsid w:val="003D1982"/>
    <w:rsid w:val="003D7980"/>
    <w:rsid w:val="003F42CC"/>
    <w:rsid w:val="003F4805"/>
    <w:rsid w:val="003F51D1"/>
    <w:rsid w:val="003F7424"/>
    <w:rsid w:val="00401B45"/>
    <w:rsid w:val="00402D2B"/>
    <w:rsid w:val="0040421E"/>
    <w:rsid w:val="0040632A"/>
    <w:rsid w:val="00406BFB"/>
    <w:rsid w:val="00410DC4"/>
    <w:rsid w:val="00412485"/>
    <w:rsid w:val="00412A03"/>
    <w:rsid w:val="00414849"/>
    <w:rsid w:val="00415C16"/>
    <w:rsid w:val="00431E04"/>
    <w:rsid w:val="004411B8"/>
    <w:rsid w:val="00443D43"/>
    <w:rsid w:val="00444547"/>
    <w:rsid w:val="00446212"/>
    <w:rsid w:val="00453B4C"/>
    <w:rsid w:val="00455702"/>
    <w:rsid w:val="00456439"/>
    <w:rsid w:val="0046222A"/>
    <w:rsid w:val="0046768F"/>
    <w:rsid w:val="00470A05"/>
    <w:rsid w:val="0047312A"/>
    <w:rsid w:val="00476F6B"/>
    <w:rsid w:val="00481E26"/>
    <w:rsid w:val="00482FFC"/>
    <w:rsid w:val="004834BC"/>
    <w:rsid w:val="00483EE7"/>
    <w:rsid w:val="00484A13"/>
    <w:rsid w:val="00484AE0"/>
    <w:rsid w:val="004912E3"/>
    <w:rsid w:val="0049341C"/>
    <w:rsid w:val="00494BCA"/>
    <w:rsid w:val="004A1E5C"/>
    <w:rsid w:val="004A6093"/>
    <w:rsid w:val="004B4E14"/>
    <w:rsid w:val="004C339A"/>
    <w:rsid w:val="004C33A8"/>
    <w:rsid w:val="004C3670"/>
    <w:rsid w:val="004C3E3C"/>
    <w:rsid w:val="004C5DEE"/>
    <w:rsid w:val="004D0F15"/>
    <w:rsid w:val="004D129F"/>
    <w:rsid w:val="004E109D"/>
    <w:rsid w:val="004E320A"/>
    <w:rsid w:val="004E3440"/>
    <w:rsid w:val="004E3FE5"/>
    <w:rsid w:val="004E4203"/>
    <w:rsid w:val="004E53AD"/>
    <w:rsid w:val="004F2477"/>
    <w:rsid w:val="004F593E"/>
    <w:rsid w:val="00501733"/>
    <w:rsid w:val="00502F2B"/>
    <w:rsid w:val="00505BC3"/>
    <w:rsid w:val="0051081A"/>
    <w:rsid w:val="00514784"/>
    <w:rsid w:val="00522FE1"/>
    <w:rsid w:val="00523DEE"/>
    <w:rsid w:val="005324C0"/>
    <w:rsid w:val="00536B20"/>
    <w:rsid w:val="005375E2"/>
    <w:rsid w:val="0054023C"/>
    <w:rsid w:val="00541EFC"/>
    <w:rsid w:val="0054683D"/>
    <w:rsid w:val="005511CE"/>
    <w:rsid w:val="0055331D"/>
    <w:rsid w:val="00556114"/>
    <w:rsid w:val="00576433"/>
    <w:rsid w:val="005771FD"/>
    <w:rsid w:val="00577ABD"/>
    <w:rsid w:val="005825AC"/>
    <w:rsid w:val="00583820"/>
    <w:rsid w:val="00583B55"/>
    <w:rsid w:val="00593B67"/>
    <w:rsid w:val="00597AB0"/>
    <w:rsid w:val="00597EAB"/>
    <w:rsid w:val="005A4B53"/>
    <w:rsid w:val="005B218D"/>
    <w:rsid w:val="005C41D5"/>
    <w:rsid w:val="005D4988"/>
    <w:rsid w:val="005D7296"/>
    <w:rsid w:val="005E73D7"/>
    <w:rsid w:val="005F0DEB"/>
    <w:rsid w:val="005F55FB"/>
    <w:rsid w:val="0060445A"/>
    <w:rsid w:val="006074CE"/>
    <w:rsid w:val="00616959"/>
    <w:rsid w:val="006208D3"/>
    <w:rsid w:val="0063232F"/>
    <w:rsid w:val="0063611C"/>
    <w:rsid w:val="00643335"/>
    <w:rsid w:val="006478CC"/>
    <w:rsid w:val="00650D01"/>
    <w:rsid w:val="006514CB"/>
    <w:rsid w:val="00657BD6"/>
    <w:rsid w:val="00666303"/>
    <w:rsid w:val="00666673"/>
    <w:rsid w:val="00673121"/>
    <w:rsid w:val="006762AD"/>
    <w:rsid w:val="00676357"/>
    <w:rsid w:val="00676532"/>
    <w:rsid w:val="006767D5"/>
    <w:rsid w:val="00685126"/>
    <w:rsid w:val="006854E6"/>
    <w:rsid w:val="00692154"/>
    <w:rsid w:val="006A5CF8"/>
    <w:rsid w:val="006B2A36"/>
    <w:rsid w:val="006B7EF3"/>
    <w:rsid w:val="006C5E82"/>
    <w:rsid w:val="006D018D"/>
    <w:rsid w:val="006D75A8"/>
    <w:rsid w:val="006D768C"/>
    <w:rsid w:val="006E1CBD"/>
    <w:rsid w:val="006E2393"/>
    <w:rsid w:val="006E2F94"/>
    <w:rsid w:val="006E58CD"/>
    <w:rsid w:val="006E6154"/>
    <w:rsid w:val="006F0C6D"/>
    <w:rsid w:val="006F3A56"/>
    <w:rsid w:val="006F48BA"/>
    <w:rsid w:val="006F4FE5"/>
    <w:rsid w:val="006F6CF4"/>
    <w:rsid w:val="006F6F8C"/>
    <w:rsid w:val="007013FF"/>
    <w:rsid w:val="00706BA2"/>
    <w:rsid w:val="0071339B"/>
    <w:rsid w:val="007278BC"/>
    <w:rsid w:val="0073408D"/>
    <w:rsid w:val="00735E93"/>
    <w:rsid w:val="007372F4"/>
    <w:rsid w:val="007438F0"/>
    <w:rsid w:val="00747609"/>
    <w:rsid w:val="00747BB8"/>
    <w:rsid w:val="00756794"/>
    <w:rsid w:val="0076191E"/>
    <w:rsid w:val="007672AD"/>
    <w:rsid w:val="00771A35"/>
    <w:rsid w:val="00775E2A"/>
    <w:rsid w:val="00777400"/>
    <w:rsid w:val="00782539"/>
    <w:rsid w:val="00783B5B"/>
    <w:rsid w:val="007915BF"/>
    <w:rsid w:val="00795249"/>
    <w:rsid w:val="007A041A"/>
    <w:rsid w:val="007A0A98"/>
    <w:rsid w:val="007A1B4A"/>
    <w:rsid w:val="007A2141"/>
    <w:rsid w:val="007A5E20"/>
    <w:rsid w:val="007A6FB4"/>
    <w:rsid w:val="007B3C83"/>
    <w:rsid w:val="007B5641"/>
    <w:rsid w:val="007C1291"/>
    <w:rsid w:val="007C1E21"/>
    <w:rsid w:val="007C28FE"/>
    <w:rsid w:val="007C3B61"/>
    <w:rsid w:val="007D344C"/>
    <w:rsid w:val="007D621A"/>
    <w:rsid w:val="007E1BF9"/>
    <w:rsid w:val="007E1CCD"/>
    <w:rsid w:val="007F0BA7"/>
    <w:rsid w:val="007F1DFC"/>
    <w:rsid w:val="007F4428"/>
    <w:rsid w:val="00800A0D"/>
    <w:rsid w:val="00803E11"/>
    <w:rsid w:val="008104D4"/>
    <w:rsid w:val="0081227F"/>
    <w:rsid w:val="0081411C"/>
    <w:rsid w:val="008141D1"/>
    <w:rsid w:val="00815F4C"/>
    <w:rsid w:val="0082201D"/>
    <w:rsid w:val="00825FAE"/>
    <w:rsid w:val="0082699B"/>
    <w:rsid w:val="00827473"/>
    <w:rsid w:val="008337D2"/>
    <w:rsid w:val="00836884"/>
    <w:rsid w:val="00836AE5"/>
    <w:rsid w:val="008372C2"/>
    <w:rsid w:val="00843562"/>
    <w:rsid w:val="008445E2"/>
    <w:rsid w:val="00844D7B"/>
    <w:rsid w:val="0084588F"/>
    <w:rsid w:val="008533BA"/>
    <w:rsid w:val="008573FC"/>
    <w:rsid w:val="008635B5"/>
    <w:rsid w:val="0086522B"/>
    <w:rsid w:val="0086720B"/>
    <w:rsid w:val="00870CC4"/>
    <w:rsid w:val="00874A9E"/>
    <w:rsid w:val="00881A88"/>
    <w:rsid w:val="008864BD"/>
    <w:rsid w:val="00887B1E"/>
    <w:rsid w:val="00887C35"/>
    <w:rsid w:val="00891825"/>
    <w:rsid w:val="00897980"/>
    <w:rsid w:val="008A0B98"/>
    <w:rsid w:val="008C41A6"/>
    <w:rsid w:val="008C50D7"/>
    <w:rsid w:val="008C7945"/>
    <w:rsid w:val="008D01D9"/>
    <w:rsid w:val="008D4891"/>
    <w:rsid w:val="008E1E63"/>
    <w:rsid w:val="008E2A2E"/>
    <w:rsid w:val="008F0150"/>
    <w:rsid w:val="008F4132"/>
    <w:rsid w:val="008F4594"/>
    <w:rsid w:val="00905AED"/>
    <w:rsid w:val="009136BB"/>
    <w:rsid w:val="00913BD5"/>
    <w:rsid w:val="00915EF8"/>
    <w:rsid w:val="00916166"/>
    <w:rsid w:val="00916A01"/>
    <w:rsid w:val="00924B13"/>
    <w:rsid w:val="0094031A"/>
    <w:rsid w:val="009430DB"/>
    <w:rsid w:val="0094404A"/>
    <w:rsid w:val="0094653F"/>
    <w:rsid w:val="009503D2"/>
    <w:rsid w:val="00951057"/>
    <w:rsid w:val="00951F6E"/>
    <w:rsid w:val="00957D53"/>
    <w:rsid w:val="0096148D"/>
    <w:rsid w:val="00962B5F"/>
    <w:rsid w:val="00966771"/>
    <w:rsid w:val="0097032E"/>
    <w:rsid w:val="00975E60"/>
    <w:rsid w:val="00977E2B"/>
    <w:rsid w:val="009867F0"/>
    <w:rsid w:val="009878C6"/>
    <w:rsid w:val="009903DF"/>
    <w:rsid w:val="009A771C"/>
    <w:rsid w:val="009B047C"/>
    <w:rsid w:val="009B459C"/>
    <w:rsid w:val="009C6990"/>
    <w:rsid w:val="009C7FE2"/>
    <w:rsid w:val="009D0ABF"/>
    <w:rsid w:val="009D6476"/>
    <w:rsid w:val="009E7AAE"/>
    <w:rsid w:val="009F11E1"/>
    <w:rsid w:val="009F2D78"/>
    <w:rsid w:val="00A006AF"/>
    <w:rsid w:val="00A10617"/>
    <w:rsid w:val="00A12596"/>
    <w:rsid w:val="00A142FB"/>
    <w:rsid w:val="00A17258"/>
    <w:rsid w:val="00A203BC"/>
    <w:rsid w:val="00A23DAD"/>
    <w:rsid w:val="00A245CA"/>
    <w:rsid w:val="00A2526A"/>
    <w:rsid w:val="00A30232"/>
    <w:rsid w:val="00A306EB"/>
    <w:rsid w:val="00A30832"/>
    <w:rsid w:val="00A34760"/>
    <w:rsid w:val="00A36769"/>
    <w:rsid w:val="00A377E3"/>
    <w:rsid w:val="00A53EE9"/>
    <w:rsid w:val="00A57631"/>
    <w:rsid w:val="00A63099"/>
    <w:rsid w:val="00A6454F"/>
    <w:rsid w:val="00A7325A"/>
    <w:rsid w:val="00A86EEA"/>
    <w:rsid w:val="00A94EA9"/>
    <w:rsid w:val="00A96709"/>
    <w:rsid w:val="00AA180F"/>
    <w:rsid w:val="00AA1CB3"/>
    <w:rsid w:val="00AA2CAF"/>
    <w:rsid w:val="00AB1714"/>
    <w:rsid w:val="00AC1E8F"/>
    <w:rsid w:val="00AC5D49"/>
    <w:rsid w:val="00AC743A"/>
    <w:rsid w:val="00AD4343"/>
    <w:rsid w:val="00AD4DE7"/>
    <w:rsid w:val="00AD74F7"/>
    <w:rsid w:val="00AD7F95"/>
    <w:rsid w:val="00AE4FCD"/>
    <w:rsid w:val="00AF62FA"/>
    <w:rsid w:val="00B03593"/>
    <w:rsid w:val="00B03765"/>
    <w:rsid w:val="00B0755A"/>
    <w:rsid w:val="00B1076F"/>
    <w:rsid w:val="00B13BF1"/>
    <w:rsid w:val="00B13EE3"/>
    <w:rsid w:val="00B14312"/>
    <w:rsid w:val="00B14853"/>
    <w:rsid w:val="00B24328"/>
    <w:rsid w:val="00B439E1"/>
    <w:rsid w:val="00B513A2"/>
    <w:rsid w:val="00B52AAD"/>
    <w:rsid w:val="00B6255F"/>
    <w:rsid w:val="00B71B6A"/>
    <w:rsid w:val="00B72E46"/>
    <w:rsid w:val="00B75816"/>
    <w:rsid w:val="00B81FE6"/>
    <w:rsid w:val="00B82169"/>
    <w:rsid w:val="00B838DA"/>
    <w:rsid w:val="00B84AE3"/>
    <w:rsid w:val="00B85AC7"/>
    <w:rsid w:val="00B87C57"/>
    <w:rsid w:val="00B87CBD"/>
    <w:rsid w:val="00B90009"/>
    <w:rsid w:val="00B903D8"/>
    <w:rsid w:val="00B905E5"/>
    <w:rsid w:val="00B9082A"/>
    <w:rsid w:val="00B93149"/>
    <w:rsid w:val="00B93A8C"/>
    <w:rsid w:val="00B969CC"/>
    <w:rsid w:val="00BA080E"/>
    <w:rsid w:val="00BA10B3"/>
    <w:rsid w:val="00BA5CCA"/>
    <w:rsid w:val="00BB1EFB"/>
    <w:rsid w:val="00BB528D"/>
    <w:rsid w:val="00BB7085"/>
    <w:rsid w:val="00BC3F71"/>
    <w:rsid w:val="00BC55F5"/>
    <w:rsid w:val="00BC5682"/>
    <w:rsid w:val="00BC6183"/>
    <w:rsid w:val="00BD0C8C"/>
    <w:rsid w:val="00BD3D68"/>
    <w:rsid w:val="00BD49F7"/>
    <w:rsid w:val="00BD5339"/>
    <w:rsid w:val="00BD5453"/>
    <w:rsid w:val="00BE015B"/>
    <w:rsid w:val="00BE3BB6"/>
    <w:rsid w:val="00BE3C22"/>
    <w:rsid w:val="00BE678F"/>
    <w:rsid w:val="00BF0DB1"/>
    <w:rsid w:val="00BF1AA4"/>
    <w:rsid w:val="00BF427C"/>
    <w:rsid w:val="00C043D2"/>
    <w:rsid w:val="00C06477"/>
    <w:rsid w:val="00C15152"/>
    <w:rsid w:val="00C153F9"/>
    <w:rsid w:val="00C17C8E"/>
    <w:rsid w:val="00C3115C"/>
    <w:rsid w:val="00C3134D"/>
    <w:rsid w:val="00C31BAA"/>
    <w:rsid w:val="00C356B3"/>
    <w:rsid w:val="00C35A66"/>
    <w:rsid w:val="00C410CA"/>
    <w:rsid w:val="00C468C3"/>
    <w:rsid w:val="00C50B5A"/>
    <w:rsid w:val="00C67F77"/>
    <w:rsid w:val="00C72695"/>
    <w:rsid w:val="00C73D14"/>
    <w:rsid w:val="00C7441A"/>
    <w:rsid w:val="00C80102"/>
    <w:rsid w:val="00C826A6"/>
    <w:rsid w:val="00C86051"/>
    <w:rsid w:val="00C86491"/>
    <w:rsid w:val="00C922CF"/>
    <w:rsid w:val="00C94C27"/>
    <w:rsid w:val="00C94E20"/>
    <w:rsid w:val="00C94E53"/>
    <w:rsid w:val="00CA0318"/>
    <w:rsid w:val="00CA1493"/>
    <w:rsid w:val="00CA1D19"/>
    <w:rsid w:val="00CB05CC"/>
    <w:rsid w:val="00CB05F2"/>
    <w:rsid w:val="00CB0D18"/>
    <w:rsid w:val="00CB0F6A"/>
    <w:rsid w:val="00CB3B73"/>
    <w:rsid w:val="00CB5DF4"/>
    <w:rsid w:val="00CC6E54"/>
    <w:rsid w:val="00CD442B"/>
    <w:rsid w:val="00CE00D2"/>
    <w:rsid w:val="00CE2EA6"/>
    <w:rsid w:val="00CE7815"/>
    <w:rsid w:val="00CF0A35"/>
    <w:rsid w:val="00CF0F81"/>
    <w:rsid w:val="00D049E6"/>
    <w:rsid w:val="00D04C6F"/>
    <w:rsid w:val="00D0587E"/>
    <w:rsid w:val="00D1681B"/>
    <w:rsid w:val="00D177BA"/>
    <w:rsid w:val="00D22EC5"/>
    <w:rsid w:val="00D41DEC"/>
    <w:rsid w:val="00D55B3D"/>
    <w:rsid w:val="00D5777B"/>
    <w:rsid w:val="00D61A6A"/>
    <w:rsid w:val="00D62434"/>
    <w:rsid w:val="00D6276D"/>
    <w:rsid w:val="00D7436C"/>
    <w:rsid w:val="00D76688"/>
    <w:rsid w:val="00D814D3"/>
    <w:rsid w:val="00D8365F"/>
    <w:rsid w:val="00D916C0"/>
    <w:rsid w:val="00D9355E"/>
    <w:rsid w:val="00D97E87"/>
    <w:rsid w:val="00DA094E"/>
    <w:rsid w:val="00DA28F1"/>
    <w:rsid w:val="00DA3C5F"/>
    <w:rsid w:val="00DA642F"/>
    <w:rsid w:val="00DB35A4"/>
    <w:rsid w:val="00DB74BE"/>
    <w:rsid w:val="00DC5451"/>
    <w:rsid w:val="00DD5A9F"/>
    <w:rsid w:val="00DE36CE"/>
    <w:rsid w:val="00DE4AD1"/>
    <w:rsid w:val="00DE579F"/>
    <w:rsid w:val="00DE5A2B"/>
    <w:rsid w:val="00DF1348"/>
    <w:rsid w:val="00DF7F62"/>
    <w:rsid w:val="00E00FA6"/>
    <w:rsid w:val="00E01C42"/>
    <w:rsid w:val="00E06A50"/>
    <w:rsid w:val="00E06FB5"/>
    <w:rsid w:val="00E10DB8"/>
    <w:rsid w:val="00E14336"/>
    <w:rsid w:val="00E16C78"/>
    <w:rsid w:val="00E17876"/>
    <w:rsid w:val="00E31B1B"/>
    <w:rsid w:val="00E33E2B"/>
    <w:rsid w:val="00E37210"/>
    <w:rsid w:val="00E37768"/>
    <w:rsid w:val="00E414DF"/>
    <w:rsid w:val="00E41E49"/>
    <w:rsid w:val="00E458EA"/>
    <w:rsid w:val="00E50883"/>
    <w:rsid w:val="00E51015"/>
    <w:rsid w:val="00E53855"/>
    <w:rsid w:val="00E63710"/>
    <w:rsid w:val="00E64164"/>
    <w:rsid w:val="00E65F06"/>
    <w:rsid w:val="00E66536"/>
    <w:rsid w:val="00E71DAF"/>
    <w:rsid w:val="00E73CDC"/>
    <w:rsid w:val="00E75CE7"/>
    <w:rsid w:val="00E76C2D"/>
    <w:rsid w:val="00E80D45"/>
    <w:rsid w:val="00E80F50"/>
    <w:rsid w:val="00E87F85"/>
    <w:rsid w:val="00E91BDF"/>
    <w:rsid w:val="00E95C7B"/>
    <w:rsid w:val="00EA33C0"/>
    <w:rsid w:val="00EA37E2"/>
    <w:rsid w:val="00EB70C5"/>
    <w:rsid w:val="00EC514F"/>
    <w:rsid w:val="00ED2265"/>
    <w:rsid w:val="00ED547C"/>
    <w:rsid w:val="00ED6894"/>
    <w:rsid w:val="00EE6540"/>
    <w:rsid w:val="00EE6893"/>
    <w:rsid w:val="00EF1C33"/>
    <w:rsid w:val="00EF24BA"/>
    <w:rsid w:val="00EF4FC7"/>
    <w:rsid w:val="00F04152"/>
    <w:rsid w:val="00F07114"/>
    <w:rsid w:val="00F14FB0"/>
    <w:rsid w:val="00F154D8"/>
    <w:rsid w:val="00F16706"/>
    <w:rsid w:val="00F31C7F"/>
    <w:rsid w:val="00F322B5"/>
    <w:rsid w:val="00F35102"/>
    <w:rsid w:val="00F371CE"/>
    <w:rsid w:val="00F60E51"/>
    <w:rsid w:val="00F616B0"/>
    <w:rsid w:val="00F7096F"/>
    <w:rsid w:val="00FA2652"/>
    <w:rsid w:val="00FA6372"/>
    <w:rsid w:val="00FA7257"/>
    <w:rsid w:val="00FB01FC"/>
    <w:rsid w:val="00FC270D"/>
    <w:rsid w:val="00FC46C1"/>
    <w:rsid w:val="00FD150F"/>
    <w:rsid w:val="00FD1A40"/>
    <w:rsid w:val="00FD24F0"/>
    <w:rsid w:val="00FE1417"/>
    <w:rsid w:val="00FE32B1"/>
    <w:rsid w:val="00FE493C"/>
    <w:rsid w:val="00FE7360"/>
    <w:rsid w:val="00FE7E7F"/>
    <w:rsid w:val="00FF0B3B"/>
    <w:rsid w:val="00FF17B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3D2070"/>
  <w14:defaultImageDpi w14:val="330"/>
  <w15:docId w15:val="{D50AC5EA-2AC9-4C09-95A5-DCDEAAE0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EAC"/>
  </w:style>
  <w:style w:type="paragraph" w:styleId="1">
    <w:name w:val="heading 1"/>
    <w:basedOn w:val="a"/>
    <w:link w:val="10"/>
    <w:uiPriority w:val="9"/>
    <w:qFormat/>
    <w:rsid w:val="00957D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A63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8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EAC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56EAC"/>
    <w:pPr>
      <w:suppressAutoHyphens/>
      <w:spacing w:after="120" w:line="276" w:lineRule="auto"/>
    </w:pPr>
    <w:rPr>
      <w:rFonts w:ascii="Calibri" w:eastAsia="宋体" w:hAnsi="Calibri" w:cs="font392"/>
      <w:sz w:val="22"/>
      <w:szCs w:val="22"/>
      <w:lang w:eastAsia="ar-SA"/>
    </w:rPr>
  </w:style>
  <w:style w:type="character" w:customStyle="1" w:styleId="a5">
    <w:name w:val="正文文本 字符"/>
    <w:basedOn w:val="a0"/>
    <w:link w:val="a4"/>
    <w:rsid w:val="00256EAC"/>
    <w:rPr>
      <w:rFonts w:ascii="Calibri" w:eastAsia="宋体" w:hAnsi="Calibri" w:cs="font392"/>
      <w:sz w:val="22"/>
      <w:szCs w:val="22"/>
      <w:lang w:eastAsia="ar-SA"/>
    </w:rPr>
  </w:style>
  <w:style w:type="character" w:customStyle="1" w:styleId="element-citation">
    <w:name w:val="element-citation"/>
    <w:basedOn w:val="a0"/>
    <w:rsid w:val="00352A54"/>
  </w:style>
  <w:style w:type="character" w:customStyle="1" w:styleId="ref-journal">
    <w:name w:val="ref-journal"/>
    <w:basedOn w:val="a0"/>
    <w:rsid w:val="00352A54"/>
  </w:style>
  <w:style w:type="character" w:customStyle="1" w:styleId="ref-vol">
    <w:name w:val="ref-vol"/>
    <w:basedOn w:val="a0"/>
    <w:rsid w:val="00352A54"/>
  </w:style>
  <w:style w:type="character" w:customStyle="1" w:styleId="10">
    <w:name w:val="标题 1 字符"/>
    <w:basedOn w:val="a0"/>
    <w:link w:val="1"/>
    <w:uiPriority w:val="9"/>
    <w:rsid w:val="00957D53"/>
    <w:rPr>
      <w:rFonts w:ascii="Times" w:hAnsi="Times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A30232"/>
  </w:style>
  <w:style w:type="paragraph" w:styleId="a6">
    <w:name w:val="List Paragraph"/>
    <w:basedOn w:val="a"/>
    <w:uiPriority w:val="34"/>
    <w:qFormat/>
    <w:rsid w:val="00951F6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5088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50883"/>
  </w:style>
  <w:style w:type="character" w:customStyle="1" w:styleId="a9">
    <w:name w:val="批注文字 字符"/>
    <w:basedOn w:val="a0"/>
    <w:link w:val="a8"/>
    <w:uiPriority w:val="99"/>
    <w:semiHidden/>
    <w:rsid w:val="00E5088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50883"/>
    <w:rPr>
      <w:b/>
      <w:bCs/>
      <w:sz w:val="20"/>
      <w:szCs w:val="20"/>
    </w:rPr>
  </w:style>
  <w:style w:type="character" w:customStyle="1" w:styleId="ab">
    <w:name w:val="批注主题 字符"/>
    <w:basedOn w:val="a9"/>
    <w:link w:val="aa"/>
    <w:uiPriority w:val="99"/>
    <w:semiHidden/>
    <w:rsid w:val="00E508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0883"/>
    <w:rPr>
      <w:rFonts w:ascii="Lucida Grande" w:hAnsi="Lucida Grande" w:cs="Lucida Grande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50883"/>
    <w:rPr>
      <w:rFonts w:ascii="Lucida Grande" w:hAnsi="Lucida Grande" w:cs="Lucida Grande"/>
      <w:sz w:val="18"/>
      <w:szCs w:val="18"/>
    </w:rPr>
  </w:style>
  <w:style w:type="character" w:customStyle="1" w:styleId="title-text">
    <w:name w:val="title-text"/>
    <w:basedOn w:val="a0"/>
    <w:rsid w:val="0094031A"/>
  </w:style>
  <w:style w:type="paragraph" w:styleId="ae">
    <w:name w:val="Revision"/>
    <w:hidden/>
    <w:uiPriority w:val="99"/>
    <w:semiHidden/>
    <w:rsid w:val="006D75A8"/>
  </w:style>
  <w:style w:type="character" w:customStyle="1" w:styleId="custom-emphasis-italic">
    <w:name w:val="custom-emphasis-italic"/>
    <w:basedOn w:val="a0"/>
    <w:rsid w:val="0029591F"/>
  </w:style>
  <w:style w:type="character" w:customStyle="1" w:styleId="italicized-text">
    <w:name w:val="italicized-text"/>
    <w:basedOn w:val="a0"/>
    <w:rsid w:val="0029591F"/>
  </w:style>
  <w:style w:type="character" w:customStyle="1" w:styleId="40">
    <w:name w:val="标题 4 字符"/>
    <w:basedOn w:val="a0"/>
    <w:link w:val="4"/>
    <w:uiPriority w:val="9"/>
    <w:semiHidden/>
    <w:rsid w:val="006F48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Normal (Web)"/>
    <w:basedOn w:val="a"/>
    <w:uiPriority w:val="99"/>
    <w:semiHidden/>
    <w:unhideWhenUsed/>
    <w:rsid w:val="004148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标题 2 字符"/>
    <w:basedOn w:val="a0"/>
    <w:link w:val="2"/>
    <w:uiPriority w:val="9"/>
    <w:rsid w:val="00FA6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BD0C8C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D41DEC"/>
    <w:pPr>
      <w:tabs>
        <w:tab w:val="center" w:pos="4320"/>
        <w:tab w:val="right" w:pos="8640"/>
      </w:tabs>
    </w:pPr>
  </w:style>
  <w:style w:type="character" w:customStyle="1" w:styleId="af2">
    <w:name w:val="页眉 字符"/>
    <w:basedOn w:val="a0"/>
    <w:link w:val="af1"/>
    <w:uiPriority w:val="99"/>
    <w:rsid w:val="00D41DEC"/>
  </w:style>
  <w:style w:type="paragraph" w:styleId="af3">
    <w:name w:val="footer"/>
    <w:basedOn w:val="a"/>
    <w:link w:val="af4"/>
    <w:uiPriority w:val="99"/>
    <w:unhideWhenUsed/>
    <w:rsid w:val="00D41DEC"/>
    <w:pPr>
      <w:tabs>
        <w:tab w:val="center" w:pos="4320"/>
        <w:tab w:val="right" w:pos="8640"/>
      </w:tabs>
    </w:pPr>
  </w:style>
  <w:style w:type="character" w:customStyle="1" w:styleId="af4">
    <w:name w:val="页脚 字符"/>
    <w:basedOn w:val="a0"/>
    <w:link w:val="af3"/>
    <w:uiPriority w:val="99"/>
    <w:rsid w:val="00D41DEC"/>
  </w:style>
  <w:style w:type="paragraph" w:customStyle="1" w:styleId="11">
    <w:name w:val="正文1"/>
    <w:uiPriority w:val="99"/>
    <w:rsid w:val="00CA0318"/>
    <w:pPr>
      <w:spacing w:line="276" w:lineRule="auto"/>
    </w:pPr>
    <w:rPr>
      <w:rFonts w:ascii="Arial" w:eastAsia="宋体" w:hAnsi="Arial" w:cs="Arial"/>
      <w:color w:val="000000"/>
      <w:sz w:val="2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90F951-3FF5-4023-9AE1-EF8D2EF277C9}" type="doc">
      <dgm:prSet loTypeId="urn:microsoft.com/office/officeart/2009/3/layout/HorizontalOrganizationChart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563F14-3766-4BCF-BA3C-FE93F35E6071}">
      <dgm:prSet phldrT="[Text]"/>
      <dgm:spPr/>
      <dgm:t>
        <a:bodyPr/>
        <a:lstStyle/>
        <a:p>
          <a:r>
            <a:rPr lang="en-US" dirty="0"/>
            <a:t>LVAD</a:t>
          </a:r>
        </a:p>
      </dgm:t>
    </dgm:pt>
    <dgm:pt modelId="{FE79931C-E636-487E-9573-6EDA82E30043}" type="parTrans" cxnId="{CEAB4E78-DB88-412E-BA81-5729E966FA21}">
      <dgm:prSet/>
      <dgm:spPr/>
      <dgm:t>
        <a:bodyPr/>
        <a:lstStyle/>
        <a:p>
          <a:endParaRPr lang="en-US"/>
        </a:p>
      </dgm:t>
    </dgm:pt>
    <dgm:pt modelId="{F5300A55-9DDA-4C6E-8AAC-ACA5A667D946}" type="sibTrans" cxnId="{CEAB4E78-DB88-412E-BA81-5729E966FA21}">
      <dgm:prSet/>
      <dgm:spPr/>
      <dgm:t>
        <a:bodyPr/>
        <a:lstStyle/>
        <a:p>
          <a:endParaRPr lang="en-US"/>
        </a:p>
      </dgm:t>
    </dgm:pt>
    <dgm:pt modelId="{EB333E3D-49C8-481A-9DBB-7873B7576A6F}">
      <dgm:prSet phldrT="[Text]"/>
      <dgm:spPr/>
      <dgm:t>
        <a:bodyPr/>
        <a:lstStyle/>
        <a:p>
          <a:r>
            <a:rPr lang="en-US" dirty="0"/>
            <a:t>High shearing effect</a:t>
          </a:r>
        </a:p>
      </dgm:t>
    </dgm:pt>
    <dgm:pt modelId="{18C375AB-0344-4226-B2E1-E0396FA2F88D}" type="parTrans" cxnId="{92A12A1E-278D-4866-A45C-361CC3362A41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47C377E7-63FB-4DCE-B751-3D22958B3441}" type="sibTrans" cxnId="{92A12A1E-278D-4866-A45C-361CC3362A41}">
      <dgm:prSet/>
      <dgm:spPr/>
      <dgm:t>
        <a:bodyPr/>
        <a:lstStyle/>
        <a:p>
          <a:endParaRPr lang="en-US"/>
        </a:p>
      </dgm:t>
    </dgm:pt>
    <dgm:pt modelId="{167BAE08-5AF0-4A33-9BF8-54150759F870}">
      <dgm:prSet phldrT="[Text]"/>
      <dgm:spPr/>
      <dgm:t>
        <a:bodyPr/>
        <a:lstStyle/>
        <a:p>
          <a:r>
            <a:rPr lang="en-US" dirty="0"/>
            <a:t>Impaired platelet aggregation</a:t>
          </a:r>
        </a:p>
      </dgm:t>
    </dgm:pt>
    <dgm:pt modelId="{78429722-9F79-44E4-B0CD-0825B308D056}" type="parTrans" cxnId="{DEF772E1-2CB1-4785-9770-F7FEE4C92557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EAAA9629-D3D9-47F2-B9A7-132ECD8ECC11}" type="sibTrans" cxnId="{DEF772E1-2CB1-4785-9770-F7FEE4C92557}">
      <dgm:prSet/>
      <dgm:spPr/>
      <dgm:t>
        <a:bodyPr/>
        <a:lstStyle/>
        <a:p>
          <a:endParaRPr lang="en-US"/>
        </a:p>
      </dgm:t>
    </dgm:pt>
    <dgm:pt modelId="{E1DF107D-8AD5-44F4-ACB1-163D0A5BD19B}">
      <dgm:prSet phldrT="[Text]"/>
      <dgm:spPr/>
      <dgm:t>
        <a:bodyPr/>
        <a:lstStyle/>
        <a:p>
          <a:r>
            <a:rPr lang="en-US" dirty="0"/>
            <a:t>Vascular smooth muscle relaxation</a:t>
          </a:r>
        </a:p>
      </dgm:t>
    </dgm:pt>
    <dgm:pt modelId="{30DBE7A3-3148-495C-9188-2B05E8F907BB}" type="parTrans" cxnId="{CB943839-CEE7-4FF2-879B-1DDE81FFCC51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757E065F-7A10-4AA1-8456-865634EB56A0}" type="sibTrans" cxnId="{CB943839-CEE7-4FF2-879B-1DDE81FFCC51}">
      <dgm:prSet/>
      <dgm:spPr/>
      <dgm:t>
        <a:bodyPr/>
        <a:lstStyle/>
        <a:p>
          <a:endParaRPr lang="en-US"/>
        </a:p>
      </dgm:t>
    </dgm:pt>
    <dgm:pt modelId="{2B1E1D44-916A-4340-9680-3BEF7A855D7B}">
      <dgm:prSet phldrT="[Text]"/>
      <dgm:spPr/>
      <dgm:t>
        <a:bodyPr/>
        <a:lstStyle/>
        <a:p>
          <a:r>
            <a:rPr lang="en-US" dirty="0"/>
            <a:t>Use of antiplatelet and anticoagulation</a:t>
          </a:r>
        </a:p>
      </dgm:t>
    </dgm:pt>
    <dgm:pt modelId="{9DC10157-7EBC-4948-A337-3923C1ED905C}" type="parTrans" cxnId="{6D60DC75-51B1-4739-A5E5-6C94EC88503A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51B5E2B2-2BC9-4960-8341-4590CCA7AF3D}" type="sibTrans" cxnId="{6D60DC75-51B1-4739-A5E5-6C94EC88503A}">
      <dgm:prSet/>
      <dgm:spPr/>
      <dgm:t>
        <a:bodyPr/>
        <a:lstStyle/>
        <a:p>
          <a:endParaRPr lang="en-US"/>
        </a:p>
      </dgm:t>
    </dgm:pt>
    <dgm:pt modelId="{1D9F3C98-1603-4BA8-B3D7-48836EC18065}">
      <dgm:prSet phldrT="[Text]"/>
      <dgm:spPr/>
      <dgm:t>
        <a:bodyPr/>
        <a:lstStyle/>
        <a:p>
          <a:r>
            <a:rPr lang="en-US" dirty="0"/>
            <a:t>Lack of </a:t>
          </a:r>
          <a:r>
            <a:rPr lang="en-US" dirty="0" err="1"/>
            <a:t>vWF</a:t>
          </a:r>
          <a:r>
            <a:rPr lang="en-US" dirty="0"/>
            <a:t> multimers</a:t>
          </a:r>
        </a:p>
      </dgm:t>
    </dgm:pt>
    <dgm:pt modelId="{B80D60C1-39AC-4A27-BA6A-44D9D77B3BEF}" type="parTrans" cxnId="{9BFC2442-1C51-4457-8635-182D2DE9981B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F01861C8-45DD-4332-8239-84F4EF0FFEC2}" type="sibTrans" cxnId="{9BFC2442-1C51-4457-8635-182D2DE9981B}">
      <dgm:prSet/>
      <dgm:spPr/>
      <dgm:t>
        <a:bodyPr/>
        <a:lstStyle/>
        <a:p>
          <a:endParaRPr lang="en-US"/>
        </a:p>
      </dgm:t>
    </dgm:pt>
    <dgm:pt modelId="{7454F423-9C42-4390-A4D1-3F07CB4C6ED2}">
      <dgm:prSet phldrT="[Text]"/>
      <dgm:spPr/>
      <dgm:t>
        <a:bodyPr/>
        <a:lstStyle/>
        <a:p>
          <a:r>
            <a:rPr lang="en-US" dirty="0"/>
            <a:t>Arteriovenous malformation</a:t>
          </a:r>
        </a:p>
      </dgm:t>
    </dgm:pt>
    <dgm:pt modelId="{D07EF20C-6292-437C-B199-12779AA24E98}" type="parTrans" cxnId="{1AC6FA48-0445-492E-9629-A3471DE9B0A0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7977B1D8-2608-475C-B440-7C7085617531}" type="sibTrans" cxnId="{1AC6FA48-0445-492E-9629-A3471DE9B0A0}">
      <dgm:prSet/>
      <dgm:spPr/>
      <dgm:t>
        <a:bodyPr/>
        <a:lstStyle/>
        <a:p>
          <a:endParaRPr lang="en-US"/>
        </a:p>
      </dgm:t>
    </dgm:pt>
    <dgm:pt modelId="{F8146F52-5EE5-4FCE-975E-4BDEA5B737E6}">
      <dgm:prSet phldrT="[Text]"/>
      <dgm:spPr/>
      <dgm:t>
        <a:bodyPr/>
        <a:lstStyle/>
        <a:p>
          <a:r>
            <a:rPr lang="en-US" dirty="0"/>
            <a:t>Gastrointestinal bleeding</a:t>
          </a:r>
        </a:p>
      </dgm:t>
    </dgm:pt>
    <dgm:pt modelId="{C9CA6B36-699A-41CA-99A5-6168FFAEF42C}" type="parTrans" cxnId="{480EA569-F128-470E-A60C-1FB7400C90E6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en-US"/>
        </a:p>
      </dgm:t>
    </dgm:pt>
    <dgm:pt modelId="{B90D9D3F-1936-45EA-907A-0FF4E3D643D2}" type="sibTrans" cxnId="{480EA569-F128-470E-A60C-1FB7400C90E6}">
      <dgm:prSet/>
      <dgm:spPr/>
      <dgm:t>
        <a:bodyPr/>
        <a:lstStyle/>
        <a:p>
          <a:endParaRPr lang="en-US"/>
        </a:p>
      </dgm:t>
    </dgm:pt>
    <dgm:pt modelId="{7F1ACF00-28DD-449B-8247-43C91EDC041A}" type="pres">
      <dgm:prSet presAssocID="{CD90F951-3FF5-4023-9AE1-EF8D2EF277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03AD97F-E4C4-4C6C-BC8D-61E85F4CDA3F}" type="pres">
      <dgm:prSet presAssocID="{46563F14-3766-4BCF-BA3C-FE93F35E6071}" presName="hierRoot1" presStyleCnt="0">
        <dgm:presLayoutVars>
          <dgm:hierBranch val="init"/>
        </dgm:presLayoutVars>
      </dgm:prSet>
      <dgm:spPr/>
    </dgm:pt>
    <dgm:pt modelId="{855FFE2E-A05F-454C-89FF-E25E8F09A8B3}" type="pres">
      <dgm:prSet presAssocID="{46563F14-3766-4BCF-BA3C-FE93F35E6071}" presName="rootComposite1" presStyleCnt="0"/>
      <dgm:spPr/>
    </dgm:pt>
    <dgm:pt modelId="{86FB3FF1-46EC-4B08-87E2-CC7163B565B4}" type="pres">
      <dgm:prSet presAssocID="{46563F14-3766-4BCF-BA3C-FE93F35E6071}" presName="rootText1" presStyleLbl="node0" presStyleIdx="0" presStyleCnt="1">
        <dgm:presLayoutVars>
          <dgm:chPref val="3"/>
        </dgm:presLayoutVars>
      </dgm:prSet>
      <dgm:spPr/>
    </dgm:pt>
    <dgm:pt modelId="{CDFFEB09-F8FC-4916-9B8C-0C6BD569DEB5}" type="pres">
      <dgm:prSet presAssocID="{46563F14-3766-4BCF-BA3C-FE93F35E6071}" presName="rootConnector1" presStyleLbl="node1" presStyleIdx="0" presStyleCnt="0"/>
      <dgm:spPr/>
    </dgm:pt>
    <dgm:pt modelId="{B93BA3F0-4BA6-43BA-9E87-C6BE8FD8D1F2}" type="pres">
      <dgm:prSet presAssocID="{46563F14-3766-4BCF-BA3C-FE93F35E6071}" presName="hierChild2" presStyleCnt="0"/>
      <dgm:spPr/>
    </dgm:pt>
    <dgm:pt modelId="{A46ED9C0-A763-4DC2-B25E-958CE2EEC05C}" type="pres">
      <dgm:prSet presAssocID="{18C375AB-0344-4226-B2E1-E0396FA2F88D}" presName="Name64" presStyleLbl="parChTrans1D2" presStyleIdx="0" presStyleCnt="4"/>
      <dgm:spPr/>
    </dgm:pt>
    <dgm:pt modelId="{484C635E-8573-4B8A-8BF7-473A3543F790}" type="pres">
      <dgm:prSet presAssocID="{EB333E3D-49C8-481A-9DBB-7873B7576A6F}" presName="hierRoot2" presStyleCnt="0">
        <dgm:presLayoutVars>
          <dgm:hierBranch val="init"/>
        </dgm:presLayoutVars>
      </dgm:prSet>
      <dgm:spPr/>
    </dgm:pt>
    <dgm:pt modelId="{F6140DC7-ADCE-492B-A185-07D7492E17D7}" type="pres">
      <dgm:prSet presAssocID="{EB333E3D-49C8-481A-9DBB-7873B7576A6F}" presName="rootComposite" presStyleCnt="0"/>
      <dgm:spPr/>
    </dgm:pt>
    <dgm:pt modelId="{4209DB39-22E7-4C6D-AD23-B81AE7B61539}" type="pres">
      <dgm:prSet presAssocID="{EB333E3D-49C8-481A-9DBB-7873B7576A6F}" presName="rootText" presStyleLbl="node2" presStyleIdx="0" presStyleCnt="4">
        <dgm:presLayoutVars>
          <dgm:chPref val="3"/>
        </dgm:presLayoutVars>
      </dgm:prSet>
      <dgm:spPr/>
    </dgm:pt>
    <dgm:pt modelId="{CC5FDB3D-1950-40DB-A118-A01B4DBFBDB3}" type="pres">
      <dgm:prSet presAssocID="{EB333E3D-49C8-481A-9DBB-7873B7576A6F}" presName="rootConnector" presStyleLbl="node2" presStyleIdx="0" presStyleCnt="4"/>
      <dgm:spPr/>
    </dgm:pt>
    <dgm:pt modelId="{34FC4494-31B3-4FA5-9BDA-E50AA724D9F6}" type="pres">
      <dgm:prSet presAssocID="{EB333E3D-49C8-481A-9DBB-7873B7576A6F}" presName="hierChild4" presStyleCnt="0"/>
      <dgm:spPr/>
    </dgm:pt>
    <dgm:pt modelId="{0CADEEA5-4C91-4159-B73C-33E673243A78}" type="pres">
      <dgm:prSet presAssocID="{B80D60C1-39AC-4A27-BA6A-44D9D77B3BEF}" presName="Name64" presStyleLbl="parChTrans1D3" presStyleIdx="0" presStyleCnt="2"/>
      <dgm:spPr/>
    </dgm:pt>
    <dgm:pt modelId="{5B7BB6F1-7907-4E50-A030-DFF081917242}" type="pres">
      <dgm:prSet presAssocID="{1D9F3C98-1603-4BA8-B3D7-48836EC18065}" presName="hierRoot2" presStyleCnt="0">
        <dgm:presLayoutVars>
          <dgm:hierBranch val="init"/>
        </dgm:presLayoutVars>
      </dgm:prSet>
      <dgm:spPr/>
    </dgm:pt>
    <dgm:pt modelId="{127DDCDD-570C-489A-A30F-F52D9BE39487}" type="pres">
      <dgm:prSet presAssocID="{1D9F3C98-1603-4BA8-B3D7-48836EC18065}" presName="rootComposite" presStyleCnt="0"/>
      <dgm:spPr/>
    </dgm:pt>
    <dgm:pt modelId="{421A7606-423A-41AD-84D7-6308A97291E7}" type="pres">
      <dgm:prSet presAssocID="{1D9F3C98-1603-4BA8-B3D7-48836EC18065}" presName="rootText" presStyleLbl="node3" presStyleIdx="0" presStyleCnt="2">
        <dgm:presLayoutVars>
          <dgm:chPref val="3"/>
        </dgm:presLayoutVars>
      </dgm:prSet>
      <dgm:spPr/>
    </dgm:pt>
    <dgm:pt modelId="{31344EF6-3797-4E20-9850-D49CAEB73456}" type="pres">
      <dgm:prSet presAssocID="{1D9F3C98-1603-4BA8-B3D7-48836EC18065}" presName="rootConnector" presStyleLbl="node3" presStyleIdx="0" presStyleCnt="2"/>
      <dgm:spPr/>
    </dgm:pt>
    <dgm:pt modelId="{F1231DD3-8EDB-4375-B5FC-AB222ED45166}" type="pres">
      <dgm:prSet presAssocID="{1D9F3C98-1603-4BA8-B3D7-48836EC18065}" presName="hierChild4" presStyleCnt="0"/>
      <dgm:spPr/>
    </dgm:pt>
    <dgm:pt modelId="{ABA7816F-6DEE-4296-AEAE-F78B6A385ECA}" type="pres">
      <dgm:prSet presAssocID="{1D9F3C98-1603-4BA8-B3D7-48836EC18065}" presName="hierChild5" presStyleCnt="0"/>
      <dgm:spPr/>
    </dgm:pt>
    <dgm:pt modelId="{84603F2C-50C7-40E3-B9FE-C1F78D74A68E}" type="pres">
      <dgm:prSet presAssocID="{EB333E3D-49C8-481A-9DBB-7873B7576A6F}" presName="hierChild5" presStyleCnt="0"/>
      <dgm:spPr/>
    </dgm:pt>
    <dgm:pt modelId="{D211A484-05C8-425F-BC7C-3536F37DE593}" type="pres">
      <dgm:prSet presAssocID="{78429722-9F79-44E4-B0CD-0825B308D056}" presName="Name64" presStyleLbl="parChTrans1D2" presStyleIdx="1" presStyleCnt="4"/>
      <dgm:spPr/>
    </dgm:pt>
    <dgm:pt modelId="{9131C6BD-002B-4E3F-AD87-72467CBD7501}" type="pres">
      <dgm:prSet presAssocID="{167BAE08-5AF0-4A33-9BF8-54150759F870}" presName="hierRoot2" presStyleCnt="0">
        <dgm:presLayoutVars>
          <dgm:hierBranch val="init"/>
        </dgm:presLayoutVars>
      </dgm:prSet>
      <dgm:spPr/>
    </dgm:pt>
    <dgm:pt modelId="{77DD93D1-EBE1-46CE-8A9C-C05CA8B178D4}" type="pres">
      <dgm:prSet presAssocID="{167BAE08-5AF0-4A33-9BF8-54150759F870}" presName="rootComposite" presStyleCnt="0"/>
      <dgm:spPr/>
    </dgm:pt>
    <dgm:pt modelId="{8092BB38-50A1-4C1A-A0F0-EBF323358C77}" type="pres">
      <dgm:prSet presAssocID="{167BAE08-5AF0-4A33-9BF8-54150759F870}" presName="rootText" presStyleLbl="node2" presStyleIdx="1" presStyleCnt="4">
        <dgm:presLayoutVars>
          <dgm:chPref val="3"/>
        </dgm:presLayoutVars>
      </dgm:prSet>
      <dgm:spPr/>
    </dgm:pt>
    <dgm:pt modelId="{4C968E96-D692-40F0-A5DE-905446D92857}" type="pres">
      <dgm:prSet presAssocID="{167BAE08-5AF0-4A33-9BF8-54150759F870}" presName="rootConnector" presStyleLbl="node2" presStyleIdx="1" presStyleCnt="4"/>
      <dgm:spPr/>
    </dgm:pt>
    <dgm:pt modelId="{E1BADACA-AF92-404E-B304-F8A864F74669}" type="pres">
      <dgm:prSet presAssocID="{167BAE08-5AF0-4A33-9BF8-54150759F870}" presName="hierChild4" presStyleCnt="0"/>
      <dgm:spPr/>
    </dgm:pt>
    <dgm:pt modelId="{188FD5F4-64F9-43EB-B977-4887F9FBFC2D}" type="pres">
      <dgm:prSet presAssocID="{167BAE08-5AF0-4A33-9BF8-54150759F870}" presName="hierChild5" presStyleCnt="0"/>
      <dgm:spPr/>
    </dgm:pt>
    <dgm:pt modelId="{F2D86CBA-2442-42F4-9503-40C1D122FF42}" type="pres">
      <dgm:prSet presAssocID="{30DBE7A3-3148-495C-9188-2B05E8F907BB}" presName="Name64" presStyleLbl="parChTrans1D2" presStyleIdx="2" presStyleCnt="4"/>
      <dgm:spPr/>
    </dgm:pt>
    <dgm:pt modelId="{83B17F04-F136-4348-8DCA-ACEA68AC5466}" type="pres">
      <dgm:prSet presAssocID="{E1DF107D-8AD5-44F4-ACB1-163D0A5BD19B}" presName="hierRoot2" presStyleCnt="0">
        <dgm:presLayoutVars>
          <dgm:hierBranch val="init"/>
        </dgm:presLayoutVars>
      </dgm:prSet>
      <dgm:spPr/>
    </dgm:pt>
    <dgm:pt modelId="{79E07EA9-32F9-4430-BF68-9D9F823A7D3C}" type="pres">
      <dgm:prSet presAssocID="{E1DF107D-8AD5-44F4-ACB1-163D0A5BD19B}" presName="rootComposite" presStyleCnt="0"/>
      <dgm:spPr/>
    </dgm:pt>
    <dgm:pt modelId="{74083552-3B10-4107-ADA2-08001DF38F8D}" type="pres">
      <dgm:prSet presAssocID="{E1DF107D-8AD5-44F4-ACB1-163D0A5BD19B}" presName="rootText" presStyleLbl="node2" presStyleIdx="2" presStyleCnt="4">
        <dgm:presLayoutVars>
          <dgm:chPref val="3"/>
        </dgm:presLayoutVars>
      </dgm:prSet>
      <dgm:spPr/>
    </dgm:pt>
    <dgm:pt modelId="{1536404C-DAEC-4EEA-9D2B-0765D7C1FE1F}" type="pres">
      <dgm:prSet presAssocID="{E1DF107D-8AD5-44F4-ACB1-163D0A5BD19B}" presName="rootConnector" presStyleLbl="node2" presStyleIdx="2" presStyleCnt="4"/>
      <dgm:spPr/>
    </dgm:pt>
    <dgm:pt modelId="{26442AC9-DBF5-4832-BAB8-A2485684241E}" type="pres">
      <dgm:prSet presAssocID="{E1DF107D-8AD5-44F4-ACB1-163D0A5BD19B}" presName="hierChild4" presStyleCnt="0"/>
      <dgm:spPr/>
    </dgm:pt>
    <dgm:pt modelId="{DC25D198-8838-478C-96AB-4D67A27C223E}" type="pres">
      <dgm:prSet presAssocID="{D07EF20C-6292-437C-B199-12779AA24E98}" presName="Name64" presStyleLbl="parChTrans1D3" presStyleIdx="1" presStyleCnt="2"/>
      <dgm:spPr/>
    </dgm:pt>
    <dgm:pt modelId="{E0936305-38EC-4B2B-B364-3785BEEC70CE}" type="pres">
      <dgm:prSet presAssocID="{7454F423-9C42-4390-A4D1-3F07CB4C6ED2}" presName="hierRoot2" presStyleCnt="0">
        <dgm:presLayoutVars>
          <dgm:hierBranch val="init"/>
        </dgm:presLayoutVars>
      </dgm:prSet>
      <dgm:spPr/>
    </dgm:pt>
    <dgm:pt modelId="{3A98C1AF-E086-44CB-8A04-7508534CCF6B}" type="pres">
      <dgm:prSet presAssocID="{7454F423-9C42-4390-A4D1-3F07CB4C6ED2}" presName="rootComposite" presStyleCnt="0"/>
      <dgm:spPr/>
    </dgm:pt>
    <dgm:pt modelId="{94AF6186-4482-4851-B3A4-CA02FC108223}" type="pres">
      <dgm:prSet presAssocID="{7454F423-9C42-4390-A4D1-3F07CB4C6ED2}" presName="rootText" presStyleLbl="node3" presStyleIdx="1" presStyleCnt="2">
        <dgm:presLayoutVars>
          <dgm:chPref val="3"/>
        </dgm:presLayoutVars>
      </dgm:prSet>
      <dgm:spPr/>
    </dgm:pt>
    <dgm:pt modelId="{01C7A125-BE97-48BC-BC87-23D68269344D}" type="pres">
      <dgm:prSet presAssocID="{7454F423-9C42-4390-A4D1-3F07CB4C6ED2}" presName="rootConnector" presStyleLbl="node3" presStyleIdx="1" presStyleCnt="2"/>
      <dgm:spPr/>
    </dgm:pt>
    <dgm:pt modelId="{E625C531-7D8E-45DD-BBF5-02CB03110CFA}" type="pres">
      <dgm:prSet presAssocID="{7454F423-9C42-4390-A4D1-3F07CB4C6ED2}" presName="hierChild4" presStyleCnt="0"/>
      <dgm:spPr/>
    </dgm:pt>
    <dgm:pt modelId="{BBCFC9A5-EABD-4A8D-A971-1B351C3EF5ED}" type="pres">
      <dgm:prSet presAssocID="{C9CA6B36-699A-41CA-99A5-6168FFAEF42C}" presName="Name64" presStyleLbl="parChTrans1D4" presStyleIdx="0" presStyleCnt="1"/>
      <dgm:spPr/>
    </dgm:pt>
    <dgm:pt modelId="{E36AF787-28A9-4F74-9A80-2DDD9D672EE3}" type="pres">
      <dgm:prSet presAssocID="{F8146F52-5EE5-4FCE-975E-4BDEA5B737E6}" presName="hierRoot2" presStyleCnt="0">
        <dgm:presLayoutVars>
          <dgm:hierBranch val="init"/>
        </dgm:presLayoutVars>
      </dgm:prSet>
      <dgm:spPr/>
    </dgm:pt>
    <dgm:pt modelId="{79EDF1D6-2F61-4AA7-977F-7EBE8C6CCD49}" type="pres">
      <dgm:prSet presAssocID="{F8146F52-5EE5-4FCE-975E-4BDEA5B737E6}" presName="rootComposite" presStyleCnt="0"/>
      <dgm:spPr/>
    </dgm:pt>
    <dgm:pt modelId="{9AACA6DC-4B81-45CC-AAE6-1EA7C62D3CD0}" type="pres">
      <dgm:prSet presAssocID="{F8146F52-5EE5-4FCE-975E-4BDEA5B737E6}" presName="rootText" presStyleLbl="node4" presStyleIdx="0" presStyleCnt="1">
        <dgm:presLayoutVars>
          <dgm:chPref val="3"/>
        </dgm:presLayoutVars>
      </dgm:prSet>
      <dgm:spPr/>
    </dgm:pt>
    <dgm:pt modelId="{64CE51DF-971D-4AC6-BEDF-A0336F9DD44F}" type="pres">
      <dgm:prSet presAssocID="{F8146F52-5EE5-4FCE-975E-4BDEA5B737E6}" presName="rootConnector" presStyleLbl="node4" presStyleIdx="0" presStyleCnt="1"/>
      <dgm:spPr/>
    </dgm:pt>
    <dgm:pt modelId="{03E3D3DD-4B37-413B-A9AB-97F959878D6B}" type="pres">
      <dgm:prSet presAssocID="{F8146F52-5EE5-4FCE-975E-4BDEA5B737E6}" presName="hierChild4" presStyleCnt="0"/>
      <dgm:spPr/>
    </dgm:pt>
    <dgm:pt modelId="{08A26645-8EA0-492E-ADDB-1E28CD8BF68D}" type="pres">
      <dgm:prSet presAssocID="{F8146F52-5EE5-4FCE-975E-4BDEA5B737E6}" presName="hierChild5" presStyleCnt="0"/>
      <dgm:spPr/>
    </dgm:pt>
    <dgm:pt modelId="{804A513B-4CF8-44FA-AE49-5209630688D4}" type="pres">
      <dgm:prSet presAssocID="{7454F423-9C42-4390-A4D1-3F07CB4C6ED2}" presName="hierChild5" presStyleCnt="0"/>
      <dgm:spPr/>
    </dgm:pt>
    <dgm:pt modelId="{7F180D00-FE66-47A4-88FA-93D423EA2A08}" type="pres">
      <dgm:prSet presAssocID="{E1DF107D-8AD5-44F4-ACB1-163D0A5BD19B}" presName="hierChild5" presStyleCnt="0"/>
      <dgm:spPr/>
    </dgm:pt>
    <dgm:pt modelId="{DD330FE3-CBD5-455E-A163-BD335EEC5B88}" type="pres">
      <dgm:prSet presAssocID="{9DC10157-7EBC-4948-A337-3923C1ED905C}" presName="Name64" presStyleLbl="parChTrans1D2" presStyleIdx="3" presStyleCnt="4"/>
      <dgm:spPr/>
    </dgm:pt>
    <dgm:pt modelId="{201D861C-0373-45F4-9FAB-701167F61D5B}" type="pres">
      <dgm:prSet presAssocID="{2B1E1D44-916A-4340-9680-3BEF7A855D7B}" presName="hierRoot2" presStyleCnt="0">
        <dgm:presLayoutVars>
          <dgm:hierBranch val="init"/>
        </dgm:presLayoutVars>
      </dgm:prSet>
      <dgm:spPr/>
    </dgm:pt>
    <dgm:pt modelId="{EA0756AD-4152-47FF-B6B0-75299C362BEA}" type="pres">
      <dgm:prSet presAssocID="{2B1E1D44-916A-4340-9680-3BEF7A855D7B}" presName="rootComposite" presStyleCnt="0"/>
      <dgm:spPr/>
    </dgm:pt>
    <dgm:pt modelId="{9E3A906B-B8CD-4AA1-8EB6-43B9E8F71738}" type="pres">
      <dgm:prSet presAssocID="{2B1E1D44-916A-4340-9680-3BEF7A855D7B}" presName="rootText" presStyleLbl="node2" presStyleIdx="3" presStyleCnt="4">
        <dgm:presLayoutVars>
          <dgm:chPref val="3"/>
        </dgm:presLayoutVars>
      </dgm:prSet>
      <dgm:spPr/>
    </dgm:pt>
    <dgm:pt modelId="{3083820F-CED0-4187-8BE7-8952BB1FC09D}" type="pres">
      <dgm:prSet presAssocID="{2B1E1D44-916A-4340-9680-3BEF7A855D7B}" presName="rootConnector" presStyleLbl="node2" presStyleIdx="3" presStyleCnt="4"/>
      <dgm:spPr/>
    </dgm:pt>
    <dgm:pt modelId="{BA4772AD-7924-4569-A13A-3265F0B59A9C}" type="pres">
      <dgm:prSet presAssocID="{2B1E1D44-916A-4340-9680-3BEF7A855D7B}" presName="hierChild4" presStyleCnt="0"/>
      <dgm:spPr/>
    </dgm:pt>
    <dgm:pt modelId="{3A54DAA3-D9A4-4249-B6C5-80B47706BC52}" type="pres">
      <dgm:prSet presAssocID="{2B1E1D44-916A-4340-9680-3BEF7A855D7B}" presName="hierChild5" presStyleCnt="0"/>
      <dgm:spPr/>
    </dgm:pt>
    <dgm:pt modelId="{30E1F4EC-D55C-4CDB-8D98-D1510DB56C4D}" type="pres">
      <dgm:prSet presAssocID="{46563F14-3766-4BCF-BA3C-FE93F35E6071}" presName="hierChild3" presStyleCnt="0"/>
      <dgm:spPr/>
    </dgm:pt>
  </dgm:ptLst>
  <dgm:cxnLst>
    <dgm:cxn modelId="{FB746B09-7ED4-45D2-9259-9E8B0824BF6C}" type="presOf" srcId="{EB333E3D-49C8-481A-9DBB-7873B7576A6F}" destId="{4209DB39-22E7-4C6D-AD23-B81AE7B61539}" srcOrd="0" destOrd="0" presId="urn:microsoft.com/office/officeart/2009/3/layout/HorizontalOrganizationChart"/>
    <dgm:cxn modelId="{95A50D0C-4C13-4FF7-A263-0C0D4D1F2078}" type="presOf" srcId="{1D9F3C98-1603-4BA8-B3D7-48836EC18065}" destId="{31344EF6-3797-4E20-9850-D49CAEB73456}" srcOrd="1" destOrd="0" presId="urn:microsoft.com/office/officeart/2009/3/layout/HorizontalOrganizationChart"/>
    <dgm:cxn modelId="{91A17A0E-FEA6-4922-8E26-37E916DBD03F}" type="presOf" srcId="{9DC10157-7EBC-4948-A337-3923C1ED905C}" destId="{DD330FE3-CBD5-455E-A163-BD335EEC5B88}" srcOrd="0" destOrd="0" presId="urn:microsoft.com/office/officeart/2009/3/layout/HorizontalOrganizationChart"/>
    <dgm:cxn modelId="{0A2CDE10-4F2B-4559-B471-9A2F11E8C507}" type="presOf" srcId="{F8146F52-5EE5-4FCE-975E-4BDEA5B737E6}" destId="{9AACA6DC-4B81-45CC-AAE6-1EA7C62D3CD0}" srcOrd="0" destOrd="0" presId="urn:microsoft.com/office/officeart/2009/3/layout/HorizontalOrganizationChart"/>
    <dgm:cxn modelId="{214E0E1B-613B-4D8C-AAF0-CA534CC422BF}" type="presOf" srcId="{2B1E1D44-916A-4340-9680-3BEF7A855D7B}" destId="{3083820F-CED0-4187-8BE7-8952BB1FC09D}" srcOrd="1" destOrd="0" presId="urn:microsoft.com/office/officeart/2009/3/layout/HorizontalOrganizationChart"/>
    <dgm:cxn modelId="{A1DA321C-6C05-4BFD-A043-43AF076D2250}" type="presOf" srcId="{7454F423-9C42-4390-A4D1-3F07CB4C6ED2}" destId="{94AF6186-4482-4851-B3A4-CA02FC108223}" srcOrd="0" destOrd="0" presId="urn:microsoft.com/office/officeart/2009/3/layout/HorizontalOrganizationChart"/>
    <dgm:cxn modelId="{92A12A1E-278D-4866-A45C-361CC3362A41}" srcId="{46563F14-3766-4BCF-BA3C-FE93F35E6071}" destId="{EB333E3D-49C8-481A-9DBB-7873B7576A6F}" srcOrd="0" destOrd="0" parTransId="{18C375AB-0344-4226-B2E1-E0396FA2F88D}" sibTransId="{47C377E7-63FB-4DCE-B751-3D22958B3441}"/>
    <dgm:cxn modelId="{BD79DA1E-2834-43C2-9DAA-CC024D454978}" type="presOf" srcId="{30DBE7A3-3148-495C-9188-2B05E8F907BB}" destId="{F2D86CBA-2442-42F4-9503-40C1D122FF42}" srcOrd="0" destOrd="0" presId="urn:microsoft.com/office/officeart/2009/3/layout/HorizontalOrganizationChart"/>
    <dgm:cxn modelId="{CB943839-CEE7-4FF2-879B-1DDE81FFCC51}" srcId="{46563F14-3766-4BCF-BA3C-FE93F35E6071}" destId="{E1DF107D-8AD5-44F4-ACB1-163D0A5BD19B}" srcOrd="2" destOrd="0" parTransId="{30DBE7A3-3148-495C-9188-2B05E8F907BB}" sibTransId="{757E065F-7A10-4AA1-8456-865634EB56A0}"/>
    <dgm:cxn modelId="{F8F92A3E-6F3A-4BB1-8360-1982724AE742}" type="presOf" srcId="{167BAE08-5AF0-4A33-9BF8-54150759F870}" destId="{8092BB38-50A1-4C1A-A0F0-EBF323358C77}" srcOrd="0" destOrd="0" presId="urn:microsoft.com/office/officeart/2009/3/layout/HorizontalOrganizationChart"/>
    <dgm:cxn modelId="{78FEB061-1031-42CF-8C23-375B86B64FC8}" type="presOf" srcId="{7454F423-9C42-4390-A4D1-3F07CB4C6ED2}" destId="{01C7A125-BE97-48BC-BC87-23D68269344D}" srcOrd="1" destOrd="0" presId="urn:microsoft.com/office/officeart/2009/3/layout/HorizontalOrganizationChart"/>
    <dgm:cxn modelId="{9BFC2442-1C51-4457-8635-182D2DE9981B}" srcId="{EB333E3D-49C8-481A-9DBB-7873B7576A6F}" destId="{1D9F3C98-1603-4BA8-B3D7-48836EC18065}" srcOrd="0" destOrd="0" parTransId="{B80D60C1-39AC-4A27-BA6A-44D9D77B3BEF}" sibTransId="{F01861C8-45DD-4332-8239-84F4EF0FFEC2}"/>
    <dgm:cxn modelId="{18894044-771D-4E51-AAD2-8B36A95A07A3}" type="presOf" srcId="{18C375AB-0344-4226-B2E1-E0396FA2F88D}" destId="{A46ED9C0-A763-4DC2-B25E-958CE2EEC05C}" srcOrd="0" destOrd="0" presId="urn:microsoft.com/office/officeart/2009/3/layout/HorizontalOrganizationChart"/>
    <dgm:cxn modelId="{1AC6FA48-0445-492E-9629-A3471DE9B0A0}" srcId="{E1DF107D-8AD5-44F4-ACB1-163D0A5BD19B}" destId="{7454F423-9C42-4390-A4D1-3F07CB4C6ED2}" srcOrd="0" destOrd="0" parTransId="{D07EF20C-6292-437C-B199-12779AA24E98}" sibTransId="{7977B1D8-2608-475C-B440-7C7085617531}"/>
    <dgm:cxn modelId="{480EA569-F128-470E-A60C-1FB7400C90E6}" srcId="{7454F423-9C42-4390-A4D1-3F07CB4C6ED2}" destId="{F8146F52-5EE5-4FCE-975E-4BDEA5B737E6}" srcOrd="0" destOrd="0" parTransId="{C9CA6B36-699A-41CA-99A5-6168FFAEF42C}" sibTransId="{B90D9D3F-1936-45EA-907A-0FF4E3D643D2}"/>
    <dgm:cxn modelId="{6D60DC75-51B1-4739-A5E5-6C94EC88503A}" srcId="{46563F14-3766-4BCF-BA3C-FE93F35E6071}" destId="{2B1E1D44-916A-4340-9680-3BEF7A855D7B}" srcOrd="3" destOrd="0" parTransId="{9DC10157-7EBC-4948-A337-3923C1ED905C}" sibTransId="{51B5E2B2-2BC9-4960-8341-4590CCA7AF3D}"/>
    <dgm:cxn modelId="{CEAB4E78-DB88-412E-BA81-5729E966FA21}" srcId="{CD90F951-3FF5-4023-9AE1-EF8D2EF277C9}" destId="{46563F14-3766-4BCF-BA3C-FE93F35E6071}" srcOrd="0" destOrd="0" parTransId="{FE79931C-E636-487E-9573-6EDA82E30043}" sibTransId="{F5300A55-9DDA-4C6E-8AAC-ACA5A667D946}"/>
    <dgm:cxn modelId="{37164C80-B575-47E7-8A3F-F586F5818F37}" type="presOf" srcId="{EB333E3D-49C8-481A-9DBB-7873B7576A6F}" destId="{CC5FDB3D-1950-40DB-A118-A01B4DBFBDB3}" srcOrd="1" destOrd="0" presId="urn:microsoft.com/office/officeart/2009/3/layout/HorizontalOrganizationChart"/>
    <dgm:cxn modelId="{58D95080-033C-4464-8C2B-C05EC1EB60D6}" type="presOf" srcId="{46563F14-3766-4BCF-BA3C-FE93F35E6071}" destId="{86FB3FF1-46EC-4B08-87E2-CC7163B565B4}" srcOrd="0" destOrd="0" presId="urn:microsoft.com/office/officeart/2009/3/layout/HorizontalOrganizationChart"/>
    <dgm:cxn modelId="{7F9BDC89-68AE-4CE2-8EAD-458C5551B6EF}" type="presOf" srcId="{D07EF20C-6292-437C-B199-12779AA24E98}" destId="{DC25D198-8838-478C-96AB-4D67A27C223E}" srcOrd="0" destOrd="0" presId="urn:microsoft.com/office/officeart/2009/3/layout/HorizontalOrganizationChart"/>
    <dgm:cxn modelId="{F8A5E8BF-5E24-4CF8-84B0-168682783E98}" type="presOf" srcId="{C9CA6B36-699A-41CA-99A5-6168FFAEF42C}" destId="{BBCFC9A5-EABD-4A8D-A971-1B351C3EF5ED}" srcOrd="0" destOrd="0" presId="urn:microsoft.com/office/officeart/2009/3/layout/HorizontalOrganizationChart"/>
    <dgm:cxn modelId="{2FBA29C4-FDA0-423D-A8B0-D0D5960FB301}" type="presOf" srcId="{E1DF107D-8AD5-44F4-ACB1-163D0A5BD19B}" destId="{1536404C-DAEC-4EEA-9D2B-0765D7C1FE1F}" srcOrd="1" destOrd="0" presId="urn:microsoft.com/office/officeart/2009/3/layout/HorizontalOrganizationChart"/>
    <dgm:cxn modelId="{FCDFB4D9-24E8-43BC-AE1D-BF94AE3A72D8}" type="presOf" srcId="{B80D60C1-39AC-4A27-BA6A-44D9D77B3BEF}" destId="{0CADEEA5-4C91-4159-B73C-33E673243A78}" srcOrd="0" destOrd="0" presId="urn:microsoft.com/office/officeart/2009/3/layout/HorizontalOrganizationChart"/>
    <dgm:cxn modelId="{F27567E0-5E82-46BE-AEFE-60E3F59F29AF}" type="presOf" srcId="{46563F14-3766-4BCF-BA3C-FE93F35E6071}" destId="{CDFFEB09-F8FC-4916-9B8C-0C6BD569DEB5}" srcOrd="1" destOrd="0" presId="urn:microsoft.com/office/officeart/2009/3/layout/HorizontalOrganizationChart"/>
    <dgm:cxn modelId="{771CF0E0-FD72-4C50-BF30-CED4CF5B2414}" type="presOf" srcId="{1D9F3C98-1603-4BA8-B3D7-48836EC18065}" destId="{421A7606-423A-41AD-84D7-6308A97291E7}" srcOrd="0" destOrd="0" presId="urn:microsoft.com/office/officeart/2009/3/layout/HorizontalOrganizationChart"/>
    <dgm:cxn modelId="{DEF772E1-2CB1-4785-9770-F7FEE4C92557}" srcId="{46563F14-3766-4BCF-BA3C-FE93F35E6071}" destId="{167BAE08-5AF0-4A33-9BF8-54150759F870}" srcOrd="1" destOrd="0" parTransId="{78429722-9F79-44E4-B0CD-0825B308D056}" sibTransId="{EAAA9629-D3D9-47F2-B9A7-132ECD8ECC11}"/>
    <dgm:cxn modelId="{26F81AF0-D73D-4E76-A47A-ED31FC35E860}" type="presOf" srcId="{78429722-9F79-44E4-B0CD-0825B308D056}" destId="{D211A484-05C8-425F-BC7C-3536F37DE593}" srcOrd="0" destOrd="0" presId="urn:microsoft.com/office/officeart/2009/3/layout/HorizontalOrganizationChart"/>
    <dgm:cxn modelId="{017CD1F0-C2FF-42D0-AABC-4E0D4DAB19C5}" type="presOf" srcId="{E1DF107D-8AD5-44F4-ACB1-163D0A5BD19B}" destId="{74083552-3B10-4107-ADA2-08001DF38F8D}" srcOrd="0" destOrd="0" presId="urn:microsoft.com/office/officeart/2009/3/layout/HorizontalOrganizationChart"/>
    <dgm:cxn modelId="{F61431F1-3419-404C-B030-2F1F1B03EB98}" type="presOf" srcId="{167BAE08-5AF0-4A33-9BF8-54150759F870}" destId="{4C968E96-D692-40F0-A5DE-905446D92857}" srcOrd="1" destOrd="0" presId="urn:microsoft.com/office/officeart/2009/3/layout/HorizontalOrganizationChart"/>
    <dgm:cxn modelId="{3715FDF2-F6D4-4EC9-8BE9-C9EA83F8C592}" type="presOf" srcId="{F8146F52-5EE5-4FCE-975E-4BDEA5B737E6}" destId="{64CE51DF-971D-4AC6-BEDF-A0336F9DD44F}" srcOrd="1" destOrd="0" presId="urn:microsoft.com/office/officeart/2009/3/layout/HorizontalOrganizationChart"/>
    <dgm:cxn modelId="{BD25EDF4-5A60-4207-8903-8BD0ACCB8566}" type="presOf" srcId="{CD90F951-3FF5-4023-9AE1-EF8D2EF277C9}" destId="{7F1ACF00-28DD-449B-8247-43C91EDC041A}" srcOrd="0" destOrd="0" presId="urn:microsoft.com/office/officeart/2009/3/layout/HorizontalOrganizationChart"/>
    <dgm:cxn modelId="{46832BFF-8F97-4A42-BC0A-E3A7C5130492}" type="presOf" srcId="{2B1E1D44-916A-4340-9680-3BEF7A855D7B}" destId="{9E3A906B-B8CD-4AA1-8EB6-43B9E8F71738}" srcOrd="0" destOrd="0" presId="urn:microsoft.com/office/officeart/2009/3/layout/HorizontalOrganizationChart"/>
    <dgm:cxn modelId="{3DAA6A8A-BE89-4C87-B35D-FB93381EAD3E}" type="presParOf" srcId="{7F1ACF00-28DD-449B-8247-43C91EDC041A}" destId="{B03AD97F-E4C4-4C6C-BC8D-61E85F4CDA3F}" srcOrd="0" destOrd="0" presId="urn:microsoft.com/office/officeart/2009/3/layout/HorizontalOrganizationChart"/>
    <dgm:cxn modelId="{7D0B8CCC-9FE7-4B30-B686-8661FFA30F07}" type="presParOf" srcId="{B03AD97F-E4C4-4C6C-BC8D-61E85F4CDA3F}" destId="{855FFE2E-A05F-454C-89FF-E25E8F09A8B3}" srcOrd="0" destOrd="0" presId="urn:microsoft.com/office/officeart/2009/3/layout/HorizontalOrganizationChart"/>
    <dgm:cxn modelId="{5DEFA611-3653-4C0E-9F14-68AF1432FD8F}" type="presParOf" srcId="{855FFE2E-A05F-454C-89FF-E25E8F09A8B3}" destId="{86FB3FF1-46EC-4B08-87E2-CC7163B565B4}" srcOrd="0" destOrd="0" presId="urn:microsoft.com/office/officeart/2009/3/layout/HorizontalOrganizationChart"/>
    <dgm:cxn modelId="{533F185D-5600-457F-A418-2925E4DC7E43}" type="presParOf" srcId="{855FFE2E-A05F-454C-89FF-E25E8F09A8B3}" destId="{CDFFEB09-F8FC-4916-9B8C-0C6BD569DEB5}" srcOrd="1" destOrd="0" presId="urn:microsoft.com/office/officeart/2009/3/layout/HorizontalOrganizationChart"/>
    <dgm:cxn modelId="{A2297819-42EE-4C56-8E53-A02C55102E53}" type="presParOf" srcId="{B03AD97F-E4C4-4C6C-BC8D-61E85F4CDA3F}" destId="{B93BA3F0-4BA6-43BA-9E87-C6BE8FD8D1F2}" srcOrd="1" destOrd="0" presId="urn:microsoft.com/office/officeart/2009/3/layout/HorizontalOrganizationChart"/>
    <dgm:cxn modelId="{43A1F073-52FD-4048-ACEC-A6D59D69CF38}" type="presParOf" srcId="{B93BA3F0-4BA6-43BA-9E87-C6BE8FD8D1F2}" destId="{A46ED9C0-A763-4DC2-B25E-958CE2EEC05C}" srcOrd="0" destOrd="0" presId="urn:microsoft.com/office/officeart/2009/3/layout/HorizontalOrganizationChart"/>
    <dgm:cxn modelId="{99ABD67E-4CDA-4B64-93D9-6517C4E1BA71}" type="presParOf" srcId="{B93BA3F0-4BA6-43BA-9E87-C6BE8FD8D1F2}" destId="{484C635E-8573-4B8A-8BF7-473A3543F790}" srcOrd="1" destOrd="0" presId="urn:microsoft.com/office/officeart/2009/3/layout/HorizontalOrganizationChart"/>
    <dgm:cxn modelId="{EF5F02D5-2D29-42DA-B27C-9F0821850220}" type="presParOf" srcId="{484C635E-8573-4B8A-8BF7-473A3543F790}" destId="{F6140DC7-ADCE-492B-A185-07D7492E17D7}" srcOrd="0" destOrd="0" presId="urn:microsoft.com/office/officeart/2009/3/layout/HorizontalOrganizationChart"/>
    <dgm:cxn modelId="{0811BEB9-E3A1-4C88-8C80-1299437C7CC7}" type="presParOf" srcId="{F6140DC7-ADCE-492B-A185-07D7492E17D7}" destId="{4209DB39-22E7-4C6D-AD23-B81AE7B61539}" srcOrd="0" destOrd="0" presId="urn:microsoft.com/office/officeart/2009/3/layout/HorizontalOrganizationChart"/>
    <dgm:cxn modelId="{DB6B0CB4-64F0-4F12-969C-7D36204A9996}" type="presParOf" srcId="{F6140DC7-ADCE-492B-A185-07D7492E17D7}" destId="{CC5FDB3D-1950-40DB-A118-A01B4DBFBDB3}" srcOrd="1" destOrd="0" presId="urn:microsoft.com/office/officeart/2009/3/layout/HorizontalOrganizationChart"/>
    <dgm:cxn modelId="{AC4824AD-F502-4208-9AE0-F57CF81DC8C1}" type="presParOf" srcId="{484C635E-8573-4B8A-8BF7-473A3543F790}" destId="{34FC4494-31B3-4FA5-9BDA-E50AA724D9F6}" srcOrd="1" destOrd="0" presId="urn:microsoft.com/office/officeart/2009/3/layout/HorizontalOrganizationChart"/>
    <dgm:cxn modelId="{073740D6-AC19-4688-925C-6F75436818C1}" type="presParOf" srcId="{34FC4494-31B3-4FA5-9BDA-E50AA724D9F6}" destId="{0CADEEA5-4C91-4159-B73C-33E673243A78}" srcOrd="0" destOrd="0" presId="urn:microsoft.com/office/officeart/2009/3/layout/HorizontalOrganizationChart"/>
    <dgm:cxn modelId="{27CCAAB2-2A91-46C5-B938-63787E2C7CB1}" type="presParOf" srcId="{34FC4494-31B3-4FA5-9BDA-E50AA724D9F6}" destId="{5B7BB6F1-7907-4E50-A030-DFF081917242}" srcOrd="1" destOrd="0" presId="urn:microsoft.com/office/officeart/2009/3/layout/HorizontalOrganizationChart"/>
    <dgm:cxn modelId="{CE6843E0-018B-4DB5-9415-621DC81FA829}" type="presParOf" srcId="{5B7BB6F1-7907-4E50-A030-DFF081917242}" destId="{127DDCDD-570C-489A-A30F-F52D9BE39487}" srcOrd="0" destOrd="0" presId="urn:microsoft.com/office/officeart/2009/3/layout/HorizontalOrganizationChart"/>
    <dgm:cxn modelId="{652AFC88-F24D-4D6C-B61E-72F61E286CB8}" type="presParOf" srcId="{127DDCDD-570C-489A-A30F-F52D9BE39487}" destId="{421A7606-423A-41AD-84D7-6308A97291E7}" srcOrd="0" destOrd="0" presId="urn:microsoft.com/office/officeart/2009/3/layout/HorizontalOrganizationChart"/>
    <dgm:cxn modelId="{59FB34C0-6B0F-4946-BA5E-0921958EFC2B}" type="presParOf" srcId="{127DDCDD-570C-489A-A30F-F52D9BE39487}" destId="{31344EF6-3797-4E20-9850-D49CAEB73456}" srcOrd="1" destOrd="0" presId="urn:microsoft.com/office/officeart/2009/3/layout/HorizontalOrganizationChart"/>
    <dgm:cxn modelId="{91240B49-40D3-482F-8A08-DD1521D32004}" type="presParOf" srcId="{5B7BB6F1-7907-4E50-A030-DFF081917242}" destId="{F1231DD3-8EDB-4375-B5FC-AB222ED45166}" srcOrd="1" destOrd="0" presId="urn:microsoft.com/office/officeart/2009/3/layout/HorizontalOrganizationChart"/>
    <dgm:cxn modelId="{110C79AD-1E64-4F11-A4BA-E71FEA62E255}" type="presParOf" srcId="{5B7BB6F1-7907-4E50-A030-DFF081917242}" destId="{ABA7816F-6DEE-4296-AEAE-F78B6A385ECA}" srcOrd="2" destOrd="0" presId="urn:microsoft.com/office/officeart/2009/3/layout/HorizontalOrganizationChart"/>
    <dgm:cxn modelId="{8F850FD3-F6A8-4E77-BA6E-DA60D75431A3}" type="presParOf" srcId="{484C635E-8573-4B8A-8BF7-473A3543F790}" destId="{84603F2C-50C7-40E3-B9FE-C1F78D74A68E}" srcOrd="2" destOrd="0" presId="urn:microsoft.com/office/officeart/2009/3/layout/HorizontalOrganizationChart"/>
    <dgm:cxn modelId="{99D013AE-3F77-473C-B345-A5386E1B36EF}" type="presParOf" srcId="{B93BA3F0-4BA6-43BA-9E87-C6BE8FD8D1F2}" destId="{D211A484-05C8-425F-BC7C-3536F37DE593}" srcOrd="2" destOrd="0" presId="urn:microsoft.com/office/officeart/2009/3/layout/HorizontalOrganizationChart"/>
    <dgm:cxn modelId="{3C6787FA-3BE8-422A-B6FB-B631961A3E14}" type="presParOf" srcId="{B93BA3F0-4BA6-43BA-9E87-C6BE8FD8D1F2}" destId="{9131C6BD-002B-4E3F-AD87-72467CBD7501}" srcOrd="3" destOrd="0" presId="urn:microsoft.com/office/officeart/2009/3/layout/HorizontalOrganizationChart"/>
    <dgm:cxn modelId="{A2F1D2F3-DD96-4F67-9D8B-B3928AE6078E}" type="presParOf" srcId="{9131C6BD-002B-4E3F-AD87-72467CBD7501}" destId="{77DD93D1-EBE1-46CE-8A9C-C05CA8B178D4}" srcOrd="0" destOrd="0" presId="urn:microsoft.com/office/officeart/2009/3/layout/HorizontalOrganizationChart"/>
    <dgm:cxn modelId="{2A6741B5-D300-4E16-B866-D57160A657FE}" type="presParOf" srcId="{77DD93D1-EBE1-46CE-8A9C-C05CA8B178D4}" destId="{8092BB38-50A1-4C1A-A0F0-EBF323358C77}" srcOrd="0" destOrd="0" presId="urn:microsoft.com/office/officeart/2009/3/layout/HorizontalOrganizationChart"/>
    <dgm:cxn modelId="{52BC8533-775E-465C-A44F-CEE8DCFABCC8}" type="presParOf" srcId="{77DD93D1-EBE1-46CE-8A9C-C05CA8B178D4}" destId="{4C968E96-D692-40F0-A5DE-905446D92857}" srcOrd="1" destOrd="0" presId="urn:microsoft.com/office/officeart/2009/3/layout/HorizontalOrganizationChart"/>
    <dgm:cxn modelId="{B292AB38-F2DE-466B-ACDF-B2A0DE458667}" type="presParOf" srcId="{9131C6BD-002B-4E3F-AD87-72467CBD7501}" destId="{E1BADACA-AF92-404E-B304-F8A864F74669}" srcOrd="1" destOrd="0" presId="urn:microsoft.com/office/officeart/2009/3/layout/HorizontalOrganizationChart"/>
    <dgm:cxn modelId="{0FD565A3-18F4-4D74-8854-6A2A13F37AD2}" type="presParOf" srcId="{9131C6BD-002B-4E3F-AD87-72467CBD7501}" destId="{188FD5F4-64F9-43EB-B977-4887F9FBFC2D}" srcOrd="2" destOrd="0" presId="urn:microsoft.com/office/officeart/2009/3/layout/HorizontalOrganizationChart"/>
    <dgm:cxn modelId="{738007A8-A431-4273-B35E-42749F6FDC29}" type="presParOf" srcId="{B93BA3F0-4BA6-43BA-9E87-C6BE8FD8D1F2}" destId="{F2D86CBA-2442-42F4-9503-40C1D122FF42}" srcOrd="4" destOrd="0" presId="urn:microsoft.com/office/officeart/2009/3/layout/HorizontalOrganizationChart"/>
    <dgm:cxn modelId="{1DEA761E-FC46-451E-BD46-602D8006AA49}" type="presParOf" srcId="{B93BA3F0-4BA6-43BA-9E87-C6BE8FD8D1F2}" destId="{83B17F04-F136-4348-8DCA-ACEA68AC5466}" srcOrd="5" destOrd="0" presId="urn:microsoft.com/office/officeart/2009/3/layout/HorizontalOrganizationChart"/>
    <dgm:cxn modelId="{61E53C51-BFD9-412A-AA97-393E7716375C}" type="presParOf" srcId="{83B17F04-F136-4348-8DCA-ACEA68AC5466}" destId="{79E07EA9-32F9-4430-BF68-9D9F823A7D3C}" srcOrd="0" destOrd="0" presId="urn:microsoft.com/office/officeart/2009/3/layout/HorizontalOrganizationChart"/>
    <dgm:cxn modelId="{28AE050C-08A9-4AA1-B4CB-5E172F03BD53}" type="presParOf" srcId="{79E07EA9-32F9-4430-BF68-9D9F823A7D3C}" destId="{74083552-3B10-4107-ADA2-08001DF38F8D}" srcOrd="0" destOrd="0" presId="urn:microsoft.com/office/officeart/2009/3/layout/HorizontalOrganizationChart"/>
    <dgm:cxn modelId="{448B69C8-E351-43D1-86C1-8E7CDEA507F9}" type="presParOf" srcId="{79E07EA9-32F9-4430-BF68-9D9F823A7D3C}" destId="{1536404C-DAEC-4EEA-9D2B-0765D7C1FE1F}" srcOrd="1" destOrd="0" presId="urn:microsoft.com/office/officeart/2009/3/layout/HorizontalOrganizationChart"/>
    <dgm:cxn modelId="{FD190A85-EFB0-48D6-918C-4F968CF46353}" type="presParOf" srcId="{83B17F04-F136-4348-8DCA-ACEA68AC5466}" destId="{26442AC9-DBF5-4832-BAB8-A2485684241E}" srcOrd="1" destOrd="0" presId="urn:microsoft.com/office/officeart/2009/3/layout/HorizontalOrganizationChart"/>
    <dgm:cxn modelId="{06C72571-96D7-4FF7-8721-776C67EF69FD}" type="presParOf" srcId="{26442AC9-DBF5-4832-BAB8-A2485684241E}" destId="{DC25D198-8838-478C-96AB-4D67A27C223E}" srcOrd="0" destOrd="0" presId="urn:microsoft.com/office/officeart/2009/3/layout/HorizontalOrganizationChart"/>
    <dgm:cxn modelId="{7BE47027-19AD-4B6F-9C27-933EB80DC428}" type="presParOf" srcId="{26442AC9-DBF5-4832-BAB8-A2485684241E}" destId="{E0936305-38EC-4B2B-B364-3785BEEC70CE}" srcOrd="1" destOrd="0" presId="urn:microsoft.com/office/officeart/2009/3/layout/HorizontalOrganizationChart"/>
    <dgm:cxn modelId="{8B26AE54-2EC1-48F9-9CEA-F88A8BBFC185}" type="presParOf" srcId="{E0936305-38EC-4B2B-B364-3785BEEC70CE}" destId="{3A98C1AF-E086-44CB-8A04-7508534CCF6B}" srcOrd="0" destOrd="0" presId="urn:microsoft.com/office/officeart/2009/3/layout/HorizontalOrganizationChart"/>
    <dgm:cxn modelId="{BC19121D-EAD7-44D7-8188-239418793D63}" type="presParOf" srcId="{3A98C1AF-E086-44CB-8A04-7508534CCF6B}" destId="{94AF6186-4482-4851-B3A4-CA02FC108223}" srcOrd="0" destOrd="0" presId="urn:microsoft.com/office/officeart/2009/3/layout/HorizontalOrganizationChart"/>
    <dgm:cxn modelId="{7DCD333E-C687-4BAF-AFBC-CB29EE5D1811}" type="presParOf" srcId="{3A98C1AF-E086-44CB-8A04-7508534CCF6B}" destId="{01C7A125-BE97-48BC-BC87-23D68269344D}" srcOrd="1" destOrd="0" presId="urn:microsoft.com/office/officeart/2009/3/layout/HorizontalOrganizationChart"/>
    <dgm:cxn modelId="{A2AB60E6-BCB7-4800-B2FF-599AC07A76A6}" type="presParOf" srcId="{E0936305-38EC-4B2B-B364-3785BEEC70CE}" destId="{E625C531-7D8E-45DD-BBF5-02CB03110CFA}" srcOrd="1" destOrd="0" presId="urn:microsoft.com/office/officeart/2009/3/layout/HorizontalOrganizationChart"/>
    <dgm:cxn modelId="{1AB96CD0-D0C3-420F-9575-E4B710CFEC0F}" type="presParOf" srcId="{E625C531-7D8E-45DD-BBF5-02CB03110CFA}" destId="{BBCFC9A5-EABD-4A8D-A971-1B351C3EF5ED}" srcOrd="0" destOrd="0" presId="urn:microsoft.com/office/officeart/2009/3/layout/HorizontalOrganizationChart"/>
    <dgm:cxn modelId="{1D0A65F3-4EBE-4BA5-985C-E3241695BD72}" type="presParOf" srcId="{E625C531-7D8E-45DD-BBF5-02CB03110CFA}" destId="{E36AF787-28A9-4F74-9A80-2DDD9D672EE3}" srcOrd="1" destOrd="0" presId="urn:microsoft.com/office/officeart/2009/3/layout/HorizontalOrganizationChart"/>
    <dgm:cxn modelId="{53AA3D25-0D00-4BE5-A39C-B50681A1A505}" type="presParOf" srcId="{E36AF787-28A9-4F74-9A80-2DDD9D672EE3}" destId="{79EDF1D6-2F61-4AA7-977F-7EBE8C6CCD49}" srcOrd="0" destOrd="0" presId="urn:microsoft.com/office/officeart/2009/3/layout/HorizontalOrganizationChart"/>
    <dgm:cxn modelId="{14389561-431D-4CB5-BA09-E598CE46D493}" type="presParOf" srcId="{79EDF1D6-2F61-4AA7-977F-7EBE8C6CCD49}" destId="{9AACA6DC-4B81-45CC-AAE6-1EA7C62D3CD0}" srcOrd="0" destOrd="0" presId="urn:microsoft.com/office/officeart/2009/3/layout/HorizontalOrganizationChart"/>
    <dgm:cxn modelId="{7443E039-E350-4013-9672-FAFA7D1373D3}" type="presParOf" srcId="{79EDF1D6-2F61-4AA7-977F-7EBE8C6CCD49}" destId="{64CE51DF-971D-4AC6-BEDF-A0336F9DD44F}" srcOrd="1" destOrd="0" presId="urn:microsoft.com/office/officeart/2009/3/layout/HorizontalOrganizationChart"/>
    <dgm:cxn modelId="{14AA0819-FB3B-4FD7-9F34-2FFB6CD64C67}" type="presParOf" srcId="{E36AF787-28A9-4F74-9A80-2DDD9D672EE3}" destId="{03E3D3DD-4B37-413B-A9AB-97F959878D6B}" srcOrd="1" destOrd="0" presId="urn:microsoft.com/office/officeart/2009/3/layout/HorizontalOrganizationChart"/>
    <dgm:cxn modelId="{5F6C038A-BF33-4443-A255-8002C572C389}" type="presParOf" srcId="{E36AF787-28A9-4F74-9A80-2DDD9D672EE3}" destId="{08A26645-8EA0-492E-ADDB-1E28CD8BF68D}" srcOrd="2" destOrd="0" presId="urn:microsoft.com/office/officeart/2009/3/layout/HorizontalOrganizationChart"/>
    <dgm:cxn modelId="{C04C67E3-2EA0-439B-9243-6F253179FEEF}" type="presParOf" srcId="{E0936305-38EC-4B2B-B364-3785BEEC70CE}" destId="{804A513B-4CF8-44FA-AE49-5209630688D4}" srcOrd="2" destOrd="0" presId="urn:microsoft.com/office/officeart/2009/3/layout/HorizontalOrganizationChart"/>
    <dgm:cxn modelId="{39D8AF98-9C11-4B8E-8B08-99C00BB009C0}" type="presParOf" srcId="{83B17F04-F136-4348-8DCA-ACEA68AC5466}" destId="{7F180D00-FE66-47A4-88FA-93D423EA2A08}" srcOrd="2" destOrd="0" presId="urn:microsoft.com/office/officeart/2009/3/layout/HorizontalOrganizationChart"/>
    <dgm:cxn modelId="{5CFAE202-4CAF-4BB5-8D6A-34C83F7E89CB}" type="presParOf" srcId="{B93BA3F0-4BA6-43BA-9E87-C6BE8FD8D1F2}" destId="{DD330FE3-CBD5-455E-A163-BD335EEC5B88}" srcOrd="6" destOrd="0" presId="urn:microsoft.com/office/officeart/2009/3/layout/HorizontalOrganizationChart"/>
    <dgm:cxn modelId="{68BEA0D1-BF68-4DBD-9921-E0D61EDFCAB2}" type="presParOf" srcId="{B93BA3F0-4BA6-43BA-9E87-C6BE8FD8D1F2}" destId="{201D861C-0373-45F4-9FAB-701167F61D5B}" srcOrd="7" destOrd="0" presId="urn:microsoft.com/office/officeart/2009/3/layout/HorizontalOrganizationChart"/>
    <dgm:cxn modelId="{4BCC1446-5584-4ABF-8757-3649251B14BD}" type="presParOf" srcId="{201D861C-0373-45F4-9FAB-701167F61D5B}" destId="{EA0756AD-4152-47FF-B6B0-75299C362BEA}" srcOrd="0" destOrd="0" presId="urn:microsoft.com/office/officeart/2009/3/layout/HorizontalOrganizationChart"/>
    <dgm:cxn modelId="{F78C5E93-3B19-44CC-86F1-5989E22A7B58}" type="presParOf" srcId="{EA0756AD-4152-47FF-B6B0-75299C362BEA}" destId="{9E3A906B-B8CD-4AA1-8EB6-43B9E8F71738}" srcOrd="0" destOrd="0" presId="urn:microsoft.com/office/officeart/2009/3/layout/HorizontalOrganizationChart"/>
    <dgm:cxn modelId="{EA6D35E1-5F06-4C76-9C29-604DD21EC14D}" type="presParOf" srcId="{EA0756AD-4152-47FF-B6B0-75299C362BEA}" destId="{3083820F-CED0-4187-8BE7-8952BB1FC09D}" srcOrd="1" destOrd="0" presId="urn:microsoft.com/office/officeart/2009/3/layout/HorizontalOrganizationChart"/>
    <dgm:cxn modelId="{45B48D0B-610B-4CD4-82C5-E7D03BAFAB51}" type="presParOf" srcId="{201D861C-0373-45F4-9FAB-701167F61D5B}" destId="{BA4772AD-7924-4569-A13A-3265F0B59A9C}" srcOrd="1" destOrd="0" presId="urn:microsoft.com/office/officeart/2009/3/layout/HorizontalOrganizationChart"/>
    <dgm:cxn modelId="{05C3C438-541A-4D04-8D12-343214F6FDBF}" type="presParOf" srcId="{201D861C-0373-45F4-9FAB-701167F61D5B}" destId="{3A54DAA3-D9A4-4249-B6C5-80B47706BC52}" srcOrd="2" destOrd="0" presId="urn:microsoft.com/office/officeart/2009/3/layout/HorizontalOrganizationChart"/>
    <dgm:cxn modelId="{E0901BDC-6942-4002-9DCC-809143747848}" type="presParOf" srcId="{B03AD97F-E4C4-4C6C-BC8D-61E85F4CDA3F}" destId="{30E1F4EC-D55C-4CDB-8D98-D1510DB56C4D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330FE3-CBD5-455E-A163-BD335EEC5B88}">
      <dsp:nvSpPr>
        <dsp:cNvPr id="0" name=""/>
        <dsp:cNvSpPr/>
      </dsp:nvSpPr>
      <dsp:spPr>
        <a:xfrm>
          <a:off x="1193452" y="1475104"/>
          <a:ext cx="238422" cy="768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768913"/>
              </a:lnTo>
              <a:lnTo>
                <a:pt x="238422" y="768913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BBCFC9A5-EABD-4A8D-A971-1B351C3EF5ED}">
      <dsp:nvSpPr>
        <dsp:cNvPr id="0" name=""/>
        <dsp:cNvSpPr/>
      </dsp:nvSpPr>
      <dsp:spPr>
        <a:xfrm>
          <a:off x="4054524" y="1685689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C25D198-8838-478C-96AB-4D67A27C223E}">
      <dsp:nvSpPr>
        <dsp:cNvPr id="0" name=""/>
        <dsp:cNvSpPr/>
      </dsp:nvSpPr>
      <dsp:spPr>
        <a:xfrm>
          <a:off x="2623988" y="1685689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F2D86CBA-2442-42F4-9503-40C1D122FF42}">
      <dsp:nvSpPr>
        <dsp:cNvPr id="0" name=""/>
        <dsp:cNvSpPr/>
      </dsp:nvSpPr>
      <dsp:spPr>
        <a:xfrm>
          <a:off x="1193452" y="1475104"/>
          <a:ext cx="238422" cy="256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256304"/>
              </a:lnTo>
              <a:lnTo>
                <a:pt x="238422" y="256304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211A484-05C8-425F-BC7C-3536F37DE593}">
      <dsp:nvSpPr>
        <dsp:cNvPr id="0" name=""/>
        <dsp:cNvSpPr/>
      </dsp:nvSpPr>
      <dsp:spPr>
        <a:xfrm>
          <a:off x="1193452" y="1218800"/>
          <a:ext cx="238422" cy="256304"/>
        </a:xfrm>
        <a:custGeom>
          <a:avLst/>
          <a:gdLst/>
          <a:ahLst/>
          <a:cxnLst/>
          <a:rect l="0" t="0" r="0" b="0"/>
          <a:pathLst>
            <a:path>
              <a:moveTo>
                <a:pt x="0" y="256304"/>
              </a:moveTo>
              <a:lnTo>
                <a:pt x="119211" y="256304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0CADEEA5-4C91-4159-B73C-33E673243A78}">
      <dsp:nvSpPr>
        <dsp:cNvPr id="0" name=""/>
        <dsp:cNvSpPr/>
      </dsp:nvSpPr>
      <dsp:spPr>
        <a:xfrm>
          <a:off x="2623988" y="660471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A46ED9C0-A763-4DC2-B25E-958CE2EEC05C}">
      <dsp:nvSpPr>
        <dsp:cNvPr id="0" name=""/>
        <dsp:cNvSpPr/>
      </dsp:nvSpPr>
      <dsp:spPr>
        <a:xfrm>
          <a:off x="1193452" y="706191"/>
          <a:ext cx="238422" cy="768913"/>
        </a:xfrm>
        <a:custGeom>
          <a:avLst/>
          <a:gdLst/>
          <a:ahLst/>
          <a:cxnLst/>
          <a:rect l="0" t="0" r="0" b="0"/>
          <a:pathLst>
            <a:path>
              <a:moveTo>
                <a:pt x="0" y="768913"/>
              </a:moveTo>
              <a:lnTo>
                <a:pt x="119211" y="768913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/>
          <a:lightRig rig="threePt" dir="t">
            <a:rot lat="0" lon="0" rev="7500000"/>
          </a:lightRig>
        </a:scene3d>
        <a:sp3d z="-4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6FB3FF1-46EC-4B08-87E2-CC7163B565B4}">
      <dsp:nvSpPr>
        <dsp:cNvPr id="0" name=""/>
        <dsp:cNvSpPr/>
      </dsp:nvSpPr>
      <dsp:spPr>
        <a:xfrm>
          <a:off x="1339" y="1293307"/>
          <a:ext cx="1192113" cy="3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LVAD</a:t>
          </a:r>
        </a:p>
      </dsp:txBody>
      <dsp:txXfrm>
        <a:off x="1339" y="1293307"/>
        <a:ext cx="1192113" cy="363594"/>
      </dsp:txXfrm>
    </dsp:sp>
    <dsp:sp modelId="{4209DB39-22E7-4C6D-AD23-B81AE7B61539}">
      <dsp:nvSpPr>
        <dsp:cNvPr id="0" name=""/>
        <dsp:cNvSpPr/>
      </dsp:nvSpPr>
      <dsp:spPr>
        <a:xfrm>
          <a:off x="1431875" y="524394"/>
          <a:ext cx="1192113" cy="3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High shearing effect</a:t>
          </a:r>
        </a:p>
      </dsp:txBody>
      <dsp:txXfrm>
        <a:off x="1431875" y="524394"/>
        <a:ext cx="1192113" cy="363594"/>
      </dsp:txXfrm>
    </dsp:sp>
    <dsp:sp modelId="{421A7606-423A-41AD-84D7-6308A97291E7}">
      <dsp:nvSpPr>
        <dsp:cNvPr id="0" name=""/>
        <dsp:cNvSpPr/>
      </dsp:nvSpPr>
      <dsp:spPr>
        <a:xfrm>
          <a:off x="2862411" y="524394"/>
          <a:ext cx="1192113" cy="3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Lack of </a:t>
          </a:r>
          <a:r>
            <a:rPr lang="en-US" sz="1000" kern="1200" dirty="0" err="1"/>
            <a:t>vWF</a:t>
          </a:r>
          <a:r>
            <a:rPr lang="en-US" sz="1000" kern="1200" dirty="0"/>
            <a:t> multimers</a:t>
          </a:r>
        </a:p>
      </dsp:txBody>
      <dsp:txXfrm>
        <a:off x="2862411" y="524394"/>
        <a:ext cx="1192113" cy="363594"/>
      </dsp:txXfrm>
    </dsp:sp>
    <dsp:sp modelId="{8092BB38-50A1-4C1A-A0F0-EBF323358C77}">
      <dsp:nvSpPr>
        <dsp:cNvPr id="0" name=""/>
        <dsp:cNvSpPr/>
      </dsp:nvSpPr>
      <dsp:spPr>
        <a:xfrm>
          <a:off x="1431875" y="1037003"/>
          <a:ext cx="1192113" cy="3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Impaired platelet aggregation</a:t>
          </a:r>
        </a:p>
      </dsp:txBody>
      <dsp:txXfrm>
        <a:off x="1431875" y="1037003"/>
        <a:ext cx="1192113" cy="363594"/>
      </dsp:txXfrm>
    </dsp:sp>
    <dsp:sp modelId="{74083552-3B10-4107-ADA2-08001DF38F8D}">
      <dsp:nvSpPr>
        <dsp:cNvPr id="0" name=""/>
        <dsp:cNvSpPr/>
      </dsp:nvSpPr>
      <dsp:spPr>
        <a:xfrm>
          <a:off x="1431875" y="1549612"/>
          <a:ext cx="1192113" cy="3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Vascular smooth muscle relaxation</a:t>
          </a:r>
        </a:p>
      </dsp:txBody>
      <dsp:txXfrm>
        <a:off x="1431875" y="1549612"/>
        <a:ext cx="1192113" cy="363594"/>
      </dsp:txXfrm>
    </dsp:sp>
    <dsp:sp modelId="{94AF6186-4482-4851-B3A4-CA02FC108223}">
      <dsp:nvSpPr>
        <dsp:cNvPr id="0" name=""/>
        <dsp:cNvSpPr/>
      </dsp:nvSpPr>
      <dsp:spPr>
        <a:xfrm>
          <a:off x="2862411" y="1549612"/>
          <a:ext cx="1192113" cy="3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Arteriovenous malformation</a:t>
          </a:r>
        </a:p>
      </dsp:txBody>
      <dsp:txXfrm>
        <a:off x="2862411" y="1549612"/>
        <a:ext cx="1192113" cy="363594"/>
      </dsp:txXfrm>
    </dsp:sp>
    <dsp:sp modelId="{9AACA6DC-4B81-45CC-AAE6-1EA7C62D3CD0}">
      <dsp:nvSpPr>
        <dsp:cNvPr id="0" name=""/>
        <dsp:cNvSpPr/>
      </dsp:nvSpPr>
      <dsp:spPr>
        <a:xfrm>
          <a:off x="4292947" y="1549612"/>
          <a:ext cx="1192113" cy="3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Gastrointestinal bleeding</a:t>
          </a:r>
        </a:p>
      </dsp:txBody>
      <dsp:txXfrm>
        <a:off x="4292947" y="1549612"/>
        <a:ext cx="1192113" cy="363594"/>
      </dsp:txXfrm>
    </dsp:sp>
    <dsp:sp modelId="{9E3A906B-B8CD-4AA1-8EB6-43B9E8F71738}">
      <dsp:nvSpPr>
        <dsp:cNvPr id="0" name=""/>
        <dsp:cNvSpPr/>
      </dsp:nvSpPr>
      <dsp:spPr>
        <a:xfrm>
          <a:off x="1431875" y="2062220"/>
          <a:ext cx="1192113" cy="3635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Use of antiplatelet and anticoagulation</a:t>
          </a:r>
        </a:p>
      </dsp:txBody>
      <dsp:txXfrm>
        <a:off x="1431875" y="2062220"/>
        <a:ext cx="1192113" cy="363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1D2C-025D-4CFD-BF52-E74824BF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6134</Words>
  <Characters>34965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Srikanth Vedachalam</dc:creator>
  <cp:keywords/>
  <dc:description/>
  <cp:lastModifiedBy>Liansheng Ma</cp:lastModifiedBy>
  <cp:revision>2</cp:revision>
  <cp:lastPrinted>2020-04-28T22:13:00Z</cp:lastPrinted>
  <dcterms:created xsi:type="dcterms:W3CDTF">2020-05-13T22:31:00Z</dcterms:created>
  <dcterms:modified xsi:type="dcterms:W3CDTF">2020-05-13T22:31:00Z</dcterms:modified>
</cp:coreProperties>
</file>