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2E92AC"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Name of Journal: </w:t>
      </w:r>
      <w:r w:rsidRPr="00545501">
        <w:rPr>
          <w:rFonts w:ascii="Book Antiqua" w:eastAsia="Book Antiqua" w:hAnsi="Book Antiqua" w:cs="Book Antiqua"/>
          <w:i/>
          <w:color w:val="000000"/>
        </w:rPr>
        <w:t>World Journal of Clinical Cases</w:t>
      </w:r>
    </w:p>
    <w:p w14:paraId="0BBDB99D"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Manuscript NO: </w:t>
      </w:r>
      <w:r w:rsidRPr="00545501">
        <w:rPr>
          <w:rFonts w:ascii="Book Antiqua" w:eastAsia="Book Antiqua" w:hAnsi="Book Antiqua" w:cs="Book Antiqua"/>
          <w:color w:val="000000"/>
        </w:rPr>
        <w:t>54970</w:t>
      </w:r>
    </w:p>
    <w:p w14:paraId="08866985"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Manuscript Type: </w:t>
      </w:r>
      <w:r w:rsidRPr="00545501">
        <w:rPr>
          <w:rFonts w:ascii="Book Antiqua" w:eastAsia="Book Antiqua" w:hAnsi="Book Antiqua" w:cs="Book Antiqua"/>
          <w:color w:val="000000"/>
        </w:rPr>
        <w:t>CASE REPORT</w:t>
      </w:r>
    </w:p>
    <w:p w14:paraId="278AD09C" w14:textId="77777777" w:rsidR="00A77B3E" w:rsidRPr="00545501" w:rsidRDefault="00A77B3E" w:rsidP="003541E7">
      <w:pPr>
        <w:adjustRightInd w:val="0"/>
        <w:snapToGrid w:val="0"/>
        <w:spacing w:line="360" w:lineRule="auto"/>
        <w:jc w:val="both"/>
        <w:rPr>
          <w:rFonts w:ascii="Book Antiqua" w:hAnsi="Book Antiqua"/>
        </w:rPr>
      </w:pPr>
    </w:p>
    <w:p w14:paraId="1371BA7B" w14:textId="4FBEA40C" w:rsidR="00DF42D5" w:rsidRPr="00545501" w:rsidRDefault="00DF42D5" w:rsidP="003541E7">
      <w:pPr>
        <w:adjustRightInd w:val="0"/>
        <w:snapToGrid w:val="0"/>
        <w:spacing w:line="360" w:lineRule="auto"/>
        <w:jc w:val="both"/>
        <w:rPr>
          <w:rFonts w:ascii="Book Antiqua" w:hAnsi="Book Antiqua"/>
          <w:color w:val="000000" w:themeColor="text1"/>
        </w:rPr>
      </w:pPr>
      <w:bookmarkStart w:id="0" w:name="OLE_LINK17"/>
      <w:bookmarkStart w:id="1" w:name="OLE_LINK18"/>
      <w:r w:rsidRPr="00545501">
        <w:rPr>
          <w:rFonts w:ascii="Book Antiqua" w:hAnsi="Book Antiqua"/>
          <w:b/>
          <w:color w:val="000000" w:themeColor="text1"/>
        </w:rPr>
        <w:t>Celiac disease and Sj</w:t>
      </w:r>
      <w:r w:rsidR="00395119" w:rsidRPr="00545501">
        <w:rPr>
          <w:rFonts w:ascii="Book Antiqua" w:hAnsi="Book Antiqua"/>
          <w:b/>
          <w:color w:val="000000" w:themeColor="text1"/>
        </w:rPr>
        <w:t>ö</w:t>
      </w:r>
      <w:r w:rsidRPr="00545501">
        <w:rPr>
          <w:rFonts w:ascii="Book Antiqua" w:hAnsi="Book Antiqua"/>
          <w:b/>
          <w:color w:val="000000" w:themeColor="text1"/>
        </w:rPr>
        <w:t xml:space="preserve">gren’s syndrome: </w:t>
      </w:r>
      <w:r w:rsidRPr="00545501">
        <w:rPr>
          <w:rFonts w:ascii="Book Antiqua" w:hAnsi="Book Antiqua" w:cs="Book Antiqua"/>
          <w:b/>
          <w:bCs/>
          <w:color w:val="000000" w:themeColor="text1"/>
        </w:rPr>
        <w:t>A case report and review of literature</w:t>
      </w:r>
    </w:p>
    <w:bookmarkEnd w:id="0"/>
    <w:bookmarkEnd w:id="1"/>
    <w:p w14:paraId="0D0BB0F1" w14:textId="77777777" w:rsidR="00A77B3E" w:rsidRPr="00545501" w:rsidRDefault="00A77B3E" w:rsidP="003541E7">
      <w:pPr>
        <w:adjustRightInd w:val="0"/>
        <w:snapToGrid w:val="0"/>
        <w:spacing w:line="360" w:lineRule="auto"/>
        <w:jc w:val="both"/>
        <w:rPr>
          <w:rFonts w:ascii="Book Antiqua" w:hAnsi="Book Antiqua"/>
        </w:rPr>
      </w:pPr>
    </w:p>
    <w:p w14:paraId="148FC021" w14:textId="5FA850E6"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Balaban DV</w:t>
      </w:r>
      <w:r w:rsidRPr="00545501">
        <w:rPr>
          <w:rFonts w:ascii="Book Antiqua" w:hAnsi="Book Antiqua"/>
        </w:rPr>
        <w:t xml:space="preserve"> </w:t>
      </w:r>
      <w:r w:rsidRPr="00545501">
        <w:rPr>
          <w:rFonts w:ascii="Book Antiqua" w:eastAsia="Book Antiqua" w:hAnsi="Book Antiqua" w:cs="Book Antiqua"/>
          <w:i/>
          <w:color w:val="000000"/>
        </w:rPr>
        <w:t>et al</w:t>
      </w:r>
      <w:r w:rsidRPr="00545501">
        <w:rPr>
          <w:rFonts w:ascii="Book Antiqua" w:eastAsia="Book Antiqua" w:hAnsi="Book Antiqua" w:cs="Book Antiqua"/>
          <w:color w:val="000000"/>
        </w:rPr>
        <w:t>. Celiac disease and Sj</w:t>
      </w:r>
      <w:r w:rsidR="00395119" w:rsidRPr="00545501">
        <w:rPr>
          <w:rFonts w:ascii="Book Antiqua" w:eastAsia="Book Antiqua" w:hAnsi="Book Antiqua" w:cs="Book Antiqua"/>
          <w:color w:val="000000"/>
        </w:rPr>
        <w:t>ö</w:t>
      </w:r>
      <w:r w:rsidRPr="00545501">
        <w:rPr>
          <w:rFonts w:ascii="Book Antiqua" w:eastAsia="Book Antiqua" w:hAnsi="Book Antiqua" w:cs="Book Antiqua"/>
          <w:color w:val="000000"/>
        </w:rPr>
        <w:t>gren’s syndrome</w:t>
      </w:r>
    </w:p>
    <w:p w14:paraId="69CA7CC4" w14:textId="77777777" w:rsidR="00A77B3E" w:rsidRPr="00545501" w:rsidRDefault="00A77B3E" w:rsidP="003541E7">
      <w:pPr>
        <w:adjustRightInd w:val="0"/>
        <w:snapToGrid w:val="0"/>
        <w:spacing w:line="360" w:lineRule="auto"/>
        <w:jc w:val="both"/>
        <w:rPr>
          <w:rFonts w:ascii="Book Antiqua" w:hAnsi="Book Antiqua"/>
        </w:rPr>
      </w:pPr>
    </w:p>
    <w:p w14:paraId="18214FAF"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Daniel Vasile Balaban, Ancuta Mihai, Alina Dima, Alina Popp, Mariana Jinga, Ciprian Jurcut</w:t>
      </w:r>
    </w:p>
    <w:p w14:paraId="50FAB64E" w14:textId="77777777" w:rsidR="00A77B3E" w:rsidRPr="00545501" w:rsidRDefault="00A77B3E" w:rsidP="003541E7">
      <w:pPr>
        <w:adjustRightInd w:val="0"/>
        <w:snapToGrid w:val="0"/>
        <w:spacing w:line="360" w:lineRule="auto"/>
        <w:jc w:val="both"/>
        <w:rPr>
          <w:rFonts w:ascii="Book Antiqua" w:hAnsi="Book Antiqua"/>
        </w:rPr>
      </w:pPr>
    </w:p>
    <w:p w14:paraId="3D309DFC"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Daniel Vasile Balaban, Alina Dima, Mariana Jinga, </w:t>
      </w:r>
      <w:r w:rsidRPr="00545501">
        <w:rPr>
          <w:rFonts w:ascii="Book Antiqua" w:eastAsia="Book Antiqua" w:hAnsi="Book Antiqua" w:cs="Book Antiqua"/>
          <w:color w:val="000000"/>
        </w:rPr>
        <w:t>Internal Medicine and Gastroenterology, Carol Davila University of Medicine and Pharmacy</w:t>
      </w:r>
      <w:r w:rsidR="005D438D" w:rsidRPr="00545501">
        <w:rPr>
          <w:rFonts w:ascii="Book Antiqua" w:eastAsia="Book Antiqua" w:hAnsi="Book Antiqua" w:cs="Book Antiqua"/>
          <w:b/>
          <w:bCs/>
          <w:color w:val="000000"/>
        </w:rPr>
        <w:t xml:space="preserve">, </w:t>
      </w:r>
      <w:r w:rsidRPr="00545501">
        <w:rPr>
          <w:rFonts w:ascii="Book Antiqua" w:eastAsia="Book Antiqua" w:hAnsi="Book Antiqua" w:cs="Book Antiqua"/>
          <w:color w:val="000000"/>
        </w:rPr>
        <w:t>Dr. Carol Davila Central Military Emergency University Hospital, Bucharest 020021, Romania</w:t>
      </w:r>
    </w:p>
    <w:p w14:paraId="0D29A99C" w14:textId="77777777" w:rsidR="00A77B3E" w:rsidRPr="00545501" w:rsidRDefault="00A77B3E" w:rsidP="003541E7">
      <w:pPr>
        <w:adjustRightInd w:val="0"/>
        <w:snapToGrid w:val="0"/>
        <w:spacing w:line="360" w:lineRule="auto"/>
        <w:jc w:val="both"/>
        <w:rPr>
          <w:rFonts w:ascii="Book Antiqua" w:hAnsi="Book Antiqua"/>
        </w:rPr>
      </w:pPr>
    </w:p>
    <w:p w14:paraId="125C9014" w14:textId="14463ACA"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Ancuta Mihai, Ciprian Jurcut, </w:t>
      </w:r>
      <w:r w:rsidRPr="00545501">
        <w:rPr>
          <w:rFonts w:ascii="Book Antiqua" w:eastAsia="Book Antiqua" w:hAnsi="Book Antiqua" w:cs="Book Antiqua"/>
          <w:color w:val="000000"/>
        </w:rPr>
        <w:t xml:space="preserve">Internal Medicine, Dr. Carol Davila Central Military Emergency University Hospital, Bucharest </w:t>
      </w:r>
      <w:r w:rsidR="00395119" w:rsidRPr="00545501">
        <w:rPr>
          <w:rFonts w:ascii="Book Antiqua" w:eastAsia="Book Antiqua" w:hAnsi="Book Antiqua" w:cs="Book Antiqua"/>
          <w:color w:val="000000"/>
        </w:rPr>
        <w:t>010825</w:t>
      </w:r>
      <w:r w:rsidRPr="00545501">
        <w:rPr>
          <w:rFonts w:ascii="Book Antiqua" w:eastAsia="Book Antiqua" w:hAnsi="Book Antiqua" w:cs="Book Antiqua"/>
          <w:color w:val="000000"/>
        </w:rPr>
        <w:t>, Romania</w:t>
      </w:r>
    </w:p>
    <w:p w14:paraId="041010E8" w14:textId="77777777" w:rsidR="00A77B3E" w:rsidRPr="00545501" w:rsidRDefault="00A77B3E" w:rsidP="003541E7">
      <w:pPr>
        <w:adjustRightInd w:val="0"/>
        <w:snapToGrid w:val="0"/>
        <w:spacing w:line="360" w:lineRule="auto"/>
        <w:jc w:val="both"/>
        <w:rPr>
          <w:rFonts w:ascii="Book Antiqua" w:hAnsi="Book Antiqua"/>
        </w:rPr>
      </w:pPr>
    </w:p>
    <w:p w14:paraId="77654C40" w14:textId="77777777" w:rsidR="005D438D"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Alina Popp, </w:t>
      </w:r>
      <w:r w:rsidRPr="00545501">
        <w:rPr>
          <w:rFonts w:ascii="Book Antiqua" w:eastAsia="Book Antiqua" w:hAnsi="Book Antiqua" w:cs="Book Antiqua"/>
          <w:color w:val="000000"/>
        </w:rPr>
        <w:t>Pediatrics, Carol Davila University of Medicine and PharmacyCarol Davila Unive</w:t>
      </w:r>
      <w:r w:rsidR="005D438D" w:rsidRPr="00545501">
        <w:rPr>
          <w:rFonts w:ascii="Book Antiqua" w:eastAsia="Book Antiqua" w:hAnsi="Book Antiqua" w:cs="Book Antiqua"/>
          <w:color w:val="000000"/>
        </w:rPr>
        <w:t>rsity of Medicine and Pharmacy, Bucharest 020021, Romania</w:t>
      </w:r>
    </w:p>
    <w:p w14:paraId="042B2765" w14:textId="77777777" w:rsidR="005D438D" w:rsidRPr="00545501" w:rsidRDefault="005D438D" w:rsidP="003541E7">
      <w:pPr>
        <w:adjustRightInd w:val="0"/>
        <w:snapToGrid w:val="0"/>
        <w:spacing w:line="360" w:lineRule="auto"/>
        <w:jc w:val="both"/>
        <w:rPr>
          <w:rFonts w:ascii="Book Antiqua" w:eastAsia="Book Antiqua" w:hAnsi="Book Antiqua" w:cs="Book Antiqua"/>
          <w:color w:val="000000"/>
        </w:rPr>
      </w:pPr>
    </w:p>
    <w:p w14:paraId="0692EFCA" w14:textId="77777777" w:rsidR="005D438D" w:rsidRPr="00545501" w:rsidRDefault="005D438D" w:rsidP="003541E7">
      <w:pPr>
        <w:adjustRightInd w:val="0"/>
        <w:snapToGrid w:val="0"/>
        <w:spacing w:line="360" w:lineRule="auto"/>
        <w:jc w:val="both"/>
        <w:rPr>
          <w:rFonts w:ascii="Book Antiqua" w:eastAsia="Book Antiqua" w:hAnsi="Book Antiqua" w:cs="Book Antiqua"/>
          <w:color w:val="000000"/>
        </w:rPr>
      </w:pPr>
      <w:r w:rsidRPr="00545501">
        <w:rPr>
          <w:rFonts w:ascii="Book Antiqua" w:eastAsia="Book Antiqua" w:hAnsi="Book Antiqua" w:cs="Book Antiqua"/>
          <w:b/>
          <w:bCs/>
          <w:color w:val="000000"/>
        </w:rPr>
        <w:t xml:space="preserve">Alina Popp, </w:t>
      </w:r>
      <w:r w:rsidR="0061504E" w:rsidRPr="00545501">
        <w:rPr>
          <w:rFonts w:ascii="Book Antiqua" w:eastAsia="Book Antiqua" w:hAnsi="Book Antiqua" w:cs="Book Antiqua"/>
          <w:color w:val="000000"/>
        </w:rPr>
        <w:t>Alfred Rusescu Institute for Mother and Child Care, Bucharest</w:t>
      </w:r>
      <w:r w:rsidRPr="00545501">
        <w:rPr>
          <w:rFonts w:ascii="Book Antiqua" w:eastAsia="Book Antiqua" w:hAnsi="Book Antiqua" w:cs="Book Antiqua"/>
          <w:color w:val="000000"/>
        </w:rPr>
        <w:t xml:space="preserve"> 020021, Romania</w:t>
      </w:r>
    </w:p>
    <w:p w14:paraId="4E05BE4C" w14:textId="77777777" w:rsidR="005D438D" w:rsidRPr="00545501" w:rsidRDefault="005D438D" w:rsidP="003541E7">
      <w:pPr>
        <w:adjustRightInd w:val="0"/>
        <w:snapToGrid w:val="0"/>
        <w:spacing w:line="360" w:lineRule="auto"/>
        <w:jc w:val="both"/>
        <w:rPr>
          <w:rFonts w:ascii="Book Antiqua" w:eastAsia="Book Antiqua" w:hAnsi="Book Antiqua" w:cs="Book Antiqua"/>
          <w:color w:val="000000"/>
        </w:rPr>
      </w:pPr>
    </w:p>
    <w:p w14:paraId="4D624000" w14:textId="77777777" w:rsidR="00A77B3E" w:rsidRPr="00545501" w:rsidRDefault="005D438D"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Alina Popp, </w:t>
      </w:r>
      <w:r w:rsidR="0061504E" w:rsidRPr="00545501">
        <w:rPr>
          <w:rFonts w:ascii="Book Antiqua" w:eastAsia="Book Antiqua" w:hAnsi="Book Antiqua" w:cs="Book Antiqua"/>
          <w:color w:val="000000"/>
        </w:rPr>
        <w:t>Tampere Center for Child Health Research, University of Tampere and Tampere University Hospital, Bucharest 020021, Romania</w:t>
      </w:r>
    </w:p>
    <w:p w14:paraId="4D3E2A66" w14:textId="77777777" w:rsidR="00A77B3E" w:rsidRPr="00545501" w:rsidRDefault="00A77B3E" w:rsidP="003541E7">
      <w:pPr>
        <w:adjustRightInd w:val="0"/>
        <w:snapToGrid w:val="0"/>
        <w:spacing w:line="360" w:lineRule="auto"/>
        <w:jc w:val="both"/>
        <w:rPr>
          <w:rFonts w:ascii="Book Antiqua" w:hAnsi="Book Antiqua"/>
        </w:rPr>
      </w:pPr>
    </w:p>
    <w:p w14:paraId="64ED6232"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lastRenderedPageBreak/>
        <w:t xml:space="preserve">Author contributions: </w:t>
      </w:r>
      <w:r w:rsidRPr="00545501">
        <w:rPr>
          <w:rFonts w:ascii="Book Antiqua" w:eastAsia="Book Antiqua" w:hAnsi="Book Antiqua" w:cs="Book Antiqua"/>
          <w:color w:val="000000"/>
        </w:rPr>
        <w:t>Jurcut C proposed the research idea; Balaban DV, Jurcut C, Mihai A, Popp A, and Jinga M were involved in the case management; Balaban DV, Mihai A, Popp A and Dima A performed the literature search and selection; Balaban DV, Mihai A, Popp A and Dima A drafted the manuscript; Jurcut C and Jinga M critically reviewed the manuscript; All authors approved the final version of the manuscript.</w:t>
      </w:r>
    </w:p>
    <w:p w14:paraId="01DCFB86" w14:textId="77777777" w:rsidR="00A77B3E" w:rsidRPr="00545501" w:rsidRDefault="00A77B3E" w:rsidP="003541E7">
      <w:pPr>
        <w:adjustRightInd w:val="0"/>
        <w:snapToGrid w:val="0"/>
        <w:spacing w:line="360" w:lineRule="auto"/>
        <w:jc w:val="both"/>
        <w:rPr>
          <w:rFonts w:ascii="Book Antiqua" w:hAnsi="Book Antiqua"/>
        </w:rPr>
      </w:pPr>
    </w:p>
    <w:p w14:paraId="15A9F19D" w14:textId="77777777" w:rsidR="00A77B3E" w:rsidRPr="00545501" w:rsidRDefault="0061504E" w:rsidP="003541E7">
      <w:pPr>
        <w:adjustRightInd w:val="0"/>
        <w:snapToGrid w:val="0"/>
        <w:spacing w:line="360" w:lineRule="auto"/>
        <w:jc w:val="both"/>
        <w:rPr>
          <w:rFonts w:ascii="Book Antiqua" w:eastAsia="Book Antiqua" w:hAnsi="Book Antiqua" w:cs="Book Antiqua"/>
          <w:color w:val="000000"/>
          <w:u w:val="single"/>
        </w:rPr>
      </w:pPr>
      <w:r w:rsidRPr="00545501">
        <w:rPr>
          <w:rFonts w:ascii="Book Antiqua" w:eastAsia="Book Antiqua" w:hAnsi="Book Antiqua" w:cs="Book Antiqua"/>
          <w:b/>
          <w:bCs/>
          <w:color w:val="000000"/>
        </w:rPr>
        <w:t xml:space="preserve">Corresponding author: Mariana Jinga, MD, PhD, Professor, </w:t>
      </w:r>
      <w:r w:rsidRPr="00545501">
        <w:rPr>
          <w:rFonts w:ascii="Book Antiqua" w:eastAsia="Book Antiqua" w:hAnsi="Book Antiqua" w:cs="Book Antiqua"/>
          <w:color w:val="000000"/>
        </w:rPr>
        <w:t>Internal Medicine and Gastroenterology, Carol Davila University of Medicine and Pharmacy</w:t>
      </w:r>
      <w:r w:rsidR="005D438D" w:rsidRPr="00545501">
        <w:rPr>
          <w:rFonts w:ascii="Book Antiqua" w:eastAsia="宋体" w:hAnsi="Book Antiqua" w:cs="宋体"/>
          <w:color w:val="000000"/>
          <w:lang w:eastAsia="zh-CN"/>
        </w:rPr>
        <w:t xml:space="preserve">, </w:t>
      </w:r>
      <w:r w:rsidRPr="00545501">
        <w:rPr>
          <w:rFonts w:ascii="Book Antiqua" w:eastAsia="Book Antiqua" w:hAnsi="Book Antiqua" w:cs="Book Antiqua"/>
          <w:color w:val="000000"/>
        </w:rPr>
        <w:t>Dr. Carol Davila Central Military Emergency University Hospital, No.</w:t>
      </w:r>
      <w:r w:rsidR="005D438D" w:rsidRPr="00545501">
        <w:rPr>
          <w:rFonts w:ascii="Book Antiqua" w:eastAsia="Book Antiqua" w:hAnsi="Book Antiqua" w:cs="Book Antiqua"/>
          <w:color w:val="000000"/>
        </w:rPr>
        <w:t xml:space="preserve"> </w:t>
      </w:r>
      <w:r w:rsidRPr="00545501">
        <w:rPr>
          <w:rFonts w:ascii="Book Antiqua" w:eastAsia="Book Antiqua" w:hAnsi="Book Antiqua" w:cs="Book Antiqua"/>
          <w:color w:val="000000"/>
        </w:rPr>
        <w:t xml:space="preserve">37 Dionisie Lupu, Bucharest 020021, Romania. </w:t>
      </w:r>
      <w:r w:rsidRPr="00545501">
        <w:rPr>
          <w:rFonts w:ascii="Book Antiqua" w:eastAsia="Book Antiqua" w:hAnsi="Book Antiqua" w:cs="Book Antiqua"/>
          <w:color w:val="000000"/>
          <w:u w:val="single"/>
        </w:rPr>
        <w:t>mariana_jinga@yahoo.com</w:t>
      </w:r>
    </w:p>
    <w:p w14:paraId="33A6D4C7" w14:textId="77777777" w:rsidR="00A77B3E" w:rsidRPr="00545501" w:rsidRDefault="00A77B3E" w:rsidP="003541E7">
      <w:pPr>
        <w:adjustRightInd w:val="0"/>
        <w:snapToGrid w:val="0"/>
        <w:spacing w:line="360" w:lineRule="auto"/>
        <w:jc w:val="both"/>
        <w:rPr>
          <w:rFonts w:ascii="Book Antiqua" w:hAnsi="Book Antiqua"/>
        </w:rPr>
      </w:pPr>
    </w:p>
    <w:p w14:paraId="223D9E60"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Received: </w:t>
      </w:r>
      <w:r w:rsidRPr="00545501">
        <w:rPr>
          <w:rFonts w:ascii="Book Antiqua" w:eastAsia="Book Antiqua" w:hAnsi="Book Antiqua" w:cs="Book Antiqua"/>
          <w:color w:val="000000"/>
        </w:rPr>
        <w:t>February 27, 2020</w:t>
      </w:r>
    </w:p>
    <w:p w14:paraId="30F198AD"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Revised: </w:t>
      </w:r>
      <w:r w:rsidRPr="00545501">
        <w:rPr>
          <w:rFonts w:ascii="Book Antiqua" w:eastAsia="Book Antiqua" w:hAnsi="Book Antiqua" w:cs="Book Antiqua"/>
          <w:color w:val="000000"/>
        </w:rPr>
        <w:t>May 16, 2020</w:t>
      </w:r>
    </w:p>
    <w:p w14:paraId="3F7AE97B" w14:textId="05EB85CB"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Accepted:</w:t>
      </w:r>
      <w:r w:rsidR="00644D66" w:rsidRPr="00545501">
        <w:t xml:space="preserve"> </w:t>
      </w:r>
      <w:r w:rsidR="00644D66" w:rsidRPr="00545501">
        <w:rPr>
          <w:rFonts w:ascii="Book Antiqua" w:eastAsia="Book Antiqua" w:hAnsi="Book Antiqua" w:cs="Book Antiqua"/>
          <w:color w:val="000000"/>
        </w:rPr>
        <w:t>August 25, 2020</w:t>
      </w:r>
      <w:r w:rsidRPr="00545501">
        <w:rPr>
          <w:rFonts w:ascii="Book Antiqua" w:eastAsia="Book Antiqua" w:hAnsi="Book Antiqua" w:cs="Book Antiqua"/>
          <w:color w:val="000000"/>
        </w:rPr>
        <w:t xml:space="preserve"> </w:t>
      </w:r>
    </w:p>
    <w:p w14:paraId="695BFC35" w14:textId="29711F31" w:rsidR="00A77B3E" w:rsidRPr="00545501" w:rsidRDefault="0061504E" w:rsidP="003541E7">
      <w:pPr>
        <w:adjustRightInd w:val="0"/>
        <w:snapToGrid w:val="0"/>
        <w:spacing w:line="360" w:lineRule="auto"/>
        <w:jc w:val="both"/>
        <w:rPr>
          <w:rFonts w:ascii="Book Antiqua" w:hAnsi="Book Antiqua"/>
          <w:lang w:eastAsia="zh-CN"/>
        </w:rPr>
      </w:pPr>
      <w:r w:rsidRPr="00545501">
        <w:rPr>
          <w:rFonts w:ascii="Book Antiqua" w:eastAsia="Book Antiqua" w:hAnsi="Book Antiqua" w:cs="Book Antiqua"/>
          <w:b/>
          <w:bCs/>
          <w:color w:val="000000"/>
        </w:rPr>
        <w:t xml:space="preserve">Published online: </w:t>
      </w:r>
      <w:r w:rsidR="009321D0" w:rsidRPr="00545501">
        <w:rPr>
          <w:rFonts w:ascii="Book Antiqua" w:eastAsia="Book Antiqua" w:hAnsi="Book Antiqua" w:cs="Book Antiqua"/>
          <w:bCs/>
          <w:color w:val="000000"/>
        </w:rPr>
        <w:t>September 26</w:t>
      </w:r>
      <w:r w:rsidR="009321D0" w:rsidRPr="00545501">
        <w:rPr>
          <w:rFonts w:ascii="Book Antiqua" w:hAnsi="Book Antiqua" w:cs="Book Antiqua" w:hint="eastAsia"/>
          <w:bCs/>
          <w:color w:val="000000"/>
          <w:lang w:eastAsia="zh-CN"/>
        </w:rPr>
        <w:t>, 2020</w:t>
      </w:r>
    </w:p>
    <w:p w14:paraId="08E76602" w14:textId="77777777" w:rsidR="00A77B3E" w:rsidRPr="00545501" w:rsidRDefault="00A77B3E" w:rsidP="003541E7">
      <w:pPr>
        <w:adjustRightInd w:val="0"/>
        <w:snapToGrid w:val="0"/>
        <w:spacing w:line="360" w:lineRule="auto"/>
        <w:jc w:val="both"/>
        <w:rPr>
          <w:rFonts w:ascii="Book Antiqua" w:hAnsi="Book Antiqua"/>
        </w:rPr>
        <w:sectPr w:rsidR="00A77B3E" w:rsidRPr="00545501" w:rsidSect="00B7035B">
          <w:footerReference w:type="default" r:id="rId9"/>
          <w:pgSz w:w="12240" w:h="15840"/>
          <w:pgMar w:top="1440" w:right="1800" w:bottom="1440" w:left="1800" w:header="720" w:footer="720" w:gutter="0"/>
          <w:cols w:space="720"/>
          <w:docGrid w:linePitch="360"/>
        </w:sectPr>
      </w:pPr>
    </w:p>
    <w:p w14:paraId="30410BA8"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Abstract</w:t>
      </w:r>
    </w:p>
    <w:p w14:paraId="4A68F6F6"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BACKGROUND</w:t>
      </w:r>
    </w:p>
    <w:p w14:paraId="37D7076C"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Celiac disease (CD) is a systemic, chronic immune-mediated disease triggered by gluten ingestion in genetically-susceptible individuals, with a prevalence of 1% worldwide. Sjogren's syndrome (SS) is also a systemic autoimmune disease, mainly characterized by ocular and oral sicca symptoms and signs. Sharing a common genetic background, CD and SS are known associated autoimmune diseases, but currently available guidelines are not reporting it.</w:t>
      </w:r>
    </w:p>
    <w:p w14:paraId="4F447BB9" w14:textId="77777777" w:rsidR="00A77B3E" w:rsidRPr="00545501" w:rsidRDefault="00A77B3E" w:rsidP="003541E7">
      <w:pPr>
        <w:adjustRightInd w:val="0"/>
        <w:snapToGrid w:val="0"/>
        <w:spacing w:line="360" w:lineRule="auto"/>
        <w:jc w:val="both"/>
        <w:rPr>
          <w:rFonts w:ascii="Book Antiqua" w:hAnsi="Book Antiqua"/>
        </w:rPr>
      </w:pPr>
    </w:p>
    <w:p w14:paraId="114B389C"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CASE SUMMARY</w:t>
      </w:r>
    </w:p>
    <w:p w14:paraId="0DC76854"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 xml:space="preserve">We report the case of a 39-year-old woman, who was in the care of her rheumatologist for 2 years with SS. On routine follow-up she was found to have iron deficiency, without anemia. She had no gastrointestinal complaints and denied any </w:t>
      </w:r>
      <w:r w:rsidRPr="00545501">
        <w:rPr>
          <w:rFonts w:ascii="Book Antiqua" w:eastAsia="Book Antiqua" w:hAnsi="Book Antiqua" w:cs="Book Antiqua"/>
          <w:iCs/>
          <w:color w:val="000000"/>
        </w:rPr>
        <w:t xml:space="preserve">obvious </w:t>
      </w:r>
      <w:r w:rsidRPr="00545501">
        <w:rPr>
          <w:rFonts w:ascii="Book Antiqua" w:eastAsia="Book Antiqua" w:hAnsi="Book Antiqua" w:cs="Book Antiqua"/>
          <w:color w:val="000000"/>
        </w:rPr>
        <w:t xml:space="preserve">source of </w:t>
      </w:r>
      <w:r w:rsidRPr="00545501">
        <w:rPr>
          <w:rFonts w:ascii="Book Antiqua" w:eastAsia="Book Antiqua" w:hAnsi="Book Antiqua" w:cs="Book Antiqua"/>
          <w:iCs/>
          <w:color w:val="000000"/>
        </w:rPr>
        <w:t>blood loss. IgA tissue transglutaminase antibodies were positive and endoscopy with duodenal biopsies revealed crypt hyperplasia and villous atrophy. A diagnosis of CD was set and gl</w:t>
      </w:r>
      <w:r w:rsidR="00C50DA1" w:rsidRPr="00545501">
        <w:rPr>
          <w:rFonts w:ascii="Book Antiqua" w:eastAsia="Book Antiqua" w:hAnsi="Book Antiqua" w:cs="Book Antiqua"/>
          <w:iCs/>
          <w:color w:val="000000"/>
        </w:rPr>
        <w:t>uten-free diet was recommended.</w:t>
      </w:r>
    </w:p>
    <w:p w14:paraId="35FA2613" w14:textId="77777777" w:rsidR="00A77B3E" w:rsidRPr="00545501" w:rsidRDefault="00A77B3E" w:rsidP="003541E7">
      <w:pPr>
        <w:adjustRightInd w:val="0"/>
        <w:snapToGrid w:val="0"/>
        <w:spacing w:line="360" w:lineRule="auto"/>
        <w:jc w:val="both"/>
        <w:rPr>
          <w:rFonts w:ascii="Book Antiqua" w:hAnsi="Book Antiqua"/>
        </w:rPr>
      </w:pPr>
    </w:p>
    <w:p w14:paraId="58936C49"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CONCLUSION</w:t>
      </w:r>
    </w:p>
    <w:p w14:paraId="2AAE0E01"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 xml:space="preserve">We present a review of existing data in the literature regarding the association of the two diseases, summarizing prevalence studies of CD in SS patients and the other way around. Screening recommendations and future research perspectives are also discussed, highlighting clinically relevant unanswered questions with respect to the association of CD with SS. </w:t>
      </w:r>
    </w:p>
    <w:p w14:paraId="725BFBE6" w14:textId="77777777" w:rsidR="00A77B3E" w:rsidRPr="00545501" w:rsidRDefault="00A77B3E" w:rsidP="003541E7">
      <w:pPr>
        <w:adjustRightInd w:val="0"/>
        <w:snapToGrid w:val="0"/>
        <w:spacing w:line="360" w:lineRule="auto"/>
        <w:jc w:val="both"/>
        <w:rPr>
          <w:rFonts w:ascii="Book Antiqua" w:hAnsi="Book Antiqua"/>
        </w:rPr>
      </w:pPr>
    </w:p>
    <w:p w14:paraId="4DDBA7F5" w14:textId="654A2408"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Key words: </w:t>
      </w:r>
      <w:r w:rsidRPr="00545501">
        <w:rPr>
          <w:rFonts w:ascii="Book Antiqua" w:eastAsia="Book Antiqua" w:hAnsi="Book Antiqua" w:cs="Book Antiqua"/>
          <w:color w:val="000000"/>
        </w:rPr>
        <w:t>Celiac disease; Sj</w:t>
      </w:r>
      <w:r w:rsidR="00395119" w:rsidRPr="00545501">
        <w:rPr>
          <w:rFonts w:ascii="Book Antiqua" w:eastAsia="Book Antiqua" w:hAnsi="Book Antiqua" w:cs="Book Antiqua"/>
          <w:color w:val="000000"/>
        </w:rPr>
        <w:t>ö</w:t>
      </w:r>
      <w:r w:rsidRPr="00545501">
        <w:rPr>
          <w:rFonts w:ascii="Book Antiqua" w:eastAsia="Book Antiqua" w:hAnsi="Book Antiqua" w:cs="Book Antiqua"/>
          <w:color w:val="000000"/>
        </w:rPr>
        <w:t>gren syndrome; Prevalence; Autoimmunity; Screening; Antibodies; Case report</w:t>
      </w:r>
    </w:p>
    <w:p w14:paraId="7EC73027" w14:textId="77777777" w:rsidR="00A77B3E" w:rsidRPr="00545501" w:rsidRDefault="00A77B3E" w:rsidP="003541E7">
      <w:pPr>
        <w:adjustRightInd w:val="0"/>
        <w:snapToGrid w:val="0"/>
        <w:spacing w:line="360" w:lineRule="auto"/>
        <w:jc w:val="both"/>
        <w:rPr>
          <w:rFonts w:ascii="Book Antiqua" w:hAnsi="Book Antiqua"/>
        </w:rPr>
      </w:pPr>
    </w:p>
    <w:p w14:paraId="6CCFAC54" w14:textId="745DCC69" w:rsidR="00854464" w:rsidRPr="00545501" w:rsidRDefault="00854464" w:rsidP="003541E7">
      <w:pPr>
        <w:adjustRightInd w:val="0"/>
        <w:snapToGrid w:val="0"/>
        <w:spacing w:line="360" w:lineRule="auto"/>
        <w:jc w:val="both"/>
        <w:rPr>
          <w:rFonts w:ascii="Book Antiqua" w:hAnsi="Book Antiqua" w:cs="Book Antiqua" w:hint="eastAsia"/>
          <w:color w:val="000000"/>
          <w:lang w:eastAsia="zh-CN"/>
        </w:rPr>
      </w:pPr>
      <w:bookmarkStart w:id="2" w:name="OLE_LINK19"/>
      <w:bookmarkStart w:id="3" w:name="OLE_LINK20"/>
      <w:r w:rsidRPr="00545501">
        <w:rPr>
          <w:rFonts w:ascii="Book Antiqua" w:hAnsi="Book Antiqua" w:cs="Book Antiqua" w:hint="eastAsia"/>
          <w:b/>
          <w:color w:val="000000"/>
          <w:lang w:eastAsia="zh-CN"/>
        </w:rPr>
        <w:t xml:space="preserve">Citation: </w:t>
      </w:r>
      <w:r w:rsidR="0061504E" w:rsidRPr="00545501">
        <w:rPr>
          <w:rFonts w:ascii="Book Antiqua" w:eastAsia="Book Antiqua" w:hAnsi="Book Antiqua" w:cs="Book Antiqua"/>
          <w:color w:val="000000"/>
        </w:rPr>
        <w:t>Balaban DV, Mihai A, Dim</w:t>
      </w:r>
      <w:r w:rsidR="00EE042E" w:rsidRPr="00545501">
        <w:rPr>
          <w:rFonts w:ascii="Book Antiqua" w:eastAsia="Book Antiqua" w:hAnsi="Book Antiqua" w:cs="Book Antiqua"/>
          <w:color w:val="000000"/>
        </w:rPr>
        <w:t xml:space="preserve">a A, Popp A, Jinga M, Jurcut C. </w:t>
      </w:r>
      <w:r w:rsidR="0061504E" w:rsidRPr="00545501">
        <w:rPr>
          <w:rFonts w:ascii="Book Antiqua" w:eastAsia="Book Antiqua" w:hAnsi="Book Antiqua" w:cs="Book Antiqua"/>
          <w:color w:val="000000"/>
        </w:rPr>
        <w:t>Celiac disease and Sj</w:t>
      </w:r>
      <w:r w:rsidR="00395119" w:rsidRPr="00545501">
        <w:rPr>
          <w:rFonts w:ascii="Book Antiqua" w:eastAsia="Book Antiqua" w:hAnsi="Book Antiqua" w:cs="Book Antiqua"/>
          <w:color w:val="000000"/>
        </w:rPr>
        <w:t>ö</w:t>
      </w:r>
      <w:r w:rsidR="0061504E" w:rsidRPr="00545501">
        <w:rPr>
          <w:rFonts w:ascii="Book Antiqua" w:eastAsia="Book Antiqua" w:hAnsi="Book Antiqua" w:cs="Book Antiqua"/>
          <w:color w:val="000000"/>
        </w:rPr>
        <w:t>gren’s syndrome: A case report</w:t>
      </w:r>
      <w:r w:rsidR="00257E6A" w:rsidRPr="00545501">
        <w:rPr>
          <w:rFonts w:ascii="Book Antiqua" w:hAnsi="Book Antiqua"/>
        </w:rPr>
        <w:t xml:space="preserve"> </w:t>
      </w:r>
      <w:r w:rsidR="00257E6A" w:rsidRPr="00545501">
        <w:rPr>
          <w:rFonts w:ascii="Book Antiqua" w:eastAsia="Book Antiqua" w:hAnsi="Book Antiqua" w:cs="Book Antiqua"/>
          <w:color w:val="000000"/>
        </w:rPr>
        <w:t>and review of literature</w:t>
      </w:r>
      <w:r w:rsidR="0061504E" w:rsidRPr="00545501">
        <w:rPr>
          <w:rFonts w:ascii="Book Antiqua" w:eastAsia="Book Antiqua" w:hAnsi="Book Antiqua" w:cs="Book Antiqua"/>
          <w:color w:val="000000"/>
        </w:rPr>
        <w:t xml:space="preserve">. </w:t>
      </w:r>
      <w:r w:rsidR="0061504E" w:rsidRPr="00545501">
        <w:rPr>
          <w:rFonts w:ascii="Book Antiqua" w:eastAsia="Book Antiqua" w:hAnsi="Book Antiqua" w:cs="Book Antiqua"/>
          <w:i/>
          <w:iCs/>
          <w:color w:val="000000"/>
        </w:rPr>
        <w:t>World J Clin Cases</w:t>
      </w:r>
      <w:r w:rsidR="0061504E" w:rsidRPr="00545501">
        <w:rPr>
          <w:rFonts w:ascii="Book Antiqua" w:eastAsia="Book Antiqua" w:hAnsi="Book Antiqua" w:cs="Book Antiqua"/>
          <w:color w:val="000000"/>
        </w:rPr>
        <w:t xml:space="preserve"> 2020; </w:t>
      </w:r>
      <w:r w:rsidR="009321D0" w:rsidRPr="00545501">
        <w:rPr>
          <w:rFonts w:ascii="Book Antiqua" w:eastAsia="Book Antiqua" w:hAnsi="Book Antiqua" w:cs="Book Antiqua"/>
          <w:color w:val="000000"/>
        </w:rPr>
        <w:t>8(1</w:t>
      </w:r>
      <w:r w:rsidR="009321D0" w:rsidRPr="00545501">
        <w:rPr>
          <w:rFonts w:ascii="Book Antiqua" w:hAnsi="Book Antiqua" w:cs="Book Antiqua" w:hint="eastAsia"/>
          <w:color w:val="000000"/>
          <w:lang w:eastAsia="zh-CN"/>
        </w:rPr>
        <w:t>8</w:t>
      </w:r>
      <w:r w:rsidR="009321D0" w:rsidRPr="00545501">
        <w:rPr>
          <w:rFonts w:ascii="Book Antiqua" w:eastAsia="Book Antiqua" w:hAnsi="Book Antiqua" w:cs="Book Antiqua"/>
          <w:color w:val="000000"/>
        </w:rPr>
        <w:t xml:space="preserve">): </w:t>
      </w:r>
      <w:r w:rsidR="005B4D5C" w:rsidRPr="00545501">
        <w:rPr>
          <w:rFonts w:ascii="Book Antiqua" w:eastAsia="Book Antiqua" w:hAnsi="Book Antiqua" w:cs="Book Antiqua"/>
          <w:color w:val="000000"/>
        </w:rPr>
        <w:t>4151-4161</w:t>
      </w:r>
      <w:r w:rsidR="009321D0" w:rsidRPr="00545501">
        <w:rPr>
          <w:rFonts w:ascii="Book Antiqua" w:eastAsia="Book Antiqua" w:hAnsi="Book Antiqua" w:cs="Book Antiqua"/>
          <w:color w:val="000000"/>
        </w:rPr>
        <w:t xml:space="preserve">  </w:t>
      </w:r>
    </w:p>
    <w:p w14:paraId="5243CB4D" w14:textId="77777777" w:rsidR="00854464" w:rsidRPr="00545501" w:rsidRDefault="009321D0" w:rsidP="003541E7">
      <w:pPr>
        <w:adjustRightInd w:val="0"/>
        <w:snapToGrid w:val="0"/>
        <w:spacing w:line="360" w:lineRule="auto"/>
        <w:jc w:val="both"/>
        <w:rPr>
          <w:rFonts w:ascii="Book Antiqua" w:hAnsi="Book Antiqua" w:cs="Book Antiqua" w:hint="eastAsia"/>
          <w:color w:val="000000"/>
          <w:lang w:eastAsia="zh-CN"/>
        </w:rPr>
      </w:pPr>
      <w:r w:rsidRPr="00545501">
        <w:rPr>
          <w:rFonts w:ascii="Book Antiqua" w:eastAsia="Book Antiqua" w:hAnsi="Book Antiqua" w:cs="Book Antiqua"/>
          <w:b/>
          <w:color w:val="000000"/>
        </w:rPr>
        <w:t xml:space="preserve">URL: </w:t>
      </w:r>
      <w:r w:rsidRPr="00545501">
        <w:rPr>
          <w:rFonts w:ascii="Book Antiqua" w:eastAsia="Book Antiqua" w:hAnsi="Book Antiqua" w:cs="Book Antiqua"/>
          <w:color w:val="000000"/>
        </w:rPr>
        <w:t>https://www.wjgnet.com/2307-8960/full/v8/i1</w:t>
      </w:r>
      <w:r w:rsidRPr="00545501">
        <w:rPr>
          <w:rFonts w:ascii="Book Antiqua" w:hAnsi="Book Antiqua" w:cs="Book Antiqua" w:hint="eastAsia"/>
          <w:color w:val="000000"/>
          <w:lang w:eastAsia="zh-CN"/>
        </w:rPr>
        <w:t>8</w:t>
      </w:r>
      <w:r w:rsidRPr="00545501">
        <w:rPr>
          <w:rFonts w:ascii="Book Antiqua" w:eastAsia="Book Antiqua" w:hAnsi="Book Antiqua" w:cs="Book Antiqua"/>
          <w:color w:val="000000"/>
        </w:rPr>
        <w:t>/</w:t>
      </w:r>
      <w:r w:rsidR="005B4D5C" w:rsidRPr="00545501">
        <w:rPr>
          <w:rFonts w:ascii="Book Antiqua" w:hAnsi="Book Antiqua" w:cs="Book Antiqua" w:hint="eastAsia"/>
          <w:color w:val="000000"/>
          <w:lang w:eastAsia="zh-CN"/>
        </w:rPr>
        <w:t>4151</w:t>
      </w:r>
      <w:r w:rsidRPr="00545501">
        <w:rPr>
          <w:rFonts w:ascii="Book Antiqua" w:eastAsia="Book Antiqua" w:hAnsi="Book Antiqua" w:cs="Book Antiqua"/>
          <w:color w:val="000000"/>
        </w:rPr>
        <w:t xml:space="preserve">.htm  </w:t>
      </w:r>
    </w:p>
    <w:p w14:paraId="3A8F3351" w14:textId="0DDB2390" w:rsidR="00A77B3E" w:rsidRPr="00545501" w:rsidRDefault="009321D0" w:rsidP="003541E7">
      <w:pPr>
        <w:adjustRightInd w:val="0"/>
        <w:snapToGrid w:val="0"/>
        <w:spacing w:line="360" w:lineRule="auto"/>
        <w:jc w:val="both"/>
        <w:rPr>
          <w:rFonts w:ascii="Book Antiqua" w:hAnsi="Book Antiqua" w:hint="eastAsia"/>
          <w:lang w:eastAsia="zh-CN"/>
        </w:rPr>
      </w:pPr>
      <w:r w:rsidRPr="00545501">
        <w:rPr>
          <w:rFonts w:ascii="Book Antiqua" w:eastAsia="Book Antiqua" w:hAnsi="Book Antiqua" w:cs="Book Antiqua"/>
          <w:b/>
          <w:color w:val="000000"/>
        </w:rPr>
        <w:t xml:space="preserve">DOI: </w:t>
      </w:r>
      <w:r w:rsidRPr="00545501">
        <w:rPr>
          <w:rFonts w:ascii="Book Antiqua" w:eastAsia="Book Antiqua" w:hAnsi="Book Antiqua" w:cs="Book Antiqua"/>
          <w:color w:val="000000"/>
        </w:rPr>
        <w:t>https://dx.doi.org/10.12998/wjcc.v8.i1</w:t>
      </w:r>
      <w:r w:rsidRPr="00545501">
        <w:rPr>
          <w:rFonts w:ascii="Book Antiqua" w:hAnsi="Book Antiqua" w:cs="Book Antiqua" w:hint="eastAsia"/>
          <w:color w:val="000000"/>
          <w:lang w:eastAsia="zh-CN"/>
        </w:rPr>
        <w:t>8</w:t>
      </w:r>
      <w:r w:rsidRPr="00545501">
        <w:rPr>
          <w:rFonts w:ascii="Book Antiqua" w:eastAsia="Book Antiqua" w:hAnsi="Book Antiqua" w:cs="Book Antiqua"/>
          <w:color w:val="000000"/>
        </w:rPr>
        <w:t>.</w:t>
      </w:r>
      <w:r w:rsidR="005B4D5C" w:rsidRPr="00545501">
        <w:rPr>
          <w:rFonts w:ascii="Book Antiqua" w:hAnsi="Book Antiqua" w:cs="Book Antiqua" w:hint="eastAsia"/>
          <w:color w:val="000000"/>
          <w:lang w:eastAsia="zh-CN"/>
        </w:rPr>
        <w:t>4151</w:t>
      </w:r>
    </w:p>
    <w:bookmarkEnd w:id="2"/>
    <w:bookmarkEnd w:id="3"/>
    <w:p w14:paraId="22B07AAD" w14:textId="77777777" w:rsidR="00A77B3E" w:rsidRPr="00545501" w:rsidRDefault="00A77B3E" w:rsidP="003541E7">
      <w:pPr>
        <w:adjustRightInd w:val="0"/>
        <w:snapToGrid w:val="0"/>
        <w:spacing w:line="360" w:lineRule="auto"/>
        <w:jc w:val="both"/>
        <w:rPr>
          <w:rFonts w:ascii="Book Antiqua" w:hAnsi="Book Antiqua"/>
        </w:rPr>
      </w:pPr>
    </w:p>
    <w:p w14:paraId="675F06ED" w14:textId="438BDBC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Core tip: </w:t>
      </w:r>
      <w:bookmarkStart w:id="4" w:name="OLE_LINK21"/>
      <w:bookmarkStart w:id="5" w:name="OLE_LINK22"/>
      <w:r w:rsidRPr="00545501">
        <w:rPr>
          <w:rFonts w:ascii="Book Antiqua" w:eastAsia="Book Antiqua" w:hAnsi="Book Antiqua" w:cs="Book Antiqua"/>
          <w:color w:val="000000"/>
        </w:rPr>
        <w:t xml:space="preserve">Celiac disease </w:t>
      </w:r>
      <w:r w:rsidR="00004438" w:rsidRPr="00545501">
        <w:rPr>
          <w:rFonts w:ascii="Book Antiqua" w:eastAsia="Book Antiqua" w:hAnsi="Book Antiqua" w:cs="Book Antiqua"/>
          <w:color w:val="000000"/>
        </w:rPr>
        <w:t xml:space="preserve">(CD) </w:t>
      </w:r>
      <w:r w:rsidRPr="00545501">
        <w:rPr>
          <w:rFonts w:ascii="Book Antiqua" w:eastAsia="Book Antiqua" w:hAnsi="Book Antiqua" w:cs="Book Antiqua"/>
          <w:color w:val="000000"/>
        </w:rPr>
        <w:t>and Sj</w:t>
      </w:r>
      <w:r w:rsidR="00395119" w:rsidRPr="00545501">
        <w:rPr>
          <w:rFonts w:ascii="Book Antiqua" w:eastAsia="Book Antiqua" w:hAnsi="Book Antiqua" w:cs="Book Antiqua"/>
          <w:color w:val="000000"/>
        </w:rPr>
        <w:t>ö</w:t>
      </w:r>
      <w:r w:rsidRPr="00545501">
        <w:rPr>
          <w:rFonts w:ascii="Book Antiqua" w:eastAsia="Book Antiqua" w:hAnsi="Book Antiqua" w:cs="Book Antiqua"/>
          <w:color w:val="000000"/>
        </w:rPr>
        <w:t xml:space="preserve">gren's syndrome </w:t>
      </w:r>
      <w:r w:rsidR="00453C7A" w:rsidRPr="00545501">
        <w:rPr>
          <w:rFonts w:ascii="Book Antiqua" w:eastAsia="Book Antiqua" w:hAnsi="Book Antiqua" w:cs="Book Antiqua"/>
          <w:color w:val="000000"/>
        </w:rPr>
        <w:t xml:space="preserve">(SS) </w:t>
      </w:r>
      <w:r w:rsidRPr="00545501">
        <w:rPr>
          <w:rFonts w:ascii="Book Antiqua" w:eastAsia="Book Antiqua" w:hAnsi="Book Antiqua" w:cs="Book Antiqua"/>
          <w:color w:val="000000"/>
        </w:rPr>
        <w:t xml:space="preserve">are associated autoimmune diseases, sharing a common genetic background. Although there is some evidence supporting the association of the two diseases, currently available guidelines are not sufficiently reporting it. We herein report a case of a patient with </w:t>
      </w:r>
      <w:r w:rsidR="00453C7A" w:rsidRPr="00545501">
        <w:rPr>
          <w:rFonts w:ascii="Book Antiqua" w:eastAsia="Book Antiqua" w:hAnsi="Book Antiqua" w:cs="Book Antiqua"/>
          <w:color w:val="000000"/>
        </w:rPr>
        <w:t xml:space="preserve">SS </w:t>
      </w:r>
      <w:r w:rsidRPr="00545501">
        <w:rPr>
          <w:rFonts w:ascii="Book Antiqua" w:eastAsia="Book Antiqua" w:hAnsi="Book Antiqua" w:cs="Book Antiqua"/>
          <w:color w:val="000000"/>
        </w:rPr>
        <w:t xml:space="preserve">who was diagnosed with </w:t>
      </w:r>
      <w:r w:rsidR="00004438" w:rsidRPr="00545501">
        <w:rPr>
          <w:rFonts w:ascii="Book Antiqua" w:eastAsia="Book Antiqua" w:hAnsi="Book Antiqua" w:cs="Book Antiqua"/>
          <w:color w:val="000000"/>
        </w:rPr>
        <w:t xml:space="preserve">CD </w:t>
      </w:r>
      <w:r w:rsidRPr="00545501">
        <w:rPr>
          <w:rFonts w:ascii="Book Antiqua" w:eastAsia="Book Antiqua" w:hAnsi="Book Antiqua" w:cs="Book Antiqua"/>
          <w:color w:val="000000"/>
        </w:rPr>
        <w:t>and summarize existing data in the literature regarding the association of the two diseases and discuss future research topics that remain to be answered with regard to this association. To the best of our knowledge this is the first literature review regarding these two pathologies concomitance.</w:t>
      </w:r>
    </w:p>
    <w:bookmarkEnd w:id="4"/>
    <w:bookmarkEnd w:id="5"/>
    <w:p w14:paraId="4399A842" w14:textId="77777777" w:rsidR="00A77B3E" w:rsidRPr="00545501" w:rsidRDefault="005D438D" w:rsidP="003541E7">
      <w:pPr>
        <w:adjustRightInd w:val="0"/>
        <w:snapToGrid w:val="0"/>
        <w:spacing w:line="360" w:lineRule="auto"/>
        <w:jc w:val="both"/>
        <w:rPr>
          <w:rFonts w:ascii="Book Antiqua" w:hAnsi="Book Antiqua"/>
          <w:u w:val="single"/>
        </w:rPr>
      </w:pPr>
      <w:r w:rsidRPr="00545501">
        <w:rPr>
          <w:rFonts w:ascii="Book Antiqua" w:hAnsi="Book Antiqua"/>
        </w:rPr>
        <w:br w:type="page"/>
      </w:r>
      <w:r w:rsidR="0061504E" w:rsidRPr="00545501">
        <w:rPr>
          <w:rFonts w:ascii="Book Antiqua" w:eastAsia="Book Antiqua" w:hAnsi="Book Antiqua" w:cs="Book Antiqua"/>
          <w:b/>
          <w:color w:val="000000"/>
          <w:u w:val="single"/>
        </w:rPr>
        <w:t>INTRODUCTION</w:t>
      </w:r>
    </w:p>
    <w:p w14:paraId="78D8D6F9" w14:textId="4098960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Within the circle of related-autoimmune diseases, celiac disease (CD) and Sj</w:t>
      </w:r>
      <w:r w:rsidR="000D10BC" w:rsidRPr="00545501">
        <w:rPr>
          <w:rFonts w:ascii="Book Antiqua" w:eastAsia="Book Antiqua" w:hAnsi="Book Antiqua" w:cs="Book Antiqua"/>
          <w:color w:val="000000"/>
        </w:rPr>
        <w:t>ö</w:t>
      </w:r>
      <w:r w:rsidRPr="00545501">
        <w:rPr>
          <w:rFonts w:ascii="Book Antiqua" w:eastAsia="Book Antiqua" w:hAnsi="Book Antiqua" w:cs="Book Antiqua"/>
          <w:color w:val="000000"/>
        </w:rPr>
        <w:t>gren’s syndrome (SS) come together with type 1 diabetes mellitus, autoimmune thyroid disease, and primary biliary cholangitis</w:t>
      </w:r>
      <w:r w:rsidRPr="00545501">
        <w:rPr>
          <w:rFonts w:ascii="Book Antiqua" w:eastAsia="Book Antiqua" w:hAnsi="Book Antiqua" w:cs="Book Antiqua"/>
          <w:color w:val="000000"/>
          <w:vertAlign w:val="superscript"/>
        </w:rPr>
        <w:t>[1]</w:t>
      </w:r>
      <w:r w:rsidRPr="00545501">
        <w:rPr>
          <w:rFonts w:ascii="Book Antiqua" w:eastAsia="Book Antiqua" w:hAnsi="Book Antiqua" w:cs="Book Antiqua"/>
          <w:color w:val="000000"/>
        </w:rPr>
        <w:t>. In fact, a major stake when diagnosing one of the above autoimmune diseases is screening for the other ones, especially in the presence of a suggestive clinical scenario.</w:t>
      </w:r>
    </w:p>
    <w:p w14:paraId="31BBF6FC" w14:textId="77777777" w:rsidR="00A77B3E" w:rsidRPr="00545501" w:rsidRDefault="0061504E" w:rsidP="003541E7">
      <w:pPr>
        <w:adjustRightInd w:val="0"/>
        <w:snapToGrid w:val="0"/>
        <w:spacing w:line="360" w:lineRule="auto"/>
        <w:ind w:firstLineChars="100" w:firstLine="240"/>
        <w:jc w:val="both"/>
        <w:rPr>
          <w:rFonts w:ascii="Book Antiqua" w:hAnsi="Book Antiqua"/>
        </w:rPr>
      </w:pPr>
      <w:r w:rsidRPr="00545501">
        <w:rPr>
          <w:rFonts w:ascii="Book Antiqua" w:eastAsia="Book Antiqua" w:hAnsi="Book Antiqua" w:cs="Book Antiqua"/>
          <w:color w:val="000000"/>
        </w:rPr>
        <w:t>SS is an autoimmune disease mainly characterized by ocular and oral sicca symptoms and signs, positivity for certain autoantibodies (anti-SS-A/Ro and anti-SS-B/La), and suggestive minor salivary gland biopsies. All these items were integrated in classifications criteria, the most recent being the 2016 American College of Rheumatology/European League</w:t>
      </w:r>
      <w:r w:rsidR="00EE042E" w:rsidRPr="00545501">
        <w:rPr>
          <w:rFonts w:ascii="Book Antiqua" w:eastAsia="Book Antiqua" w:hAnsi="Book Antiqua" w:cs="Book Antiqua"/>
          <w:color w:val="000000"/>
        </w:rPr>
        <w:t xml:space="preserve"> Against Rheumatism </w:t>
      </w:r>
      <w:r w:rsidRPr="00545501">
        <w:rPr>
          <w:rFonts w:ascii="Book Antiqua" w:eastAsia="Book Antiqua" w:hAnsi="Book Antiqua" w:cs="Book Antiqua"/>
          <w:color w:val="000000"/>
        </w:rPr>
        <w:t>SS’s Classification Criteria</w:t>
      </w:r>
      <w:r w:rsidRPr="00545501">
        <w:rPr>
          <w:rFonts w:ascii="Book Antiqua" w:eastAsia="Book Antiqua" w:hAnsi="Book Antiqua" w:cs="Book Antiqua"/>
          <w:color w:val="000000"/>
          <w:vertAlign w:val="superscript"/>
        </w:rPr>
        <w:t>[2]</w:t>
      </w:r>
      <w:r w:rsidRPr="00545501">
        <w:rPr>
          <w:rFonts w:ascii="Book Antiqua" w:eastAsia="Book Antiqua" w:hAnsi="Book Antiqua" w:cs="Book Antiqua"/>
          <w:color w:val="000000"/>
        </w:rPr>
        <w:t xml:space="preserve">. In the same paper, the importance of extraglandular manifestations was highlighted by increasing the target population to which the classification criteria can be applied. </w:t>
      </w:r>
    </w:p>
    <w:p w14:paraId="12FEE403" w14:textId="77777777" w:rsidR="00A77B3E" w:rsidRPr="00545501" w:rsidRDefault="0061504E" w:rsidP="003541E7">
      <w:pPr>
        <w:adjustRightInd w:val="0"/>
        <w:snapToGrid w:val="0"/>
        <w:spacing w:line="360" w:lineRule="auto"/>
        <w:ind w:firstLineChars="100" w:firstLine="240"/>
        <w:jc w:val="both"/>
        <w:rPr>
          <w:rFonts w:ascii="Book Antiqua" w:hAnsi="Book Antiqua"/>
        </w:rPr>
      </w:pPr>
      <w:r w:rsidRPr="00545501">
        <w:rPr>
          <w:rFonts w:ascii="Book Antiqua" w:eastAsia="Book Antiqua" w:hAnsi="Book Antiqua" w:cs="Book Antiqua"/>
          <w:color w:val="000000"/>
        </w:rPr>
        <w:t>Meanwhile, CD is a gluten-dependent, autoimmune enteropathy, affecting 1% of the population with a continuously rising incidence, mainly because of an increase of correct positive diagnosis</w:t>
      </w:r>
      <w:r w:rsidRPr="00545501">
        <w:rPr>
          <w:rFonts w:ascii="Book Antiqua" w:eastAsia="Book Antiqua" w:hAnsi="Book Antiqua" w:cs="Book Antiqua"/>
          <w:color w:val="000000"/>
          <w:vertAlign w:val="superscript"/>
        </w:rPr>
        <w:t>[3]</w:t>
      </w:r>
      <w:r w:rsidRPr="00545501">
        <w:rPr>
          <w:rFonts w:ascii="Book Antiqua" w:eastAsia="Book Antiqua" w:hAnsi="Book Antiqua" w:cs="Book Antiqua"/>
          <w:color w:val="000000"/>
        </w:rPr>
        <w:t>. In the last few decades the paradigm of CD’s clinical spectrum dramatically changed from the classical forms with diarrhea to atypical forms. Moreover, the importance of extraintestinal manifestations and of clinical associated conditions has been increasingly recognized</w:t>
      </w:r>
      <w:r w:rsidRPr="00545501">
        <w:rPr>
          <w:rFonts w:ascii="Book Antiqua" w:eastAsia="Book Antiqua" w:hAnsi="Book Antiqua" w:cs="Book Antiqua"/>
          <w:color w:val="000000"/>
          <w:vertAlign w:val="superscript"/>
        </w:rPr>
        <w:t>[4-7]</w:t>
      </w:r>
      <w:r w:rsidRPr="00545501">
        <w:rPr>
          <w:rFonts w:ascii="Book Antiqua" w:eastAsia="Book Antiqua" w:hAnsi="Book Antiqua" w:cs="Book Antiqua"/>
          <w:color w:val="000000"/>
        </w:rPr>
        <w:t>; hence, CD is now regarded as a chronic, systemic disease triggered by the ingestion of gluten in genetically susceptible individuals. Since the 1960s</w:t>
      </w:r>
      <w:r w:rsidRPr="00545501">
        <w:rPr>
          <w:rFonts w:ascii="Book Antiqua" w:eastAsia="Book Antiqua" w:hAnsi="Book Antiqua" w:cs="Book Antiqua"/>
          <w:color w:val="000000"/>
          <w:vertAlign w:val="superscript"/>
        </w:rPr>
        <w:t>[8]</w:t>
      </w:r>
      <w:r w:rsidRPr="00545501">
        <w:rPr>
          <w:rFonts w:ascii="Book Antiqua" w:eastAsia="Book Antiqua" w:hAnsi="Book Antiqua" w:cs="Book Antiqua"/>
          <w:color w:val="000000"/>
        </w:rPr>
        <w:t>, several publications have been addressing the co-association between SS and CD – first with case reports</w:t>
      </w:r>
      <w:r w:rsidRPr="00545501">
        <w:rPr>
          <w:rFonts w:ascii="Book Antiqua" w:eastAsia="Book Antiqua" w:hAnsi="Book Antiqua" w:cs="Book Antiqua"/>
          <w:color w:val="000000"/>
          <w:vertAlign w:val="superscript"/>
        </w:rPr>
        <w:t>[9-11]</w:t>
      </w:r>
      <w:r w:rsidRPr="00545501">
        <w:rPr>
          <w:rFonts w:ascii="Book Antiqua" w:eastAsia="Book Antiqua" w:hAnsi="Book Antiqua" w:cs="Book Antiqua"/>
          <w:color w:val="000000"/>
        </w:rPr>
        <w:t xml:space="preserve">, then small series and cohorts. </w:t>
      </w:r>
    </w:p>
    <w:p w14:paraId="577DFEFC" w14:textId="77777777" w:rsidR="00A77B3E" w:rsidRPr="00545501" w:rsidRDefault="0061504E" w:rsidP="003541E7">
      <w:pPr>
        <w:adjustRightInd w:val="0"/>
        <w:snapToGrid w:val="0"/>
        <w:spacing w:line="360" w:lineRule="auto"/>
        <w:ind w:firstLineChars="100" w:firstLine="240"/>
        <w:jc w:val="both"/>
        <w:rPr>
          <w:rFonts w:ascii="Book Antiqua" w:hAnsi="Book Antiqua"/>
        </w:rPr>
      </w:pPr>
      <w:r w:rsidRPr="00545501">
        <w:rPr>
          <w:rFonts w:ascii="Book Antiqua" w:eastAsia="Book Antiqua" w:hAnsi="Book Antiqua" w:cs="Book Antiqua"/>
          <w:color w:val="000000"/>
        </w:rPr>
        <w:t>However, awareness among internal medicine specialists, rheumatologists, and gastroenterologists remains unsatisfactory and currently available guidelines are not reporting this association</w:t>
      </w:r>
      <w:r w:rsidRPr="00545501">
        <w:rPr>
          <w:rFonts w:ascii="Book Antiqua" w:eastAsia="Book Antiqua" w:hAnsi="Book Antiqua" w:cs="Book Antiqua"/>
          <w:color w:val="000000"/>
          <w:vertAlign w:val="superscript"/>
        </w:rPr>
        <w:t>[2,12]</w:t>
      </w:r>
      <w:r w:rsidRPr="00545501">
        <w:rPr>
          <w:rFonts w:ascii="Book Antiqua" w:eastAsia="Book Antiqua" w:hAnsi="Book Antiqua" w:cs="Book Antiqua"/>
          <w:color w:val="000000"/>
        </w:rPr>
        <w:t>.</w:t>
      </w:r>
    </w:p>
    <w:p w14:paraId="17ABF6B8" w14:textId="77777777" w:rsidR="00A77B3E" w:rsidRPr="00545501" w:rsidRDefault="0061504E" w:rsidP="003541E7">
      <w:pPr>
        <w:adjustRightInd w:val="0"/>
        <w:snapToGrid w:val="0"/>
        <w:spacing w:line="360" w:lineRule="auto"/>
        <w:ind w:firstLineChars="100" w:firstLine="240"/>
        <w:jc w:val="both"/>
        <w:rPr>
          <w:rFonts w:ascii="Book Antiqua" w:hAnsi="Book Antiqua"/>
        </w:rPr>
      </w:pPr>
      <w:r w:rsidRPr="00545501">
        <w:rPr>
          <w:rFonts w:ascii="Book Antiqua" w:eastAsia="Book Antiqua" w:hAnsi="Book Antiqua" w:cs="Book Antiqua"/>
          <w:color w:val="000000"/>
        </w:rPr>
        <w:t>We herein present the case of a patient with SS who was diagnosed with CD, and summarize the existing data about the association of the two autoimmune disorders, with a focus on clinical application. To the best of our knowledge, this is the first literature review analyzing the existing data related to these two pathologies concomitance.</w:t>
      </w:r>
    </w:p>
    <w:p w14:paraId="3B24BD45" w14:textId="77777777" w:rsidR="00A77B3E" w:rsidRPr="00545501" w:rsidRDefault="00A77B3E" w:rsidP="003541E7">
      <w:pPr>
        <w:adjustRightInd w:val="0"/>
        <w:snapToGrid w:val="0"/>
        <w:spacing w:line="360" w:lineRule="auto"/>
        <w:jc w:val="both"/>
        <w:rPr>
          <w:rFonts w:ascii="Book Antiqua" w:hAnsi="Book Antiqua"/>
        </w:rPr>
      </w:pPr>
    </w:p>
    <w:p w14:paraId="0B7DE466" w14:textId="77777777" w:rsidR="00A77B3E" w:rsidRPr="00545501" w:rsidRDefault="0061504E" w:rsidP="003541E7">
      <w:pPr>
        <w:adjustRightInd w:val="0"/>
        <w:snapToGrid w:val="0"/>
        <w:spacing w:line="360" w:lineRule="auto"/>
        <w:jc w:val="both"/>
        <w:rPr>
          <w:rFonts w:ascii="Book Antiqua" w:hAnsi="Book Antiqua"/>
          <w:u w:val="single"/>
        </w:rPr>
      </w:pPr>
      <w:r w:rsidRPr="00545501">
        <w:rPr>
          <w:rFonts w:ascii="Book Antiqua" w:eastAsia="Book Antiqua" w:hAnsi="Book Antiqua" w:cs="Book Antiqua"/>
          <w:b/>
          <w:color w:val="000000"/>
          <w:u w:val="single"/>
        </w:rPr>
        <w:t>CASE PRESENTATION</w:t>
      </w:r>
    </w:p>
    <w:p w14:paraId="77AFD8D8" w14:textId="77777777" w:rsidR="001F1688" w:rsidRPr="00545501" w:rsidRDefault="001F1688"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i/>
          <w:color w:val="000000"/>
        </w:rPr>
        <w:t>Chief complaints</w:t>
      </w:r>
    </w:p>
    <w:p w14:paraId="301ED4B9"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We report the case of a 39-year-old woman</w:t>
      </w:r>
      <w:r w:rsidRPr="00545501">
        <w:rPr>
          <w:rFonts w:ascii="Book Antiqua" w:eastAsia="Book Antiqua" w:hAnsi="Book Antiqua" w:cs="Book Antiqua"/>
          <w:color w:val="000000"/>
          <w:shd w:val="clear" w:color="auto" w:fill="FFFFFF"/>
        </w:rPr>
        <w:t xml:space="preserve"> who was in the care of her rheumatologist after being diagnosed with primary SS. Her illness began two years before with bilateral knee arthralgia, debilitating fatigue, xerophthalmia and xerostomia. With positive antinuclear antibodies, anti-Ro [&gt;</w:t>
      </w:r>
      <w:r w:rsidR="005D438D" w:rsidRPr="00545501">
        <w:rPr>
          <w:rFonts w:ascii="Book Antiqua" w:eastAsia="Book Antiqua" w:hAnsi="Book Antiqua" w:cs="Book Antiqua"/>
          <w:color w:val="000000"/>
          <w:shd w:val="clear" w:color="auto" w:fill="FFFFFF"/>
        </w:rPr>
        <w:t xml:space="preserve"> </w:t>
      </w:r>
      <w:r w:rsidRPr="00545501">
        <w:rPr>
          <w:rFonts w:ascii="Book Antiqua" w:eastAsia="Book Antiqua" w:hAnsi="Book Antiqua" w:cs="Book Antiqua"/>
          <w:color w:val="000000"/>
          <w:shd w:val="clear" w:color="auto" w:fill="FFFFFF"/>
        </w:rPr>
        <w:t>200 UI/m</w:t>
      </w:r>
      <w:r w:rsidR="00B0708D" w:rsidRPr="00545501">
        <w:rPr>
          <w:rFonts w:ascii="Book Antiqua" w:eastAsia="Book Antiqua" w:hAnsi="Book Antiqua" w:cs="Book Antiqua"/>
          <w:color w:val="000000"/>
          <w:shd w:val="clear" w:color="auto" w:fill="FFFFFF"/>
        </w:rPr>
        <w:t>L</w:t>
      </w:r>
      <w:r w:rsidRPr="00545501">
        <w:rPr>
          <w:rFonts w:ascii="Book Antiqua" w:eastAsia="Book Antiqua" w:hAnsi="Book Antiqua" w:cs="Book Antiqua"/>
          <w:color w:val="000000"/>
          <w:shd w:val="clear" w:color="auto" w:fill="FFFFFF"/>
        </w:rPr>
        <w:t xml:space="preserve"> (normal value &lt; 15)] and anti-La [57.5 UI/m</w:t>
      </w:r>
      <w:r w:rsidR="00B0708D" w:rsidRPr="00545501">
        <w:rPr>
          <w:rFonts w:ascii="Book Antiqua" w:eastAsia="Book Antiqua" w:hAnsi="Book Antiqua" w:cs="Book Antiqua"/>
          <w:color w:val="000000"/>
          <w:shd w:val="clear" w:color="auto" w:fill="FFFFFF"/>
        </w:rPr>
        <w:t>L</w:t>
      </w:r>
      <w:r w:rsidRPr="00545501">
        <w:rPr>
          <w:rFonts w:ascii="Book Antiqua" w:eastAsia="Book Antiqua" w:hAnsi="Book Antiqua" w:cs="Book Antiqua"/>
          <w:color w:val="000000"/>
          <w:shd w:val="clear" w:color="auto" w:fill="FFFFFF"/>
        </w:rPr>
        <w:t xml:space="preserve"> (normal value &lt;</w:t>
      </w:r>
      <w:r w:rsidR="00220619" w:rsidRPr="00545501">
        <w:rPr>
          <w:rFonts w:ascii="Book Antiqua" w:eastAsia="Book Antiqua" w:hAnsi="Book Antiqua" w:cs="Book Antiqua"/>
          <w:color w:val="000000"/>
          <w:shd w:val="clear" w:color="auto" w:fill="FFFFFF"/>
        </w:rPr>
        <w:t xml:space="preserve"> </w:t>
      </w:r>
      <w:r w:rsidRPr="00545501">
        <w:rPr>
          <w:rFonts w:ascii="Book Antiqua" w:eastAsia="Book Antiqua" w:hAnsi="Book Antiqua" w:cs="Book Antiqua"/>
          <w:color w:val="000000"/>
          <w:shd w:val="clear" w:color="auto" w:fill="FFFFFF"/>
        </w:rPr>
        <w:t xml:space="preserve">15)] antibodies, positive </w:t>
      </w:r>
      <w:r w:rsidRPr="00545501">
        <w:rPr>
          <w:rFonts w:ascii="Book Antiqua" w:eastAsia="Book Antiqua" w:hAnsi="Book Antiqua" w:cs="Book Antiqua"/>
          <w:color w:val="000000"/>
        </w:rPr>
        <w:t xml:space="preserve">Shirmer's test, positive Rose Bengal coloration, and salivary gland biopsy demonstrating focal lymphocytic sialadenitis with a focus score of 4, she was diagnosed with SS. She was prescribed hydroxychloroquine and topical treatment, with improvement of sicca and articular symptoms. </w:t>
      </w:r>
    </w:p>
    <w:p w14:paraId="29D39998" w14:textId="77777777" w:rsidR="00A77B3E" w:rsidRPr="00545501" w:rsidRDefault="00A77B3E" w:rsidP="003541E7">
      <w:pPr>
        <w:adjustRightInd w:val="0"/>
        <w:snapToGrid w:val="0"/>
        <w:spacing w:line="360" w:lineRule="auto"/>
        <w:jc w:val="both"/>
        <w:rPr>
          <w:rFonts w:ascii="Book Antiqua" w:hAnsi="Book Antiqua"/>
        </w:rPr>
      </w:pPr>
    </w:p>
    <w:p w14:paraId="35B834A3" w14:textId="77777777" w:rsidR="001F1688" w:rsidRPr="00545501" w:rsidRDefault="0061504E" w:rsidP="003541E7">
      <w:pPr>
        <w:adjustRightInd w:val="0"/>
        <w:snapToGrid w:val="0"/>
        <w:spacing w:line="360" w:lineRule="auto"/>
        <w:jc w:val="both"/>
        <w:rPr>
          <w:rFonts w:ascii="Book Antiqua" w:hAnsi="Book Antiqua" w:cs="Book Antiqua"/>
          <w:b/>
          <w:i/>
          <w:color w:val="000000"/>
          <w:lang w:eastAsia="zh-CN"/>
        </w:rPr>
      </w:pPr>
      <w:r w:rsidRPr="00545501">
        <w:rPr>
          <w:rFonts w:ascii="Book Antiqua" w:eastAsia="Book Antiqua" w:hAnsi="Book Antiqua" w:cs="Book Antiqua"/>
          <w:b/>
          <w:i/>
          <w:color w:val="000000"/>
        </w:rPr>
        <w:t>History of present illness</w:t>
      </w:r>
    </w:p>
    <w:p w14:paraId="76C81193"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Two years later she came into the Rheumatology Department for a routine follow-up visit.</w:t>
      </w:r>
      <w:r w:rsidRPr="00545501">
        <w:rPr>
          <w:rFonts w:ascii="Book Antiqua" w:eastAsia="Book Antiqua" w:hAnsi="Book Antiqua" w:cs="Book Antiqua"/>
          <w:color w:val="000000"/>
          <w:shd w:val="clear" w:color="auto" w:fill="FFFFFF"/>
        </w:rPr>
        <w:t xml:space="preserve"> She reported good symptom control with therapy without adverse reactions, and her </w:t>
      </w:r>
      <w:r w:rsidRPr="00545501">
        <w:rPr>
          <w:rFonts w:ascii="Book Antiqua" w:eastAsia="Book Antiqua" w:hAnsi="Book Antiqua" w:cs="Book Antiqua"/>
          <w:color w:val="000000"/>
        </w:rPr>
        <w:t xml:space="preserve">physical examination was unremarkable. </w:t>
      </w:r>
    </w:p>
    <w:p w14:paraId="745735BA" w14:textId="77777777" w:rsidR="00A77B3E" w:rsidRPr="00545501" w:rsidRDefault="00A77B3E" w:rsidP="003541E7">
      <w:pPr>
        <w:adjustRightInd w:val="0"/>
        <w:snapToGrid w:val="0"/>
        <w:spacing w:line="360" w:lineRule="auto"/>
        <w:jc w:val="both"/>
        <w:rPr>
          <w:rFonts w:ascii="Book Antiqua" w:hAnsi="Book Antiqua"/>
        </w:rPr>
      </w:pPr>
    </w:p>
    <w:p w14:paraId="50B50E31"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i/>
          <w:color w:val="000000"/>
        </w:rPr>
        <w:t>Laboratory examinations</w:t>
      </w:r>
    </w:p>
    <w:p w14:paraId="4CEE3DC0" w14:textId="77777777" w:rsidR="00A77B3E" w:rsidRPr="00545501" w:rsidRDefault="0061504E" w:rsidP="003541E7">
      <w:pPr>
        <w:adjustRightInd w:val="0"/>
        <w:snapToGrid w:val="0"/>
        <w:spacing w:line="360" w:lineRule="auto"/>
        <w:jc w:val="both"/>
        <w:rPr>
          <w:rFonts w:ascii="Book Antiqua" w:eastAsia="Book Antiqua" w:hAnsi="Book Antiqua" w:cs="Book Antiqua"/>
          <w:color w:val="000000"/>
        </w:rPr>
      </w:pPr>
      <w:r w:rsidRPr="00545501">
        <w:rPr>
          <w:rFonts w:ascii="Book Antiqua" w:eastAsia="Book Antiqua" w:hAnsi="Book Antiqua" w:cs="Book Antiqua"/>
          <w:color w:val="000000"/>
        </w:rPr>
        <w:t xml:space="preserve">However, </w:t>
      </w:r>
      <w:r w:rsidRPr="00545501">
        <w:rPr>
          <w:rFonts w:ascii="Book Antiqua" w:eastAsia="Book Antiqua" w:hAnsi="Book Antiqua" w:cs="Book Antiqua"/>
          <w:color w:val="000000"/>
          <w:shd w:val="clear" w:color="auto" w:fill="FFFFFF"/>
        </w:rPr>
        <w:t xml:space="preserve">routine blood work however revealed </w:t>
      </w:r>
      <w:r w:rsidR="005D438D" w:rsidRPr="00545501">
        <w:rPr>
          <w:rFonts w:ascii="Book Antiqua" w:eastAsia="Book Antiqua" w:hAnsi="Book Antiqua" w:cs="Book Antiqua"/>
          <w:color w:val="000000"/>
        </w:rPr>
        <w:t>lymphopenia-</w:t>
      </w:r>
      <w:r w:rsidRPr="00545501">
        <w:rPr>
          <w:rFonts w:ascii="Book Antiqua" w:eastAsia="Book Antiqua" w:hAnsi="Book Antiqua" w:cs="Book Antiqua"/>
          <w:color w:val="000000"/>
        </w:rPr>
        <w:t xml:space="preserve">1100/mL (normal range 1170-3170), iron deficiency </w:t>
      </w:r>
      <w:r w:rsidR="005D438D" w:rsidRPr="00545501">
        <w:rPr>
          <w:rFonts w:ascii="Book Antiqua" w:eastAsia="Book Antiqua" w:hAnsi="Book Antiqua" w:cs="Book Antiqua"/>
          <w:color w:val="000000"/>
        </w:rPr>
        <w:t>without anemia [serum iron–</w:t>
      </w:r>
      <w:r w:rsidRPr="00545501">
        <w:rPr>
          <w:rFonts w:ascii="Book Antiqua" w:eastAsia="Book Antiqua" w:hAnsi="Book Antiqua" w:cs="Book Antiqua"/>
          <w:color w:val="000000"/>
        </w:rPr>
        <w:t>23 ug/d</w:t>
      </w:r>
      <w:r w:rsidR="00B0708D" w:rsidRPr="00545501">
        <w:rPr>
          <w:rFonts w:ascii="Book Antiqua" w:eastAsia="Book Antiqua" w:hAnsi="Book Antiqua" w:cs="Book Antiqua"/>
          <w:color w:val="000000"/>
        </w:rPr>
        <w:t>L</w:t>
      </w:r>
      <w:r w:rsidR="005D438D" w:rsidRPr="00545501">
        <w:rPr>
          <w:rFonts w:ascii="Book Antiqua" w:eastAsia="Book Antiqua" w:hAnsi="Book Antiqua" w:cs="Book Antiqua"/>
          <w:color w:val="000000"/>
        </w:rPr>
        <w:t xml:space="preserve"> (70-180), ferritin–18 μg/L (20-250), hemoglobin–</w:t>
      </w:r>
      <w:r w:rsidRPr="00545501">
        <w:rPr>
          <w:rFonts w:ascii="Book Antiqua" w:eastAsia="Book Antiqua" w:hAnsi="Book Antiqua" w:cs="Book Antiqua"/>
          <w:color w:val="000000"/>
        </w:rPr>
        <w:t>12.9 g/d</w:t>
      </w:r>
      <w:r w:rsidR="00B0708D" w:rsidRPr="00545501">
        <w:rPr>
          <w:rFonts w:ascii="Book Antiqua" w:eastAsia="Book Antiqua" w:hAnsi="Book Antiqua" w:cs="Book Antiqua"/>
          <w:color w:val="000000"/>
        </w:rPr>
        <w:t>L</w:t>
      </w:r>
      <w:r w:rsidRPr="00545501">
        <w:rPr>
          <w:rFonts w:ascii="Book Antiqua" w:eastAsia="Book Antiqua" w:hAnsi="Book Antiqua" w:cs="Book Antiqua"/>
          <w:color w:val="000000"/>
        </w:rPr>
        <w:t xml:space="preserve"> (12-</w:t>
      </w:r>
      <w:r w:rsidR="005D438D" w:rsidRPr="00545501">
        <w:rPr>
          <w:rFonts w:ascii="Book Antiqua" w:eastAsia="Book Antiqua" w:hAnsi="Book Antiqua" w:cs="Book Antiqua"/>
          <w:color w:val="000000"/>
        </w:rPr>
        <w:t>16)] and low vitamin D levels–</w:t>
      </w:r>
      <w:r w:rsidRPr="00545501">
        <w:rPr>
          <w:rFonts w:ascii="Book Antiqua" w:eastAsia="Book Antiqua" w:hAnsi="Book Antiqua" w:cs="Book Antiqua"/>
          <w:color w:val="000000"/>
        </w:rPr>
        <w:t>10 ng/m</w:t>
      </w:r>
      <w:r w:rsidR="00B0708D" w:rsidRPr="00545501">
        <w:rPr>
          <w:rFonts w:ascii="Book Antiqua" w:eastAsia="Book Antiqua" w:hAnsi="Book Antiqua" w:cs="Book Antiqua"/>
          <w:color w:val="000000"/>
        </w:rPr>
        <w:t>L</w:t>
      </w:r>
      <w:r w:rsidRPr="00545501">
        <w:rPr>
          <w:rFonts w:ascii="Book Antiqua" w:eastAsia="Book Antiqua" w:hAnsi="Book Antiqua" w:cs="Book Antiqua"/>
          <w:color w:val="000000"/>
        </w:rPr>
        <w:t xml:space="preserve"> (20-160). Except regular menses, the patient's history did not reveal any </w:t>
      </w:r>
      <w:r w:rsidRPr="00545501">
        <w:rPr>
          <w:rFonts w:ascii="Book Antiqua" w:eastAsia="Book Antiqua" w:hAnsi="Book Antiqua" w:cs="Book Antiqua"/>
          <w:iCs/>
          <w:color w:val="000000"/>
        </w:rPr>
        <w:t xml:space="preserve">obvious </w:t>
      </w:r>
      <w:r w:rsidRPr="00545501">
        <w:rPr>
          <w:rFonts w:ascii="Book Antiqua" w:eastAsia="Book Antiqua" w:hAnsi="Book Antiqua" w:cs="Book Antiqua"/>
          <w:color w:val="000000"/>
        </w:rPr>
        <w:t xml:space="preserve">sources of </w:t>
      </w:r>
      <w:r w:rsidRPr="00545501">
        <w:rPr>
          <w:rFonts w:ascii="Book Antiqua" w:eastAsia="Book Antiqua" w:hAnsi="Book Antiqua" w:cs="Book Antiqua"/>
          <w:iCs/>
          <w:color w:val="000000"/>
        </w:rPr>
        <w:t xml:space="preserve">blood loss. Upon further history taking, she </w:t>
      </w:r>
      <w:r w:rsidRPr="00545501">
        <w:rPr>
          <w:rFonts w:ascii="Book Antiqua" w:eastAsia="Book Antiqua" w:hAnsi="Book Antiqua" w:cs="Book Antiqua"/>
          <w:color w:val="000000"/>
        </w:rPr>
        <w:t>did not report any digestive symptoms.</w:t>
      </w:r>
    </w:p>
    <w:p w14:paraId="6AC3C152" w14:textId="77777777" w:rsidR="00B0708D" w:rsidRPr="00545501" w:rsidRDefault="00B0708D" w:rsidP="003541E7">
      <w:pPr>
        <w:adjustRightInd w:val="0"/>
        <w:snapToGrid w:val="0"/>
        <w:spacing w:line="360" w:lineRule="auto"/>
        <w:jc w:val="both"/>
        <w:rPr>
          <w:rFonts w:ascii="Book Antiqua" w:hAnsi="Book Antiqua"/>
        </w:rPr>
      </w:pPr>
    </w:p>
    <w:p w14:paraId="72DC4712" w14:textId="77777777" w:rsidR="00B0708D" w:rsidRPr="00545501" w:rsidRDefault="00B0708D" w:rsidP="003541E7">
      <w:pPr>
        <w:adjustRightInd w:val="0"/>
        <w:snapToGrid w:val="0"/>
        <w:spacing w:line="360" w:lineRule="auto"/>
        <w:jc w:val="both"/>
        <w:rPr>
          <w:rFonts w:ascii="Book Antiqua" w:hAnsi="Book Antiqua"/>
          <w:b/>
          <w:i/>
        </w:rPr>
      </w:pPr>
      <w:r w:rsidRPr="00545501">
        <w:rPr>
          <w:rFonts w:ascii="Book Antiqua" w:hAnsi="Book Antiqua"/>
          <w:b/>
          <w:i/>
        </w:rPr>
        <w:t>Further diagnostic work-up</w:t>
      </w:r>
    </w:p>
    <w:p w14:paraId="079F670B" w14:textId="77777777" w:rsidR="00A77B3E" w:rsidRPr="00545501" w:rsidRDefault="00B0708D" w:rsidP="003541E7">
      <w:pPr>
        <w:adjustRightInd w:val="0"/>
        <w:snapToGrid w:val="0"/>
        <w:spacing w:line="360" w:lineRule="auto"/>
        <w:jc w:val="both"/>
        <w:rPr>
          <w:rFonts w:ascii="Book Antiqua" w:hAnsi="Book Antiqua"/>
        </w:rPr>
      </w:pPr>
      <w:r w:rsidRPr="00545501">
        <w:rPr>
          <w:rFonts w:ascii="Book Antiqua" w:hAnsi="Book Antiqua"/>
        </w:rPr>
        <w:t xml:space="preserve">Considering the autoimmune background and the suspicion of associated malabsorption syndrome, screening for CD was recommended. Blood was drawn for serum IgA and IgA tissue transglutaminase (tTG) antibodies. The diagnosis approach was completed with upper gastrointestinal endoscopy which showed mucosal fissures and scalloping in the distal duodenum, with multiple biopsies being taken both from the bulb and distal duodenum (Figure 1 </w:t>
      </w:r>
      <w:r w:rsidR="005D438D" w:rsidRPr="00545501">
        <w:rPr>
          <w:rFonts w:ascii="Book Antiqua" w:hAnsi="Book Antiqua"/>
        </w:rPr>
        <w:t>A and B</w:t>
      </w:r>
      <w:r w:rsidRPr="00545501">
        <w:rPr>
          <w:rFonts w:ascii="Book Antiqua" w:hAnsi="Book Antiqua"/>
        </w:rPr>
        <w:t>). The histopathology report revealed marked villous atrophy with crypt hyperplasia and intraepithelial lymphocytosis, corresponding to Marsh 3c classification (Figure 2). IgA tissue transglutaminase antibody levels were over 200U (Quanta Lite® h-tTG IgA/Inova, cut-off positivity 20 U).</w:t>
      </w:r>
    </w:p>
    <w:p w14:paraId="0940BAE2" w14:textId="77777777" w:rsidR="00B0708D" w:rsidRPr="00545501" w:rsidRDefault="00B0708D" w:rsidP="003541E7">
      <w:pPr>
        <w:adjustRightInd w:val="0"/>
        <w:snapToGrid w:val="0"/>
        <w:spacing w:line="360" w:lineRule="auto"/>
        <w:jc w:val="both"/>
        <w:rPr>
          <w:rFonts w:ascii="Book Antiqua" w:eastAsia="Book Antiqua" w:hAnsi="Book Antiqua" w:cs="Book Antiqua"/>
          <w:b/>
          <w:color w:val="000000"/>
          <w:u w:val="single"/>
        </w:rPr>
      </w:pPr>
    </w:p>
    <w:p w14:paraId="134E3830" w14:textId="77777777" w:rsidR="001F1688" w:rsidRPr="00545501" w:rsidRDefault="00B0708D" w:rsidP="003541E7">
      <w:pPr>
        <w:adjustRightInd w:val="0"/>
        <w:snapToGrid w:val="0"/>
        <w:spacing w:line="360" w:lineRule="auto"/>
        <w:jc w:val="both"/>
        <w:rPr>
          <w:rFonts w:ascii="Book Antiqua" w:eastAsia="Book Antiqua" w:hAnsi="Book Antiqua" w:cs="Book Antiqua"/>
          <w:b/>
          <w:color w:val="000000"/>
        </w:rPr>
      </w:pPr>
      <w:r w:rsidRPr="00545501">
        <w:rPr>
          <w:rFonts w:ascii="Book Antiqua" w:eastAsia="Book Antiqua" w:hAnsi="Book Antiqua" w:cs="Book Antiqua"/>
          <w:b/>
          <w:color w:val="000000"/>
        </w:rPr>
        <w:t>FINAL DIAGNOSIS</w:t>
      </w:r>
    </w:p>
    <w:p w14:paraId="3ACE32E0" w14:textId="77777777" w:rsidR="00A77B3E" w:rsidRPr="00545501" w:rsidRDefault="00B0708D" w:rsidP="003541E7">
      <w:pPr>
        <w:adjustRightInd w:val="0"/>
        <w:snapToGrid w:val="0"/>
        <w:spacing w:line="360" w:lineRule="auto"/>
        <w:jc w:val="both"/>
        <w:rPr>
          <w:rFonts w:ascii="Book Antiqua" w:eastAsia="Book Antiqua" w:hAnsi="Book Antiqua" w:cs="Book Antiqua"/>
          <w:iCs/>
          <w:color w:val="000000"/>
        </w:rPr>
      </w:pPr>
      <w:r w:rsidRPr="00545501">
        <w:rPr>
          <w:rFonts w:ascii="Book Antiqua" w:eastAsia="Book Antiqua" w:hAnsi="Book Antiqua" w:cs="Book Antiqua"/>
          <w:iCs/>
          <w:color w:val="000000"/>
        </w:rPr>
        <w:t>Thus, a diagnosis of CD was made.</w:t>
      </w:r>
    </w:p>
    <w:p w14:paraId="13828003" w14:textId="77777777" w:rsidR="001F1688" w:rsidRPr="00545501" w:rsidRDefault="001F1688" w:rsidP="003541E7">
      <w:pPr>
        <w:adjustRightInd w:val="0"/>
        <w:snapToGrid w:val="0"/>
        <w:spacing w:line="360" w:lineRule="auto"/>
        <w:jc w:val="both"/>
        <w:rPr>
          <w:rFonts w:ascii="Book Antiqua" w:eastAsia="Book Antiqua" w:hAnsi="Book Antiqua" w:cs="Book Antiqua"/>
          <w:iCs/>
          <w:color w:val="000000"/>
        </w:rPr>
      </w:pPr>
    </w:p>
    <w:p w14:paraId="1075B541" w14:textId="77777777" w:rsidR="001F1688" w:rsidRPr="00545501" w:rsidRDefault="001F1688" w:rsidP="003541E7">
      <w:pPr>
        <w:adjustRightInd w:val="0"/>
        <w:snapToGrid w:val="0"/>
        <w:spacing w:line="360" w:lineRule="auto"/>
        <w:jc w:val="both"/>
        <w:rPr>
          <w:rFonts w:ascii="Book Antiqua" w:eastAsia="Book Antiqua" w:hAnsi="Book Antiqua" w:cs="Book Antiqua"/>
          <w:iCs/>
          <w:color w:val="000000"/>
          <w:u w:val="single"/>
        </w:rPr>
      </w:pPr>
      <w:r w:rsidRPr="00545501">
        <w:rPr>
          <w:rFonts w:ascii="Book Antiqua" w:eastAsia="Book Antiqua" w:hAnsi="Book Antiqua" w:cs="Book Antiqua"/>
          <w:b/>
          <w:color w:val="000000"/>
          <w:u w:val="single"/>
        </w:rPr>
        <w:t>TREATMENT</w:t>
      </w:r>
    </w:p>
    <w:p w14:paraId="0EB74101" w14:textId="77777777" w:rsidR="001F1688" w:rsidRPr="00545501" w:rsidRDefault="003A5F8F" w:rsidP="003541E7">
      <w:pPr>
        <w:adjustRightInd w:val="0"/>
        <w:snapToGrid w:val="0"/>
        <w:spacing w:line="360" w:lineRule="auto"/>
        <w:jc w:val="both"/>
        <w:rPr>
          <w:rFonts w:ascii="Book Antiqua" w:eastAsia="Book Antiqua" w:hAnsi="Book Antiqua" w:cs="Book Antiqua"/>
          <w:iCs/>
          <w:color w:val="000000"/>
        </w:rPr>
      </w:pPr>
      <w:r w:rsidRPr="00545501">
        <w:rPr>
          <w:rFonts w:ascii="Book Antiqua" w:eastAsia="Book Antiqua" w:hAnsi="Book Antiqua" w:cs="Book Antiqua"/>
          <w:iCs/>
          <w:color w:val="000000"/>
        </w:rPr>
        <w:t>Nutritional therapy, consisting of a gluten-free diet, was recommended.</w:t>
      </w:r>
    </w:p>
    <w:p w14:paraId="2745744B" w14:textId="77777777" w:rsidR="00A77B3E" w:rsidRPr="00545501" w:rsidRDefault="00A77B3E" w:rsidP="003541E7">
      <w:pPr>
        <w:adjustRightInd w:val="0"/>
        <w:snapToGrid w:val="0"/>
        <w:spacing w:line="360" w:lineRule="auto"/>
        <w:jc w:val="both"/>
        <w:rPr>
          <w:rFonts w:ascii="Book Antiqua" w:hAnsi="Book Antiqua"/>
        </w:rPr>
      </w:pPr>
    </w:p>
    <w:p w14:paraId="2E8B2C2D" w14:textId="77777777" w:rsidR="00A77B3E" w:rsidRPr="00545501" w:rsidRDefault="0061504E" w:rsidP="003541E7">
      <w:pPr>
        <w:adjustRightInd w:val="0"/>
        <w:snapToGrid w:val="0"/>
        <w:spacing w:line="360" w:lineRule="auto"/>
        <w:jc w:val="both"/>
        <w:rPr>
          <w:rFonts w:ascii="Book Antiqua" w:hAnsi="Book Antiqua"/>
          <w:u w:val="single"/>
        </w:rPr>
      </w:pPr>
      <w:r w:rsidRPr="00545501">
        <w:rPr>
          <w:rFonts w:ascii="Book Antiqua" w:eastAsia="Book Antiqua" w:hAnsi="Book Antiqua" w:cs="Book Antiqua"/>
          <w:b/>
          <w:color w:val="000000"/>
          <w:u w:val="single"/>
        </w:rPr>
        <w:t>OUTCOME AND FOLLOW-UP</w:t>
      </w:r>
    </w:p>
    <w:p w14:paraId="2C2A8667"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iCs/>
          <w:color w:val="000000"/>
        </w:rPr>
        <w:t xml:space="preserve">Upon follow-up, serum iron and ferritin levels normalized, IgA tTG gradually decreased to negative titers and control biopsy revealed restoring of normal villous architecture but with persisting intraepithelial lymphocytosis (Figure 3). </w:t>
      </w:r>
    </w:p>
    <w:p w14:paraId="7672DEE7" w14:textId="77777777" w:rsidR="00A77B3E" w:rsidRPr="00545501" w:rsidRDefault="00A77B3E" w:rsidP="003541E7">
      <w:pPr>
        <w:adjustRightInd w:val="0"/>
        <w:snapToGrid w:val="0"/>
        <w:spacing w:line="360" w:lineRule="auto"/>
        <w:jc w:val="both"/>
        <w:rPr>
          <w:rFonts w:ascii="Book Antiqua" w:hAnsi="Book Antiqua"/>
        </w:rPr>
      </w:pPr>
    </w:p>
    <w:p w14:paraId="2FDE3AAE" w14:textId="77777777" w:rsidR="00A77B3E" w:rsidRPr="00545501" w:rsidRDefault="0061504E" w:rsidP="003541E7">
      <w:pPr>
        <w:adjustRightInd w:val="0"/>
        <w:snapToGrid w:val="0"/>
        <w:spacing w:line="360" w:lineRule="auto"/>
        <w:jc w:val="both"/>
        <w:rPr>
          <w:rFonts w:ascii="Book Antiqua" w:hAnsi="Book Antiqua"/>
          <w:u w:val="single"/>
        </w:rPr>
      </w:pPr>
      <w:r w:rsidRPr="00545501">
        <w:rPr>
          <w:rFonts w:ascii="Book Antiqua" w:eastAsia="Book Antiqua" w:hAnsi="Book Antiqua" w:cs="Book Antiqua"/>
          <w:b/>
          <w:color w:val="000000"/>
          <w:u w:val="single"/>
        </w:rPr>
        <w:t>DISCUSSION</w:t>
      </w:r>
    </w:p>
    <w:p w14:paraId="7B7DFB4D" w14:textId="77777777" w:rsidR="00BF247F" w:rsidRPr="00545501" w:rsidRDefault="00BF247F" w:rsidP="003541E7">
      <w:pPr>
        <w:adjustRightInd w:val="0"/>
        <w:snapToGrid w:val="0"/>
        <w:spacing w:line="360" w:lineRule="auto"/>
        <w:jc w:val="both"/>
        <w:rPr>
          <w:rFonts w:ascii="Book Antiqua" w:hAnsi="Book Antiqua"/>
        </w:rPr>
      </w:pPr>
      <w:r w:rsidRPr="00545501">
        <w:rPr>
          <w:rFonts w:ascii="Book Antiqua" w:hAnsi="Book Antiqua"/>
        </w:rPr>
        <w:t>In our case presentation, we report a diagnosis of CD in a patient with SS, without any gastrointestinal complaints, starting from mild laboratory changes during a routine follow-up visit. Notably, the subtle alterations in the blood work-up along with a high index of suspicion of the c</w:t>
      </w:r>
      <w:r w:rsidR="00C50DA1" w:rsidRPr="00545501">
        <w:rPr>
          <w:rFonts w:ascii="Book Antiqua" w:hAnsi="Book Antiqua"/>
        </w:rPr>
        <w:t>linician triggered CD testing.</w:t>
      </w:r>
    </w:p>
    <w:p w14:paraId="2B1EADDD" w14:textId="77777777"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Although the association of CD and SS is well recognized, awareness among practitioners of related medical specialties is far from being satisfactory</w:t>
      </w:r>
      <w:r w:rsidRPr="00545501">
        <w:rPr>
          <w:rFonts w:ascii="Book Antiqua" w:hAnsi="Book Antiqua"/>
          <w:vertAlign w:val="superscript"/>
        </w:rPr>
        <w:t>[13]</w:t>
      </w:r>
      <w:r w:rsidRPr="00545501">
        <w:rPr>
          <w:rFonts w:ascii="Book Antiqua" w:hAnsi="Book Antiqua"/>
        </w:rPr>
        <w:t>, so opportunities to diagnose CD/SS are often missed. Both disorders are known to be significantly underdiagnosed and this exposes patients to complications and impaired quality of life</w:t>
      </w:r>
      <w:r w:rsidRPr="00545501">
        <w:rPr>
          <w:rFonts w:ascii="Book Antiqua" w:hAnsi="Book Antiqua"/>
          <w:vertAlign w:val="superscript"/>
        </w:rPr>
        <w:t>[14,15]</w:t>
      </w:r>
      <w:r w:rsidRPr="00545501">
        <w:rPr>
          <w:rFonts w:ascii="Book Antiqua" w:hAnsi="Book Antiqua"/>
        </w:rPr>
        <w:t xml:space="preserve">. In this setting, searching for CD in SS patients and vice versa could represent an important case-finding tool. </w:t>
      </w:r>
    </w:p>
    <w:p w14:paraId="5300B88C" w14:textId="77777777" w:rsidR="00BF247F" w:rsidRPr="00545501" w:rsidRDefault="00BF247F" w:rsidP="003541E7">
      <w:pPr>
        <w:adjustRightInd w:val="0"/>
        <w:snapToGrid w:val="0"/>
        <w:spacing w:line="360" w:lineRule="auto"/>
        <w:jc w:val="both"/>
        <w:rPr>
          <w:rFonts w:ascii="Book Antiqua" w:hAnsi="Book Antiqua"/>
          <w:b/>
          <w:i/>
        </w:rPr>
      </w:pPr>
    </w:p>
    <w:p w14:paraId="5DB4B4B7" w14:textId="77777777" w:rsidR="00BF247F" w:rsidRPr="00545501" w:rsidRDefault="00BF247F" w:rsidP="003541E7">
      <w:pPr>
        <w:adjustRightInd w:val="0"/>
        <w:snapToGrid w:val="0"/>
        <w:spacing w:line="360" w:lineRule="auto"/>
        <w:jc w:val="both"/>
        <w:rPr>
          <w:rFonts w:ascii="Book Antiqua" w:hAnsi="Book Antiqua"/>
          <w:b/>
          <w:i/>
        </w:rPr>
      </w:pPr>
      <w:r w:rsidRPr="00545501">
        <w:rPr>
          <w:rFonts w:ascii="Book Antiqua" w:hAnsi="Book Antiqua"/>
          <w:b/>
          <w:i/>
        </w:rPr>
        <w:t>Prevalence of CD in patients with SS</w:t>
      </w:r>
    </w:p>
    <w:p w14:paraId="7885B2DC" w14:textId="6735F26D" w:rsidR="00BF247F" w:rsidRPr="00545501" w:rsidRDefault="00BF247F" w:rsidP="003541E7">
      <w:pPr>
        <w:adjustRightInd w:val="0"/>
        <w:snapToGrid w:val="0"/>
        <w:spacing w:line="360" w:lineRule="auto"/>
        <w:jc w:val="both"/>
        <w:rPr>
          <w:rFonts w:ascii="Book Antiqua" w:hAnsi="Book Antiqua"/>
        </w:rPr>
      </w:pPr>
      <w:r w:rsidRPr="00545501">
        <w:rPr>
          <w:rFonts w:ascii="Book Antiqua" w:hAnsi="Book Antiqua"/>
        </w:rPr>
        <w:t>Several papers have looked at the frequency of CD in SS patients. The prevalence of CD among patients with SS ranges from 1%</w:t>
      </w:r>
      <w:r w:rsidR="001F1688" w:rsidRPr="00545501">
        <w:rPr>
          <w:rFonts w:ascii="Book Antiqua" w:hAnsi="Book Antiqua"/>
        </w:rPr>
        <w:t xml:space="preserve"> </w:t>
      </w:r>
      <w:r w:rsidRPr="00545501">
        <w:rPr>
          <w:rFonts w:ascii="Book Antiqua" w:hAnsi="Book Antiqua"/>
        </w:rPr>
        <w:t xml:space="preserve">to 14.7% (Iltanen </w:t>
      </w:r>
      <w:r w:rsidRPr="00545501">
        <w:rPr>
          <w:rFonts w:ascii="Book Antiqua" w:hAnsi="Book Antiqua"/>
          <w:i/>
        </w:rPr>
        <w:t>et al</w:t>
      </w:r>
      <w:r w:rsidR="001F1688" w:rsidRPr="00545501">
        <w:rPr>
          <w:rFonts w:ascii="Book Antiqua" w:hAnsi="Book Antiqua"/>
          <w:vertAlign w:val="superscript"/>
        </w:rPr>
        <w:t>[16]</w:t>
      </w:r>
      <w:r w:rsidRPr="00545501">
        <w:rPr>
          <w:rFonts w:ascii="Book Antiqua" w:hAnsi="Book Antiqua"/>
        </w:rPr>
        <w:t>) – as noted in Table 1</w:t>
      </w:r>
      <w:r w:rsidRPr="00545501">
        <w:rPr>
          <w:rFonts w:ascii="Book Antiqua" w:hAnsi="Book Antiqua"/>
          <w:vertAlign w:val="superscript"/>
        </w:rPr>
        <w:t>[16-22]</w:t>
      </w:r>
      <w:r w:rsidRPr="00545501">
        <w:rPr>
          <w:rFonts w:ascii="Book Antiqua" w:hAnsi="Book Antiqua"/>
        </w:rPr>
        <w:t>, while the prevalence of CD in general population is about 1%. However, existing data in the literature has important limitations – the studies performed in cohorts of patients with SS included a limited number of patients and the diagnostic criteria used were not similar. The Finnish series by Iltanen</w:t>
      </w:r>
      <w:r w:rsidRPr="00545501">
        <w:rPr>
          <w:rFonts w:ascii="Book Antiqua" w:hAnsi="Book Antiqua"/>
          <w:i/>
        </w:rPr>
        <w:t xml:space="preserve"> et al</w:t>
      </w:r>
      <w:r w:rsidRPr="00545501">
        <w:rPr>
          <w:rFonts w:ascii="Book Antiqua" w:hAnsi="Book Antiqua"/>
          <w:vertAlign w:val="superscript"/>
        </w:rPr>
        <w:t>[16]</w:t>
      </w:r>
      <w:r w:rsidRPr="00545501">
        <w:rPr>
          <w:rFonts w:ascii="Book Antiqua" w:hAnsi="Book Antiqua"/>
        </w:rPr>
        <w:t xml:space="preserve"> comprised a small number of patients (34 SS) and reported a high prevalence of 14.7% CD in patients with SS. All five CD patients had atrophic mucosal inj</w:t>
      </w:r>
      <w:r w:rsidR="00C50DA1" w:rsidRPr="00545501">
        <w:rPr>
          <w:rFonts w:ascii="Book Antiqua" w:hAnsi="Book Antiqua"/>
        </w:rPr>
        <w:t>ury in the biopsy samples, with</w:t>
      </w:r>
      <w:r w:rsidRPr="00545501">
        <w:rPr>
          <w:rFonts w:ascii="Book Antiqua" w:hAnsi="Book Antiqua"/>
        </w:rPr>
        <w:t xml:space="preserve"> recovery on a gluten-free diet, while on serology, the</w:t>
      </w:r>
      <w:r w:rsidR="00431D83" w:rsidRPr="00545501">
        <w:rPr>
          <w:rFonts w:ascii="Book Antiqua" w:hAnsi="Book Antiqua"/>
        </w:rPr>
        <w:t>y were positive for either IgA-</w:t>
      </w:r>
      <w:r w:rsidRPr="00545501">
        <w:rPr>
          <w:rFonts w:ascii="Book Antiqua" w:hAnsi="Book Antiqua"/>
        </w:rPr>
        <w:t>antiendomysial antibodies (EMA) or the old generation IgA antigliadin antibodies (AGA); the authors acknowledged the low specificity of IgA-AGA as serological screening in SS. As in our case, the clinical picture of CD patients diagnosed by screening was not prominent, and two of them had nutritional deficiencies (iron and folic acid deficiency, respectively). Of note, four SS non-CD patients had normal villous architecture with an increased density of intraepithelial γδ T cells, while two of them were also positive for HLA DQ2, which could represent CD latency. A rather high seroprevalence (12%) was also reported in a small cohort of SS patients (</w:t>
      </w:r>
      <w:r w:rsidRPr="00545501">
        <w:rPr>
          <w:rFonts w:ascii="Book Antiqua" w:hAnsi="Book Antiqua"/>
          <w:i/>
        </w:rPr>
        <w:t>n</w:t>
      </w:r>
      <w:r w:rsidR="000E2392" w:rsidRPr="00545501">
        <w:rPr>
          <w:rFonts w:ascii="Book Antiqua" w:hAnsi="Book Antiqua"/>
        </w:rPr>
        <w:t xml:space="preserve"> </w:t>
      </w:r>
      <w:r w:rsidRPr="00545501">
        <w:rPr>
          <w:rFonts w:ascii="Book Antiqua" w:hAnsi="Book Antiqua"/>
        </w:rPr>
        <w:t>=</w:t>
      </w:r>
      <w:r w:rsidR="000E2392" w:rsidRPr="00545501">
        <w:rPr>
          <w:rFonts w:ascii="Book Antiqua" w:hAnsi="Book Antiqua"/>
        </w:rPr>
        <w:t xml:space="preserve"> </w:t>
      </w:r>
      <w:r w:rsidRPr="00545501">
        <w:rPr>
          <w:rFonts w:ascii="Book Antiqua" w:hAnsi="Book Antiqua"/>
        </w:rPr>
        <w:t xml:space="preserve">50) in the study by Luft </w:t>
      </w:r>
      <w:r w:rsidRPr="00545501">
        <w:rPr>
          <w:rFonts w:ascii="Book Antiqua" w:hAnsi="Book Antiqua"/>
          <w:i/>
        </w:rPr>
        <w:t>et al</w:t>
      </w:r>
      <w:r w:rsidRPr="00545501">
        <w:rPr>
          <w:rFonts w:ascii="Book Antiqua" w:hAnsi="Book Antiqua"/>
          <w:vertAlign w:val="superscript"/>
        </w:rPr>
        <w:t>[20]</w:t>
      </w:r>
      <w:r w:rsidRPr="00545501">
        <w:rPr>
          <w:rFonts w:ascii="Book Antiqua" w:hAnsi="Book Antiqua"/>
        </w:rPr>
        <w:t xml:space="preserve">, five out of the six positive being biopsy-confirmed CD (10%); the authors also found that prevalence of tTG was higher in SS as compared with other rheumatic diseases such as systemic lupus erythematosus (SLE), rheumatoid arthritis or systemic sclerosis. On the other hand, Fasano </w:t>
      </w:r>
      <w:r w:rsidRPr="00545501">
        <w:rPr>
          <w:rFonts w:ascii="Book Antiqua" w:hAnsi="Book Antiqua"/>
          <w:i/>
        </w:rPr>
        <w:t>et al</w:t>
      </w:r>
      <w:r w:rsidRPr="00545501">
        <w:rPr>
          <w:rFonts w:ascii="Book Antiqua" w:hAnsi="Book Antiqua"/>
          <w:vertAlign w:val="superscript"/>
        </w:rPr>
        <w:t>[22]</w:t>
      </w:r>
      <w:r w:rsidRPr="00545501">
        <w:rPr>
          <w:rFonts w:ascii="Book Antiqua" w:hAnsi="Book Antiqua"/>
        </w:rPr>
        <w:t xml:space="preserve"> reported a low prevalence, of 2%, in a cohort of 98 SS patients, and so did </w:t>
      </w:r>
      <w:r w:rsidR="001F1688" w:rsidRPr="00545501">
        <w:rPr>
          <w:rFonts w:ascii="Book Antiqua" w:hAnsi="Book Antiqua"/>
        </w:rPr>
        <w:t xml:space="preserve">Bizzaro </w:t>
      </w:r>
      <w:r w:rsidRPr="00545501">
        <w:rPr>
          <w:rFonts w:ascii="Book Antiqua" w:hAnsi="Book Antiqua"/>
          <w:i/>
        </w:rPr>
        <w:t>et al</w:t>
      </w:r>
      <w:r w:rsidRPr="00545501">
        <w:rPr>
          <w:rFonts w:ascii="Book Antiqua" w:hAnsi="Book Antiqua"/>
          <w:vertAlign w:val="superscript"/>
        </w:rPr>
        <w:t>[19]</w:t>
      </w:r>
      <w:r w:rsidRPr="00545501">
        <w:rPr>
          <w:rFonts w:ascii="Book Antiqua" w:hAnsi="Book Antiqua"/>
        </w:rPr>
        <w:t xml:space="preserve">, who found a seroprevalence similar to the one in the general population, of 1%: </w:t>
      </w:r>
      <w:r w:rsidR="0077494D" w:rsidRPr="00545501">
        <w:rPr>
          <w:rFonts w:ascii="Book Antiqua" w:hAnsi="Book Antiqua" w:hint="eastAsia"/>
          <w:lang w:eastAsia="zh-CN"/>
        </w:rPr>
        <w:t>T</w:t>
      </w:r>
      <w:r w:rsidR="008D6385" w:rsidRPr="00545501">
        <w:rPr>
          <w:rFonts w:ascii="Book Antiqua" w:hAnsi="Book Antiqua"/>
        </w:rPr>
        <w:t xml:space="preserve">he </w:t>
      </w:r>
      <w:r w:rsidRPr="00545501">
        <w:rPr>
          <w:rFonts w:ascii="Book Antiqua" w:hAnsi="Book Antiqua"/>
        </w:rPr>
        <w:t>one patient in a cohort of 100 SS was IgG tTG positive, but IgA and IgG EMA were negative, as was HLA typing, and according to study protocol, was not biopsied. Other studies such as the one by Caio</w:t>
      </w:r>
      <w:r w:rsidRPr="00545501">
        <w:rPr>
          <w:rFonts w:ascii="Book Antiqua" w:hAnsi="Book Antiqua"/>
          <w:i/>
        </w:rPr>
        <w:t xml:space="preserve"> et al</w:t>
      </w:r>
      <w:r w:rsidRPr="00545501">
        <w:rPr>
          <w:rFonts w:ascii="Book Antiqua" w:hAnsi="Book Antiqua"/>
          <w:vertAlign w:val="superscript"/>
        </w:rPr>
        <w:t>[21]</w:t>
      </w:r>
      <w:r w:rsidRPr="00545501">
        <w:rPr>
          <w:rFonts w:ascii="Book Antiqua" w:hAnsi="Book Antiqua"/>
        </w:rPr>
        <w:t xml:space="preserve"> also reported on serology only, lacking histological confirmation; in their study, there was also </w:t>
      </w:r>
      <w:r w:rsidR="008D6385" w:rsidRPr="00545501">
        <w:rPr>
          <w:rFonts w:ascii="Book Antiqua" w:hAnsi="Book Antiqua"/>
        </w:rPr>
        <w:t xml:space="preserve">a </w:t>
      </w:r>
      <w:r w:rsidRPr="00545501">
        <w:rPr>
          <w:rFonts w:ascii="Book Antiqua" w:hAnsi="Book Antiqua"/>
        </w:rPr>
        <w:t xml:space="preserve">SS case with isolated, low titer, IgG anti-deamidated gliadin peptide antibodies (DGP) positivity, which could raise the CD prevalence to 7.7% if histologically-confirmed. In the largest cohort published, Bartoloni </w:t>
      </w:r>
      <w:r w:rsidRPr="00545501">
        <w:rPr>
          <w:rFonts w:ascii="Book Antiqua" w:hAnsi="Book Antiqua"/>
          <w:i/>
        </w:rPr>
        <w:t>et al</w:t>
      </w:r>
      <w:r w:rsidRPr="00545501">
        <w:rPr>
          <w:rFonts w:ascii="Book Antiqua" w:hAnsi="Book Antiqua"/>
          <w:vertAlign w:val="superscript"/>
        </w:rPr>
        <w:t>[18]</w:t>
      </w:r>
      <w:r w:rsidRPr="00545501">
        <w:rPr>
          <w:rFonts w:ascii="Book Antiqua" w:hAnsi="Book Antiqua"/>
        </w:rPr>
        <w:t xml:space="preserve"> reported a prevalence of 7.1% biopsy- proven CD, with 24 out of the 25 confirmed cases being previously diagnosed with CD; screening only detected only one additional subclinical CD. The major issue of the aforementioned studies reporting on prevalence of CD in SS is the heterogeneity of criteria used for CD diagnosis, which partly explains the wide range of prevalence rates. However, when summarizing available data, there seems to be a higher prevalence of CD in SS patients than in general population. Although other larger studies have reported strong associations of SS with other CD-related autoimmune diseases such as ATD or PBC, CD was not looked for in these cohorts</w:t>
      </w:r>
      <w:r w:rsidRPr="00545501">
        <w:rPr>
          <w:rFonts w:ascii="Book Antiqua" w:hAnsi="Book Antiqua"/>
          <w:vertAlign w:val="superscript"/>
        </w:rPr>
        <w:t>[23,24]</w:t>
      </w:r>
      <w:r w:rsidRPr="00545501">
        <w:rPr>
          <w:rFonts w:ascii="Book Antiqua" w:hAnsi="Book Antiqua"/>
        </w:rPr>
        <w:t xml:space="preserve">. We hypothesize that overlooking CD in a patient with SS might be due to the gastrointestinal involvement </w:t>
      </w:r>
      <w:r w:rsidR="00344024" w:rsidRPr="00545501">
        <w:rPr>
          <w:rFonts w:ascii="Book Antiqua" w:hAnsi="Book Antiqua"/>
        </w:rPr>
        <w:t xml:space="preserve">secondary </w:t>
      </w:r>
      <w:r w:rsidRPr="00545501">
        <w:rPr>
          <w:rFonts w:ascii="Book Antiqua" w:hAnsi="Book Antiqua"/>
        </w:rPr>
        <w:t>to SS itself, which would be labelled as a disease manifestation and would not trigger testing for CD.</w:t>
      </w:r>
    </w:p>
    <w:p w14:paraId="3C2B8EB8" w14:textId="77777777" w:rsidR="00BF247F" w:rsidRPr="00545501" w:rsidRDefault="00BF247F" w:rsidP="003541E7">
      <w:pPr>
        <w:adjustRightInd w:val="0"/>
        <w:snapToGrid w:val="0"/>
        <w:spacing w:line="360" w:lineRule="auto"/>
        <w:jc w:val="both"/>
        <w:rPr>
          <w:rFonts w:ascii="Book Antiqua" w:hAnsi="Book Antiqua"/>
        </w:rPr>
      </w:pPr>
    </w:p>
    <w:p w14:paraId="6E0EF8CA" w14:textId="77777777" w:rsidR="00BF247F" w:rsidRPr="00545501" w:rsidRDefault="00BF247F" w:rsidP="003541E7">
      <w:pPr>
        <w:adjustRightInd w:val="0"/>
        <w:snapToGrid w:val="0"/>
        <w:spacing w:line="360" w:lineRule="auto"/>
        <w:jc w:val="both"/>
        <w:rPr>
          <w:rFonts w:ascii="Book Antiqua" w:hAnsi="Book Antiqua"/>
          <w:b/>
          <w:i/>
        </w:rPr>
      </w:pPr>
      <w:r w:rsidRPr="00545501">
        <w:rPr>
          <w:rFonts w:ascii="Book Antiqua" w:hAnsi="Book Antiqua"/>
          <w:b/>
          <w:i/>
        </w:rPr>
        <w:t>Prevalence of SS in patients with CD</w:t>
      </w:r>
    </w:p>
    <w:p w14:paraId="4F6B5651" w14:textId="4D4F4DC6" w:rsidR="00BF247F" w:rsidRPr="00545501" w:rsidRDefault="00BF247F" w:rsidP="003541E7">
      <w:pPr>
        <w:adjustRightInd w:val="0"/>
        <w:snapToGrid w:val="0"/>
        <w:spacing w:line="360" w:lineRule="auto"/>
        <w:jc w:val="both"/>
        <w:rPr>
          <w:rFonts w:ascii="Book Antiqua" w:hAnsi="Book Antiqua"/>
        </w:rPr>
      </w:pPr>
      <w:r w:rsidRPr="00545501">
        <w:rPr>
          <w:rFonts w:ascii="Book Antiqua" w:hAnsi="Book Antiqua"/>
        </w:rPr>
        <w:t>Conversely, other authors have also looked at the SS occurrence in CD patients, results of which are summarized in Table 2</w:t>
      </w:r>
      <w:r w:rsidRPr="00545501">
        <w:rPr>
          <w:rFonts w:ascii="Book Antiqua" w:hAnsi="Book Antiqua"/>
          <w:vertAlign w:val="superscript"/>
        </w:rPr>
        <w:t>[25-29]</w:t>
      </w:r>
      <w:r w:rsidRPr="00545501">
        <w:rPr>
          <w:rFonts w:ascii="Book Antiqua" w:hAnsi="Book Antiqua"/>
        </w:rPr>
        <w:t xml:space="preserve">. Using the California criteria for SS, Collin </w:t>
      </w:r>
      <w:r w:rsidRPr="00545501">
        <w:rPr>
          <w:rFonts w:ascii="Book Antiqua" w:hAnsi="Book Antiqua"/>
          <w:i/>
        </w:rPr>
        <w:t>et al</w:t>
      </w:r>
      <w:r w:rsidR="001F1688" w:rsidRPr="00545501">
        <w:rPr>
          <w:rFonts w:ascii="Book Antiqua" w:hAnsi="Book Antiqua"/>
          <w:vertAlign w:val="superscript"/>
        </w:rPr>
        <w:t>[28]</w:t>
      </w:r>
      <w:r w:rsidRPr="00545501">
        <w:rPr>
          <w:rFonts w:ascii="Book Antiqua" w:hAnsi="Book Antiqua"/>
        </w:rPr>
        <w:t xml:space="preserve"> reported a prevalence of 3.3% for SS in patients with CD, a significant association in contrast with other connective tissue disease</w:t>
      </w:r>
      <w:r w:rsidRPr="00545501">
        <w:rPr>
          <w:rFonts w:ascii="Book Antiqua" w:hAnsi="Book Antiqua"/>
          <w:vertAlign w:val="superscript"/>
        </w:rPr>
        <w:t>[28]</w:t>
      </w:r>
      <w:r w:rsidRPr="00545501">
        <w:rPr>
          <w:rFonts w:ascii="Book Antiqua" w:hAnsi="Book Antiqua"/>
        </w:rPr>
        <w:t>, while Caglar</w:t>
      </w:r>
      <w:r w:rsidRPr="00545501">
        <w:rPr>
          <w:rFonts w:ascii="Book Antiqua" w:hAnsi="Book Antiqua"/>
          <w:i/>
        </w:rPr>
        <w:t xml:space="preserve"> et al</w:t>
      </w:r>
      <w:r w:rsidR="001F1688" w:rsidRPr="00545501">
        <w:rPr>
          <w:rFonts w:ascii="Book Antiqua" w:hAnsi="Book Antiqua"/>
          <w:vertAlign w:val="superscript"/>
        </w:rPr>
        <w:t>[27]</w:t>
      </w:r>
      <w:r w:rsidRPr="00545501">
        <w:rPr>
          <w:rFonts w:ascii="Book Antiqua" w:hAnsi="Book Antiqua"/>
        </w:rPr>
        <w:t xml:space="preserve"> reported a prevalence of 6.5% (SS-A/SS-B antibody)</w:t>
      </w:r>
      <w:r w:rsidRPr="00545501">
        <w:rPr>
          <w:rFonts w:ascii="Book Antiqua" w:hAnsi="Book Antiqua"/>
          <w:vertAlign w:val="superscript"/>
        </w:rPr>
        <w:t>[27]</w:t>
      </w:r>
      <w:r w:rsidRPr="00545501">
        <w:rPr>
          <w:rFonts w:ascii="Book Antiqua" w:hAnsi="Book Antiqua"/>
        </w:rPr>
        <w:t xml:space="preserve">. Ayar </w:t>
      </w:r>
      <w:r w:rsidRPr="00545501">
        <w:rPr>
          <w:rFonts w:ascii="Book Antiqua" w:hAnsi="Book Antiqua"/>
          <w:i/>
        </w:rPr>
        <w:t>et al</w:t>
      </w:r>
      <w:r w:rsidR="001F1688" w:rsidRPr="00545501">
        <w:rPr>
          <w:rFonts w:ascii="Book Antiqua" w:hAnsi="Book Antiqua"/>
          <w:vertAlign w:val="superscript"/>
        </w:rPr>
        <w:t>[29]</w:t>
      </w:r>
      <w:r w:rsidRPr="00545501">
        <w:rPr>
          <w:rFonts w:ascii="Book Antiqua" w:hAnsi="Book Antiqua"/>
          <w:vertAlign w:val="superscript"/>
        </w:rPr>
        <w:t xml:space="preserve"> </w:t>
      </w:r>
      <w:r w:rsidRPr="00545501">
        <w:rPr>
          <w:rFonts w:ascii="Book Antiqua" w:hAnsi="Book Antiqua"/>
        </w:rPr>
        <w:t>found a high frequency of dry eye/mo</w:t>
      </w:r>
      <w:r w:rsidR="0027487F" w:rsidRPr="00545501">
        <w:rPr>
          <w:rFonts w:ascii="Book Antiqua" w:hAnsi="Book Antiqua"/>
        </w:rPr>
        <w:t>uth</w:t>
      </w:r>
      <w:r w:rsidRPr="00545501">
        <w:rPr>
          <w:rFonts w:ascii="Book Antiqua" w:hAnsi="Book Antiqua"/>
        </w:rPr>
        <w:t xml:space="preserve"> in CD patients, with approximately one in four being symptomatic, but only few had a biopsy-based diagnosis of SS; the frequency of SS classified according to the 201</w:t>
      </w:r>
      <w:r w:rsidR="00D64E4F" w:rsidRPr="00545501">
        <w:rPr>
          <w:rFonts w:ascii="Book Antiqua" w:hAnsi="Book Antiqua"/>
        </w:rPr>
        <w:t>2</w:t>
      </w:r>
      <w:r w:rsidR="00CF69E6" w:rsidRPr="00545501">
        <w:rPr>
          <w:rFonts w:ascii="Book Antiqua" w:hAnsi="Book Antiqua"/>
        </w:rPr>
        <w:t xml:space="preserve"> </w:t>
      </w:r>
      <w:r w:rsidRPr="00545501">
        <w:rPr>
          <w:rFonts w:ascii="Book Antiqua" w:hAnsi="Book Antiqua"/>
        </w:rPr>
        <w:t xml:space="preserve">ACR </w:t>
      </w:r>
      <w:r w:rsidR="00D76050" w:rsidRPr="00545501">
        <w:rPr>
          <w:rFonts w:ascii="Book Antiqua" w:hAnsi="Book Antiqua"/>
        </w:rPr>
        <w:t>or to Am</w:t>
      </w:r>
      <w:r w:rsidR="007D4172" w:rsidRPr="00545501">
        <w:rPr>
          <w:rFonts w:ascii="Book Antiqua" w:hAnsi="Book Antiqua"/>
        </w:rPr>
        <w:t>erican-European Consensus Group</w:t>
      </w:r>
      <w:r w:rsidR="00D76050" w:rsidRPr="00545501">
        <w:rPr>
          <w:rFonts w:ascii="Book Antiqua" w:hAnsi="Book Antiqua"/>
        </w:rPr>
        <w:t xml:space="preserve"> </w:t>
      </w:r>
      <w:r w:rsidRPr="00545501">
        <w:rPr>
          <w:rFonts w:ascii="Book Antiqua" w:hAnsi="Book Antiqua"/>
        </w:rPr>
        <w:t>criteria was 4.9%</w:t>
      </w:r>
      <w:r w:rsidRPr="00545501">
        <w:rPr>
          <w:rFonts w:ascii="Book Antiqua" w:hAnsi="Book Antiqua"/>
          <w:vertAlign w:val="superscript"/>
        </w:rPr>
        <w:t>[29]</w:t>
      </w:r>
      <w:r w:rsidRPr="00545501">
        <w:rPr>
          <w:rFonts w:ascii="Book Antiqua" w:hAnsi="Book Antiqua"/>
        </w:rPr>
        <w:t xml:space="preserve">. Similarly, in a small cohort of 82 CD patients, Erbasan </w:t>
      </w:r>
      <w:r w:rsidRPr="00545501">
        <w:rPr>
          <w:rFonts w:ascii="Book Antiqua" w:hAnsi="Book Antiqua"/>
          <w:i/>
        </w:rPr>
        <w:t>et al</w:t>
      </w:r>
      <w:r w:rsidR="001F1688" w:rsidRPr="00545501">
        <w:rPr>
          <w:rFonts w:ascii="Book Antiqua" w:hAnsi="Book Antiqua"/>
          <w:vertAlign w:val="superscript"/>
        </w:rPr>
        <w:t>[25]</w:t>
      </w:r>
      <w:r w:rsidRPr="00545501">
        <w:rPr>
          <w:rFonts w:ascii="Book Antiqua" w:hAnsi="Book Antiqua"/>
        </w:rPr>
        <w:t xml:space="preserve"> reported a high prevalence of dry eye (29.3%) and dry mouth (24.4%) symptoms; in this group, the diagnosis of SS was proven by biopsy in 1.2% of CD patients</w:t>
      </w:r>
      <w:r w:rsidRPr="00545501">
        <w:rPr>
          <w:rFonts w:ascii="Book Antiqua" w:hAnsi="Book Antiqua"/>
          <w:vertAlign w:val="superscript"/>
        </w:rPr>
        <w:t>[25]</w:t>
      </w:r>
      <w:r w:rsidRPr="00545501">
        <w:rPr>
          <w:rFonts w:ascii="Book Antiqua" w:hAnsi="Book Antiqua"/>
        </w:rPr>
        <w:t xml:space="preserve">. Moreover, four patients (4.9%) were diagnosed with undifferentiated connective tissue disease, two of them being positive for anti-SS-A/La antibodies, but having though negative biopsies. As for the studies analyzing CD prevalence in SS, the ones looking at SS prevalence in patients with CD are also very heterogeneous with </w:t>
      </w:r>
      <w:r w:rsidR="001F1688" w:rsidRPr="00545501">
        <w:rPr>
          <w:rFonts w:ascii="Book Antiqua" w:hAnsi="Book Antiqua"/>
        </w:rPr>
        <w:t>respect to diagnostic criteria.</w:t>
      </w:r>
    </w:p>
    <w:p w14:paraId="63DB41DB" w14:textId="77777777"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Even if symptomatology like dry mouth or eye is frequently reported in CD patients, biopsy in search for SS is only rarely assessed. Therefore, the available data are incomplete. Even so, the concomitance of SS and CD seems not to be random.</w:t>
      </w:r>
    </w:p>
    <w:p w14:paraId="6D7A65FE" w14:textId="77777777"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In summary, there is scarce data on SS prevalence in CD, and from the available publications, there is a lack of uniformity with respect to specific classification criteria, study design, and population examined.</w:t>
      </w:r>
    </w:p>
    <w:p w14:paraId="0BA7AFA5" w14:textId="77777777" w:rsidR="00BF247F" w:rsidRPr="00545501" w:rsidRDefault="00BF247F" w:rsidP="003541E7">
      <w:pPr>
        <w:adjustRightInd w:val="0"/>
        <w:snapToGrid w:val="0"/>
        <w:spacing w:line="360" w:lineRule="auto"/>
        <w:jc w:val="both"/>
        <w:rPr>
          <w:rFonts w:ascii="Book Antiqua" w:hAnsi="Book Antiqua"/>
          <w:b/>
          <w:i/>
        </w:rPr>
      </w:pPr>
    </w:p>
    <w:p w14:paraId="3B0A15D9" w14:textId="77777777" w:rsidR="00BF247F" w:rsidRPr="00545501" w:rsidRDefault="00BF247F" w:rsidP="003541E7">
      <w:pPr>
        <w:adjustRightInd w:val="0"/>
        <w:snapToGrid w:val="0"/>
        <w:spacing w:line="360" w:lineRule="auto"/>
        <w:jc w:val="both"/>
        <w:rPr>
          <w:rFonts w:ascii="Book Antiqua" w:hAnsi="Book Antiqua"/>
          <w:b/>
          <w:i/>
        </w:rPr>
      </w:pPr>
      <w:r w:rsidRPr="00545501">
        <w:rPr>
          <w:rFonts w:ascii="Book Antiqua" w:hAnsi="Book Antiqua"/>
          <w:b/>
          <w:i/>
        </w:rPr>
        <w:t xml:space="preserve">Pathophysiology and </w:t>
      </w:r>
      <w:r w:rsidR="001F1688" w:rsidRPr="00545501">
        <w:rPr>
          <w:rFonts w:ascii="Book Antiqua" w:hAnsi="Book Antiqua"/>
          <w:b/>
          <w:i/>
        </w:rPr>
        <w:t xml:space="preserve">antibodies </w:t>
      </w:r>
      <w:r w:rsidRPr="00545501">
        <w:rPr>
          <w:rFonts w:ascii="Book Antiqua" w:hAnsi="Book Antiqua"/>
          <w:b/>
          <w:i/>
        </w:rPr>
        <w:t>in CD and SS</w:t>
      </w:r>
    </w:p>
    <w:p w14:paraId="0CF4F58F" w14:textId="2ADB1776" w:rsidR="00BF247F" w:rsidRPr="00545501" w:rsidRDefault="00BF247F" w:rsidP="003541E7">
      <w:pPr>
        <w:adjustRightInd w:val="0"/>
        <w:snapToGrid w:val="0"/>
        <w:spacing w:line="360" w:lineRule="auto"/>
        <w:jc w:val="both"/>
        <w:rPr>
          <w:rFonts w:ascii="Book Antiqua" w:hAnsi="Book Antiqua"/>
        </w:rPr>
      </w:pPr>
      <w:r w:rsidRPr="00545501">
        <w:rPr>
          <w:rFonts w:ascii="Book Antiqua" w:hAnsi="Book Antiqua"/>
        </w:rPr>
        <w:t>The antibody spectrum in CD and SS has been looked at in a few studies. On one hand, there is data supporting a high preva</w:t>
      </w:r>
      <w:r w:rsidR="003441EE" w:rsidRPr="00545501">
        <w:rPr>
          <w:rFonts w:ascii="Book Antiqua" w:hAnsi="Book Antiqua"/>
        </w:rPr>
        <w:t xml:space="preserve">lence of antinuclear antibodies </w:t>
      </w:r>
      <w:r w:rsidRPr="00545501">
        <w:rPr>
          <w:rFonts w:ascii="Book Antiqua" w:hAnsi="Book Antiqua"/>
        </w:rPr>
        <w:t>in patients with CD, ranging from 8.9% (</w:t>
      </w:r>
      <w:r w:rsidR="001F1688" w:rsidRPr="00545501">
        <w:rPr>
          <w:rFonts w:ascii="Book Antiqua" w:hAnsi="Book Antiqua"/>
        </w:rPr>
        <w:t>da Rosa Utiyama</w:t>
      </w:r>
      <w:r w:rsidRPr="00545501">
        <w:rPr>
          <w:rFonts w:ascii="Book Antiqua" w:hAnsi="Book Antiqua"/>
          <w:i/>
        </w:rPr>
        <w:t xml:space="preserve"> et al</w:t>
      </w:r>
      <w:r w:rsidRPr="00545501">
        <w:rPr>
          <w:rFonts w:ascii="Book Antiqua" w:hAnsi="Book Antiqua"/>
          <w:vertAlign w:val="superscript"/>
        </w:rPr>
        <w:t>[30]</w:t>
      </w:r>
      <w:r w:rsidRPr="00545501">
        <w:rPr>
          <w:rFonts w:ascii="Book Antiqua" w:hAnsi="Book Antiqua"/>
        </w:rPr>
        <w:t xml:space="preserve">) to 14.6% (Erbasan </w:t>
      </w:r>
      <w:r w:rsidRPr="00545501">
        <w:rPr>
          <w:rFonts w:ascii="Book Antiqua" w:hAnsi="Book Antiqua"/>
          <w:i/>
        </w:rPr>
        <w:t>et al</w:t>
      </w:r>
      <w:r w:rsidRPr="00545501">
        <w:rPr>
          <w:rFonts w:ascii="Book Antiqua" w:hAnsi="Book Antiqua"/>
          <w:vertAlign w:val="superscript"/>
        </w:rPr>
        <w:t>[25]</w:t>
      </w:r>
      <w:r w:rsidRPr="00545501">
        <w:rPr>
          <w:rFonts w:ascii="Book Antiqua" w:hAnsi="Book Antiqua"/>
        </w:rPr>
        <w:t>). Additionally, the anti-SS-A</w:t>
      </w:r>
      <w:r w:rsidR="000451D7" w:rsidRPr="00545501">
        <w:rPr>
          <w:rFonts w:ascii="Book Antiqua" w:hAnsi="Book Antiqua"/>
        </w:rPr>
        <w:t>/Ro</w:t>
      </w:r>
      <w:r w:rsidRPr="00545501">
        <w:rPr>
          <w:rFonts w:ascii="Book Antiqua" w:hAnsi="Book Antiqua"/>
        </w:rPr>
        <w:t xml:space="preserve"> and anti-SS-B</w:t>
      </w:r>
      <w:r w:rsidR="000451D7" w:rsidRPr="00545501">
        <w:rPr>
          <w:rFonts w:ascii="Book Antiqua" w:hAnsi="Book Antiqua"/>
        </w:rPr>
        <w:t>/La</w:t>
      </w:r>
      <w:r w:rsidRPr="00545501">
        <w:rPr>
          <w:rFonts w:ascii="Book Antiqua" w:hAnsi="Book Antiqua"/>
        </w:rPr>
        <w:t xml:space="preserve"> antibodies were reported to have a prevalence of 6.5% in 31 patients with CD</w:t>
      </w:r>
      <w:r w:rsidRPr="00545501">
        <w:rPr>
          <w:rFonts w:ascii="Book Antiqua" w:hAnsi="Book Antiqua"/>
          <w:vertAlign w:val="superscript"/>
        </w:rPr>
        <w:t>[27]</w:t>
      </w:r>
      <w:r w:rsidRPr="00545501">
        <w:rPr>
          <w:rFonts w:ascii="Book Antiqua" w:hAnsi="Book Antiqua"/>
        </w:rPr>
        <w:t xml:space="preserve">. On the other hand, earlier studies using gliadin-based serology have shown significant positivity of CD-related antibodies in SS: Teppo </w:t>
      </w:r>
      <w:r w:rsidRPr="00545501">
        <w:rPr>
          <w:rFonts w:ascii="Book Antiqua" w:hAnsi="Book Antiqua"/>
          <w:i/>
        </w:rPr>
        <w:t>et al</w:t>
      </w:r>
      <w:r w:rsidRPr="00545501">
        <w:rPr>
          <w:rFonts w:ascii="Book Antiqua" w:hAnsi="Book Antiqua"/>
          <w:vertAlign w:val="superscript"/>
        </w:rPr>
        <w:t>[31]</w:t>
      </w:r>
      <w:r w:rsidRPr="00545501">
        <w:rPr>
          <w:rFonts w:ascii="Book Antiqua" w:hAnsi="Book Antiqua"/>
        </w:rPr>
        <w:t xml:space="preserve"> found higher values of gliadin, gluten and reticulin antibodies in SS patients compared to rheumatoid arthritis or SLE. Significant false positivity of native AGA has also been reported also in other autoimmune diseases, such as SLE</w:t>
      </w:r>
      <w:r w:rsidRPr="00545501">
        <w:rPr>
          <w:rFonts w:ascii="Book Antiqua" w:hAnsi="Book Antiqua"/>
          <w:vertAlign w:val="superscript"/>
        </w:rPr>
        <w:t>[32,33]</w:t>
      </w:r>
      <w:r w:rsidRPr="00545501">
        <w:rPr>
          <w:rFonts w:ascii="Book Antiqua" w:hAnsi="Book Antiqua"/>
        </w:rPr>
        <w:t>. A study searching for immune and autoimmune gluten-related phenomenon in SLE patients found higher prevalence for tTG IgA and DGP (3.4% and 4.7%, respectively), but similar to general population prevalence for EMA (0.8%). Moreover, the tTG-IgA were found to be correlated with leucocytes, lymphocytes as well as with the complement levels</w:t>
      </w:r>
      <w:r w:rsidRPr="00545501">
        <w:rPr>
          <w:rFonts w:ascii="Book Antiqua" w:hAnsi="Book Antiqua"/>
          <w:vertAlign w:val="superscript"/>
        </w:rPr>
        <w:t>[33]</w:t>
      </w:r>
      <w:r w:rsidRPr="00545501">
        <w:rPr>
          <w:rFonts w:ascii="Book Antiqua" w:hAnsi="Book Antiqua"/>
        </w:rPr>
        <w:t>.</w:t>
      </w:r>
    </w:p>
    <w:p w14:paraId="2C7D2C9E" w14:textId="77777777"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To overcome the limitation of gliadin-based serology, clinicians should remember that EMA has the highest specificity for diagnosing CD, and IgA-tTG remains the best test for initial screening with very high sensitivity and specificity</w:t>
      </w:r>
      <w:r w:rsidRPr="00545501">
        <w:rPr>
          <w:rFonts w:ascii="Book Antiqua" w:hAnsi="Book Antiqua"/>
          <w:vertAlign w:val="superscript"/>
        </w:rPr>
        <w:t>[34,35]</w:t>
      </w:r>
      <w:r w:rsidRPr="00545501">
        <w:rPr>
          <w:rFonts w:ascii="Book Antiqua" w:hAnsi="Book Antiqua"/>
        </w:rPr>
        <w:t>.</w:t>
      </w:r>
    </w:p>
    <w:p w14:paraId="59256FAE" w14:textId="37CBE4FE"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The association between CD and SS-related autoantibodies might be based on common genetic background of these two pathologies, related to DR3-DQ2 heterodimer coded by the DQA1*0501 and DQB1*0201 alleles</w:t>
      </w:r>
      <w:r w:rsidRPr="00545501">
        <w:rPr>
          <w:rFonts w:ascii="Book Antiqua" w:hAnsi="Book Antiqua"/>
          <w:vertAlign w:val="superscript"/>
        </w:rPr>
        <w:t>[36,37]</w:t>
      </w:r>
      <w:r w:rsidRPr="00545501">
        <w:rPr>
          <w:rFonts w:ascii="Book Antiqua" w:hAnsi="Book Antiqua"/>
        </w:rPr>
        <w:t>. Patients possessing these genetic markers had extractable nuclear antigen antibodies, and especially SS-B</w:t>
      </w:r>
      <w:r w:rsidR="0066678A" w:rsidRPr="00545501">
        <w:rPr>
          <w:rFonts w:ascii="Book Antiqua" w:hAnsi="Book Antiqua"/>
        </w:rPr>
        <w:t>/La</w:t>
      </w:r>
      <w:r w:rsidRPr="00545501">
        <w:rPr>
          <w:rFonts w:ascii="Book Antiqua" w:hAnsi="Book Antiqua"/>
        </w:rPr>
        <w:t xml:space="preserve"> antibodies more frequent than patients negative for these alleles</w:t>
      </w:r>
      <w:r w:rsidRPr="00545501">
        <w:rPr>
          <w:rFonts w:ascii="Book Antiqua" w:hAnsi="Book Antiqua"/>
          <w:vertAlign w:val="superscript"/>
        </w:rPr>
        <w:t>[38]</w:t>
      </w:r>
      <w:r w:rsidRPr="00545501">
        <w:rPr>
          <w:rFonts w:ascii="Book Antiqua" w:hAnsi="Book Antiqua"/>
        </w:rPr>
        <w:t>. Moreover, it is well recognized that CD is associated with specific HLA types in virtually all populations that have been tested, and this very high negative predictive value of HLA-DQ2/DQ8 genotyping can be used to effectively rule out the disease in selected clinical situations</w:t>
      </w:r>
      <w:r w:rsidRPr="00545501">
        <w:rPr>
          <w:rFonts w:ascii="Book Antiqua" w:hAnsi="Book Antiqua"/>
          <w:vertAlign w:val="superscript"/>
        </w:rPr>
        <w:t>[22,39]</w:t>
      </w:r>
      <w:r w:rsidRPr="00545501">
        <w:rPr>
          <w:rFonts w:ascii="Book Antiqua" w:hAnsi="Book Antiqua"/>
        </w:rPr>
        <w:t>. For SS, the most relevant HLA genes involved in susceptibility are DR3–DQ2, with alleles DRB1*03:01, DQA1*05:01, and DQB1*02:01 being risk factors while, DQA1*03:01, DQA1*05:01 and DQB1*05:01 alleles were found to be protective factors</w:t>
      </w:r>
      <w:r w:rsidRPr="00545501">
        <w:rPr>
          <w:rFonts w:ascii="Book Antiqua" w:hAnsi="Book Antiqua"/>
          <w:vertAlign w:val="superscript"/>
        </w:rPr>
        <w:t>[40]</w:t>
      </w:r>
      <w:r w:rsidRPr="00545501">
        <w:rPr>
          <w:rFonts w:ascii="Book Antiqua" w:hAnsi="Book Antiqua"/>
        </w:rPr>
        <w:t xml:space="preserve">. </w:t>
      </w:r>
    </w:p>
    <w:p w14:paraId="0C3A4E97" w14:textId="77777777" w:rsidR="00BF247F" w:rsidRPr="00545501" w:rsidRDefault="00BF247F" w:rsidP="003541E7">
      <w:pPr>
        <w:adjustRightInd w:val="0"/>
        <w:snapToGrid w:val="0"/>
        <w:spacing w:line="360" w:lineRule="auto"/>
        <w:ind w:firstLineChars="100" w:firstLine="240"/>
        <w:jc w:val="both"/>
        <w:rPr>
          <w:rFonts w:ascii="Book Antiqua" w:hAnsi="Book Antiqua"/>
        </w:rPr>
      </w:pPr>
      <w:r w:rsidRPr="00545501">
        <w:rPr>
          <w:rFonts w:ascii="Book Antiqua" w:hAnsi="Book Antiqua"/>
        </w:rPr>
        <w:t xml:space="preserve">Besides this common immunogenetic background, the link between SS and CD is also supported by studies researching gluten-challenge and gluten-free diet in SS patients. Therefore, the study by Patinen </w:t>
      </w:r>
      <w:r w:rsidRPr="00545501">
        <w:rPr>
          <w:rFonts w:ascii="Book Antiqua" w:hAnsi="Book Antiqua"/>
          <w:i/>
        </w:rPr>
        <w:t>at al</w:t>
      </w:r>
      <w:r w:rsidRPr="00545501">
        <w:rPr>
          <w:rFonts w:ascii="Book Antiqua" w:hAnsi="Book Antiqua"/>
          <w:vertAlign w:val="superscript"/>
        </w:rPr>
        <w:t>[41]</w:t>
      </w:r>
      <w:r w:rsidRPr="00545501">
        <w:rPr>
          <w:rFonts w:ascii="Book Antiqua" w:hAnsi="Book Antiqua"/>
        </w:rPr>
        <w:t xml:space="preserve"> showed improvement in terms of the autoimmune inflammatory process in the salivary glands of SS patients who were on a gluten-free diet because they had associated CD, while </w:t>
      </w:r>
      <w:r w:rsidR="001F1688" w:rsidRPr="00545501">
        <w:rPr>
          <w:rFonts w:ascii="Book Antiqua" w:hAnsi="Book Antiqua"/>
        </w:rPr>
        <w:t>Lidén</w:t>
      </w:r>
      <w:r w:rsidRPr="00545501">
        <w:rPr>
          <w:rFonts w:ascii="Book Antiqua" w:hAnsi="Book Antiqua"/>
          <w:i/>
        </w:rPr>
        <w:t xml:space="preserve"> et al</w:t>
      </w:r>
      <w:r w:rsidRPr="00545501">
        <w:rPr>
          <w:rFonts w:ascii="Book Antiqua" w:hAnsi="Book Antiqua"/>
          <w:vertAlign w:val="superscript"/>
        </w:rPr>
        <w:t>[42]</w:t>
      </w:r>
      <w:r w:rsidRPr="00545501">
        <w:rPr>
          <w:rFonts w:ascii="Book Antiqua" w:hAnsi="Book Antiqua"/>
        </w:rPr>
        <w:t xml:space="preserve"> revealed rectal mucosal inflammation in response to gluten challenge in SS patients, thus proving gluten-sensitivity of these patients. Not least, dermatitis herpetiformis, as a cutaneous equivalent of CD, has also been reported in SS</w:t>
      </w:r>
      <w:r w:rsidRPr="00545501">
        <w:rPr>
          <w:rFonts w:ascii="Book Antiqua" w:hAnsi="Book Antiqua"/>
          <w:vertAlign w:val="superscript"/>
        </w:rPr>
        <w:t>[43]</w:t>
      </w:r>
      <w:r w:rsidRPr="00545501">
        <w:rPr>
          <w:rFonts w:ascii="Book Antiqua" w:hAnsi="Book Antiqua"/>
        </w:rPr>
        <w:t>.</w:t>
      </w:r>
    </w:p>
    <w:p w14:paraId="33E5AB4E" w14:textId="51EBE0CC" w:rsidR="00C907A4" w:rsidRPr="00545501" w:rsidRDefault="00BF247F" w:rsidP="003541E7">
      <w:pPr>
        <w:adjustRightInd w:val="0"/>
        <w:snapToGrid w:val="0"/>
        <w:spacing w:line="360" w:lineRule="auto"/>
        <w:ind w:firstLineChars="100" w:firstLine="240"/>
        <w:jc w:val="both"/>
        <w:rPr>
          <w:rFonts w:ascii="Book Antiqua" w:hAnsi="Book Antiqua"/>
          <w:color w:val="000000" w:themeColor="text1"/>
        </w:rPr>
      </w:pPr>
      <w:r w:rsidRPr="00545501">
        <w:rPr>
          <w:rFonts w:ascii="Book Antiqua" w:hAnsi="Book Antiqua"/>
        </w:rPr>
        <w:t>Additionally, the histopathologic exam shows lymphocytes infiltrates in both SS and CD, namely a focal lymphocytic sialadenitis, with a focus score of ≥</w:t>
      </w:r>
      <w:r w:rsidR="00C907A4" w:rsidRPr="00545501">
        <w:rPr>
          <w:rFonts w:ascii="Book Antiqua" w:hAnsi="Book Antiqua"/>
        </w:rPr>
        <w:t xml:space="preserve"> </w:t>
      </w:r>
      <w:r w:rsidRPr="00545501">
        <w:rPr>
          <w:rFonts w:ascii="Book Antiqua" w:hAnsi="Book Antiqua"/>
        </w:rPr>
        <w:t>1 foci/</w:t>
      </w:r>
      <w:r w:rsidR="00C907A4" w:rsidRPr="00545501">
        <w:rPr>
          <w:rFonts w:ascii="Book Antiqua" w:hAnsi="Book Antiqua"/>
          <w:color w:val="000000" w:themeColor="text1"/>
        </w:rPr>
        <w:t>4 mm</w:t>
      </w:r>
      <w:r w:rsidR="00C907A4" w:rsidRPr="00545501">
        <w:rPr>
          <w:rFonts w:ascii="Book Antiqua" w:hAnsi="Book Antiqua"/>
          <w:color w:val="000000" w:themeColor="text1"/>
          <w:vertAlign w:val="superscript"/>
        </w:rPr>
        <w:t>2</w:t>
      </w:r>
      <w:r w:rsidR="00C907A4" w:rsidRPr="00545501">
        <w:rPr>
          <w:rFonts w:ascii="Book Antiqua" w:hAnsi="Book Antiqua"/>
          <w:color w:val="000000" w:themeColor="text1"/>
        </w:rPr>
        <w:t xml:space="preserve"> in SS accordingly to the 2016 ACR/ EULAR SS’s </w:t>
      </w:r>
      <w:r w:rsidR="008D616D" w:rsidRPr="00545501">
        <w:rPr>
          <w:rFonts w:ascii="Book Antiqua" w:hAnsi="Book Antiqua"/>
          <w:color w:val="000000" w:themeColor="text1"/>
        </w:rPr>
        <w:t xml:space="preserve">classification </w:t>
      </w:r>
      <w:r w:rsidR="00C907A4" w:rsidRPr="00545501">
        <w:rPr>
          <w:rFonts w:ascii="Book Antiqua" w:hAnsi="Book Antiqua"/>
          <w:color w:val="000000" w:themeColor="text1"/>
        </w:rPr>
        <w:t>criteria</w:t>
      </w:r>
      <w:r w:rsidR="00C907A4" w:rsidRPr="00545501">
        <w:rPr>
          <w:rFonts w:ascii="Book Antiqua" w:hAnsi="Book Antiqua"/>
          <w:color w:val="000000" w:themeColor="text1"/>
          <w:vertAlign w:val="superscript"/>
        </w:rPr>
        <w:t>[2]</w:t>
      </w:r>
      <w:r w:rsidR="00C907A4" w:rsidRPr="00545501">
        <w:rPr>
          <w:rFonts w:ascii="Book Antiqua" w:hAnsi="Book Antiqua"/>
          <w:color w:val="000000" w:themeColor="text1"/>
        </w:rPr>
        <w:t>, and intraepithelial lymphocytic infiltration, more than 25 lymphocytes/100 epithelial cell, with associated villous and crypt architectural changes, in CD</w:t>
      </w:r>
      <w:r w:rsidR="00C907A4" w:rsidRPr="00545501">
        <w:rPr>
          <w:rFonts w:ascii="Book Antiqua" w:hAnsi="Book Antiqua"/>
          <w:color w:val="000000" w:themeColor="text1"/>
          <w:vertAlign w:val="superscript"/>
        </w:rPr>
        <w:t>[12]</w:t>
      </w:r>
      <w:r w:rsidR="00C907A4" w:rsidRPr="00545501">
        <w:rPr>
          <w:rFonts w:ascii="Book Antiqua" w:hAnsi="Book Antiqua"/>
          <w:color w:val="000000" w:themeColor="text1"/>
        </w:rPr>
        <w:t xml:space="preserve">. </w:t>
      </w:r>
    </w:p>
    <w:p w14:paraId="0CE9AEDF" w14:textId="76677D1E" w:rsidR="00C907A4" w:rsidRPr="00545501" w:rsidRDefault="00C907A4" w:rsidP="003541E7">
      <w:pPr>
        <w:adjustRightInd w:val="0"/>
        <w:snapToGrid w:val="0"/>
        <w:spacing w:line="360" w:lineRule="auto"/>
        <w:ind w:firstLineChars="100" w:firstLine="240"/>
        <w:jc w:val="both"/>
        <w:rPr>
          <w:rFonts w:ascii="Book Antiqua" w:hAnsi="Book Antiqua"/>
          <w:color w:val="000000" w:themeColor="text1"/>
        </w:rPr>
      </w:pPr>
      <w:r w:rsidRPr="00545501">
        <w:rPr>
          <w:rFonts w:ascii="Book Antiqua" w:hAnsi="Book Antiqua"/>
          <w:color w:val="000000" w:themeColor="text1"/>
        </w:rPr>
        <w:t>Moreover, both SS and CD pathologies are associated with an increas</w:t>
      </w:r>
      <w:r w:rsidR="00C50DA1" w:rsidRPr="00545501">
        <w:rPr>
          <w:rFonts w:ascii="Book Antiqua" w:hAnsi="Book Antiqua"/>
          <w:color w:val="000000" w:themeColor="text1"/>
        </w:rPr>
        <w:t xml:space="preserve">ed risk of lymphoma occurrence. </w:t>
      </w:r>
      <w:r w:rsidRPr="00545501">
        <w:rPr>
          <w:rFonts w:ascii="Book Antiqua" w:hAnsi="Book Antiqua"/>
          <w:color w:val="000000" w:themeColor="text1"/>
        </w:rPr>
        <w:t>Initially considered a T cell dysregulation, we recognized that the major derangement and dysregulation of the B lymphocytes in both peripheral circulation and glandular tissues of the SS patients plays a central part in the pathogenic processes</w:t>
      </w:r>
      <w:r w:rsidRPr="00545501">
        <w:rPr>
          <w:rFonts w:ascii="Book Antiqua" w:hAnsi="Book Antiqua"/>
          <w:color w:val="000000" w:themeColor="text1"/>
          <w:vertAlign w:val="superscript"/>
        </w:rPr>
        <w:t>[44]</w:t>
      </w:r>
      <w:r w:rsidRPr="00545501">
        <w:rPr>
          <w:rFonts w:ascii="Book Antiqua" w:hAnsi="Book Antiqua"/>
          <w:color w:val="000000" w:themeColor="text1"/>
        </w:rPr>
        <w:t>. The lymphoma risk is increased in SS patients especially for the marginal zone lymphoma, namely the parotid gland mucosa associated lymphoid tissue lymphoma, and the diffuse large B-cell lymphoma</w:t>
      </w:r>
      <w:r w:rsidRPr="00545501">
        <w:rPr>
          <w:rFonts w:ascii="Book Antiqua" w:hAnsi="Book Antiqua"/>
          <w:color w:val="000000" w:themeColor="text1"/>
          <w:vertAlign w:val="superscript"/>
        </w:rPr>
        <w:t>[45]</w:t>
      </w:r>
      <w:r w:rsidRPr="00545501">
        <w:rPr>
          <w:rFonts w:ascii="Book Antiqua" w:hAnsi="Book Antiqua"/>
          <w:color w:val="000000" w:themeColor="text1"/>
        </w:rPr>
        <w:t xml:space="preserve">. In CD, particularly patients with refractory CD, defined as persistent clinical and histological changes after at least 12 months of sustained </w:t>
      </w:r>
      <w:r w:rsidR="006764EF" w:rsidRPr="00545501">
        <w:rPr>
          <w:rFonts w:ascii="Book Antiqua" w:hAnsi="Book Antiqua"/>
          <w:color w:val="000000" w:themeColor="text1"/>
        </w:rPr>
        <w:t>gluten-</w:t>
      </w:r>
      <w:r w:rsidRPr="00545501">
        <w:rPr>
          <w:rFonts w:ascii="Book Antiqua" w:hAnsi="Book Antiqua"/>
          <w:color w:val="000000" w:themeColor="text1"/>
        </w:rPr>
        <w:t>free diet, especially in cases with monoclonal rearrangement of T cell receptor (type 2), occurrence of intestinal lymphoma might complicate the clinical course. The risk of both B and T cell lymphoma is increased in CD, and is the highest for the non-Hodgkin T cell intestinal lymphoma (six to nine times higher than in general population)</w:t>
      </w:r>
      <w:r w:rsidRPr="00545501">
        <w:rPr>
          <w:rFonts w:ascii="Book Antiqua" w:hAnsi="Book Antiqua"/>
          <w:color w:val="000000" w:themeColor="text1"/>
          <w:vertAlign w:val="superscript"/>
        </w:rPr>
        <w:t>[46]</w:t>
      </w:r>
      <w:r w:rsidRPr="00545501">
        <w:rPr>
          <w:rFonts w:ascii="Book Antiqua" w:hAnsi="Book Antiqua"/>
          <w:color w:val="000000" w:themeColor="text1"/>
        </w:rPr>
        <w:t xml:space="preserve">. </w:t>
      </w:r>
    </w:p>
    <w:p w14:paraId="7BE66B30" w14:textId="77777777" w:rsidR="00BF247F" w:rsidRPr="00545501" w:rsidRDefault="00BF247F" w:rsidP="003541E7">
      <w:pPr>
        <w:adjustRightInd w:val="0"/>
        <w:snapToGrid w:val="0"/>
        <w:spacing w:line="360" w:lineRule="auto"/>
        <w:ind w:firstLineChars="100" w:firstLine="240"/>
        <w:jc w:val="both"/>
        <w:rPr>
          <w:rFonts w:ascii="Book Antiqua" w:hAnsi="Book Antiqua"/>
        </w:rPr>
      </w:pPr>
    </w:p>
    <w:p w14:paraId="51AB09E5" w14:textId="77777777" w:rsidR="00BF247F" w:rsidRPr="00545501" w:rsidRDefault="00BF247F" w:rsidP="003541E7">
      <w:pPr>
        <w:adjustRightInd w:val="0"/>
        <w:snapToGrid w:val="0"/>
        <w:spacing w:line="360" w:lineRule="auto"/>
        <w:jc w:val="both"/>
        <w:rPr>
          <w:rFonts w:ascii="Book Antiqua" w:hAnsi="Book Antiqua"/>
          <w:b/>
          <w:i/>
        </w:rPr>
      </w:pPr>
      <w:r w:rsidRPr="00545501">
        <w:rPr>
          <w:rFonts w:ascii="Book Antiqua" w:hAnsi="Book Antiqua"/>
          <w:b/>
          <w:i/>
        </w:rPr>
        <w:t>Screening recommendations</w:t>
      </w:r>
      <w:r w:rsidR="00C907A4" w:rsidRPr="00545501">
        <w:rPr>
          <w:rFonts w:ascii="Book Antiqua" w:hAnsi="Book Antiqua"/>
          <w:b/>
          <w:i/>
        </w:rPr>
        <w:t xml:space="preserve"> and</w:t>
      </w:r>
      <w:r w:rsidRPr="00545501">
        <w:rPr>
          <w:rFonts w:ascii="Book Antiqua" w:hAnsi="Book Antiqua"/>
          <w:b/>
          <w:i/>
        </w:rPr>
        <w:t xml:space="preserve"> </w:t>
      </w:r>
      <w:r w:rsidR="001F1688" w:rsidRPr="00545501">
        <w:rPr>
          <w:rFonts w:ascii="Book Antiqua" w:hAnsi="Book Antiqua"/>
          <w:b/>
          <w:i/>
        </w:rPr>
        <w:t xml:space="preserve">future </w:t>
      </w:r>
      <w:r w:rsidRPr="00545501">
        <w:rPr>
          <w:rFonts w:ascii="Book Antiqua" w:hAnsi="Book Antiqua"/>
          <w:b/>
          <w:i/>
        </w:rPr>
        <w:t>direction</w:t>
      </w:r>
    </w:p>
    <w:p w14:paraId="29A780F7" w14:textId="77777777" w:rsidR="00C907A4" w:rsidRPr="00545501" w:rsidRDefault="00C907A4"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Despite the strong association between the two conditions, currently available guidelines fail to recommend screening for SS in CD patients and vice versa</w:t>
      </w:r>
      <w:r w:rsidRPr="00545501">
        <w:rPr>
          <w:rFonts w:ascii="Book Antiqua" w:hAnsi="Book Antiqua"/>
          <w:color w:val="000000" w:themeColor="text1"/>
          <w:vertAlign w:val="superscript"/>
        </w:rPr>
        <w:t>[2,12]</w:t>
      </w:r>
      <w:r w:rsidRPr="00545501">
        <w:rPr>
          <w:rFonts w:ascii="Book Antiqua" w:hAnsi="Book Antiqua"/>
          <w:color w:val="000000" w:themeColor="text1"/>
        </w:rPr>
        <w:t xml:space="preserve">, except the 2009 </w:t>
      </w:r>
      <w:r w:rsidR="00543261" w:rsidRPr="00545501">
        <w:rPr>
          <w:rFonts w:ascii="Book Antiqua" w:hAnsi="Book Antiqua"/>
          <w:color w:val="000000" w:themeColor="text1"/>
        </w:rPr>
        <w:t>National Institute for Health and Clinical Excellence</w:t>
      </w:r>
      <w:r w:rsidRPr="00545501">
        <w:rPr>
          <w:rFonts w:ascii="Book Antiqua" w:hAnsi="Book Antiqua"/>
          <w:color w:val="000000" w:themeColor="text1"/>
        </w:rPr>
        <w:t xml:space="preserve"> guideline that recommended that patients with SS may be considered for CD testing</w:t>
      </w:r>
      <w:r w:rsidRPr="00545501">
        <w:rPr>
          <w:rFonts w:ascii="Book Antiqua" w:hAnsi="Book Antiqua"/>
          <w:color w:val="000000" w:themeColor="text1"/>
          <w:vertAlign w:val="superscript"/>
        </w:rPr>
        <w:t>[</w:t>
      </w:r>
      <w:r w:rsidRPr="00545501">
        <w:rPr>
          <w:rStyle w:val="EndnoteAnchor"/>
          <w:rFonts w:ascii="Book Antiqua" w:hAnsi="Book Antiqua"/>
          <w:color w:val="000000" w:themeColor="text1"/>
        </w:rPr>
        <w:t>47</w:t>
      </w:r>
      <w:r w:rsidRPr="00545501">
        <w:rPr>
          <w:rFonts w:ascii="Book Antiqua" w:hAnsi="Book Antiqua"/>
          <w:color w:val="000000" w:themeColor="text1"/>
          <w:vertAlign w:val="superscript"/>
        </w:rPr>
        <w:t>]</w:t>
      </w:r>
      <w:r w:rsidRPr="00545501">
        <w:rPr>
          <w:rFonts w:ascii="Book Antiqua" w:hAnsi="Book Antiqua"/>
          <w:color w:val="000000" w:themeColor="text1"/>
        </w:rPr>
        <w:t>. However, the updated and most recent NICE guideline on CD does not recommend screening for CD in patients with SS</w:t>
      </w:r>
      <w:r w:rsidRPr="00545501">
        <w:rPr>
          <w:rFonts w:ascii="Book Antiqua" w:hAnsi="Book Antiqua"/>
          <w:color w:val="000000" w:themeColor="text1"/>
          <w:vertAlign w:val="superscript"/>
        </w:rPr>
        <w:t>[</w:t>
      </w:r>
      <w:r w:rsidRPr="00545501">
        <w:rPr>
          <w:rStyle w:val="EndnoteAnchor"/>
          <w:rFonts w:ascii="Book Antiqua" w:hAnsi="Book Antiqua"/>
        </w:rPr>
        <w:t>48</w:t>
      </w:r>
      <w:r w:rsidRPr="00545501">
        <w:rPr>
          <w:rFonts w:ascii="Book Antiqua" w:hAnsi="Book Antiqua"/>
          <w:color w:val="000000" w:themeColor="text1"/>
          <w:vertAlign w:val="superscript"/>
        </w:rPr>
        <w:t>]</w:t>
      </w:r>
      <w:r w:rsidRPr="00545501">
        <w:rPr>
          <w:rFonts w:ascii="Book Antiqua" w:hAnsi="Book Antiqua"/>
          <w:color w:val="000000" w:themeColor="text1"/>
        </w:rPr>
        <w:t xml:space="preserve">. Similarly, the 2017 </w:t>
      </w:r>
      <w:r w:rsidRPr="00545501">
        <w:rPr>
          <w:rFonts w:ascii="Book Antiqua" w:hAnsi="Book Antiqua" w:cstheme="minorHAnsi"/>
          <w:color w:val="000000" w:themeColor="text1"/>
        </w:rPr>
        <w:t>United States Preventive Services Task Force does not include the SS in the target group for the CD screening</w:t>
      </w:r>
      <w:r w:rsidRPr="00545501">
        <w:rPr>
          <w:rFonts w:ascii="Book Antiqua" w:hAnsi="Book Antiqua" w:cstheme="minorHAnsi"/>
          <w:color w:val="000000" w:themeColor="text1"/>
          <w:vertAlign w:val="superscript"/>
        </w:rPr>
        <w:t>[</w:t>
      </w:r>
      <w:r w:rsidRPr="00545501">
        <w:rPr>
          <w:rStyle w:val="EndnoteAnchor"/>
          <w:rFonts w:ascii="Book Antiqua" w:hAnsi="Book Antiqua" w:cstheme="minorHAnsi"/>
          <w:color w:val="000000" w:themeColor="text1"/>
        </w:rPr>
        <w:t>49</w:t>
      </w:r>
      <w:r w:rsidRPr="00545501">
        <w:rPr>
          <w:rFonts w:ascii="Book Antiqua" w:hAnsi="Book Antiqua" w:cstheme="minorHAnsi"/>
          <w:color w:val="000000" w:themeColor="text1"/>
          <w:vertAlign w:val="superscript"/>
        </w:rPr>
        <w:t>]</w:t>
      </w:r>
      <w:r w:rsidRPr="00545501">
        <w:rPr>
          <w:rFonts w:ascii="Book Antiqua" w:hAnsi="Book Antiqua" w:cstheme="minorHAnsi"/>
          <w:color w:val="000000" w:themeColor="text1"/>
        </w:rPr>
        <w:t xml:space="preserve">. </w:t>
      </w:r>
    </w:p>
    <w:p w14:paraId="1A0B575A" w14:textId="1AD10608" w:rsidR="00C907A4" w:rsidRPr="00545501" w:rsidRDefault="00C907A4" w:rsidP="003541E7">
      <w:pPr>
        <w:adjustRightInd w:val="0"/>
        <w:snapToGrid w:val="0"/>
        <w:spacing w:line="360" w:lineRule="auto"/>
        <w:ind w:firstLineChars="100" w:firstLine="240"/>
        <w:jc w:val="both"/>
        <w:rPr>
          <w:rFonts w:ascii="Book Antiqua" w:hAnsi="Book Antiqua"/>
          <w:color w:val="000000" w:themeColor="text1"/>
        </w:rPr>
      </w:pPr>
      <w:r w:rsidRPr="00545501">
        <w:rPr>
          <w:rFonts w:ascii="Book Antiqua" w:hAnsi="Book Antiqua"/>
          <w:color w:val="000000" w:themeColor="text1"/>
        </w:rPr>
        <w:t>Although data in the literature is not as large as for other associated autoimmune diseases such as type 1 DM or ATD disease</w:t>
      </w:r>
      <w:r w:rsidRPr="00545501">
        <w:rPr>
          <w:rFonts w:ascii="Book Antiqua" w:hAnsi="Book Antiqua"/>
          <w:color w:val="000000" w:themeColor="text1"/>
          <w:vertAlign w:val="superscript"/>
        </w:rPr>
        <w:t>[</w:t>
      </w:r>
      <w:r w:rsidR="00597797" w:rsidRPr="00545501">
        <w:rPr>
          <w:rFonts w:ascii="Book Antiqua" w:hAnsi="Book Antiqua"/>
          <w:color w:val="000000" w:themeColor="text1"/>
          <w:vertAlign w:val="superscript"/>
        </w:rPr>
        <w:t>6</w:t>
      </w:r>
      <w:r w:rsidRPr="00545501">
        <w:rPr>
          <w:rFonts w:ascii="Book Antiqua" w:hAnsi="Book Antiqua"/>
          <w:color w:val="000000" w:themeColor="text1"/>
          <w:vertAlign w:val="superscript"/>
        </w:rPr>
        <w:t>,</w:t>
      </w:r>
      <w:r w:rsidR="00597797" w:rsidRPr="00545501">
        <w:rPr>
          <w:rFonts w:ascii="Book Antiqua" w:hAnsi="Book Antiqua"/>
          <w:color w:val="000000" w:themeColor="text1"/>
          <w:vertAlign w:val="superscript"/>
        </w:rPr>
        <w:t>50</w:t>
      </w:r>
      <w:r w:rsidRPr="00545501">
        <w:rPr>
          <w:rFonts w:ascii="Book Antiqua" w:hAnsi="Book Antiqua"/>
          <w:color w:val="000000" w:themeColor="text1"/>
          <w:vertAlign w:val="superscript"/>
        </w:rPr>
        <w:t>]</w:t>
      </w:r>
      <w:r w:rsidRPr="00545501">
        <w:rPr>
          <w:rFonts w:ascii="Book Antiqua" w:hAnsi="Book Antiqua"/>
          <w:color w:val="000000" w:themeColor="text1"/>
        </w:rPr>
        <w:t xml:space="preserve">, testing for </w:t>
      </w:r>
      <w:r w:rsidR="00287662" w:rsidRPr="00545501">
        <w:rPr>
          <w:rFonts w:ascii="Book Antiqua" w:hAnsi="Book Antiqua"/>
          <w:color w:val="000000" w:themeColor="text1"/>
        </w:rPr>
        <w:t xml:space="preserve">CD </w:t>
      </w:r>
      <w:r w:rsidRPr="00545501">
        <w:rPr>
          <w:rFonts w:ascii="Book Antiqua" w:hAnsi="Book Antiqua"/>
          <w:color w:val="000000" w:themeColor="text1"/>
        </w:rPr>
        <w:t xml:space="preserve">should be thought of in a symptomatic </w:t>
      </w:r>
      <w:r w:rsidR="00287662" w:rsidRPr="00545501">
        <w:rPr>
          <w:rFonts w:ascii="Book Antiqua" w:hAnsi="Book Antiqua"/>
          <w:color w:val="000000" w:themeColor="text1"/>
        </w:rPr>
        <w:t xml:space="preserve">SS </w:t>
      </w:r>
      <w:r w:rsidRPr="00545501">
        <w:rPr>
          <w:rFonts w:ascii="Book Antiqua" w:hAnsi="Book Antiqua"/>
          <w:color w:val="000000" w:themeColor="text1"/>
        </w:rPr>
        <w:t xml:space="preserve">patient or upon detection of isolated iron deficiency, alterations of liver functions tests or pancreatic enzymes. However, there are some authors who recommend </w:t>
      </w:r>
      <w:r w:rsidR="008D616D" w:rsidRPr="00545501">
        <w:rPr>
          <w:rFonts w:ascii="Book Antiqua" w:hAnsi="Book Antiqua"/>
          <w:color w:val="000000" w:themeColor="text1"/>
        </w:rPr>
        <w:t xml:space="preserve">routine </w:t>
      </w:r>
      <w:r w:rsidRPr="00545501">
        <w:rPr>
          <w:rFonts w:ascii="Book Antiqua" w:hAnsi="Book Antiqua"/>
          <w:color w:val="000000" w:themeColor="text1"/>
        </w:rPr>
        <w:t>CD screening in patients with SS</w:t>
      </w:r>
      <w:r w:rsidRPr="00545501">
        <w:rPr>
          <w:rFonts w:ascii="Book Antiqua" w:hAnsi="Book Antiqua"/>
          <w:color w:val="000000" w:themeColor="text1"/>
          <w:vertAlign w:val="superscript"/>
        </w:rPr>
        <w:t>[</w:t>
      </w:r>
      <w:r w:rsidRPr="00545501">
        <w:rPr>
          <w:rStyle w:val="EndnoteAnchor"/>
          <w:rFonts w:ascii="Book Antiqua" w:hAnsi="Book Antiqua"/>
          <w:color w:val="000000" w:themeColor="text1"/>
        </w:rPr>
        <w:t>5</w:t>
      </w:r>
      <w:r w:rsidR="00597797" w:rsidRPr="00545501">
        <w:rPr>
          <w:rStyle w:val="EndnoteAnchor"/>
          <w:rFonts w:ascii="Book Antiqua" w:hAnsi="Book Antiqua"/>
          <w:color w:val="000000" w:themeColor="text1"/>
        </w:rPr>
        <w:t>1</w:t>
      </w:r>
      <w:r w:rsidRPr="00545501">
        <w:rPr>
          <w:rFonts w:ascii="Book Antiqua" w:hAnsi="Book Antiqua"/>
          <w:color w:val="000000" w:themeColor="text1"/>
          <w:vertAlign w:val="superscript"/>
        </w:rPr>
        <w:t>]</w:t>
      </w:r>
      <w:r w:rsidRPr="00545501">
        <w:rPr>
          <w:rFonts w:ascii="Book Antiqua" w:hAnsi="Book Antiqua"/>
          <w:color w:val="000000" w:themeColor="text1"/>
        </w:rPr>
        <w:t>; this would be readily available by IgA tTG testing, which has become increasingly accessible and improved significantly over the last years in terms of standardization of the kits used</w:t>
      </w:r>
      <w:r w:rsidRPr="00545501">
        <w:rPr>
          <w:rFonts w:ascii="Book Antiqua" w:hAnsi="Book Antiqua"/>
          <w:color w:val="000000" w:themeColor="text1"/>
          <w:vertAlign w:val="superscript"/>
        </w:rPr>
        <w:t>[</w:t>
      </w:r>
      <w:r w:rsidRPr="00545501">
        <w:rPr>
          <w:rStyle w:val="EndnoteAnchor"/>
          <w:rFonts w:ascii="Book Antiqua" w:hAnsi="Book Antiqua"/>
          <w:color w:val="000000" w:themeColor="text1"/>
        </w:rPr>
        <w:t>5</w:t>
      </w:r>
      <w:r w:rsidR="00597797" w:rsidRPr="00545501">
        <w:rPr>
          <w:rStyle w:val="EndnoteAnchor"/>
          <w:rFonts w:ascii="Book Antiqua" w:hAnsi="Book Antiqua"/>
          <w:color w:val="000000" w:themeColor="text1"/>
        </w:rPr>
        <w:t>2</w:t>
      </w:r>
      <w:r w:rsidRPr="00545501">
        <w:rPr>
          <w:rFonts w:ascii="Book Antiqua" w:hAnsi="Book Antiqua"/>
          <w:color w:val="000000" w:themeColor="text1"/>
          <w:vertAlign w:val="superscript"/>
        </w:rPr>
        <w:t>]</w:t>
      </w:r>
      <w:r w:rsidRPr="00545501">
        <w:rPr>
          <w:rFonts w:ascii="Book Antiqua" w:hAnsi="Book Antiqua"/>
          <w:color w:val="000000" w:themeColor="text1"/>
        </w:rPr>
        <w:t>. It is important to remember that IgA deficiency is more frequently found in CD patients, therefore the serum IgA level should also be tested, and IgG-based serology should be done in cases with IgA deficiency</w:t>
      </w:r>
      <w:r w:rsidRPr="00545501">
        <w:rPr>
          <w:rFonts w:ascii="Book Antiqua" w:hAnsi="Book Antiqua"/>
          <w:color w:val="000000" w:themeColor="text1"/>
          <w:vertAlign w:val="superscript"/>
        </w:rPr>
        <w:t>[</w:t>
      </w:r>
      <w:r w:rsidRPr="00545501">
        <w:rPr>
          <w:rStyle w:val="EndnoteAnchor"/>
          <w:rFonts w:ascii="Book Antiqua" w:hAnsi="Book Antiqua"/>
          <w:color w:val="000000" w:themeColor="text1"/>
        </w:rPr>
        <w:t>5</w:t>
      </w:r>
      <w:r w:rsidR="00597797" w:rsidRPr="00545501">
        <w:rPr>
          <w:rStyle w:val="EndnoteAnchor"/>
          <w:rFonts w:ascii="Book Antiqua" w:hAnsi="Book Antiqua"/>
          <w:color w:val="000000" w:themeColor="text1"/>
        </w:rPr>
        <w:t>3</w:t>
      </w:r>
      <w:r w:rsidRPr="00545501">
        <w:rPr>
          <w:rFonts w:ascii="Book Antiqua" w:hAnsi="Book Antiqua"/>
          <w:color w:val="000000" w:themeColor="text1"/>
          <w:vertAlign w:val="superscript"/>
        </w:rPr>
        <w:t>]</w:t>
      </w:r>
      <w:r w:rsidRPr="00545501">
        <w:rPr>
          <w:rFonts w:ascii="Book Antiqua" w:hAnsi="Book Antiqua"/>
          <w:color w:val="000000" w:themeColor="text1"/>
        </w:rPr>
        <w:t>. In this population of IgA-deficient individuals, DGP testing has been proven to be an accurate tool to identify CD</w:t>
      </w:r>
      <w:r w:rsidRPr="00545501">
        <w:rPr>
          <w:rFonts w:ascii="Book Antiqua" w:hAnsi="Book Antiqua"/>
          <w:color w:val="000000" w:themeColor="text1"/>
          <w:vertAlign w:val="superscript"/>
        </w:rPr>
        <w:t>[5</w:t>
      </w:r>
      <w:r w:rsidR="00597797" w:rsidRPr="00545501">
        <w:rPr>
          <w:rFonts w:ascii="Book Antiqua" w:hAnsi="Book Antiqua"/>
          <w:color w:val="000000" w:themeColor="text1"/>
          <w:vertAlign w:val="superscript"/>
        </w:rPr>
        <w:t>4</w:t>
      </w:r>
      <w:r w:rsidRPr="00545501">
        <w:rPr>
          <w:rFonts w:ascii="Book Antiqua" w:hAnsi="Book Antiqua"/>
          <w:color w:val="000000" w:themeColor="text1"/>
          <w:vertAlign w:val="superscript"/>
        </w:rPr>
        <w:t>]</w:t>
      </w:r>
      <w:r w:rsidRPr="00545501">
        <w:rPr>
          <w:rFonts w:ascii="Book Antiqua" w:hAnsi="Book Antiqua"/>
          <w:color w:val="000000" w:themeColor="text1"/>
        </w:rPr>
        <w:t xml:space="preserve">. Nevertheless, one should keep in mind the possibility of seronegative CD, meaning </w:t>
      </w:r>
      <w:r w:rsidR="006C2B68" w:rsidRPr="00545501">
        <w:rPr>
          <w:rFonts w:ascii="Book Antiqua" w:hAnsi="Book Antiqua"/>
          <w:color w:val="000000" w:themeColor="text1"/>
        </w:rPr>
        <w:t>villous atrophy (</w:t>
      </w:r>
      <w:r w:rsidRPr="00545501">
        <w:rPr>
          <w:rFonts w:ascii="Book Antiqua" w:hAnsi="Book Antiqua"/>
          <w:color w:val="000000" w:themeColor="text1"/>
        </w:rPr>
        <w:t>VA</w:t>
      </w:r>
      <w:r w:rsidR="006C2B68" w:rsidRPr="00545501">
        <w:rPr>
          <w:rFonts w:ascii="Book Antiqua" w:hAnsi="Book Antiqua"/>
          <w:color w:val="000000" w:themeColor="text1"/>
        </w:rPr>
        <w:t>)</w:t>
      </w:r>
      <w:r w:rsidRPr="00545501">
        <w:rPr>
          <w:rFonts w:ascii="Book Antiqua" w:hAnsi="Book Antiqua"/>
          <w:color w:val="000000" w:themeColor="text1"/>
        </w:rPr>
        <w:t xml:space="preserve"> with negative CD-serology, when diagnosis can be supported by celiac-type mucosal injury on histopathology, exclusion of other causes of VA, along with HLA typing and response to </w:t>
      </w:r>
      <w:r w:rsidR="00617F9E" w:rsidRPr="00545501">
        <w:rPr>
          <w:rFonts w:ascii="Book Antiqua" w:hAnsi="Book Antiqua"/>
          <w:color w:val="000000" w:themeColor="text1"/>
        </w:rPr>
        <w:t>gluten-free diet</w:t>
      </w:r>
      <w:r w:rsidRPr="00545501">
        <w:rPr>
          <w:rFonts w:ascii="Book Antiqua" w:hAnsi="Book Antiqua"/>
          <w:color w:val="000000" w:themeColor="text1"/>
          <w:vertAlign w:val="superscript"/>
        </w:rPr>
        <w:t>[5</w:t>
      </w:r>
      <w:r w:rsidR="00597797" w:rsidRPr="00545501">
        <w:rPr>
          <w:rFonts w:ascii="Book Antiqua" w:hAnsi="Book Antiqua"/>
          <w:color w:val="000000" w:themeColor="text1"/>
          <w:vertAlign w:val="superscript"/>
        </w:rPr>
        <w:t>5</w:t>
      </w:r>
      <w:r w:rsidRPr="00545501">
        <w:rPr>
          <w:rFonts w:ascii="Book Antiqua" w:hAnsi="Book Antiqua"/>
          <w:color w:val="000000" w:themeColor="text1"/>
          <w:vertAlign w:val="superscript"/>
        </w:rPr>
        <w:t>-5</w:t>
      </w:r>
      <w:r w:rsidR="00597797" w:rsidRPr="00545501">
        <w:rPr>
          <w:rFonts w:ascii="Book Antiqua" w:hAnsi="Book Antiqua"/>
          <w:color w:val="000000" w:themeColor="text1"/>
          <w:vertAlign w:val="superscript"/>
        </w:rPr>
        <w:t>7</w:t>
      </w:r>
      <w:r w:rsidRPr="00545501">
        <w:rPr>
          <w:rFonts w:ascii="Book Antiqua" w:hAnsi="Book Antiqua"/>
          <w:color w:val="000000" w:themeColor="text1"/>
          <w:vertAlign w:val="superscript"/>
        </w:rPr>
        <w:t>]</w:t>
      </w:r>
      <w:r w:rsidRPr="00545501">
        <w:rPr>
          <w:rFonts w:ascii="Book Antiqua" w:hAnsi="Book Antiqua"/>
          <w:color w:val="000000" w:themeColor="text1"/>
        </w:rPr>
        <w:t>.</w:t>
      </w:r>
    </w:p>
    <w:p w14:paraId="4022E672" w14:textId="77777777" w:rsidR="00C907A4" w:rsidRPr="00545501" w:rsidRDefault="00C907A4" w:rsidP="003541E7">
      <w:pPr>
        <w:adjustRightInd w:val="0"/>
        <w:snapToGrid w:val="0"/>
        <w:spacing w:line="360" w:lineRule="auto"/>
        <w:ind w:firstLineChars="100" w:firstLine="240"/>
        <w:jc w:val="both"/>
        <w:rPr>
          <w:rFonts w:ascii="Book Antiqua" w:hAnsi="Book Antiqua"/>
          <w:color w:val="000000" w:themeColor="text1"/>
        </w:rPr>
      </w:pPr>
      <w:r w:rsidRPr="00545501">
        <w:rPr>
          <w:rFonts w:ascii="Book Antiqua" w:hAnsi="Book Antiqua"/>
          <w:color w:val="000000" w:themeColor="text1"/>
        </w:rPr>
        <w:t>Thus, there are some clinical scenarios needing the search of CD in S</w:t>
      </w:r>
      <w:r w:rsidR="00343CD2" w:rsidRPr="00545501">
        <w:rPr>
          <w:rFonts w:ascii="Book Antiqua" w:hAnsi="Book Antiqua"/>
          <w:color w:val="000000" w:themeColor="text1"/>
        </w:rPr>
        <w:t xml:space="preserve">S patients or SS in CD patients </w:t>
      </w:r>
      <w:r w:rsidR="00343CD2" w:rsidRPr="00545501">
        <w:rPr>
          <w:rFonts w:ascii="Book Antiqua" w:hAnsi="Book Antiqua"/>
          <w:iCs/>
          <w:color w:val="000000" w:themeColor="text1"/>
        </w:rPr>
        <w:t>in</w:t>
      </w:r>
      <w:r w:rsidR="00343CD2" w:rsidRPr="00545501">
        <w:rPr>
          <w:rFonts w:ascii="Book Antiqua" w:hAnsi="Book Antiqua"/>
          <w:i/>
          <w:iCs/>
          <w:color w:val="000000" w:themeColor="text1"/>
        </w:rPr>
        <w:t xml:space="preserve"> </w:t>
      </w:r>
      <w:r w:rsidRPr="00545501">
        <w:rPr>
          <w:rFonts w:ascii="Book Antiqua" w:hAnsi="Book Antiqua"/>
          <w:color w:val="000000" w:themeColor="text1"/>
        </w:rPr>
        <w:t>Table 3</w:t>
      </w:r>
      <w:r w:rsidRPr="00545501">
        <w:rPr>
          <w:rFonts w:ascii="Book Antiqua" w:hAnsi="Book Antiqua"/>
          <w:iCs/>
          <w:color w:val="000000" w:themeColor="text1"/>
          <w:vertAlign w:val="superscript"/>
        </w:rPr>
        <w:t>[</w:t>
      </w:r>
      <w:r w:rsidRPr="00545501">
        <w:rPr>
          <w:rStyle w:val="EndnoteAnchor"/>
          <w:rFonts w:ascii="Book Antiqua" w:hAnsi="Book Antiqua"/>
          <w:color w:val="000000" w:themeColor="text1"/>
        </w:rPr>
        <w:t>23</w:t>
      </w:r>
      <w:r w:rsidRPr="00545501">
        <w:rPr>
          <w:rFonts w:ascii="Book Antiqua" w:hAnsi="Book Antiqua"/>
          <w:iCs/>
          <w:color w:val="000000" w:themeColor="text1"/>
          <w:vertAlign w:val="superscript"/>
        </w:rPr>
        <w:t>]</w:t>
      </w:r>
      <w:r w:rsidRPr="00545501">
        <w:rPr>
          <w:rFonts w:ascii="Book Antiqua" w:hAnsi="Book Antiqua"/>
          <w:color w:val="000000" w:themeColor="text1"/>
        </w:rPr>
        <w:t>. Further studies should focus on indications, screening methods, timing of screening and frequency of testing for SS in CD patients and vice versa</w:t>
      </w:r>
      <w:r w:rsidR="00343CD2" w:rsidRPr="00545501">
        <w:rPr>
          <w:rFonts w:ascii="Book Antiqua" w:hAnsi="Book Antiqua"/>
          <w:color w:val="000000" w:themeColor="text1"/>
        </w:rPr>
        <w:t xml:space="preserve"> in </w:t>
      </w:r>
      <w:r w:rsidRPr="00545501">
        <w:rPr>
          <w:rFonts w:ascii="Book Antiqua" w:hAnsi="Book Antiqua"/>
          <w:color w:val="000000" w:themeColor="text1"/>
        </w:rPr>
        <w:t>Table 4.</w:t>
      </w:r>
    </w:p>
    <w:p w14:paraId="15EF7996" w14:textId="5C97DA14" w:rsidR="00C907A4" w:rsidRPr="00545501" w:rsidRDefault="00C907A4" w:rsidP="003541E7">
      <w:pPr>
        <w:adjustRightInd w:val="0"/>
        <w:snapToGrid w:val="0"/>
        <w:spacing w:line="360" w:lineRule="auto"/>
        <w:ind w:firstLineChars="100" w:firstLine="240"/>
        <w:jc w:val="both"/>
        <w:rPr>
          <w:rFonts w:ascii="Book Antiqua" w:hAnsi="Book Antiqua"/>
          <w:color w:val="000000" w:themeColor="text1"/>
        </w:rPr>
      </w:pPr>
      <w:bookmarkStart w:id="6" w:name="__DdeLink__8566_2252020675"/>
      <w:r w:rsidRPr="00545501">
        <w:rPr>
          <w:rFonts w:ascii="Book Antiqua" w:hAnsi="Book Antiqua"/>
          <w:color w:val="000000" w:themeColor="text1"/>
        </w:rPr>
        <w:t>Moreover, another</w:t>
      </w:r>
      <w:bookmarkEnd w:id="6"/>
      <w:r w:rsidRPr="00545501">
        <w:rPr>
          <w:rFonts w:ascii="Book Antiqua" w:hAnsi="Book Antiqua"/>
          <w:color w:val="000000" w:themeColor="text1"/>
        </w:rPr>
        <w:t xml:space="preserve"> important question that is yet to be answered is about the role of gluten-free diet in non-CD, SS patients. Several papers have reported benefits of the gluten free diet in various non-celiac autoimmune diseases, but results remain controversial</w:t>
      </w:r>
      <w:r w:rsidRPr="00545501">
        <w:rPr>
          <w:rFonts w:ascii="Book Antiqua" w:hAnsi="Book Antiqua"/>
          <w:color w:val="000000" w:themeColor="text1"/>
          <w:vertAlign w:val="superscript"/>
        </w:rPr>
        <w:t>[</w:t>
      </w:r>
      <w:r w:rsidRPr="00545501">
        <w:rPr>
          <w:rStyle w:val="EndnoteAnchor"/>
          <w:rFonts w:ascii="Book Antiqua" w:hAnsi="Book Antiqua"/>
          <w:color w:val="000000" w:themeColor="text1"/>
        </w:rPr>
        <w:t>5</w:t>
      </w:r>
      <w:r w:rsidR="00597797" w:rsidRPr="00545501">
        <w:rPr>
          <w:rStyle w:val="EndnoteAnchor"/>
          <w:rFonts w:ascii="Book Antiqua" w:hAnsi="Book Antiqua"/>
          <w:color w:val="000000" w:themeColor="text1"/>
        </w:rPr>
        <w:t>8</w:t>
      </w:r>
      <w:r w:rsidRPr="00545501">
        <w:rPr>
          <w:rStyle w:val="EndnoteAnchor"/>
          <w:rFonts w:ascii="Book Antiqua" w:hAnsi="Book Antiqua"/>
          <w:color w:val="000000" w:themeColor="text1"/>
        </w:rPr>
        <w:t>,</w:t>
      </w:r>
      <w:r w:rsidR="00597797" w:rsidRPr="00545501">
        <w:rPr>
          <w:rStyle w:val="EndnoteAnchor"/>
          <w:rFonts w:ascii="Book Antiqua" w:hAnsi="Book Antiqua"/>
          <w:color w:val="000000" w:themeColor="text1"/>
        </w:rPr>
        <w:t>59</w:t>
      </w:r>
      <w:r w:rsidRPr="00545501">
        <w:rPr>
          <w:rFonts w:ascii="Book Antiqua" w:hAnsi="Book Antiqua"/>
          <w:color w:val="000000" w:themeColor="text1"/>
          <w:vertAlign w:val="superscript"/>
        </w:rPr>
        <w:t>]</w:t>
      </w:r>
      <w:r w:rsidRPr="00545501">
        <w:rPr>
          <w:rFonts w:ascii="Book Antiqua" w:hAnsi="Book Antiqua"/>
          <w:color w:val="000000" w:themeColor="text1"/>
        </w:rPr>
        <w:t xml:space="preserve">. Considering all the drawbacks of a </w:t>
      </w:r>
      <w:r w:rsidR="009B7675" w:rsidRPr="00545501">
        <w:rPr>
          <w:rFonts w:ascii="Book Antiqua" w:hAnsi="Book Antiqua"/>
          <w:color w:val="000000" w:themeColor="text1"/>
        </w:rPr>
        <w:t>gluten-</w:t>
      </w:r>
      <w:r w:rsidRPr="00545501">
        <w:rPr>
          <w:rFonts w:ascii="Book Antiqua" w:hAnsi="Book Antiqua"/>
          <w:color w:val="000000" w:themeColor="text1"/>
        </w:rPr>
        <w:t xml:space="preserve">free diet in the absence of gluten-intolerance, the role of </w:t>
      </w:r>
      <w:r w:rsidR="009B7675" w:rsidRPr="00545501">
        <w:rPr>
          <w:rFonts w:ascii="Book Antiqua" w:hAnsi="Book Antiqua"/>
          <w:color w:val="000000" w:themeColor="text1"/>
        </w:rPr>
        <w:t>gluten-</w:t>
      </w:r>
      <w:r w:rsidRPr="00545501">
        <w:rPr>
          <w:rFonts w:ascii="Book Antiqua" w:hAnsi="Book Antiqua"/>
          <w:color w:val="000000" w:themeColor="text1"/>
        </w:rPr>
        <w:t xml:space="preserve">free diet in SS remains to be studied and cannot be recommended yet on the basis of current evidence. </w:t>
      </w:r>
    </w:p>
    <w:p w14:paraId="1F181EA0" w14:textId="77777777" w:rsidR="00C907A4" w:rsidRPr="00545501" w:rsidRDefault="00C907A4" w:rsidP="003541E7">
      <w:pPr>
        <w:adjustRightInd w:val="0"/>
        <w:snapToGrid w:val="0"/>
        <w:spacing w:line="360" w:lineRule="auto"/>
        <w:jc w:val="both"/>
        <w:rPr>
          <w:rFonts w:ascii="Book Antiqua" w:eastAsia="Book Antiqua" w:hAnsi="Book Antiqua" w:cs="Book Antiqua"/>
          <w:b/>
          <w:color w:val="000000"/>
          <w:u w:val="single"/>
        </w:rPr>
      </w:pPr>
    </w:p>
    <w:p w14:paraId="7B5B9D43" w14:textId="77777777" w:rsidR="00A77B3E" w:rsidRPr="00545501" w:rsidRDefault="0061504E" w:rsidP="003541E7">
      <w:pPr>
        <w:adjustRightInd w:val="0"/>
        <w:snapToGrid w:val="0"/>
        <w:spacing w:line="360" w:lineRule="auto"/>
        <w:jc w:val="both"/>
        <w:rPr>
          <w:rFonts w:ascii="Book Antiqua" w:hAnsi="Book Antiqua"/>
          <w:u w:val="single"/>
        </w:rPr>
      </w:pPr>
      <w:r w:rsidRPr="00545501">
        <w:rPr>
          <w:rFonts w:ascii="Book Antiqua" w:eastAsia="Book Antiqua" w:hAnsi="Book Antiqua" w:cs="Book Antiqua"/>
          <w:b/>
          <w:color w:val="000000"/>
          <w:u w:val="single"/>
        </w:rPr>
        <w:t>CONCLUSION</w:t>
      </w:r>
    </w:p>
    <w:p w14:paraId="04AD1BF0"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Sharing also a common genetic background, CD and SS are found to be associated, but evidence to quantify the magnitude of this association is lacking. This concomitance of these two diseases is however easily overlooked in clinical practice and currently available guidelines fail to recognize it. Further research should look at indications for screening, testing methods, as well as the role of the gluten-f</w:t>
      </w:r>
      <w:r w:rsidR="00C50DA1" w:rsidRPr="00545501">
        <w:rPr>
          <w:rFonts w:ascii="Book Antiqua" w:eastAsia="Book Antiqua" w:hAnsi="Book Antiqua" w:cs="Book Antiqua"/>
          <w:color w:val="000000"/>
        </w:rPr>
        <w:t>ree diet in non-CD SS patients.</w:t>
      </w:r>
    </w:p>
    <w:p w14:paraId="00157EC3" w14:textId="77777777" w:rsidR="00A77B3E" w:rsidRPr="00545501" w:rsidRDefault="00A77B3E" w:rsidP="003541E7">
      <w:pPr>
        <w:adjustRightInd w:val="0"/>
        <w:snapToGrid w:val="0"/>
        <w:spacing w:line="360" w:lineRule="auto"/>
        <w:jc w:val="both"/>
        <w:rPr>
          <w:rFonts w:ascii="Book Antiqua" w:hAnsi="Book Antiqua"/>
          <w:u w:val="single"/>
        </w:rPr>
      </w:pPr>
    </w:p>
    <w:p w14:paraId="53ACB7A2" w14:textId="77777777" w:rsidR="00A77B3E" w:rsidRPr="00545501" w:rsidRDefault="0061504E" w:rsidP="003541E7">
      <w:pPr>
        <w:adjustRightInd w:val="0"/>
        <w:snapToGrid w:val="0"/>
        <w:spacing w:line="360" w:lineRule="auto"/>
        <w:jc w:val="both"/>
        <w:rPr>
          <w:rFonts w:ascii="Book Antiqua" w:hAnsi="Book Antiqua"/>
          <w:u w:val="single"/>
        </w:rPr>
      </w:pPr>
      <w:r w:rsidRPr="00545501">
        <w:rPr>
          <w:rFonts w:ascii="Book Antiqua" w:eastAsia="Book Antiqua" w:hAnsi="Book Antiqua" w:cs="Book Antiqua"/>
          <w:b/>
          <w:color w:val="000000"/>
          <w:u w:val="single"/>
        </w:rPr>
        <w:t>ACKNOWLEDGEMENTS</w:t>
      </w:r>
    </w:p>
    <w:p w14:paraId="240DB5EB"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We would like to thank Dr. Vasilescu Florina for her support with the histology slides.</w:t>
      </w:r>
    </w:p>
    <w:p w14:paraId="3D08C759" w14:textId="77777777" w:rsidR="00A77B3E" w:rsidRPr="00545501" w:rsidRDefault="00A77B3E" w:rsidP="003541E7">
      <w:pPr>
        <w:adjustRightInd w:val="0"/>
        <w:snapToGrid w:val="0"/>
        <w:spacing w:line="360" w:lineRule="auto"/>
        <w:jc w:val="both"/>
        <w:rPr>
          <w:rFonts w:ascii="Book Antiqua" w:hAnsi="Book Antiqua"/>
        </w:rPr>
      </w:pPr>
    </w:p>
    <w:p w14:paraId="14D4660B"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REFERENCES</w:t>
      </w:r>
    </w:p>
    <w:p w14:paraId="335B7D21" w14:textId="77777777" w:rsidR="004B21DA" w:rsidRPr="00545501" w:rsidRDefault="004B21DA" w:rsidP="003541E7">
      <w:pPr>
        <w:adjustRightInd w:val="0"/>
        <w:snapToGrid w:val="0"/>
        <w:spacing w:line="360" w:lineRule="auto"/>
        <w:jc w:val="both"/>
        <w:rPr>
          <w:rFonts w:ascii="Book Antiqua" w:hAnsi="Book Antiqua"/>
        </w:rPr>
      </w:pPr>
      <w:bookmarkStart w:id="7" w:name="OLE_LINK1"/>
      <w:bookmarkStart w:id="8" w:name="OLE_LINK2"/>
      <w:r w:rsidRPr="00545501">
        <w:rPr>
          <w:rFonts w:ascii="Book Antiqua" w:hAnsi="Book Antiqua"/>
        </w:rPr>
        <w:t xml:space="preserve">1 </w:t>
      </w:r>
      <w:r w:rsidRPr="00545501">
        <w:rPr>
          <w:rFonts w:ascii="Book Antiqua" w:hAnsi="Book Antiqua"/>
          <w:b/>
        </w:rPr>
        <w:t>Lauret E</w:t>
      </w:r>
      <w:r w:rsidRPr="00545501">
        <w:rPr>
          <w:rFonts w:ascii="Book Antiqua" w:hAnsi="Book Antiqua"/>
        </w:rPr>
        <w:t xml:space="preserve">, Rodrigo L. Celiac disease and autoimmune-associated conditions. </w:t>
      </w:r>
      <w:r w:rsidRPr="00545501">
        <w:rPr>
          <w:rFonts w:ascii="Book Antiqua" w:hAnsi="Book Antiqua"/>
          <w:i/>
        </w:rPr>
        <w:t>Biomed Res Int</w:t>
      </w:r>
      <w:r w:rsidRPr="00545501">
        <w:rPr>
          <w:rFonts w:ascii="Book Antiqua" w:hAnsi="Book Antiqua"/>
        </w:rPr>
        <w:t xml:space="preserve"> 2013; </w:t>
      </w:r>
      <w:r w:rsidRPr="00545501">
        <w:rPr>
          <w:rFonts w:ascii="Book Antiqua" w:hAnsi="Book Antiqua"/>
          <w:b/>
        </w:rPr>
        <w:t>2013</w:t>
      </w:r>
      <w:r w:rsidRPr="00545501">
        <w:rPr>
          <w:rFonts w:ascii="Book Antiqua" w:hAnsi="Book Antiqua"/>
        </w:rPr>
        <w:t>: 127589 [PMID: 23984314 DOI: 10.1155/2013/127589]</w:t>
      </w:r>
    </w:p>
    <w:p w14:paraId="57DC1941"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 </w:t>
      </w:r>
      <w:r w:rsidRPr="00545501">
        <w:rPr>
          <w:rFonts w:ascii="Book Antiqua" w:hAnsi="Book Antiqua"/>
          <w:b/>
        </w:rPr>
        <w:t>Shiboski CH</w:t>
      </w:r>
      <w:r w:rsidRPr="00545501">
        <w:rPr>
          <w:rFonts w:ascii="Book Antiqua" w:hAnsi="Book Antiqua"/>
        </w:rPr>
        <w:t xml:space="preserve">, Shiboski SC, Seror R, Criswell LA, Labetoulle M, Lietman TM, Rasmussen A, Scofield H, Vitali C, Bowman SJ, Mariette X; International Sjögren's Syndrome Criteria Working Group. 2016 American College of Rheumatology/European League Against Rheumatism Classification Criteria for Primary Sjögren's Syndrome: A Consensus and Data-Driven Methodology Involving Three International Patient Cohorts. </w:t>
      </w:r>
      <w:r w:rsidRPr="00545501">
        <w:rPr>
          <w:rFonts w:ascii="Book Antiqua" w:hAnsi="Book Antiqua"/>
          <w:i/>
        </w:rPr>
        <w:t>Arthritis Rheumatol</w:t>
      </w:r>
      <w:r w:rsidRPr="00545501">
        <w:rPr>
          <w:rFonts w:ascii="Book Antiqua" w:hAnsi="Book Antiqua"/>
        </w:rPr>
        <w:t xml:space="preserve"> 2017; </w:t>
      </w:r>
      <w:r w:rsidRPr="00545501">
        <w:rPr>
          <w:rFonts w:ascii="Book Antiqua" w:hAnsi="Book Antiqua"/>
          <w:b/>
        </w:rPr>
        <w:t>69</w:t>
      </w:r>
      <w:r w:rsidRPr="00545501">
        <w:rPr>
          <w:rFonts w:ascii="Book Antiqua" w:hAnsi="Book Antiqua"/>
        </w:rPr>
        <w:t>: 35-45 [PMID: 27785888 DOI: 10.1002/art.39859]</w:t>
      </w:r>
    </w:p>
    <w:p w14:paraId="31C1AA48"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 </w:t>
      </w:r>
      <w:r w:rsidRPr="00545501">
        <w:rPr>
          <w:rFonts w:ascii="Book Antiqua" w:hAnsi="Book Antiqua"/>
          <w:b/>
        </w:rPr>
        <w:t>Ludvigsson JF</w:t>
      </w:r>
      <w:r w:rsidRPr="00545501">
        <w:rPr>
          <w:rFonts w:ascii="Book Antiqua" w:hAnsi="Book Antiqua"/>
        </w:rPr>
        <w:t xml:space="preserve">, Murray JA. Epidemiology of Celiac Disease. </w:t>
      </w:r>
      <w:r w:rsidRPr="00545501">
        <w:rPr>
          <w:rFonts w:ascii="Book Antiqua" w:hAnsi="Book Antiqua"/>
          <w:i/>
        </w:rPr>
        <w:t>Gastroenterol Clin North Am</w:t>
      </w:r>
      <w:r w:rsidRPr="00545501">
        <w:rPr>
          <w:rFonts w:ascii="Book Antiqua" w:hAnsi="Book Antiqua"/>
        </w:rPr>
        <w:t xml:space="preserve"> 2019; </w:t>
      </w:r>
      <w:r w:rsidRPr="00545501">
        <w:rPr>
          <w:rFonts w:ascii="Book Antiqua" w:hAnsi="Book Antiqua"/>
          <w:b/>
        </w:rPr>
        <w:t>48</w:t>
      </w:r>
      <w:r w:rsidRPr="00545501">
        <w:rPr>
          <w:rFonts w:ascii="Book Antiqua" w:hAnsi="Book Antiqua"/>
        </w:rPr>
        <w:t>: 1-18 [PMID: 30711202 DOI: 10.1016/j.gtc.2018.09.004]</w:t>
      </w:r>
    </w:p>
    <w:p w14:paraId="6DAE538F"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 </w:t>
      </w:r>
      <w:r w:rsidRPr="00545501">
        <w:rPr>
          <w:rFonts w:ascii="Book Antiqua" w:hAnsi="Book Antiqua"/>
          <w:b/>
        </w:rPr>
        <w:t>Ribaldone DG</w:t>
      </w:r>
      <w:r w:rsidRPr="00545501">
        <w:rPr>
          <w:rFonts w:ascii="Book Antiqua" w:hAnsi="Book Antiqua"/>
        </w:rPr>
        <w:t xml:space="preserve">, Astegiano M, Fagoonee S, Rizzetto M, Pellicano R. Epilepsy and celiac disease: review of literature. </w:t>
      </w:r>
      <w:r w:rsidRPr="00545501">
        <w:rPr>
          <w:rFonts w:ascii="Book Antiqua" w:hAnsi="Book Antiqua"/>
          <w:i/>
        </w:rPr>
        <w:t>Panminerva Med</w:t>
      </w:r>
      <w:r w:rsidRPr="00545501">
        <w:rPr>
          <w:rFonts w:ascii="Book Antiqua" w:hAnsi="Book Antiqua"/>
        </w:rPr>
        <w:t xml:space="preserve"> 2011; </w:t>
      </w:r>
      <w:r w:rsidRPr="00545501">
        <w:rPr>
          <w:rFonts w:ascii="Book Antiqua" w:hAnsi="Book Antiqua"/>
          <w:b/>
        </w:rPr>
        <w:t>53</w:t>
      </w:r>
      <w:r w:rsidRPr="00545501">
        <w:rPr>
          <w:rFonts w:ascii="Book Antiqua" w:hAnsi="Book Antiqua"/>
        </w:rPr>
        <w:t>: 213-216 [PMID: 22146418]</w:t>
      </w:r>
    </w:p>
    <w:p w14:paraId="53C8991F"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5 </w:t>
      </w:r>
      <w:r w:rsidRPr="00545501">
        <w:rPr>
          <w:rFonts w:ascii="Book Antiqua" w:hAnsi="Book Antiqua"/>
          <w:b/>
        </w:rPr>
        <w:t>Ciaccio EJ</w:t>
      </w:r>
      <w:r w:rsidRPr="00545501">
        <w:rPr>
          <w:rFonts w:ascii="Book Antiqua" w:hAnsi="Book Antiqua"/>
        </w:rPr>
        <w:t xml:space="preserve">, Lewis SK, Biviano AB, Iyer V, Garan H, Green PH. Cardiovascular involvement in celiac disease. </w:t>
      </w:r>
      <w:r w:rsidRPr="00545501">
        <w:rPr>
          <w:rFonts w:ascii="Book Antiqua" w:hAnsi="Book Antiqua"/>
          <w:i/>
        </w:rPr>
        <w:t>World J Cardiol</w:t>
      </w:r>
      <w:r w:rsidRPr="00545501">
        <w:rPr>
          <w:rFonts w:ascii="Book Antiqua" w:hAnsi="Book Antiqua"/>
        </w:rPr>
        <w:t xml:space="preserve"> 2017; </w:t>
      </w:r>
      <w:r w:rsidRPr="00545501">
        <w:rPr>
          <w:rFonts w:ascii="Book Antiqua" w:hAnsi="Book Antiqua"/>
          <w:b/>
        </w:rPr>
        <w:t>9</w:t>
      </w:r>
      <w:r w:rsidRPr="00545501">
        <w:rPr>
          <w:rFonts w:ascii="Book Antiqua" w:hAnsi="Book Antiqua"/>
        </w:rPr>
        <w:t>: 652-666 [PMID: 28932354 DOI: 10.4330/wjc.v9.i8.652]</w:t>
      </w:r>
    </w:p>
    <w:p w14:paraId="51A723F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6 </w:t>
      </w:r>
      <w:r w:rsidRPr="00545501">
        <w:rPr>
          <w:rFonts w:ascii="Book Antiqua" w:hAnsi="Book Antiqua"/>
          <w:b/>
        </w:rPr>
        <w:t>Freeman HJ</w:t>
      </w:r>
      <w:r w:rsidRPr="00545501">
        <w:rPr>
          <w:rFonts w:ascii="Book Antiqua" w:hAnsi="Book Antiqua"/>
        </w:rPr>
        <w:t xml:space="preserve">. Endocrine manifestations in celiac disease. </w:t>
      </w:r>
      <w:r w:rsidRPr="00545501">
        <w:rPr>
          <w:rFonts w:ascii="Book Antiqua" w:hAnsi="Book Antiqua"/>
          <w:i/>
        </w:rPr>
        <w:t>World J Gastroenterol</w:t>
      </w:r>
      <w:r w:rsidRPr="00545501">
        <w:rPr>
          <w:rFonts w:ascii="Book Antiqua" w:hAnsi="Book Antiqua"/>
        </w:rPr>
        <w:t xml:space="preserve"> 2016; </w:t>
      </w:r>
      <w:r w:rsidRPr="00545501">
        <w:rPr>
          <w:rFonts w:ascii="Book Antiqua" w:hAnsi="Book Antiqua"/>
          <w:b/>
        </w:rPr>
        <w:t>22</w:t>
      </w:r>
      <w:r w:rsidRPr="00545501">
        <w:rPr>
          <w:rFonts w:ascii="Book Antiqua" w:hAnsi="Book Antiqua"/>
        </w:rPr>
        <w:t>: 8472-8479 [PMID: 27784959 DOI: 10.3748/wjg.v22.i38.8472]</w:t>
      </w:r>
    </w:p>
    <w:p w14:paraId="141C5FB4"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7 </w:t>
      </w:r>
      <w:r w:rsidRPr="00545501">
        <w:rPr>
          <w:rFonts w:ascii="Book Antiqua" w:hAnsi="Book Antiqua"/>
          <w:b/>
        </w:rPr>
        <w:t>Dima A</w:t>
      </w:r>
      <w:r w:rsidRPr="00545501">
        <w:rPr>
          <w:rFonts w:ascii="Book Antiqua" w:hAnsi="Book Antiqua"/>
        </w:rPr>
        <w:t xml:space="preserve">, Jurcut C, Jinga M. Rheumatologic manifestations in celiac disease: what should we remember? </w:t>
      </w:r>
      <w:r w:rsidRPr="00545501">
        <w:rPr>
          <w:rFonts w:ascii="Book Antiqua" w:hAnsi="Book Antiqua"/>
          <w:i/>
        </w:rPr>
        <w:t>Rom J Intern Med</w:t>
      </w:r>
      <w:r w:rsidRPr="00545501">
        <w:rPr>
          <w:rFonts w:ascii="Book Antiqua" w:hAnsi="Book Antiqua"/>
        </w:rPr>
        <w:t xml:space="preserve"> 2019; </w:t>
      </w:r>
      <w:r w:rsidRPr="00545501">
        <w:rPr>
          <w:rFonts w:ascii="Book Antiqua" w:hAnsi="Book Antiqua"/>
          <w:b/>
        </w:rPr>
        <w:t>57</w:t>
      </w:r>
      <w:r w:rsidRPr="00545501">
        <w:rPr>
          <w:rFonts w:ascii="Book Antiqua" w:hAnsi="Book Antiqua"/>
        </w:rPr>
        <w:t>: 3-5 [PMID: 30375355 DOI: 10.2478/rjim-2018-0024]</w:t>
      </w:r>
    </w:p>
    <w:p w14:paraId="1F90381C" w14:textId="2828C9FF"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8 </w:t>
      </w:r>
      <w:r w:rsidR="00543261" w:rsidRPr="00545501">
        <w:rPr>
          <w:rFonts w:ascii="Book Antiqua" w:hAnsi="Book Antiqua"/>
          <w:b/>
        </w:rPr>
        <w:t xml:space="preserve">Pittman </w:t>
      </w:r>
      <w:r w:rsidRPr="00545501">
        <w:rPr>
          <w:rFonts w:ascii="Book Antiqua" w:hAnsi="Book Antiqua"/>
          <w:b/>
        </w:rPr>
        <w:t>FE</w:t>
      </w:r>
      <w:r w:rsidRPr="00545501">
        <w:rPr>
          <w:rFonts w:ascii="Book Antiqua" w:hAnsi="Book Antiqua"/>
        </w:rPr>
        <w:t xml:space="preserve">, </w:t>
      </w:r>
      <w:r w:rsidR="00543261" w:rsidRPr="00545501">
        <w:rPr>
          <w:rFonts w:ascii="Book Antiqua" w:hAnsi="Book Antiqua"/>
        </w:rPr>
        <w:t xml:space="preserve">Holub </w:t>
      </w:r>
      <w:r w:rsidRPr="00545501">
        <w:rPr>
          <w:rFonts w:ascii="Book Antiqua" w:hAnsi="Book Antiqua"/>
        </w:rPr>
        <w:t xml:space="preserve">DA. </w:t>
      </w:r>
      <w:r w:rsidR="00543261" w:rsidRPr="00545501">
        <w:rPr>
          <w:rFonts w:ascii="Book Antiqua" w:hAnsi="Book Antiqua"/>
        </w:rPr>
        <w:t>Sjoegren's syndrome and adult celiac disease</w:t>
      </w:r>
      <w:r w:rsidRPr="00545501">
        <w:rPr>
          <w:rFonts w:ascii="Book Antiqua" w:hAnsi="Book Antiqua"/>
        </w:rPr>
        <w:t xml:space="preserve">. </w:t>
      </w:r>
      <w:r w:rsidRPr="00545501">
        <w:rPr>
          <w:rFonts w:ascii="Book Antiqua" w:hAnsi="Book Antiqua"/>
          <w:i/>
        </w:rPr>
        <w:t>Gastroenterology</w:t>
      </w:r>
      <w:r w:rsidRPr="00545501">
        <w:rPr>
          <w:rFonts w:ascii="Book Antiqua" w:hAnsi="Book Antiqua"/>
        </w:rPr>
        <w:t xml:space="preserve"> 1965; </w:t>
      </w:r>
      <w:r w:rsidRPr="00545501">
        <w:rPr>
          <w:rFonts w:ascii="Book Antiqua" w:hAnsi="Book Antiqua"/>
          <w:b/>
        </w:rPr>
        <w:t>48</w:t>
      </w:r>
      <w:r w:rsidRPr="00545501">
        <w:rPr>
          <w:rFonts w:ascii="Book Antiqua" w:hAnsi="Book Antiqua"/>
        </w:rPr>
        <w:t>: 869-876 [PMID: 14300178</w:t>
      </w:r>
      <w:r w:rsidR="00CC673E" w:rsidRPr="00545501">
        <w:rPr>
          <w:rFonts w:ascii="Book Antiqua" w:hAnsi="Book Antiqua" w:hint="eastAsia"/>
          <w:lang w:eastAsia="zh-CN"/>
        </w:rPr>
        <w:t xml:space="preserve"> DOI: </w:t>
      </w:r>
      <w:r w:rsidR="00CC673E" w:rsidRPr="00545501">
        <w:rPr>
          <w:rFonts w:ascii="Book Antiqua" w:hAnsi="Book Antiqua"/>
          <w:lang w:eastAsia="zh-CN"/>
        </w:rPr>
        <w:t>10.1016/S0016-5085(65)80072-5</w:t>
      </w:r>
      <w:r w:rsidRPr="00545501">
        <w:rPr>
          <w:rFonts w:ascii="Book Antiqua" w:hAnsi="Book Antiqua"/>
        </w:rPr>
        <w:t>]</w:t>
      </w:r>
    </w:p>
    <w:p w14:paraId="7AC55B17"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9 </w:t>
      </w:r>
      <w:r w:rsidRPr="00545501">
        <w:rPr>
          <w:rFonts w:ascii="Book Antiqua" w:hAnsi="Book Antiqua"/>
          <w:b/>
        </w:rPr>
        <w:t>Peña AS</w:t>
      </w:r>
      <w:r w:rsidRPr="00545501">
        <w:rPr>
          <w:rFonts w:ascii="Book Antiqua" w:hAnsi="Book Antiqua"/>
        </w:rPr>
        <w:t xml:space="preserve">. Systemic lupus erythematosus, Sjögren's syndrome, and purpura in a patient with coeliac disease. </w:t>
      </w:r>
      <w:r w:rsidRPr="00545501">
        <w:rPr>
          <w:rFonts w:ascii="Book Antiqua" w:hAnsi="Book Antiqua"/>
          <w:i/>
        </w:rPr>
        <w:t>Neth J Med</w:t>
      </w:r>
      <w:r w:rsidRPr="00545501">
        <w:rPr>
          <w:rFonts w:ascii="Book Antiqua" w:hAnsi="Book Antiqua"/>
        </w:rPr>
        <w:t xml:space="preserve"> 1987; </w:t>
      </w:r>
      <w:r w:rsidRPr="00545501">
        <w:rPr>
          <w:rFonts w:ascii="Book Antiqua" w:hAnsi="Book Antiqua"/>
          <w:b/>
        </w:rPr>
        <w:t>31</w:t>
      </w:r>
      <w:r w:rsidRPr="00545501">
        <w:rPr>
          <w:rFonts w:ascii="Book Antiqua" w:hAnsi="Book Antiqua"/>
        </w:rPr>
        <w:t>: 305-307 [PMID: 3431621]</w:t>
      </w:r>
    </w:p>
    <w:p w14:paraId="00448828"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10 </w:t>
      </w:r>
      <w:r w:rsidRPr="00545501">
        <w:rPr>
          <w:rFonts w:ascii="Book Antiqua" w:hAnsi="Book Antiqua"/>
          <w:b/>
        </w:rPr>
        <w:t>Maclaurin BP</w:t>
      </w:r>
      <w:r w:rsidRPr="00545501">
        <w:rPr>
          <w:rFonts w:ascii="Book Antiqua" w:hAnsi="Book Antiqua"/>
        </w:rPr>
        <w:t xml:space="preserve">, Matthews N, Kilpatrick JA. Coeliac disease associated with auto-immune thyroiditis, Sjogren's syndrome, and a lymphocytotoxic serum factor. </w:t>
      </w:r>
      <w:r w:rsidRPr="00545501">
        <w:rPr>
          <w:rFonts w:ascii="Book Antiqua" w:hAnsi="Book Antiqua"/>
          <w:i/>
        </w:rPr>
        <w:t>Aust N Z J Med</w:t>
      </w:r>
      <w:r w:rsidRPr="00545501">
        <w:rPr>
          <w:rFonts w:ascii="Book Antiqua" w:hAnsi="Book Antiqua"/>
        </w:rPr>
        <w:t xml:space="preserve"> 1972; </w:t>
      </w:r>
      <w:r w:rsidRPr="00545501">
        <w:rPr>
          <w:rFonts w:ascii="Book Antiqua" w:hAnsi="Book Antiqua"/>
          <w:b/>
        </w:rPr>
        <w:t>2</w:t>
      </w:r>
      <w:r w:rsidRPr="00545501">
        <w:rPr>
          <w:rFonts w:ascii="Book Antiqua" w:hAnsi="Book Antiqua"/>
        </w:rPr>
        <w:t>: 405-411 [PMID: 4512376 DOI: 10.1111/j.1445-5994.1972.tb03946.x]</w:t>
      </w:r>
    </w:p>
    <w:p w14:paraId="60281150"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11 </w:t>
      </w:r>
      <w:r w:rsidRPr="00545501">
        <w:rPr>
          <w:rFonts w:ascii="Book Antiqua" w:hAnsi="Book Antiqua"/>
          <w:b/>
        </w:rPr>
        <w:t>Lancaster-Smith MJ</w:t>
      </w:r>
      <w:r w:rsidRPr="00545501">
        <w:rPr>
          <w:rFonts w:ascii="Book Antiqua" w:hAnsi="Book Antiqua"/>
        </w:rPr>
        <w:t xml:space="preserve">, Strickland ID. Autoantibodies in adult coeliac disease. </w:t>
      </w:r>
      <w:r w:rsidRPr="00545501">
        <w:rPr>
          <w:rFonts w:ascii="Book Antiqua" w:hAnsi="Book Antiqua"/>
          <w:i/>
        </w:rPr>
        <w:t>Lancet</w:t>
      </w:r>
      <w:r w:rsidRPr="00545501">
        <w:rPr>
          <w:rFonts w:ascii="Book Antiqua" w:hAnsi="Book Antiqua"/>
        </w:rPr>
        <w:t xml:space="preserve"> 1971; </w:t>
      </w:r>
      <w:r w:rsidRPr="00545501">
        <w:rPr>
          <w:rFonts w:ascii="Book Antiqua" w:hAnsi="Book Antiqua"/>
          <w:b/>
        </w:rPr>
        <w:t>1</w:t>
      </w:r>
      <w:r w:rsidRPr="00545501">
        <w:rPr>
          <w:rFonts w:ascii="Book Antiqua" w:hAnsi="Book Antiqua"/>
        </w:rPr>
        <w:t>: 1244 [PMID: 4103107 DOI: 10.1016/s0140-6736(71)91761-2]</w:t>
      </w:r>
    </w:p>
    <w:p w14:paraId="7C2D1F66"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12 </w:t>
      </w:r>
      <w:r w:rsidRPr="00545501">
        <w:rPr>
          <w:rFonts w:ascii="Book Antiqua" w:hAnsi="Book Antiqua"/>
          <w:b/>
        </w:rPr>
        <w:t>Al-Toma A</w:t>
      </w:r>
      <w:r w:rsidRPr="00545501">
        <w:rPr>
          <w:rFonts w:ascii="Book Antiqua" w:hAnsi="Book Antiqua"/>
        </w:rPr>
        <w:t xml:space="preserve">, Volta U, Auricchio R, Castillejo G, Sanders DS, Cellier C, Mulder CJ, Lundin KEA. European Society for the Study of Coeliac Disease (ESsCD) guideline for coeliac disease and other gluten-related disorders. </w:t>
      </w:r>
      <w:r w:rsidRPr="00545501">
        <w:rPr>
          <w:rFonts w:ascii="Book Antiqua" w:hAnsi="Book Antiqua"/>
          <w:i/>
        </w:rPr>
        <w:t>United European Gastroenterol J</w:t>
      </w:r>
      <w:r w:rsidRPr="00545501">
        <w:rPr>
          <w:rFonts w:ascii="Book Antiqua" w:hAnsi="Book Antiqua"/>
        </w:rPr>
        <w:t xml:space="preserve"> 2019; </w:t>
      </w:r>
      <w:r w:rsidRPr="00545501">
        <w:rPr>
          <w:rFonts w:ascii="Book Antiqua" w:hAnsi="Book Antiqua"/>
          <w:b/>
        </w:rPr>
        <w:t>7</w:t>
      </w:r>
      <w:r w:rsidRPr="00545501">
        <w:rPr>
          <w:rFonts w:ascii="Book Antiqua" w:hAnsi="Book Antiqua"/>
        </w:rPr>
        <w:t>: 583-613 [PMID: 31210940 DOI: 10.1177/2050640619844125]</w:t>
      </w:r>
    </w:p>
    <w:p w14:paraId="6A1A8583"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13 </w:t>
      </w:r>
      <w:r w:rsidRPr="00545501">
        <w:rPr>
          <w:rFonts w:ascii="Book Antiqua" w:hAnsi="Book Antiqua"/>
          <w:b/>
        </w:rPr>
        <w:t>Jinga M</w:t>
      </w:r>
      <w:r w:rsidRPr="00545501">
        <w:rPr>
          <w:rFonts w:ascii="Book Antiqua" w:hAnsi="Book Antiqua"/>
        </w:rPr>
        <w:t xml:space="preserve">, Popp A, Balaban DV, Dima A, Jurcut C. Physicians' attitude and perception regarding celiac disease: A questionnaire-based study. </w:t>
      </w:r>
      <w:r w:rsidRPr="00545501">
        <w:rPr>
          <w:rFonts w:ascii="Book Antiqua" w:hAnsi="Book Antiqua"/>
          <w:i/>
        </w:rPr>
        <w:t>Turk J Gastroenterol</w:t>
      </w:r>
      <w:r w:rsidRPr="00545501">
        <w:rPr>
          <w:rFonts w:ascii="Book Antiqua" w:hAnsi="Book Antiqua"/>
        </w:rPr>
        <w:t xml:space="preserve"> 2018; </w:t>
      </w:r>
      <w:r w:rsidRPr="00545501">
        <w:rPr>
          <w:rFonts w:ascii="Book Antiqua" w:hAnsi="Book Antiqua"/>
          <w:b/>
        </w:rPr>
        <w:t>29</w:t>
      </w:r>
      <w:r w:rsidRPr="00545501">
        <w:rPr>
          <w:rFonts w:ascii="Book Antiqua" w:hAnsi="Book Antiqua"/>
        </w:rPr>
        <w:t>: 419-426 [PMID: 30249556 DOI: 10.5152/tjg.2018.17236]</w:t>
      </w:r>
    </w:p>
    <w:p w14:paraId="1680DD5E"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14 </w:t>
      </w:r>
      <w:r w:rsidRPr="00545501">
        <w:rPr>
          <w:rFonts w:ascii="Book Antiqua" w:hAnsi="Book Antiqua"/>
          <w:b/>
        </w:rPr>
        <w:t>Laurikka P</w:t>
      </w:r>
      <w:r w:rsidRPr="00545501">
        <w:rPr>
          <w:rFonts w:ascii="Book Antiqua" w:hAnsi="Book Antiqua"/>
        </w:rPr>
        <w:t xml:space="preserve">, Nurminen S, Kivelä L, Kurppa K. Extraintestinal Manifestations of Celiac Disease: Early Detection for Better Long-Term Outcomes. </w:t>
      </w:r>
      <w:r w:rsidRPr="00545501">
        <w:rPr>
          <w:rFonts w:ascii="Book Antiqua" w:hAnsi="Book Antiqua"/>
          <w:i/>
        </w:rPr>
        <w:t>Nutrients</w:t>
      </w:r>
      <w:r w:rsidRPr="00545501">
        <w:rPr>
          <w:rFonts w:ascii="Book Antiqua" w:hAnsi="Book Antiqua"/>
        </w:rPr>
        <w:t xml:space="preserve"> 2018; </w:t>
      </w:r>
      <w:r w:rsidRPr="00545501">
        <w:rPr>
          <w:rFonts w:ascii="Book Antiqua" w:hAnsi="Book Antiqua"/>
          <w:b/>
        </w:rPr>
        <w:t>10</w:t>
      </w:r>
      <w:r w:rsidR="00C50DA1" w:rsidRPr="00545501">
        <w:rPr>
          <w:rFonts w:ascii="Book Antiqua" w:hAnsi="Book Antiqua"/>
        </w:rPr>
        <w:t xml:space="preserve">: </w:t>
      </w:r>
      <w:r w:rsidRPr="00545501">
        <w:rPr>
          <w:rFonts w:ascii="Book Antiqua" w:hAnsi="Book Antiqua"/>
        </w:rPr>
        <w:t>[PMID: 30081502 DOI: 10.3390/nu10081015]</w:t>
      </w:r>
    </w:p>
    <w:p w14:paraId="68B90C67"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15 </w:t>
      </w:r>
      <w:r w:rsidRPr="00545501">
        <w:rPr>
          <w:rFonts w:ascii="Book Antiqua" w:hAnsi="Book Antiqua"/>
          <w:b/>
        </w:rPr>
        <w:t>Violato M</w:t>
      </w:r>
      <w:r w:rsidRPr="00545501">
        <w:rPr>
          <w:rFonts w:ascii="Book Antiqua" w:hAnsi="Book Antiqua"/>
        </w:rPr>
        <w:t xml:space="preserve">, Gray A. The impact of diagnosis on health-related quality of life in people with coeliac disease: a UK population-based longitudinal perspective. </w:t>
      </w:r>
      <w:r w:rsidRPr="00545501">
        <w:rPr>
          <w:rFonts w:ascii="Book Antiqua" w:hAnsi="Book Antiqua"/>
          <w:i/>
        </w:rPr>
        <w:t>BMC Gastroenterol</w:t>
      </w:r>
      <w:r w:rsidRPr="00545501">
        <w:rPr>
          <w:rFonts w:ascii="Book Antiqua" w:hAnsi="Book Antiqua"/>
        </w:rPr>
        <w:t xml:space="preserve"> 2019; </w:t>
      </w:r>
      <w:r w:rsidRPr="00545501">
        <w:rPr>
          <w:rFonts w:ascii="Book Antiqua" w:hAnsi="Book Antiqua"/>
          <w:b/>
        </w:rPr>
        <w:t>19</w:t>
      </w:r>
      <w:r w:rsidRPr="00545501">
        <w:rPr>
          <w:rFonts w:ascii="Book Antiqua" w:hAnsi="Book Antiqua"/>
        </w:rPr>
        <w:t>: 68 [PMID: 31046685 DOI: 10.1186/s12876-019-0980-6]</w:t>
      </w:r>
    </w:p>
    <w:p w14:paraId="1E1DC089"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16 </w:t>
      </w:r>
      <w:r w:rsidRPr="00545501">
        <w:rPr>
          <w:rFonts w:ascii="Book Antiqua" w:hAnsi="Book Antiqua"/>
          <w:b/>
        </w:rPr>
        <w:t>Iltanen S</w:t>
      </w:r>
      <w:r w:rsidRPr="00545501">
        <w:rPr>
          <w:rFonts w:ascii="Book Antiqua" w:hAnsi="Book Antiqua"/>
        </w:rPr>
        <w:t xml:space="preserve">, Collin P, Korpela M, Holm K, Partanen J, Polvi A, Mäki M. Celiac disease and markers of celiac disease latency in patients with primary Sjögren's syndrome. </w:t>
      </w:r>
      <w:r w:rsidRPr="00545501">
        <w:rPr>
          <w:rFonts w:ascii="Book Antiqua" w:hAnsi="Book Antiqua"/>
          <w:i/>
        </w:rPr>
        <w:t>Am J Gastroenterol</w:t>
      </w:r>
      <w:r w:rsidRPr="00545501">
        <w:rPr>
          <w:rFonts w:ascii="Book Antiqua" w:hAnsi="Book Antiqua"/>
        </w:rPr>
        <w:t xml:space="preserve"> 1999; </w:t>
      </w:r>
      <w:r w:rsidRPr="00545501">
        <w:rPr>
          <w:rFonts w:ascii="Book Antiqua" w:hAnsi="Book Antiqua"/>
          <w:b/>
        </w:rPr>
        <w:t>94</w:t>
      </w:r>
      <w:r w:rsidRPr="00545501">
        <w:rPr>
          <w:rFonts w:ascii="Book Antiqua" w:hAnsi="Book Antiqua"/>
        </w:rPr>
        <w:t>: 1042-1046 [PMID: 10201480 DOI: 10.1111/j.1572-0241.1999.01011.x]</w:t>
      </w:r>
    </w:p>
    <w:p w14:paraId="766FF792"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17 </w:t>
      </w:r>
      <w:r w:rsidRPr="00545501">
        <w:rPr>
          <w:rFonts w:ascii="Book Antiqua" w:hAnsi="Book Antiqua"/>
          <w:b/>
        </w:rPr>
        <w:t>Szodoray P</w:t>
      </w:r>
      <w:r w:rsidRPr="00545501">
        <w:rPr>
          <w:rFonts w:ascii="Book Antiqua" w:hAnsi="Book Antiqua"/>
        </w:rPr>
        <w:t xml:space="preserve">, Barta Z, Lakos G, Szakáll S, Zeher M. Coeliac disease in Sjögren's syndrome--a study of 111 Hungarian patients. </w:t>
      </w:r>
      <w:r w:rsidRPr="00545501">
        <w:rPr>
          <w:rFonts w:ascii="Book Antiqua" w:hAnsi="Book Antiqua"/>
          <w:i/>
        </w:rPr>
        <w:t>Rheumatol Int</w:t>
      </w:r>
      <w:r w:rsidRPr="00545501">
        <w:rPr>
          <w:rFonts w:ascii="Book Antiqua" w:hAnsi="Book Antiqua"/>
        </w:rPr>
        <w:t xml:space="preserve"> 2004; </w:t>
      </w:r>
      <w:r w:rsidRPr="00545501">
        <w:rPr>
          <w:rFonts w:ascii="Book Antiqua" w:hAnsi="Book Antiqua"/>
          <w:b/>
        </w:rPr>
        <w:t>24</w:t>
      </w:r>
      <w:r w:rsidRPr="00545501">
        <w:rPr>
          <w:rFonts w:ascii="Book Antiqua" w:hAnsi="Book Antiqua"/>
        </w:rPr>
        <w:t>: 278-282 [PMID: 13680146 DOI: 10.1007/s00296-003-0360-x]</w:t>
      </w:r>
    </w:p>
    <w:p w14:paraId="407997E5"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18 </w:t>
      </w:r>
      <w:r w:rsidRPr="00545501">
        <w:rPr>
          <w:rFonts w:ascii="Book Antiqua" w:hAnsi="Book Antiqua"/>
          <w:b/>
        </w:rPr>
        <w:t>Bartoloni E</w:t>
      </w:r>
      <w:r w:rsidRPr="00545501">
        <w:rPr>
          <w:rFonts w:ascii="Book Antiqua" w:hAnsi="Book Antiqua"/>
        </w:rPr>
        <w:t xml:space="preserve">, Bistoni O, Alunno A, Cavagna L, Nalotto L, Baldini C, Priori R, Fischetti C, Fredi M, Quartuccio L, Carubbi F, Montecucco C, Doria A, Mosca M, Valesini G, Franceschini F, De Vita S, Giacomelli R, Mirabelli G, Bini V, Gabrielli A, Catassi C, Gerli R. Celiac Disease Prevalence is Increased in Primary Sjögren's Syndrome and Diffuse Systemic Sclerosis: Lessons from a Large Multi-Center Study. </w:t>
      </w:r>
      <w:r w:rsidRPr="00545501">
        <w:rPr>
          <w:rFonts w:ascii="Book Antiqua" w:hAnsi="Book Antiqua"/>
          <w:i/>
        </w:rPr>
        <w:t>J Clin Med</w:t>
      </w:r>
      <w:r w:rsidRPr="00545501">
        <w:rPr>
          <w:rFonts w:ascii="Book Antiqua" w:hAnsi="Book Antiqua"/>
        </w:rPr>
        <w:t xml:space="preserve"> 2019; </w:t>
      </w:r>
      <w:r w:rsidRPr="00545501">
        <w:rPr>
          <w:rFonts w:ascii="Book Antiqua" w:hAnsi="Book Antiqua"/>
          <w:b/>
        </w:rPr>
        <w:t>8</w:t>
      </w:r>
      <w:r w:rsidR="00C50DA1" w:rsidRPr="00545501">
        <w:rPr>
          <w:rFonts w:ascii="Book Antiqua" w:hAnsi="Book Antiqua"/>
        </w:rPr>
        <w:t xml:space="preserve">: </w:t>
      </w:r>
      <w:r w:rsidRPr="00545501">
        <w:rPr>
          <w:rFonts w:ascii="Book Antiqua" w:hAnsi="Book Antiqua"/>
        </w:rPr>
        <w:t>[PMID: 31010199 DOI: 10.3390/jcm8040540]</w:t>
      </w:r>
    </w:p>
    <w:p w14:paraId="13C50FC6"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19 </w:t>
      </w:r>
      <w:r w:rsidRPr="00545501">
        <w:rPr>
          <w:rFonts w:ascii="Book Antiqua" w:hAnsi="Book Antiqua"/>
          <w:b/>
        </w:rPr>
        <w:t>Bizzaro N</w:t>
      </w:r>
      <w:r w:rsidRPr="00545501">
        <w:rPr>
          <w:rFonts w:ascii="Book Antiqua" w:hAnsi="Book Antiqua"/>
        </w:rPr>
        <w:t xml:space="preserve">, Villalta D, Tonutti E, Doria A, Tampoia M, Bassetti D, Tozzoli R. IgA and IgG tissue transglutaminase antibody prevalence and clinical significance in connective tissue diseases, inflammatory bowel disease, and primary biliary cirrhosis. </w:t>
      </w:r>
      <w:r w:rsidRPr="00545501">
        <w:rPr>
          <w:rFonts w:ascii="Book Antiqua" w:hAnsi="Book Antiqua"/>
          <w:i/>
        </w:rPr>
        <w:t>Dig Dis Sci</w:t>
      </w:r>
      <w:r w:rsidRPr="00545501">
        <w:rPr>
          <w:rFonts w:ascii="Book Antiqua" w:hAnsi="Book Antiqua"/>
        </w:rPr>
        <w:t xml:space="preserve"> 2003; </w:t>
      </w:r>
      <w:r w:rsidRPr="00545501">
        <w:rPr>
          <w:rFonts w:ascii="Book Antiqua" w:hAnsi="Book Antiqua"/>
          <w:b/>
        </w:rPr>
        <w:t>48</w:t>
      </w:r>
      <w:r w:rsidRPr="00545501">
        <w:rPr>
          <w:rFonts w:ascii="Book Antiqua" w:hAnsi="Book Antiqua"/>
        </w:rPr>
        <w:t>: 2360-2365 [PMID: 14714625 DOI: 10.1023/b:ddas.0000007875.72256.e8]</w:t>
      </w:r>
    </w:p>
    <w:p w14:paraId="09FAE1C5"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20 </w:t>
      </w:r>
      <w:r w:rsidRPr="00545501">
        <w:rPr>
          <w:rFonts w:ascii="Book Antiqua" w:hAnsi="Book Antiqua"/>
          <w:b/>
        </w:rPr>
        <w:t>Luft LM</w:t>
      </w:r>
      <w:r w:rsidRPr="00545501">
        <w:rPr>
          <w:rFonts w:ascii="Book Antiqua" w:hAnsi="Book Antiqua"/>
        </w:rPr>
        <w:t xml:space="preserve">, Barr SG, Martin LO, Chan EK, Fritzler MJ. Autoantibodies to tissue transglutaminase in Sjögren's syndrome and related rheumatic diseases. </w:t>
      </w:r>
      <w:r w:rsidRPr="00545501">
        <w:rPr>
          <w:rFonts w:ascii="Book Antiqua" w:hAnsi="Book Antiqua"/>
          <w:i/>
        </w:rPr>
        <w:t>J Rheumatol</w:t>
      </w:r>
      <w:r w:rsidRPr="00545501">
        <w:rPr>
          <w:rFonts w:ascii="Book Antiqua" w:hAnsi="Book Antiqua"/>
        </w:rPr>
        <w:t xml:space="preserve"> 2003; </w:t>
      </w:r>
      <w:r w:rsidRPr="00545501">
        <w:rPr>
          <w:rFonts w:ascii="Book Antiqua" w:hAnsi="Book Antiqua"/>
          <w:b/>
        </w:rPr>
        <w:t>30</w:t>
      </w:r>
      <w:r w:rsidRPr="00545501">
        <w:rPr>
          <w:rFonts w:ascii="Book Antiqua" w:hAnsi="Book Antiqua"/>
        </w:rPr>
        <w:t>: 2613-2619 [PMID: 14719202]</w:t>
      </w:r>
    </w:p>
    <w:p w14:paraId="78B3F6F0"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21 </w:t>
      </w:r>
      <w:r w:rsidRPr="00545501">
        <w:rPr>
          <w:rFonts w:ascii="Book Antiqua" w:hAnsi="Book Antiqua"/>
          <w:b/>
        </w:rPr>
        <w:t>Caio G</w:t>
      </w:r>
      <w:r w:rsidRPr="00545501">
        <w:rPr>
          <w:rFonts w:ascii="Book Antiqua" w:hAnsi="Book Antiqua"/>
        </w:rPr>
        <w:t xml:space="preserve">, De Giorgio R, Ursini F, Fanaro S, Volta U. Prevalence of celiac disease serological markers in a cohort of Italian rheumatological patients. </w:t>
      </w:r>
      <w:r w:rsidRPr="00545501">
        <w:rPr>
          <w:rFonts w:ascii="Book Antiqua" w:hAnsi="Book Antiqua"/>
          <w:i/>
        </w:rPr>
        <w:t>Gastroenterol Hepatol Bed Bench</w:t>
      </w:r>
      <w:r w:rsidRPr="00545501">
        <w:rPr>
          <w:rFonts w:ascii="Book Antiqua" w:hAnsi="Book Antiqua"/>
        </w:rPr>
        <w:t xml:space="preserve"> 2018; </w:t>
      </w:r>
      <w:r w:rsidRPr="00545501">
        <w:rPr>
          <w:rFonts w:ascii="Book Antiqua" w:hAnsi="Book Antiqua"/>
          <w:b/>
        </w:rPr>
        <w:t>11</w:t>
      </w:r>
      <w:r w:rsidRPr="00545501">
        <w:rPr>
          <w:rFonts w:ascii="Book Antiqua" w:hAnsi="Book Antiqua"/>
        </w:rPr>
        <w:t>: 244-249 [PMID: 30013749]</w:t>
      </w:r>
    </w:p>
    <w:p w14:paraId="2B15541E"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22 </w:t>
      </w:r>
      <w:r w:rsidRPr="00545501">
        <w:rPr>
          <w:rFonts w:ascii="Book Antiqua" w:hAnsi="Book Antiqua"/>
          <w:b/>
        </w:rPr>
        <w:t>Fasano A</w:t>
      </w:r>
      <w:r w:rsidRPr="00545501">
        <w:rPr>
          <w:rFonts w:ascii="Book Antiqua" w:hAnsi="Book Antiqua"/>
        </w:rPr>
        <w:t xml:space="preserve">, Berti I, Gerarduzzi T, Not T, Colletti RB, Drago S, Elitsur Y, Green PH, Guandalini S, Hill ID, Pietzak M, Ventura A, Thorpe M, Kryszak D, Fornaroli F, Wasserman SS, Murray JA, Horvath K. Prevalence of celiac disease in at-risk and not-at-risk groups in the United States: a large multicenter study. </w:t>
      </w:r>
      <w:r w:rsidRPr="00545501">
        <w:rPr>
          <w:rFonts w:ascii="Book Antiqua" w:hAnsi="Book Antiqua"/>
          <w:i/>
        </w:rPr>
        <w:t>Arch Intern Med</w:t>
      </w:r>
      <w:r w:rsidRPr="00545501">
        <w:rPr>
          <w:rFonts w:ascii="Book Antiqua" w:hAnsi="Book Antiqua"/>
        </w:rPr>
        <w:t xml:space="preserve"> 2003; </w:t>
      </w:r>
      <w:r w:rsidRPr="00545501">
        <w:rPr>
          <w:rFonts w:ascii="Book Antiqua" w:hAnsi="Book Antiqua"/>
          <w:b/>
        </w:rPr>
        <w:t>163</w:t>
      </w:r>
      <w:r w:rsidRPr="00545501">
        <w:rPr>
          <w:rFonts w:ascii="Book Antiqua" w:hAnsi="Book Antiqua"/>
        </w:rPr>
        <w:t>: 286-292 [PMID: 12578508 DOI: 10.1001/archinte.163.3.286]</w:t>
      </w:r>
    </w:p>
    <w:p w14:paraId="6C48D159"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23 </w:t>
      </w:r>
      <w:r w:rsidRPr="00545501">
        <w:rPr>
          <w:rFonts w:ascii="Book Antiqua" w:hAnsi="Book Antiqua"/>
          <w:b/>
        </w:rPr>
        <w:t>Baldini C</w:t>
      </w:r>
      <w:r w:rsidRPr="00545501">
        <w:rPr>
          <w:rFonts w:ascii="Book Antiqua" w:hAnsi="Book Antiqua"/>
        </w:rPr>
        <w:t xml:space="preserve">, Ferro F, Mosca M, Fallahi P, Antonelli A. The Association of Sjögren Syndrome and Autoimmune Thyroid Disorders. </w:t>
      </w:r>
      <w:r w:rsidRPr="00545501">
        <w:rPr>
          <w:rFonts w:ascii="Book Antiqua" w:hAnsi="Book Antiqua"/>
          <w:i/>
        </w:rPr>
        <w:t>Front Endocrinol (Lausanne)</w:t>
      </w:r>
      <w:r w:rsidRPr="00545501">
        <w:rPr>
          <w:rFonts w:ascii="Book Antiqua" w:hAnsi="Book Antiqua"/>
        </w:rPr>
        <w:t xml:space="preserve"> 2018; </w:t>
      </w:r>
      <w:r w:rsidRPr="00545501">
        <w:rPr>
          <w:rFonts w:ascii="Book Antiqua" w:hAnsi="Book Antiqua"/>
          <w:b/>
        </w:rPr>
        <w:t>9</w:t>
      </w:r>
      <w:r w:rsidRPr="00545501">
        <w:rPr>
          <w:rFonts w:ascii="Book Antiqua" w:hAnsi="Book Antiqua"/>
        </w:rPr>
        <w:t>: 121 [PMID: 29666604 DOI: 10.3389/fendo.2018.00121]</w:t>
      </w:r>
    </w:p>
    <w:p w14:paraId="409423FD"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24 </w:t>
      </w:r>
      <w:r w:rsidRPr="00545501">
        <w:rPr>
          <w:rFonts w:ascii="Book Antiqua" w:hAnsi="Book Antiqua"/>
          <w:b/>
        </w:rPr>
        <w:t>Kassan SS</w:t>
      </w:r>
      <w:r w:rsidRPr="00545501">
        <w:rPr>
          <w:rFonts w:ascii="Book Antiqua" w:hAnsi="Book Antiqua"/>
        </w:rPr>
        <w:t xml:space="preserve">, Moutsopoulos HM. Clinical manifestations and early diagnosis of Sjögren syndrome. </w:t>
      </w:r>
      <w:r w:rsidRPr="00545501">
        <w:rPr>
          <w:rFonts w:ascii="Book Antiqua" w:hAnsi="Book Antiqua"/>
          <w:i/>
        </w:rPr>
        <w:t>Arch Intern Med</w:t>
      </w:r>
      <w:r w:rsidRPr="00545501">
        <w:rPr>
          <w:rFonts w:ascii="Book Antiqua" w:hAnsi="Book Antiqua"/>
        </w:rPr>
        <w:t xml:space="preserve"> 2004; </w:t>
      </w:r>
      <w:r w:rsidRPr="00545501">
        <w:rPr>
          <w:rFonts w:ascii="Book Antiqua" w:hAnsi="Book Antiqua"/>
          <w:b/>
        </w:rPr>
        <w:t>164</w:t>
      </w:r>
      <w:r w:rsidRPr="00545501">
        <w:rPr>
          <w:rFonts w:ascii="Book Antiqua" w:hAnsi="Book Antiqua"/>
        </w:rPr>
        <w:t>: 1275-1284 [PMID: 15226160 DOI: 10.1001/archinte.164.12.1275]</w:t>
      </w:r>
    </w:p>
    <w:p w14:paraId="0E35870A"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25 </w:t>
      </w:r>
      <w:r w:rsidRPr="00545501">
        <w:rPr>
          <w:rFonts w:ascii="Book Antiqua" w:hAnsi="Book Antiqua"/>
          <w:b/>
        </w:rPr>
        <w:t>Erbasan F</w:t>
      </w:r>
      <w:r w:rsidRPr="00545501">
        <w:rPr>
          <w:rFonts w:ascii="Book Antiqua" w:hAnsi="Book Antiqua"/>
        </w:rPr>
        <w:t xml:space="preserve">, Çoban DT, Karasu U, Çekin Y, Yeşil B, Çekin AH, Süren D, Terzioğlu ME. Primary Sjögren's syndrome in patients with celiac disease. </w:t>
      </w:r>
      <w:r w:rsidRPr="00545501">
        <w:rPr>
          <w:rFonts w:ascii="Book Antiqua" w:hAnsi="Book Antiqua"/>
          <w:i/>
        </w:rPr>
        <w:t>Turk J Med Sci</w:t>
      </w:r>
      <w:r w:rsidRPr="00545501">
        <w:rPr>
          <w:rFonts w:ascii="Book Antiqua" w:hAnsi="Book Antiqua"/>
        </w:rPr>
        <w:t xml:space="preserve"> 2017; </w:t>
      </w:r>
      <w:r w:rsidRPr="00545501">
        <w:rPr>
          <w:rFonts w:ascii="Book Antiqua" w:hAnsi="Book Antiqua"/>
          <w:b/>
        </w:rPr>
        <w:t>47</w:t>
      </w:r>
      <w:r w:rsidRPr="00545501">
        <w:rPr>
          <w:rFonts w:ascii="Book Antiqua" w:hAnsi="Book Antiqua"/>
        </w:rPr>
        <w:t>: 430-434 [PMID: 28425227 DOI: 10.3906/sag-1601-149]</w:t>
      </w:r>
    </w:p>
    <w:p w14:paraId="368A5437"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26 </w:t>
      </w:r>
      <w:r w:rsidRPr="00545501">
        <w:rPr>
          <w:rFonts w:ascii="Book Antiqua" w:hAnsi="Book Antiqua"/>
          <w:b/>
        </w:rPr>
        <w:t>Bibbò S</w:t>
      </w:r>
      <w:r w:rsidRPr="00545501">
        <w:rPr>
          <w:rFonts w:ascii="Book Antiqua" w:hAnsi="Book Antiqua"/>
        </w:rPr>
        <w:t xml:space="preserve">, Pes GM, Usai-Satta P, Salis R, Soro S, Quarta Colosso BM, Dore MP. Chronic autoimmune disorders are increased in coeliac disease: A case-control study. </w:t>
      </w:r>
      <w:r w:rsidRPr="00545501">
        <w:rPr>
          <w:rFonts w:ascii="Book Antiqua" w:hAnsi="Book Antiqua"/>
          <w:i/>
        </w:rPr>
        <w:t>Medicine (Baltimore)</w:t>
      </w:r>
      <w:r w:rsidRPr="00545501">
        <w:rPr>
          <w:rFonts w:ascii="Book Antiqua" w:hAnsi="Book Antiqua"/>
        </w:rPr>
        <w:t xml:space="preserve"> 2017; </w:t>
      </w:r>
      <w:r w:rsidRPr="00545501">
        <w:rPr>
          <w:rFonts w:ascii="Book Antiqua" w:hAnsi="Book Antiqua"/>
          <w:b/>
        </w:rPr>
        <w:t>96</w:t>
      </w:r>
      <w:r w:rsidRPr="00545501">
        <w:rPr>
          <w:rFonts w:ascii="Book Antiqua" w:hAnsi="Book Antiqua"/>
        </w:rPr>
        <w:t>: e8562 [PMID: 29381930 DOI: 10.1097/MD.0000000000008562]</w:t>
      </w:r>
    </w:p>
    <w:p w14:paraId="73CD83B1"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27 </w:t>
      </w:r>
      <w:r w:rsidRPr="00545501">
        <w:rPr>
          <w:rFonts w:ascii="Book Antiqua" w:hAnsi="Book Antiqua"/>
          <w:b/>
        </w:rPr>
        <w:t>Caglar E</w:t>
      </w:r>
      <w:r w:rsidRPr="00545501">
        <w:rPr>
          <w:rFonts w:ascii="Book Antiqua" w:hAnsi="Book Antiqua"/>
        </w:rPr>
        <w:t xml:space="preserve">, Ugurlu S, Ozenoglu A, Can G, Kadioglu P, Dobrucali A. Autoantibody frequency in celiac disease. </w:t>
      </w:r>
      <w:r w:rsidRPr="00545501">
        <w:rPr>
          <w:rFonts w:ascii="Book Antiqua" w:hAnsi="Book Antiqua"/>
          <w:i/>
        </w:rPr>
        <w:t>Clinics (Sao Paulo)</w:t>
      </w:r>
      <w:r w:rsidRPr="00545501">
        <w:rPr>
          <w:rFonts w:ascii="Book Antiqua" w:hAnsi="Book Antiqua"/>
        </w:rPr>
        <w:t xml:space="preserve"> 2009; </w:t>
      </w:r>
      <w:r w:rsidRPr="00545501">
        <w:rPr>
          <w:rFonts w:ascii="Book Antiqua" w:hAnsi="Book Antiqua"/>
          <w:b/>
        </w:rPr>
        <w:t>64</w:t>
      </w:r>
      <w:r w:rsidRPr="00545501">
        <w:rPr>
          <w:rFonts w:ascii="Book Antiqua" w:hAnsi="Book Antiqua"/>
        </w:rPr>
        <w:t>: 1195-1200 [PMID: 20037707 DOI: 10.1590/S1807-59322009001200009]</w:t>
      </w:r>
    </w:p>
    <w:p w14:paraId="2E42029B"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28 </w:t>
      </w:r>
      <w:r w:rsidRPr="00545501">
        <w:rPr>
          <w:rFonts w:ascii="Book Antiqua" w:hAnsi="Book Antiqua"/>
          <w:b/>
        </w:rPr>
        <w:t>Collin P</w:t>
      </w:r>
      <w:r w:rsidRPr="00545501">
        <w:rPr>
          <w:rFonts w:ascii="Book Antiqua" w:hAnsi="Book Antiqua"/>
        </w:rPr>
        <w:t xml:space="preserve">, Reunala T, Pukkala E, Laippala P, Keyriläinen O, Pasternack A. Coeliac disease--associated disorders and survival. </w:t>
      </w:r>
      <w:r w:rsidRPr="00545501">
        <w:rPr>
          <w:rFonts w:ascii="Book Antiqua" w:hAnsi="Book Antiqua"/>
          <w:i/>
        </w:rPr>
        <w:t>Gut</w:t>
      </w:r>
      <w:r w:rsidRPr="00545501">
        <w:rPr>
          <w:rFonts w:ascii="Book Antiqua" w:hAnsi="Book Antiqua"/>
        </w:rPr>
        <w:t xml:space="preserve"> 1994; </w:t>
      </w:r>
      <w:r w:rsidRPr="00545501">
        <w:rPr>
          <w:rFonts w:ascii="Book Antiqua" w:hAnsi="Book Antiqua"/>
          <w:b/>
        </w:rPr>
        <w:t>35</w:t>
      </w:r>
      <w:r w:rsidRPr="00545501">
        <w:rPr>
          <w:rFonts w:ascii="Book Antiqua" w:hAnsi="Book Antiqua"/>
        </w:rPr>
        <w:t>: 1215-1218 [PMID: 7959226 DOI: 10.1136/gut.35.9.1215]</w:t>
      </w:r>
    </w:p>
    <w:p w14:paraId="356ABDF7" w14:textId="30D68E6E"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29 </w:t>
      </w:r>
      <w:r w:rsidRPr="00545501">
        <w:rPr>
          <w:rFonts w:ascii="Book Antiqua" w:hAnsi="Book Antiqua"/>
          <w:b/>
        </w:rPr>
        <w:t>Ayar K,</w:t>
      </w:r>
      <w:r w:rsidR="00C50DA1" w:rsidRPr="00545501">
        <w:rPr>
          <w:rFonts w:ascii="Book Antiqua" w:hAnsi="Book Antiqua"/>
        </w:rPr>
        <w:t xml:space="preserve"> </w:t>
      </w:r>
      <w:r w:rsidRPr="00545501">
        <w:rPr>
          <w:rFonts w:ascii="Book Antiqua" w:hAnsi="Book Antiqua"/>
        </w:rPr>
        <w:t xml:space="preserve">Tunз R, Pekel H, Kьзьk A, Esen HH, Çifзi S, Ataseven H. The frequency of Sjogren’s syndrome in celiac patients; a cross-sectional controlled clinical trial. </w:t>
      </w:r>
      <w:r w:rsidRPr="00545501">
        <w:rPr>
          <w:rFonts w:ascii="Book Antiqua" w:hAnsi="Book Antiqua"/>
          <w:i/>
        </w:rPr>
        <w:t>Ann</w:t>
      </w:r>
      <w:r w:rsidR="00251B01" w:rsidRPr="00545501">
        <w:rPr>
          <w:rFonts w:ascii="Book Antiqua" w:hAnsi="Book Antiqua"/>
          <w:i/>
        </w:rPr>
        <w:t xml:space="preserve"> </w:t>
      </w:r>
      <w:r w:rsidRPr="00545501">
        <w:rPr>
          <w:rFonts w:ascii="Book Antiqua" w:hAnsi="Book Antiqua"/>
          <w:i/>
        </w:rPr>
        <w:t>Rheum</w:t>
      </w:r>
      <w:r w:rsidR="00251B01" w:rsidRPr="00545501">
        <w:rPr>
          <w:rFonts w:ascii="Book Antiqua" w:hAnsi="Book Antiqua"/>
          <w:i/>
        </w:rPr>
        <w:t xml:space="preserve"> </w:t>
      </w:r>
      <w:r w:rsidRPr="00545501">
        <w:rPr>
          <w:rFonts w:ascii="Book Antiqua" w:hAnsi="Book Antiqua"/>
          <w:i/>
        </w:rPr>
        <w:t>Dis</w:t>
      </w:r>
      <w:r w:rsidR="00251B01" w:rsidRPr="00545501">
        <w:rPr>
          <w:rFonts w:ascii="Book Antiqua" w:hAnsi="Book Antiqua"/>
        </w:rPr>
        <w:t xml:space="preserve"> </w:t>
      </w:r>
      <w:r w:rsidRPr="00545501">
        <w:rPr>
          <w:rFonts w:ascii="Book Antiqua" w:hAnsi="Book Antiqua"/>
        </w:rPr>
        <w:t xml:space="preserve">2015; </w:t>
      </w:r>
      <w:r w:rsidRPr="00545501">
        <w:rPr>
          <w:rFonts w:ascii="Book Antiqua" w:hAnsi="Book Antiqua"/>
          <w:b/>
        </w:rPr>
        <w:t>74</w:t>
      </w:r>
      <w:r w:rsidRPr="00545501">
        <w:rPr>
          <w:rFonts w:ascii="Book Antiqua" w:hAnsi="Book Antiqua"/>
        </w:rPr>
        <w:t>: 1094–1095</w:t>
      </w:r>
      <w:r w:rsidR="00251B01" w:rsidRPr="00545501">
        <w:rPr>
          <w:rFonts w:ascii="Book Antiqua" w:hAnsi="Book Antiqua"/>
        </w:rPr>
        <w:t xml:space="preserve"> </w:t>
      </w:r>
      <w:r w:rsidRPr="00545501">
        <w:rPr>
          <w:rFonts w:ascii="Book Antiqua" w:hAnsi="Book Antiqua"/>
        </w:rPr>
        <w:t>[DOI: 10.1136/annrheumdis-2015-eular.5270]</w:t>
      </w:r>
    </w:p>
    <w:p w14:paraId="5B067569"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30 </w:t>
      </w:r>
      <w:r w:rsidRPr="00545501">
        <w:rPr>
          <w:rFonts w:ascii="Book Antiqua" w:hAnsi="Book Antiqua"/>
          <w:b/>
        </w:rPr>
        <w:t>da Rosa Utiyama SR</w:t>
      </w:r>
      <w:r w:rsidRPr="00545501">
        <w:rPr>
          <w:rFonts w:ascii="Book Antiqua" w:hAnsi="Book Antiqua"/>
        </w:rPr>
        <w:t xml:space="preserve">, da Silva Kotze LM, Nisihara RM, Carvalho RF, de Carvalho EG, de Sena MG, de Messias Reason IJ. Spectrum of autoantibodies in celiac patients and relatives. </w:t>
      </w:r>
      <w:r w:rsidRPr="00545501">
        <w:rPr>
          <w:rFonts w:ascii="Book Antiqua" w:hAnsi="Book Antiqua"/>
          <w:i/>
        </w:rPr>
        <w:t>Dig Dis Sci</w:t>
      </w:r>
      <w:r w:rsidRPr="00545501">
        <w:rPr>
          <w:rFonts w:ascii="Book Antiqua" w:hAnsi="Book Antiqua"/>
        </w:rPr>
        <w:t xml:space="preserve"> 2001; </w:t>
      </w:r>
      <w:r w:rsidRPr="00545501">
        <w:rPr>
          <w:rFonts w:ascii="Book Antiqua" w:hAnsi="Book Antiqua"/>
          <w:b/>
        </w:rPr>
        <w:t>46</w:t>
      </w:r>
      <w:r w:rsidRPr="00545501">
        <w:rPr>
          <w:rFonts w:ascii="Book Antiqua" w:hAnsi="Book Antiqua"/>
        </w:rPr>
        <w:t>: 2624-2630 [PMID: 11768251 DOI: 10.1023/a:1012702807714]</w:t>
      </w:r>
    </w:p>
    <w:p w14:paraId="21D31E54"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31 </w:t>
      </w:r>
      <w:r w:rsidRPr="00545501">
        <w:rPr>
          <w:rFonts w:ascii="Book Antiqua" w:hAnsi="Book Antiqua"/>
          <w:b/>
        </w:rPr>
        <w:t>Teppo AM</w:t>
      </w:r>
      <w:r w:rsidRPr="00545501">
        <w:rPr>
          <w:rFonts w:ascii="Book Antiqua" w:hAnsi="Book Antiqua"/>
        </w:rPr>
        <w:t xml:space="preserve">, Maury CP. Antibodies to gliadin, gluten and reticulin glycoprotein in rheumatic diseases: elevated levels in Sjögren's syndrome. </w:t>
      </w:r>
      <w:r w:rsidRPr="00545501">
        <w:rPr>
          <w:rFonts w:ascii="Book Antiqua" w:hAnsi="Book Antiqua"/>
          <w:i/>
        </w:rPr>
        <w:t>Clin Exp Immunol</w:t>
      </w:r>
      <w:r w:rsidRPr="00545501">
        <w:rPr>
          <w:rFonts w:ascii="Book Antiqua" w:hAnsi="Book Antiqua"/>
        </w:rPr>
        <w:t xml:space="preserve"> 1984; </w:t>
      </w:r>
      <w:r w:rsidRPr="00545501">
        <w:rPr>
          <w:rFonts w:ascii="Book Antiqua" w:hAnsi="Book Antiqua"/>
          <w:b/>
        </w:rPr>
        <w:t>57</w:t>
      </w:r>
      <w:r w:rsidRPr="00545501">
        <w:rPr>
          <w:rFonts w:ascii="Book Antiqua" w:hAnsi="Book Antiqua"/>
        </w:rPr>
        <w:t>: 73-78 [PMID: 6378463]</w:t>
      </w:r>
    </w:p>
    <w:p w14:paraId="3B3F468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32 </w:t>
      </w:r>
      <w:r w:rsidRPr="00545501">
        <w:rPr>
          <w:rFonts w:ascii="Book Antiqua" w:hAnsi="Book Antiqua"/>
          <w:b/>
        </w:rPr>
        <w:t>Rensch MJ</w:t>
      </w:r>
      <w:r w:rsidRPr="00545501">
        <w:rPr>
          <w:rFonts w:ascii="Book Antiqua" w:hAnsi="Book Antiqua"/>
        </w:rPr>
        <w:t xml:space="preserve">, Szyjkowski R, Shaffer RT, Fink S, Kopecky C, Grissmer L, Enzenhauer R, Kadakia S. The prevalence of celiac disease autoantibodies in patients with systemic lupus erythematosus. </w:t>
      </w:r>
      <w:r w:rsidRPr="00545501">
        <w:rPr>
          <w:rFonts w:ascii="Book Antiqua" w:hAnsi="Book Antiqua"/>
          <w:i/>
        </w:rPr>
        <w:t>Am J Gastroenterol</w:t>
      </w:r>
      <w:r w:rsidRPr="00545501">
        <w:rPr>
          <w:rFonts w:ascii="Book Antiqua" w:hAnsi="Book Antiqua"/>
        </w:rPr>
        <w:t xml:space="preserve"> 2001; </w:t>
      </w:r>
      <w:r w:rsidRPr="00545501">
        <w:rPr>
          <w:rFonts w:ascii="Book Antiqua" w:hAnsi="Book Antiqua"/>
          <w:b/>
        </w:rPr>
        <w:t>96</w:t>
      </w:r>
      <w:r w:rsidRPr="00545501">
        <w:rPr>
          <w:rFonts w:ascii="Book Antiqua" w:hAnsi="Book Antiqua"/>
        </w:rPr>
        <w:t>: 1113-1115 [PMID: 11316156 DOI: 10.1111/j.1572-0241.2001.03753.x]</w:t>
      </w:r>
    </w:p>
    <w:p w14:paraId="05822E06"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33 </w:t>
      </w:r>
      <w:r w:rsidRPr="00545501">
        <w:rPr>
          <w:rFonts w:ascii="Book Antiqua" w:hAnsi="Book Antiqua"/>
          <w:b/>
        </w:rPr>
        <w:t>Dima A</w:t>
      </w:r>
      <w:r w:rsidRPr="00545501">
        <w:rPr>
          <w:rFonts w:ascii="Book Antiqua" w:hAnsi="Book Antiqua"/>
        </w:rPr>
        <w:t xml:space="preserve">, Jurcut C, Balanescu E, Badea C, Lacatus N, Popp A. Immune and autoimmune gluten-related phenomenon in systemic lupus erythematosus. </w:t>
      </w:r>
      <w:r w:rsidRPr="00545501">
        <w:rPr>
          <w:rFonts w:ascii="Book Antiqua" w:hAnsi="Book Antiqua"/>
          <w:i/>
        </w:rPr>
        <w:t>Lupus</w:t>
      </w:r>
      <w:r w:rsidRPr="00545501">
        <w:rPr>
          <w:rFonts w:ascii="Book Antiqua" w:hAnsi="Book Antiqua"/>
        </w:rPr>
        <w:t xml:space="preserve"> 2017; </w:t>
      </w:r>
      <w:r w:rsidRPr="00545501">
        <w:rPr>
          <w:rFonts w:ascii="Book Antiqua" w:hAnsi="Book Antiqua"/>
          <w:b/>
        </w:rPr>
        <w:t>26</w:t>
      </w:r>
      <w:r w:rsidRPr="00545501">
        <w:rPr>
          <w:rFonts w:ascii="Book Antiqua" w:hAnsi="Book Antiqua"/>
        </w:rPr>
        <w:t>: 1235-1236 [PMID: 28376687 DOI: 10.1177/0961203317700483]</w:t>
      </w:r>
    </w:p>
    <w:p w14:paraId="6E2C4264"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34 </w:t>
      </w:r>
      <w:r w:rsidRPr="00545501">
        <w:rPr>
          <w:rFonts w:ascii="Book Antiqua" w:hAnsi="Book Antiqua"/>
          <w:b/>
        </w:rPr>
        <w:t>Schyum AC</w:t>
      </w:r>
      <w:r w:rsidRPr="00545501">
        <w:rPr>
          <w:rFonts w:ascii="Book Antiqua" w:hAnsi="Book Antiqua"/>
        </w:rPr>
        <w:t xml:space="preserve">, Rumessen JJ. Serological testing for celiac disease in adults. </w:t>
      </w:r>
      <w:r w:rsidRPr="00545501">
        <w:rPr>
          <w:rFonts w:ascii="Book Antiqua" w:hAnsi="Book Antiqua"/>
          <w:i/>
        </w:rPr>
        <w:t>United European Gastroenterol J</w:t>
      </w:r>
      <w:r w:rsidRPr="00545501">
        <w:rPr>
          <w:rFonts w:ascii="Book Antiqua" w:hAnsi="Book Antiqua"/>
        </w:rPr>
        <w:t xml:space="preserve"> 2013; </w:t>
      </w:r>
      <w:r w:rsidRPr="00545501">
        <w:rPr>
          <w:rFonts w:ascii="Book Antiqua" w:hAnsi="Book Antiqua"/>
          <w:b/>
        </w:rPr>
        <w:t>1</w:t>
      </w:r>
      <w:r w:rsidRPr="00545501">
        <w:rPr>
          <w:rFonts w:ascii="Book Antiqua" w:hAnsi="Book Antiqua"/>
        </w:rPr>
        <w:t>: 319-325 [PMID: 24917978 DOI: 10.1177/2050640613502788]</w:t>
      </w:r>
    </w:p>
    <w:p w14:paraId="32FBE898"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35 </w:t>
      </w:r>
      <w:r w:rsidRPr="00545501">
        <w:rPr>
          <w:rFonts w:ascii="Book Antiqua" w:hAnsi="Book Antiqua"/>
          <w:b/>
        </w:rPr>
        <w:t>Chou R</w:t>
      </w:r>
      <w:r w:rsidRPr="00545501">
        <w:rPr>
          <w:rFonts w:ascii="Book Antiqua" w:hAnsi="Book Antiqua"/>
        </w:rPr>
        <w:t xml:space="preserve">, Bougatsos C, Blazina I, Mackey K, Grusing S, Selph S. Screening for Celiac Disease: Evidence Report and Systematic Review for the US Preventive Services Task Force. </w:t>
      </w:r>
      <w:r w:rsidRPr="00545501">
        <w:rPr>
          <w:rFonts w:ascii="Book Antiqua" w:hAnsi="Book Antiqua"/>
          <w:i/>
        </w:rPr>
        <w:t>JAMA</w:t>
      </w:r>
      <w:r w:rsidRPr="00545501">
        <w:rPr>
          <w:rFonts w:ascii="Book Antiqua" w:hAnsi="Book Antiqua"/>
        </w:rPr>
        <w:t xml:space="preserve"> 2017; </w:t>
      </w:r>
      <w:r w:rsidRPr="00545501">
        <w:rPr>
          <w:rFonts w:ascii="Book Antiqua" w:hAnsi="Book Antiqua"/>
          <w:b/>
        </w:rPr>
        <w:t>317</w:t>
      </w:r>
      <w:r w:rsidRPr="00545501">
        <w:rPr>
          <w:rFonts w:ascii="Book Antiqua" w:hAnsi="Book Antiqua"/>
        </w:rPr>
        <w:t>: 1258-1268 [PMID: 28350935 DOI: 10.1001/jama.2016.10395]</w:t>
      </w:r>
    </w:p>
    <w:p w14:paraId="0516E936"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36 </w:t>
      </w:r>
      <w:r w:rsidRPr="00545501">
        <w:rPr>
          <w:rFonts w:ascii="Book Antiqua" w:hAnsi="Book Antiqua"/>
          <w:b/>
        </w:rPr>
        <w:t>Sollid LM</w:t>
      </w:r>
      <w:r w:rsidRPr="00545501">
        <w:rPr>
          <w:rFonts w:ascii="Book Antiqua" w:hAnsi="Book Antiqua"/>
        </w:rPr>
        <w:t xml:space="preserve">, Thorsby E. HLA susceptibility genes in celiac disease: genetic mapping and role in pathogenesis. </w:t>
      </w:r>
      <w:r w:rsidRPr="00545501">
        <w:rPr>
          <w:rFonts w:ascii="Book Antiqua" w:hAnsi="Book Antiqua"/>
          <w:i/>
        </w:rPr>
        <w:t>Gastroenterology</w:t>
      </w:r>
      <w:r w:rsidRPr="00545501">
        <w:rPr>
          <w:rFonts w:ascii="Book Antiqua" w:hAnsi="Book Antiqua"/>
        </w:rPr>
        <w:t xml:space="preserve"> 1993; </w:t>
      </w:r>
      <w:r w:rsidRPr="00545501">
        <w:rPr>
          <w:rFonts w:ascii="Book Antiqua" w:hAnsi="Book Antiqua"/>
          <w:b/>
        </w:rPr>
        <w:t>105</w:t>
      </w:r>
      <w:r w:rsidRPr="00545501">
        <w:rPr>
          <w:rFonts w:ascii="Book Antiqua" w:hAnsi="Book Antiqua"/>
        </w:rPr>
        <w:t>: 910-922 [PMID: 8359659 DOI: 10.1016/0016-5085(93)90912-v]</w:t>
      </w:r>
    </w:p>
    <w:p w14:paraId="5AFD75D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37 </w:t>
      </w:r>
      <w:r w:rsidRPr="00545501">
        <w:rPr>
          <w:rFonts w:ascii="Book Antiqua" w:hAnsi="Book Antiqua"/>
          <w:b/>
        </w:rPr>
        <w:t>Kang HI</w:t>
      </w:r>
      <w:r w:rsidRPr="00545501">
        <w:rPr>
          <w:rFonts w:ascii="Book Antiqua" w:hAnsi="Book Antiqua"/>
        </w:rPr>
        <w:t xml:space="preserve">, Fei HM, Saito I, Sawada S, Chen SL, Yi D, Chan E, Peebles C, Bugawan TL, Erlich HA. Comparison of HLA class II genes in Caucasoid, Chinese, and Japanese patients with primary Sjögren's syndrome. </w:t>
      </w:r>
      <w:r w:rsidRPr="00545501">
        <w:rPr>
          <w:rFonts w:ascii="Book Antiqua" w:hAnsi="Book Antiqua"/>
          <w:i/>
        </w:rPr>
        <w:t>J Immunol</w:t>
      </w:r>
      <w:r w:rsidRPr="00545501">
        <w:rPr>
          <w:rFonts w:ascii="Book Antiqua" w:hAnsi="Book Antiqua"/>
        </w:rPr>
        <w:t xml:space="preserve"> 1993; </w:t>
      </w:r>
      <w:r w:rsidRPr="00545501">
        <w:rPr>
          <w:rFonts w:ascii="Book Antiqua" w:hAnsi="Book Antiqua"/>
          <w:b/>
        </w:rPr>
        <w:t>150</w:t>
      </w:r>
      <w:r w:rsidRPr="00545501">
        <w:rPr>
          <w:rFonts w:ascii="Book Antiqua" w:hAnsi="Book Antiqua"/>
        </w:rPr>
        <w:t>: 3615-3623 [PMID: 8468491]</w:t>
      </w:r>
    </w:p>
    <w:p w14:paraId="489F706F"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38 </w:t>
      </w:r>
      <w:r w:rsidRPr="00545501">
        <w:rPr>
          <w:rFonts w:ascii="Book Antiqua" w:hAnsi="Book Antiqua"/>
          <w:b/>
        </w:rPr>
        <w:t>D'Onofrio F</w:t>
      </w:r>
      <w:r w:rsidRPr="00545501">
        <w:rPr>
          <w:rFonts w:ascii="Book Antiqua" w:hAnsi="Book Antiqua"/>
        </w:rPr>
        <w:t xml:space="preserve">, Miele L, Diaco M, Santoro L, De Socio G, Montalto M, Grieco A, Gasbarrini G, Manna R. Sjogren's syndrome in a celiac patient: searching for environmental triggers. </w:t>
      </w:r>
      <w:r w:rsidRPr="00545501">
        <w:rPr>
          <w:rFonts w:ascii="Book Antiqua" w:hAnsi="Book Antiqua"/>
          <w:i/>
        </w:rPr>
        <w:t>Int J Immunopathol Pharmacol</w:t>
      </w:r>
      <w:r w:rsidRPr="00545501">
        <w:rPr>
          <w:rFonts w:ascii="Book Antiqua" w:hAnsi="Book Antiqua"/>
        </w:rPr>
        <w:t xml:space="preserve"> 2006; </w:t>
      </w:r>
      <w:r w:rsidRPr="00545501">
        <w:rPr>
          <w:rFonts w:ascii="Book Antiqua" w:hAnsi="Book Antiqua"/>
          <w:b/>
        </w:rPr>
        <w:t>19</w:t>
      </w:r>
      <w:r w:rsidRPr="00545501">
        <w:rPr>
          <w:rFonts w:ascii="Book Antiqua" w:hAnsi="Book Antiqua"/>
        </w:rPr>
        <w:t>: 445-448 [PMID: 16831312 DOI: 10.1177/039463200601900222]</w:t>
      </w:r>
    </w:p>
    <w:p w14:paraId="27A9214D"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39 </w:t>
      </w:r>
      <w:r w:rsidRPr="00545501">
        <w:rPr>
          <w:rFonts w:ascii="Book Antiqua" w:hAnsi="Book Antiqua"/>
          <w:b/>
        </w:rPr>
        <w:t>Ludvigsson JF</w:t>
      </w:r>
      <w:r w:rsidRPr="00545501">
        <w:rPr>
          <w:rFonts w:ascii="Book Antiqua" w:hAnsi="Book Antiqua"/>
        </w:rPr>
        <w:t xml:space="preserve">, Bai JC, Biagi F, Card TR, Ciacci C, Ciclitira PJ, Green PH, Hadjivassiliou M, Holdoway A, van Heel DA, Kaukinen K, Leffler DA, Leonard JN, Lundin KE, McGough N, Davidson M, Murray JA, Swift GL, Walker MM, Zingone F, Sanders DS; BSG Coeliac Disease Guidelines Development Group; British Society of Gastroenterology. Diagnosis and management of adult coeliac disease: guidelines from the British Society of Gastroenterology. </w:t>
      </w:r>
      <w:r w:rsidRPr="00545501">
        <w:rPr>
          <w:rFonts w:ascii="Book Antiqua" w:hAnsi="Book Antiqua"/>
          <w:i/>
        </w:rPr>
        <w:t>Gut</w:t>
      </w:r>
      <w:r w:rsidRPr="00545501">
        <w:rPr>
          <w:rFonts w:ascii="Book Antiqua" w:hAnsi="Book Antiqua"/>
        </w:rPr>
        <w:t xml:space="preserve"> 2014; </w:t>
      </w:r>
      <w:r w:rsidRPr="00545501">
        <w:rPr>
          <w:rFonts w:ascii="Book Antiqua" w:hAnsi="Book Antiqua"/>
          <w:b/>
        </w:rPr>
        <w:t>63</w:t>
      </w:r>
      <w:r w:rsidRPr="00545501">
        <w:rPr>
          <w:rFonts w:ascii="Book Antiqua" w:hAnsi="Book Antiqua"/>
        </w:rPr>
        <w:t>: 1210-1228 [PMID: 24917550 DOI: 10.1136/gutjnl-2013-306578]</w:t>
      </w:r>
    </w:p>
    <w:p w14:paraId="1E6F4BAF"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40 </w:t>
      </w:r>
      <w:r w:rsidRPr="00545501">
        <w:rPr>
          <w:rFonts w:ascii="Book Antiqua" w:hAnsi="Book Antiqua"/>
          <w:b/>
        </w:rPr>
        <w:t>Cruz-Tapias P</w:t>
      </w:r>
      <w:r w:rsidRPr="00545501">
        <w:rPr>
          <w:rFonts w:ascii="Book Antiqua" w:hAnsi="Book Antiqua"/>
        </w:rPr>
        <w:t xml:space="preserve">, Rojas-Villarraga A, Maier-Moore S, Anaya JM. HLA and Sjögren's syndrome susceptibility. A meta-analysis of worldwide studies. </w:t>
      </w:r>
      <w:r w:rsidRPr="00545501">
        <w:rPr>
          <w:rFonts w:ascii="Book Antiqua" w:hAnsi="Book Antiqua"/>
          <w:i/>
        </w:rPr>
        <w:t>Autoimmun Rev</w:t>
      </w:r>
      <w:r w:rsidRPr="00545501">
        <w:rPr>
          <w:rFonts w:ascii="Book Antiqua" w:hAnsi="Book Antiqua"/>
        </w:rPr>
        <w:t xml:space="preserve"> 2012; </w:t>
      </w:r>
      <w:r w:rsidRPr="00545501">
        <w:rPr>
          <w:rFonts w:ascii="Book Antiqua" w:hAnsi="Book Antiqua"/>
          <w:b/>
        </w:rPr>
        <w:t>11</w:t>
      </w:r>
      <w:r w:rsidRPr="00545501">
        <w:rPr>
          <w:rFonts w:ascii="Book Antiqua" w:hAnsi="Book Antiqua"/>
        </w:rPr>
        <w:t>: 281-287 [PMID: 22001416 DOI: 10.1016/j.autrev.2011.10.002]</w:t>
      </w:r>
    </w:p>
    <w:p w14:paraId="2EB741B5"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41 </w:t>
      </w:r>
      <w:r w:rsidRPr="00545501">
        <w:rPr>
          <w:rFonts w:ascii="Book Antiqua" w:hAnsi="Book Antiqua"/>
          <w:b/>
        </w:rPr>
        <w:t>Patinen P</w:t>
      </w:r>
      <w:r w:rsidRPr="00545501">
        <w:rPr>
          <w:rFonts w:ascii="Book Antiqua" w:hAnsi="Book Antiqua"/>
        </w:rPr>
        <w:t xml:space="preserve">, Aine L, Collin P, Hietanen J, Korpela M, Enckell G, Kautiainen H, Konttinen YT, Reunala T. Oral findings in coeliac disease and Sjögren's syndrome. </w:t>
      </w:r>
      <w:r w:rsidRPr="00545501">
        <w:rPr>
          <w:rFonts w:ascii="Book Antiqua" w:hAnsi="Book Antiqua"/>
          <w:i/>
        </w:rPr>
        <w:t>Oral Dis</w:t>
      </w:r>
      <w:r w:rsidRPr="00545501">
        <w:rPr>
          <w:rFonts w:ascii="Book Antiqua" w:hAnsi="Book Antiqua"/>
        </w:rPr>
        <w:t xml:space="preserve"> 2004; </w:t>
      </w:r>
      <w:r w:rsidRPr="00545501">
        <w:rPr>
          <w:rFonts w:ascii="Book Antiqua" w:hAnsi="Book Antiqua"/>
          <w:b/>
        </w:rPr>
        <w:t>10</w:t>
      </w:r>
      <w:r w:rsidRPr="00545501">
        <w:rPr>
          <w:rFonts w:ascii="Book Antiqua" w:hAnsi="Book Antiqua"/>
        </w:rPr>
        <w:t>: 330-334 [PMID: 15533207 DOI: 10.1111/j.1601-0825.2004.01048.x]</w:t>
      </w:r>
    </w:p>
    <w:p w14:paraId="47607B05"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42 </w:t>
      </w:r>
      <w:r w:rsidRPr="00545501">
        <w:rPr>
          <w:rFonts w:ascii="Book Antiqua" w:hAnsi="Book Antiqua"/>
          <w:b/>
        </w:rPr>
        <w:t>Lidén M</w:t>
      </w:r>
      <w:r w:rsidRPr="00545501">
        <w:rPr>
          <w:rFonts w:ascii="Book Antiqua" w:hAnsi="Book Antiqua"/>
        </w:rPr>
        <w:t xml:space="preserve">, Kristjánsson G, Valtýsdóttir S, Hällgren R. Gluten sensitivity in patients with primary Sjögren's syndrome. </w:t>
      </w:r>
      <w:r w:rsidRPr="00545501">
        <w:rPr>
          <w:rFonts w:ascii="Book Antiqua" w:hAnsi="Book Antiqua"/>
          <w:i/>
        </w:rPr>
        <w:t>Scand J Gastroenterol</w:t>
      </w:r>
      <w:r w:rsidRPr="00545501">
        <w:rPr>
          <w:rFonts w:ascii="Book Antiqua" w:hAnsi="Book Antiqua"/>
        </w:rPr>
        <w:t xml:space="preserve"> 2007; </w:t>
      </w:r>
      <w:r w:rsidRPr="00545501">
        <w:rPr>
          <w:rFonts w:ascii="Book Antiqua" w:hAnsi="Book Antiqua"/>
          <w:b/>
        </w:rPr>
        <w:t>42</w:t>
      </w:r>
      <w:r w:rsidRPr="00545501">
        <w:rPr>
          <w:rFonts w:ascii="Book Antiqua" w:hAnsi="Book Antiqua"/>
        </w:rPr>
        <w:t>: 962-967 [PMID: 17613926 DOI: 10.1080/00365520701195345]</w:t>
      </w:r>
    </w:p>
    <w:p w14:paraId="5B5C467B"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43 </w:t>
      </w:r>
      <w:r w:rsidRPr="00545501">
        <w:rPr>
          <w:rFonts w:ascii="Book Antiqua" w:hAnsi="Book Antiqua"/>
          <w:b/>
        </w:rPr>
        <w:t>Fraser NG</w:t>
      </w:r>
      <w:r w:rsidRPr="00545501">
        <w:rPr>
          <w:rFonts w:ascii="Book Antiqua" w:hAnsi="Book Antiqua"/>
        </w:rPr>
        <w:t xml:space="preserve">, Rennie AG, Donald D. Dermatitis herpetiformis and Sjögren's syndrome. </w:t>
      </w:r>
      <w:r w:rsidRPr="00545501">
        <w:rPr>
          <w:rFonts w:ascii="Book Antiqua" w:hAnsi="Book Antiqua"/>
          <w:i/>
        </w:rPr>
        <w:t>Br J Dermatol</w:t>
      </w:r>
      <w:r w:rsidRPr="00545501">
        <w:rPr>
          <w:rFonts w:ascii="Book Antiqua" w:hAnsi="Book Antiqua"/>
        </w:rPr>
        <w:t xml:space="preserve"> 1979; </w:t>
      </w:r>
      <w:r w:rsidRPr="00545501">
        <w:rPr>
          <w:rFonts w:ascii="Book Antiqua" w:hAnsi="Book Antiqua"/>
          <w:b/>
        </w:rPr>
        <w:t>100</w:t>
      </w:r>
      <w:r w:rsidRPr="00545501">
        <w:rPr>
          <w:rFonts w:ascii="Book Antiqua" w:hAnsi="Book Antiqua"/>
        </w:rPr>
        <w:t>: 213-215 [PMID: 311650 DOI: 10.1111/j.1365-2133.1979.tb05563.x]</w:t>
      </w:r>
    </w:p>
    <w:p w14:paraId="7E08CA73"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44 </w:t>
      </w:r>
      <w:r w:rsidRPr="00545501">
        <w:rPr>
          <w:rFonts w:ascii="Book Antiqua" w:hAnsi="Book Antiqua"/>
          <w:b/>
        </w:rPr>
        <w:t>Ibrahem HM</w:t>
      </w:r>
      <w:r w:rsidRPr="00545501">
        <w:rPr>
          <w:rFonts w:ascii="Book Antiqua" w:hAnsi="Book Antiqua"/>
        </w:rPr>
        <w:t xml:space="preserve">. B cell dysregulation in primary Sjögren's syndrome: A review. </w:t>
      </w:r>
      <w:r w:rsidRPr="00545501">
        <w:rPr>
          <w:rFonts w:ascii="Book Antiqua" w:hAnsi="Book Antiqua"/>
          <w:i/>
        </w:rPr>
        <w:t>Jpn Dent Sci Rev</w:t>
      </w:r>
      <w:r w:rsidRPr="00545501">
        <w:rPr>
          <w:rFonts w:ascii="Book Antiqua" w:hAnsi="Book Antiqua"/>
        </w:rPr>
        <w:t xml:space="preserve"> 2019; </w:t>
      </w:r>
      <w:r w:rsidRPr="00545501">
        <w:rPr>
          <w:rFonts w:ascii="Book Antiqua" w:hAnsi="Book Antiqua"/>
          <w:b/>
        </w:rPr>
        <w:t>55</w:t>
      </w:r>
      <w:r w:rsidRPr="00545501">
        <w:rPr>
          <w:rFonts w:ascii="Book Antiqua" w:hAnsi="Book Antiqua"/>
        </w:rPr>
        <w:t>: 139-144 [PMID: 31687053 DOI: 10.1016/j.jdsr.2019.09.006]</w:t>
      </w:r>
    </w:p>
    <w:p w14:paraId="324BA1F4"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45 </w:t>
      </w:r>
      <w:r w:rsidRPr="00545501">
        <w:rPr>
          <w:rFonts w:ascii="Book Antiqua" w:hAnsi="Book Antiqua"/>
          <w:b/>
        </w:rPr>
        <w:t>Gorodetskiy VR</w:t>
      </w:r>
      <w:r w:rsidRPr="00545501">
        <w:rPr>
          <w:rFonts w:ascii="Book Antiqua" w:hAnsi="Book Antiqua"/>
        </w:rPr>
        <w:t xml:space="preserve">, Probatova NA, Radenska-Lopovok SG, Ryzhikova NV, Sidorova YV, Sudarikov AB. Clonal relationship of marginal zone lymphoma and diffuse large B-cell lymphoma in Sjogren's syndrome patients: case series study and review of the literature. </w:t>
      </w:r>
      <w:r w:rsidRPr="00545501">
        <w:rPr>
          <w:rFonts w:ascii="Book Antiqua" w:hAnsi="Book Antiqua"/>
          <w:i/>
        </w:rPr>
        <w:t>Rheumatol Int</w:t>
      </w:r>
      <w:r w:rsidRPr="00545501">
        <w:rPr>
          <w:rFonts w:ascii="Book Antiqua" w:hAnsi="Book Antiqua"/>
        </w:rPr>
        <w:t xml:space="preserve"> 2020; </w:t>
      </w:r>
      <w:r w:rsidRPr="00545501">
        <w:rPr>
          <w:rFonts w:ascii="Book Antiqua" w:hAnsi="Book Antiqua"/>
          <w:b/>
        </w:rPr>
        <w:t>40</w:t>
      </w:r>
      <w:r w:rsidRPr="00545501">
        <w:rPr>
          <w:rFonts w:ascii="Book Antiqua" w:hAnsi="Book Antiqua"/>
        </w:rPr>
        <w:t>: 499-506 [PMID: 31707561 DOI: 10.1007/s00296-019-04470-x]</w:t>
      </w:r>
    </w:p>
    <w:p w14:paraId="1A90D101"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46 </w:t>
      </w:r>
      <w:r w:rsidRPr="00545501">
        <w:rPr>
          <w:rFonts w:ascii="Book Antiqua" w:hAnsi="Book Antiqua"/>
          <w:b/>
        </w:rPr>
        <w:t>Caio G</w:t>
      </w:r>
      <w:r w:rsidRPr="00545501">
        <w:rPr>
          <w:rFonts w:ascii="Book Antiqua" w:hAnsi="Book Antiqua"/>
        </w:rPr>
        <w:t xml:space="preserve">, Volta U, Sapone A, Leffler DA, De Giorgio R, Catassi C, Fasano A. Celiac disease: a comprehensive current review. </w:t>
      </w:r>
      <w:r w:rsidRPr="00545501">
        <w:rPr>
          <w:rFonts w:ascii="Book Antiqua" w:hAnsi="Book Antiqua"/>
          <w:i/>
        </w:rPr>
        <w:t>BMC Med</w:t>
      </w:r>
      <w:r w:rsidRPr="00545501">
        <w:rPr>
          <w:rFonts w:ascii="Book Antiqua" w:hAnsi="Book Antiqua"/>
        </w:rPr>
        <w:t xml:space="preserve"> 2019; </w:t>
      </w:r>
      <w:r w:rsidRPr="00545501">
        <w:rPr>
          <w:rFonts w:ascii="Book Antiqua" w:hAnsi="Book Antiqua"/>
          <w:b/>
        </w:rPr>
        <w:t>17</w:t>
      </w:r>
      <w:r w:rsidRPr="00545501">
        <w:rPr>
          <w:rFonts w:ascii="Book Antiqua" w:hAnsi="Book Antiqua"/>
        </w:rPr>
        <w:t>: 142 [PMID: 31331324 DOI: 10.1186/s12916-019-1380-z]</w:t>
      </w:r>
    </w:p>
    <w:p w14:paraId="40AED227" w14:textId="5507C0D1"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47 </w:t>
      </w:r>
      <w:r w:rsidRPr="00545501">
        <w:rPr>
          <w:rFonts w:ascii="Book Antiqua" w:hAnsi="Book Antiqua"/>
          <w:b/>
        </w:rPr>
        <w:t>Centre for Clinical Practice at NICE (UK)</w:t>
      </w:r>
      <w:r w:rsidR="00543261" w:rsidRPr="00545501">
        <w:rPr>
          <w:rFonts w:ascii="Book Antiqua" w:hAnsi="Book Antiqua"/>
        </w:rPr>
        <w:t xml:space="preserve">. </w:t>
      </w:r>
      <w:r w:rsidR="00855E0C" w:rsidRPr="00545501">
        <w:rPr>
          <w:rFonts w:ascii="Book Antiqua" w:hAnsi="Book Antiqua"/>
        </w:rPr>
        <w:t xml:space="preserve">Coeliac Disease: Recognition and Assessment of Coeliac Disease [Internet]. </w:t>
      </w:r>
      <w:r w:rsidR="00DA5576" w:rsidRPr="00545501">
        <w:rPr>
          <w:rFonts w:ascii="Book Antiqua" w:hAnsi="Book Antiqua"/>
        </w:rPr>
        <w:t>London: National Institute for Health and Clinical Excellence (UK); 2009</w:t>
      </w:r>
      <w:r w:rsidR="003B0564" w:rsidRPr="00545501">
        <w:rPr>
          <w:rFonts w:ascii="Book Antiqua" w:hAnsi="Book Antiqua"/>
        </w:rPr>
        <w:t xml:space="preserve"> </w:t>
      </w:r>
      <w:r w:rsidRPr="00545501">
        <w:rPr>
          <w:rFonts w:ascii="Book Antiqua" w:hAnsi="Book Antiqua"/>
        </w:rPr>
        <w:t>[PMID: 20704056]</w:t>
      </w:r>
    </w:p>
    <w:p w14:paraId="0DC10441" w14:textId="6BC2070F"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48 </w:t>
      </w:r>
      <w:r w:rsidRPr="00545501">
        <w:rPr>
          <w:rFonts w:ascii="Book Antiqua" w:hAnsi="Book Antiqua"/>
          <w:b/>
        </w:rPr>
        <w:t>Internal Clinical Guidelines Team (UK)</w:t>
      </w:r>
      <w:r w:rsidR="00543261" w:rsidRPr="00545501">
        <w:rPr>
          <w:rFonts w:ascii="Book Antiqua" w:hAnsi="Book Antiqua"/>
        </w:rPr>
        <w:t>.</w:t>
      </w:r>
      <w:r w:rsidR="006940FA" w:rsidRPr="00545501">
        <w:rPr>
          <w:rFonts w:ascii="Book Antiqua" w:hAnsi="Book Antiqua"/>
        </w:rPr>
        <w:t xml:space="preserve"> </w:t>
      </w:r>
      <w:r w:rsidR="00344A6F" w:rsidRPr="00545501">
        <w:rPr>
          <w:rFonts w:ascii="Book Antiqua" w:hAnsi="Book Antiqua"/>
        </w:rPr>
        <w:t xml:space="preserve">Coeliac Disease: Recognition, Assessment and Management. </w:t>
      </w:r>
      <w:r w:rsidR="001B1777" w:rsidRPr="00545501">
        <w:rPr>
          <w:rFonts w:ascii="Book Antiqua" w:hAnsi="Book Antiqua"/>
        </w:rPr>
        <w:t>London: National Institute for Health and Care Excellence (UK); 2015</w:t>
      </w:r>
      <w:r w:rsidR="00C50DA1" w:rsidRPr="00545501">
        <w:rPr>
          <w:rFonts w:ascii="Book Antiqua" w:hAnsi="Book Antiqua"/>
        </w:rPr>
        <w:t xml:space="preserve"> </w:t>
      </w:r>
      <w:r w:rsidRPr="00545501">
        <w:rPr>
          <w:rFonts w:ascii="Book Antiqua" w:hAnsi="Book Antiqua"/>
        </w:rPr>
        <w:t>[PMID: 26468560]</w:t>
      </w:r>
    </w:p>
    <w:p w14:paraId="40CCDC2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49 </w:t>
      </w:r>
      <w:r w:rsidRPr="00545501">
        <w:rPr>
          <w:rFonts w:ascii="Book Antiqua" w:hAnsi="Book Antiqua"/>
          <w:b/>
        </w:rPr>
        <w:t>US Preventive Services Task Force.</w:t>
      </w:r>
      <w:r w:rsidRPr="00545501">
        <w:rPr>
          <w:rFonts w:ascii="Book Antiqua" w:hAnsi="Book Antiqua"/>
        </w:rPr>
        <w:t xml:space="preserve"> Bibbins-Domingo K, Grossman DC, Curry SJ, Barry MJ, Davidson KW, Doubeni CA, Ebell M, Epling JW Jr, Herzstein J, Kemper AR, Krist AH, Kurth AE, Landefeld CS, Mangione CM, Phipps MG, Silverstein M, Simon MA, Tseng CW. Screening for Celiac Disease: US Preventive Services Task Force Recommendation Statement. </w:t>
      </w:r>
      <w:r w:rsidRPr="00545501">
        <w:rPr>
          <w:rFonts w:ascii="Book Antiqua" w:hAnsi="Book Antiqua"/>
          <w:i/>
        </w:rPr>
        <w:t>JAMA</w:t>
      </w:r>
      <w:r w:rsidRPr="00545501">
        <w:rPr>
          <w:rFonts w:ascii="Book Antiqua" w:hAnsi="Book Antiqua"/>
        </w:rPr>
        <w:t xml:space="preserve"> 2017; </w:t>
      </w:r>
      <w:r w:rsidRPr="00545501">
        <w:rPr>
          <w:rFonts w:ascii="Book Antiqua" w:hAnsi="Book Antiqua"/>
          <w:b/>
        </w:rPr>
        <w:t>317</w:t>
      </w:r>
      <w:r w:rsidRPr="00545501">
        <w:rPr>
          <w:rFonts w:ascii="Book Antiqua" w:hAnsi="Book Antiqua"/>
        </w:rPr>
        <w:t>: 1252-1257 [PMID: 28350936 DOI: 10.1001/jama.2017.1462]</w:t>
      </w:r>
    </w:p>
    <w:p w14:paraId="0E27646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 xml:space="preserve">50 </w:t>
      </w:r>
      <w:r w:rsidRPr="00545501">
        <w:rPr>
          <w:rFonts w:ascii="Book Antiqua" w:hAnsi="Book Antiqua"/>
          <w:b/>
        </w:rPr>
        <w:t>Akirov A</w:t>
      </w:r>
      <w:r w:rsidRPr="00545501">
        <w:rPr>
          <w:rFonts w:ascii="Book Antiqua" w:hAnsi="Book Antiqua"/>
        </w:rPr>
        <w:t xml:space="preserve">, Pinhas-Hamiel O. Co-occurrence of type 1 diabetes mellitus and celiac disease. </w:t>
      </w:r>
      <w:r w:rsidRPr="00545501">
        <w:rPr>
          <w:rFonts w:ascii="Book Antiqua" w:hAnsi="Book Antiqua"/>
          <w:i/>
        </w:rPr>
        <w:t>World J Diabetes</w:t>
      </w:r>
      <w:r w:rsidRPr="00545501">
        <w:rPr>
          <w:rFonts w:ascii="Book Antiqua" w:hAnsi="Book Antiqua"/>
        </w:rPr>
        <w:t xml:space="preserve"> 2015; </w:t>
      </w:r>
      <w:r w:rsidRPr="00545501">
        <w:rPr>
          <w:rFonts w:ascii="Book Antiqua" w:hAnsi="Book Antiqua"/>
          <w:b/>
        </w:rPr>
        <w:t>6</w:t>
      </w:r>
      <w:r w:rsidRPr="00545501">
        <w:rPr>
          <w:rFonts w:ascii="Book Antiqua" w:hAnsi="Book Antiqua"/>
        </w:rPr>
        <w:t>: 707-714 [PMID: 26069719 DOI: 10.4239/wjd.v6.i5.707]</w:t>
      </w:r>
    </w:p>
    <w:p w14:paraId="18442DF2"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1</w:t>
      </w:r>
      <w:r w:rsidRPr="00545501">
        <w:rPr>
          <w:rFonts w:ascii="Book Antiqua" w:hAnsi="Book Antiqua"/>
          <w:b/>
        </w:rPr>
        <w:t>Roblin X</w:t>
      </w:r>
      <w:r w:rsidRPr="00545501">
        <w:rPr>
          <w:rFonts w:ascii="Book Antiqua" w:hAnsi="Book Antiqua"/>
        </w:rPr>
        <w:t xml:space="preserve">, Helluwaert F, Bonaz B. Celiac disease must be evaluated in patients with Sjögren syndrome. </w:t>
      </w:r>
      <w:r w:rsidRPr="00545501">
        <w:rPr>
          <w:rFonts w:ascii="Book Antiqua" w:hAnsi="Book Antiqua"/>
          <w:i/>
        </w:rPr>
        <w:t>Arch Intern Med</w:t>
      </w:r>
      <w:r w:rsidRPr="00545501">
        <w:rPr>
          <w:rFonts w:ascii="Book Antiqua" w:hAnsi="Book Antiqua"/>
        </w:rPr>
        <w:t xml:space="preserve"> 2004; </w:t>
      </w:r>
      <w:r w:rsidRPr="00545501">
        <w:rPr>
          <w:rFonts w:ascii="Book Antiqua" w:hAnsi="Book Antiqua"/>
          <w:b/>
        </w:rPr>
        <w:t>164</w:t>
      </w:r>
      <w:r w:rsidRPr="00545501">
        <w:rPr>
          <w:rFonts w:ascii="Book Antiqua" w:hAnsi="Book Antiqua"/>
        </w:rPr>
        <w:t>: 2387 [PMID: 15557423 DOI: 10.1001/archinte.164.21.2387-b]</w:t>
      </w:r>
    </w:p>
    <w:p w14:paraId="0AA364EC"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2</w:t>
      </w:r>
      <w:r w:rsidRPr="00545501">
        <w:rPr>
          <w:rFonts w:ascii="Book Antiqua" w:hAnsi="Book Antiqua"/>
        </w:rPr>
        <w:t xml:space="preserve"> </w:t>
      </w:r>
      <w:r w:rsidRPr="00545501">
        <w:rPr>
          <w:rFonts w:ascii="Book Antiqua" w:hAnsi="Book Antiqua"/>
          <w:b/>
        </w:rPr>
        <w:t>Stern M</w:t>
      </w:r>
      <w:r w:rsidRPr="00545501">
        <w:rPr>
          <w:rFonts w:ascii="Book Antiqua" w:hAnsi="Book Antiqua"/>
        </w:rPr>
        <w:t xml:space="preserve">; Working Group on Serologic Screening for Celiac Disease. Comparative evaluation of serologic tests for celiac disease: a European initiative toward standardization. </w:t>
      </w:r>
      <w:r w:rsidRPr="00545501">
        <w:rPr>
          <w:rFonts w:ascii="Book Antiqua" w:hAnsi="Book Antiqua"/>
          <w:i/>
        </w:rPr>
        <w:t>J Pediatr Gastroenterol Nutr</w:t>
      </w:r>
      <w:r w:rsidRPr="00545501">
        <w:rPr>
          <w:rFonts w:ascii="Book Antiqua" w:hAnsi="Book Antiqua"/>
        </w:rPr>
        <w:t xml:space="preserve"> 2000; </w:t>
      </w:r>
      <w:r w:rsidRPr="00545501">
        <w:rPr>
          <w:rFonts w:ascii="Book Antiqua" w:hAnsi="Book Antiqua"/>
          <w:b/>
        </w:rPr>
        <w:t>31</w:t>
      </w:r>
      <w:r w:rsidRPr="00545501">
        <w:rPr>
          <w:rFonts w:ascii="Book Antiqua" w:hAnsi="Book Antiqua"/>
        </w:rPr>
        <w:t>: 513-519 [PMID: 11144436 DOI: 10.1097/00005176-200011000-00012]</w:t>
      </w:r>
    </w:p>
    <w:p w14:paraId="39637A91"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3</w:t>
      </w:r>
      <w:r w:rsidRPr="00545501">
        <w:rPr>
          <w:rFonts w:ascii="Book Antiqua" w:hAnsi="Book Antiqua"/>
        </w:rPr>
        <w:t xml:space="preserve"> </w:t>
      </w:r>
      <w:r w:rsidRPr="00545501">
        <w:rPr>
          <w:rFonts w:ascii="Book Antiqua" w:hAnsi="Book Antiqua"/>
          <w:b/>
        </w:rPr>
        <w:t>Balaban DV</w:t>
      </w:r>
      <w:r w:rsidRPr="00545501">
        <w:rPr>
          <w:rFonts w:ascii="Book Antiqua" w:hAnsi="Book Antiqua"/>
        </w:rPr>
        <w:t xml:space="preserve">, Popp A, Ionita Radu F, Jinga M. Hematologic Manifestations in Celiac Disease-A Practical Review. </w:t>
      </w:r>
      <w:r w:rsidRPr="00545501">
        <w:rPr>
          <w:rFonts w:ascii="Book Antiqua" w:hAnsi="Book Antiqua"/>
          <w:i/>
        </w:rPr>
        <w:t>Medicina (Kaunas)</w:t>
      </w:r>
      <w:r w:rsidRPr="00545501">
        <w:rPr>
          <w:rFonts w:ascii="Book Antiqua" w:hAnsi="Book Antiqua"/>
        </w:rPr>
        <w:t xml:space="preserve"> 2019; </w:t>
      </w:r>
      <w:r w:rsidRPr="00545501">
        <w:rPr>
          <w:rFonts w:ascii="Book Antiqua" w:hAnsi="Book Antiqua"/>
          <w:b/>
        </w:rPr>
        <w:t>55</w:t>
      </w:r>
      <w:r w:rsidR="00C50DA1" w:rsidRPr="00545501">
        <w:rPr>
          <w:rFonts w:ascii="Book Antiqua" w:hAnsi="Book Antiqua"/>
        </w:rPr>
        <w:t xml:space="preserve">: </w:t>
      </w:r>
      <w:r w:rsidRPr="00545501">
        <w:rPr>
          <w:rFonts w:ascii="Book Antiqua" w:hAnsi="Book Antiqua"/>
        </w:rPr>
        <w:t>[PMID: 31311098 DOI: 10.3390/medicina55070373]</w:t>
      </w:r>
    </w:p>
    <w:p w14:paraId="3861D56F"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4</w:t>
      </w:r>
      <w:r w:rsidRPr="00545501">
        <w:rPr>
          <w:rFonts w:ascii="Book Antiqua" w:hAnsi="Book Antiqua"/>
        </w:rPr>
        <w:t xml:space="preserve"> </w:t>
      </w:r>
      <w:r w:rsidRPr="00545501">
        <w:rPr>
          <w:rFonts w:ascii="Book Antiqua" w:hAnsi="Book Antiqua"/>
          <w:b/>
        </w:rPr>
        <w:t>Leffler DA</w:t>
      </w:r>
      <w:r w:rsidRPr="00545501">
        <w:rPr>
          <w:rFonts w:ascii="Book Antiqua" w:hAnsi="Book Antiqua"/>
        </w:rPr>
        <w:t xml:space="preserve">, Schuppan D. Update on serologic testing in celiac disease. </w:t>
      </w:r>
      <w:r w:rsidRPr="00545501">
        <w:rPr>
          <w:rFonts w:ascii="Book Antiqua" w:hAnsi="Book Antiqua"/>
          <w:i/>
        </w:rPr>
        <w:t>Am J Gastroenterol</w:t>
      </w:r>
      <w:r w:rsidRPr="00545501">
        <w:rPr>
          <w:rFonts w:ascii="Book Antiqua" w:hAnsi="Book Antiqua"/>
        </w:rPr>
        <w:t xml:space="preserve"> 2010; </w:t>
      </w:r>
      <w:r w:rsidRPr="00545501">
        <w:rPr>
          <w:rFonts w:ascii="Book Antiqua" w:hAnsi="Book Antiqua"/>
          <w:b/>
        </w:rPr>
        <w:t>105</w:t>
      </w:r>
      <w:r w:rsidRPr="00545501">
        <w:rPr>
          <w:rFonts w:ascii="Book Antiqua" w:hAnsi="Book Antiqua"/>
        </w:rPr>
        <w:t>: 2520-2524 [PMID: 21131921 DOI: 10.1038/ajg.2010.276]</w:t>
      </w:r>
    </w:p>
    <w:p w14:paraId="1C45C51D"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5</w:t>
      </w:r>
      <w:r w:rsidRPr="00545501">
        <w:rPr>
          <w:rFonts w:ascii="Book Antiqua" w:hAnsi="Book Antiqua"/>
        </w:rPr>
        <w:t xml:space="preserve"> </w:t>
      </w:r>
      <w:r w:rsidRPr="00545501">
        <w:rPr>
          <w:rFonts w:ascii="Book Antiqua" w:hAnsi="Book Antiqua"/>
          <w:b/>
        </w:rPr>
        <w:t>Aziz I</w:t>
      </w:r>
      <w:r w:rsidRPr="00545501">
        <w:rPr>
          <w:rFonts w:ascii="Book Antiqua" w:hAnsi="Book Antiqua"/>
        </w:rPr>
        <w:t xml:space="preserve">, Peerally MF, Barnes JH, Kandasamy V, Whiteley JC, Partridge D, Vergani P, Cross SS, Green PH, Sanders DS. The clinical and phenotypical assessment of seronegative villous atrophy; a prospective UK centre experience evaluating 200 adult cases over a 15-year period (2000-2015). </w:t>
      </w:r>
      <w:r w:rsidRPr="00545501">
        <w:rPr>
          <w:rFonts w:ascii="Book Antiqua" w:hAnsi="Book Antiqua"/>
          <w:i/>
        </w:rPr>
        <w:t>Gut</w:t>
      </w:r>
      <w:r w:rsidRPr="00545501">
        <w:rPr>
          <w:rFonts w:ascii="Book Antiqua" w:hAnsi="Book Antiqua"/>
        </w:rPr>
        <w:t xml:space="preserve"> 2017; </w:t>
      </w:r>
      <w:r w:rsidRPr="00545501">
        <w:rPr>
          <w:rFonts w:ascii="Book Antiqua" w:hAnsi="Book Antiqua"/>
          <w:b/>
        </w:rPr>
        <w:t>66</w:t>
      </w:r>
      <w:r w:rsidRPr="00545501">
        <w:rPr>
          <w:rFonts w:ascii="Book Antiqua" w:hAnsi="Book Antiqua"/>
        </w:rPr>
        <w:t>: 1563-1572 [PMID: 27605538 DOI: 10.1136/gutjnl-2016-312271]</w:t>
      </w:r>
    </w:p>
    <w:p w14:paraId="3BA7AF72"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6</w:t>
      </w:r>
      <w:r w:rsidRPr="00545501">
        <w:rPr>
          <w:rFonts w:ascii="Book Antiqua" w:hAnsi="Book Antiqua"/>
        </w:rPr>
        <w:t xml:space="preserve"> </w:t>
      </w:r>
      <w:r w:rsidRPr="00545501">
        <w:rPr>
          <w:rFonts w:ascii="Book Antiqua" w:hAnsi="Book Antiqua"/>
          <w:b/>
        </w:rPr>
        <w:t>Volta U</w:t>
      </w:r>
      <w:r w:rsidRPr="00545501">
        <w:rPr>
          <w:rFonts w:ascii="Book Antiqua" w:hAnsi="Book Antiqua"/>
        </w:rPr>
        <w:t xml:space="preserve">, Caio G, Boschetti E, Giancola F, Rhoden KJ, Ruggeri E, Paterini P, De Giorgio R. Seronegative celiac disease: Shedding light on an obscure clinical entity. </w:t>
      </w:r>
      <w:r w:rsidRPr="00545501">
        <w:rPr>
          <w:rFonts w:ascii="Book Antiqua" w:hAnsi="Book Antiqua"/>
          <w:i/>
        </w:rPr>
        <w:t>Dig Liver Dis</w:t>
      </w:r>
      <w:r w:rsidRPr="00545501">
        <w:rPr>
          <w:rFonts w:ascii="Book Antiqua" w:hAnsi="Book Antiqua"/>
        </w:rPr>
        <w:t xml:space="preserve"> 2016; </w:t>
      </w:r>
      <w:r w:rsidRPr="00545501">
        <w:rPr>
          <w:rFonts w:ascii="Book Antiqua" w:hAnsi="Book Antiqua"/>
          <w:b/>
        </w:rPr>
        <w:t>48</w:t>
      </w:r>
      <w:r w:rsidRPr="00545501">
        <w:rPr>
          <w:rFonts w:ascii="Book Antiqua" w:hAnsi="Book Antiqua"/>
        </w:rPr>
        <w:t>: 1018-1022 [PMID: 27352981 DOI: 10.1016/j.dld.2016.05.024]</w:t>
      </w:r>
    </w:p>
    <w:p w14:paraId="2B026DF3"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7</w:t>
      </w:r>
      <w:r w:rsidRPr="00545501">
        <w:rPr>
          <w:rFonts w:ascii="Book Antiqua" w:hAnsi="Book Antiqua"/>
        </w:rPr>
        <w:t xml:space="preserve"> </w:t>
      </w:r>
      <w:r w:rsidRPr="00545501">
        <w:rPr>
          <w:rFonts w:ascii="Book Antiqua" w:hAnsi="Book Antiqua"/>
          <w:b/>
        </w:rPr>
        <w:t>DeGaetani M</w:t>
      </w:r>
      <w:r w:rsidRPr="00545501">
        <w:rPr>
          <w:rFonts w:ascii="Book Antiqua" w:hAnsi="Book Antiqua"/>
        </w:rPr>
        <w:t xml:space="preserve">, Tennyson CA, Lebwohl B, Lewis SK, Abu Daya H, Arguelles-Grande C, Bhagat G, Green PH. Villous atrophy and negative celiac serology: a diagnostic and therapeutic dilemma. </w:t>
      </w:r>
      <w:r w:rsidRPr="00545501">
        <w:rPr>
          <w:rFonts w:ascii="Book Antiqua" w:hAnsi="Book Antiqua"/>
          <w:i/>
        </w:rPr>
        <w:t>Am J Gastroenterol</w:t>
      </w:r>
      <w:r w:rsidRPr="00545501">
        <w:rPr>
          <w:rFonts w:ascii="Book Antiqua" w:hAnsi="Book Antiqua"/>
        </w:rPr>
        <w:t xml:space="preserve"> 2013; </w:t>
      </w:r>
      <w:r w:rsidRPr="00545501">
        <w:rPr>
          <w:rFonts w:ascii="Book Antiqua" w:hAnsi="Book Antiqua"/>
          <w:b/>
        </w:rPr>
        <w:t>108</w:t>
      </w:r>
      <w:r w:rsidRPr="00545501">
        <w:rPr>
          <w:rFonts w:ascii="Book Antiqua" w:hAnsi="Book Antiqua"/>
        </w:rPr>
        <w:t>: 647-653 [PMID: 23644957 DOI: 10.1038/ajg.2013.45]</w:t>
      </w:r>
    </w:p>
    <w:p w14:paraId="1740CC56" w14:textId="77777777" w:rsidR="004B21DA" w:rsidRPr="00545501" w:rsidRDefault="004B21DA" w:rsidP="003541E7">
      <w:pPr>
        <w:adjustRightInd w:val="0"/>
        <w:snapToGrid w:val="0"/>
        <w:spacing w:line="360" w:lineRule="auto"/>
        <w:jc w:val="both"/>
        <w:rPr>
          <w:rFonts w:ascii="Book Antiqua" w:hAnsi="Book Antiqua"/>
        </w:rPr>
      </w:pPr>
      <w:r w:rsidRPr="00545501">
        <w:rPr>
          <w:rFonts w:ascii="Book Antiqua" w:hAnsi="Book Antiqua"/>
        </w:rPr>
        <w:t>5</w:t>
      </w:r>
      <w:r w:rsidR="000B7C3B" w:rsidRPr="00545501">
        <w:rPr>
          <w:rFonts w:ascii="Book Antiqua" w:hAnsi="Book Antiqua"/>
        </w:rPr>
        <w:t>8</w:t>
      </w:r>
      <w:r w:rsidRPr="00545501">
        <w:rPr>
          <w:rFonts w:ascii="Book Antiqua" w:hAnsi="Book Antiqua"/>
        </w:rPr>
        <w:t xml:space="preserve"> </w:t>
      </w:r>
      <w:r w:rsidRPr="00545501">
        <w:rPr>
          <w:rFonts w:ascii="Book Antiqua" w:hAnsi="Book Antiqua"/>
          <w:b/>
        </w:rPr>
        <w:t>Lerner A</w:t>
      </w:r>
      <w:r w:rsidRPr="00545501">
        <w:rPr>
          <w:rFonts w:ascii="Book Antiqua" w:hAnsi="Book Antiqua"/>
        </w:rPr>
        <w:t xml:space="preserve">, Ramesh A, Matthias T. Going gluten free in non-celiac autoimmune diseases: the missing ingredient. </w:t>
      </w:r>
      <w:r w:rsidRPr="00545501">
        <w:rPr>
          <w:rFonts w:ascii="Book Antiqua" w:hAnsi="Book Antiqua"/>
          <w:i/>
        </w:rPr>
        <w:t>Expert Rev Clin Immunol</w:t>
      </w:r>
      <w:r w:rsidRPr="00545501">
        <w:rPr>
          <w:rFonts w:ascii="Book Antiqua" w:hAnsi="Book Antiqua"/>
        </w:rPr>
        <w:t xml:space="preserve"> 2018; </w:t>
      </w:r>
      <w:r w:rsidRPr="00545501">
        <w:rPr>
          <w:rFonts w:ascii="Book Antiqua" w:hAnsi="Book Antiqua"/>
          <w:b/>
        </w:rPr>
        <w:t>14</w:t>
      </w:r>
      <w:r w:rsidRPr="00545501">
        <w:rPr>
          <w:rFonts w:ascii="Book Antiqua" w:hAnsi="Book Antiqua"/>
        </w:rPr>
        <w:t>: 873-875 [PMID: 30220227 DOI: 10.1080/1744666X.2018.1524757]</w:t>
      </w:r>
    </w:p>
    <w:p w14:paraId="2BEBB68A" w14:textId="12508B08" w:rsidR="004B21DA" w:rsidRPr="00545501" w:rsidRDefault="000B7C3B" w:rsidP="003541E7">
      <w:pPr>
        <w:adjustRightInd w:val="0"/>
        <w:snapToGrid w:val="0"/>
        <w:spacing w:line="360" w:lineRule="auto"/>
        <w:jc w:val="both"/>
        <w:rPr>
          <w:rFonts w:ascii="Book Antiqua" w:hAnsi="Book Antiqua"/>
        </w:rPr>
      </w:pPr>
      <w:r w:rsidRPr="00545501">
        <w:rPr>
          <w:rFonts w:ascii="Book Antiqua" w:hAnsi="Book Antiqua"/>
        </w:rPr>
        <w:t>59</w:t>
      </w:r>
      <w:r w:rsidR="00DD212E" w:rsidRPr="00545501">
        <w:rPr>
          <w:rFonts w:ascii="Book Antiqua" w:hAnsi="Book Antiqua"/>
        </w:rPr>
        <w:t xml:space="preserve"> </w:t>
      </w:r>
      <w:r w:rsidR="004B21DA" w:rsidRPr="00545501">
        <w:rPr>
          <w:rFonts w:ascii="Book Antiqua" w:hAnsi="Book Antiqua"/>
          <w:b/>
        </w:rPr>
        <w:t>Lerner A,</w:t>
      </w:r>
      <w:r w:rsidR="00C50DA1" w:rsidRPr="00545501">
        <w:rPr>
          <w:rFonts w:ascii="Book Antiqua" w:hAnsi="Book Antiqua"/>
        </w:rPr>
        <w:t xml:space="preserve"> </w:t>
      </w:r>
      <w:r w:rsidR="004B21DA" w:rsidRPr="00545501">
        <w:rPr>
          <w:rFonts w:ascii="Book Antiqua" w:hAnsi="Book Antiqua"/>
        </w:rPr>
        <w:t xml:space="preserve">Ramesh A, Matthias T. Are Non-Celiac Autoimmune Diseases Responsive to Gluten-Free Diet? </w:t>
      </w:r>
      <w:r w:rsidR="004B21DA" w:rsidRPr="00545501">
        <w:rPr>
          <w:rFonts w:ascii="Book Antiqua" w:hAnsi="Book Antiqua"/>
          <w:i/>
        </w:rPr>
        <w:t>Int</w:t>
      </w:r>
      <w:r w:rsidR="00E7356B" w:rsidRPr="00545501">
        <w:rPr>
          <w:rFonts w:ascii="Book Antiqua" w:hAnsi="Book Antiqua"/>
          <w:i/>
        </w:rPr>
        <w:t xml:space="preserve"> </w:t>
      </w:r>
      <w:r w:rsidR="004B21DA" w:rsidRPr="00545501">
        <w:rPr>
          <w:rFonts w:ascii="Book Antiqua" w:hAnsi="Book Antiqua"/>
          <w:i/>
        </w:rPr>
        <w:t>J Celiac Dis</w:t>
      </w:r>
      <w:r w:rsidR="003E67BF" w:rsidRPr="00545501">
        <w:rPr>
          <w:rFonts w:ascii="Book Antiqua" w:hAnsi="Book Antiqua"/>
          <w:i/>
        </w:rPr>
        <w:t xml:space="preserve"> </w:t>
      </w:r>
      <w:r w:rsidR="004B21DA" w:rsidRPr="00545501">
        <w:rPr>
          <w:rFonts w:ascii="Book Antiqua" w:hAnsi="Book Antiqua"/>
        </w:rPr>
        <w:t>2017;</w:t>
      </w:r>
      <w:r w:rsidR="00543261" w:rsidRPr="00545501">
        <w:rPr>
          <w:rFonts w:ascii="Book Antiqua" w:hAnsi="Book Antiqua"/>
        </w:rPr>
        <w:t xml:space="preserve"> </w:t>
      </w:r>
      <w:r w:rsidR="004B21DA" w:rsidRPr="00545501">
        <w:rPr>
          <w:rFonts w:ascii="Book Antiqua" w:hAnsi="Book Antiqua"/>
          <w:b/>
        </w:rPr>
        <w:t>5</w:t>
      </w:r>
      <w:r w:rsidR="004B21DA" w:rsidRPr="00545501">
        <w:rPr>
          <w:rFonts w:ascii="Book Antiqua" w:hAnsi="Book Antiqua"/>
        </w:rPr>
        <w:t>:</w:t>
      </w:r>
      <w:r w:rsidR="00543261" w:rsidRPr="00545501">
        <w:rPr>
          <w:rFonts w:ascii="Book Antiqua" w:hAnsi="Book Antiqua"/>
        </w:rPr>
        <w:t xml:space="preserve"> 164-167 </w:t>
      </w:r>
      <w:r w:rsidR="004B21DA" w:rsidRPr="00545501">
        <w:rPr>
          <w:rFonts w:ascii="Book Antiqua" w:hAnsi="Book Antiqua"/>
        </w:rPr>
        <w:t>[DOI: 10.12691/ijcd-5-4-6]</w:t>
      </w:r>
    </w:p>
    <w:p w14:paraId="0CC6A7EC" w14:textId="77777777" w:rsidR="00A77B3E" w:rsidRPr="00545501" w:rsidRDefault="00A77B3E" w:rsidP="003541E7">
      <w:pPr>
        <w:adjustRightInd w:val="0"/>
        <w:snapToGrid w:val="0"/>
        <w:spacing w:line="360" w:lineRule="auto"/>
        <w:jc w:val="both"/>
        <w:rPr>
          <w:rFonts w:ascii="Book Antiqua" w:hAnsi="Book Antiqua"/>
        </w:rPr>
        <w:sectPr w:rsidR="00A77B3E" w:rsidRPr="00545501" w:rsidSect="00B7035B">
          <w:pgSz w:w="12240" w:h="15840"/>
          <w:pgMar w:top="1440" w:right="1800" w:bottom="1440" w:left="1800" w:header="720" w:footer="720" w:gutter="0"/>
          <w:cols w:space="720"/>
          <w:docGrid w:linePitch="360"/>
        </w:sectPr>
      </w:pPr>
    </w:p>
    <w:bookmarkEnd w:id="7"/>
    <w:bookmarkEnd w:id="8"/>
    <w:p w14:paraId="3C24CFC4"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Footnotes</w:t>
      </w:r>
    </w:p>
    <w:p w14:paraId="6B437388"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Informed consent statement: </w:t>
      </w:r>
      <w:r w:rsidRPr="00545501">
        <w:rPr>
          <w:rFonts w:ascii="Book Antiqua" w:eastAsia="Book Antiqua" w:hAnsi="Book Antiqua" w:cs="Book Antiqua"/>
          <w:color w:val="000000"/>
        </w:rPr>
        <w:t xml:space="preserve">Informed written consent was obtained from the patient for publication of this report and any accompanying images. </w:t>
      </w:r>
    </w:p>
    <w:p w14:paraId="15B426BD" w14:textId="77777777" w:rsidR="00A77B3E" w:rsidRPr="00545501" w:rsidRDefault="00A77B3E" w:rsidP="003541E7">
      <w:pPr>
        <w:adjustRightInd w:val="0"/>
        <w:snapToGrid w:val="0"/>
        <w:spacing w:line="360" w:lineRule="auto"/>
        <w:jc w:val="both"/>
        <w:rPr>
          <w:rFonts w:ascii="Book Antiqua" w:hAnsi="Book Antiqua"/>
        </w:rPr>
      </w:pPr>
    </w:p>
    <w:p w14:paraId="3B3EDDBA"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Conflict-of-interest statement: </w:t>
      </w:r>
      <w:r w:rsidRPr="00545501">
        <w:rPr>
          <w:rFonts w:ascii="Book Antiqua" w:eastAsia="Book Antiqua" w:hAnsi="Book Antiqua" w:cs="Book Antiqua"/>
          <w:color w:val="000000"/>
        </w:rPr>
        <w:t xml:space="preserve">The authors declare that they have no conflict of interest. </w:t>
      </w:r>
    </w:p>
    <w:p w14:paraId="75CD03D4" w14:textId="77777777" w:rsidR="00A77B3E" w:rsidRPr="00545501" w:rsidRDefault="00A77B3E" w:rsidP="003541E7">
      <w:pPr>
        <w:adjustRightInd w:val="0"/>
        <w:snapToGrid w:val="0"/>
        <w:spacing w:line="360" w:lineRule="auto"/>
        <w:jc w:val="both"/>
        <w:rPr>
          <w:rFonts w:ascii="Book Antiqua" w:hAnsi="Book Antiqua"/>
        </w:rPr>
      </w:pPr>
    </w:p>
    <w:p w14:paraId="5518E55C" w14:textId="2D04F833"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CARE Checklist (2016) statement: </w:t>
      </w:r>
      <w:r w:rsidRPr="00545501">
        <w:rPr>
          <w:rFonts w:ascii="Book Antiqua" w:eastAsia="Book Antiqua" w:hAnsi="Book Antiqua" w:cs="Book Antiqua"/>
          <w:color w:val="000000"/>
        </w:rPr>
        <w:t>The authors have read the CARE Checklist (201</w:t>
      </w:r>
      <w:r w:rsidR="00EA3C6F" w:rsidRPr="00545501">
        <w:rPr>
          <w:rFonts w:ascii="Book Antiqua" w:eastAsia="Book Antiqua" w:hAnsi="Book Antiqua" w:cs="Book Antiqua"/>
          <w:color w:val="000000"/>
        </w:rPr>
        <w:t>6</w:t>
      </w:r>
      <w:r w:rsidRPr="00545501">
        <w:rPr>
          <w:rFonts w:ascii="Book Antiqua" w:eastAsia="Book Antiqua" w:hAnsi="Book Antiqua" w:cs="Book Antiqua"/>
          <w:color w:val="000000"/>
        </w:rPr>
        <w:t xml:space="preserve">), and the manuscript was prepared and revised according to the CARE Checklist (2016). </w:t>
      </w:r>
    </w:p>
    <w:p w14:paraId="3723D250" w14:textId="77777777" w:rsidR="00A77B3E" w:rsidRPr="00545501" w:rsidRDefault="00A77B3E" w:rsidP="003541E7">
      <w:pPr>
        <w:adjustRightInd w:val="0"/>
        <w:snapToGrid w:val="0"/>
        <w:spacing w:line="360" w:lineRule="auto"/>
        <w:jc w:val="both"/>
        <w:rPr>
          <w:rFonts w:ascii="Book Antiqua" w:hAnsi="Book Antiqua"/>
        </w:rPr>
      </w:pPr>
    </w:p>
    <w:p w14:paraId="7448235F"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bCs/>
          <w:color w:val="000000"/>
        </w:rPr>
        <w:t xml:space="preserve">Open-Access: </w:t>
      </w:r>
      <w:r w:rsidRPr="005455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81EB53" w14:textId="77777777" w:rsidR="00A77B3E" w:rsidRPr="00545501" w:rsidRDefault="00A77B3E" w:rsidP="003541E7">
      <w:pPr>
        <w:adjustRightInd w:val="0"/>
        <w:snapToGrid w:val="0"/>
        <w:spacing w:line="360" w:lineRule="auto"/>
        <w:jc w:val="both"/>
        <w:rPr>
          <w:rFonts w:ascii="Book Antiqua" w:hAnsi="Book Antiqua"/>
        </w:rPr>
      </w:pPr>
    </w:p>
    <w:p w14:paraId="292D93B7"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Manuscript source: </w:t>
      </w:r>
      <w:r w:rsidRPr="00545501">
        <w:rPr>
          <w:rFonts w:ascii="Book Antiqua" w:eastAsia="Book Antiqua" w:hAnsi="Book Antiqua" w:cs="Book Antiqua"/>
          <w:color w:val="000000"/>
        </w:rPr>
        <w:t xml:space="preserve">Invited </w:t>
      </w:r>
      <w:r w:rsidR="00FD1E8F" w:rsidRPr="00545501">
        <w:rPr>
          <w:rFonts w:ascii="Book Antiqua" w:eastAsia="Book Antiqua" w:hAnsi="Book Antiqua" w:cs="Book Antiqua"/>
          <w:color w:val="000000"/>
        </w:rPr>
        <w:t>manuscript</w:t>
      </w:r>
    </w:p>
    <w:p w14:paraId="54888EAC" w14:textId="77777777" w:rsidR="00A77B3E" w:rsidRPr="00545501" w:rsidRDefault="00A77B3E" w:rsidP="003541E7">
      <w:pPr>
        <w:adjustRightInd w:val="0"/>
        <w:snapToGrid w:val="0"/>
        <w:spacing w:line="360" w:lineRule="auto"/>
        <w:jc w:val="both"/>
        <w:rPr>
          <w:rFonts w:ascii="Book Antiqua" w:hAnsi="Book Antiqua"/>
        </w:rPr>
      </w:pPr>
    </w:p>
    <w:p w14:paraId="15D6495C"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Peer-review started: </w:t>
      </w:r>
      <w:r w:rsidRPr="00545501">
        <w:rPr>
          <w:rFonts w:ascii="Book Antiqua" w:eastAsia="Book Antiqua" w:hAnsi="Book Antiqua" w:cs="Book Antiqua"/>
          <w:color w:val="000000"/>
        </w:rPr>
        <w:t>February 27, 2020</w:t>
      </w:r>
    </w:p>
    <w:p w14:paraId="58C8FEF9"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First decision: </w:t>
      </w:r>
      <w:r w:rsidRPr="00545501">
        <w:rPr>
          <w:rFonts w:ascii="Book Antiqua" w:eastAsia="Book Antiqua" w:hAnsi="Book Antiqua" w:cs="Book Antiqua"/>
          <w:color w:val="000000"/>
        </w:rPr>
        <w:t>April 8, 2020</w:t>
      </w:r>
    </w:p>
    <w:p w14:paraId="31EA8B45" w14:textId="643C51B9"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Article in press: </w:t>
      </w:r>
      <w:r w:rsidR="009321D0" w:rsidRPr="00545501">
        <w:rPr>
          <w:rFonts w:ascii="Book Antiqua" w:eastAsia="Book Antiqua" w:hAnsi="Book Antiqua" w:cs="Book Antiqua"/>
          <w:color w:val="000000"/>
        </w:rPr>
        <w:t>August 25, 2020</w:t>
      </w:r>
    </w:p>
    <w:p w14:paraId="0DEDB6BA" w14:textId="77777777" w:rsidR="00A77B3E" w:rsidRPr="00545501" w:rsidRDefault="00A77B3E" w:rsidP="003541E7">
      <w:pPr>
        <w:adjustRightInd w:val="0"/>
        <w:snapToGrid w:val="0"/>
        <w:spacing w:line="360" w:lineRule="auto"/>
        <w:jc w:val="both"/>
        <w:rPr>
          <w:rFonts w:ascii="Book Antiqua" w:hAnsi="Book Antiqua"/>
        </w:rPr>
      </w:pPr>
    </w:p>
    <w:p w14:paraId="7387BD2E"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Specialty type: </w:t>
      </w:r>
      <w:r w:rsidR="00257E6A" w:rsidRPr="00545501">
        <w:rPr>
          <w:rFonts w:ascii="Book Antiqua" w:eastAsia="Book Antiqua" w:hAnsi="Book Antiqua" w:cs="Book Antiqua"/>
          <w:color w:val="000000"/>
        </w:rPr>
        <w:t xml:space="preserve">Medicine, </w:t>
      </w:r>
      <w:r w:rsidR="00FD1E8F" w:rsidRPr="00545501">
        <w:rPr>
          <w:rFonts w:ascii="Book Antiqua" w:eastAsia="Book Antiqua" w:hAnsi="Book Antiqua" w:cs="Book Antiqua"/>
          <w:color w:val="000000"/>
        </w:rPr>
        <w:t xml:space="preserve">research </w:t>
      </w:r>
      <w:r w:rsidR="00257E6A" w:rsidRPr="00545501">
        <w:rPr>
          <w:rFonts w:ascii="Book Antiqua" w:eastAsia="Book Antiqua" w:hAnsi="Book Antiqua" w:cs="Book Antiqua"/>
          <w:color w:val="000000"/>
        </w:rPr>
        <w:t xml:space="preserve">and </w:t>
      </w:r>
      <w:r w:rsidR="00FD1E8F" w:rsidRPr="00545501">
        <w:rPr>
          <w:rFonts w:ascii="Book Antiqua" w:eastAsia="Book Antiqua" w:hAnsi="Book Antiqua" w:cs="Book Antiqua"/>
          <w:color w:val="000000"/>
        </w:rPr>
        <w:t>experimental</w:t>
      </w:r>
    </w:p>
    <w:p w14:paraId="39719615"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 xml:space="preserve">Country/Territory of origin: </w:t>
      </w:r>
      <w:r w:rsidRPr="00545501">
        <w:rPr>
          <w:rFonts w:ascii="Book Antiqua" w:eastAsia="Book Antiqua" w:hAnsi="Book Antiqua" w:cs="Book Antiqua"/>
          <w:color w:val="000000"/>
        </w:rPr>
        <w:t>Romania</w:t>
      </w:r>
    </w:p>
    <w:p w14:paraId="55976D95"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b/>
          <w:color w:val="000000"/>
        </w:rPr>
        <w:t>Peer-review report’s scientific quality classification</w:t>
      </w:r>
    </w:p>
    <w:p w14:paraId="2D53D1AF"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Grade A (Excellent): A</w:t>
      </w:r>
    </w:p>
    <w:p w14:paraId="039FF747"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Grade B (Very good): B</w:t>
      </w:r>
    </w:p>
    <w:p w14:paraId="2ADE03F6"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Grade C (Good): 0</w:t>
      </w:r>
    </w:p>
    <w:p w14:paraId="224AAB71"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Grade D (Fair): D, D</w:t>
      </w:r>
    </w:p>
    <w:p w14:paraId="259FD4EF" w14:textId="77777777" w:rsidR="00A77B3E" w:rsidRPr="00545501" w:rsidRDefault="0061504E" w:rsidP="003541E7">
      <w:pPr>
        <w:adjustRightInd w:val="0"/>
        <w:snapToGrid w:val="0"/>
        <w:spacing w:line="360" w:lineRule="auto"/>
        <w:jc w:val="both"/>
        <w:rPr>
          <w:rFonts w:ascii="Book Antiqua" w:hAnsi="Book Antiqua"/>
        </w:rPr>
      </w:pPr>
      <w:r w:rsidRPr="00545501">
        <w:rPr>
          <w:rFonts w:ascii="Book Antiqua" w:eastAsia="Book Antiqua" w:hAnsi="Book Antiqua" w:cs="Book Antiqua"/>
          <w:color w:val="000000"/>
        </w:rPr>
        <w:t>Grade E (Poor): E</w:t>
      </w:r>
    </w:p>
    <w:p w14:paraId="7FB8A837" w14:textId="77777777" w:rsidR="00A77B3E" w:rsidRPr="00545501" w:rsidRDefault="00A77B3E" w:rsidP="003541E7">
      <w:pPr>
        <w:adjustRightInd w:val="0"/>
        <w:snapToGrid w:val="0"/>
        <w:spacing w:line="360" w:lineRule="auto"/>
        <w:jc w:val="both"/>
        <w:rPr>
          <w:rFonts w:ascii="Book Antiqua" w:hAnsi="Book Antiqua"/>
        </w:rPr>
      </w:pPr>
    </w:p>
    <w:p w14:paraId="6A1A4C8D" w14:textId="0056FABD" w:rsidR="00A77B3E" w:rsidRPr="00545501" w:rsidRDefault="0061504E" w:rsidP="003541E7">
      <w:pPr>
        <w:adjustRightInd w:val="0"/>
        <w:snapToGrid w:val="0"/>
        <w:spacing w:line="360" w:lineRule="auto"/>
        <w:jc w:val="both"/>
        <w:rPr>
          <w:rFonts w:ascii="Book Antiqua" w:hAnsi="Book Antiqua" w:cs="Book Antiqua"/>
          <w:b/>
          <w:color w:val="000000"/>
          <w:lang w:eastAsia="zh-CN"/>
        </w:rPr>
      </w:pPr>
      <w:r w:rsidRPr="00545501">
        <w:rPr>
          <w:rFonts w:ascii="Book Antiqua" w:eastAsia="Book Antiqua" w:hAnsi="Book Antiqua" w:cs="Book Antiqua"/>
          <w:b/>
          <w:color w:val="000000"/>
        </w:rPr>
        <w:t xml:space="preserve">P-Reviewer: </w:t>
      </w:r>
      <w:r w:rsidRPr="00545501">
        <w:rPr>
          <w:rFonts w:ascii="Book Antiqua" w:eastAsia="Book Antiqua" w:hAnsi="Book Antiqua" w:cs="Book Antiqua"/>
          <w:color w:val="000000"/>
        </w:rPr>
        <w:t>Iovino P, Kansu A, Kaya M, Ribaldone DG, Vasudevan A</w:t>
      </w:r>
      <w:r w:rsidRPr="00545501">
        <w:rPr>
          <w:rFonts w:ascii="Book Antiqua" w:eastAsia="Book Antiqua" w:hAnsi="Book Antiqua" w:cs="Book Antiqua"/>
          <w:b/>
          <w:color w:val="000000"/>
        </w:rPr>
        <w:t xml:space="preserve"> S-Editor: </w:t>
      </w:r>
      <w:r w:rsidRPr="00545501">
        <w:rPr>
          <w:rFonts w:ascii="Book Antiqua" w:eastAsia="Book Antiqua" w:hAnsi="Book Antiqua" w:cs="Book Antiqua"/>
          <w:color w:val="000000"/>
        </w:rPr>
        <w:t>Zhang L</w:t>
      </w:r>
      <w:r w:rsidR="00C50DA1" w:rsidRPr="00545501">
        <w:rPr>
          <w:rFonts w:ascii="Book Antiqua" w:eastAsia="Book Antiqua" w:hAnsi="Book Antiqua" w:cs="Book Antiqua"/>
          <w:b/>
          <w:color w:val="000000"/>
        </w:rPr>
        <w:t xml:space="preserve"> L-Editor: </w:t>
      </w:r>
      <w:r w:rsidR="009321D0" w:rsidRPr="00545501">
        <w:rPr>
          <w:rFonts w:ascii="Book Antiqua" w:hAnsi="Book Antiqua" w:cs="Book Antiqua" w:hint="eastAsia"/>
          <w:color w:val="000000"/>
          <w:lang w:eastAsia="zh-CN"/>
        </w:rPr>
        <w:t>A</w:t>
      </w:r>
      <w:r w:rsidR="009321D0" w:rsidRPr="00545501">
        <w:rPr>
          <w:rFonts w:ascii="Book Antiqua" w:hAnsi="Book Antiqua" w:cs="Book Antiqua" w:hint="eastAsia"/>
          <w:b/>
          <w:color w:val="000000"/>
          <w:lang w:eastAsia="zh-CN"/>
        </w:rPr>
        <w:t xml:space="preserve"> </w:t>
      </w:r>
      <w:r w:rsidR="00FD1E8F" w:rsidRPr="00545501">
        <w:rPr>
          <w:rFonts w:ascii="Book Antiqua" w:eastAsia="Book Antiqua" w:hAnsi="Book Antiqua" w:cs="Book Antiqua"/>
          <w:b/>
          <w:color w:val="000000"/>
        </w:rPr>
        <w:t>P</w:t>
      </w:r>
      <w:r w:rsidRPr="00545501">
        <w:rPr>
          <w:rFonts w:ascii="Book Antiqua" w:eastAsia="Book Antiqua" w:hAnsi="Book Antiqua" w:cs="Book Antiqua"/>
          <w:b/>
          <w:color w:val="000000"/>
        </w:rPr>
        <w:t xml:space="preserve">-Editor: </w:t>
      </w:r>
      <w:r w:rsidR="009321D0" w:rsidRPr="00545501">
        <w:rPr>
          <w:rFonts w:ascii="Book Antiqua" w:hAnsi="Book Antiqua" w:cs="Book Antiqua" w:hint="eastAsia"/>
          <w:color w:val="000000"/>
          <w:lang w:eastAsia="zh-CN"/>
        </w:rPr>
        <w:t>Wang LL</w:t>
      </w:r>
    </w:p>
    <w:p w14:paraId="0DF79FC2" w14:textId="77777777" w:rsidR="00FD1E8F" w:rsidRPr="00545501" w:rsidRDefault="00FD1E8F" w:rsidP="003541E7">
      <w:pPr>
        <w:adjustRightInd w:val="0"/>
        <w:snapToGrid w:val="0"/>
        <w:spacing w:line="360" w:lineRule="auto"/>
        <w:jc w:val="both"/>
        <w:rPr>
          <w:rFonts w:ascii="Book Antiqua" w:hAnsi="Book Antiqua"/>
        </w:rPr>
        <w:sectPr w:rsidR="00FD1E8F" w:rsidRPr="00545501" w:rsidSect="00B7035B">
          <w:pgSz w:w="12240" w:h="15840"/>
          <w:pgMar w:top="1440" w:right="1800" w:bottom="1440" w:left="1800" w:header="720" w:footer="720" w:gutter="0"/>
          <w:cols w:space="720"/>
          <w:docGrid w:linePitch="360"/>
        </w:sectPr>
      </w:pPr>
    </w:p>
    <w:p w14:paraId="6FB8837B" w14:textId="77777777" w:rsidR="00DD212E" w:rsidRPr="00545501" w:rsidRDefault="006C7B73" w:rsidP="003541E7">
      <w:pPr>
        <w:adjustRightInd w:val="0"/>
        <w:snapToGrid w:val="0"/>
        <w:spacing w:line="360" w:lineRule="auto"/>
        <w:jc w:val="both"/>
        <w:rPr>
          <w:rFonts w:ascii="Book Antiqua" w:hAnsi="Book Antiqua"/>
          <w:b/>
        </w:rPr>
      </w:pPr>
      <w:r w:rsidRPr="00545501">
        <w:rPr>
          <w:rFonts w:ascii="Book Antiqua" w:hAnsi="Book Antiqua"/>
          <w:b/>
        </w:rPr>
        <w:t>Figure Legends</w:t>
      </w:r>
    </w:p>
    <w:p w14:paraId="1498F3C2" w14:textId="77777777" w:rsidR="00DD212E" w:rsidRPr="00545501" w:rsidRDefault="00494DE1" w:rsidP="003541E7">
      <w:pPr>
        <w:adjustRightInd w:val="0"/>
        <w:snapToGrid w:val="0"/>
        <w:spacing w:line="360" w:lineRule="auto"/>
        <w:jc w:val="both"/>
        <w:rPr>
          <w:rFonts w:ascii="Book Antiqua" w:hAnsi="Book Antiqua" w:cstheme="minorHAnsi"/>
          <w:b/>
          <w:color w:val="000000" w:themeColor="text1"/>
        </w:rPr>
      </w:pPr>
      <w:r w:rsidRPr="00545501">
        <w:rPr>
          <w:rFonts w:ascii="Book Antiqua" w:hAnsi="Book Antiqua"/>
          <w:noProof/>
          <w:lang w:eastAsia="zh-CN"/>
        </w:rPr>
        <mc:AlternateContent>
          <mc:Choice Requires="wps">
            <w:drawing>
              <wp:anchor distT="0" distB="0" distL="114300" distR="114300" simplePos="0" relativeHeight="251658240" behindDoc="0" locked="0" layoutInCell="1" allowOverlap="1" wp14:anchorId="145EAEDB" wp14:editId="0F66C18E">
                <wp:simplePos x="0" y="0"/>
                <wp:positionH relativeFrom="column">
                  <wp:posOffset>-5118100</wp:posOffset>
                </wp:positionH>
                <wp:positionV relativeFrom="paragraph">
                  <wp:posOffset>71755</wp:posOffset>
                </wp:positionV>
                <wp:extent cx="277495" cy="42100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421005"/>
                        </a:xfrm>
                        <a:prstGeom prst="rect">
                          <a:avLst/>
                        </a:prstGeom>
                        <a:noFill/>
                        <a:ln w="6350">
                          <a:solidFill>
                            <a:prstClr val="black"/>
                          </a:solidFill>
                        </a:ln>
                      </wps:spPr>
                      <wps:txbx>
                        <w:txbxContent>
                          <w:p w14:paraId="30F48735" w14:textId="77777777" w:rsidR="001F7EA8" w:rsidRPr="00FA0BF7" w:rsidRDefault="001F7EA8" w:rsidP="00DA60DA">
                            <w:pPr>
                              <w:rPr>
                                <w:color w:val="FFFFFF" w:themeColor="background1"/>
                              </w:rPr>
                            </w:pPr>
                            <w:r w:rsidRPr="00FA0BF7">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45EAEDB" id="_x0000_t202" coordsize="21600,21600" o:spt="202" path="m,l,21600r21600,l21600,xe">
                <v:stroke joinstyle="miter"/>
                <v:path gradientshapeok="t" o:connecttype="rect"/>
              </v:shapetype>
              <v:shape id="Text Box 1" o:spid="_x0000_s1026" type="#_x0000_t202" style="position:absolute;left:0;text-align:left;margin-left:-403pt;margin-top:5.65pt;width:21.85pt;height: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" filled="f" strokeweight=".5pt">
                <v:path arrowok="t"/>
                <v:textbox>
                  <w:txbxContent>
                    <w:p w14:paraId="30F48735" w14:textId="77777777" w:rsidR="001F7EA8" w:rsidRPr="00FA0BF7" w:rsidRDefault="001F7EA8" w:rsidP="00DA60DA">
                      <w:pPr>
                        <w:rPr>
                          <w:color w:val="FFFFFF" w:themeColor="background1"/>
                        </w:rPr>
                      </w:pPr>
                      <w:r w:rsidRPr="00FA0BF7">
                        <w:rPr>
                          <w:color w:val="FFFFFF" w:themeColor="background1"/>
                        </w:rPr>
                        <w:t>A</w:t>
                      </w:r>
                    </w:p>
                  </w:txbxContent>
                </v:textbox>
              </v:shape>
            </w:pict>
          </mc:Fallback>
        </mc:AlternateContent>
      </w:r>
      <w:r w:rsidRPr="00545501">
        <w:rPr>
          <w:rFonts w:ascii="Book Antiqua" w:hAnsi="Book Antiqua"/>
          <w:noProof/>
          <w:color w:val="000000" w:themeColor="text1"/>
          <w:lang w:eastAsia="zh-CN"/>
        </w:rPr>
        <mc:AlternateContent>
          <mc:Choice Requires="wps">
            <w:drawing>
              <wp:anchor distT="0" distB="0" distL="114300" distR="114300" simplePos="0" relativeHeight="251659264" behindDoc="0" locked="0" layoutInCell="1" allowOverlap="1" wp14:anchorId="741C2EB0" wp14:editId="7838086D">
                <wp:simplePos x="0" y="0"/>
                <wp:positionH relativeFrom="column">
                  <wp:posOffset>-5059045</wp:posOffset>
                </wp:positionH>
                <wp:positionV relativeFrom="paragraph">
                  <wp:posOffset>26670</wp:posOffset>
                </wp:positionV>
                <wp:extent cx="277495" cy="42100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421005"/>
                        </a:xfrm>
                        <a:prstGeom prst="rect">
                          <a:avLst/>
                        </a:prstGeom>
                        <a:noFill/>
                        <a:ln w="6350">
                          <a:solidFill>
                            <a:prstClr val="black"/>
                          </a:solidFill>
                        </a:ln>
                      </wps:spPr>
                      <wps:txbx>
                        <w:txbxContent>
                          <w:p w14:paraId="379471F6" w14:textId="77777777" w:rsidR="001F7EA8" w:rsidRPr="00FA0BF7" w:rsidRDefault="001F7EA8" w:rsidP="001F7EA8">
                            <w:pPr>
                              <w:rPr>
                                <w:color w:val="FFFFFF" w:themeColor="background1"/>
                              </w:rPr>
                            </w:pPr>
                            <w:r>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1C2EB0" id="_x0000_s1027" type="#_x0000_t202" style="position:absolute;left:0;text-align:left;margin-left:-398.35pt;margin-top:2.1pt;width:21.8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" filled="f" strokeweight=".5pt">
                <v:path arrowok="t"/>
                <v:textbox>
                  <w:txbxContent>
                    <w:p w14:paraId="379471F6" w14:textId="77777777" w:rsidR="001F7EA8" w:rsidRPr="00FA0BF7" w:rsidRDefault="001F7EA8" w:rsidP="001F7EA8">
                      <w:pPr>
                        <w:rPr>
                          <w:color w:val="FFFFFF" w:themeColor="background1"/>
                        </w:rPr>
                      </w:pPr>
                      <w:r>
                        <w:rPr>
                          <w:color w:val="FFFFFF" w:themeColor="background1"/>
                        </w:rPr>
                        <w:t>B</w:t>
                      </w:r>
                    </w:p>
                  </w:txbxContent>
                </v:textbox>
              </v:shape>
            </w:pict>
          </mc:Fallback>
        </mc:AlternateContent>
      </w:r>
      <w:r w:rsidR="00FD1E8F" w:rsidRPr="00545501">
        <w:rPr>
          <w:rFonts w:ascii="Book Antiqua" w:hAnsi="Book Antiqua" w:cstheme="minorHAnsi"/>
          <w:b/>
          <w:noProof/>
          <w:color w:val="000000" w:themeColor="text1"/>
          <w:lang w:eastAsia="zh-CN"/>
        </w:rPr>
        <w:drawing>
          <wp:inline distT="0" distB="0" distL="0" distR="0" wp14:anchorId="18A82C6B" wp14:editId="06BCD13A">
            <wp:extent cx="5486400" cy="2085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085975"/>
                    </a:xfrm>
                    <a:prstGeom prst="rect">
                      <a:avLst/>
                    </a:prstGeom>
                  </pic:spPr>
                </pic:pic>
              </a:graphicData>
            </a:graphic>
          </wp:inline>
        </w:drawing>
      </w:r>
    </w:p>
    <w:p w14:paraId="4ACC0682" w14:textId="77777777" w:rsidR="008B440E" w:rsidRPr="00545501" w:rsidRDefault="006C7B73" w:rsidP="003541E7">
      <w:pPr>
        <w:adjustRightInd w:val="0"/>
        <w:snapToGrid w:val="0"/>
        <w:spacing w:line="360" w:lineRule="auto"/>
        <w:jc w:val="both"/>
        <w:rPr>
          <w:rFonts w:ascii="Book Antiqua" w:hAnsi="Book Antiqua" w:cstheme="minorHAnsi"/>
          <w:b/>
          <w:color w:val="000000" w:themeColor="text1"/>
        </w:rPr>
      </w:pPr>
      <w:r w:rsidRPr="00545501">
        <w:rPr>
          <w:rFonts w:ascii="Book Antiqua" w:hAnsi="Book Antiqua" w:cstheme="minorHAnsi"/>
          <w:b/>
          <w:color w:val="000000" w:themeColor="text1"/>
        </w:rPr>
        <w:t>Figure 1 Endoscopic images showing mucosal fissures and scalloping in thedistalduodenum.</w:t>
      </w:r>
    </w:p>
    <w:p w14:paraId="10228970" w14:textId="77777777" w:rsidR="00DA60DA" w:rsidRPr="00545501" w:rsidRDefault="008B440E" w:rsidP="003541E7">
      <w:pPr>
        <w:adjustRightInd w:val="0"/>
        <w:snapToGrid w:val="0"/>
        <w:spacing w:line="360" w:lineRule="auto"/>
        <w:jc w:val="both"/>
        <w:rPr>
          <w:rFonts w:ascii="Book Antiqua" w:hAnsi="Book Antiqua"/>
          <w:b/>
          <w:lang w:eastAsia="zh-CN"/>
        </w:rPr>
      </w:pPr>
      <w:r w:rsidRPr="00545501">
        <w:rPr>
          <w:rFonts w:ascii="Book Antiqua" w:hAnsi="Book Antiqua" w:cstheme="minorHAnsi"/>
          <w:b/>
          <w:color w:val="000000" w:themeColor="text1"/>
        </w:rPr>
        <w:br w:type="page"/>
      </w:r>
      <w:r w:rsidR="00DA60DA" w:rsidRPr="00545501">
        <w:rPr>
          <w:rFonts w:ascii="Book Antiqua" w:hAnsi="Book Antiqua"/>
          <w:noProof/>
          <w:color w:val="000000" w:themeColor="text1"/>
          <w:lang w:eastAsia="zh-CN"/>
        </w:rPr>
        <w:drawing>
          <wp:inline distT="0" distB="0" distL="0" distR="0" wp14:anchorId="14B35512" wp14:editId="3ED35374">
            <wp:extent cx="3840480" cy="2144474"/>
            <wp:effectExtent l="0" t="0" r="0" b="0"/>
            <wp:docPr id="10" name="Picture 7"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2515" cy="2145610"/>
                    </a:xfrm>
                    <a:prstGeom prst="rect">
                      <a:avLst/>
                    </a:prstGeom>
                  </pic:spPr>
                </pic:pic>
              </a:graphicData>
            </a:graphic>
          </wp:inline>
        </w:drawing>
      </w:r>
    </w:p>
    <w:p w14:paraId="17FF49DC" w14:textId="57387094" w:rsidR="008B440E" w:rsidRPr="00545501" w:rsidRDefault="006C7B73" w:rsidP="003541E7">
      <w:pPr>
        <w:adjustRightInd w:val="0"/>
        <w:snapToGrid w:val="0"/>
        <w:spacing w:line="360" w:lineRule="auto"/>
        <w:jc w:val="both"/>
        <w:rPr>
          <w:rStyle w:val="a3"/>
          <w:rFonts w:ascii="Book Antiqua" w:hAnsi="Book Antiqua"/>
          <w:b/>
          <w:i w:val="0"/>
          <w:color w:val="000000" w:themeColor="text1"/>
        </w:rPr>
      </w:pPr>
      <w:r w:rsidRPr="00545501">
        <w:rPr>
          <w:rFonts w:ascii="Book Antiqua" w:hAnsi="Book Antiqua" w:cstheme="minorHAnsi"/>
          <w:b/>
          <w:color w:val="000000" w:themeColor="text1"/>
        </w:rPr>
        <w:t xml:space="preserve">Figure 2 Hematoxilin-eosin stain of duodenal biopsy sample showing </w:t>
      </w:r>
      <w:r w:rsidRPr="00545501">
        <w:rPr>
          <w:rStyle w:val="a3"/>
          <w:rFonts w:ascii="Book Antiqua" w:hAnsi="Book Antiqua"/>
          <w:b/>
          <w:i w:val="0"/>
          <w:color w:val="000000" w:themeColor="text1"/>
        </w:rPr>
        <w:t>marked villous atrophy with crypt hyperplasia and intraepithelial lymphocytosis, corresponding to Marsh 3c classification</w:t>
      </w:r>
      <w:r w:rsidR="00221E06" w:rsidRPr="00545501">
        <w:rPr>
          <w:rStyle w:val="a3"/>
          <w:rFonts w:ascii="Book Antiqua" w:hAnsi="Book Antiqua"/>
          <w:b/>
          <w:i w:val="0"/>
          <w:color w:val="000000" w:themeColor="text1"/>
        </w:rPr>
        <w:t>.</w:t>
      </w:r>
    </w:p>
    <w:p w14:paraId="37C12AEE" w14:textId="77777777" w:rsidR="006C7B73" w:rsidRPr="00545501" w:rsidRDefault="008B440E" w:rsidP="003541E7">
      <w:pPr>
        <w:adjustRightInd w:val="0"/>
        <w:snapToGrid w:val="0"/>
        <w:spacing w:line="360" w:lineRule="auto"/>
        <w:jc w:val="both"/>
        <w:rPr>
          <w:rFonts w:ascii="Book Antiqua" w:hAnsi="Book Antiqua" w:cstheme="minorHAnsi"/>
          <w:b/>
          <w:color w:val="000000" w:themeColor="text1"/>
        </w:rPr>
      </w:pPr>
      <w:r w:rsidRPr="00545501">
        <w:rPr>
          <w:rStyle w:val="a3"/>
          <w:rFonts w:ascii="Book Antiqua" w:hAnsi="Book Antiqua"/>
          <w:b/>
          <w:i w:val="0"/>
          <w:color w:val="000000" w:themeColor="text1"/>
        </w:rPr>
        <w:br w:type="page"/>
      </w:r>
    </w:p>
    <w:p w14:paraId="0898B42C" w14:textId="77777777" w:rsidR="006C7B73" w:rsidRPr="00545501" w:rsidRDefault="006C7B73" w:rsidP="003541E7">
      <w:pPr>
        <w:adjustRightInd w:val="0"/>
        <w:snapToGrid w:val="0"/>
        <w:spacing w:line="360" w:lineRule="auto"/>
        <w:jc w:val="both"/>
        <w:rPr>
          <w:rFonts w:ascii="Book Antiqua" w:hAnsi="Book Antiqua" w:cstheme="minorHAnsi"/>
          <w:b/>
          <w:color w:val="000000" w:themeColor="text1"/>
        </w:rPr>
      </w:pPr>
      <w:r w:rsidRPr="00545501">
        <w:rPr>
          <w:rFonts w:ascii="Book Antiqua" w:hAnsi="Book Antiqua"/>
          <w:noProof/>
          <w:color w:val="000000" w:themeColor="text1"/>
          <w:lang w:eastAsia="zh-CN"/>
        </w:rPr>
        <w:drawing>
          <wp:inline distT="0" distB="0" distL="0" distR="0" wp14:anchorId="4C3560A8" wp14:editId="6A63B68D">
            <wp:extent cx="3484244" cy="2393343"/>
            <wp:effectExtent l="0" t="0" r="2540" b="6985"/>
            <wp:docPr id="9" name="Picture 8"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3053" cy="2399394"/>
                    </a:xfrm>
                    <a:prstGeom prst="rect">
                      <a:avLst/>
                    </a:prstGeom>
                  </pic:spPr>
                </pic:pic>
              </a:graphicData>
            </a:graphic>
          </wp:inline>
        </w:drawing>
      </w:r>
    </w:p>
    <w:p w14:paraId="6544A8F0" w14:textId="77777777" w:rsidR="001F7EA8" w:rsidRPr="00545501" w:rsidRDefault="006C7B73" w:rsidP="003541E7">
      <w:pPr>
        <w:adjustRightInd w:val="0"/>
        <w:snapToGrid w:val="0"/>
        <w:spacing w:line="360" w:lineRule="auto"/>
        <w:jc w:val="both"/>
        <w:rPr>
          <w:rFonts w:ascii="Book Antiqua" w:hAnsi="Book Antiqua" w:cstheme="minorHAnsi"/>
          <w:b/>
          <w:color w:val="000000" w:themeColor="text1"/>
        </w:rPr>
      </w:pPr>
      <w:r w:rsidRPr="00545501">
        <w:rPr>
          <w:rFonts w:ascii="Book Antiqua" w:hAnsi="Book Antiqua" w:cstheme="minorHAnsi"/>
          <w:b/>
          <w:color w:val="000000" w:themeColor="text1"/>
        </w:rPr>
        <w:t xml:space="preserve">Figure 3 Hematoxilin-eosin stain of </w:t>
      </w:r>
      <w:r w:rsidRPr="00545501">
        <w:rPr>
          <w:rStyle w:val="a3"/>
          <w:rFonts w:ascii="Book Antiqua" w:hAnsi="Book Antiqua"/>
          <w:b/>
          <w:i w:val="0"/>
          <w:color w:val="000000" w:themeColor="text1"/>
        </w:rPr>
        <w:t>follow-up biopsy revealing restoring of normal villous architecture but with persisting intraepithelial lymphocytosis</w:t>
      </w:r>
      <w:r w:rsidR="00FD1E8F" w:rsidRPr="00545501">
        <w:rPr>
          <w:rStyle w:val="a3"/>
          <w:rFonts w:ascii="Book Antiqua" w:hAnsi="Book Antiqua"/>
          <w:b/>
          <w:i w:val="0"/>
          <w:color w:val="000000" w:themeColor="text1"/>
        </w:rPr>
        <w:t>.</w:t>
      </w:r>
    </w:p>
    <w:p w14:paraId="1611FECB" w14:textId="77777777" w:rsidR="00361E6C" w:rsidRPr="00545501" w:rsidRDefault="001F7EA8" w:rsidP="003541E7">
      <w:pPr>
        <w:adjustRightInd w:val="0"/>
        <w:snapToGrid w:val="0"/>
        <w:spacing w:line="360" w:lineRule="auto"/>
        <w:jc w:val="both"/>
        <w:rPr>
          <w:rFonts w:ascii="Book Antiqua" w:eastAsia="Times New Roman" w:hAnsi="Book Antiqua" w:cs="Calibri"/>
          <w:b/>
          <w:color w:val="000000"/>
          <w:lang w:eastAsia="en-GB"/>
        </w:rPr>
      </w:pPr>
      <w:r w:rsidRPr="00545501">
        <w:rPr>
          <w:rFonts w:ascii="Book Antiqua" w:hAnsi="Book Antiqua"/>
        </w:rPr>
        <w:br w:type="page"/>
      </w:r>
      <w:r w:rsidRPr="00545501">
        <w:rPr>
          <w:rFonts w:ascii="Book Antiqua" w:eastAsia="Times New Roman" w:hAnsi="Book Antiqua"/>
          <w:b/>
          <w:color w:val="000000"/>
          <w:lang w:eastAsia="en-GB"/>
        </w:rPr>
        <w:t xml:space="preserve">Table 1 </w:t>
      </w:r>
      <w:r w:rsidRPr="00545501">
        <w:rPr>
          <w:rFonts w:ascii="Book Antiqua" w:eastAsia="Times New Roman" w:hAnsi="Book Antiqua" w:cs="Calibri"/>
          <w:b/>
          <w:color w:val="000000"/>
          <w:lang w:eastAsia="en-GB"/>
        </w:rPr>
        <w:t xml:space="preserve">Summary of studies reporting prevalence of </w:t>
      </w:r>
      <w:r w:rsidR="00F6784A" w:rsidRPr="00545501">
        <w:rPr>
          <w:rFonts w:ascii="Book Antiqua" w:eastAsia="Times New Roman" w:hAnsi="Book Antiqua"/>
          <w:b/>
          <w:color w:val="000000"/>
          <w:lang w:eastAsia="en-GB"/>
        </w:rPr>
        <w:t>celiac disease</w:t>
      </w:r>
      <w:r w:rsidRPr="00545501">
        <w:rPr>
          <w:rFonts w:ascii="Book Antiqua" w:eastAsia="Times New Roman" w:hAnsi="Book Antiqua" w:cs="Calibri"/>
          <w:b/>
          <w:color w:val="000000"/>
          <w:lang w:eastAsia="en-GB"/>
        </w:rPr>
        <w:t xml:space="preserve"> in </w:t>
      </w:r>
      <w:r w:rsidR="00F6784A" w:rsidRPr="00545501">
        <w:rPr>
          <w:rFonts w:ascii="Book Antiqua" w:eastAsia="Times New Roman" w:hAnsi="Book Antiqua"/>
          <w:b/>
          <w:color w:val="000000"/>
          <w:lang w:eastAsia="en-GB"/>
        </w:rPr>
        <w:t>Sjogren syndrome</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5"/>
        <w:gridCol w:w="1182"/>
        <w:gridCol w:w="1537"/>
        <w:gridCol w:w="2193"/>
        <w:gridCol w:w="1550"/>
      </w:tblGrid>
      <w:tr w:rsidR="001F7EA8" w:rsidRPr="00545501" w14:paraId="7CD1DE7E" w14:textId="77777777" w:rsidTr="00417AEB">
        <w:tc>
          <w:tcPr>
            <w:tcW w:w="676" w:type="pct"/>
            <w:tcBorders>
              <w:top w:val="single" w:sz="4" w:space="0" w:color="000000"/>
              <w:bottom w:val="single" w:sz="4" w:space="0" w:color="000000"/>
            </w:tcBorders>
          </w:tcPr>
          <w:p w14:paraId="4B687209" w14:textId="77777777" w:rsidR="001F7EA8" w:rsidRPr="00545501" w:rsidRDefault="00F6784A"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Ref.</w:t>
            </w:r>
          </w:p>
        </w:tc>
        <w:tc>
          <w:tcPr>
            <w:tcW w:w="677" w:type="pct"/>
            <w:tcBorders>
              <w:top w:val="single" w:sz="4" w:space="0" w:color="000000"/>
              <w:bottom w:val="single" w:sz="4" w:space="0" w:color="000000"/>
            </w:tcBorders>
          </w:tcPr>
          <w:p w14:paraId="00EB9745" w14:textId="77777777" w:rsidR="001F7EA8" w:rsidRPr="00545501" w:rsidRDefault="001F7EA8"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SS (</w:t>
            </w:r>
            <w:r w:rsidRPr="00545501">
              <w:rPr>
                <w:rFonts w:ascii="Book Antiqua" w:eastAsia="Times New Roman" w:hAnsi="Book Antiqua"/>
                <w:b/>
                <w:i/>
                <w:color w:val="000000"/>
                <w:lang w:eastAsia="en-GB"/>
              </w:rPr>
              <w:t>n</w:t>
            </w:r>
            <w:r w:rsidRPr="00545501">
              <w:rPr>
                <w:rFonts w:ascii="Book Antiqua" w:eastAsia="Times New Roman" w:hAnsi="Book Antiqua"/>
                <w:b/>
                <w:color w:val="000000"/>
                <w:lang w:eastAsia="en-GB"/>
              </w:rPr>
              <w:t>)</w:t>
            </w:r>
          </w:p>
        </w:tc>
        <w:tc>
          <w:tcPr>
            <w:tcW w:w="656" w:type="pct"/>
            <w:tcBorders>
              <w:top w:val="single" w:sz="4" w:space="0" w:color="000000"/>
              <w:bottom w:val="single" w:sz="4" w:space="0" w:color="000000"/>
            </w:tcBorders>
          </w:tcPr>
          <w:p w14:paraId="6916D6EE" w14:textId="77777777" w:rsidR="001F7EA8" w:rsidRPr="00545501" w:rsidRDefault="001F7EA8"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Country</w:t>
            </w:r>
          </w:p>
        </w:tc>
        <w:tc>
          <w:tcPr>
            <w:tcW w:w="881" w:type="pct"/>
            <w:tcBorders>
              <w:top w:val="single" w:sz="4" w:space="0" w:color="000000"/>
              <w:bottom w:val="single" w:sz="4" w:space="0" w:color="000000"/>
            </w:tcBorders>
          </w:tcPr>
          <w:p w14:paraId="2C405064" w14:textId="77777777" w:rsidR="001F7EA8" w:rsidRPr="00545501" w:rsidRDefault="001F7EA8" w:rsidP="003541E7">
            <w:pPr>
              <w:adjustRightInd w:val="0"/>
              <w:snapToGrid w:val="0"/>
              <w:spacing w:line="360" w:lineRule="auto"/>
              <w:ind w:hanging="98"/>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CD prevalence (SS</w:t>
            </w:r>
            <w:r w:rsidR="00F6784A" w:rsidRPr="00545501">
              <w:rPr>
                <w:rFonts w:ascii="Book Antiqua" w:eastAsia="Times New Roman" w:hAnsi="Book Antiqua"/>
                <w:b/>
                <w:color w:val="000000"/>
                <w:lang w:eastAsia="en-GB"/>
              </w:rPr>
              <w:t xml:space="preserve"> </w:t>
            </w:r>
            <w:r w:rsidRPr="00545501">
              <w:rPr>
                <w:rFonts w:ascii="Book Antiqua" w:eastAsia="Times New Roman" w:hAnsi="Book Antiqua"/>
                <w:b/>
                <w:color w:val="000000"/>
                <w:lang w:eastAsia="en-GB"/>
              </w:rPr>
              <w:t>+</w:t>
            </w:r>
            <w:r w:rsidR="00F6784A" w:rsidRPr="00545501">
              <w:rPr>
                <w:rFonts w:ascii="Book Antiqua" w:eastAsia="Times New Roman" w:hAnsi="Book Antiqua"/>
                <w:b/>
                <w:color w:val="000000"/>
                <w:lang w:eastAsia="en-GB"/>
              </w:rPr>
              <w:t xml:space="preserve"> </w:t>
            </w:r>
            <w:r w:rsidRPr="00545501">
              <w:rPr>
                <w:rFonts w:ascii="Book Antiqua" w:eastAsia="Times New Roman" w:hAnsi="Book Antiqua"/>
                <w:b/>
                <w:color w:val="000000"/>
                <w:lang w:eastAsia="en-GB"/>
              </w:rPr>
              <w:t>CD)</w:t>
            </w:r>
          </w:p>
        </w:tc>
        <w:tc>
          <w:tcPr>
            <w:tcW w:w="1251" w:type="pct"/>
            <w:tcBorders>
              <w:top w:val="single" w:sz="4" w:space="0" w:color="000000"/>
              <w:bottom w:val="single" w:sz="4" w:space="0" w:color="000000"/>
            </w:tcBorders>
          </w:tcPr>
          <w:p w14:paraId="3A58C8CC" w14:textId="77777777" w:rsidR="001F7EA8" w:rsidRPr="00545501" w:rsidRDefault="001F7EA8"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Serological criteria</w:t>
            </w:r>
          </w:p>
        </w:tc>
        <w:tc>
          <w:tcPr>
            <w:tcW w:w="860" w:type="pct"/>
            <w:tcBorders>
              <w:top w:val="single" w:sz="4" w:space="0" w:color="000000"/>
              <w:bottom w:val="single" w:sz="4" w:space="0" w:color="000000"/>
            </w:tcBorders>
          </w:tcPr>
          <w:p w14:paraId="7B1C03FC" w14:textId="77777777" w:rsidR="001F7EA8" w:rsidRPr="00545501" w:rsidRDefault="001F7EA8"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Histological criteria</w:t>
            </w:r>
          </w:p>
        </w:tc>
      </w:tr>
      <w:tr w:rsidR="001F7EA8" w:rsidRPr="00545501" w14:paraId="302D79ED" w14:textId="77777777" w:rsidTr="00417AEB">
        <w:tc>
          <w:tcPr>
            <w:tcW w:w="676" w:type="pct"/>
            <w:tcBorders>
              <w:top w:val="single" w:sz="4" w:space="0" w:color="000000"/>
            </w:tcBorders>
          </w:tcPr>
          <w:p w14:paraId="1A518308" w14:textId="77777777" w:rsidR="001F7EA8" w:rsidRPr="00545501" w:rsidRDefault="00490FFF"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 xml:space="preserve">Iltanen </w:t>
            </w:r>
            <w:r w:rsidRPr="00545501">
              <w:rPr>
                <w:rFonts w:ascii="Book Antiqua" w:hAnsi="Book Antiqua"/>
                <w:i/>
                <w:color w:val="000000"/>
                <w:lang w:eastAsia="zh-CN"/>
              </w:rPr>
              <w:t>et al</w:t>
            </w:r>
            <w:r w:rsidRPr="00545501">
              <w:rPr>
                <w:rFonts w:ascii="Book Antiqua" w:eastAsia="Times New Roman" w:hAnsi="Book Antiqua"/>
                <w:color w:val="000000"/>
                <w:vertAlign w:val="superscript"/>
                <w:lang w:eastAsia="en-GB"/>
              </w:rPr>
              <w:t>[16]</w:t>
            </w:r>
          </w:p>
        </w:tc>
        <w:tc>
          <w:tcPr>
            <w:tcW w:w="677" w:type="pct"/>
            <w:tcBorders>
              <w:top w:val="single" w:sz="4" w:space="0" w:color="000000"/>
            </w:tcBorders>
          </w:tcPr>
          <w:p w14:paraId="441C9C1A"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34 SS+</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28 controls</w:t>
            </w:r>
          </w:p>
        </w:tc>
        <w:tc>
          <w:tcPr>
            <w:tcW w:w="656" w:type="pct"/>
            <w:tcBorders>
              <w:top w:val="single" w:sz="4" w:space="0" w:color="000000"/>
            </w:tcBorders>
          </w:tcPr>
          <w:p w14:paraId="189D7541"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Finland</w:t>
            </w:r>
          </w:p>
        </w:tc>
        <w:tc>
          <w:tcPr>
            <w:tcW w:w="881" w:type="pct"/>
            <w:tcBorders>
              <w:top w:val="single" w:sz="4" w:space="0" w:color="000000"/>
            </w:tcBorders>
          </w:tcPr>
          <w:p w14:paraId="6BA7EFFD" w14:textId="77777777" w:rsidR="001F7EA8" w:rsidRPr="00545501"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14.7%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 5)</w:t>
            </w:r>
          </w:p>
        </w:tc>
        <w:tc>
          <w:tcPr>
            <w:tcW w:w="1251" w:type="pct"/>
            <w:tcBorders>
              <w:top w:val="single" w:sz="4" w:space="0" w:color="000000"/>
            </w:tcBorders>
          </w:tcPr>
          <w:p w14:paraId="24AEB1A7"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i/>
                <w:color w:val="000000"/>
                <w:lang w:eastAsia="en-GB"/>
              </w:rPr>
              <w:t>SS+ CD</w:t>
            </w:r>
            <w:r w:rsidR="00F6784A" w:rsidRPr="00545501">
              <w:rPr>
                <w:rFonts w:ascii="Book Antiqua" w:eastAsia="Times New Roman" w:hAnsi="Book Antiqua"/>
                <w:i/>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3/5 IgA EMA+</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4/5 IgA AGA+</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5/5 IgA EMA or AGA +</w:t>
            </w:r>
            <w:r w:rsidR="00F6784A" w:rsidRPr="00545501">
              <w:rPr>
                <w:rFonts w:ascii="Book Antiqua" w:eastAsia="Times New Roman" w:hAnsi="Book Antiqua"/>
                <w:color w:val="000000"/>
                <w:lang w:eastAsia="en-GB"/>
              </w:rPr>
              <w:t>;</w:t>
            </w:r>
          </w:p>
          <w:p w14:paraId="5CE20724"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i/>
                <w:color w:val="000000"/>
                <w:lang w:eastAsia="en-GB"/>
              </w:rPr>
              <w:t xml:space="preserve">SS </w:t>
            </w:r>
            <w:r w:rsidR="00F6784A" w:rsidRPr="00545501">
              <w:rPr>
                <w:rFonts w:ascii="Book Antiqua" w:eastAsia="Times New Roman" w:hAnsi="Book Antiqua"/>
                <w:i/>
                <w:color w:val="000000"/>
                <w:lang w:eastAsia="en-GB"/>
              </w:rPr>
              <w:t>–</w:t>
            </w:r>
            <w:r w:rsidRPr="00545501">
              <w:rPr>
                <w:rFonts w:ascii="Book Antiqua" w:eastAsia="Times New Roman" w:hAnsi="Book Antiqua"/>
                <w:i/>
                <w:color w:val="000000"/>
                <w:lang w:eastAsia="en-GB"/>
              </w:rPr>
              <w:t xml:space="preserve"> CD</w:t>
            </w:r>
            <w:r w:rsidR="00F6784A" w:rsidRPr="00545501">
              <w:rPr>
                <w:rFonts w:ascii="Book Antiqua" w:eastAsia="Times New Roman" w:hAnsi="Book Antiqua"/>
                <w:i/>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0/28 IgA EMA +</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9/28 IgA AGA +</w:t>
            </w:r>
          </w:p>
        </w:tc>
        <w:tc>
          <w:tcPr>
            <w:tcW w:w="860" w:type="pct"/>
            <w:tcBorders>
              <w:top w:val="single" w:sz="4" w:space="0" w:color="000000"/>
            </w:tcBorders>
          </w:tcPr>
          <w:p w14:paraId="6638E81C"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All 5 seropositive - Marsh 3</w:t>
            </w:r>
          </w:p>
        </w:tc>
      </w:tr>
      <w:tr w:rsidR="001F7EA8" w:rsidRPr="00545501" w14:paraId="2410C9BF" w14:textId="77777777" w:rsidTr="00417AEB">
        <w:tc>
          <w:tcPr>
            <w:tcW w:w="676" w:type="pct"/>
          </w:tcPr>
          <w:p w14:paraId="5BAB4752" w14:textId="77777777" w:rsidR="001F7EA8" w:rsidRPr="00545501" w:rsidRDefault="00490FFF"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hAnsi="Book Antiqua"/>
              </w:rPr>
              <w:t xml:space="preserve">Szodoray </w:t>
            </w:r>
            <w:r w:rsidRPr="00545501">
              <w:rPr>
                <w:rFonts w:ascii="Book Antiqua" w:hAnsi="Book Antiqua"/>
                <w:i/>
              </w:rPr>
              <w:t>et al</w:t>
            </w:r>
            <w:r w:rsidRPr="00545501">
              <w:rPr>
                <w:rFonts w:ascii="Book Antiqua" w:hAnsi="Book Antiqua"/>
                <w:vertAlign w:val="superscript"/>
              </w:rPr>
              <w:t>[17]</w:t>
            </w:r>
          </w:p>
        </w:tc>
        <w:tc>
          <w:tcPr>
            <w:tcW w:w="677" w:type="pct"/>
          </w:tcPr>
          <w:p w14:paraId="54DC06E7"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111 SS+</w:t>
            </w:r>
          </w:p>
        </w:tc>
        <w:tc>
          <w:tcPr>
            <w:tcW w:w="656" w:type="pct"/>
          </w:tcPr>
          <w:p w14:paraId="1801BE43"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Hungary</w:t>
            </w:r>
          </w:p>
        </w:tc>
        <w:tc>
          <w:tcPr>
            <w:tcW w:w="881" w:type="pct"/>
          </w:tcPr>
          <w:p w14:paraId="15ECCADD" w14:textId="77777777" w:rsidR="001F7EA8" w:rsidRPr="00545501"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545501">
              <w:rPr>
                <w:rFonts w:ascii="Book Antiqua" w:eastAsia="Times New Roman" w:hAnsi="Book Antiqua"/>
                <w:color w:val="000000"/>
                <w:lang w:eastAsia="en-GB"/>
              </w:rPr>
              <w:t>4.5%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=5 )</w:t>
            </w:r>
          </w:p>
        </w:tc>
        <w:tc>
          <w:tcPr>
            <w:tcW w:w="1251" w:type="pct"/>
          </w:tcPr>
          <w:p w14:paraId="382F2E71"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6/111 tTG and/or AGA and/or EMA +</w:t>
            </w:r>
          </w:p>
        </w:tc>
        <w:tc>
          <w:tcPr>
            <w:tcW w:w="860" w:type="pct"/>
          </w:tcPr>
          <w:p w14:paraId="05157AB3"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5/6 CD+, one with jejunitis</w:t>
            </w:r>
          </w:p>
        </w:tc>
      </w:tr>
      <w:tr w:rsidR="001F7EA8" w:rsidRPr="00545501" w14:paraId="2891AD23" w14:textId="77777777" w:rsidTr="00417AEB">
        <w:tc>
          <w:tcPr>
            <w:tcW w:w="676" w:type="pct"/>
          </w:tcPr>
          <w:p w14:paraId="33185803" w14:textId="77777777" w:rsidR="001F7EA8" w:rsidRPr="00545501" w:rsidRDefault="00490FFF"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 xml:space="preserve">Bartoloni </w:t>
            </w:r>
            <w:r w:rsidRPr="00545501">
              <w:rPr>
                <w:rFonts w:ascii="Book Antiqua" w:eastAsia="Times New Roman" w:hAnsi="Book Antiqua"/>
                <w:i/>
                <w:color w:val="000000"/>
                <w:lang w:eastAsia="en-GB"/>
              </w:rPr>
              <w:t>et al</w:t>
            </w:r>
            <w:r w:rsidRPr="00545501">
              <w:rPr>
                <w:rFonts w:ascii="Book Antiqua" w:eastAsia="Times New Roman" w:hAnsi="Book Antiqua"/>
                <w:color w:val="000000"/>
                <w:vertAlign w:val="superscript"/>
                <w:lang w:eastAsia="en-GB"/>
              </w:rPr>
              <w:t>[18]</w:t>
            </w:r>
          </w:p>
        </w:tc>
        <w:tc>
          <w:tcPr>
            <w:tcW w:w="677" w:type="pct"/>
          </w:tcPr>
          <w:p w14:paraId="47F54AB3"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354 SS+</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14298 controls</w:t>
            </w:r>
          </w:p>
        </w:tc>
        <w:tc>
          <w:tcPr>
            <w:tcW w:w="656" w:type="pct"/>
          </w:tcPr>
          <w:p w14:paraId="283F862D"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Italy</w:t>
            </w:r>
          </w:p>
        </w:tc>
        <w:tc>
          <w:tcPr>
            <w:tcW w:w="881" w:type="pct"/>
          </w:tcPr>
          <w:p w14:paraId="280B3B53" w14:textId="77777777" w:rsidR="001F7EA8" w:rsidRPr="00545501"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545501">
              <w:rPr>
                <w:rFonts w:ascii="Book Antiqua" w:eastAsia="Times New Roman" w:hAnsi="Book Antiqua"/>
                <w:color w:val="000000"/>
                <w:lang w:eastAsia="en-GB"/>
              </w:rPr>
              <w:t>7.1% (</w:t>
            </w:r>
            <w:r w:rsidRPr="00545501">
              <w:rPr>
                <w:rFonts w:ascii="Book Antiqua" w:eastAsia="Times New Roman" w:hAnsi="Book Antiqua"/>
                <w:i/>
                <w:color w:val="000000"/>
                <w:lang w:eastAsia="en-GB"/>
              </w:rPr>
              <w:t xml:space="preserve">n </w:t>
            </w:r>
            <w:r w:rsidRPr="00545501">
              <w:rPr>
                <w:rFonts w:ascii="Book Antiqua" w:eastAsia="Times New Roman" w:hAnsi="Book Antiqua"/>
                <w:color w:val="000000"/>
                <w:lang w:eastAsia="en-GB"/>
              </w:rPr>
              <w:t>= 25)</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6.8%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 24) previously diagnosed CD</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1 latent CD</w:t>
            </w:r>
          </w:p>
        </w:tc>
        <w:tc>
          <w:tcPr>
            <w:tcW w:w="1251" w:type="pct"/>
          </w:tcPr>
          <w:p w14:paraId="51EFA3DC"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24 previously diagnosed (2013 WGO guideline criteria)</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1 IgA tTG+</w:t>
            </w:r>
          </w:p>
        </w:tc>
        <w:tc>
          <w:tcPr>
            <w:tcW w:w="860" w:type="pct"/>
          </w:tcPr>
          <w:p w14:paraId="716E1E6A"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All 25</w:t>
            </w:r>
          </w:p>
        </w:tc>
      </w:tr>
      <w:tr w:rsidR="001F7EA8" w:rsidRPr="00545501" w14:paraId="4DA3A987" w14:textId="77777777" w:rsidTr="00417AEB">
        <w:tc>
          <w:tcPr>
            <w:tcW w:w="676" w:type="pct"/>
          </w:tcPr>
          <w:p w14:paraId="77ABEF74" w14:textId="77777777" w:rsidR="001F7EA8" w:rsidRPr="00545501" w:rsidRDefault="00490FFF"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hAnsi="Book Antiqua"/>
              </w:rPr>
              <w:t xml:space="preserve">Bizzaro </w:t>
            </w:r>
            <w:r w:rsidRPr="00545501">
              <w:rPr>
                <w:rFonts w:ascii="Book Antiqua" w:hAnsi="Book Antiqua"/>
                <w:i/>
              </w:rPr>
              <w:t>et al</w:t>
            </w:r>
            <w:r w:rsidRPr="00545501">
              <w:rPr>
                <w:rFonts w:ascii="Book Antiqua" w:hAnsi="Book Antiqua"/>
                <w:vertAlign w:val="superscript"/>
              </w:rPr>
              <w:t>[19]</w:t>
            </w:r>
          </w:p>
        </w:tc>
        <w:tc>
          <w:tcPr>
            <w:tcW w:w="677" w:type="pct"/>
          </w:tcPr>
          <w:p w14:paraId="1A0E29E2"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100 SS+</w:t>
            </w:r>
          </w:p>
        </w:tc>
        <w:tc>
          <w:tcPr>
            <w:tcW w:w="656" w:type="pct"/>
          </w:tcPr>
          <w:p w14:paraId="2C697694"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Italy, Israel</w:t>
            </w:r>
          </w:p>
        </w:tc>
        <w:tc>
          <w:tcPr>
            <w:tcW w:w="881" w:type="pct"/>
          </w:tcPr>
          <w:p w14:paraId="64F6DD6F" w14:textId="77777777" w:rsidR="001F7EA8" w:rsidRPr="00545501" w:rsidRDefault="001F7EA8" w:rsidP="003541E7">
            <w:pPr>
              <w:adjustRightInd w:val="0"/>
              <w:snapToGrid w:val="0"/>
              <w:spacing w:line="360" w:lineRule="auto"/>
              <w:ind w:hanging="98"/>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 1)</w:t>
            </w:r>
          </w:p>
        </w:tc>
        <w:tc>
          <w:tcPr>
            <w:tcW w:w="1251" w:type="pct"/>
          </w:tcPr>
          <w:p w14:paraId="6D99EB13"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 IgG tTG + (IgA tTG-)</w:t>
            </w:r>
          </w:p>
        </w:tc>
        <w:tc>
          <w:tcPr>
            <w:tcW w:w="860" w:type="pct"/>
          </w:tcPr>
          <w:p w14:paraId="44DC2C7E"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Histology not done</w:t>
            </w:r>
          </w:p>
        </w:tc>
      </w:tr>
      <w:tr w:rsidR="001F7EA8" w:rsidRPr="00545501" w14:paraId="35D9A7D3" w14:textId="77777777" w:rsidTr="00417AEB">
        <w:tc>
          <w:tcPr>
            <w:tcW w:w="676" w:type="pct"/>
          </w:tcPr>
          <w:p w14:paraId="1AAB6C06"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Luft</w:t>
            </w:r>
            <w:r w:rsidR="00490FFF" w:rsidRPr="00545501">
              <w:rPr>
                <w:rFonts w:ascii="Book Antiqua" w:eastAsia="Times New Roman" w:hAnsi="Book Antiqua"/>
                <w:color w:val="000000"/>
                <w:lang w:eastAsia="en-GB"/>
              </w:rPr>
              <w:t xml:space="preserve"> </w:t>
            </w:r>
            <w:r w:rsidR="00490FFF" w:rsidRPr="00545501">
              <w:rPr>
                <w:rFonts w:ascii="Book Antiqua" w:eastAsia="Times New Roman" w:hAnsi="Book Antiqua"/>
                <w:i/>
                <w:color w:val="000000"/>
                <w:lang w:eastAsia="en-GB"/>
              </w:rPr>
              <w:t>et al</w:t>
            </w:r>
            <w:r w:rsidR="00490FFF" w:rsidRPr="00545501">
              <w:rPr>
                <w:rFonts w:ascii="Book Antiqua" w:eastAsia="Times New Roman" w:hAnsi="Book Antiqua"/>
                <w:color w:val="000000"/>
                <w:vertAlign w:val="superscript"/>
                <w:lang w:eastAsia="en-GB"/>
              </w:rPr>
              <w:t>[20]</w:t>
            </w:r>
          </w:p>
        </w:tc>
        <w:tc>
          <w:tcPr>
            <w:tcW w:w="677" w:type="pct"/>
          </w:tcPr>
          <w:p w14:paraId="3D5BDCB3"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50 SS+</w:t>
            </w:r>
            <w:r w:rsidR="00F6784A" w:rsidRPr="00545501">
              <w:rPr>
                <w:rFonts w:ascii="Book Antiqua" w:eastAsia="Times New Roman" w:hAnsi="Book Antiqua"/>
                <w:color w:val="000000"/>
                <w:lang w:eastAsia="en-GB"/>
              </w:rPr>
              <w:t>,</w:t>
            </w:r>
            <w:r w:rsidR="00F6784A" w:rsidRPr="00545501">
              <w:rPr>
                <w:rFonts w:ascii="Book Antiqua" w:hAnsi="Book Antiqua"/>
                <w:color w:val="000000"/>
                <w:lang w:eastAsia="zh-CN"/>
              </w:rPr>
              <w:t xml:space="preserve"> </w:t>
            </w:r>
            <w:r w:rsidRPr="00545501">
              <w:rPr>
                <w:rFonts w:ascii="Book Antiqua" w:eastAsia="Times New Roman" w:hAnsi="Book Antiqua"/>
                <w:color w:val="000000"/>
                <w:lang w:eastAsia="en-GB"/>
              </w:rPr>
              <w:t>50 controls</w:t>
            </w:r>
          </w:p>
          <w:p w14:paraId="082E938D"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40 disease-controls (CD+)</w:t>
            </w:r>
          </w:p>
        </w:tc>
        <w:tc>
          <w:tcPr>
            <w:tcW w:w="656" w:type="pct"/>
          </w:tcPr>
          <w:p w14:paraId="7DDF3780"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Canada</w:t>
            </w:r>
          </w:p>
        </w:tc>
        <w:tc>
          <w:tcPr>
            <w:tcW w:w="881" w:type="pct"/>
          </w:tcPr>
          <w:p w14:paraId="77611AF0"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12%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 6)</w:t>
            </w:r>
          </w:p>
        </w:tc>
        <w:tc>
          <w:tcPr>
            <w:tcW w:w="1251" w:type="pct"/>
          </w:tcPr>
          <w:p w14:paraId="635369B0"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6 IgA tTG +</w:t>
            </w:r>
          </w:p>
        </w:tc>
        <w:tc>
          <w:tcPr>
            <w:tcW w:w="860" w:type="pct"/>
          </w:tcPr>
          <w:p w14:paraId="120A7290"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5/6 biopsy-proven CD</w:t>
            </w:r>
          </w:p>
        </w:tc>
      </w:tr>
      <w:tr w:rsidR="001F7EA8" w:rsidRPr="00545501" w14:paraId="32844234" w14:textId="77777777" w:rsidTr="00417AEB">
        <w:tc>
          <w:tcPr>
            <w:tcW w:w="676" w:type="pct"/>
          </w:tcPr>
          <w:p w14:paraId="7A081540"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Caio</w:t>
            </w:r>
            <w:r w:rsidR="001D19E9" w:rsidRPr="00545501">
              <w:rPr>
                <w:rFonts w:ascii="Book Antiqua" w:eastAsia="Times New Roman" w:hAnsi="Book Antiqua"/>
                <w:color w:val="000000"/>
                <w:lang w:eastAsia="en-GB"/>
              </w:rPr>
              <w:t xml:space="preserve"> </w:t>
            </w:r>
            <w:r w:rsidR="001D19E9" w:rsidRPr="00545501">
              <w:rPr>
                <w:rFonts w:ascii="Book Antiqua" w:eastAsia="Times New Roman" w:hAnsi="Book Antiqua"/>
                <w:i/>
                <w:color w:val="000000"/>
                <w:lang w:eastAsia="en-GB"/>
              </w:rPr>
              <w:t>et al</w:t>
            </w:r>
            <w:r w:rsidR="001D19E9" w:rsidRPr="00545501">
              <w:rPr>
                <w:rFonts w:ascii="Book Antiqua" w:eastAsia="Times New Roman" w:hAnsi="Book Antiqua"/>
                <w:color w:val="000000"/>
                <w:vertAlign w:val="superscript"/>
                <w:lang w:eastAsia="en-GB"/>
              </w:rPr>
              <w:t>[21]</w:t>
            </w:r>
          </w:p>
        </w:tc>
        <w:tc>
          <w:tcPr>
            <w:tcW w:w="677" w:type="pct"/>
          </w:tcPr>
          <w:p w14:paraId="23244305"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52 SS+</w:t>
            </w:r>
          </w:p>
        </w:tc>
        <w:tc>
          <w:tcPr>
            <w:tcW w:w="656" w:type="pct"/>
          </w:tcPr>
          <w:p w14:paraId="412BD994"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Italy</w:t>
            </w:r>
          </w:p>
        </w:tc>
        <w:tc>
          <w:tcPr>
            <w:tcW w:w="881" w:type="pct"/>
          </w:tcPr>
          <w:p w14:paraId="4A46D689"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5.8% (</w:t>
            </w:r>
            <w:r w:rsidRPr="00545501">
              <w:rPr>
                <w:rFonts w:ascii="Book Antiqua" w:eastAsia="Times New Roman" w:hAnsi="Book Antiqua"/>
                <w:i/>
                <w:color w:val="000000"/>
                <w:lang w:eastAsia="en-GB"/>
              </w:rPr>
              <w:t>n</w:t>
            </w:r>
            <w:r w:rsidRPr="00545501">
              <w:rPr>
                <w:rFonts w:ascii="Book Antiqua" w:eastAsia="Times New Roman" w:hAnsi="Book Antiqua"/>
                <w:color w:val="000000"/>
                <w:lang w:eastAsia="en-GB"/>
              </w:rPr>
              <w:t xml:space="preserve"> = 3)</w:t>
            </w:r>
          </w:p>
        </w:tc>
        <w:tc>
          <w:tcPr>
            <w:tcW w:w="1251" w:type="pct"/>
          </w:tcPr>
          <w:p w14:paraId="1AA12275"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3/42 IgA tTG+, IgG DGP + and IgA EMA+</w:t>
            </w:r>
          </w:p>
        </w:tc>
        <w:tc>
          <w:tcPr>
            <w:tcW w:w="860" w:type="pct"/>
          </w:tcPr>
          <w:p w14:paraId="32B3B06E" w14:textId="77777777" w:rsidR="001F7EA8"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Histology not used</w:t>
            </w:r>
          </w:p>
        </w:tc>
      </w:tr>
    </w:tbl>
    <w:p w14:paraId="16ECA15B" w14:textId="77777777" w:rsidR="00E54933" w:rsidRPr="00545501" w:rsidRDefault="001F7EA8"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lang w:eastAsia="en-GB"/>
        </w:rPr>
        <w:t>SS: Sjogren syndrome; CD: Celiac disease; AGA: Anti-gliadin antibodies</w:t>
      </w:r>
      <w:r w:rsidR="00417AEB" w:rsidRPr="00545501">
        <w:rPr>
          <w:rFonts w:ascii="Book Antiqua" w:eastAsia="Times New Roman" w:hAnsi="Book Antiqua"/>
          <w:color w:val="000000"/>
          <w:lang w:eastAsia="en-GB"/>
        </w:rPr>
        <w:t xml:space="preserve">; </w:t>
      </w:r>
      <w:r w:rsidRPr="00545501">
        <w:rPr>
          <w:rFonts w:ascii="Book Antiqua" w:eastAsia="Times New Roman" w:hAnsi="Book Antiqua"/>
          <w:color w:val="000000"/>
          <w:lang w:eastAsia="en-GB"/>
        </w:rPr>
        <w:t>EMA</w:t>
      </w:r>
      <w:r w:rsidR="00417AEB" w:rsidRPr="00545501">
        <w:rPr>
          <w:rFonts w:ascii="Book Antiqua" w:eastAsia="Times New Roman" w:hAnsi="Book Antiqua"/>
          <w:color w:val="000000"/>
          <w:lang w:eastAsia="en-GB"/>
        </w:rPr>
        <w:t>: A</w:t>
      </w:r>
      <w:r w:rsidRPr="00545501">
        <w:rPr>
          <w:rFonts w:ascii="Book Antiqua" w:eastAsia="Times New Roman" w:hAnsi="Book Antiqua"/>
          <w:color w:val="000000"/>
          <w:lang w:eastAsia="en-GB"/>
        </w:rPr>
        <w:t>ntiendomysial antibodies</w:t>
      </w:r>
      <w:r w:rsidR="00417AEB" w:rsidRPr="00545501">
        <w:rPr>
          <w:rFonts w:ascii="Book Antiqua" w:eastAsia="Times New Roman" w:hAnsi="Book Antiqua"/>
          <w:color w:val="000000"/>
          <w:lang w:eastAsia="en-GB"/>
        </w:rPr>
        <w:t>.</w:t>
      </w:r>
    </w:p>
    <w:p w14:paraId="0EF6D915" w14:textId="77777777" w:rsidR="00E54933" w:rsidRPr="00545501" w:rsidRDefault="00361E6C" w:rsidP="003541E7">
      <w:pPr>
        <w:adjustRightInd w:val="0"/>
        <w:snapToGrid w:val="0"/>
        <w:spacing w:line="360" w:lineRule="auto"/>
        <w:jc w:val="both"/>
        <w:rPr>
          <w:rFonts w:ascii="Book Antiqua" w:hAnsi="Book Antiqua" w:cstheme="minorHAnsi"/>
          <w:b/>
          <w:color w:val="000000" w:themeColor="text1"/>
        </w:rPr>
      </w:pPr>
      <w:r w:rsidRPr="00545501">
        <w:rPr>
          <w:rFonts w:ascii="Book Antiqua" w:hAnsi="Book Antiqua" w:cstheme="minorHAnsi"/>
          <w:b/>
          <w:color w:val="000000" w:themeColor="text1"/>
        </w:rPr>
        <w:br w:type="page"/>
      </w:r>
      <w:r w:rsidR="00E54933" w:rsidRPr="00545501">
        <w:rPr>
          <w:rFonts w:ascii="Book Antiqua" w:hAnsi="Book Antiqua" w:cstheme="minorHAnsi"/>
          <w:b/>
          <w:color w:val="000000" w:themeColor="text1"/>
        </w:rPr>
        <w:t xml:space="preserve">Table 2 Summary of studies reporting prevalence of </w:t>
      </w:r>
      <w:r w:rsidR="00F6784A" w:rsidRPr="00545501">
        <w:rPr>
          <w:rFonts w:ascii="Book Antiqua" w:hAnsi="Book Antiqua" w:cs="Calibri"/>
          <w:b/>
          <w:color w:val="000000" w:themeColor="text1"/>
        </w:rPr>
        <w:t>Sjogren syndrome</w:t>
      </w:r>
      <w:r w:rsidR="00E54933" w:rsidRPr="00545501">
        <w:rPr>
          <w:rFonts w:ascii="Book Antiqua" w:hAnsi="Book Antiqua" w:cstheme="minorHAnsi"/>
          <w:b/>
          <w:color w:val="000000" w:themeColor="text1"/>
        </w:rPr>
        <w:t xml:space="preserve"> in </w:t>
      </w:r>
      <w:r w:rsidR="00F6784A" w:rsidRPr="00545501">
        <w:rPr>
          <w:rFonts w:ascii="Book Antiqua" w:hAnsi="Book Antiqua" w:cs="Calibri"/>
          <w:b/>
          <w:color w:val="000000" w:themeColor="text1"/>
        </w:rPr>
        <w:t>celiac disease</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782"/>
        <w:gridCol w:w="1123"/>
        <w:gridCol w:w="2193"/>
        <w:gridCol w:w="3034"/>
      </w:tblGrid>
      <w:tr w:rsidR="00E54933" w:rsidRPr="00545501" w14:paraId="53F98C0E" w14:textId="77777777" w:rsidTr="00E54933">
        <w:tc>
          <w:tcPr>
            <w:tcW w:w="995" w:type="pct"/>
            <w:tcBorders>
              <w:top w:val="single" w:sz="4" w:space="0" w:color="auto"/>
              <w:bottom w:val="single" w:sz="4" w:space="0" w:color="auto"/>
            </w:tcBorders>
          </w:tcPr>
          <w:p w14:paraId="2EF2B6DF" w14:textId="77777777" w:rsidR="00E54933" w:rsidRPr="00545501" w:rsidRDefault="00F6784A" w:rsidP="003541E7">
            <w:pPr>
              <w:adjustRightInd w:val="0"/>
              <w:snapToGrid w:val="0"/>
              <w:spacing w:line="360" w:lineRule="auto"/>
              <w:jc w:val="both"/>
              <w:rPr>
                <w:rFonts w:ascii="Book Antiqua" w:hAnsi="Book Antiqua"/>
                <w:b/>
                <w:bCs/>
                <w:color w:val="000000" w:themeColor="text1"/>
              </w:rPr>
            </w:pPr>
            <w:r w:rsidRPr="00545501">
              <w:rPr>
                <w:rFonts w:ascii="Book Antiqua" w:hAnsi="Book Antiqua"/>
                <w:b/>
                <w:bCs/>
                <w:color w:val="000000" w:themeColor="text1"/>
              </w:rPr>
              <w:t>Ref.</w:t>
            </w:r>
          </w:p>
        </w:tc>
        <w:tc>
          <w:tcPr>
            <w:tcW w:w="463" w:type="pct"/>
            <w:tcBorders>
              <w:top w:val="single" w:sz="4" w:space="0" w:color="auto"/>
              <w:bottom w:val="single" w:sz="4" w:space="0" w:color="auto"/>
            </w:tcBorders>
          </w:tcPr>
          <w:p w14:paraId="305E645A" w14:textId="77777777" w:rsidR="00E54933" w:rsidRPr="00545501" w:rsidRDefault="00E54933" w:rsidP="003541E7">
            <w:pPr>
              <w:adjustRightInd w:val="0"/>
              <w:snapToGrid w:val="0"/>
              <w:spacing w:line="360" w:lineRule="auto"/>
              <w:jc w:val="both"/>
              <w:rPr>
                <w:rFonts w:ascii="Book Antiqua" w:hAnsi="Book Antiqua"/>
                <w:b/>
                <w:bCs/>
                <w:color w:val="000000" w:themeColor="text1"/>
              </w:rPr>
            </w:pPr>
            <w:r w:rsidRPr="00545501">
              <w:rPr>
                <w:rFonts w:ascii="Book Antiqua" w:eastAsia="Cambria" w:hAnsi="Book Antiqua"/>
                <w:b/>
                <w:bCs/>
                <w:color w:val="000000" w:themeColor="text1"/>
              </w:rPr>
              <w:t>CD (</w:t>
            </w:r>
            <w:r w:rsidRPr="00545501">
              <w:rPr>
                <w:rFonts w:ascii="Book Antiqua" w:eastAsia="Cambria" w:hAnsi="Book Antiqua"/>
                <w:b/>
                <w:bCs/>
                <w:i/>
                <w:color w:val="000000" w:themeColor="text1"/>
              </w:rPr>
              <w:t>n</w:t>
            </w:r>
            <w:r w:rsidRPr="00545501">
              <w:rPr>
                <w:rFonts w:ascii="Book Antiqua" w:eastAsia="Cambria" w:hAnsi="Book Antiqua"/>
                <w:b/>
                <w:bCs/>
                <w:color w:val="000000" w:themeColor="text1"/>
              </w:rPr>
              <w:t>)</w:t>
            </w:r>
          </w:p>
        </w:tc>
        <w:tc>
          <w:tcPr>
            <w:tcW w:w="549" w:type="pct"/>
            <w:tcBorders>
              <w:top w:val="single" w:sz="4" w:space="0" w:color="auto"/>
              <w:bottom w:val="single" w:sz="4" w:space="0" w:color="auto"/>
            </w:tcBorders>
          </w:tcPr>
          <w:p w14:paraId="303C9448" w14:textId="77777777" w:rsidR="00E54933" w:rsidRPr="00545501" w:rsidRDefault="00E54933" w:rsidP="003541E7">
            <w:pPr>
              <w:adjustRightInd w:val="0"/>
              <w:snapToGrid w:val="0"/>
              <w:spacing w:line="360" w:lineRule="auto"/>
              <w:jc w:val="both"/>
              <w:rPr>
                <w:rFonts w:ascii="Book Antiqua" w:hAnsi="Book Antiqua"/>
                <w:b/>
                <w:bCs/>
                <w:color w:val="000000" w:themeColor="text1"/>
              </w:rPr>
            </w:pPr>
            <w:r w:rsidRPr="00545501">
              <w:rPr>
                <w:rFonts w:ascii="Book Antiqua" w:hAnsi="Book Antiqua"/>
                <w:b/>
                <w:bCs/>
                <w:color w:val="000000" w:themeColor="text1"/>
              </w:rPr>
              <w:t>Country</w:t>
            </w:r>
          </w:p>
        </w:tc>
        <w:tc>
          <w:tcPr>
            <w:tcW w:w="1259" w:type="pct"/>
            <w:tcBorders>
              <w:top w:val="single" w:sz="4" w:space="0" w:color="auto"/>
              <w:bottom w:val="single" w:sz="4" w:space="0" w:color="auto"/>
            </w:tcBorders>
          </w:tcPr>
          <w:p w14:paraId="1F1161DA" w14:textId="77777777" w:rsidR="00E54933" w:rsidRPr="00545501" w:rsidRDefault="00E54933" w:rsidP="003541E7">
            <w:pPr>
              <w:adjustRightInd w:val="0"/>
              <w:snapToGrid w:val="0"/>
              <w:spacing w:line="360" w:lineRule="auto"/>
              <w:jc w:val="both"/>
              <w:rPr>
                <w:rFonts w:ascii="Book Antiqua" w:hAnsi="Book Antiqua"/>
                <w:b/>
                <w:bCs/>
                <w:color w:val="000000" w:themeColor="text1"/>
              </w:rPr>
            </w:pPr>
            <w:r w:rsidRPr="00545501">
              <w:rPr>
                <w:rFonts w:ascii="Book Antiqua" w:eastAsia="Cambria" w:hAnsi="Book Antiqua"/>
                <w:b/>
                <w:bCs/>
                <w:color w:val="000000" w:themeColor="text1"/>
              </w:rPr>
              <w:t>SS prevalence (SS</w:t>
            </w:r>
            <w:r w:rsidR="00F6784A" w:rsidRPr="00545501">
              <w:rPr>
                <w:rFonts w:ascii="Book Antiqua" w:eastAsia="Cambria" w:hAnsi="Book Antiqua"/>
                <w:b/>
                <w:bCs/>
                <w:color w:val="000000" w:themeColor="text1"/>
              </w:rPr>
              <w:t xml:space="preserve"> </w:t>
            </w:r>
            <w:r w:rsidRPr="00545501">
              <w:rPr>
                <w:rFonts w:ascii="Book Antiqua" w:eastAsia="Cambria" w:hAnsi="Book Antiqua"/>
                <w:b/>
                <w:bCs/>
                <w:color w:val="000000" w:themeColor="text1"/>
              </w:rPr>
              <w:t>+</w:t>
            </w:r>
            <w:r w:rsidR="00F6784A" w:rsidRPr="00545501">
              <w:rPr>
                <w:rFonts w:ascii="Book Antiqua" w:eastAsia="Cambria" w:hAnsi="Book Antiqua"/>
                <w:b/>
                <w:bCs/>
                <w:color w:val="000000" w:themeColor="text1"/>
              </w:rPr>
              <w:t xml:space="preserve"> </w:t>
            </w:r>
            <w:r w:rsidRPr="00545501">
              <w:rPr>
                <w:rFonts w:ascii="Book Antiqua" w:eastAsia="Cambria" w:hAnsi="Book Antiqua"/>
                <w:b/>
                <w:bCs/>
                <w:color w:val="000000" w:themeColor="text1"/>
              </w:rPr>
              <w:t>CD)</w:t>
            </w:r>
          </w:p>
        </w:tc>
        <w:tc>
          <w:tcPr>
            <w:tcW w:w="1734" w:type="pct"/>
            <w:tcBorders>
              <w:top w:val="single" w:sz="4" w:space="0" w:color="auto"/>
              <w:bottom w:val="single" w:sz="4" w:space="0" w:color="auto"/>
            </w:tcBorders>
          </w:tcPr>
          <w:p w14:paraId="78E3BDE9" w14:textId="77777777" w:rsidR="00E54933" w:rsidRPr="00545501" w:rsidRDefault="00E54933" w:rsidP="003541E7">
            <w:pPr>
              <w:adjustRightInd w:val="0"/>
              <w:snapToGrid w:val="0"/>
              <w:spacing w:line="360" w:lineRule="auto"/>
              <w:jc w:val="both"/>
              <w:rPr>
                <w:rFonts w:ascii="Book Antiqua" w:hAnsi="Book Antiqua"/>
                <w:b/>
                <w:bCs/>
                <w:color w:val="000000" w:themeColor="text1"/>
              </w:rPr>
            </w:pPr>
            <w:r w:rsidRPr="00545501">
              <w:rPr>
                <w:rFonts w:ascii="Book Antiqua" w:eastAsia="Cambria" w:hAnsi="Book Antiqua"/>
                <w:b/>
                <w:bCs/>
                <w:color w:val="000000" w:themeColor="text1"/>
              </w:rPr>
              <w:t>Diagnostic criteria</w:t>
            </w:r>
          </w:p>
        </w:tc>
      </w:tr>
      <w:tr w:rsidR="00E54933" w:rsidRPr="00545501" w14:paraId="2B07FB48" w14:textId="77777777" w:rsidTr="00E54933">
        <w:tc>
          <w:tcPr>
            <w:tcW w:w="995" w:type="pct"/>
            <w:tcBorders>
              <w:top w:val="single" w:sz="4" w:space="0" w:color="auto"/>
            </w:tcBorders>
          </w:tcPr>
          <w:p w14:paraId="277ECB08"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Erbasan</w:t>
            </w:r>
            <w:r w:rsidR="001D19E9" w:rsidRPr="00545501">
              <w:rPr>
                <w:rFonts w:ascii="Book Antiqua" w:hAnsi="Book Antiqua"/>
                <w:color w:val="000000" w:themeColor="text1"/>
              </w:rPr>
              <w:t xml:space="preserve"> </w:t>
            </w:r>
            <w:r w:rsidR="001D19E9" w:rsidRPr="00545501">
              <w:rPr>
                <w:rFonts w:ascii="Book Antiqua" w:hAnsi="Book Antiqua"/>
                <w:i/>
                <w:color w:val="000000" w:themeColor="text1"/>
              </w:rPr>
              <w:t>et a</w:t>
            </w:r>
            <w:r w:rsidR="001D19E9" w:rsidRPr="00545501">
              <w:rPr>
                <w:rFonts w:ascii="Book Antiqua" w:hAnsi="Book Antiqua"/>
                <w:color w:val="000000" w:themeColor="text1"/>
              </w:rPr>
              <w:t>l</w:t>
            </w:r>
            <w:r w:rsidR="001D19E9" w:rsidRPr="00545501">
              <w:rPr>
                <w:rFonts w:ascii="Book Antiqua" w:hAnsi="Book Antiqua"/>
                <w:color w:val="000000" w:themeColor="text1"/>
                <w:vertAlign w:val="superscript"/>
              </w:rPr>
              <w:t>[25]</w:t>
            </w:r>
          </w:p>
        </w:tc>
        <w:tc>
          <w:tcPr>
            <w:tcW w:w="463" w:type="pct"/>
            <w:tcBorders>
              <w:top w:val="single" w:sz="4" w:space="0" w:color="auto"/>
            </w:tcBorders>
          </w:tcPr>
          <w:p w14:paraId="463FB27F"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82</w:t>
            </w:r>
          </w:p>
        </w:tc>
        <w:tc>
          <w:tcPr>
            <w:tcW w:w="549" w:type="pct"/>
            <w:tcBorders>
              <w:top w:val="single" w:sz="4" w:space="0" w:color="auto"/>
            </w:tcBorders>
          </w:tcPr>
          <w:p w14:paraId="14AF7BA5"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Turkey</w:t>
            </w:r>
          </w:p>
        </w:tc>
        <w:tc>
          <w:tcPr>
            <w:tcW w:w="1259" w:type="pct"/>
            <w:tcBorders>
              <w:top w:val="single" w:sz="4" w:space="0" w:color="auto"/>
            </w:tcBorders>
          </w:tcPr>
          <w:p w14:paraId="2B2723B0"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1.2%</w:t>
            </w:r>
          </w:p>
        </w:tc>
        <w:tc>
          <w:tcPr>
            <w:tcW w:w="1734" w:type="pct"/>
            <w:tcBorders>
              <w:top w:val="single" w:sz="4" w:space="0" w:color="auto"/>
            </w:tcBorders>
          </w:tcPr>
          <w:p w14:paraId="1790DA00"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eastAsia="Cambria" w:hAnsi="Book Antiqua"/>
                <w:color w:val="000000" w:themeColor="text1"/>
              </w:rPr>
              <w:t>29.3% dry eye, 24.4% dry mouth</w:t>
            </w:r>
            <w:r w:rsidR="00F6784A" w:rsidRPr="00545501">
              <w:rPr>
                <w:rFonts w:ascii="Book Antiqua" w:eastAsia="Cambria" w:hAnsi="Book Antiqua"/>
                <w:color w:val="000000" w:themeColor="text1"/>
              </w:rPr>
              <w:t>;</w:t>
            </w:r>
            <w:r w:rsidR="00F6784A" w:rsidRPr="00545501">
              <w:rPr>
                <w:rFonts w:ascii="Book Antiqua" w:hAnsi="Book Antiqua"/>
                <w:color w:val="000000" w:themeColor="text1"/>
                <w:lang w:eastAsia="zh-CN"/>
              </w:rPr>
              <w:t xml:space="preserve"> </w:t>
            </w:r>
            <w:r w:rsidRPr="00545501">
              <w:rPr>
                <w:rFonts w:ascii="Book Antiqua" w:eastAsia="Cambria" w:hAnsi="Book Antiqua"/>
                <w:color w:val="000000" w:themeColor="text1"/>
              </w:rPr>
              <w:t>14.6% ANA+</w:t>
            </w:r>
          </w:p>
        </w:tc>
      </w:tr>
      <w:tr w:rsidR="00E54933" w:rsidRPr="00545501" w14:paraId="2309BDDA" w14:textId="77777777" w:rsidTr="00E54933">
        <w:tc>
          <w:tcPr>
            <w:tcW w:w="995" w:type="pct"/>
          </w:tcPr>
          <w:p w14:paraId="6C3FC55B" w14:textId="77777777" w:rsidR="00E54933" w:rsidRPr="00545501" w:rsidRDefault="001D19E9" w:rsidP="003541E7">
            <w:pPr>
              <w:adjustRightInd w:val="0"/>
              <w:snapToGrid w:val="0"/>
              <w:spacing w:line="360" w:lineRule="auto"/>
              <w:jc w:val="both"/>
              <w:rPr>
                <w:rFonts w:ascii="Book Antiqua" w:hAnsi="Book Antiqua"/>
                <w:color w:val="000000" w:themeColor="text1"/>
              </w:rPr>
            </w:pPr>
            <w:r w:rsidRPr="00545501">
              <w:rPr>
                <w:rFonts w:ascii="Book Antiqua" w:hAnsi="Book Antiqua"/>
              </w:rPr>
              <w:t xml:space="preserve">Bibbò </w:t>
            </w:r>
            <w:r w:rsidRPr="00545501">
              <w:rPr>
                <w:rFonts w:ascii="Book Antiqua" w:hAnsi="Book Antiqua"/>
                <w:i/>
              </w:rPr>
              <w:t>et al</w:t>
            </w:r>
            <w:r w:rsidRPr="00545501">
              <w:rPr>
                <w:rFonts w:ascii="Book Antiqua" w:hAnsi="Book Antiqua"/>
                <w:vertAlign w:val="superscript"/>
              </w:rPr>
              <w:t>[26]</w:t>
            </w:r>
          </w:p>
        </w:tc>
        <w:tc>
          <w:tcPr>
            <w:tcW w:w="463" w:type="pct"/>
          </w:tcPr>
          <w:p w14:paraId="658329D8"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255</w:t>
            </w:r>
          </w:p>
        </w:tc>
        <w:tc>
          <w:tcPr>
            <w:tcW w:w="549" w:type="pct"/>
          </w:tcPr>
          <w:p w14:paraId="73E931FC"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Italy</w:t>
            </w:r>
          </w:p>
        </w:tc>
        <w:tc>
          <w:tcPr>
            <w:tcW w:w="1259" w:type="pct"/>
          </w:tcPr>
          <w:p w14:paraId="542F8DAD"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2.4%</w:t>
            </w:r>
          </w:p>
        </w:tc>
        <w:tc>
          <w:tcPr>
            <w:tcW w:w="1734" w:type="pct"/>
          </w:tcPr>
          <w:p w14:paraId="3F5B0CE0" w14:textId="77777777" w:rsidR="00E54933" w:rsidRPr="00545501" w:rsidRDefault="00E54933" w:rsidP="003541E7">
            <w:pPr>
              <w:adjustRightInd w:val="0"/>
              <w:snapToGrid w:val="0"/>
              <w:spacing w:line="360" w:lineRule="auto"/>
              <w:jc w:val="both"/>
              <w:rPr>
                <w:rFonts w:ascii="Book Antiqua" w:eastAsia="Cambria" w:hAnsi="Book Antiqua"/>
                <w:color w:val="000000" w:themeColor="text1"/>
              </w:rPr>
            </w:pPr>
          </w:p>
        </w:tc>
      </w:tr>
      <w:tr w:rsidR="00E54933" w:rsidRPr="00545501" w14:paraId="325BC334" w14:textId="77777777" w:rsidTr="00E54933">
        <w:tc>
          <w:tcPr>
            <w:tcW w:w="995" w:type="pct"/>
          </w:tcPr>
          <w:p w14:paraId="47C50AD1"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Caglar</w:t>
            </w:r>
            <w:r w:rsidR="001D19E9" w:rsidRPr="00545501">
              <w:rPr>
                <w:rFonts w:ascii="Book Antiqua" w:hAnsi="Book Antiqua"/>
                <w:i/>
                <w:color w:val="000000" w:themeColor="text1"/>
              </w:rPr>
              <w:t xml:space="preserve"> et al</w:t>
            </w:r>
            <w:r w:rsidR="001D19E9" w:rsidRPr="00545501">
              <w:rPr>
                <w:rFonts w:ascii="Book Antiqua" w:hAnsi="Book Antiqua"/>
                <w:color w:val="000000" w:themeColor="text1"/>
                <w:vertAlign w:val="superscript"/>
              </w:rPr>
              <w:t>[27]</w:t>
            </w:r>
          </w:p>
        </w:tc>
        <w:tc>
          <w:tcPr>
            <w:tcW w:w="463" w:type="pct"/>
          </w:tcPr>
          <w:p w14:paraId="6D3CDDB9"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31</w:t>
            </w:r>
          </w:p>
        </w:tc>
        <w:tc>
          <w:tcPr>
            <w:tcW w:w="549" w:type="pct"/>
          </w:tcPr>
          <w:p w14:paraId="5312EE54"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Turkey</w:t>
            </w:r>
          </w:p>
        </w:tc>
        <w:tc>
          <w:tcPr>
            <w:tcW w:w="1259" w:type="pct"/>
          </w:tcPr>
          <w:p w14:paraId="184DEA8E"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6.5%</w:t>
            </w:r>
          </w:p>
        </w:tc>
        <w:tc>
          <w:tcPr>
            <w:tcW w:w="1734" w:type="pct"/>
          </w:tcPr>
          <w:p w14:paraId="002BFB7E"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eastAsia="Cambria" w:hAnsi="Book Antiqua"/>
                <w:color w:val="000000" w:themeColor="text1"/>
              </w:rPr>
              <w:t>12.9% ANA+</w:t>
            </w:r>
            <w:r w:rsidR="00F6784A" w:rsidRPr="00545501">
              <w:rPr>
                <w:rFonts w:ascii="Book Antiqua" w:eastAsia="Cambria" w:hAnsi="Book Antiqua"/>
                <w:color w:val="000000" w:themeColor="text1"/>
              </w:rPr>
              <w:t>;</w:t>
            </w:r>
            <w:r w:rsidR="00F6784A" w:rsidRPr="00545501">
              <w:rPr>
                <w:rFonts w:ascii="Book Antiqua" w:hAnsi="Book Antiqua"/>
                <w:color w:val="000000" w:themeColor="text1"/>
                <w:lang w:eastAsia="zh-CN"/>
              </w:rPr>
              <w:t xml:space="preserve"> </w:t>
            </w:r>
            <w:r w:rsidRPr="00545501">
              <w:rPr>
                <w:rFonts w:ascii="Book Antiqua" w:eastAsia="Cambria" w:hAnsi="Book Antiqua"/>
                <w:color w:val="000000" w:themeColor="text1"/>
              </w:rPr>
              <w:t>6.5% SS-A/Ro+ and/or SS-B/La+</w:t>
            </w:r>
          </w:p>
        </w:tc>
      </w:tr>
      <w:tr w:rsidR="00E54933" w:rsidRPr="00545501" w14:paraId="58FC372E" w14:textId="77777777" w:rsidTr="00E54933">
        <w:tc>
          <w:tcPr>
            <w:tcW w:w="995" w:type="pct"/>
          </w:tcPr>
          <w:p w14:paraId="055C5EBD" w14:textId="77777777" w:rsidR="00E54933" w:rsidRPr="00545501" w:rsidRDefault="001D19E9"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 xml:space="preserve">Collin </w:t>
            </w:r>
            <w:r w:rsidRPr="00545501">
              <w:rPr>
                <w:rFonts w:ascii="Book Antiqua" w:hAnsi="Book Antiqua"/>
                <w:i/>
                <w:color w:val="000000" w:themeColor="text1"/>
              </w:rPr>
              <w:t>et al</w:t>
            </w:r>
            <w:r w:rsidRPr="00545501">
              <w:rPr>
                <w:rFonts w:ascii="Book Antiqua" w:hAnsi="Book Antiqua"/>
                <w:color w:val="000000" w:themeColor="text1"/>
                <w:vertAlign w:val="superscript"/>
              </w:rPr>
              <w:t>[28]</w:t>
            </w:r>
          </w:p>
        </w:tc>
        <w:tc>
          <w:tcPr>
            <w:tcW w:w="463" w:type="pct"/>
          </w:tcPr>
          <w:p w14:paraId="43AB270A"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335</w:t>
            </w:r>
          </w:p>
        </w:tc>
        <w:tc>
          <w:tcPr>
            <w:tcW w:w="549" w:type="pct"/>
          </w:tcPr>
          <w:p w14:paraId="1805952F"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Finland</w:t>
            </w:r>
          </w:p>
        </w:tc>
        <w:tc>
          <w:tcPr>
            <w:tcW w:w="1259" w:type="pct"/>
          </w:tcPr>
          <w:p w14:paraId="2938EACA"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3.3%</w:t>
            </w:r>
          </w:p>
        </w:tc>
        <w:tc>
          <w:tcPr>
            <w:tcW w:w="1734" w:type="pct"/>
          </w:tcPr>
          <w:p w14:paraId="07942280" w14:textId="77777777" w:rsidR="00E54933" w:rsidRPr="00545501" w:rsidRDefault="00E54933" w:rsidP="003541E7">
            <w:pPr>
              <w:adjustRightInd w:val="0"/>
              <w:snapToGrid w:val="0"/>
              <w:spacing w:line="360" w:lineRule="auto"/>
              <w:jc w:val="both"/>
              <w:rPr>
                <w:rFonts w:ascii="Book Antiqua" w:hAnsi="Book Antiqua"/>
                <w:color w:val="000000" w:themeColor="text1"/>
              </w:rPr>
            </w:pPr>
          </w:p>
        </w:tc>
      </w:tr>
      <w:tr w:rsidR="00E54933" w:rsidRPr="00545501" w14:paraId="68E4D9A5" w14:textId="77777777" w:rsidTr="00E54933">
        <w:tc>
          <w:tcPr>
            <w:tcW w:w="995" w:type="pct"/>
          </w:tcPr>
          <w:p w14:paraId="5EDDBFC4" w14:textId="77777777" w:rsidR="00E54933" w:rsidRPr="00545501" w:rsidRDefault="001D19E9" w:rsidP="003541E7">
            <w:pPr>
              <w:adjustRightInd w:val="0"/>
              <w:snapToGrid w:val="0"/>
              <w:spacing w:line="360" w:lineRule="auto"/>
              <w:jc w:val="both"/>
              <w:rPr>
                <w:rFonts w:ascii="Book Antiqua" w:hAnsi="Book Antiqua"/>
                <w:color w:val="000000" w:themeColor="text1"/>
              </w:rPr>
            </w:pPr>
            <w:r w:rsidRPr="00545501">
              <w:rPr>
                <w:rFonts w:ascii="Book Antiqua" w:hAnsi="Book Antiqua"/>
              </w:rPr>
              <w:t xml:space="preserve">Ayar </w:t>
            </w:r>
            <w:r w:rsidRPr="00545501">
              <w:rPr>
                <w:rFonts w:ascii="Book Antiqua" w:hAnsi="Book Antiqua"/>
                <w:i/>
              </w:rPr>
              <w:t>et al</w:t>
            </w:r>
            <w:r w:rsidRPr="00545501">
              <w:rPr>
                <w:rFonts w:ascii="Book Antiqua" w:hAnsi="Book Antiqua"/>
                <w:vertAlign w:val="superscript"/>
              </w:rPr>
              <w:t>[29]</w:t>
            </w:r>
          </w:p>
        </w:tc>
        <w:tc>
          <w:tcPr>
            <w:tcW w:w="463" w:type="pct"/>
          </w:tcPr>
          <w:p w14:paraId="7C12BD28"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 xml:space="preserve">81 </w:t>
            </w:r>
          </w:p>
        </w:tc>
        <w:tc>
          <w:tcPr>
            <w:tcW w:w="549" w:type="pct"/>
          </w:tcPr>
          <w:p w14:paraId="75EFAA81" w14:textId="77777777" w:rsidR="00E54933" w:rsidRPr="00545501" w:rsidRDefault="00E54933"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Turkey</w:t>
            </w:r>
          </w:p>
        </w:tc>
        <w:tc>
          <w:tcPr>
            <w:tcW w:w="1259" w:type="pct"/>
          </w:tcPr>
          <w:p w14:paraId="066D0430" w14:textId="77777777" w:rsidR="00E54933" w:rsidRPr="00545501" w:rsidRDefault="00E54933" w:rsidP="003541E7">
            <w:pPr>
              <w:adjustRightInd w:val="0"/>
              <w:snapToGrid w:val="0"/>
              <w:spacing w:line="360" w:lineRule="auto"/>
              <w:jc w:val="both"/>
              <w:rPr>
                <w:rFonts w:ascii="Book Antiqua" w:eastAsia="Cambria" w:hAnsi="Book Antiqua"/>
                <w:color w:val="000000" w:themeColor="text1"/>
              </w:rPr>
            </w:pPr>
            <w:r w:rsidRPr="00545501">
              <w:rPr>
                <w:rFonts w:ascii="Book Antiqua" w:eastAsia="Cambria" w:hAnsi="Book Antiqua"/>
                <w:color w:val="000000" w:themeColor="text1"/>
              </w:rPr>
              <w:t>4.9%</w:t>
            </w:r>
          </w:p>
        </w:tc>
        <w:tc>
          <w:tcPr>
            <w:tcW w:w="1734" w:type="pct"/>
          </w:tcPr>
          <w:p w14:paraId="1F465984" w14:textId="77777777" w:rsidR="00E54933" w:rsidRPr="00545501" w:rsidRDefault="00E54933" w:rsidP="003541E7">
            <w:pPr>
              <w:adjustRightInd w:val="0"/>
              <w:snapToGrid w:val="0"/>
              <w:spacing w:line="360" w:lineRule="auto"/>
              <w:jc w:val="both"/>
              <w:rPr>
                <w:rFonts w:ascii="Book Antiqua" w:eastAsia="Cambria" w:hAnsi="Book Antiqua"/>
                <w:color w:val="000000" w:themeColor="text1"/>
              </w:rPr>
            </w:pPr>
            <w:r w:rsidRPr="00545501">
              <w:rPr>
                <w:rFonts w:ascii="Book Antiqua" w:eastAsia="Cambria" w:hAnsi="Book Antiqua"/>
                <w:color w:val="000000" w:themeColor="text1"/>
              </w:rPr>
              <w:t>23.5% dry eye, 27.2% dry mouth</w:t>
            </w:r>
          </w:p>
        </w:tc>
      </w:tr>
    </w:tbl>
    <w:p w14:paraId="2E7E6DBA" w14:textId="77777777" w:rsidR="00E54933" w:rsidRPr="00545501" w:rsidRDefault="00E54933" w:rsidP="003541E7">
      <w:pPr>
        <w:adjustRightInd w:val="0"/>
        <w:snapToGrid w:val="0"/>
        <w:spacing w:line="360" w:lineRule="auto"/>
        <w:jc w:val="both"/>
        <w:rPr>
          <w:rFonts w:ascii="Book Antiqua" w:hAnsi="Book Antiqua" w:cs="Calibri"/>
          <w:color w:val="000000" w:themeColor="text1"/>
        </w:rPr>
      </w:pPr>
      <w:r w:rsidRPr="00545501">
        <w:rPr>
          <w:rFonts w:ascii="Book Antiqua" w:hAnsi="Book Antiqua" w:cs="Calibri"/>
          <w:color w:val="000000" w:themeColor="text1"/>
        </w:rPr>
        <w:t>SS</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Sjogren syndrome</w:t>
      </w:r>
      <w:r w:rsidRPr="00545501">
        <w:rPr>
          <w:rFonts w:ascii="Book Antiqua" w:eastAsia="Times New Roman" w:hAnsi="Book Antiqua"/>
          <w:color w:val="000000"/>
          <w:lang w:eastAsia="en-GB"/>
        </w:rPr>
        <w:t>;</w:t>
      </w:r>
      <w:r w:rsidRPr="00545501">
        <w:rPr>
          <w:rFonts w:ascii="Book Antiqua" w:hAnsi="Book Antiqua" w:cs="Calibri"/>
          <w:color w:val="000000" w:themeColor="text1"/>
        </w:rPr>
        <w:t xml:space="preserve"> CD</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Celiac disease</w:t>
      </w:r>
      <w:r w:rsidRPr="00545501">
        <w:rPr>
          <w:rFonts w:ascii="Book Antiqua" w:eastAsia="Times New Roman" w:hAnsi="Book Antiqua"/>
          <w:color w:val="000000"/>
          <w:lang w:eastAsia="en-GB"/>
        </w:rPr>
        <w:t>;</w:t>
      </w:r>
      <w:r w:rsidRPr="00545501">
        <w:rPr>
          <w:rFonts w:ascii="Book Antiqua" w:hAnsi="Book Antiqua" w:cs="Calibri"/>
          <w:color w:val="000000" w:themeColor="text1"/>
        </w:rPr>
        <w:t xml:space="preserve"> ANA</w:t>
      </w:r>
      <w:r w:rsidRPr="00545501">
        <w:rPr>
          <w:rFonts w:ascii="Book Antiqua" w:eastAsia="Times New Roman" w:hAnsi="Book Antiqua"/>
          <w:color w:val="000000"/>
          <w:lang w:eastAsia="en-GB"/>
        </w:rPr>
        <w:t>:</w:t>
      </w:r>
      <w:r w:rsidRPr="00545501">
        <w:rPr>
          <w:rFonts w:ascii="Book Antiqua" w:hAnsi="Book Antiqua" w:cs="Calibri"/>
          <w:color w:val="000000" w:themeColor="text1"/>
        </w:rPr>
        <w:t xml:space="preserve"> Antinuclear antibodies.</w:t>
      </w:r>
    </w:p>
    <w:p w14:paraId="434449CB" w14:textId="3FD5D53D" w:rsidR="00E54933" w:rsidRPr="00545501" w:rsidRDefault="00E54933"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hAnsi="Book Antiqua" w:cs="Calibri"/>
          <w:color w:val="000000" w:themeColor="text1"/>
        </w:rPr>
        <w:br w:type="page"/>
      </w:r>
      <w:r w:rsidRPr="00545501">
        <w:rPr>
          <w:rFonts w:ascii="Book Antiqua" w:eastAsia="Times New Roman" w:hAnsi="Book Antiqua"/>
          <w:b/>
          <w:color w:val="000000"/>
          <w:lang w:eastAsia="en-GB"/>
        </w:rPr>
        <w:t xml:space="preserve">Table 3 </w:t>
      </w:r>
      <w:r w:rsidR="00543261" w:rsidRPr="00545501">
        <w:rPr>
          <w:rFonts w:ascii="Book Antiqua" w:eastAsia="Times New Roman" w:hAnsi="Book Antiqua"/>
          <w:b/>
          <w:color w:val="000000"/>
          <w:lang w:eastAsia="en-GB"/>
        </w:rPr>
        <w:t xml:space="preserve">Clinical scenarios needing the search of </w:t>
      </w:r>
      <w:r w:rsidR="00543261" w:rsidRPr="00545501">
        <w:rPr>
          <w:rFonts w:ascii="Book Antiqua" w:hAnsi="Book Antiqua" w:cs="Calibri"/>
          <w:b/>
          <w:color w:val="000000" w:themeColor="text1"/>
        </w:rPr>
        <w:t>celiac disease</w:t>
      </w:r>
      <w:r w:rsidR="00543261" w:rsidRPr="00545501">
        <w:rPr>
          <w:rFonts w:ascii="Book Antiqua" w:eastAsia="Times New Roman" w:hAnsi="Book Antiqua"/>
          <w:b/>
          <w:color w:val="000000"/>
          <w:lang w:eastAsia="en-GB"/>
        </w:rPr>
        <w:t xml:space="preserve"> in </w:t>
      </w:r>
      <w:r w:rsidR="00543261" w:rsidRPr="00545501">
        <w:rPr>
          <w:rFonts w:ascii="Book Antiqua" w:hAnsi="Book Antiqua" w:cs="Calibri"/>
          <w:b/>
          <w:color w:val="000000" w:themeColor="text1"/>
        </w:rPr>
        <w:t>Sj</w:t>
      </w:r>
      <w:r w:rsidR="00994227" w:rsidRPr="00545501">
        <w:rPr>
          <w:rFonts w:ascii="Book Antiqua" w:hAnsi="Book Antiqua" w:cs="Calibri"/>
          <w:b/>
          <w:color w:val="000000" w:themeColor="text1"/>
        </w:rPr>
        <w:t>ö</w:t>
      </w:r>
      <w:r w:rsidR="00543261" w:rsidRPr="00545501">
        <w:rPr>
          <w:rFonts w:ascii="Book Antiqua" w:hAnsi="Book Antiqua" w:cs="Calibri"/>
          <w:b/>
          <w:color w:val="000000" w:themeColor="text1"/>
        </w:rPr>
        <w:t>gren syndrome</w:t>
      </w:r>
      <w:r w:rsidR="00543261" w:rsidRPr="00545501">
        <w:rPr>
          <w:rFonts w:ascii="Book Antiqua" w:eastAsia="Times New Roman" w:hAnsi="Book Antiqua"/>
          <w:b/>
          <w:color w:val="000000"/>
          <w:lang w:eastAsia="en-GB"/>
        </w:rPr>
        <w:t xml:space="preserve"> patients or </w:t>
      </w:r>
      <w:r w:rsidR="00543261" w:rsidRPr="00545501">
        <w:rPr>
          <w:rFonts w:ascii="Book Antiqua" w:hAnsi="Book Antiqua" w:cs="Calibri"/>
          <w:b/>
          <w:color w:val="000000" w:themeColor="text1"/>
        </w:rPr>
        <w:t>Sj</w:t>
      </w:r>
      <w:r w:rsidR="00994227" w:rsidRPr="00545501">
        <w:rPr>
          <w:rFonts w:ascii="Book Antiqua" w:hAnsi="Book Antiqua" w:cs="Calibri"/>
          <w:b/>
          <w:color w:val="000000" w:themeColor="text1"/>
        </w:rPr>
        <w:t>ö</w:t>
      </w:r>
      <w:r w:rsidR="00543261" w:rsidRPr="00545501">
        <w:rPr>
          <w:rFonts w:ascii="Book Antiqua" w:hAnsi="Book Antiqua" w:cs="Calibri"/>
          <w:b/>
          <w:color w:val="000000" w:themeColor="text1"/>
        </w:rPr>
        <w:t>gren syndrome</w:t>
      </w:r>
      <w:r w:rsidR="00543261" w:rsidRPr="00545501">
        <w:rPr>
          <w:rFonts w:ascii="Book Antiqua" w:eastAsia="Times New Roman" w:hAnsi="Book Antiqua"/>
          <w:b/>
          <w:color w:val="000000"/>
          <w:lang w:eastAsia="en-GB"/>
        </w:rPr>
        <w:t xml:space="preserve"> in </w:t>
      </w:r>
      <w:r w:rsidR="00543261" w:rsidRPr="00545501">
        <w:rPr>
          <w:rFonts w:ascii="Book Antiqua" w:hAnsi="Book Antiqua" w:cs="Calibri"/>
          <w:b/>
          <w:color w:val="000000" w:themeColor="text1"/>
        </w:rPr>
        <w:t>celiac disease</w:t>
      </w:r>
      <w:r w:rsidR="00543261" w:rsidRPr="00545501">
        <w:rPr>
          <w:rFonts w:ascii="Book Antiqua" w:eastAsia="Times New Roman" w:hAnsi="Book Antiqua"/>
          <w:b/>
          <w:color w:val="000000"/>
          <w:lang w:eastAsia="en-GB"/>
        </w:rPr>
        <w:t xml:space="preserve"> patients</w:t>
      </w:r>
    </w:p>
    <w:tbl>
      <w:tblPr>
        <w:tblStyle w:val="2"/>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4307"/>
        <w:gridCol w:w="4306"/>
      </w:tblGrid>
      <w:tr w:rsidR="00E54933" w:rsidRPr="00545501" w14:paraId="6427D855" w14:textId="77777777" w:rsidTr="004D53AE">
        <w:trPr>
          <w:trHeight w:val="422"/>
        </w:trPr>
        <w:tc>
          <w:tcPr>
            <w:tcW w:w="4307" w:type="dxa"/>
            <w:shd w:val="clear" w:color="auto" w:fill="auto"/>
          </w:tcPr>
          <w:p w14:paraId="2DCFC6B1" w14:textId="77777777" w:rsidR="00E54933" w:rsidRPr="00545501" w:rsidRDefault="00E54933"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When to consider CD in SS patients?</w:t>
            </w:r>
          </w:p>
        </w:tc>
        <w:tc>
          <w:tcPr>
            <w:tcW w:w="4306" w:type="dxa"/>
            <w:shd w:val="clear" w:color="auto" w:fill="auto"/>
          </w:tcPr>
          <w:p w14:paraId="170634E4" w14:textId="77777777" w:rsidR="00E54933" w:rsidRPr="00545501" w:rsidRDefault="00E54933"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b/>
                <w:color w:val="000000"/>
                <w:lang w:eastAsia="en-GB"/>
              </w:rPr>
              <w:t>When to consider SS in CD patients?</w:t>
            </w:r>
          </w:p>
        </w:tc>
      </w:tr>
      <w:tr w:rsidR="00E54933" w:rsidRPr="00545501" w14:paraId="72AF12BC" w14:textId="77777777" w:rsidTr="004D53AE">
        <w:trPr>
          <w:trHeight w:val="3556"/>
        </w:trPr>
        <w:tc>
          <w:tcPr>
            <w:tcW w:w="4307" w:type="dxa"/>
            <w:shd w:val="clear" w:color="auto" w:fill="auto"/>
          </w:tcPr>
          <w:p w14:paraId="67A315FC" w14:textId="77777777" w:rsidR="00E54933" w:rsidRPr="00545501" w:rsidRDefault="00E54933"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color w:val="000000"/>
                <w:lang w:eastAsia="en-GB"/>
              </w:rPr>
              <w:t>Suggestive gastrointestinal symptoms</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Suspected malabsorption</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Hypogammaglobulinemia and low levels of total protein</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High levels of transaminases without evident cause</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Anemia of unknown cause</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Herpetiform dermatitis</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Autoimmune thyroiditis (frequent in SS patients)</w:t>
            </w:r>
            <w:r w:rsidRPr="00545501">
              <w:rPr>
                <w:rFonts w:ascii="Book Antiqua" w:eastAsia="Times New Roman" w:hAnsi="Book Antiqua"/>
                <w:color w:val="000000"/>
                <w:vertAlign w:val="superscript"/>
                <w:lang w:eastAsia="en-GB"/>
              </w:rPr>
              <w:t>[47]</w:t>
            </w:r>
            <w:r w:rsidR="00F6784A" w:rsidRPr="00545501">
              <w:rPr>
                <w:rFonts w:ascii="Book Antiqua" w:eastAsia="Times New Roman" w:hAnsi="Book Antiqua"/>
                <w:color w:val="000000"/>
                <w:vertAlign w:val="superscript"/>
                <w:lang w:eastAsia="en-GB"/>
              </w:rPr>
              <w:t>1</w:t>
            </w:r>
          </w:p>
        </w:tc>
        <w:tc>
          <w:tcPr>
            <w:tcW w:w="4306" w:type="dxa"/>
            <w:shd w:val="clear" w:color="auto" w:fill="auto"/>
          </w:tcPr>
          <w:p w14:paraId="768F4DF8" w14:textId="77777777" w:rsidR="00E54933" w:rsidRPr="00545501" w:rsidRDefault="00E54933" w:rsidP="003541E7">
            <w:pPr>
              <w:adjustRightInd w:val="0"/>
              <w:snapToGrid w:val="0"/>
              <w:spacing w:line="360" w:lineRule="auto"/>
              <w:jc w:val="both"/>
              <w:rPr>
                <w:rFonts w:ascii="Book Antiqua" w:eastAsia="Times New Roman" w:hAnsi="Book Antiqua"/>
                <w:b/>
                <w:color w:val="000000"/>
                <w:lang w:eastAsia="en-GB"/>
              </w:rPr>
            </w:pPr>
            <w:r w:rsidRPr="00545501">
              <w:rPr>
                <w:rFonts w:ascii="Book Antiqua" w:eastAsia="Times New Roman" w:hAnsi="Book Antiqua"/>
                <w:color w:val="000000"/>
                <w:lang w:eastAsia="en-GB"/>
              </w:rPr>
              <w:t>Dry eyes and dry mouth symptoms</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Enlarged parotid glands</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Hypergammaglobulinemia a</w:t>
            </w:r>
            <w:r w:rsidR="00543261" w:rsidRPr="00545501">
              <w:rPr>
                <w:rFonts w:ascii="Book Antiqua" w:eastAsia="Times New Roman" w:hAnsi="Book Antiqua"/>
                <w:color w:val="000000"/>
                <w:lang w:eastAsia="en-GB"/>
              </w:rPr>
              <w:t>nd high levels of total protein;</w:t>
            </w:r>
            <w:r w:rsidR="00543261" w:rsidRPr="00545501">
              <w:rPr>
                <w:rFonts w:ascii="Book Antiqua" w:hAnsi="Book Antiqua"/>
                <w:color w:val="000000"/>
                <w:lang w:eastAsia="zh-CN"/>
              </w:rPr>
              <w:t xml:space="preserve"> </w:t>
            </w:r>
            <w:r w:rsidRPr="00545501">
              <w:rPr>
                <w:rFonts w:ascii="Book Antiqua" w:eastAsia="Times New Roman" w:hAnsi="Book Antiqua"/>
                <w:color w:val="000000"/>
                <w:lang w:eastAsia="en-GB"/>
              </w:rPr>
              <w:t>Polyneuropathy</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Arthritis (arthralgias?)</w:t>
            </w:r>
            <w:r w:rsidR="00543261" w:rsidRPr="00545501">
              <w:rPr>
                <w:rFonts w:ascii="Book Antiqua" w:eastAsia="Times New Roman" w:hAnsi="Book Antiqua"/>
                <w:color w:val="000000"/>
                <w:lang w:eastAsia="en-GB"/>
              </w:rPr>
              <w:t>;</w:t>
            </w:r>
            <w:r w:rsidR="00543261" w:rsidRPr="00545501">
              <w:rPr>
                <w:rFonts w:ascii="Book Antiqua" w:hAnsi="Book Antiqua"/>
                <w:b/>
                <w:color w:val="000000"/>
                <w:lang w:eastAsia="zh-CN"/>
              </w:rPr>
              <w:t xml:space="preserve"> </w:t>
            </w:r>
            <w:r w:rsidRPr="00545501">
              <w:rPr>
                <w:rFonts w:ascii="Book Antiqua" w:eastAsia="Times New Roman" w:hAnsi="Book Antiqua"/>
                <w:color w:val="000000"/>
                <w:lang w:eastAsia="en-GB"/>
              </w:rPr>
              <w:t>Purpura</w:t>
            </w:r>
          </w:p>
        </w:tc>
      </w:tr>
    </w:tbl>
    <w:p w14:paraId="416EA903" w14:textId="09625DF4" w:rsidR="00E54933" w:rsidRPr="00545501" w:rsidRDefault="00F6784A"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eastAsia="Times New Roman" w:hAnsi="Book Antiqua"/>
          <w:color w:val="000000"/>
          <w:vertAlign w:val="superscript"/>
          <w:lang w:eastAsia="en-GB"/>
        </w:rPr>
        <w:t>1</w:t>
      </w:r>
      <w:r w:rsidR="00E54933" w:rsidRPr="00545501">
        <w:rPr>
          <w:rFonts w:ascii="Book Antiqua" w:eastAsia="Times New Roman" w:hAnsi="Book Antiqua"/>
          <w:color w:val="000000"/>
          <w:lang w:eastAsia="en-GB"/>
        </w:rPr>
        <w:t xml:space="preserve">The </w:t>
      </w:r>
      <w:r w:rsidR="00543261" w:rsidRPr="00545501">
        <w:rPr>
          <w:rFonts w:ascii="Book Antiqua" w:eastAsia="Times New Roman" w:hAnsi="Book Antiqua"/>
          <w:color w:val="000000"/>
          <w:lang w:eastAsia="en-GB"/>
        </w:rPr>
        <w:t>National Institute for Health and Clinical Excellence</w:t>
      </w:r>
      <w:r w:rsidR="00E54933" w:rsidRPr="00545501">
        <w:rPr>
          <w:rFonts w:ascii="Book Antiqua" w:eastAsia="Times New Roman" w:hAnsi="Book Antiqua"/>
          <w:color w:val="000000"/>
          <w:lang w:eastAsia="en-GB"/>
        </w:rPr>
        <w:t xml:space="preserve"> guideline recommends that all patients with autoimmune thyroid disease must be screened for </w:t>
      </w:r>
      <w:r w:rsidR="00543261" w:rsidRPr="00545501">
        <w:rPr>
          <w:rFonts w:ascii="Book Antiqua" w:hAnsi="Book Antiqua" w:cs="Calibri"/>
          <w:color w:val="000000" w:themeColor="text1"/>
        </w:rPr>
        <w:t>celiac disease</w:t>
      </w:r>
      <w:r w:rsidR="00E54933" w:rsidRPr="00545501">
        <w:rPr>
          <w:rFonts w:ascii="Book Antiqua" w:eastAsia="Times New Roman" w:hAnsi="Book Antiqua"/>
          <w:color w:val="000000"/>
          <w:lang w:eastAsia="en-GB"/>
        </w:rPr>
        <w:t>.</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CD</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Celiac disease</w:t>
      </w:r>
      <w:r w:rsidR="00543261" w:rsidRPr="00545501">
        <w:rPr>
          <w:rFonts w:ascii="Book Antiqua" w:eastAsia="Times New Roman" w:hAnsi="Book Antiqua"/>
          <w:color w:val="000000"/>
          <w:lang w:eastAsia="en-GB"/>
        </w:rPr>
        <w:t xml:space="preserve">; </w:t>
      </w:r>
      <w:r w:rsidR="00543261" w:rsidRPr="00545501">
        <w:rPr>
          <w:rFonts w:ascii="Book Antiqua" w:hAnsi="Book Antiqua" w:cs="Calibri"/>
          <w:color w:val="000000" w:themeColor="text1"/>
        </w:rPr>
        <w:t>SS</w:t>
      </w:r>
      <w:r w:rsidR="00543261" w:rsidRPr="00545501">
        <w:rPr>
          <w:rFonts w:ascii="Book Antiqua" w:eastAsia="Times New Roman" w:hAnsi="Book Antiqua"/>
          <w:color w:val="000000"/>
          <w:lang w:eastAsia="en-GB"/>
        </w:rPr>
        <w:t xml:space="preserve">: </w:t>
      </w:r>
      <w:r w:rsidR="00543261" w:rsidRPr="00545501">
        <w:rPr>
          <w:rFonts w:ascii="Book Antiqua" w:hAnsi="Book Antiqua" w:cs="Calibri"/>
          <w:color w:val="000000" w:themeColor="text1"/>
        </w:rPr>
        <w:t>Sj</w:t>
      </w:r>
      <w:r w:rsidR="00994227" w:rsidRPr="00545501">
        <w:rPr>
          <w:rFonts w:ascii="Book Antiqua" w:hAnsi="Book Antiqua" w:cs="Calibri"/>
          <w:color w:val="000000" w:themeColor="text1"/>
        </w:rPr>
        <w:t>ö</w:t>
      </w:r>
      <w:r w:rsidR="00543261" w:rsidRPr="00545501">
        <w:rPr>
          <w:rFonts w:ascii="Book Antiqua" w:hAnsi="Book Antiqua" w:cs="Calibri"/>
          <w:color w:val="000000" w:themeColor="text1"/>
        </w:rPr>
        <w:t>gren syndrome</w:t>
      </w:r>
      <w:r w:rsidR="00543261" w:rsidRPr="00545501">
        <w:rPr>
          <w:rFonts w:ascii="Book Antiqua" w:eastAsia="Times New Roman" w:hAnsi="Book Antiqua"/>
          <w:color w:val="000000"/>
          <w:lang w:eastAsia="en-GB"/>
        </w:rPr>
        <w:t>.</w:t>
      </w:r>
    </w:p>
    <w:p w14:paraId="4D56B586" w14:textId="77777777" w:rsidR="00E54933" w:rsidRPr="00545501" w:rsidRDefault="00361E6C" w:rsidP="003541E7">
      <w:pPr>
        <w:adjustRightInd w:val="0"/>
        <w:snapToGrid w:val="0"/>
        <w:spacing w:line="360" w:lineRule="auto"/>
        <w:jc w:val="both"/>
        <w:rPr>
          <w:rFonts w:ascii="Book Antiqua" w:hAnsi="Book Antiqua"/>
          <w:b/>
          <w:color w:val="000000" w:themeColor="text1"/>
        </w:rPr>
      </w:pPr>
      <w:r w:rsidRPr="00545501">
        <w:rPr>
          <w:rFonts w:ascii="Book Antiqua" w:hAnsi="Book Antiqua"/>
          <w:b/>
          <w:color w:val="000000" w:themeColor="text1"/>
        </w:rPr>
        <w:br w:type="page"/>
      </w:r>
      <w:r w:rsidR="00E54933" w:rsidRPr="00545501">
        <w:rPr>
          <w:rFonts w:ascii="Book Antiqua" w:hAnsi="Book Antiqua"/>
          <w:b/>
          <w:color w:val="000000" w:themeColor="text1"/>
        </w:rPr>
        <w:t>Table 4 Future agenda</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6B7A68" w:rsidRPr="00545501" w14:paraId="2408D17F" w14:textId="77777777" w:rsidTr="00543261">
        <w:tc>
          <w:tcPr>
            <w:tcW w:w="8856" w:type="dxa"/>
            <w:tcBorders>
              <w:top w:val="single" w:sz="4" w:space="0" w:color="auto"/>
              <w:bottom w:val="single" w:sz="4" w:space="0" w:color="auto"/>
            </w:tcBorders>
          </w:tcPr>
          <w:p w14:paraId="127EC2EE" w14:textId="77777777" w:rsidR="006B7A68" w:rsidRPr="00545501" w:rsidRDefault="006B7A68" w:rsidP="003541E7">
            <w:pPr>
              <w:adjustRightInd w:val="0"/>
              <w:snapToGrid w:val="0"/>
              <w:spacing w:line="360" w:lineRule="auto"/>
              <w:jc w:val="both"/>
              <w:rPr>
                <w:rFonts w:ascii="Book Antiqua" w:hAnsi="Book Antiqua"/>
                <w:b/>
                <w:color w:val="000000" w:themeColor="text1"/>
              </w:rPr>
            </w:pPr>
            <w:r w:rsidRPr="00545501">
              <w:rPr>
                <w:rFonts w:ascii="Book Antiqua" w:hAnsi="Book Antiqua"/>
                <w:b/>
                <w:color w:val="000000" w:themeColor="text1"/>
              </w:rPr>
              <w:t>Future agenda</w:t>
            </w:r>
          </w:p>
        </w:tc>
      </w:tr>
      <w:tr w:rsidR="006B7A68" w:rsidRPr="00545501" w14:paraId="689AB5B6" w14:textId="77777777" w:rsidTr="00543261">
        <w:trPr>
          <w:trHeight w:val="840"/>
        </w:trPr>
        <w:tc>
          <w:tcPr>
            <w:tcW w:w="8856" w:type="dxa"/>
            <w:tcBorders>
              <w:top w:val="single" w:sz="4" w:space="0" w:color="auto"/>
            </w:tcBorders>
          </w:tcPr>
          <w:p w14:paraId="0159AEFC" w14:textId="77777777" w:rsidR="006B7A68" w:rsidRPr="00545501" w:rsidRDefault="00176CA8" w:rsidP="003541E7">
            <w:pPr>
              <w:pStyle w:val="a5"/>
              <w:snapToGrid w:val="0"/>
              <w:spacing w:after="0" w:line="360" w:lineRule="auto"/>
              <w:ind w:left="0"/>
              <w:contextualSpacing w:val="0"/>
              <w:jc w:val="both"/>
              <w:rPr>
                <w:rFonts w:ascii="Book Antiqua" w:hAnsi="Book Antiqua"/>
                <w:b/>
                <w:color w:val="000000" w:themeColor="text1"/>
                <w:sz w:val="24"/>
                <w:szCs w:val="24"/>
                <w:lang w:eastAsia="zh-CN"/>
              </w:rPr>
            </w:pPr>
            <w:r w:rsidRPr="00545501">
              <w:rPr>
                <w:rFonts w:ascii="Book Antiqua" w:hAnsi="Book Antiqua"/>
                <w:color w:val="000000" w:themeColor="text1"/>
                <w:sz w:val="24"/>
                <w:szCs w:val="24"/>
                <w:lang w:val="en-US"/>
              </w:rPr>
              <w:t>Describing the prevalence of SS in patients with CD using the new classification criteria for SS</w:t>
            </w:r>
          </w:p>
        </w:tc>
      </w:tr>
      <w:tr w:rsidR="00543261" w:rsidRPr="00545501" w14:paraId="5665DB5D" w14:textId="77777777" w:rsidTr="00543261">
        <w:trPr>
          <w:trHeight w:val="882"/>
        </w:trPr>
        <w:tc>
          <w:tcPr>
            <w:tcW w:w="8856" w:type="dxa"/>
          </w:tcPr>
          <w:p w14:paraId="123A01DB" w14:textId="77777777" w:rsidR="00543261" w:rsidRPr="00545501"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545501">
              <w:rPr>
                <w:rFonts w:ascii="Book Antiqua" w:hAnsi="Book Antiqua"/>
                <w:color w:val="000000" w:themeColor="text1"/>
                <w:sz w:val="24"/>
                <w:szCs w:val="24"/>
                <w:lang w:val="en-US"/>
              </w:rPr>
              <w:t>Describing the prevalence of CD in SS patients using newer generation serology tests</w:t>
            </w:r>
          </w:p>
        </w:tc>
      </w:tr>
      <w:tr w:rsidR="00543261" w:rsidRPr="00545501" w14:paraId="5EEFDAAB" w14:textId="77777777" w:rsidTr="00543261">
        <w:trPr>
          <w:trHeight w:val="954"/>
        </w:trPr>
        <w:tc>
          <w:tcPr>
            <w:tcW w:w="8856" w:type="dxa"/>
          </w:tcPr>
          <w:p w14:paraId="1C9D7074" w14:textId="77777777" w:rsidR="00543261" w:rsidRPr="00545501"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545501">
              <w:rPr>
                <w:rFonts w:ascii="Book Antiqua" w:hAnsi="Book Antiqua"/>
                <w:color w:val="000000" w:themeColor="text1"/>
                <w:sz w:val="24"/>
                <w:szCs w:val="24"/>
                <w:lang w:val="en-US"/>
              </w:rPr>
              <w:t xml:space="preserve">Prospective studies in patients with both conditions regarding evolution and prognosis, especially regarding the possible additive risk of lymphoma </w:t>
            </w:r>
          </w:p>
        </w:tc>
      </w:tr>
      <w:tr w:rsidR="00543261" w:rsidRPr="00545501" w14:paraId="77289734" w14:textId="77777777" w:rsidTr="00543261">
        <w:trPr>
          <w:trHeight w:val="936"/>
        </w:trPr>
        <w:tc>
          <w:tcPr>
            <w:tcW w:w="8856" w:type="dxa"/>
          </w:tcPr>
          <w:p w14:paraId="32A4CBBB" w14:textId="77777777" w:rsidR="00543261" w:rsidRPr="00545501" w:rsidRDefault="00543261" w:rsidP="003541E7">
            <w:pPr>
              <w:pStyle w:val="a5"/>
              <w:snapToGrid w:val="0"/>
              <w:spacing w:after="0" w:line="360" w:lineRule="auto"/>
              <w:ind w:left="0"/>
              <w:contextualSpacing w:val="0"/>
              <w:jc w:val="both"/>
              <w:rPr>
                <w:rFonts w:ascii="Book Antiqua" w:hAnsi="Book Antiqua"/>
                <w:color w:val="000000" w:themeColor="text1"/>
                <w:sz w:val="24"/>
                <w:szCs w:val="24"/>
                <w:lang w:val="en-US"/>
              </w:rPr>
            </w:pPr>
            <w:r w:rsidRPr="00545501">
              <w:rPr>
                <w:rFonts w:ascii="Book Antiqua" w:hAnsi="Book Antiqua"/>
                <w:color w:val="000000" w:themeColor="text1"/>
                <w:sz w:val="24"/>
                <w:szCs w:val="24"/>
                <w:lang w:val="en-US"/>
              </w:rPr>
              <w:t>Describing the role of gluten free diet regarding SS symptoms in patients associating both diseases</w:t>
            </w:r>
          </w:p>
        </w:tc>
      </w:tr>
      <w:tr w:rsidR="00543261" w:rsidRPr="00545501" w14:paraId="33E39D74" w14:textId="77777777" w:rsidTr="00543261">
        <w:trPr>
          <w:trHeight w:val="531"/>
        </w:trPr>
        <w:tc>
          <w:tcPr>
            <w:tcW w:w="8856" w:type="dxa"/>
          </w:tcPr>
          <w:p w14:paraId="6B3D90A9" w14:textId="77777777" w:rsidR="00543261" w:rsidRPr="00545501" w:rsidRDefault="00543261" w:rsidP="003541E7">
            <w:pPr>
              <w:adjustRightInd w:val="0"/>
              <w:snapToGrid w:val="0"/>
              <w:spacing w:line="360" w:lineRule="auto"/>
              <w:jc w:val="both"/>
              <w:rPr>
                <w:rFonts w:ascii="Book Antiqua" w:hAnsi="Book Antiqua"/>
                <w:color w:val="000000" w:themeColor="text1"/>
              </w:rPr>
            </w:pPr>
            <w:r w:rsidRPr="00545501">
              <w:rPr>
                <w:rFonts w:ascii="Book Antiqua" w:hAnsi="Book Antiqua"/>
                <w:color w:val="000000" w:themeColor="text1"/>
              </w:rPr>
              <w:t>Developing clear recommendations for screening for SS in CD and for CD in SS</w:t>
            </w:r>
          </w:p>
        </w:tc>
      </w:tr>
    </w:tbl>
    <w:p w14:paraId="3E1C40EF" w14:textId="1DBB167C" w:rsidR="00E54933" w:rsidRPr="007D4172" w:rsidRDefault="00543261" w:rsidP="003541E7">
      <w:pPr>
        <w:adjustRightInd w:val="0"/>
        <w:snapToGrid w:val="0"/>
        <w:spacing w:line="360" w:lineRule="auto"/>
        <w:jc w:val="both"/>
        <w:rPr>
          <w:rFonts w:ascii="Book Antiqua" w:eastAsia="Times New Roman" w:hAnsi="Book Antiqua"/>
          <w:color w:val="000000"/>
          <w:lang w:eastAsia="en-GB"/>
        </w:rPr>
      </w:pPr>
      <w:r w:rsidRPr="00545501">
        <w:rPr>
          <w:rFonts w:ascii="Book Antiqua" w:hAnsi="Book Antiqua" w:cs="Calibri"/>
          <w:color w:val="000000" w:themeColor="text1"/>
        </w:rPr>
        <w:t>CD</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Celiac disease</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SS</w:t>
      </w:r>
      <w:r w:rsidRPr="00545501">
        <w:rPr>
          <w:rFonts w:ascii="Book Antiqua" w:eastAsia="Times New Roman" w:hAnsi="Book Antiqua"/>
          <w:color w:val="000000"/>
          <w:lang w:eastAsia="en-GB"/>
        </w:rPr>
        <w:t xml:space="preserve">: </w:t>
      </w:r>
      <w:r w:rsidRPr="00545501">
        <w:rPr>
          <w:rFonts w:ascii="Book Antiqua" w:hAnsi="Book Antiqua" w:cs="Calibri"/>
          <w:color w:val="000000" w:themeColor="text1"/>
        </w:rPr>
        <w:t>Sj</w:t>
      </w:r>
      <w:r w:rsidR="00994227" w:rsidRPr="00545501">
        <w:rPr>
          <w:rFonts w:ascii="Book Antiqua" w:hAnsi="Book Antiqua" w:cs="Calibri"/>
          <w:color w:val="000000" w:themeColor="text1"/>
        </w:rPr>
        <w:t>ö</w:t>
      </w:r>
      <w:r w:rsidRPr="00545501">
        <w:rPr>
          <w:rFonts w:ascii="Book Antiqua" w:hAnsi="Book Antiqua" w:cs="Calibri"/>
          <w:color w:val="000000" w:themeColor="text1"/>
        </w:rPr>
        <w:t>gren syndrome</w:t>
      </w:r>
      <w:r w:rsidRPr="00545501">
        <w:rPr>
          <w:rFonts w:ascii="Book Antiqua" w:eastAsia="Times New Roman" w:hAnsi="Book Antiqua"/>
          <w:color w:val="000000"/>
          <w:lang w:eastAsia="en-GB"/>
        </w:rPr>
        <w:t>.</w:t>
      </w:r>
      <w:bookmarkStart w:id="9" w:name="_GoBack"/>
      <w:bookmarkEnd w:id="9"/>
    </w:p>
    <w:p w14:paraId="5CF3E9D6" w14:textId="77777777" w:rsidR="00E54933" w:rsidRPr="007D4172" w:rsidRDefault="006B7A68" w:rsidP="003541E7">
      <w:pPr>
        <w:tabs>
          <w:tab w:val="left" w:pos="4107"/>
        </w:tabs>
        <w:adjustRightInd w:val="0"/>
        <w:snapToGrid w:val="0"/>
        <w:spacing w:line="360" w:lineRule="auto"/>
        <w:jc w:val="both"/>
        <w:rPr>
          <w:rFonts w:ascii="Book Antiqua" w:eastAsia="Times New Roman" w:hAnsi="Book Antiqua"/>
          <w:color w:val="000000"/>
          <w:lang w:eastAsia="en-GB"/>
        </w:rPr>
      </w:pPr>
      <w:r w:rsidRPr="007D4172">
        <w:rPr>
          <w:rFonts w:ascii="Book Antiqua" w:eastAsia="Times New Roman" w:hAnsi="Book Antiqua"/>
          <w:color w:val="000000"/>
          <w:lang w:eastAsia="en-GB"/>
        </w:rPr>
        <w:tab/>
      </w:r>
    </w:p>
    <w:sectPr w:rsidR="00E54933" w:rsidRPr="007D4172" w:rsidSect="00B7035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19A19" w14:textId="77777777" w:rsidR="009540BF" w:rsidRDefault="009540BF" w:rsidP="00220619">
      <w:r>
        <w:separator/>
      </w:r>
    </w:p>
  </w:endnote>
  <w:endnote w:type="continuationSeparator" w:id="0">
    <w:p w14:paraId="2FE2717B" w14:textId="77777777" w:rsidR="009540BF" w:rsidRDefault="009540BF" w:rsidP="00220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200620"/>
      <w:docPartObj>
        <w:docPartGallery w:val="Page Numbers (Bottom of Page)"/>
        <w:docPartUnique/>
      </w:docPartObj>
    </w:sdtPr>
    <w:sdtEndPr/>
    <w:sdtContent>
      <w:sdt>
        <w:sdtPr>
          <w:id w:val="-1769616900"/>
          <w:docPartObj>
            <w:docPartGallery w:val="Page Numbers (Top of Page)"/>
            <w:docPartUnique/>
          </w:docPartObj>
        </w:sdtPr>
        <w:sdtEndPr/>
        <w:sdtContent>
          <w:p w14:paraId="700ECA8B" w14:textId="77777777" w:rsidR="00B7035B" w:rsidRDefault="00B7035B">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540B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540BF">
              <w:rPr>
                <w:b/>
                <w:bCs/>
                <w:noProof/>
              </w:rPr>
              <w:t>1</w:t>
            </w:r>
            <w:r>
              <w:rPr>
                <w:b/>
                <w:bCs/>
                <w:sz w:val="24"/>
                <w:szCs w:val="24"/>
              </w:rPr>
              <w:fldChar w:fldCharType="end"/>
            </w:r>
          </w:p>
        </w:sdtContent>
      </w:sdt>
    </w:sdtContent>
  </w:sdt>
  <w:p w14:paraId="027D3727" w14:textId="77777777" w:rsidR="00B7035B" w:rsidRDefault="00B7035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08CC09" w14:textId="77777777" w:rsidR="009540BF" w:rsidRDefault="009540BF" w:rsidP="00220619">
      <w:r>
        <w:separator/>
      </w:r>
    </w:p>
  </w:footnote>
  <w:footnote w:type="continuationSeparator" w:id="0">
    <w:p w14:paraId="050B67FE" w14:textId="77777777" w:rsidR="009540BF" w:rsidRDefault="009540BF" w:rsidP="002206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C56FE"/>
    <w:multiLevelType w:val="multilevel"/>
    <w:tmpl w:val="19BA4ED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438"/>
    <w:rsid w:val="000451D7"/>
    <w:rsid w:val="000B7C3B"/>
    <w:rsid w:val="000D007C"/>
    <w:rsid w:val="000D10BC"/>
    <w:rsid w:val="000E2392"/>
    <w:rsid w:val="000E7543"/>
    <w:rsid w:val="001022A4"/>
    <w:rsid w:val="0010468B"/>
    <w:rsid w:val="001145F1"/>
    <w:rsid w:val="00142965"/>
    <w:rsid w:val="001539B6"/>
    <w:rsid w:val="00172C36"/>
    <w:rsid w:val="00176CA8"/>
    <w:rsid w:val="001B1777"/>
    <w:rsid w:val="001D19E9"/>
    <w:rsid w:val="001D6086"/>
    <w:rsid w:val="001E05B5"/>
    <w:rsid w:val="001F1688"/>
    <w:rsid w:val="001F7EA8"/>
    <w:rsid w:val="00220619"/>
    <w:rsid w:val="00221E06"/>
    <w:rsid w:val="00251B01"/>
    <w:rsid w:val="00257E6A"/>
    <w:rsid w:val="0027487F"/>
    <w:rsid w:val="00287662"/>
    <w:rsid w:val="002B365D"/>
    <w:rsid w:val="002B3B0B"/>
    <w:rsid w:val="002E5FA6"/>
    <w:rsid w:val="002E7338"/>
    <w:rsid w:val="00316947"/>
    <w:rsid w:val="00343CD2"/>
    <w:rsid w:val="00344024"/>
    <w:rsid w:val="003441EE"/>
    <w:rsid w:val="00344A6F"/>
    <w:rsid w:val="003541E7"/>
    <w:rsid w:val="00361E6C"/>
    <w:rsid w:val="003872C9"/>
    <w:rsid w:val="00395119"/>
    <w:rsid w:val="003A2B76"/>
    <w:rsid w:val="003A5F8F"/>
    <w:rsid w:val="003B0564"/>
    <w:rsid w:val="003B3932"/>
    <w:rsid w:val="003D0BB0"/>
    <w:rsid w:val="003E2064"/>
    <w:rsid w:val="003E67BF"/>
    <w:rsid w:val="00417AEB"/>
    <w:rsid w:val="00431D83"/>
    <w:rsid w:val="00453C7A"/>
    <w:rsid w:val="0046126E"/>
    <w:rsid w:val="00487017"/>
    <w:rsid w:val="00490FFF"/>
    <w:rsid w:val="00494DE1"/>
    <w:rsid w:val="004B21DA"/>
    <w:rsid w:val="004C58B0"/>
    <w:rsid w:val="004D53AE"/>
    <w:rsid w:val="004F10DC"/>
    <w:rsid w:val="00510BDD"/>
    <w:rsid w:val="00543261"/>
    <w:rsid w:val="00545501"/>
    <w:rsid w:val="00585396"/>
    <w:rsid w:val="00597797"/>
    <w:rsid w:val="005B3D92"/>
    <w:rsid w:val="005B4D5C"/>
    <w:rsid w:val="005C3DA2"/>
    <w:rsid w:val="005D01B3"/>
    <w:rsid w:val="005D438D"/>
    <w:rsid w:val="0061504E"/>
    <w:rsid w:val="00617F9E"/>
    <w:rsid w:val="00627EA0"/>
    <w:rsid w:val="00644D66"/>
    <w:rsid w:val="0066678A"/>
    <w:rsid w:val="006764EF"/>
    <w:rsid w:val="006940FA"/>
    <w:rsid w:val="006B7A68"/>
    <w:rsid w:val="006C2B68"/>
    <w:rsid w:val="006C7B73"/>
    <w:rsid w:val="0077135E"/>
    <w:rsid w:val="0077494D"/>
    <w:rsid w:val="007B50CF"/>
    <w:rsid w:val="007D4172"/>
    <w:rsid w:val="007E6710"/>
    <w:rsid w:val="008154B6"/>
    <w:rsid w:val="00854464"/>
    <w:rsid w:val="00855E0C"/>
    <w:rsid w:val="00860E4E"/>
    <w:rsid w:val="008A2675"/>
    <w:rsid w:val="008B10DB"/>
    <w:rsid w:val="008B440E"/>
    <w:rsid w:val="008C553D"/>
    <w:rsid w:val="008D3B4E"/>
    <w:rsid w:val="008D616D"/>
    <w:rsid w:val="008D6385"/>
    <w:rsid w:val="009321D0"/>
    <w:rsid w:val="009540BF"/>
    <w:rsid w:val="009641A0"/>
    <w:rsid w:val="00994227"/>
    <w:rsid w:val="009B7675"/>
    <w:rsid w:val="009C593C"/>
    <w:rsid w:val="009C750F"/>
    <w:rsid w:val="009D4FA3"/>
    <w:rsid w:val="009D7EAF"/>
    <w:rsid w:val="00A3194A"/>
    <w:rsid w:val="00A604F1"/>
    <w:rsid w:val="00A6634A"/>
    <w:rsid w:val="00A702BA"/>
    <w:rsid w:val="00A77B3E"/>
    <w:rsid w:val="00A87AB0"/>
    <w:rsid w:val="00AB005C"/>
    <w:rsid w:val="00AB1134"/>
    <w:rsid w:val="00B0708D"/>
    <w:rsid w:val="00B65A5A"/>
    <w:rsid w:val="00B67DED"/>
    <w:rsid w:val="00B7035B"/>
    <w:rsid w:val="00B75673"/>
    <w:rsid w:val="00B8429B"/>
    <w:rsid w:val="00BA2B36"/>
    <w:rsid w:val="00BA4A48"/>
    <w:rsid w:val="00BA4A86"/>
    <w:rsid w:val="00BF247F"/>
    <w:rsid w:val="00C50DA1"/>
    <w:rsid w:val="00C553DE"/>
    <w:rsid w:val="00C57BC3"/>
    <w:rsid w:val="00C642AC"/>
    <w:rsid w:val="00C71CD8"/>
    <w:rsid w:val="00C77152"/>
    <w:rsid w:val="00C907A4"/>
    <w:rsid w:val="00CA2A55"/>
    <w:rsid w:val="00CB6F24"/>
    <w:rsid w:val="00CC673E"/>
    <w:rsid w:val="00CF69E6"/>
    <w:rsid w:val="00D03833"/>
    <w:rsid w:val="00D64E4F"/>
    <w:rsid w:val="00D76050"/>
    <w:rsid w:val="00DA5576"/>
    <w:rsid w:val="00DA60DA"/>
    <w:rsid w:val="00DC0009"/>
    <w:rsid w:val="00DC0149"/>
    <w:rsid w:val="00DD212E"/>
    <w:rsid w:val="00DF42D5"/>
    <w:rsid w:val="00E455A9"/>
    <w:rsid w:val="00E54933"/>
    <w:rsid w:val="00E7356B"/>
    <w:rsid w:val="00E93465"/>
    <w:rsid w:val="00EA3C6F"/>
    <w:rsid w:val="00EE042E"/>
    <w:rsid w:val="00F27D12"/>
    <w:rsid w:val="00F5399B"/>
    <w:rsid w:val="00F6784A"/>
    <w:rsid w:val="00F91219"/>
    <w:rsid w:val="00FA4942"/>
    <w:rsid w:val="00FA5E1E"/>
    <w:rsid w:val="00FD1E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13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Anchor">
    <w:name w:val="Endnote Anchor"/>
    <w:rsid w:val="00C907A4"/>
    <w:rPr>
      <w:vertAlign w:val="superscript"/>
    </w:rPr>
  </w:style>
  <w:style w:type="character" w:styleId="a3">
    <w:name w:val="Emphasis"/>
    <w:qFormat/>
    <w:rsid w:val="00DA60DA"/>
    <w:rPr>
      <w:i/>
      <w:iCs/>
    </w:rPr>
  </w:style>
  <w:style w:type="table" w:customStyle="1" w:styleId="1">
    <w:name w:val="网格型1"/>
    <w:basedOn w:val="a1"/>
    <w:next w:val="a4"/>
    <w:uiPriority w:val="39"/>
    <w:rsid w:val="001F7EA8"/>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1F7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4"/>
    <w:uiPriority w:val="39"/>
    <w:rsid w:val="00E54933"/>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E54933"/>
    <w:pPr>
      <w:spacing w:after="160" w:line="259" w:lineRule="auto"/>
      <w:ind w:left="720"/>
      <w:contextualSpacing/>
    </w:pPr>
    <w:rPr>
      <w:rFonts w:asciiTheme="minorHAnsi" w:eastAsiaTheme="minorHAnsi" w:hAnsiTheme="minorHAnsi" w:cstheme="minorBidi"/>
      <w:sz w:val="22"/>
      <w:szCs w:val="22"/>
      <w:lang w:val="en-GB"/>
    </w:rPr>
  </w:style>
  <w:style w:type="paragraph" w:styleId="a6">
    <w:name w:val="header"/>
    <w:basedOn w:val="a"/>
    <w:link w:val="Char"/>
    <w:unhideWhenUsed/>
    <w:rsid w:val="002206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20619"/>
    <w:rPr>
      <w:sz w:val="18"/>
      <w:szCs w:val="18"/>
    </w:rPr>
  </w:style>
  <w:style w:type="paragraph" w:styleId="a7">
    <w:name w:val="footer"/>
    <w:basedOn w:val="a"/>
    <w:link w:val="Char0"/>
    <w:uiPriority w:val="99"/>
    <w:unhideWhenUsed/>
    <w:rsid w:val="00220619"/>
    <w:pPr>
      <w:tabs>
        <w:tab w:val="center" w:pos="4153"/>
        <w:tab w:val="right" w:pos="8306"/>
      </w:tabs>
      <w:snapToGrid w:val="0"/>
    </w:pPr>
    <w:rPr>
      <w:sz w:val="18"/>
      <w:szCs w:val="18"/>
    </w:rPr>
  </w:style>
  <w:style w:type="character" w:customStyle="1" w:styleId="Char0">
    <w:name w:val="页脚 Char"/>
    <w:basedOn w:val="a0"/>
    <w:link w:val="a7"/>
    <w:uiPriority w:val="99"/>
    <w:rsid w:val="00220619"/>
    <w:rPr>
      <w:sz w:val="18"/>
      <w:szCs w:val="18"/>
    </w:rPr>
  </w:style>
  <w:style w:type="character" w:styleId="a8">
    <w:name w:val="annotation reference"/>
    <w:basedOn w:val="a0"/>
    <w:semiHidden/>
    <w:unhideWhenUsed/>
    <w:rsid w:val="00BA4A48"/>
    <w:rPr>
      <w:sz w:val="16"/>
      <w:szCs w:val="16"/>
    </w:rPr>
  </w:style>
  <w:style w:type="paragraph" w:styleId="a9">
    <w:name w:val="annotation text"/>
    <w:basedOn w:val="a"/>
    <w:link w:val="Char1"/>
    <w:semiHidden/>
    <w:unhideWhenUsed/>
    <w:rsid w:val="00BA4A48"/>
    <w:rPr>
      <w:sz w:val="20"/>
      <w:szCs w:val="20"/>
    </w:rPr>
  </w:style>
  <w:style w:type="character" w:customStyle="1" w:styleId="Char1">
    <w:name w:val="批注文字 Char"/>
    <w:basedOn w:val="a0"/>
    <w:link w:val="a9"/>
    <w:semiHidden/>
    <w:rsid w:val="00BA4A48"/>
  </w:style>
  <w:style w:type="paragraph" w:styleId="aa">
    <w:name w:val="annotation subject"/>
    <w:basedOn w:val="a9"/>
    <w:next w:val="a9"/>
    <w:link w:val="Char2"/>
    <w:semiHidden/>
    <w:unhideWhenUsed/>
    <w:rsid w:val="00BA4A48"/>
    <w:rPr>
      <w:b/>
      <w:bCs/>
    </w:rPr>
  </w:style>
  <w:style w:type="character" w:customStyle="1" w:styleId="Char2">
    <w:name w:val="批注主题 Char"/>
    <w:basedOn w:val="Char1"/>
    <w:link w:val="aa"/>
    <w:semiHidden/>
    <w:rsid w:val="00BA4A48"/>
    <w:rPr>
      <w:b/>
      <w:bCs/>
    </w:rPr>
  </w:style>
  <w:style w:type="paragraph" w:styleId="ab">
    <w:name w:val="Balloon Text"/>
    <w:basedOn w:val="a"/>
    <w:link w:val="Char3"/>
    <w:semiHidden/>
    <w:unhideWhenUsed/>
    <w:rsid w:val="00BA4A48"/>
    <w:rPr>
      <w:rFonts w:ascii="Segoe UI" w:hAnsi="Segoe UI" w:cs="Segoe UI"/>
      <w:sz w:val="18"/>
      <w:szCs w:val="18"/>
    </w:rPr>
  </w:style>
  <w:style w:type="character" w:customStyle="1" w:styleId="Char3">
    <w:name w:val="批注框文本 Char"/>
    <w:basedOn w:val="a0"/>
    <w:link w:val="ab"/>
    <w:semiHidden/>
    <w:rsid w:val="00BA4A4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Anchor">
    <w:name w:val="Endnote Anchor"/>
    <w:rsid w:val="00C907A4"/>
    <w:rPr>
      <w:vertAlign w:val="superscript"/>
    </w:rPr>
  </w:style>
  <w:style w:type="character" w:styleId="a3">
    <w:name w:val="Emphasis"/>
    <w:qFormat/>
    <w:rsid w:val="00DA60DA"/>
    <w:rPr>
      <w:i/>
      <w:iCs/>
    </w:rPr>
  </w:style>
  <w:style w:type="table" w:customStyle="1" w:styleId="1">
    <w:name w:val="网格型1"/>
    <w:basedOn w:val="a1"/>
    <w:next w:val="a4"/>
    <w:uiPriority w:val="39"/>
    <w:rsid w:val="001F7EA8"/>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1F7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4"/>
    <w:uiPriority w:val="39"/>
    <w:rsid w:val="00E54933"/>
    <w:rPr>
      <w:rFonts w:ascii="Calibri" w:hAnsi="Calibri"/>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List Paragraph"/>
    <w:basedOn w:val="a"/>
    <w:uiPriority w:val="34"/>
    <w:qFormat/>
    <w:rsid w:val="00E54933"/>
    <w:pPr>
      <w:spacing w:after="160" w:line="259" w:lineRule="auto"/>
      <w:ind w:left="720"/>
      <w:contextualSpacing/>
    </w:pPr>
    <w:rPr>
      <w:rFonts w:asciiTheme="minorHAnsi" w:eastAsiaTheme="minorHAnsi" w:hAnsiTheme="minorHAnsi" w:cstheme="minorBidi"/>
      <w:sz w:val="22"/>
      <w:szCs w:val="22"/>
      <w:lang w:val="en-GB"/>
    </w:rPr>
  </w:style>
  <w:style w:type="paragraph" w:styleId="a6">
    <w:name w:val="header"/>
    <w:basedOn w:val="a"/>
    <w:link w:val="Char"/>
    <w:unhideWhenUsed/>
    <w:rsid w:val="002206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220619"/>
    <w:rPr>
      <w:sz w:val="18"/>
      <w:szCs w:val="18"/>
    </w:rPr>
  </w:style>
  <w:style w:type="paragraph" w:styleId="a7">
    <w:name w:val="footer"/>
    <w:basedOn w:val="a"/>
    <w:link w:val="Char0"/>
    <w:uiPriority w:val="99"/>
    <w:unhideWhenUsed/>
    <w:rsid w:val="00220619"/>
    <w:pPr>
      <w:tabs>
        <w:tab w:val="center" w:pos="4153"/>
        <w:tab w:val="right" w:pos="8306"/>
      </w:tabs>
      <w:snapToGrid w:val="0"/>
    </w:pPr>
    <w:rPr>
      <w:sz w:val="18"/>
      <w:szCs w:val="18"/>
    </w:rPr>
  </w:style>
  <w:style w:type="character" w:customStyle="1" w:styleId="Char0">
    <w:name w:val="页脚 Char"/>
    <w:basedOn w:val="a0"/>
    <w:link w:val="a7"/>
    <w:uiPriority w:val="99"/>
    <w:rsid w:val="00220619"/>
    <w:rPr>
      <w:sz w:val="18"/>
      <w:szCs w:val="18"/>
    </w:rPr>
  </w:style>
  <w:style w:type="character" w:styleId="a8">
    <w:name w:val="annotation reference"/>
    <w:basedOn w:val="a0"/>
    <w:semiHidden/>
    <w:unhideWhenUsed/>
    <w:rsid w:val="00BA4A48"/>
    <w:rPr>
      <w:sz w:val="16"/>
      <w:szCs w:val="16"/>
    </w:rPr>
  </w:style>
  <w:style w:type="paragraph" w:styleId="a9">
    <w:name w:val="annotation text"/>
    <w:basedOn w:val="a"/>
    <w:link w:val="Char1"/>
    <w:semiHidden/>
    <w:unhideWhenUsed/>
    <w:rsid w:val="00BA4A48"/>
    <w:rPr>
      <w:sz w:val="20"/>
      <w:szCs w:val="20"/>
    </w:rPr>
  </w:style>
  <w:style w:type="character" w:customStyle="1" w:styleId="Char1">
    <w:name w:val="批注文字 Char"/>
    <w:basedOn w:val="a0"/>
    <w:link w:val="a9"/>
    <w:semiHidden/>
    <w:rsid w:val="00BA4A48"/>
  </w:style>
  <w:style w:type="paragraph" w:styleId="aa">
    <w:name w:val="annotation subject"/>
    <w:basedOn w:val="a9"/>
    <w:next w:val="a9"/>
    <w:link w:val="Char2"/>
    <w:semiHidden/>
    <w:unhideWhenUsed/>
    <w:rsid w:val="00BA4A48"/>
    <w:rPr>
      <w:b/>
      <w:bCs/>
    </w:rPr>
  </w:style>
  <w:style w:type="character" w:customStyle="1" w:styleId="Char2">
    <w:name w:val="批注主题 Char"/>
    <w:basedOn w:val="Char1"/>
    <w:link w:val="aa"/>
    <w:semiHidden/>
    <w:rsid w:val="00BA4A48"/>
    <w:rPr>
      <w:b/>
      <w:bCs/>
    </w:rPr>
  </w:style>
  <w:style w:type="paragraph" w:styleId="ab">
    <w:name w:val="Balloon Text"/>
    <w:basedOn w:val="a"/>
    <w:link w:val="Char3"/>
    <w:semiHidden/>
    <w:unhideWhenUsed/>
    <w:rsid w:val="00BA4A48"/>
    <w:rPr>
      <w:rFonts w:ascii="Segoe UI" w:hAnsi="Segoe UI" w:cs="Segoe UI"/>
      <w:sz w:val="18"/>
      <w:szCs w:val="18"/>
    </w:rPr>
  </w:style>
  <w:style w:type="character" w:customStyle="1" w:styleId="Char3">
    <w:name w:val="批注框文本 Char"/>
    <w:basedOn w:val="a0"/>
    <w:link w:val="ab"/>
    <w:semiHidden/>
    <w:rsid w:val="00BA4A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044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2E2B1-996C-4007-8081-AC90F9BB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6202</Words>
  <Characters>35353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dc:creator>
  <cp:lastModifiedBy>liujihong2008@qq.con</cp:lastModifiedBy>
  <cp:revision>9</cp:revision>
  <dcterms:created xsi:type="dcterms:W3CDTF">2020-08-25T03:24:00Z</dcterms:created>
  <dcterms:modified xsi:type="dcterms:W3CDTF">2020-09-17T06:21:00Z</dcterms:modified>
</cp:coreProperties>
</file>