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17A8" w14:textId="06830403" w:rsidR="00754211" w:rsidRPr="00CC6AEB" w:rsidRDefault="00754211"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Name of Journal:</w:t>
      </w:r>
      <w:r w:rsidRPr="00CC6AEB">
        <w:rPr>
          <w:rFonts w:ascii="Book Antiqua" w:eastAsia="Book Antiqua" w:hAnsi="Book Antiqua" w:cs="Arial"/>
          <w:sz w:val="24"/>
          <w:szCs w:val="24"/>
        </w:rPr>
        <w:t xml:space="preserve"> </w:t>
      </w:r>
      <w:r w:rsidR="00C4383D" w:rsidRPr="00CC6AEB">
        <w:rPr>
          <w:rFonts w:ascii="Book Antiqua" w:eastAsia="Book Antiqua" w:hAnsi="Book Antiqua" w:cs="Arial"/>
          <w:i/>
          <w:iCs/>
          <w:sz w:val="24"/>
          <w:szCs w:val="24"/>
        </w:rPr>
        <w:t>World Journal of H</w:t>
      </w:r>
      <w:r w:rsidRPr="00CC6AEB">
        <w:rPr>
          <w:rFonts w:ascii="Book Antiqua" w:eastAsia="Book Antiqua" w:hAnsi="Book Antiqua" w:cs="Arial"/>
          <w:i/>
          <w:iCs/>
          <w:sz w:val="24"/>
          <w:szCs w:val="24"/>
        </w:rPr>
        <w:t>epatology</w:t>
      </w:r>
    </w:p>
    <w:p w14:paraId="278C1A3D" w14:textId="2229C5BF" w:rsidR="00754211" w:rsidRPr="00CC6AEB" w:rsidRDefault="00754211"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Manuscript NO:</w:t>
      </w:r>
      <w:r w:rsidRPr="00CC6AEB">
        <w:rPr>
          <w:rFonts w:ascii="Book Antiqua" w:eastAsia="Book Antiqua" w:hAnsi="Book Antiqua" w:cs="Arial"/>
          <w:sz w:val="24"/>
          <w:szCs w:val="24"/>
        </w:rPr>
        <w:t xml:space="preserve"> 55290 </w:t>
      </w:r>
    </w:p>
    <w:p w14:paraId="0A40EF78" w14:textId="0CF4F585" w:rsidR="00754211" w:rsidRPr="00CC6AEB" w:rsidRDefault="00754211"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Manuscript Type:</w:t>
      </w:r>
      <w:r w:rsidRPr="00CC6AEB">
        <w:rPr>
          <w:rFonts w:ascii="Book Antiqua" w:eastAsia="Book Antiqua" w:hAnsi="Book Antiqua" w:cs="Arial"/>
          <w:sz w:val="24"/>
          <w:szCs w:val="24"/>
        </w:rPr>
        <w:t xml:space="preserve"> ORIGINAL ARTICLE</w:t>
      </w:r>
    </w:p>
    <w:p w14:paraId="6B6164B5" w14:textId="7BEAB19D" w:rsidR="00754211" w:rsidRPr="00CC6AEB" w:rsidRDefault="00754211" w:rsidP="00CC6AEB">
      <w:pPr>
        <w:snapToGrid w:val="0"/>
        <w:spacing w:after="0" w:line="360" w:lineRule="auto"/>
        <w:jc w:val="both"/>
        <w:rPr>
          <w:rFonts w:ascii="Book Antiqua" w:eastAsia="Book Antiqua" w:hAnsi="Book Antiqua" w:cs="Arial"/>
          <w:sz w:val="24"/>
          <w:szCs w:val="24"/>
        </w:rPr>
      </w:pPr>
    </w:p>
    <w:p w14:paraId="75ACC0FA" w14:textId="02BA4779" w:rsidR="005748E4" w:rsidRPr="00CC6AEB" w:rsidRDefault="005748E4" w:rsidP="00CC6AEB">
      <w:pPr>
        <w:snapToGrid w:val="0"/>
        <w:spacing w:after="0" w:line="360" w:lineRule="auto"/>
        <w:jc w:val="both"/>
        <w:rPr>
          <w:rFonts w:ascii="Book Antiqua" w:eastAsia="Book Antiqua" w:hAnsi="Book Antiqua" w:cs="Arial"/>
          <w:b/>
          <w:i/>
          <w:sz w:val="24"/>
          <w:szCs w:val="24"/>
        </w:rPr>
      </w:pPr>
      <w:r w:rsidRPr="00CC6AEB">
        <w:rPr>
          <w:rFonts w:ascii="Book Antiqua" w:eastAsia="Book Antiqua" w:hAnsi="Book Antiqua" w:cs="Arial"/>
          <w:b/>
          <w:i/>
          <w:sz w:val="24"/>
          <w:szCs w:val="24"/>
        </w:rPr>
        <w:t>Retrospective Study</w:t>
      </w:r>
    </w:p>
    <w:p w14:paraId="2234C5D7" w14:textId="779E2B80" w:rsidR="00F07C4B" w:rsidRPr="00CC6AEB" w:rsidRDefault="00F07C4B" w:rsidP="00CC6AEB">
      <w:pPr>
        <w:snapToGrid w:val="0"/>
        <w:spacing w:after="0" w:line="360" w:lineRule="auto"/>
        <w:jc w:val="both"/>
        <w:rPr>
          <w:rFonts w:ascii="Book Antiqua" w:eastAsia="Book Antiqua" w:hAnsi="Book Antiqua" w:cs="Arial"/>
          <w:b/>
          <w:sz w:val="24"/>
          <w:szCs w:val="24"/>
        </w:rPr>
      </w:pPr>
      <w:bookmarkStart w:id="0" w:name="_Hlk44850098"/>
      <w:bookmarkStart w:id="1" w:name="OLE_LINK1"/>
      <w:bookmarkStart w:id="2" w:name="OLE_LINK18"/>
      <w:bookmarkStart w:id="3" w:name="OLE_LINK19"/>
      <w:r w:rsidRPr="00CC6AEB">
        <w:rPr>
          <w:rFonts w:ascii="Book Antiqua" w:eastAsia="Book Antiqua" w:hAnsi="Book Antiqua" w:cs="Arial"/>
          <w:b/>
          <w:sz w:val="24"/>
          <w:szCs w:val="24"/>
        </w:rPr>
        <w:t xml:space="preserve">Clinical </w:t>
      </w:r>
      <w:r w:rsidR="000D3100" w:rsidRPr="00CC6AEB">
        <w:rPr>
          <w:rFonts w:ascii="Book Antiqua" w:eastAsia="Book Antiqua" w:hAnsi="Book Antiqua" w:cs="Arial"/>
          <w:b/>
          <w:sz w:val="24"/>
          <w:szCs w:val="24"/>
        </w:rPr>
        <w:t>e</w:t>
      </w:r>
      <w:r w:rsidRPr="00CC6AEB">
        <w:rPr>
          <w:rFonts w:ascii="Book Antiqua" w:eastAsia="Book Antiqua" w:hAnsi="Book Antiqua" w:cs="Arial"/>
          <w:b/>
          <w:sz w:val="24"/>
          <w:szCs w:val="24"/>
        </w:rPr>
        <w:t xml:space="preserve">fficacy of </w:t>
      </w:r>
      <w:r w:rsidR="007A5ACC" w:rsidRPr="00CC6AEB">
        <w:rPr>
          <w:rFonts w:ascii="Book Antiqua" w:eastAsia="Book Antiqua" w:hAnsi="Book Antiqua" w:cs="Arial"/>
          <w:b/>
          <w:sz w:val="24"/>
          <w:szCs w:val="24"/>
        </w:rPr>
        <w:t>d</w:t>
      </w:r>
      <w:r w:rsidRPr="00CC6AEB">
        <w:rPr>
          <w:rFonts w:ascii="Book Antiqua" w:eastAsia="Book Antiqua" w:hAnsi="Book Antiqua" w:cs="Arial"/>
          <w:b/>
          <w:sz w:val="24"/>
          <w:szCs w:val="24"/>
        </w:rPr>
        <w:t>irect-</w:t>
      </w:r>
      <w:r w:rsidR="000D3100" w:rsidRPr="00CC6AEB">
        <w:rPr>
          <w:rFonts w:ascii="Book Antiqua" w:eastAsia="Book Antiqua" w:hAnsi="Book Antiqua" w:cs="Arial"/>
          <w:b/>
          <w:sz w:val="24"/>
          <w:szCs w:val="24"/>
        </w:rPr>
        <w:t>a</w:t>
      </w:r>
      <w:r w:rsidRPr="00CC6AEB">
        <w:rPr>
          <w:rFonts w:ascii="Book Antiqua" w:eastAsia="Book Antiqua" w:hAnsi="Book Antiqua" w:cs="Arial"/>
          <w:b/>
          <w:sz w:val="24"/>
          <w:szCs w:val="24"/>
        </w:rPr>
        <w:t xml:space="preserve">cting </w:t>
      </w:r>
      <w:r w:rsidR="000D3100" w:rsidRPr="00CC6AEB">
        <w:rPr>
          <w:rFonts w:ascii="Book Antiqua" w:eastAsia="Book Antiqua" w:hAnsi="Book Antiqua" w:cs="Arial"/>
          <w:b/>
          <w:sz w:val="24"/>
          <w:szCs w:val="24"/>
        </w:rPr>
        <w:t>a</w:t>
      </w:r>
      <w:r w:rsidRPr="00CC6AEB">
        <w:rPr>
          <w:rFonts w:ascii="Book Antiqua" w:eastAsia="Book Antiqua" w:hAnsi="Book Antiqua" w:cs="Arial"/>
          <w:b/>
          <w:sz w:val="24"/>
          <w:szCs w:val="24"/>
        </w:rPr>
        <w:t xml:space="preserve">ntiviral </w:t>
      </w:r>
      <w:r w:rsidR="000D3100" w:rsidRPr="00CC6AEB">
        <w:rPr>
          <w:rFonts w:ascii="Book Antiqua" w:eastAsia="Book Antiqua" w:hAnsi="Book Antiqua" w:cs="Arial"/>
          <w:b/>
          <w:sz w:val="24"/>
          <w:szCs w:val="24"/>
        </w:rPr>
        <w:t>t</w:t>
      </w:r>
      <w:r w:rsidRPr="00CC6AEB">
        <w:rPr>
          <w:rFonts w:ascii="Book Antiqua" w:eastAsia="Book Antiqua" w:hAnsi="Book Antiqua" w:cs="Arial"/>
          <w:b/>
          <w:sz w:val="24"/>
          <w:szCs w:val="24"/>
        </w:rPr>
        <w:t xml:space="preserve">herapy for </w:t>
      </w:r>
      <w:r w:rsidR="0037725F" w:rsidRPr="00CC6AEB">
        <w:rPr>
          <w:rFonts w:ascii="Book Antiqua" w:eastAsia="Book Antiqua" w:hAnsi="Book Antiqua" w:cs="Arial"/>
          <w:b/>
          <w:sz w:val="24"/>
          <w:szCs w:val="24"/>
        </w:rPr>
        <w:t>r</w:t>
      </w:r>
      <w:r w:rsidRPr="00CC6AEB">
        <w:rPr>
          <w:rFonts w:ascii="Book Antiqua" w:eastAsia="Book Antiqua" w:hAnsi="Book Antiqua" w:cs="Arial"/>
          <w:b/>
          <w:sz w:val="24"/>
          <w:szCs w:val="24"/>
        </w:rPr>
        <w:t xml:space="preserve">ecurrent </w:t>
      </w:r>
      <w:bookmarkStart w:id="4" w:name="_Hlk44846379"/>
      <w:r w:rsidR="00652C81" w:rsidRPr="00CC6AEB">
        <w:rPr>
          <w:rFonts w:ascii="Book Antiqua" w:eastAsia="Book Antiqua" w:hAnsi="Book Antiqua" w:cs="Arial"/>
          <w:b/>
          <w:sz w:val="24"/>
          <w:szCs w:val="24"/>
        </w:rPr>
        <w:t>hepatitis C virus</w:t>
      </w:r>
      <w:bookmarkEnd w:id="4"/>
      <w:r w:rsidRPr="00CC6AEB">
        <w:rPr>
          <w:rFonts w:ascii="Book Antiqua" w:eastAsia="Book Antiqua" w:hAnsi="Book Antiqua" w:cs="Arial"/>
          <w:b/>
          <w:sz w:val="24"/>
          <w:szCs w:val="24"/>
        </w:rPr>
        <w:t xml:space="preserve"> </w:t>
      </w:r>
      <w:r w:rsidR="0037725F" w:rsidRPr="00CC6AEB">
        <w:rPr>
          <w:rFonts w:ascii="Book Antiqua" w:eastAsia="Book Antiqua" w:hAnsi="Book Antiqua" w:cs="Arial"/>
          <w:b/>
          <w:sz w:val="24"/>
          <w:szCs w:val="24"/>
        </w:rPr>
        <w:t>i</w:t>
      </w:r>
      <w:r w:rsidRPr="00CC6AEB">
        <w:rPr>
          <w:rFonts w:ascii="Book Antiqua" w:eastAsia="Book Antiqua" w:hAnsi="Book Antiqua" w:cs="Arial"/>
          <w:b/>
          <w:sz w:val="24"/>
          <w:szCs w:val="24"/>
        </w:rPr>
        <w:t xml:space="preserve">nfection after </w:t>
      </w:r>
      <w:bookmarkStart w:id="5" w:name="_Hlk44846415"/>
      <w:r w:rsidR="0037725F" w:rsidRPr="00CC6AEB">
        <w:rPr>
          <w:rFonts w:ascii="Book Antiqua" w:eastAsia="Book Antiqua" w:hAnsi="Book Antiqua" w:cs="Arial"/>
          <w:b/>
          <w:sz w:val="24"/>
          <w:szCs w:val="24"/>
        </w:rPr>
        <w:t>l</w:t>
      </w:r>
      <w:r w:rsidRPr="00CC6AEB">
        <w:rPr>
          <w:rFonts w:ascii="Book Antiqua" w:eastAsia="Book Antiqua" w:hAnsi="Book Antiqua" w:cs="Arial"/>
          <w:b/>
          <w:sz w:val="24"/>
          <w:szCs w:val="24"/>
        </w:rPr>
        <w:t xml:space="preserve">iver </w:t>
      </w:r>
      <w:r w:rsidR="0037725F" w:rsidRPr="00CC6AEB">
        <w:rPr>
          <w:rFonts w:ascii="Book Antiqua" w:eastAsia="Book Antiqua" w:hAnsi="Book Antiqua" w:cs="Arial"/>
          <w:b/>
          <w:sz w:val="24"/>
          <w:szCs w:val="24"/>
        </w:rPr>
        <w:t>t</w:t>
      </w:r>
      <w:r w:rsidRPr="00CC6AEB">
        <w:rPr>
          <w:rFonts w:ascii="Book Antiqua" w:eastAsia="Book Antiqua" w:hAnsi="Book Antiqua" w:cs="Arial"/>
          <w:b/>
          <w:sz w:val="24"/>
          <w:szCs w:val="24"/>
        </w:rPr>
        <w:t>ransplantation</w:t>
      </w:r>
      <w:bookmarkEnd w:id="5"/>
      <w:r w:rsidRPr="00CC6AEB">
        <w:rPr>
          <w:rFonts w:ascii="Book Antiqua" w:eastAsia="Book Antiqua" w:hAnsi="Book Antiqua" w:cs="Arial"/>
          <w:b/>
          <w:sz w:val="24"/>
          <w:szCs w:val="24"/>
        </w:rPr>
        <w:t xml:space="preserve"> in </w:t>
      </w:r>
      <w:r w:rsidR="0037725F" w:rsidRPr="00CC6AEB">
        <w:rPr>
          <w:rFonts w:ascii="Book Antiqua" w:eastAsia="Book Antiqua" w:hAnsi="Book Antiqua" w:cs="Arial"/>
          <w:b/>
          <w:sz w:val="24"/>
          <w:szCs w:val="24"/>
        </w:rPr>
        <w:t>p</w:t>
      </w:r>
      <w:r w:rsidRPr="00CC6AEB">
        <w:rPr>
          <w:rFonts w:ascii="Book Antiqua" w:eastAsia="Book Antiqua" w:hAnsi="Book Antiqua" w:cs="Arial"/>
          <w:b/>
          <w:sz w:val="24"/>
          <w:szCs w:val="24"/>
        </w:rPr>
        <w:t xml:space="preserve">atients with </w:t>
      </w:r>
      <w:r w:rsidR="0037725F" w:rsidRPr="00CC6AEB">
        <w:rPr>
          <w:rFonts w:ascii="Book Antiqua" w:eastAsia="Book Antiqua" w:hAnsi="Book Antiqua" w:cs="Arial"/>
          <w:b/>
          <w:sz w:val="24"/>
          <w:szCs w:val="24"/>
        </w:rPr>
        <w:t>hepatocellular carcinoma</w:t>
      </w:r>
      <w:bookmarkEnd w:id="0"/>
      <w:bookmarkEnd w:id="1"/>
    </w:p>
    <w:bookmarkEnd w:id="2"/>
    <w:bookmarkEnd w:id="3"/>
    <w:p w14:paraId="5B4B44E6" w14:textId="38EFD20C" w:rsidR="005748E4" w:rsidRPr="00CC6AEB" w:rsidRDefault="005748E4" w:rsidP="00CC6AEB">
      <w:pPr>
        <w:snapToGrid w:val="0"/>
        <w:spacing w:after="0" w:line="360" w:lineRule="auto"/>
        <w:jc w:val="both"/>
        <w:rPr>
          <w:rFonts w:ascii="Book Antiqua" w:eastAsia="Book Antiqua" w:hAnsi="Book Antiqua" w:cs="Arial"/>
          <w:sz w:val="24"/>
          <w:szCs w:val="24"/>
        </w:rPr>
      </w:pPr>
    </w:p>
    <w:p w14:paraId="6359DEAA" w14:textId="698A60DF" w:rsidR="005748E4" w:rsidRPr="00CC6AEB" w:rsidRDefault="001705E6"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Ismail MS </w:t>
      </w:r>
      <w:r w:rsidRPr="00CC6AEB">
        <w:rPr>
          <w:rFonts w:ascii="Book Antiqua" w:eastAsia="Book Antiqua" w:hAnsi="Book Antiqua" w:cs="Arial"/>
          <w:i/>
          <w:sz w:val="24"/>
          <w:szCs w:val="24"/>
        </w:rPr>
        <w:t>et al.</w:t>
      </w:r>
      <w:r w:rsidRPr="00CC6AEB">
        <w:rPr>
          <w:rFonts w:ascii="Book Antiqua" w:eastAsia="Book Antiqua" w:hAnsi="Book Antiqua" w:cs="Arial"/>
          <w:sz w:val="24"/>
          <w:szCs w:val="24"/>
        </w:rPr>
        <w:t xml:space="preserve"> </w:t>
      </w:r>
      <w:bookmarkStart w:id="6" w:name="OLE_LINK20"/>
      <w:bookmarkStart w:id="7" w:name="OLE_LINK21"/>
      <w:r w:rsidRPr="00CC6AEB">
        <w:rPr>
          <w:rFonts w:ascii="Book Antiqua" w:eastAsia="Book Antiqua" w:hAnsi="Book Antiqua" w:cs="Arial"/>
          <w:sz w:val="24"/>
          <w:szCs w:val="24"/>
        </w:rPr>
        <w:t xml:space="preserve">Efficacy of </w:t>
      </w:r>
      <w:r w:rsidR="001F2FE0" w:rsidRPr="00CC6AEB">
        <w:rPr>
          <w:rFonts w:ascii="Book Antiqua" w:eastAsia="Book Antiqua" w:hAnsi="Book Antiqua" w:cs="Arial"/>
          <w:sz w:val="24"/>
          <w:szCs w:val="24"/>
        </w:rPr>
        <w:t>p</w:t>
      </w:r>
      <w:r w:rsidRPr="00CC6AEB">
        <w:rPr>
          <w:rFonts w:ascii="Book Antiqua" w:eastAsia="Book Antiqua" w:hAnsi="Book Antiqua" w:cs="Arial"/>
          <w:sz w:val="24"/>
          <w:szCs w:val="24"/>
        </w:rPr>
        <w:t xml:space="preserve">ost-LT DAA in HCC </w:t>
      </w:r>
      <w:r w:rsidR="001F2FE0" w:rsidRPr="00CC6AEB">
        <w:rPr>
          <w:rFonts w:ascii="Book Antiqua" w:eastAsia="Book Antiqua" w:hAnsi="Book Antiqua" w:cs="Arial"/>
          <w:sz w:val="24"/>
          <w:szCs w:val="24"/>
        </w:rPr>
        <w:t>p</w:t>
      </w:r>
      <w:r w:rsidRPr="00CC6AEB">
        <w:rPr>
          <w:rFonts w:ascii="Book Antiqua" w:eastAsia="Book Antiqua" w:hAnsi="Book Antiqua" w:cs="Arial"/>
          <w:sz w:val="24"/>
          <w:szCs w:val="24"/>
        </w:rPr>
        <w:t>atients</w:t>
      </w:r>
    </w:p>
    <w:bookmarkEnd w:id="6"/>
    <w:bookmarkEnd w:id="7"/>
    <w:p w14:paraId="5D969D79" w14:textId="77777777" w:rsidR="00F07C4B" w:rsidRPr="00CC6AEB" w:rsidRDefault="00F07C4B" w:rsidP="00CC6AEB">
      <w:pPr>
        <w:snapToGrid w:val="0"/>
        <w:spacing w:after="0" w:line="360" w:lineRule="auto"/>
        <w:jc w:val="both"/>
        <w:rPr>
          <w:rFonts w:ascii="Book Antiqua" w:eastAsia="Book Antiqua" w:hAnsi="Book Antiqua" w:cs="Arial"/>
          <w:sz w:val="24"/>
          <w:szCs w:val="24"/>
        </w:rPr>
      </w:pPr>
    </w:p>
    <w:p w14:paraId="76241906" w14:textId="44CFBCE4" w:rsidR="00F07C4B" w:rsidRPr="00CC6AEB" w:rsidRDefault="00F7006A"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Mohamed Saleh Ismail</w:t>
      </w:r>
      <w:r w:rsidR="00F07C4B" w:rsidRPr="00CC6AEB">
        <w:rPr>
          <w:rFonts w:ascii="Book Antiqua" w:eastAsia="Book Antiqua" w:hAnsi="Book Antiqua" w:cs="Arial"/>
          <w:sz w:val="24"/>
          <w:szCs w:val="24"/>
        </w:rPr>
        <w:t>, Manal Hassan</w:t>
      </w:r>
      <w:r w:rsidR="000B6121"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Saira</w:t>
      </w:r>
      <w:proofErr w:type="spellEnd"/>
      <w:r w:rsidRPr="00CC6AEB">
        <w:rPr>
          <w:rFonts w:ascii="Book Antiqua" w:eastAsia="Book Antiqua" w:hAnsi="Book Antiqua" w:cs="Arial"/>
          <w:sz w:val="24"/>
          <w:szCs w:val="24"/>
        </w:rPr>
        <w:t xml:space="preserve"> Aijaz </w:t>
      </w:r>
      <w:proofErr w:type="spellStart"/>
      <w:r w:rsidRPr="00CC6AEB">
        <w:rPr>
          <w:rFonts w:ascii="Book Antiqua" w:eastAsia="Book Antiqua" w:hAnsi="Book Antiqua" w:cs="Arial"/>
          <w:sz w:val="24"/>
          <w:szCs w:val="24"/>
        </w:rPr>
        <w:t>Khaderi</w:t>
      </w:r>
      <w:proofErr w:type="spellEnd"/>
      <w:r w:rsidR="000B6121"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Wael Ahmed </w:t>
      </w:r>
      <w:proofErr w:type="spellStart"/>
      <w:r w:rsidRPr="00CC6AEB">
        <w:rPr>
          <w:rFonts w:ascii="Book Antiqua" w:eastAsia="Book Antiqua" w:hAnsi="Book Antiqua" w:cs="Arial"/>
          <w:sz w:val="24"/>
          <w:szCs w:val="24"/>
        </w:rPr>
        <w:t>Yousry</w:t>
      </w:r>
      <w:proofErr w:type="spellEnd"/>
      <w:r w:rsidR="00C250A9" w:rsidRPr="00CC6AEB">
        <w:rPr>
          <w:rFonts w:ascii="Book Antiqua" w:eastAsia="Book Antiqua" w:hAnsi="Book Antiqua" w:cs="Arial"/>
          <w:sz w:val="24"/>
          <w:szCs w:val="24"/>
        </w:rPr>
        <w:t>,</w:t>
      </w:r>
      <w:r w:rsidR="00F07C4B"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Maha</w:t>
      </w:r>
      <w:proofErr w:type="spellEnd"/>
      <w:r w:rsidRPr="00CC6AEB">
        <w:rPr>
          <w:rFonts w:ascii="Book Antiqua" w:eastAsia="Book Antiqua" w:hAnsi="Book Antiqua" w:cs="Arial"/>
          <w:sz w:val="24"/>
          <w:szCs w:val="24"/>
        </w:rPr>
        <w:t xml:space="preserve"> Mohsen Kamal El-Din</w:t>
      </w:r>
      <w:r w:rsidR="000B6121"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Mohamed </w:t>
      </w:r>
      <w:proofErr w:type="spellStart"/>
      <w:r w:rsidRPr="00CC6AEB">
        <w:rPr>
          <w:rFonts w:ascii="Book Antiqua" w:eastAsia="Book Antiqua" w:hAnsi="Book Antiqua" w:cs="Arial"/>
          <w:sz w:val="24"/>
          <w:szCs w:val="24"/>
        </w:rPr>
        <w:t>Mohamed</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Bahaa</w:t>
      </w:r>
      <w:proofErr w:type="spellEnd"/>
      <w:r w:rsidRPr="00CC6AEB">
        <w:rPr>
          <w:rFonts w:ascii="Book Antiqua" w:eastAsia="Book Antiqua" w:hAnsi="Book Antiqua" w:cs="Arial"/>
          <w:sz w:val="24"/>
          <w:szCs w:val="24"/>
        </w:rPr>
        <w:t xml:space="preserve"> El-Din</w:t>
      </w:r>
      <w:r w:rsidR="000B6121" w:rsidRPr="00CC6AEB">
        <w:rPr>
          <w:rFonts w:ascii="Book Antiqua" w:eastAsia="Book Antiqua" w:hAnsi="Book Antiqua" w:cs="Arial"/>
          <w:sz w:val="24"/>
          <w:szCs w:val="24"/>
        </w:rPr>
        <w:t xml:space="preserve">, Osama </w:t>
      </w:r>
      <w:proofErr w:type="spellStart"/>
      <w:r w:rsidRPr="00CC6AEB">
        <w:rPr>
          <w:rFonts w:ascii="Book Antiqua" w:eastAsia="Book Antiqua" w:hAnsi="Book Antiqua" w:cs="Arial"/>
          <w:sz w:val="24"/>
          <w:szCs w:val="24"/>
        </w:rPr>
        <w:t>Aboelfotoh</w:t>
      </w:r>
      <w:proofErr w:type="spellEnd"/>
      <w:r w:rsidR="00F07C4B" w:rsidRPr="00CC6AEB">
        <w:rPr>
          <w:rFonts w:ascii="Book Antiqua" w:eastAsia="Book Antiqua" w:hAnsi="Book Antiqua" w:cs="Arial"/>
          <w:sz w:val="24"/>
          <w:szCs w:val="24"/>
        </w:rPr>
        <w:t xml:space="preserve"> El Sayed</w:t>
      </w:r>
      <w:r w:rsidR="00C250A9" w:rsidRPr="00CC6AEB">
        <w:rPr>
          <w:rFonts w:ascii="Book Antiqua" w:eastAsia="Book Antiqua" w:hAnsi="Book Antiqua" w:cs="Arial"/>
          <w:sz w:val="24"/>
          <w:szCs w:val="24"/>
        </w:rPr>
        <w:t xml:space="preserve">, </w:t>
      </w:r>
      <w:r w:rsidR="00F07C4B" w:rsidRPr="00CC6AEB">
        <w:rPr>
          <w:rFonts w:ascii="Book Antiqua" w:eastAsia="Book Antiqua" w:hAnsi="Book Antiqua" w:cs="Arial"/>
          <w:sz w:val="24"/>
          <w:szCs w:val="24"/>
        </w:rPr>
        <w:t xml:space="preserve">Ahmed </w:t>
      </w:r>
      <w:bookmarkStart w:id="8" w:name="OLE_LINK37"/>
      <w:bookmarkStart w:id="9" w:name="OLE_LINK38"/>
      <w:r w:rsidR="00F07C4B" w:rsidRPr="00CC6AEB">
        <w:rPr>
          <w:rFonts w:ascii="Book Antiqua" w:eastAsia="Book Antiqua" w:hAnsi="Book Antiqua" w:cs="Arial"/>
          <w:sz w:val="24"/>
          <w:szCs w:val="24"/>
        </w:rPr>
        <w:t>O</w:t>
      </w:r>
      <w:r w:rsidR="008E1F38" w:rsidRPr="00CC6AEB">
        <w:rPr>
          <w:rFonts w:ascii="Book Antiqua" w:eastAsia="Book Antiqua" w:hAnsi="Book Antiqua" w:cs="Arial"/>
          <w:sz w:val="24"/>
          <w:szCs w:val="24"/>
        </w:rPr>
        <w:t>mar</w:t>
      </w:r>
      <w:bookmarkEnd w:id="8"/>
      <w:bookmarkEnd w:id="9"/>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Kaseb</w:t>
      </w:r>
      <w:proofErr w:type="spellEnd"/>
      <w:r w:rsidR="00F07C4B" w:rsidRPr="00CC6AEB">
        <w:rPr>
          <w:rFonts w:ascii="Book Antiqua" w:eastAsia="Book Antiqua" w:hAnsi="Book Antiqua" w:cs="Arial"/>
          <w:sz w:val="24"/>
          <w:szCs w:val="24"/>
        </w:rPr>
        <w:t>, John A</w:t>
      </w:r>
      <w:r w:rsidR="008E1F38" w:rsidRPr="00CC6AEB">
        <w:rPr>
          <w:rFonts w:ascii="Book Antiqua" w:eastAsia="Book Antiqua" w:hAnsi="Book Antiqua" w:cs="Arial"/>
          <w:sz w:val="24"/>
          <w:szCs w:val="24"/>
        </w:rPr>
        <w:t>lan</w:t>
      </w:r>
      <w:r w:rsidR="00F07C4B" w:rsidRPr="00CC6AEB">
        <w:rPr>
          <w:rFonts w:ascii="Book Antiqua" w:eastAsia="Book Antiqua" w:hAnsi="Book Antiqua" w:cs="Arial"/>
          <w:sz w:val="24"/>
          <w:szCs w:val="24"/>
        </w:rPr>
        <w:t xml:space="preserve"> Goss, </w:t>
      </w:r>
      <w:proofErr w:type="spellStart"/>
      <w:r w:rsidR="00F07C4B" w:rsidRPr="00CC6AEB">
        <w:rPr>
          <w:rFonts w:ascii="Book Antiqua" w:eastAsia="Book Antiqua" w:hAnsi="Book Antiqua" w:cs="Arial"/>
          <w:sz w:val="24"/>
          <w:szCs w:val="24"/>
        </w:rPr>
        <w:t>Fasiha</w:t>
      </w:r>
      <w:proofErr w:type="spellEnd"/>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Kanwal</w:t>
      </w:r>
      <w:proofErr w:type="spellEnd"/>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Prasun</w:t>
      </w:r>
      <w:proofErr w:type="spellEnd"/>
      <w:r w:rsidR="00F07C4B" w:rsidRPr="00CC6AEB">
        <w:rPr>
          <w:rFonts w:ascii="Book Antiqua" w:eastAsia="Book Antiqua" w:hAnsi="Book Antiqua" w:cs="Arial"/>
          <w:sz w:val="24"/>
          <w:szCs w:val="24"/>
        </w:rPr>
        <w:t xml:space="preserve"> K</w:t>
      </w:r>
      <w:r w:rsidR="008E1F38" w:rsidRPr="00CC6AEB">
        <w:rPr>
          <w:rFonts w:ascii="Book Antiqua" w:eastAsia="Book Antiqua" w:hAnsi="Book Antiqua" w:cs="Arial"/>
          <w:sz w:val="24"/>
          <w:szCs w:val="24"/>
        </w:rPr>
        <w:t>umar</w:t>
      </w:r>
      <w:r w:rsidR="00F07C4B" w:rsidRPr="00CC6AEB">
        <w:rPr>
          <w:rFonts w:ascii="Book Antiqua" w:eastAsia="Book Antiqua" w:hAnsi="Book Antiqua" w:cs="Arial"/>
          <w:sz w:val="24"/>
          <w:szCs w:val="24"/>
        </w:rPr>
        <w:t xml:space="preserve"> Jalal</w:t>
      </w:r>
    </w:p>
    <w:p w14:paraId="61E0F4DD" w14:textId="44BD48DA" w:rsidR="00F07C4B" w:rsidRPr="00CC6AEB" w:rsidRDefault="00F07C4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 </w:t>
      </w:r>
    </w:p>
    <w:p w14:paraId="431D4D47" w14:textId="2210F9F3" w:rsidR="000843B2" w:rsidRPr="00CC6AEB" w:rsidRDefault="000843B2"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t xml:space="preserve">Mohamed </w:t>
      </w:r>
      <w:r w:rsidR="00F7006A" w:rsidRPr="00CC6AEB">
        <w:rPr>
          <w:rFonts w:ascii="Book Antiqua" w:eastAsia="Book Antiqua" w:hAnsi="Book Antiqua" w:cs="Arial"/>
          <w:b/>
          <w:sz w:val="24"/>
          <w:szCs w:val="24"/>
        </w:rPr>
        <w:t>Saleh</w:t>
      </w:r>
      <w:r w:rsidRPr="00CC6AEB">
        <w:rPr>
          <w:rFonts w:ascii="Book Antiqua" w:eastAsia="Book Antiqua" w:hAnsi="Book Antiqua" w:cs="Arial"/>
          <w:b/>
          <w:sz w:val="24"/>
          <w:szCs w:val="24"/>
        </w:rPr>
        <w:t xml:space="preserve"> Ismail, Manal Hassan, </w:t>
      </w:r>
      <w:proofErr w:type="spellStart"/>
      <w:r w:rsidRPr="00CC6AEB">
        <w:rPr>
          <w:rFonts w:ascii="Book Antiqua" w:eastAsia="Book Antiqua" w:hAnsi="Book Antiqua" w:cs="Arial"/>
          <w:b/>
          <w:sz w:val="24"/>
          <w:szCs w:val="24"/>
        </w:rPr>
        <w:t>Saira</w:t>
      </w:r>
      <w:proofErr w:type="spellEnd"/>
      <w:r w:rsidRPr="00CC6AEB">
        <w:rPr>
          <w:rFonts w:ascii="Book Antiqua" w:eastAsia="Book Antiqua" w:hAnsi="Book Antiqua" w:cs="Arial"/>
          <w:b/>
          <w:sz w:val="24"/>
          <w:szCs w:val="24"/>
        </w:rPr>
        <w:t xml:space="preserve"> </w:t>
      </w:r>
      <w:r w:rsidR="00F7006A" w:rsidRPr="00CC6AEB">
        <w:rPr>
          <w:rFonts w:ascii="Book Antiqua" w:eastAsia="Book Antiqua" w:hAnsi="Book Antiqua" w:cs="Arial"/>
          <w:b/>
          <w:sz w:val="24"/>
          <w:szCs w:val="24"/>
        </w:rPr>
        <w:t xml:space="preserve">Aijaz </w:t>
      </w:r>
      <w:proofErr w:type="spellStart"/>
      <w:r w:rsidRPr="00CC6AEB">
        <w:rPr>
          <w:rFonts w:ascii="Book Antiqua" w:eastAsia="Book Antiqua" w:hAnsi="Book Antiqua" w:cs="Arial"/>
          <w:b/>
          <w:sz w:val="24"/>
          <w:szCs w:val="24"/>
        </w:rPr>
        <w:t>Khaderi</w:t>
      </w:r>
      <w:proofErr w:type="spellEnd"/>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Fas</w:t>
      </w:r>
      <w:r w:rsidR="00F7006A" w:rsidRPr="00CC6AEB">
        <w:rPr>
          <w:rFonts w:ascii="Book Antiqua" w:eastAsia="Book Antiqua" w:hAnsi="Book Antiqua" w:cs="Arial"/>
          <w:b/>
          <w:sz w:val="24"/>
          <w:szCs w:val="24"/>
        </w:rPr>
        <w:t>iha</w:t>
      </w:r>
      <w:proofErr w:type="spellEnd"/>
      <w:r w:rsidR="00F7006A" w:rsidRPr="00CC6AEB">
        <w:rPr>
          <w:rFonts w:ascii="Book Antiqua" w:eastAsia="Book Antiqua" w:hAnsi="Book Antiqua" w:cs="Arial"/>
          <w:b/>
          <w:sz w:val="24"/>
          <w:szCs w:val="24"/>
        </w:rPr>
        <w:t xml:space="preserve"> </w:t>
      </w:r>
      <w:proofErr w:type="spellStart"/>
      <w:r w:rsidR="00F7006A" w:rsidRPr="00CC6AEB">
        <w:rPr>
          <w:rFonts w:ascii="Book Antiqua" w:eastAsia="Book Antiqua" w:hAnsi="Book Antiqua" w:cs="Arial"/>
          <w:b/>
          <w:sz w:val="24"/>
          <w:szCs w:val="24"/>
        </w:rPr>
        <w:t>Kanwal</w:t>
      </w:r>
      <w:proofErr w:type="spellEnd"/>
      <w:r w:rsidR="00F7006A" w:rsidRPr="00CC6AEB">
        <w:rPr>
          <w:rFonts w:ascii="Book Antiqua" w:eastAsia="Book Antiqua" w:hAnsi="Book Antiqua" w:cs="Arial"/>
          <w:b/>
          <w:sz w:val="24"/>
          <w:szCs w:val="24"/>
        </w:rPr>
        <w:t xml:space="preserve">, </w:t>
      </w:r>
      <w:proofErr w:type="spellStart"/>
      <w:r w:rsidR="00F7006A" w:rsidRPr="00CC6AEB">
        <w:rPr>
          <w:rFonts w:ascii="Book Antiqua" w:eastAsia="Book Antiqua" w:hAnsi="Book Antiqua" w:cs="Arial"/>
          <w:b/>
          <w:sz w:val="24"/>
          <w:szCs w:val="24"/>
        </w:rPr>
        <w:t>Prasun</w:t>
      </w:r>
      <w:proofErr w:type="spellEnd"/>
      <w:r w:rsidR="00F7006A" w:rsidRPr="00CC6AEB">
        <w:rPr>
          <w:rFonts w:ascii="Book Antiqua" w:eastAsia="Book Antiqua" w:hAnsi="Book Antiqua" w:cs="Arial"/>
          <w:b/>
          <w:sz w:val="24"/>
          <w:szCs w:val="24"/>
        </w:rPr>
        <w:t xml:space="preserve"> K</w:t>
      </w:r>
      <w:r w:rsidR="008E1F38" w:rsidRPr="00CC6AEB">
        <w:rPr>
          <w:rFonts w:ascii="Book Antiqua" w:eastAsia="Book Antiqua" w:hAnsi="Book Antiqua" w:cs="Arial"/>
          <w:b/>
          <w:sz w:val="24"/>
          <w:szCs w:val="24"/>
        </w:rPr>
        <w:t>umar</w:t>
      </w:r>
      <w:r w:rsidR="00F7006A" w:rsidRPr="00CC6AEB">
        <w:rPr>
          <w:rFonts w:ascii="Book Antiqua" w:eastAsia="Book Antiqua" w:hAnsi="Book Antiqua" w:cs="Arial"/>
          <w:b/>
          <w:sz w:val="24"/>
          <w:szCs w:val="24"/>
        </w:rPr>
        <w:t xml:space="preserve"> Jalal, </w:t>
      </w:r>
      <w:r w:rsidR="00F07C4B" w:rsidRPr="00CC6AEB">
        <w:rPr>
          <w:rFonts w:ascii="Book Antiqua" w:eastAsia="Book Antiqua" w:hAnsi="Book Antiqua" w:cs="Arial"/>
          <w:sz w:val="24"/>
          <w:szCs w:val="24"/>
        </w:rPr>
        <w:t>D</w:t>
      </w:r>
      <w:r w:rsidR="00B46819" w:rsidRPr="00CC6AEB">
        <w:rPr>
          <w:rFonts w:ascii="Book Antiqua" w:eastAsia="Book Antiqua" w:hAnsi="Book Antiqua" w:cs="Arial"/>
          <w:sz w:val="24"/>
          <w:szCs w:val="24"/>
        </w:rPr>
        <w:t>ivision</w:t>
      </w:r>
      <w:r w:rsidR="00F07C4B" w:rsidRPr="00CC6AEB">
        <w:rPr>
          <w:rFonts w:ascii="Book Antiqua" w:eastAsia="Book Antiqua" w:hAnsi="Book Antiqua" w:cs="Arial"/>
          <w:sz w:val="24"/>
          <w:szCs w:val="24"/>
        </w:rPr>
        <w:t xml:space="preserve"> of Gastroenterology, Baylor College of Medicine, Houston, </w:t>
      </w:r>
      <w:r w:rsidRPr="00CC6AEB">
        <w:rPr>
          <w:rFonts w:ascii="Book Antiqua" w:eastAsia="Book Antiqua" w:hAnsi="Book Antiqua" w:cs="Arial"/>
          <w:sz w:val="24"/>
          <w:szCs w:val="24"/>
        </w:rPr>
        <w:t>T</w:t>
      </w:r>
      <w:r w:rsidR="00C5718D">
        <w:rPr>
          <w:rFonts w:ascii="Book Antiqua" w:eastAsia="Book Antiqua" w:hAnsi="Book Antiqua" w:cs="Arial"/>
          <w:sz w:val="24"/>
          <w:szCs w:val="24"/>
        </w:rPr>
        <w:t xml:space="preserve">X </w:t>
      </w:r>
      <w:r w:rsidRPr="00CC6AEB">
        <w:rPr>
          <w:rFonts w:ascii="Book Antiqua" w:eastAsia="Book Antiqua" w:hAnsi="Book Antiqua" w:cs="Arial"/>
          <w:sz w:val="24"/>
          <w:szCs w:val="24"/>
        </w:rPr>
        <w:t xml:space="preserve">77030, </w:t>
      </w:r>
      <w:r w:rsidR="0048123B" w:rsidRPr="00CC6AEB">
        <w:rPr>
          <w:rFonts w:ascii="Book Antiqua" w:eastAsia="Book Antiqua" w:hAnsi="Book Antiqua" w:cs="Arial"/>
          <w:sz w:val="24"/>
          <w:szCs w:val="24"/>
        </w:rPr>
        <w:t>United States</w:t>
      </w:r>
    </w:p>
    <w:p w14:paraId="178646B4" w14:textId="56EDF9F5" w:rsidR="000843B2" w:rsidRPr="00CC6AEB" w:rsidRDefault="000843B2" w:rsidP="00CC6AEB">
      <w:pPr>
        <w:snapToGrid w:val="0"/>
        <w:spacing w:after="0" w:line="360" w:lineRule="auto"/>
        <w:jc w:val="both"/>
        <w:rPr>
          <w:rFonts w:ascii="Book Antiqua" w:eastAsia="Book Antiqua" w:hAnsi="Book Antiqua" w:cs="Arial"/>
          <w:sz w:val="24"/>
          <w:szCs w:val="24"/>
        </w:rPr>
      </w:pPr>
    </w:p>
    <w:p w14:paraId="029B1236" w14:textId="00BB0508" w:rsidR="000843B2" w:rsidRPr="00CC6AEB" w:rsidRDefault="00F7006A"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Mohamed Saleh</w:t>
      </w:r>
      <w:r w:rsidR="000843B2" w:rsidRPr="00CC6AEB">
        <w:rPr>
          <w:rFonts w:ascii="Book Antiqua" w:eastAsia="Book Antiqua" w:hAnsi="Book Antiqua" w:cs="Arial"/>
          <w:b/>
          <w:sz w:val="24"/>
          <w:szCs w:val="24"/>
        </w:rPr>
        <w:t xml:space="preserve"> Ismail, Wael </w:t>
      </w:r>
      <w:r w:rsidRPr="00CC6AEB">
        <w:rPr>
          <w:rFonts w:ascii="Book Antiqua" w:eastAsia="Book Antiqua" w:hAnsi="Book Antiqua" w:cs="Arial"/>
          <w:b/>
          <w:sz w:val="24"/>
          <w:szCs w:val="24"/>
        </w:rPr>
        <w:t>Ahmed</w:t>
      </w:r>
      <w:r w:rsidR="000843B2" w:rsidRPr="00CC6AEB">
        <w:rPr>
          <w:rFonts w:ascii="Book Antiqua" w:eastAsia="Book Antiqua" w:hAnsi="Book Antiqua" w:cs="Arial"/>
          <w:b/>
          <w:sz w:val="24"/>
          <w:szCs w:val="24"/>
        </w:rPr>
        <w:t xml:space="preserve"> </w:t>
      </w:r>
      <w:proofErr w:type="spellStart"/>
      <w:r w:rsidR="000843B2" w:rsidRPr="00CC6AEB">
        <w:rPr>
          <w:rFonts w:ascii="Book Antiqua" w:eastAsia="Book Antiqua" w:hAnsi="Book Antiqua" w:cs="Arial"/>
          <w:b/>
          <w:sz w:val="24"/>
          <w:szCs w:val="24"/>
        </w:rPr>
        <w:t>Yousry</w:t>
      </w:r>
      <w:proofErr w:type="spellEnd"/>
      <w:r w:rsidR="000843B2" w:rsidRPr="00CC6AEB">
        <w:rPr>
          <w:rFonts w:ascii="Book Antiqua" w:eastAsia="Book Antiqua" w:hAnsi="Book Antiqua" w:cs="Arial"/>
          <w:b/>
          <w:sz w:val="24"/>
          <w:szCs w:val="24"/>
        </w:rPr>
        <w:t xml:space="preserve">, </w:t>
      </w:r>
      <w:proofErr w:type="spellStart"/>
      <w:r w:rsidR="000843B2" w:rsidRPr="00CC6AEB">
        <w:rPr>
          <w:rFonts w:ascii="Book Antiqua" w:eastAsia="Book Antiqua" w:hAnsi="Book Antiqua" w:cs="Arial"/>
          <w:b/>
          <w:sz w:val="24"/>
          <w:szCs w:val="24"/>
        </w:rPr>
        <w:t>Maha</w:t>
      </w:r>
      <w:proofErr w:type="spellEnd"/>
      <w:r w:rsidR="000843B2"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Mohsen</w:t>
      </w:r>
      <w:r w:rsidR="000843B2" w:rsidRPr="00CC6AEB">
        <w:rPr>
          <w:rFonts w:ascii="Book Antiqua" w:eastAsia="Book Antiqua" w:hAnsi="Book Antiqua" w:cs="Arial"/>
          <w:b/>
          <w:sz w:val="24"/>
          <w:szCs w:val="24"/>
        </w:rPr>
        <w:t xml:space="preserve"> Kamal El-Din, Osama </w:t>
      </w:r>
      <w:proofErr w:type="spellStart"/>
      <w:r w:rsidRPr="00CC6AEB">
        <w:rPr>
          <w:rFonts w:ascii="Book Antiqua" w:eastAsia="Book Antiqua" w:hAnsi="Book Antiqua" w:cs="Arial"/>
          <w:b/>
          <w:sz w:val="24"/>
          <w:szCs w:val="24"/>
        </w:rPr>
        <w:t>Aboelfotoh</w:t>
      </w:r>
      <w:proofErr w:type="spellEnd"/>
      <w:r w:rsidR="000843B2" w:rsidRPr="00CC6AEB">
        <w:rPr>
          <w:rFonts w:ascii="Book Antiqua" w:eastAsia="Book Antiqua" w:hAnsi="Book Antiqua" w:cs="Arial"/>
          <w:b/>
          <w:sz w:val="24"/>
          <w:szCs w:val="24"/>
        </w:rPr>
        <w:t xml:space="preserve"> El Sayed,</w:t>
      </w:r>
      <w:r w:rsidR="000843B2" w:rsidRPr="00CC6AEB">
        <w:rPr>
          <w:rFonts w:ascii="Book Antiqua" w:eastAsia="Book Antiqua" w:hAnsi="Book Antiqua" w:cs="Arial"/>
          <w:sz w:val="24"/>
          <w:szCs w:val="24"/>
        </w:rPr>
        <w:t xml:space="preserve"> Department of Internal medicine, Gastroenterology </w:t>
      </w:r>
      <w:r w:rsidR="0048123B" w:rsidRPr="00CC6AEB">
        <w:rPr>
          <w:rFonts w:ascii="Book Antiqua" w:eastAsia="Book Antiqua" w:hAnsi="Book Antiqua" w:cs="Arial"/>
          <w:sz w:val="24"/>
          <w:szCs w:val="24"/>
        </w:rPr>
        <w:t>and</w:t>
      </w:r>
      <w:r w:rsidR="000843B2" w:rsidRPr="00CC6AEB">
        <w:rPr>
          <w:rFonts w:ascii="Book Antiqua" w:eastAsia="Book Antiqua" w:hAnsi="Book Antiqua" w:cs="Arial"/>
          <w:sz w:val="24"/>
          <w:szCs w:val="24"/>
        </w:rPr>
        <w:t xml:space="preserve"> Hepatolog</w:t>
      </w:r>
      <w:r w:rsidR="005B0A59" w:rsidRPr="00CC6AEB">
        <w:rPr>
          <w:rFonts w:ascii="Book Antiqua" w:eastAsia="Book Antiqua" w:hAnsi="Book Antiqua" w:cs="Arial"/>
          <w:sz w:val="24"/>
          <w:szCs w:val="24"/>
        </w:rPr>
        <w:t xml:space="preserve">y, Ain Shams University, Cairo </w:t>
      </w:r>
      <w:r w:rsidR="003636B9" w:rsidRPr="00CC6AEB">
        <w:rPr>
          <w:rFonts w:ascii="Book Antiqua" w:eastAsia="Book Antiqua" w:hAnsi="Book Antiqua" w:cs="Arial"/>
          <w:sz w:val="24"/>
          <w:szCs w:val="24"/>
        </w:rPr>
        <w:t xml:space="preserve">11566, </w:t>
      </w:r>
      <w:r w:rsidR="000843B2" w:rsidRPr="00CC6AEB">
        <w:rPr>
          <w:rFonts w:ascii="Book Antiqua" w:eastAsia="Book Antiqua" w:hAnsi="Book Antiqua" w:cs="Arial"/>
          <w:sz w:val="24"/>
          <w:szCs w:val="24"/>
        </w:rPr>
        <w:t>Egypt</w:t>
      </w:r>
    </w:p>
    <w:p w14:paraId="7D69869C" w14:textId="4835BF6B" w:rsidR="000843B2" w:rsidRPr="00CC6AEB" w:rsidRDefault="005B0A59"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br/>
      </w:r>
      <w:r w:rsidRPr="00CC6AEB">
        <w:rPr>
          <w:rFonts w:ascii="Book Antiqua" w:eastAsia="Book Antiqua" w:hAnsi="Book Antiqua" w:cs="Arial"/>
          <w:b/>
          <w:sz w:val="24"/>
          <w:szCs w:val="24"/>
        </w:rPr>
        <w:t xml:space="preserve">Mohamed </w:t>
      </w:r>
      <w:r w:rsidR="00F7006A" w:rsidRPr="00CC6AEB">
        <w:rPr>
          <w:rFonts w:ascii="Book Antiqua" w:eastAsia="Book Antiqua" w:hAnsi="Book Antiqua" w:cs="Arial"/>
          <w:b/>
          <w:sz w:val="24"/>
          <w:szCs w:val="24"/>
        </w:rPr>
        <w:t>Saleh</w:t>
      </w:r>
      <w:r w:rsidRPr="00CC6AEB">
        <w:rPr>
          <w:rFonts w:ascii="Book Antiqua" w:eastAsia="Book Antiqua" w:hAnsi="Book Antiqua" w:cs="Arial"/>
          <w:b/>
          <w:sz w:val="24"/>
          <w:szCs w:val="24"/>
        </w:rPr>
        <w:t xml:space="preserve"> Ismail, </w:t>
      </w:r>
      <w:proofErr w:type="spellStart"/>
      <w:r w:rsidRPr="00CC6AEB">
        <w:rPr>
          <w:rFonts w:ascii="Book Antiqua" w:eastAsia="Book Antiqua" w:hAnsi="Book Antiqua" w:cs="Arial"/>
          <w:b/>
          <w:sz w:val="24"/>
          <w:szCs w:val="24"/>
        </w:rPr>
        <w:t>Saira</w:t>
      </w:r>
      <w:proofErr w:type="spellEnd"/>
      <w:r w:rsidRPr="00CC6AEB">
        <w:rPr>
          <w:rFonts w:ascii="Book Antiqua" w:eastAsia="Book Antiqua" w:hAnsi="Book Antiqua" w:cs="Arial"/>
          <w:b/>
          <w:sz w:val="24"/>
          <w:szCs w:val="24"/>
        </w:rPr>
        <w:t xml:space="preserve"> </w:t>
      </w:r>
      <w:r w:rsidR="00F7006A" w:rsidRPr="00CC6AEB">
        <w:rPr>
          <w:rFonts w:ascii="Book Antiqua" w:eastAsia="Book Antiqua" w:hAnsi="Book Antiqua" w:cs="Arial"/>
          <w:b/>
          <w:sz w:val="24"/>
          <w:szCs w:val="24"/>
        </w:rPr>
        <w:t>Aijaz</w:t>
      </w:r>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Khaderi</w:t>
      </w:r>
      <w:proofErr w:type="spellEnd"/>
      <w:r w:rsidRPr="00CC6AEB">
        <w:rPr>
          <w:rFonts w:ascii="Book Antiqua" w:eastAsia="Book Antiqua" w:hAnsi="Book Antiqua" w:cs="Arial"/>
          <w:b/>
          <w:sz w:val="24"/>
          <w:szCs w:val="24"/>
        </w:rPr>
        <w:t xml:space="preserve">, John </w:t>
      </w:r>
      <w:r w:rsidR="004E2016" w:rsidRPr="00CC6AEB">
        <w:rPr>
          <w:rFonts w:ascii="Book Antiqua" w:eastAsia="Book Antiqua" w:hAnsi="Book Antiqua" w:cs="Arial"/>
          <w:b/>
          <w:sz w:val="24"/>
          <w:szCs w:val="24"/>
        </w:rPr>
        <w:t>Alan</w:t>
      </w:r>
      <w:r w:rsidRPr="00CC6AEB">
        <w:rPr>
          <w:rFonts w:ascii="Book Antiqua" w:eastAsia="Book Antiqua" w:hAnsi="Book Antiqua" w:cs="Arial"/>
          <w:b/>
          <w:sz w:val="24"/>
          <w:szCs w:val="24"/>
        </w:rPr>
        <w:t xml:space="preserve"> Goss, </w:t>
      </w:r>
      <w:proofErr w:type="spellStart"/>
      <w:r w:rsidRPr="00CC6AEB">
        <w:rPr>
          <w:rFonts w:ascii="Book Antiqua" w:eastAsia="Book Antiqua" w:hAnsi="Book Antiqua" w:cs="Arial"/>
          <w:b/>
          <w:sz w:val="24"/>
          <w:szCs w:val="24"/>
        </w:rPr>
        <w:t>Prasun</w:t>
      </w:r>
      <w:proofErr w:type="spellEnd"/>
      <w:r w:rsidRPr="00CC6AEB">
        <w:rPr>
          <w:rFonts w:ascii="Book Antiqua" w:eastAsia="Book Antiqua" w:hAnsi="Book Antiqua" w:cs="Arial"/>
          <w:b/>
          <w:sz w:val="24"/>
          <w:szCs w:val="24"/>
        </w:rPr>
        <w:t xml:space="preserve"> </w:t>
      </w:r>
      <w:r w:rsidR="004E2016" w:rsidRPr="00CC6AEB">
        <w:rPr>
          <w:rFonts w:ascii="Book Antiqua" w:eastAsia="Book Antiqua" w:hAnsi="Book Antiqua" w:cs="Arial"/>
          <w:b/>
          <w:sz w:val="24"/>
          <w:szCs w:val="24"/>
        </w:rPr>
        <w:t>Kumar</w:t>
      </w:r>
      <w:r w:rsidRPr="00CC6AEB">
        <w:rPr>
          <w:rFonts w:ascii="Book Antiqua" w:eastAsia="Book Antiqua" w:hAnsi="Book Antiqua" w:cs="Arial"/>
          <w:b/>
          <w:sz w:val="24"/>
          <w:szCs w:val="24"/>
        </w:rPr>
        <w:t xml:space="preserve"> Jalal,</w:t>
      </w:r>
      <w:r w:rsidRPr="00CC6AEB">
        <w:rPr>
          <w:rFonts w:ascii="Book Antiqua" w:eastAsia="Book Antiqua" w:hAnsi="Book Antiqua" w:cs="Arial"/>
          <w:sz w:val="24"/>
          <w:szCs w:val="24"/>
        </w:rPr>
        <w:t xml:space="preserve"> Department of Surgery, Division of Abdominal Transplantation, Baylor College of Medicine, Houston, T</w:t>
      </w:r>
      <w:r w:rsidR="00F7006A" w:rsidRPr="00CC6AEB">
        <w:rPr>
          <w:rFonts w:ascii="Book Antiqua" w:eastAsia="Book Antiqua" w:hAnsi="Book Antiqua" w:cs="Arial"/>
          <w:sz w:val="24"/>
          <w:szCs w:val="24"/>
        </w:rPr>
        <w:t>X</w:t>
      </w:r>
      <w:r w:rsidRPr="00CC6AEB">
        <w:rPr>
          <w:rFonts w:ascii="Book Antiqua" w:eastAsia="Book Antiqua" w:hAnsi="Book Antiqua" w:cs="Arial"/>
          <w:sz w:val="24"/>
          <w:szCs w:val="24"/>
        </w:rPr>
        <w:t xml:space="preserve"> 77030, </w:t>
      </w:r>
      <w:r w:rsidR="0048123B" w:rsidRPr="00CC6AEB">
        <w:rPr>
          <w:rFonts w:ascii="Book Antiqua" w:eastAsia="Book Antiqua" w:hAnsi="Book Antiqua" w:cs="Arial"/>
          <w:sz w:val="24"/>
          <w:szCs w:val="24"/>
        </w:rPr>
        <w:t>United States</w:t>
      </w:r>
    </w:p>
    <w:p w14:paraId="699CB989" w14:textId="522872FF" w:rsidR="005B0A59" w:rsidRPr="00CC6AEB" w:rsidRDefault="005B0A59" w:rsidP="00CC6AEB">
      <w:pPr>
        <w:snapToGrid w:val="0"/>
        <w:spacing w:after="0" w:line="360" w:lineRule="auto"/>
        <w:jc w:val="both"/>
        <w:rPr>
          <w:rFonts w:ascii="Book Antiqua" w:eastAsia="Book Antiqua" w:hAnsi="Book Antiqua" w:cs="Arial"/>
          <w:sz w:val="24"/>
          <w:szCs w:val="24"/>
        </w:rPr>
      </w:pPr>
    </w:p>
    <w:p w14:paraId="74D07F1E" w14:textId="55219E26" w:rsidR="004233EB" w:rsidRPr="00CC6AEB" w:rsidRDefault="004233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Manal Hassan,</w:t>
      </w:r>
      <w:r w:rsidRPr="00CC6AEB">
        <w:rPr>
          <w:rFonts w:ascii="Book Antiqua" w:eastAsia="Book Antiqua" w:hAnsi="Book Antiqua" w:cs="Arial"/>
          <w:sz w:val="24"/>
          <w:szCs w:val="24"/>
        </w:rPr>
        <w:t xml:space="preserve"> Department of Epidemiology, the University of Texas MD Anders</w:t>
      </w:r>
      <w:r w:rsidR="00F7006A" w:rsidRPr="00CC6AEB">
        <w:rPr>
          <w:rFonts w:ascii="Book Antiqua" w:eastAsia="Book Antiqua" w:hAnsi="Book Antiqua" w:cs="Arial"/>
          <w:sz w:val="24"/>
          <w:szCs w:val="24"/>
        </w:rPr>
        <w:t>on Cancer Center, Houston, TX</w:t>
      </w:r>
      <w:r w:rsidRPr="00CC6AEB">
        <w:rPr>
          <w:rFonts w:ascii="Book Antiqua" w:eastAsia="Book Antiqua" w:hAnsi="Book Antiqua" w:cs="Arial"/>
          <w:sz w:val="24"/>
          <w:szCs w:val="24"/>
        </w:rPr>
        <w:t xml:space="preserve"> 77030, </w:t>
      </w:r>
      <w:r w:rsidR="0048123B" w:rsidRPr="00CC6AEB">
        <w:rPr>
          <w:rFonts w:ascii="Book Antiqua" w:eastAsia="Book Antiqua" w:hAnsi="Book Antiqua" w:cs="Arial"/>
          <w:sz w:val="24"/>
          <w:szCs w:val="24"/>
        </w:rPr>
        <w:t>United States</w:t>
      </w:r>
    </w:p>
    <w:p w14:paraId="442A3B89" w14:textId="5131AD1E" w:rsidR="004233EB" w:rsidRPr="00CC6AEB" w:rsidRDefault="004233EB" w:rsidP="00CC6AEB">
      <w:pPr>
        <w:snapToGrid w:val="0"/>
        <w:spacing w:after="0" w:line="360" w:lineRule="auto"/>
        <w:jc w:val="both"/>
        <w:rPr>
          <w:rFonts w:ascii="Book Antiqua" w:eastAsia="Book Antiqua" w:hAnsi="Book Antiqua" w:cs="Arial"/>
          <w:sz w:val="24"/>
          <w:szCs w:val="24"/>
        </w:rPr>
      </w:pPr>
    </w:p>
    <w:p w14:paraId="79CB3914" w14:textId="5C52FE61" w:rsidR="004E2F95" w:rsidRPr="00CC6AEB" w:rsidRDefault="004E2F95"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lastRenderedPageBreak/>
        <w:t xml:space="preserve">Mohamed </w:t>
      </w:r>
      <w:proofErr w:type="spellStart"/>
      <w:r w:rsidR="00F7006A" w:rsidRPr="00CC6AEB">
        <w:rPr>
          <w:rFonts w:ascii="Book Antiqua" w:eastAsia="Book Antiqua" w:hAnsi="Book Antiqua" w:cs="Arial"/>
          <w:b/>
          <w:sz w:val="24"/>
          <w:szCs w:val="24"/>
        </w:rPr>
        <w:t>Mohamed</w:t>
      </w:r>
      <w:proofErr w:type="spellEnd"/>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Bahaa</w:t>
      </w:r>
      <w:proofErr w:type="spellEnd"/>
      <w:r w:rsidRPr="00CC6AEB">
        <w:rPr>
          <w:rFonts w:ascii="Book Antiqua" w:eastAsia="Book Antiqua" w:hAnsi="Book Antiqua" w:cs="Arial"/>
          <w:b/>
          <w:sz w:val="24"/>
          <w:szCs w:val="24"/>
        </w:rPr>
        <w:t xml:space="preserve"> El-Din,</w:t>
      </w:r>
      <w:r w:rsidRPr="00CC6AEB">
        <w:rPr>
          <w:rFonts w:ascii="Book Antiqua" w:eastAsia="Book Antiqua" w:hAnsi="Book Antiqua" w:cs="Arial"/>
          <w:sz w:val="24"/>
          <w:szCs w:val="24"/>
        </w:rPr>
        <w:t xml:space="preserve"> Department of Surgery, Ain Shams University, Cairo 11566, Egypt</w:t>
      </w:r>
    </w:p>
    <w:p w14:paraId="5D6DEAD0" w14:textId="77777777" w:rsidR="004E2F95" w:rsidRPr="00CC6AEB" w:rsidRDefault="004E2F95" w:rsidP="00CC6AEB">
      <w:pPr>
        <w:snapToGrid w:val="0"/>
        <w:spacing w:after="0" w:line="360" w:lineRule="auto"/>
        <w:jc w:val="both"/>
        <w:rPr>
          <w:rFonts w:ascii="Book Antiqua" w:eastAsia="Book Antiqua" w:hAnsi="Book Antiqua" w:cs="Arial"/>
          <w:sz w:val="24"/>
          <w:szCs w:val="24"/>
        </w:rPr>
      </w:pPr>
    </w:p>
    <w:p w14:paraId="2117E6CC" w14:textId="067CD26A" w:rsidR="006A6407" w:rsidRPr="00CC6AEB" w:rsidRDefault="004233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Ahmed O</w:t>
      </w:r>
      <w:r w:rsidR="008E1F38" w:rsidRPr="00CC6AEB">
        <w:rPr>
          <w:rFonts w:ascii="Book Antiqua" w:eastAsia="Book Antiqua" w:hAnsi="Book Antiqua" w:cs="Arial"/>
          <w:b/>
          <w:sz w:val="24"/>
          <w:szCs w:val="24"/>
        </w:rPr>
        <w:t>mar</w:t>
      </w:r>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Kaseb</w:t>
      </w:r>
      <w:proofErr w:type="spellEnd"/>
      <w:r w:rsidRPr="00CC6AEB">
        <w:rPr>
          <w:rFonts w:ascii="Book Antiqua" w:eastAsia="Book Antiqua" w:hAnsi="Book Antiqua" w:cs="Arial"/>
          <w:b/>
          <w:sz w:val="24"/>
          <w:szCs w:val="24"/>
        </w:rPr>
        <w:t>,</w:t>
      </w:r>
      <w:r w:rsidRPr="00CC6AEB">
        <w:rPr>
          <w:rFonts w:ascii="Book Antiqua" w:eastAsia="Book Antiqua" w:hAnsi="Book Antiqua" w:cs="Arial"/>
          <w:sz w:val="24"/>
          <w:szCs w:val="24"/>
        </w:rPr>
        <w:t xml:space="preserve"> Department of Gastrointestinal Medical Oncology, the University of Texas MD Anderson Cancer Center, Houston, T</w:t>
      </w:r>
      <w:r w:rsidR="006079E0" w:rsidRPr="00CC6AEB">
        <w:rPr>
          <w:rFonts w:ascii="Book Antiqua" w:eastAsia="Book Antiqua" w:hAnsi="Book Antiqua" w:cs="Arial"/>
          <w:sz w:val="24"/>
          <w:szCs w:val="24"/>
        </w:rPr>
        <w:t>X</w:t>
      </w:r>
      <w:r w:rsidR="0096580F" w:rsidRPr="00CC6AEB">
        <w:rPr>
          <w:rFonts w:ascii="Book Antiqua" w:eastAsia="Book Antiqua" w:hAnsi="Book Antiqua" w:cs="Arial"/>
          <w:sz w:val="24"/>
          <w:szCs w:val="24"/>
        </w:rPr>
        <w:t xml:space="preserve"> 77030, </w:t>
      </w:r>
      <w:r w:rsidR="0048123B" w:rsidRPr="00CC6AEB">
        <w:rPr>
          <w:rFonts w:ascii="Book Antiqua" w:eastAsia="Book Antiqua" w:hAnsi="Book Antiqua" w:cs="Arial"/>
          <w:sz w:val="24"/>
          <w:szCs w:val="24"/>
        </w:rPr>
        <w:t>United States</w:t>
      </w:r>
    </w:p>
    <w:p w14:paraId="1D4FFB56" w14:textId="77777777" w:rsidR="001D056C" w:rsidRPr="00CC6AEB" w:rsidRDefault="001D056C" w:rsidP="00CC6AEB">
      <w:pPr>
        <w:snapToGrid w:val="0"/>
        <w:spacing w:after="0" w:line="360" w:lineRule="auto"/>
        <w:jc w:val="both"/>
        <w:rPr>
          <w:rFonts w:ascii="Book Antiqua" w:eastAsia="Book Antiqua" w:hAnsi="Book Antiqua" w:cs="Arial"/>
          <w:sz w:val="24"/>
          <w:szCs w:val="24"/>
        </w:rPr>
      </w:pPr>
    </w:p>
    <w:p w14:paraId="1969500C" w14:textId="18D58378" w:rsidR="005E3936" w:rsidRPr="00CC6AEB" w:rsidRDefault="00C4383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Author contributions:</w:t>
      </w:r>
      <w:r w:rsidRPr="00CC6AEB">
        <w:rPr>
          <w:rFonts w:ascii="Book Antiqua" w:eastAsia="Book Antiqua" w:hAnsi="Book Antiqua" w:cs="Arial"/>
          <w:sz w:val="24"/>
          <w:szCs w:val="24"/>
        </w:rPr>
        <w:t xml:space="preserve"> </w:t>
      </w:r>
      <w:r w:rsidR="00A31F81" w:rsidRPr="00CC6AEB">
        <w:rPr>
          <w:rFonts w:ascii="Book Antiqua" w:eastAsia="Book Antiqua" w:hAnsi="Book Antiqua" w:cs="Arial"/>
          <w:sz w:val="24"/>
          <w:szCs w:val="24"/>
        </w:rPr>
        <w:t xml:space="preserve">Ismail MS designed and performed the research and wrote the paper; Hassan M designed the research and contributed to the analysis; Jalal PK </w:t>
      </w:r>
      <w:r w:rsidR="005A2B5E" w:rsidRPr="00CC6AEB">
        <w:rPr>
          <w:rFonts w:ascii="Book Antiqua" w:eastAsia="Book Antiqua" w:hAnsi="Book Antiqua" w:cs="Arial"/>
          <w:sz w:val="24"/>
          <w:szCs w:val="24"/>
        </w:rPr>
        <w:t xml:space="preserve">designed and performed the research; </w:t>
      </w:r>
      <w:proofErr w:type="spellStart"/>
      <w:r w:rsidR="005A2B5E" w:rsidRPr="00CC6AEB">
        <w:rPr>
          <w:rFonts w:ascii="Book Antiqua" w:eastAsia="Book Antiqua" w:hAnsi="Book Antiqua" w:cs="Arial"/>
          <w:sz w:val="24"/>
          <w:szCs w:val="24"/>
        </w:rPr>
        <w:t>Khaderi</w:t>
      </w:r>
      <w:proofErr w:type="spellEnd"/>
      <w:r w:rsidR="005A2B5E" w:rsidRPr="00CC6AEB">
        <w:rPr>
          <w:rFonts w:ascii="Book Antiqua" w:eastAsia="Book Antiqua" w:hAnsi="Book Antiqua" w:cs="Arial"/>
          <w:sz w:val="24"/>
          <w:szCs w:val="24"/>
        </w:rPr>
        <w:t xml:space="preserve"> S</w:t>
      </w:r>
      <w:r w:rsidR="000D3100" w:rsidRPr="00CC6AEB">
        <w:rPr>
          <w:rFonts w:ascii="Book Antiqua" w:eastAsia="Book Antiqua" w:hAnsi="Book Antiqua" w:cs="Arial"/>
          <w:sz w:val="24"/>
          <w:szCs w:val="24"/>
        </w:rPr>
        <w:t>A</w:t>
      </w:r>
      <w:r w:rsidR="005A2B5E" w:rsidRPr="00CC6AEB">
        <w:rPr>
          <w:rFonts w:ascii="Book Antiqua" w:eastAsia="Book Antiqua" w:hAnsi="Book Antiqua" w:cs="Arial"/>
          <w:sz w:val="24"/>
          <w:szCs w:val="24"/>
        </w:rPr>
        <w:t xml:space="preserve">, </w:t>
      </w:r>
      <w:proofErr w:type="spellStart"/>
      <w:r w:rsidR="005A2B5E" w:rsidRPr="00CC6AEB">
        <w:rPr>
          <w:rFonts w:ascii="Book Antiqua" w:eastAsia="Book Antiqua" w:hAnsi="Book Antiqua" w:cs="Arial"/>
          <w:sz w:val="24"/>
          <w:szCs w:val="24"/>
        </w:rPr>
        <w:t>Yousry</w:t>
      </w:r>
      <w:proofErr w:type="spellEnd"/>
      <w:r w:rsidR="005A2B5E" w:rsidRPr="00CC6AEB">
        <w:rPr>
          <w:rFonts w:ascii="Book Antiqua" w:eastAsia="Book Antiqua" w:hAnsi="Book Antiqua" w:cs="Arial"/>
          <w:sz w:val="24"/>
          <w:szCs w:val="24"/>
        </w:rPr>
        <w:t xml:space="preserve"> WA,</w:t>
      </w:r>
      <w:bookmarkStart w:id="10" w:name="OLE_LINK10"/>
      <w:bookmarkStart w:id="11" w:name="OLE_LINK11"/>
      <w:r w:rsidR="005A2B5E" w:rsidRPr="00CC6AEB">
        <w:rPr>
          <w:rFonts w:ascii="Book Antiqua" w:eastAsia="Book Antiqua" w:hAnsi="Book Antiqua" w:cs="Arial"/>
          <w:sz w:val="24"/>
          <w:szCs w:val="24"/>
        </w:rPr>
        <w:t xml:space="preserve"> Kamal El-Din</w:t>
      </w:r>
      <w:bookmarkEnd w:id="10"/>
      <w:bookmarkEnd w:id="11"/>
      <w:r w:rsidR="005A2B5E" w:rsidRPr="00CC6AEB">
        <w:rPr>
          <w:rFonts w:ascii="Book Antiqua" w:eastAsia="Book Antiqua" w:hAnsi="Book Antiqua" w:cs="Arial"/>
          <w:sz w:val="24"/>
          <w:szCs w:val="24"/>
        </w:rPr>
        <w:t xml:space="preserve"> MM, </w:t>
      </w:r>
      <w:proofErr w:type="spellStart"/>
      <w:r w:rsidR="005A2B5E" w:rsidRPr="00CC6AEB">
        <w:rPr>
          <w:rFonts w:ascii="Book Antiqua" w:eastAsia="Book Antiqua" w:hAnsi="Book Antiqua" w:cs="Arial"/>
          <w:sz w:val="24"/>
          <w:szCs w:val="24"/>
        </w:rPr>
        <w:t>Bahaa</w:t>
      </w:r>
      <w:proofErr w:type="spellEnd"/>
      <w:r w:rsidR="005A2B5E" w:rsidRPr="00CC6AEB">
        <w:rPr>
          <w:rFonts w:ascii="Book Antiqua" w:eastAsia="Book Antiqua" w:hAnsi="Book Antiqua" w:cs="Arial"/>
          <w:sz w:val="24"/>
          <w:szCs w:val="24"/>
        </w:rPr>
        <w:t xml:space="preserve"> El-Din MM, El Sayed OA, </w:t>
      </w:r>
      <w:proofErr w:type="spellStart"/>
      <w:r w:rsidR="005A2B5E" w:rsidRPr="00CC6AEB">
        <w:rPr>
          <w:rFonts w:ascii="Book Antiqua" w:eastAsia="Book Antiqua" w:hAnsi="Book Antiqua" w:cs="Arial"/>
          <w:sz w:val="24"/>
          <w:szCs w:val="24"/>
        </w:rPr>
        <w:t>Kaseb</w:t>
      </w:r>
      <w:proofErr w:type="spellEnd"/>
      <w:r w:rsidR="005A2B5E" w:rsidRPr="00CC6AEB">
        <w:rPr>
          <w:rFonts w:ascii="Book Antiqua" w:eastAsia="Book Antiqua" w:hAnsi="Book Antiqua" w:cs="Arial"/>
          <w:sz w:val="24"/>
          <w:szCs w:val="24"/>
        </w:rPr>
        <w:t xml:space="preserve"> AO, Goss JA, Kanwal F interpreted the data and critically supervised the report.</w:t>
      </w:r>
    </w:p>
    <w:p w14:paraId="21DB5F31" w14:textId="77777777" w:rsidR="00E03360" w:rsidRPr="00CC6AEB" w:rsidRDefault="00E03360" w:rsidP="00CC6AEB">
      <w:pPr>
        <w:snapToGrid w:val="0"/>
        <w:spacing w:after="0" w:line="360" w:lineRule="auto"/>
        <w:jc w:val="both"/>
        <w:rPr>
          <w:rFonts w:ascii="Book Antiqua" w:eastAsia="Book Antiqua" w:hAnsi="Book Antiqua" w:cs="Arial"/>
          <w:b/>
          <w:bCs/>
          <w:sz w:val="24"/>
          <w:szCs w:val="24"/>
        </w:rPr>
      </w:pPr>
    </w:p>
    <w:p w14:paraId="3B6EE5EC" w14:textId="5A1E5DD2" w:rsidR="005E3936" w:rsidRPr="00CC6AEB" w:rsidRDefault="00E03360" w:rsidP="00CC6AEB">
      <w:pPr>
        <w:snapToGrid w:val="0"/>
        <w:spacing w:after="0" w:line="360" w:lineRule="auto"/>
        <w:jc w:val="both"/>
        <w:rPr>
          <w:rFonts w:ascii="Book Antiqua" w:eastAsia="Book Antiqua" w:hAnsi="Book Antiqua" w:cs="Arial"/>
          <w:b/>
          <w:bCs/>
          <w:sz w:val="24"/>
          <w:szCs w:val="24"/>
        </w:rPr>
      </w:pPr>
      <w:r w:rsidRPr="00CC6AEB">
        <w:rPr>
          <w:rFonts w:ascii="Book Antiqua" w:eastAsia="Book Antiqua" w:hAnsi="Book Antiqua" w:cs="Arial"/>
          <w:b/>
          <w:bCs/>
          <w:sz w:val="24"/>
          <w:szCs w:val="24"/>
        </w:rPr>
        <w:t xml:space="preserve">Supported by </w:t>
      </w:r>
      <w:bookmarkStart w:id="12" w:name="OLE_LINK33"/>
      <w:bookmarkStart w:id="13" w:name="OLE_LINK34"/>
      <w:r w:rsidR="009F3139" w:rsidRPr="00CC6AEB">
        <w:rPr>
          <w:rFonts w:ascii="Book Antiqua" w:eastAsia="Book Antiqua" w:hAnsi="Book Antiqua" w:cs="Arial"/>
          <w:sz w:val="24"/>
          <w:szCs w:val="24"/>
        </w:rPr>
        <w:t>Ministry of Higher Education, Egypt</w:t>
      </w:r>
      <w:r w:rsidRPr="00CC6AEB">
        <w:rPr>
          <w:rFonts w:ascii="Book Antiqua" w:eastAsia="Book Antiqua" w:hAnsi="Book Antiqua" w:cs="Arial"/>
          <w:sz w:val="24"/>
          <w:szCs w:val="24"/>
        </w:rPr>
        <w:t>, No.</w:t>
      </w:r>
      <w:bookmarkStart w:id="14" w:name="OLE_LINK9"/>
      <w:r w:rsidR="009F3139"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JS-3787</w:t>
      </w:r>
      <w:bookmarkEnd w:id="14"/>
      <w:r w:rsidR="009F3139" w:rsidRPr="00CC6AEB">
        <w:rPr>
          <w:rFonts w:ascii="Book Antiqua" w:hAnsi="Book Antiqua" w:cs="Arial"/>
          <w:sz w:val="24"/>
          <w:szCs w:val="24"/>
          <w:lang w:eastAsia="zh-CN"/>
        </w:rPr>
        <w:t>.</w:t>
      </w:r>
    </w:p>
    <w:bookmarkEnd w:id="12"/>
    <w:bookmarkEnd w:id="13"/>
    <w:p w14:paraId="5958E952" w14:textId="77777777" w:rsidR="00E03360" w:rsidRPr="00CC6AEB" w:rsidRDefault="00E03360" w:rsidP="00CC6AEB">
      <w:pPr>
        <w:snapToGrid w:val="0"/>
        <w:spacing w:after="0" w:line="360" w:lineRule="auto"/>
        <w:jc w:val="both"/>
        <w:rPr>
          <w:rFonts w:ascii="Book Antiqua" w:eastAsia="Book Antiqua" w:hAnsi="Book Antiqua" w:cs="Arial"/>
          <w:b/>
          <w:sz w:val="24"/>
          <w:szCs w:val="24"/>
        </w:rPr>
      </w:pPr>
    </w:p>
    <w:p w14:paraId="2237BB87" w14:textId="69482EB9" w:rsidR="005E3936" w:rsidRPr="00CC6AEB" w:rsidRDefault="00135348"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 xml:space="preserve">Corresponding author: </w:t>
      </w:r>
      <w:r w:rsidR="006079E0" w:rsidRPr="00CC6AEB">
        <w:rPr>
          <w:rFonts w:ascii="Book Antiqua" w:eastAsia="Book Antiqua" w:hAnsi="Book Antiqua" w:cs="Arial"/>
          <w:b/>
          <w:sz w:val="24"/>
          <w:szCs w:val="24"/>
        </w:rPr>
        <w:t>Mohamed Saleh Ismail</w:t>
      </w:r>
      <w:r w:rsidRPr="00CC6AEB">
        <w:rPr>
          <w:rFonts w:ascii="Book Antiqua" w:eastAsia="Book Antiqua" w:hAnsi="Book Antiqua" w:cs="Arial"/>
          <w:b/>
          <w:sz w:val="24"/>
          <w:szCs w:val="24"/>
        </w:rPr>
        <w:t xml:space="preserve">, </w:t>
      </w:r>
      <w:r w:rsidR="00123147" w:rsidRPr="00CC6AEB">
        <w:rPr>
          <w:rFonts w:ascii="Book Antiqua" w:eastAsia="Book Antiqua" w:hAnsi="Book Antiqua" w:cs="Arial"/>
          <w:b/>
          <w:sz w:val="24"/>
          <w:szCs w:val="24"/>
        </w:rPr>
        <w:t>MBChB</w:t>
      </w:r>
      <w:r w:rsidRPr="00CC6AEB">
        <w:rPr>
          <w:rFonts w:ascii="Book Antiqua" w:eastAsia="Book Antiqua" w:hAnsi="Book Antiqua" w:cs="Arial"/>
          <w:b/>
          <w:sz w:val="24"/>
          <w:szCs w:val="24"/>
        </w:rPr>
        <w:t xml:space="preserve">, MSc, </w:t>
      </w:r>
      <w:r w:rsidR="00123147" w:rsidRPr="00CC6AEB">
        <w:rPr>
          <w:rFonts w:ascii="Book Antiqua" w:eastAsia="Book Antiqua" w:hAnsi="Book Antiqua" w:cs="Arial"/>
          <w:b/>
          <w:sz w:val="24"/>
          <w:szCs w:val="24"/>
        </w:rPr>
        <w:t>Doctor, Research Fellow</w:t>
      </w:r>
      <w:r w:rsidR="00A522E8" w:rsidRPr="00CC6AEB">
        <w:rPr>
          <w:rFonts w:ascii="Book Antiqua" w:eastAsia="Book Antiqua" w:hAnsi="Book Antiqua" w:cs="Arial"/>
          <w:b/>
          <w:sz w:val="24"/>
          <w:szCs w:val="24"/>
        </w:rPr>
        <w:t>,</w:t>
      </w:r>
      <w:r w:rsidR="00A522E8" w:rsidRPr="00CC6AEB">
        <w:rPr>
          <w:rFonts w:ascii="Book Antiqua" w:eastAsia="Book Antiqua" w:hAnsi="Book Antiqua" w:cs="Arial"/>
          <w:sz w:val="24"/>
          <w:szCs w:val="24"/>
        </w:rPr>
        <w:t xml:space="preserve"> </w:t>
      </w:r>
      <w:bookmarkStart w:id="15" w:name="OLE_LINK12"/>
      <w:bookmarkStart w:id="16" w:name="OLE_LINK13"/>
      <w:r w:rsidR="00D45A5F" w:rsidRPr="00CC6AEB">
        <w:rPr>
          <w:rFonts w:ascii="Book Antiqua" w:eastAsia="Book Antiqua" w:hAnsi="Book Antiqua" w:cs="Arial"/>
          <w:sz w:val="24"/>
          <w:szCs w:val="24"/>
        </w:rPr>
        <w:t>Division of Gastroenterology</w:t>
      </w:r>
      <w:bookmarkEnd w:id="15"/>
      <w:bookmarkEnd w:id="16"/>
      <w:r w:rsidR="00D45A5F" w:rsidRPr="00CC6AEB">
        <w:rPr>
          <w:rFonts w:ascii="Book Antiqua" w:eastAsia="Book Antiqua" w:hAnsi="Book Antiqua" w:cs="Arial"/>
          <w:sz w:val="24"/>
          <w:szCs w:val="24"/>
        </w:rPr>
        <w:t>, Baylor College of Medi</w:t>
      </w:r>
      <w:r w:rsidR="006079E0" w:rsidRPr="00CC6AEB">
        <w:rPr>
          <w:rFonts w:ascii="Book Antiqua" w:eastAsia="Book Antiqua" w:hAnsi="Book Antiqua" w:cs="Arial"/>
          <w:sz w:val="24"/>
          <w:szCs w:val="24"/>
        </w:rPr>
        <w:t>cine, One Baylor plaza, Houston, TX</w:t>
      </w:r>
      <w:r w:rsidR="00D45A5F" w:rsidRPr="00CC6AEB">
        <w:rPr>
          <w:rFonts w:ascii="Book Antiqua" w:eastAsia="Book Antiqua" w:hAnsi="Book Antiqua" w:cs="Arial"/>
          <w:sz w:val="24"/>
          <w:szCs w:val="24"/>
        </w:rPr>
        <w:t xml:space="preserve"> 77030, United States</w:t>
      </w:r>
      <w:r w:rsidR="00E03360" w:rsidRPr="00CC6AEB">
        <w:rPr>
          <w:rFonts w:ascii="Book Antiqua" w:hAnsi="Book Antiqua" w:cs="Arial"/>
          <w:sz w:val="24"/>
          <w:szCs w:val="24"/>
          <w:lang w:eastAsia="zh-CN"/>
        </w:rPr>
        <w:t>.</w:t>
      </w:r>
      <w:r w:rsidR="006079E0" w:rsidRPr="00CC6AEB">
        <w:rPr>
          <w:rFonts w:ascii="Book Antiqua" w:hAnsi="Book Antiqua" w:cs="Arial"/>
          <w:sz w:val="24"/>
          <w:szCs w:val="24"/>
          <w:lang w:eastAsia="zh-CN"/>
        </w:rPr>
        <w:t xml:space="preserve"> </w:t>
      </w:r>
      <w:hyperlink r:id="rId11" w:history="1">
        <w:r w:rsidR="006079E0" w:rsidRPr="00CC6AEB">
          <w:rPr>
            <w:rStyle w:val="Hyperlink"/>
            <w:rFonts w:ascii="Book Antiqua" w:eastAsia="Book Antiqua" w:hAnsi="Book Antiqua" w:cs="Arial"/>
            <w:sz w:val="24"/>
            <w:szCs w:val="24"/>
          </w:rPr>
          <w:t>mohamed.ismail@bcm.edu</w:t>
        </w:r>
      </w:hyperlink>
    </w:p>
    <w:p w14:paraId="4F106B0C"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p>
    <w:p w14:paraId="7C97AC31" w14:textId="446EEBF9" w:rsidR="00123147" w:rsidRPr="00CC6AEB" w:rsidRDefault="00123147" w:rsidP="00CC6AEB">
      <w:pPr>
        <w:snapToGrid w:val="0"/>
        <w:spacing w:after="0" w:line="360" w:lineRule="auto"/>
        <w:jc w:val="both"/>
        <w:rPr>
          <w:rFonts w:ascii="Book Antiqua" w:hAnsi="Book Antiqua" w:cs="Arial"/>
          <w:bCs/>
          <w:sz w:val="24"/>
          <w:szCs w:val="24"/>
        </w:rPr>
      </w:pPr>
      <w:r w:rsidRPr="00CC6AEB">
        <w:rPr>
          <w:rFonts w:ascii="Book Antiqua" w:hAnsi="Book Antiqua" w:cs="Arial"/>
          <w:b/>
          <w:bCs/>
          <w:sz w:val="24"/>
          <w:szCs w:val="24"/>
        </w:rPr>
        <w:t xml:space="preserve">Received: </w:t>
      </w:r>
      <w:r w:rsidR="00D45A5F" w:rsidRPr="00CC6AEB">
        <w:rPr>
          <w:rFonts w:ascii="Book Antiqua" w:hAnsi="Book Antiqua" w:cs="Arial"/>
          <w:bCs/>
          <w:sz w:val="24"/>
          <w:szCs w:val="24"/>
        </w:rPr>
        <w:t>March</w:t>
      </w:r>
      <w:r w:rsidRPr="00CC6AEB">
        <w:rPr>
          <w:rFonts w:ascii="Book Antiqua" w:hAnsi="Book Antiqua" w:cs="Arial"/>
          <w:bCs/>
          <w:sz w:val="24"/>
          <w:szCs w:val="24"/>
        </w:rPr>
        <w:t xml:space="preserve"> </w:t>
      </w:r>
      <w:r w:rsidR="00D45A5F" w:rsidRPr="00CC6AEB">
        <w:rPr>
          <w:rFonts w:ascii="Book Antiqua" w:hAnsi="Book Antiqua" w:cs="Arial"/>
          <w:bCs/>
          <w:sz w:val="24"/>
          <w:szCs w:val="24"/>
          <w:lang w:eastAsia="zh-CN"/>
        </w:rPr>
        <w:t>9</w:t>
      </w:r>
      <w:r w:rsidRPr="00CC6AEB">
        <w:rPr>
          <w:rFonts w:ascii="Book Antiqua" w:hAnsi="Book Antiqua" w:cs="Arial"/>
          <w:bCs/>
          <w:sz w:val="24"/>
          <w:szCs w:val="24"/>
        </w:rPr>
        <w:t>, 20</w:t>
      </w:r>
      <w:r w:rsidR="00D45A5F" w:rsidRPr="00CC6AEB">
        <w:rPr>
          <w:rFonts w:ascii="Book Antiqua" w:hAnsi="Book Antiqua" w:cs="Arial"/>
          <w:bCs/>
          <w:sz w:val="24"/>
          <w:szCs w:val="24"/>
          <w:lang w:eastAsia="zh-CN"/>
        </w:rPr>
        <w:t>20</w:t>
      </w:r>
    </w:p>
    <w:p w14:paraId="61B5C3AB" w14:textId="268502B6" w:rsidR="00123147" w:rsidRPr="00CC6AEB" w:rsidRDefault="00123147" w:rsidP="00CC6AEB">
      <w:pPr>
        <w:snapToGrid w:val="0"/>
        <w:spacing w:after="0" w:line="360" w:lineRule="auto"/>
        <w:jc w:val="both"/>
        <w:rPr>
          <w:rFonts w:ascii="Book Antiqua" w:hAnsi="Book Antiqua" w:cs="Arial"/>
          <w:bCs/>
          <w:sz w:val="24"/>
          <w:szCs w:val="24"/>
        </w:rPr>
      </w:pPr>
      <w:r w:rsidRPr="00CC6AEB">
        <w:rPr>
          <w:rFonts w:ascii="Book Antiqua" w:hAnsi="Book Antiqua" w:cs="Arial"/>
          <w:b/>
          <w:bCs/>
          <w:sz w:val="24"/>
          <w:szCs w:val="24"/>
        </w:rPr>
        <w:t>Revised:</w:t>
      </w:r>
      <w:r w:rsidRPr="00CC6AEB">
        <w:rPr>
          <w:rFonts w:ascii="Book Antiqua" w:hAnsi="Book Antiqua" w:cs="Arial"/>
          <w:bCs/>
          <w:sz w:val="24"/>
          <w:szCs w:val="24"/>
        </w:rPr>
        <w:t xml:space="preserve"> June </w:t>
      </w:r>
      <w:r w:rsidR="00D45A5F" w:rsidRPr="00CC6AEB">
        <w:rPr>
          <w:rFonts w:ascii="Book Antiqua" w:hAnsi="Book Antiqua" w:cs="Arial"/>
          <w:bCs/>
          <w:sz w:val="24"/>
          <w:szCs w:val="24"/>
          <w:lang w:eastAsia="zh-CN"/>
        </w:rPr>
        <w:t>3</w:t>
      </w:r>
      <w:r w:rsidRPr="00CC6AEB">
        <w:rPr>
          <w:rFonts w:ascii="Book Antiqua" w:hAnsi="Book Antiqua" w:cs="Arial"/>
          <w:bCs/>
          <w:sz w:val="24"/>
          <w:szCs w:val="24"/>
        </w:rPr>
        <w:t>, 20</w:t>
      </w:r>
      <w:r w:rsidR="00D45A5F" w:rsidRPr="00CC6AEB">
        <w:rPr>
          <w:rFonts w:ascii="Book Antiqua" w:hAnsi="Book Antiqua" w:cs="Arial"/>
          <w:bCs/>
          <w:sz w:val="24"/>
          <w:szCs w:val="24"/>
          <w:lang w:eastAsia="zh-CN"/>
        </w:rPr>
        <w:t>20</w:t>
      </w:r>
    </w:p>
    <w:p w14:paraId="1520584E" w14:textId="0BE06F84" w:rsidR="00123147" w:rsidRPr="00CC6AEB" w:rsidRDefault="00123147" w:rsidP="00CC6AEB">
      <w:pPr>
        <w:snapToGrid w:val="0"/>
        <w:spacing w:after="0" w:line="360" w:lineRule="auto"/>
        <w:jc w:val="both"/>
        <w:rPr>
          <w:rFonts w:ascii="Book Antiqua" w:hAnsi="Book Antiqua" w:cs="Arial"/>
          <w:b/>
          <w:bCs/>
          <w:sz w:val="24"/>
          <w:szCs w:val="24"/>
        </w:rPr>
      </w:pPr>
      <w:r w:rsidRPr="00CC6AEB">
        <w:rPr>
          <w:rFonts w:ascii="Book Antiqua" w:hAnsi="Book Antiqua" w:cs="Arial"/>
          <w:b/>
          <w:bCs/>
          <w:sz w:val="24"/>
          <w:szCs w:val="24"/>
        </w:rPr>
        <w:t xml:space="preserve">Accepted: </w:t>
      </w:r>
      <w:r w:rsidR="005D5C8D" w:rsidRPr="005D5C8D">
        <w:rPr>
          <w:rFonts w:ascii="Book Antiqua" w:hAnsi="Book Antiqua" w:cs="Arial"/>
          <w:bCs/>
          <w:sz w:val="24"/>
          <w:szCs w:val="24"/>
        </w:rPr>
        <w:t>August 15, 2020</w:t>
      </w:r>
    </w:p>
    <w:p w14:paraId="3CDA6EC1" w14:textId="14E8725E" w:rsidR="005D35B4" w:rsidRPr="00CC6AEB" w:rsidRDefault="00123147" w:rsidP="00CC6AEB">
      <w:pPr>
        <w:snapToGrid w:val="0"/>
        <w:spacing w:after="0" w:line="360" w:lineRule="auto"/>
        <w:jc w:val="both"/>
        <w:rPr>
          <w:rFonts w:ascii="Book Antiqua" w:hAnsi="Book Antiqua" w:cs="Arial"/>
          <w:b/>
          <w:bCs/>
          <w:sz w:val="24"/>
          <w:szCs w:val="24"/>
        </w:rPr>
      </w:pPr>
      <w:r w:rsidRPr="00CC6AEB">
        <w:rPr>
          <w:rFonts w:ascii="Book Antiqua" w:hAnsi="Book Antiqua" w:cs="Arial"/>
          <w:b/>
          <w:bCs/>
          <w:sz w:val="24"/>
          <w:szCs w:val="24"/>
        </w:rPr>
        <w:t>Published online:</w:t>
      </w:r>
    </w:p>
    <w:p w14:paraId="5A89D1B8" w14:textId="77777777" w:rsidR="00D45A5F" w:rsidRPr="00CC6AEB" w:rsidRDefault="00D45A5F"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br w:type="page"/>
      </w:r>
    </w:p>
    <w:p w14:paraId="218F4670" w14:textId="57C5CE57" w:rsidR="00233CCC" w:rsidRPr="00CC6AEB" w:rsidRDefault="00233CCC"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Abstract</w:t>
      </w:r>
    </w:p>
    <w:p w14:paraId="0AA4A328" w14:textId="162F3256" w:rsidR="00506294" w:rsidRPr="00CC6AEB" w:rsidRDefault="00233CCC" w:rsidP="00CC6AEB">
      <w:pPr>
        <w:snapToGrid w:val="0"/>
        <w:spacing w:after="0" w:line="360" w:lineRule="auto"/>
        <w:jc w:val="both"/>
        <w:rPr>
          <w:rFonts w:ascii="Book Antiqua" w:hAnsi="Book Antiqua" w:cs="Arial"/>
          <w:b/>
          <w:sz w:val="24"/>
          <w:szCs w:val="24"/>
        </w:rPr>
      </w:pPr>
      <w:r w:rsidRPr="00CC6AEB">
        <w:rPr>
          <w:rFonts w:ascii="Book Antiqua" w:eastAsia="Book Antiqua" w:hAnsi="Book Antiqua" w:cs="Arial"/>
          <w:sz w:val="24"/>
          <w:szCs w:val="24"/>
        </w:rPr>
        <w:t>BACKGROUND</w:t>
      </w:r>
    </w:p>
    <w:p w14:paraId="1FD743BD" w14:textId="518F89C1" w:rsidR="005D35B4" w:rsidRPr="00CC6AEB" w:rsidRDefault="005D35B4" w:rsidP="00CC6AEB">
      <w:pPr>
        <w:snapToGrid w:val="0"/>
        <w:spacing w:after="0" w:line="360" w:lineRule="auto"/>
        <w:jc w:val="both"/>
        <w:rPr>
          <w:rFonts w:ascii="Book Antiqua" w:hAnsi="Book Antiqua" w:cs="Arial"/>
          <w:b/>
          <w:sz w:val="24"/>
          <w:szCs w:val="24"/>
        </w:rPr>
      </w:pPr>
      <w:r w:rsidRPr="00CC6AEB">
        <w:rPr>
          <w:rFonts w:ascii="Book Antiqua" w:eastAsia="Book Antiqua" w:hAnsi="Book Antiqua" w:cs="Arial"/>
          <w:sz w:val="24"/>
          <w:szCs w:val="24"/>
        </w:rPr>
        <w:t xml:space="preserve">Recurrent </w:t>
      </w:r>
      <w:bookmarkStart w:id="17" w:name="_Hlk44927626"/>
      <w:r w:rsidRPr="00CC6AEB">
        <w:rPr>
          <w:rFonts w:ascii="Book Antiqua" w:eastAsia="Book Antiqua" w:hAnsi="Book Antiqua" w:cs="Arial"/>
          <w:sz w:val="24"/>
          <w:szCs w:val="24"/>
        </w:rPr>
        <w:t>hepatitis C virus</w:t>
      </w:r>
      <w:bookmarkEnd w:id="17"/>
      <w:r w:rsidRPr="00CC6AEB">
        <w:rPr>
          <w:rFonts w:ascii="Book Antiqua" w:eastAsia="Book Antiqua" w:hAnsi="Book Antiqua" w:cs="Arial"/>
          <w:sz w:val="24"/>
          <w:szCs w:val="24"/>
        </w:rPr>
        <w:t xml:space="preserve"> (HCV) infection of transplanted liver allografts is universal in patients with detectable HCV viremia at the time of transplantation. Direct-acting antiviral (DAA) therapy has been adopted as the standard of care for recurrent HCV infection in the post-transplant setting. However, there are insufficient data regarding its efficacy in liver transplant (LT) recipients with a history of </w:t>
      </w:r>
      <w:bookmarkStart w:id="18" w:name="_Hlk44846323"/>
      <w:bookmarkStart w:id="19" w:name="_Hlk44851001"/>
      <w:r w:rsidRPr="00CC6AEB">
        <w:rPr>
          <w:rFonts w:ascii="Book Antiqua" w:eastAsia="Book Antiqua" w:hAnsi="Book Antiqua" w:cs="Arial"/>
          <w:sz w:val="24"/>
          <w:szCs w:val="24"/>
        </w:rPr>
        <w:t>hepatocellular carcinoma</w:t>
      </w:r>
      <w:bookmarkEnd w:id="18"/>
      <w:r w:rsidRPr="00CC6AEB">
        <w:rPr>
          <w:rFonts w:ascii="Book Antiqua" w:eastAsia="Book Antiqua" w:hAnsi="Book Antiqua" w:cs="Arial"/>
          <w:sz w:val="24"/>
          <w:szCs w:val="24"/>
        </w:rPr>
        <w:t xml:space="preserve"> (HCC)</w:t>
      </w:r>
      <w:bookmarkEnd w:id="19"/>
      <w:r w:rsidRPr="00CC6AEB">
        <w:rPr>
          <w:rFonts w:ascii="Book Antiqua" w:eastAsia="Book Antiqua" w:hAnsi="Book Antiqua" w:cs="Arial"/>
          <w:sz w:val="24"/>
          <w:szCs w:val="24"/>
        </w:rPr>
        <w:t>, and the risk of HCC recurrence after DAA therapy is unknown.</w:t>
      </w:r>
    </w:p>
    <w:p w14:paraId="12A4673C"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p>
    <w:p w14:paraId="32326B5B" w14:textId="0F53FF67" w:rsidR="005D35B4"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AIM</w:t>
      </w:r>
    </w:p>
    <w:p w14:paraId="70801273" w14:textId="56DDCDDB" w:rsidR="005D35B4" w:rsidRPr="00CC6AEB" w:rsidRDefault="005D35B4" w:rsidP="00CC6AEB">
      <w:pPr>
        <w:snapToGrid w:val="0"/>
        <w:spacing w:after="0" w:line="360" w:lineRule="auto"/>
        <w:jc w:val="both"/>
        <w:rPr>
          <w:rFonts w:ascii="Book Antiqua" w:hAnsi="Book Antiqua" w:cs="Arial"/>
          <w:sz w:val="24"/>
          <w:szCs w:val="24"/>
        </w:rPr>
      </w:pPr>
      <w:r w:rsidRPr="00CC6AEB">
        <w:rPr>
          <w:rFonts w:ascii="Book Antiqua" w:eastAsia="Book Antiqua" w:hAnsi="Book Antiqua" w:cs="Arial"/>
          <w:sz w:val="24"/>
          <w:szCs w:val="24"/>
        </w:rPr>
        <w:t>T</w:t>
      </w:r>
      <w:r w:rsidR="00115CEA" w:rsidRPr="00CC6AEB">
        <w:rPr>
          <w:rFonts w:ascii="Book Antiqua" w:eastAsia="Book Antiqua" w:hAnsi="Book Antiqua" w:cs="Arial"/>
          <w:sz w:val="24"/>
          <w:szCs w:val="24"/>
        </w:rPr>
        <w:t>o demonstrate predictors of DAA treatment failure and HCC recurrence in LT recipients.</w:t>
      </w:r>
    </w:p>
    <w:p w14:paraId="53E93341" w14:textId="77777777" w:rsidR="005D35B4" w:rsidRPr="00CC6AEB" w:rsidRDefault="005D35B4" w:rsidP="00CC6AEB">
      <w:pPr>
        <w:snapToGrid w:val="0"/>
        <w:spacing w:after="0" w:line="360" w:lineRule="auto"/>
        <w:jc w:val="both"/>
        <w:rPr>
          <w:rFonts w:ascii="Book Antiqua" w:hAnsi="Book Antiqua" w:cs="Arial"/>
          <w:sz w:val="24"/>
          <w:szCs w:val="24"/>
        </w:rPr>
      </w:pPr>
    </w:p>
    <w:p w14:paraId="42F8F1C3" w14:textId="77777777" w:rsidR="006079E0" w:rsidRPr="00CC6AEB" w:rsidRDefault="006079E0"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METHODS</w:t>
      </w:r>
    </w:p>
    <w:p w14:paraId="70360E44" w14:textId="635F9F3A" w:rsidR="005D35B4" w:rsidRPr="00CC6AEB" w:rsidRDefault="00115CEA" w:rsidP="00CC6AEB">
      <w:pPr>
        <w:snapToGrid w:val="0"/>
        <w:spacing w:after="0" w:line="360" w:lineRule="auto"/>
        <w:jc w:val="both"/>
        <w:rPr>
          <w:rFonts w:ascii="Book Antiqua" w:hAnsi="Book Antiqua" w:cs="Arial"/>
          <w:sz w:val="24"/>
          <w:szCs w:val="24"/>
        </w:rPr>
      </w:pPr>
      <w:r w:rsidRPr="00CC6AEB">
        <w:rPr>
          <w:rFonts w:ascii="Book Antiqua" w:eastAsia="Book Antiqua" w:hAnsi="Book Antiqua" w:cs="Arial"/>
          <w:sz w:val="24"/>
          <w:szCs w:val="24"/>
        </w:rPr>
        <w:t>A total of 106 LT recipients given DAAs for recurrent HCV infection from 2015 to 2019 were identified (68 with and 38 without HCC). Descriptive statistics and logistic regression models were used to estimate the multivariate odds ratios and respective 95% confidence intervals for predictors of treatment failure and HCC recurrence.</w:t>
      </w:r>
    </w:p>
    <w:p w14:paraId="46FD6D6A" w14:textId="77777777" w:rsidR="005D35B4" w:rsidRPr="00CC6AEB" w:rsidRDefault="005D35B4" w:rsidP="00CC6AEB">
      <w:pPr>
        <w:snapToGrid w:val="0"/>
        <w:spacing w:after="0" w:line="360" w:lineRule="auto"/>
        <w:jc w:val="both"/>
        <w:rPr>
          <w:rFonts w:ascii="Book Antiqua" w:hAnsi="Book Antiqua" w:cs="Arial"/>
          <w:sz w:val="24"/>
          <w:szCs w:val="24"/>
        </w:rPr>
      </w:pPr>
    </w:p>
    <w:p w14:paraId="6F0ECBD4"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RESULTS</w:t>
      </w:r>
    </w:p>
    <w:p w14:paraId="21EE8468" w14:textId="38608922" w:rsidR="005D35B4" w:rsidRPr="00CC6AEB" w:rsidRDefault="00115CEA"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Six patients (6%) experienced DAA therapy failure</w:t>
      </w:r>
      <w:r w:rsidR="00ED544E" w:rsidRPr="00CC6AEB">
        <w:rPr>
          <w:rFonts w:ascii="Book Antiqua" w:eastAsia="Book Antiqua" w:hAnsi="Book Antiqua" w:cs="Arial"/>
          <w:sz w:val="24"/>
          <w:szCs w:val="24"/>
        </w:rPr>
        <w:t xml:space="preserve"> post-LT</w:t>
      </w:r>
      <w:r w:rsidRPr="00CC6AEB">
        <w:rPr>
          <w:rFonts w:ascii="Book Antiqua" w:eastAsia="Book Antiqua" w:hAnsi="Book Antiqua" w:cs="Arial"/>
          <w:sz w:val="24"/>
          <w:szCs w:val="24"/>
        </w:rPr>
        <w:t xml:space="preserve"> and 100 (94%) had a </w:t>
      </w:r>
      <w:bookmarkStart w:id="20" w:name="OLE_LINK2"/>
      <w:bookmarkStart w:id="21" w:name="OLE_LINK3"/>
      <w:r w:rsidRPr="00CC6AEB">
        <w:rPr>
          <w:rFonts w:ascii="Book Antiqua" w:eastAsia="Book Antiqua" w:hAnsi="Book Antiqua" w:cs="Arial"/>
          <w:sz w:val="24"/>
          <w:szCs w:val="24"/>
        </w:rPr>
        <w:t>sustained virologic response</w:t>
      </w:r>
      <w:bookmarkEnd w:id="20"/>
      <w:bookmarkEnd w:id="21"/>
      <w:r w:rsidRPr="00CC6AEB">
        <w:rPr>
          <w:rFonts w:ascii="Book Antiqua" w:eastAsia="Book Antiqua" w:hAnsi="Book Antiqua" w:cs="Arial"/>
          <w:sz w:val="24"/>
          <w:szCs w:val="24"/>
        </w:rPr>
        <w:t xml:space="preserve"> at follow-up week 12. A high alanine transaminase level &gt;</w:t>
      </w:r>
      <w:r w:rsidR="006364B7"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35 U/L at treatment week 4 was a significant predictor of treatment failure. </w:t>
      </w:r>
      <w:r w:rsidR="00BE5099" w:rsidRPr="00CC6AEB">
        <w:rPr>
          <w:rFonts w:ascii="Book Antiqua" w:eastAsia="Book Antiqua" w:hAnsi="Book Antiqua" w:cs="Arial"/>
          <w:sz w:val="24"/>
          <w:szCs w:val="24"/>
        </w:rPr>
        <w:t>Relapse to p</w:t>
      </w:r>
      <w:r w:rsidR="00BE6056" w:rsidRPr="00CC6AEB">
        <w:rPr>
          <w:rFonts w:ascii="Book Antiqua" w:eastAsia="Book Antiqua" w:hAnsi="Book Antiqua" w:cs="Arial"/>
          <w:sz w:val="24"/>
          <w:szCs w:val="24"/>
        </w:rPr>
        <w:t xml:space="preserve">re-LT DAA </w:t>
      </w:r>
      <w:r w:rsidR="00BE5099" w:rsidRPr="00CC6AEB">
        <w:rPr>
          <w:rFonts w:ascii="Book Antiqua" w:eastAsia="Book Antiqua" w:hAnsi="Book Antiqua" w:cs="Arial"/>
          <w:sz w:val="24"/>
          <w:szCs w:val="24"/>
        </w:rPr>
        <w:t xml:space="preserve">therapy </w:t>
      </w:r>
      <w:r w:rsidR="00BE6056" w:rsidRPr="00CC6AEB">
        <w:rPr>
          <w:rFonts w:ascii="Book Antiqua" w:eastAsia="Book Antiqua" w:hAnsi="Book Antiqua" w:cs="Arial"/>
          <w:sz w:val="24"/>
          <w:szCs w:val="24"/>
        </w:rPr>
        <w:t xml:space="preserve">is a predictor of post-LT HCC recurrence, </w:t>
      </w:r>
      <w:r w:rsidR="00BE6056" w:rsidRPr="00CC6AEB">
        <w:rPr>
          <w:rFonts w:ascii="Book Antiqua" w:eastAsia="Book Antiqua" w:hAnsi="Book Antiqua" w:cs="Arial"/>
          <w:i/>
          <w:sz w:val="24"/>
          <w:szCs w:val="24"/>
        </w:rPr>
        <w:t>P</w:t>
      </w:r>
      <w:r w:rsidR="00BE6056" w:rsidRPr="00CC6AEB">
        <w:rPr>
          <w:rFonts w:ascii="Book Antiqua" w:eastAsia="Book Antiqua" w:hAnsi="Book Antiqua" w:cs="Arial"/>
          <w:sz w:val="24"/>
          <w:szCs w:val="24"/>
        </w:rPr>
        <w:t xml:space="preserve"> =</w:t>
      </w:r>
      <w:r w:rsidR="006364B7" w:rsidRPr="00CC6AEB">
        <w:rPr>
          <w:rFonts w:ascii="Book Antiqua" w:eastAsia="Book Antiqua" w:hAnsi="Book Antiqua" w:cs="Arial"/>
          <w:sz w:val="24"/>
          <w:szCs w:val="24"/>
        </w:rPr>
        <w:t xml:space="preserve"> 0</w:t>
      </w:r>
      <w:r w:rsidR="00BE6056" w:rsidRPr="00CC6AEB">
        <w:rPr>
          <w:rFonts w:ascii="Book Antiqua" w:eastAsia="Book Antiqua" w:hAnsi="Book Antiqua" w:cs="Arial"/>
          <w:sz w:val="24"/>
          <w:szCs w:val="24"/>
        </w:rPr>
        <w:t xml:space="preserve">.04. </w:t>
      </w:r>
      <w:r w:rsidRPr="00CC6AEB">
        <w:rPr>
          <w:rFonts w:ascii="Book Antiqua" w:eastAsia="Book Antiqua" w:hAnsi="Book Antiqua" w:cs="Arial"/>
          <w:sz w:val="24"/>
          <w:szCs w:val="24"/>
        </w:rPr>
        <w:t xml:space="preserve">DAA </w:t>
      </w:r>
      <w:r w:rsidR="00ED544E" w:rsidRPr="00CC6AEB">
        <w:rPr>
          <w:rFonts w:ascii="Book Antiqua" w:eastAsia="Book Antiqua" w:hAnsi="Book Antiqua" w:cs="Arial"/>
          <w:sz w:val="24"/>
          <w:szCs w:val="24"/>
        </w:rPr>
        <w:t>relapse post-LT</w:t>
      </w:r>
      <w:r w:rsidRPr="00CC6AEB">
        <w:rPr>
          <w:rFonts w:ascii="Book Antiqua" w:eastAsia="Book Antiqua" w:hAnsi="Book Antiqua" w:cs="Arial"/>
          <w:sz w:val="24"/>
          <w:szCs w:val="24"/>
        </w:rPr>
        <w:t xml:space="preserve"> was </w:t>
      </w:r>
      <w:r w:rsidR="00BE5099" w:rsidRPr="00CC6AEB">
        <w:rPr>
          <w:rFonts w:ascii="Book Antiqua" w:eastAsia="Book Antiqua" w:hAnsi="Book Antiqua" w:cs="Arial"/>
          <w:sz w:val="24"/>
          <w:szCs w:val="24"/>
        </w:rPr>
        <w:t xml:space="preserve">also </w:t>
      </w:r>
      <w:r w:rsidRPr="00CC6AEB">
        <w:rPr>
          <w:rFonts w:ascii="Book Antiqua" w:eastAsia="Book Antiqua" w:hAnsi="Book Antiqua" w:cs="Arial"/>
          <w:sz w:val="24"/>
          <w:szCs w:val="24"/>
        </w:rPr>
        <w:t xml:space="preserve">associated with post-transplantation HCC recurrence,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6364B7" w:rsidRPr="00CC6AEB">
        <w:rPr>
          <w:rFonts w:ascii="Book Antiqua" w:eastAsia="Book Antiqua" w:hAnsi="Book Antiqua" w:cs="Arial"/>
          <w:sz w:val="24"/>
          <w:szCs w:val="24"/>
        </w:rPr>
        <w:t>0</w:t>
      </w:r>
      <w:r w:rsidRPr="00CC6AEB">
        <w:rPr>
          <w:rFonts w:ascii="Book Antiqua" w:eastAsia="Book Antiqua" w:hAnsi="Book Antiqua" w:cs="Arial"/>
          <w:sz w:val="24"/>
          <w:szCs w:val="24"/>
        </w:rPr>
        <w:t>.05.</w:t>
      </w:r>
    </w:p>
    <w:p w14:paraId="36796715"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p>
    <w:p w14:paraId="6667C180" w14:textId="6F700AF0" w:rsidR="005D35B4" w:rsidRPr="00CC6AEB" w:rsidRDefault="00233CCC" w:rsidP="00CC6AEB">
      <w:pPr>
        <w:snapToGrid w:val="0"/>
        <w:spacing w:after="0" w:line="360" w:lineRule="auto"/>
        <w:jc w:val="both"/>
        <w:rPr>
          <w:rFonts w:ascii="Book Antiqua" w:hAnsi="Book Antiqua" w:cs="Arial"/>
          <w:b/>
          <w:sz w:val="24"/>
          <w:szCs w:val="24"/>
        </w:rPr>
      </w:pPr>
      <w:r w:rsidRPr="00CC6AEB">
        <w:rPr>
          <w:rFonts w:ascii="Book Antiqua" w:eastAsia="Book Antiqua" w:hAnsi="Book Antiqua" w:cs="Arial"/>
          <w:sz w:val="24"/>
          <w:szCs w:val="24"/>
        </w:rPr>
        <w:t>CONCLUSION</w:t>
      </w:r>
    </w:p>
    <w:p w14:paraId="108E0B36" w14:textId="6337954E" w:rsidR="00233CCC" w:rsidRPr="00CC6AEB" w:rsidRDefault="004124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DAAs are effective and safe in the treatment of recurrent HCV infection in LT recipients with history of HCC.</w:t>
      </w:r>
      <w:r w:rsidR="004A5574" w:rsidRPr="00CC6AEB">
        <w:rPr>
          <w:rFonts w:ascii="Book Antiqua" w:eastAsia="Book Antiqua" w:hAnsi="Book Antiqua" w:cs="Arial"/>
          <w:sz w:val="24"/>
          <w:szCs w:val="24"/>
        </w:rPr>
        <w:t xml:space="preserve"> Relapse to pre- and post-LT DAA therapy is associated with</w:t>
      </w:r>
      <w:r w:rsidRPr="00CC6AEB">
        <w:rPr>
          <w:rFonts w:ascii="Book Antiqua" w:eastAsia="Book Antiqua" w:hAnsi="Book Antiqua" w:cs="Arial"/>
          <w:sz w:val="24"/>
          <w:szCs w:val="24"/>
        </w:rPr>
        <w:t xml:space="preserve"> post-transplantation HCC recurrence.</w:t>
      </w:r>
    </w:p>
    <w:p w14:paraId="72BA62B6" w14:textId="77777777" w:rsidR="00233CCC" w:rsidRPr="00CC6AEB" w:rsidRDefault="00233CCC" w:rsidP="00CC6AEB">
      <w:pPr>
        <w:snapToGrid w:val="0"/>
        <w:spacing w:after="0" w:line="360" w:lineRule="auto"/>
        <w:jc w:val="both"/>
        <w:rPr>
          <w:rFonts w:ascii="Book Antiqua" w:hAnsi="Book Antiqua" w:cs="Arial"/>
          <w:b/>
          <w:sz w:val="24"/>
          <w:szCs w:val="24"/>
        </w:rPr>
      </w:pPr>
    </w:p>
    <w:p w14:paraId="7369D7A0" w14:textId="038C1AB4"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Key</w:t>
      </w:r>
      <w:r w:rsidR="006364B7"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words:</w:t>
      </w:r>
      <w:r w:rsidRPr="00CC6AEB">
        <w:rPr>
          <w:rFonts w:ascii="Book Antiqua" w:hAnsi="Book Antiqua" w:cs="Arial"/>
          <w:i/>
          <w:sz w:val="24"/>
          <w:szCs w:val="24"/>
        </w:rPr>
        <w:t xml:space="preserve"> </w:t>
      </w:r>
      <w:bookmarkStart w:id="22" w:name="OLE_LINK22"/>
      <w:bookmarkStart w:id="23" w:name="OLE_LINK23"/>
      <w:r w:rsidRPr="00CC6AEB">
        <w:rPr>
          <w:rFonts w:ascii="Book Antiqua" w:eastAsia="Book Antiqua" w:hAnsi="Book Antiqua" w:cs="Arial"/>
          <w:sz w:val="24"/>
          <w:szCs w:val="24"/>
        </w:rPr>
        <w:t>Direct-acting antiviral</w:t>
      </w:r>
      <w:bookmarkEnd w:id="22"/>
      <w:bookmarkEnd w:id="23"/>
      <w:r w:rsidRPr="00CC6AEB">
        <w:rPr>
          <w:rFonts w:ascii="Book Antiqua" w:eastAsia="Book Antiqua" w:hAnsi="Book Antiqua" w:cs="Arial"/>
          <w:sz w:val="24"/>
          <w:szCs w:val="24"/>
        </w:rPr>
        <w:t xml:space="preserve">; </w:t>
      </w:r>
      <w:bookmarkStart w:id="24" w:name="OLE_LINK24"/>
      <w:bookmarkStart w:id="25" w:name="OLE_LINK25"/>
      <w:r w:rsidRPr="00CC6AEB">
        <w:rPr>
          <w:rFonts w:ascii="Book Antiqua" w:eastAsia="Book Antiqua" w:hAnsi="Book Antiqua" w:cs="Arial"/>
          <w:caps/>
          <w:sz w:val="24"/>
          <w:szCs w:val="24"/>
        </w:rPr>
        <w:t>l</w:t>
      </w:r>
      <w:r w:rsidRPr="00CC6AEB">
        <w:rPr>
          <w:rFonts w:ascii="Book Antiqua" w:eastAsia="Book Antiqua" w:hAnsi="Book Antiqua" w:cs="Arial"/>
          <w:sz w:val="24"/>
          <w:szCs w:val="24"/>
        </w:rPr>
        <w:t>iver transplant</w:t>
      </w:r>
      <w:bookmarkEnd w:id="24"/>
      <w:bookmarkEnd w:id="25"/>
      <w:r w:rsidRPr="00CC6AEB">
        <w:rPr>
          <w:rFonts w:ascii="Book Antiqua" w:eastAsia="Book Antiqua" w:hAnsi="Book Antiqua" w:cs="Arial"/>
          <w:sz w:val="24"/>
          <w:szCs w:val="24"/>
        </w:rPr>
        <w:t xml:space="preserve">; </w:t>
      </w:r>
      <w:bookmarkStart w:id="26" w:name="OLE_LINK26"/>
      <w:bookmarkStart w:id="27" w:name="OLE_LINK27"/>
      <w:r w:rsidRPr="00CC6AEB">
        <w:rPr>
          <w:rFonts w:ascii="Book Antiqua" w:eastAsia="Book Antiqua" w:hAnsi="Book Antiqua" w:cs="Arial"/>
          <w:caps/>
          <w:sz w:val="24"/>
          <w:szCs w:val="24"/>
        </w:rPr>
        <w:t>h</w:t>
      </w:r>
      <w:r w:rsidRPr="00CC6AEB">
        <w:rPr>
          <w:rFonts w:ascii="Book Antiqua" w:eastAsia="Book Antiqua" w:hAnsi="Book Antiqua" w:cs="Arial"/>
          <w:sz w:val="24"/>
          <w:szCs w:val="24"/>
        </w:rPr>
        <w:t>epatocellular carcinoma</w:t>
      </w:r>
      <w:bookmarkEnd w:id="26"/>
      <w:bookmarkEnd w:id="27"/>
      <w:r w:rsidRPr="00CC6AEB">
        <w:rPr>
          <w:rFonts w:ascii="Book Antiqua" w:eastAsia="Book Antiqua" w:hAnsi="Book Antiqua" w:cs="Arial"/>
          <w:sz w:val="24"/>
          <w:szCs w:val="24"/>
        </w:rPr>
        <w:t xml:space="preserve">; </w:t>
      </w:r>
      <w:bookmarkStart w:id="28" w:name="OLE_LINK28"/>
      <w:bookmarkStart w:id="29" w:name="OLE_LINK29"/>
      <w:r w:rsidRPr="00CC6AEB">
        <w:rPr>
          <w:rFonts w:ascii="Book Antiqua" w:eastAsia="Book Antiqua" w:hAnsi="Book Antiqua" w:cs="Arial"/>
          <w:caps/>
          <w:sz w:val="24"/>
          <w:szCs w:val="24"/>
        </w:rPr>
        <w:t>r</w:t>
      </w:r>
      <w:r w:rsidRPr="00CC6AEB">
        <w:rPr>
          <w:rFonts w:ascii="Book Antiqua" w:eastAsia="Book Antiqua" w:hAnsi="Book Antiqua" w:cs="Arial"/>
          <w:sz w:val="24"/>
          <w:szCs w:val="24"/>
        </w:rPr>
        <w:t>ecurrence</w:t>
      </w:r>
      <w:bookmarkEnd w:id="28"/>
      <w:bookmarkEnd w:id="29"/>
    </w:p>
    <w:p w14:paraId="3E820A8A" w14:textId="7CD49B1D" w:rsidR="00233CCC" w:rsidRPr="00CC6AEB" w:rsidRDefault="00233CCC" w:rsidP="00CC6AEB">
      <w:pPr>
        <w:snapToGrid w:val="0"/>
        <w:spacing w:after="0" w:line="360" w:lineRule="auto"/>
        <w:jc w:val="both"/>
        <w:rPr>
          <w:rFonts w:ascii="Book Antiqua" w:hAnsi="Book Antiqua"/>
          <w:b/>
          <w:color w:val="000000"/>
          <w:sz w:val="24"/>
          <w:szCs w:val="24"/>
        </w:rPr>
      </w:pPr>
    </w:p>
    <w:p w14:paraId="64456C7C" w14:textId="41E5ED14" w:rsidR="006364B7" w:rsidRPr="00CC6AEB" w:rsidRDefault="006364B7" w:rsidP="00CC6AEB">
      <w:pPr>
        <w:snapToGrid w:val="0"/>
        <w:spacing w:after="0" w:line="360" w:lineRule="auto"/>
        <w:jc w:val="both"/>
        <w:rPr>
          <w:rFonts w:ascii="Book Antiqua" w:eastAsia="Book Antiqua" w:hAnsi="Book Antiqua" w:cs="Arial"/>
          <w:sz w:val="24"/>
          <w:szCs w:val="24"/>
        </w:rPr>
      </w:pPr>
      <w:bookmarkStart w:id="30" w:name="OLE_LINK14"/>
      <w:bookmarkStart w:id="31" w:name="OLE_LINK15"/>
      <w:r w:rsidRPr="00CC6AEB">
        <w:rPr>
          <w:rFonts w:ascii="Book Antiqua" w:eastAsia="Book Antiqua" w:hAnsi="Book Antiqua" w:cs="Arial"/>
          <w:sz w:val="24"/>
          <w:szCs w:val="24"/>
        </w:rPr>
        <w:t>Ismail MS</w:t>
      </w:r>
      <w:r w:rsidR="005D35B4"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Hassan M</w:t>
      </w:r>
      <w:r w:rsidR="005D35B4" w:rsidRPr="00CC6AEB">
        <w:rPr>
          <w:rFonts w:ascii="Book Antiqua" w:eastAsia="Book Antiqua" w:hAnsi="Book Antiqua" w:cs="Arial"/>
          <w:sz w:val="24"/>
          <w:szCs w:val="24"/>
        </w:rPr>
        <w:t xml:space="preserve">, </w:t>
      </w:r>
      <w:proofErr w:type="spellStart"/>
      <w:r w:rsidR="000D3100" w:rsidRPr="00CC6AEB">
        <w:rPr>
          <w:rFonts w:ascii="Book Antiqua" w:eastAsia="Book Antiqua" w:hAnsi="Book Antiqua" w:cs="Arial"/>
          <w:sz w:val="24"/>
          <w:szCs w:val="24"/>
        </w:rPr>
        <w:t>Khaderi</w:t>
      </w:r>
      <w:proofErr w:type="spellEnd"/>
      <w:r w:rsidR="000D3100" w:rsidRPr="00CC6AEB">
        <w:rPr>
          <w:rFonts w:ascii="Book Antiqua" w:eastAsia="Book Antiqua" w:hAnsi="Book Antiqua" w:cs="Arial"/>
          <w:sz w:val="24"/>
          <w:szCs w:val="24"/>
        </w:rPr>
        <w:t xml:space="preserve"> SA</w:t>
      </w:r>
      <w:r w:rsidR="005D35B4" w:rsidRPr="00CC6AEB">
        <w:rPr>
          <w:rFonts w:ascii="Book Antiqua" w:eastAsia="Book Antiqua" w:hAnsi="Book Antiqua" w:cs="Arial"/>
          <w:sz w:val="24"/>
          <w:szCs w:val="24"/>
        </w:rPr>
        <w:t xml:space="preserve">, </w:t>
      </w:r>
      <w:proofErr w:type="spellStart"/>
      <w:r w:rsidR="000D3100" w:rsidRPr="00CC6AEB">
        <w:rPr>
          <w:rFonts w:ascii="Book Antiqua" w:eastAsia="Book Antiqua" w:hAnsi="Book Antiqua" w:cs="Arial"/>
          <w:sz w:val="24"/>
          <w:szCs w:val="24"/>
        </w:rPr>
        <w:t>Yousry</w:t>
      </w:r>
      <w:proofErr w:type="spellEnd"/>
      <w:r w:rsidR="000D3100" w:rsidRPr="00CC6AEB">
        <w:rPr>
          <w:rFonts w:ascii="Book Antiqua" w:eastAsia="Book Antiqua" w:hAnsi="Book Antiqua" w:cs="Arial"/>
          <w:sz w:val="24"/>
          <w:szCs w:val="24"/>
        </w:rPr>
        <w:t xml:space="preserve"> WA</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Kamal El-Din MM</w:t>
      </w:r>
      <w:r w:rsidR="005D35B4" w:rsidRPr="00CC6AEB">
        <w:rPr>
          <w:rFonts w:ascii="Book Antiqua" w:eastAsia="Book Antiqua" w:hAnsi="Book Antiqua" w:cs="Arial"/>
          <w:sz w:val="24"/>
          <w:szCs w:val="24"/>
        </w:rPr>
        <w:t xml:space="preserve">, </w:t>
      </w:r>
      <w:proofErr w:type="spellStart"/>
      <w:r w:rsidR="00C31309" w:rsidRPr="00CC6AEB">
        <w:rPr>
          <w:rFonts w:ascii="Book Antiqua" w:eastAsia="Book Antiqua" w:hAnsi="Book Antiqua" w:cs="Arial"/>
          <w:sz w:val="24"/>
          <w:szCs w:val="24"/>
        </w:rPr>
        <w:t>Bahaa</w:t>
      </w:r>
      <w:proofErr w:type="spellEnd"/>
      <w:r w:rsidR="00C31309" w:rsidRPr="00CC6AEB">
        <w:rPr>
          <w:rFonts w:ascii="Book Antiqua" w:eastAsia="Book Antiqua" w:hAnsi="Book Antiqua" w:cs="Arial"/>
          <w:sz w:val="24"/>
          <w:szCs w:val="24"/>
        </w:rPr>
        <w:t xml:space="preserve"> El-Din MM</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El Sayed OA</w:t>
      </w:r>
      <w:r w:rsidR="005D35B4" w:rsidRPr="00CC6AEB">
        <w:rPr>
          <w:rFonts w:ascii="Book Antiqua" w:eastAsia="Book Antiqua" w:hAnsi="Book Antiqua" w:cs="Arial"/>
          <w:sz w:val="24"/>
          <w:szCs w:val="24"/>
        </w:rPr>
        <w:t xml:space="preserve">, </w:t>
      </w:r>
      <w:proofErr w:type="spellStart"/>
      <w:r w:rsidR="000D3100" w:rsidRPr="00CC6AEB">
        <w:rPr>
          <w:rFonts w:ascii="Book Antiqua" w:eastAsia="Book Antiqua" w:hAnsi="Book Antiqua" w:cs="Arial"/>
          <w:sz w:val="24"/>
          <w:szCs w:val="24"/>
        </w:rPr>
        <w:t>Kaseb</w:t>
      </w:r>
      <w:proofErr w:type="spellEnd"/>
      <w:r w:rsidR="000D3100" w:rsidRPr="00CC6AEB">
        <w:rPr>
          <w:rFonts w:ascii="Book Antiqua" w:eastAsia="Book Antiqua" w:hAnsi="Book Antiqua" w:cs="Arial"/>
          <w:sz w:val="24"/>
          <w:szCs w:val="24"/>
        </w:rPr>
        <w:t xml:space="preserve"> AO</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Goss JA</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Kanwal F</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Jalal PK</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 xml:space="preserve">Clinical efficacy of </w:t>
      </w:r>
      <w:r w:rsidR="007A5ACC" w:rsidRPr="00CC6AEB">
        <w:rPr>
          <w:rFonts w:ascii="Book Antiqua" w:eastAsia="Book Antiqua" w:hAnsi="Book Antiqua" w:cs="Arial"/>
          <w:sz w:val="24"/>
          <w:szCs w:val="24"/>
        </w:rPr>
        <w:t>d</w:t>
      </w:r>
      <w:r w:rsidR="000D3100" w:rsidRPr="00CC6AEB">
        <w:rPr>
          <w:rFonts w:ascii="Book Antiqua" w:eastAsia="Book Antiqua" w:hAnsi="Book Antiqua" w:cs="Arial"/>
          <w:sz w:val="24"/>
          <w:szCs w:val="24"/>
        </w:rPr>
        <w:t>irect-acting antiviral therapy for recurrent hepatitis C virus infection after liver transplantation in patients with hepatocellular carcinoma</w:t>
      </w:r>
      <w:r w:rsidR="005D35B4" w:rsidRPr="00CC6AEB">
        <w:rPr>
          <w:rFonts w:ascii="Book Antiqua" w:eastAsia="Book Antiqua" w:hAnsi="Book Antiqua" w:cs="Arial"/>
          <w:sz w:val="24"/>
          <w:szCs w:val="24"/>
        </w:rPr>
        <w:t xml:space="preserve">. </w:t>
      </w:r>
      <w:r w:rsidR="00C31309" w:rsidRPr="00CC6AEB">
        <w:rPr>
          <w:rFonts w:ascii="Book Antiqua" w:eastAsia="Book Antiqua" w:hAnsi="Book Antiqua"/>
          <w:i/>
          <w:sz w:val="24"/>
          <w:szCs w:val="24"/>
        </w:rPr>
        <w:t xml:space="preserve">World J Hepatol </w:t>
      </w:r>
      <w:r w:rsidR="00C31309" w:rsidRPr="00CC6AEB">
        <w:rPr>
          <w:rFonts w:ascii="Book Antiqua" w:eastAsia="Book Antiqua" w:hAnsi="Book Antiqua"/>
          <w:sz w:val="24"/>
          <w:szCs w:val="24"/>
        </w:rPr>
        <w:t>2020; In press</w:t>
      </w:r>
    </w:p>
    <w:bookmarkEnd w:id="30"/>
    <w:bookmarkEnd w:id="31"/>
    <w:p w14:paraId="034F9C21" w14:textId="5935FDFB" w:rsidR="005D35B4" w:rsidRPr="00CC6AEB" w:rsidRDefault="005D35B4" w:rsidP="00CC6AEB">
      <w:pPr>
        <w:snapToGrid w:val="0"/>
        <w:spacing w:after="0" w:line="360" w:lineRule="auto"/>
        <w:jc w:val="both"/>
        <w:rPr>
          <w:rFonts w:ascii="Book Antiqua" w:eastAsia="Book Antiqua" w:hAnsi="Book Antiqua" w:cs="Arial"/>
          <w:sz w:val="24"/>
          <w:szCs w:val="24"/>
        </w:rPr>
      </w:pPr>
    </w:p>
    <w:p w14:paraId="7257B8DC" w14:textId="2CC4E31F" w:rsidR="00290358" w:rsidRPr="00CC6AEB" w:rsidRDefault="006A716F"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t>Core tip:</w:t>
      </w:r>
      <w:r w:rsidR="007A5ACC" w:rsidRPr="00CC6AEB">
        <w:rPr>
          <w:rFonts w:ascii="Book Antiqua" w:eastAsia="Book Antiqua" w:hAnsi="Book Antiqua" w:cs="Arial"/>
          <w:b/>
          <w:sz w:val="24"/>
          <w:szCs w:val="24"/>
        </w:rPr>
        <w:t xml:space="preserve"> </w:t>
      </w:r>
      <w:bookmarkStart w:id="32" w:name="OLE_LINK30"/>
      <w:bookmarkStart w:id="33" w:name="OLE_LINK31"/>
      <w:bookmarkStart w:id="34" w:name="OLE_LINK32"/>
      <w:r w:rsidR="00005185" w:rsidRPr="00CC6AEB">
        <w:rPr>
          <w:rFonts w:ascii="Book Antiqua" w:eastAsia="Book Antiqua" w:hAnsi="Book Antiqua" w:cs="Arial"/>
          <w:sz w:val="24"/>
          <w:szCs w:val="24"/>
        </w:rPr>
        <w:t xml:space="preserve">Our study is the first to find an association between </w:t>
      </w:r>
      <w:r w:rsidR="007A5ACC" w:rsidRPr="00CC6AEB">
        <w:rPr>
          <w:rFonts w:ascii="Book Antiqua" w:eastAsia="Book Antiqua" w:hAnsi="Book Antiqua" w:cs="Arial"/>
          <w:sz w:val="24"/>
          <w:szCs w:val="24"/>
        </w:rPr>
        <w:t>d</w:t>
      </w:r>
      <w:r w:rsidR="00124216" w:rsidRPr="00CC6AEB">
        <w:rPr>
          <w:rFonts w:ascii="Book Antiqua" w:eastAsia="Book Antiqua" w:hAnsi="Book Antiqua" w:cs="Arial"/>
          <w:sz w:val="24"/>
          <w:szCs w:val="24"/>
        </w:rPr>
        <w:t>irect-acting antiviral</w:t>
      </w:r>
      <w:r w:rsidR="00005185" w:rsidRPr="00CC6AEB">
        <w:rPr>
          <w:rFonts w:ascii="Book Antiqua" w:eastAsia="Book Antiqua" w:hAnsi="Book Antiqua" w:cs="Arial"/>
          <w:sz w:val="24"/>
          <w:szCs w:val="24"/>
        </w:rPr>
        <w:t xml:space="preserve"> relapse and </w:t>
      </w:r>
      <w:r w:rsidR="00124216" w:rsidRPr="00CC6AEB">
        <w:rPr>
          <w:rFonts w:ascii="Book Antiqua" w:eastAsia="Book Antiqua" w:hAnsi="Book Antiqua" w:cs="Arial"/>
          <w:sz w:val="24"/>
          <w:szCs w:val="24"/>
        </w:rPr>
        <w:t>hepatocellular carcinoma (HCC)</w:t>
      </w:r>
      <w:r w:rsidR="00005185" w:rsidRPr="00CC6AEB">
        <w:rPr>
          <w:rFonts w:ascii="Book Antiqua" w:eastAsia="Book Antiqua" w:hAnsi="Book Antiqua" w:cs="Arial"/>
          <w:sz w:val="24"/>
          <w:szCs w:val="24"/>
        </w:rPr>
        <w:t xml:space="preserve"> recurrence in patients with past history of HCC pre-transplant. Also, our study is the first to highlight high </w:t>
      </w:r>
      <w:r w:rsidR="007A5ACC" w:rsidRPr="00CC6AEB">
        <w:rPr>
          <w:rFonts w:ascii="Book Antiqua" w:eastAsia="Book Antiqua" w:hAnsi="Book Antiqua" w:cs="Arial"/>
          <w:sz w:val="24"/>
          <w:szCs w:val="24"/>
        </w:rPr>
        <w:t>sustained virologic response</w:t>
      </w:r>
      <w:r w:rsidR="00005185" w:rsidRPr="00CC6AEB">
        <w:rPr>
          <w:rFonts w:ascii="Book Antiqua" w:eastAsia="Book Antiqua" w:hAnsi="Book Antiqua" w:cs="Arial"/>
          <w:sz w:val="24"/>
          <w:szCs w:val="24"/>
        </w:rPr>
        <w:t xml:space="preserve"> in patients with past history of HCC after liver transplantation which is similar to patients without past history of HCC as we removed the tumor-harboring liver.</w:t>
      </w:r>
    </w:p>
    <w:bookmarkEnd w:id="32"/>
    <w:bookmarkEnd w:id="33"/>
    <w:bookmarkEnd w:id="34"/>
    <w:p w14:paraId="377948F8" w14:textId="42F11E39" w:rsidR="007A5ACC" w:rsidRPr="00CC6AEB" w:rsidRDefault="007A5ACC"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br w:type="page"/>
      </w:r>
    </w:p>
    <w:p w14:paraId="6556D8F0" w14:textId="77777777" w:rsidR="00C31309" w:rsidRPr="00CC6AEB" w:rsidRDefault="00C31309" w:rsidP="00CC6AEB">
      <w:pPr>
        <w:adjustRightInd w:val="0"/>
        <w:snapToGrid w:val="0"/>
        <w:spacing w:after="0" w:line="360" w:lineRule="auto"/>
        <w:jc w:val="both"/>
        <w:rPr>
          <w:rFonts w:ascii="Book Antiqua" w:hAnsi="Book Antiqua"/>
          <w:b/>
          <w:sz w:val="24"/>
          <w:szCs w:val="24"/>
          <w:u w:val="single"/>
        </w:rPr>
      </w:pPr>
      <w:r w:rsidRPr="00CC6AEB">
        <w:rPr>
          <w:rFonts w:ascii="Book Antiqua" w:hAnsi="Book Antiqua"/>
          <w:b/>
          <w:sz w:val="24"/>
          <w:szCs w:val="24"/>
          <w:u w:val="single"/>
        </w:rPr>
        <w:lastRenderedPageBreak/>
        <w:t>INTRODUCTION</w:t>
      </w:r>
    </w:p>
    <w:p w14:paraId="7CC36620" w14:textId="6303D0CF" w:rsidR="004124EB" w:rsidRPr="00CC6AEB" w:rsidRDefault="004124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Hepatitis C </w:t>
      </w:r>
      <w:r w:rsidR="007A5ACC" w:rsidRPr="00CC6AEB">
        <w:rPr>
          <w:rFonts w:ascii="Book Antiqua" w:eastAsia="Book Antiqua" w:hAnsi="Book Antiqua" w:cs="Arial"/>
          <w:sz w:val="24"/>
          <w:szCs w:val="24"/>
        </w:rPr>
        <w:t>v</w:t>
      </w:r>
      <w:r w:rsidRPr="00CC6AEB">
        <w:rPr>
          <w:rFonts w:ascii="Book Antiqua" w:eastAsia="Book Antiqua" w:hAnsi="Book Antiqua" w:cs="Arial"/>
          <w:sz w:val="24"/>
          <w:szCs w:val="24"/>
        </w:rPr>
        <w:t>irus (HCV) infection is the leading indic</w:t>
      </w:r>
      <w:r w:rsidR="007F0041" w:rsidRPr="00CC6AEB">
        <w:rPr>
          <w:rFonts w:ascii="Book Antiqua" w:eastAsia="Book Antiqua" w:hAnsi="Book Antiqua" w:cs="Arial"/>
          <w:sz w:val="24"/>
          <w:szCs w:val="24"/>
        </w:rPr>
        <w:t>ation for liver transplantation</w:t>
      </w:r>
      <w:r w:rsidR="007F0041" w:rsidRPr="00CC6AEB">
        <w:rPr>
          <w:rFonts w:ascii="Book Antiqua" w:eastAsia="Book Antiqua" w:hAnsi="Book Antiqua" w:cs="Arial"/>
          <w:sz w:val="24"/>
          <w:szCs w:val="24"/>
          <w:vertAlign w:val="superscript"/>
        </w:rPr>
        <w:t>[</w:t>
      </w:r>
      <w:r w:rsidR="00164AEC"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{"citationItems":[{"id":"ITEM-1","itemData":{"DOI":"10.1053/j.gastro.2009.07.047","ISSN":"1528-0012","PMID":"19632234","abstract":"BACKGROUND &amp; AIMS In the last decade, significant progress has been made in the treatment of liver disease associated with chronic hepatitis, especially in patients infected with the hepatitis B virus (HBV). To investigate whether the population-wide application of antiviral therapies has impacted liver transplant waiting list registration, we analyzed longitudinal trends in waiting list registration for patients with hepatitis B and C and those with nonviral liver disease. METHODS This study represented a retrospective analysis of registry data containing all US liver transplant centers. All adult, primary liver transplantation candidates registered to the Organ Procurement and Transplantation Network between 1985 and 2006 were included in the analysis. Standardized incidence rates were calculated for waiting list registration for liver transplantation by underlying disease (HBV and HCV infection and other) and by indication for transplantation (fulminant liver disease, hepatocellular carcinoma [HCC], and end-stage liver disease [ESLD]). RESULTS Of 113,927 unique waiting list registrants, 4793 (4.2%) had HBV, and 40,923 (35.9%) had HCV infections; the remaining 68,211 (59.9%) had neither. The incidence of waiting list registration for ESLD and fulminant liver disease decreased, whereas that for HCC increased. The decrease in ESLD registration was most pronounced, and the increase in HCC was least dramatic among registrants with hepatitis B. The decrease in registration for ESLD secondary to HCV infection was also significantly larger than that for ESLD patients with nonviral etiologies. CONCLUSIONS The pattern of liver transplantation waiting list registration among patients with hepatitis B suggests that the widespread application of oral antiviral therapy for HBV contributed to the decreased incidence of decompensated liver disease.","author":[{"dropping-particle":"","family":"Kim","given":"W Ray","non-dropping-particle":"","parse-names":false,"suffix":""},{"dropping-particle":"","family":"Terrault","given":"Norah A","non-dropping-particle":"","parse-names":false,"suffix":""},{"dropping-particle":"","family":"Pedersen","given":"Rachel A","non-dropping-particle":"","parse-names":false,"suffix":""},{"dropping-particle":"","family":"Therneau","given":"Terry M","non-dropping-particle":"","parse-names":false,"suffix":""},{"dropping-particle":"","family":"Edwards","given":"Erick","non-dropping-particle":"","parse-names":false,"suffix":""},{"dropping-particle":"","family":"Hindman","given":"Andrew A","non-dropping-particle":"","parse-names":false,"suffix":""},{"dropping-particle":"","family":"Brosgart","given":"Carol L","non-dropping-particle":"","parse-names":false,"suffix":""}],"container-title":"Gastroenterology","id":"ITEM-1","issue":"5","issued":{"date-parts":[["2009","11"]]},"page":"1680-6","publisher":"NIH Public Access","title":"Trends in waiting list registration for liver transplantation for viral hepatitis in the United States.","type":"article-journal","volume":"137"},"uris":["http://www.mendeley.com/documents/?uuid=38b0bffb-ee5a-310e-8a06-e17b8c8f34e0"]}],"mendeley":{"formattedCitation":"&lt;sup&gt;1&lt;/sup&gt;","plainTextFormattedCitation":"1","previouslyFormattedCitation":"(Kim et al., 2009)"},"properties":{"noteIndex":0},"schema":"https://github.com/citation-style-language/schema/raw/master/csl-citation.json"}</w:instrText>
      </w:r>
      <w:r w:rsidR="00164AEC"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1</w:t>
      </w:r>
      <w:r w:rsidR="00164AEC" w:rsidRPr="00CC6AEB">
        <w:rPr>
          <w:rFonts w:ascii="Book Antiqua" w:eastAsia="Book Antiqua" w:hAnsi="Book Antiqua" w:cs="Arial"/>
          <w:sz w:val="24"/>
          <w:szCs w:val="24"/>
          <w:vertAlign w:val="superscript"/>
        </w:rPr>
        <w:fldChar w:fldCharType="end"/>
      </w:r>
      <w:r w:rsidR="007F0041" w:rsidRPr="00CC6AEB">
        <w:rPr>
          <w:rFonts w:ascii="Book Antiqua" w:eastAsia="Book Antiqua" w:hAnsi="Book Antiqua" w:cs="Arial"/>
          <w:sz w:val="24"/>
          <w:szCs w:val="24"/>
          <w:vertAlign w:val="superscript"/>
        </w:rPr>
        <w:t>]</w:t>
      </w:r>
      <w:r w:rsidR="007F0041"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Recurrent HCV infection of transplanted liver allografts is universal in patients with detectable HCV viremia</w:t>
      </w:r>
      <w:r w:rsidR="007A49C2" w:rsidRPr="00CC6AEB">
        <w:rPr>
          <w:rFonts w:ascii="Book Antiqua" w:eastAsia="Book Antiqua" w:hAnsi="Book Antiqua" w:cs="Arial"/>
          <w:sz w:val="24"/>
          <w:szCs w:val="24"/>
        </w:rPr>
        <w:t xml:space="preserve"> at the time of transplantation</w:t>
      </w:r>
      <w:r w:rsidR="007A49C2"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{"citationItems":[{"id":"ITEM-1","itemData":{"DOI":"10.1053/GAST.2002.32418","ISSN":"0016-5085","PMID":"11910340","abstract":"&lt;h2&gt;Abstract&lt;/h2&gt;&lt;p&gt;&lt;b&gt;Background &amp; Aims:&lt;/b&gt; The effect of hepatitis C viral (HCV) infection on patient and allograft survival after orthotopic liver transplantation is controversial. Hepatitis C recurrence after transplant is inevitable, but studies to date have not found a survival difference between recipients with and without HCV. &lt;b&gt;Methods:&lt;/b&gt; Using data from the United Network for Organ Sharing, we performed a retrospective cohort study of 11,036 patients who underwent 11,791 liver transplants between 1992 and 1998. The hazard rates of patient and allograft survival for patients who were HCV-positive as compared with patients who were HCV-negative were assessed by proportional-hazards analysis, with adjustment for potential confounding variables, including donor, recipient, and transplant center characteristics. &lt;b&gt;Results:&lt;/b&gt; Liver transplantation in HCV-positive recipients was associated with an increased rate of death (hazard ratio, 1.23; 95% confidence interval [CI], 1.12–1.35) and allograft failure (hazard ratio, 1.30; 95% CI, 1.21–1.39), as compared with transplantation in HCV-negative recipients. This reduction in survival persisted after adjusting for potential confounders. There was an interaction between HCV and sex (&lt;i&gt;P&lt;/i&gt; &lt; 0.001) with the effect of HCV on survival being most pronounced in female recipients (patient survival hazard ratio, 1.56; 95% CI, 1.35–1.81; allograft survival hazard ratio, 1.51; 95% CI, 1.34–1.70). &lt;b&gt;Conclusions:&lt;/b&gt; HCV infection significantly impairs patient and allograft survival after liver transplantation.&lt;/p&gt;&lt;p&gt;GASTROENTEROLOGY 2002;122:889-896&lt;/p&gt;","author":[{"dropping-particle":"","family":"Forman","given":"Lisa M.","non-dropping-particle":"","parse-names":false,"suffix":""},{"dropping-particle":"","family":"Lewis","given":"James D.","non-dropping-particle":"","parse-names":false,"suffix":""},{"dropping-particle":"","family":"Berlin","given":"Jesse A.","non-dropping-particle":"","parse-names":false,"suffix":""},{"dropping-particle":"","family":"Feldman","given":"Harold I.","non-dropping-particle":"","parse-names":false,"suffix":""},{"dropping-particle":"","family":"Lucey","given":"Michael R.","non-dropping-particle":"","parse-names":false,"suffix":""}],"container-title":"Gastroenterology","id":"ITEM-1","issue":"4","issued":{"date-parts":[["2002","4","1"]]},"page":"889-896","publisher":"Elsevier","title":"The association between hepatitis C infection and survival after orthotopic liver transplantation","type":"article-journal","volume":"122"},"uris":["http://www.mendeley.com/documents/?uuid=db666251-4bb2-3c2a-a64b-587cc0b4a326"]}],"mendeley":{"formattedCitation":"&lt;sup&gt;2&lt;/sup&gt;","plainTextFormattedCitation":"2","previouslyFormattedCitation":"(Forman, Lewis, Berlin, Feldman, &amp; Lucey, 2002)"},"properties":{"noteIndex":0},"schema":"https://github.com/citation-style-language/schema/raw/master/csl-citation.json"}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vertAlign w:val="superscript"/>
        </w:rPr>
        <w:fldChar w:fldCharType="end"/>
      </w:r>
      <w:r w:rsidR="007A49C2" w:rsidRPr="00CC6AEB">
        <w:rPr>
          <w:rFonts w:ascii="Book Antiqua" w:eastAsia="Book Antiqua" w:hAnsi="Book Antiqua" w:cs="Arial"/>
          <w:sz w:val="24"/>
          <w:szCs w:val="24"/>
          <w:vertAlign w:val="superscript"/>
        </w:rPr>
        <w:t>]</w:t>
      </w:r>
      <w:r w:rsidR="007A49C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Evidence of recurrent HCV infection of an al</w:t>
      </w:r>
      <w:r w:rsidR="00C31309" w:rsidRPr="00CC6AEB">
        <w:rPr>
          <w:rFonts w:ascii="Book Antiqua" w:eastAsia="Book Antiqua" w:hAnsi="Book Antiqua" w:cs="Arial"/>
          <w:sz w:val="24"/>
          <w:szCs w:val="24"/>
        </w:rPr>
        <w:t xml:space="preserve">lograft occurs as early as 4 </w:t>
      </w:r>
      <w:proofErr w:type="spellStart"/>
      <w:r w:rsidR="00C31309"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after transplantation, with development of hepatitis within 6-12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in 70</w:t>
      </w:r>
      <w:r w:rsidR="00C31309" w:rsidRPr="00CC6AEB">
        <w:rPr>
          <w:rFonts w:ascii="Book Antiqua" w:eastAsia="Book Antiqua" w:hAnsi="Book Antiqua" w:cs="Arial"/>
          <w:sz w:val="24"/>
          <w:szCs w:val="24"/>
        </w:rPr>
        <w:t>%</w:t>
      </w:r>
      <w:r w:rsidRPr="00CC6AEB">
        <w:rPr>
          <w:rFonts w:ascii="Book Antiqua" w:eastAsia="Book Antiqua" w:hAnsi="Book Antiqua" w:cs="Arial"/>
          <w:sz w:val="24"/>
          <w:szCs w:val="24"/>
        </w:rPr>
        <w:t>-90% of HCV-infected l</w:t>
      </w:r>
      <w:r w:rsidR="007A49C2" w:rsidRPr="00CC6AEB">
        <w:rPr>
          <w:rFonts w:ascii="Book Antiqua" w:eastAsia="Book Antiqua" w:hAnsi="Book Antiqua" w:cs="Arial"/>
          <w:sz w:val="24"/>
          <w:szCs w:val="24"/>
        </w:rPr>
        <w:t>iver transplant (LT) recipients</w:t>
      </w:r>
      <w:r w:rsidR="007A49C2"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10.1002/hep.1840160506","ISSN":"02709139","author":[{"dropping-particle":"","family":"König","given":"Volker","non-dropping-particle":"","parse-names":false,"suffix":""},{"dropping-particle":"","family":"Bauditz","given":"Jürgen","non-dropping-particle":"","parse-names":false,"suffix":""},{"dropping-particle":"","family":"Lobeck","given":"Hartmut","non-dropping-particle":"","parse-names":false,"suffix":""},{"dropping-particle":"","family":"Lüsebrink","given":"Rainer","non-dropping-particle":"","parse-names":false,"suffix":""},{"dropping-particle":"","family":"Neuhaus","given":"Peter","non-dropping-particle":"","parse-names":false,"suffix":""},{"dropping-particle":"","family":"Blumhardt","given":"Gerhard","non-dropping-particle":"","parse-names":false,"suffix":""},{"dropping-particle":"","family":"Bechstein","given":"Wolf Otto","non-dropping-particle":"","parse-names":false,"suffix":""},{"dropping-particle":"","family":"Neuhaus","given":"Ruth","non-dropping-particle":"","parse-names":false,"suffix":""},{"dropping-particle":"","family":"Steffen","given":"Rudolf","non-dropping-particle":"","parse-names":false,"suffix":""},{"dropping-particle":"","family":"Hopf","given":"Uwe","non-dropping-particle":"","parse-names":false,"suffix":""}],"container-title":"Hepatology","id":"ITEM-1","issue":"5","issued":{"date-parts":[["1992","11","1"]]},"page":"1137-1143","publisher":"John Wiley &amp; Sons, Ltd","title":"Hepatitis C virus reinfection in allografts after orthotopic liver transplantation","type":"article-journal","volume":"16"},"uris":["http://www.mendeley.com/documents/?uuid=91df47eb-5137-3d57-90e9-d34b7ec88389"]}],"mendeley":{"formattedCitation":"&lt;sup&gt;3&lt;/sup&gt;","plainTextFormattedCitation":"3","previouslyFormattedCitation":"(König et al., 1992)"},"properties":{"noteIndex":0},"schema":"https://github.com/citation-style-language/schema/raw/master/csl-citation.json"}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3</w:t>
      </w:r>
      <w:r w:rsidRPr="00CC6AEB">
        <w:rPr>
          <w:rFonts w:ascii="Book Antiqua" w:eastAsia="Book Antiqua" w:hAnsi="Book Antiqua" w:cs="Arial"/>
          <w:sz w:val="24"/>
          <w:szCs w:val="24"/>
          <w:vertAlign w:val="superscript"/>
        </w:rPr>
        <w:fldChar w:fldCharType="end"/>
      </w:r>
      <w:r w:rsidR="008A1414"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{"citationItems":[{"id":"ITEM-1","itemData":{"DOI":"10.1053/jlts.2003.50248","ISSN":"15276465","PMID":"14586892","abstract":"1. Recurrence of hepatitis C infection is universal and immediate after liver transplantation. 2. Graft and patient survival is reduced in liver transplantation recipients with recurrent hepatitis C virus infection compared with hepatitis C virus-negative recipients. 3. The natural history of chronic hepatitis C is accelerated after liver transplantation compared with nontransplantation chronic hepatitis C; 20% to 40% of patients progress to allograft cirrhosis within 5 years, compared with less than 5% of nontransplantation patients. 4. The rate of fibrosis progression is not uniform and may change over time. 5. The rate of progression from cirrhosis to decompensation is accelerated after liver transplantation. The rate of decompensation is &gt;40% at 1 year and &gt;60% at 3 years, compared with &lt;5% and &lt;10%, respectively, in immunocompetent patients. 6. The rate of progression from decompensation to death is also accelerated after liver transplantation. The 3-year survival is &lt;10% after the onset of hepatitis C virus-related allograft failure, compared with 60% after decompensation in immunocompetent patients.","author":[{"dropping-particle":"","family":"Gane","given":"Edward","non-dropping-particle":"","parse-names":false,"suffix":""}],"container-title":"Liver Transplantation","id":"ITEM-1","issue":"11","issued":{"date-parts":[["2003","11"]]},"page":"ajlts50248","title":"The natural history and outcome of liver transplantation in hepatitis C virus-infected recipients","type":"article-journal","volume":"9"},"uris":["http://www.mendeley.com/documents/?uuid=07192251-71f8-3a7a-81bf-78e264e9fd2c"]}],"mendeley":{"formattedCitation":"&lt;sup&gt;4&lt;/sup&gt;","plainTextFormattedCitation":"4","previouslyFormattedCitation":"(E. Gane, 2003)"},"properties":{"noteIndex":0},"schema":"https://github.com/citation-style-language/schema/raw/master/csl-citation.json"}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4</w:t>
      </w:r>
      <w:r w:rsidRPr="00CC6AEB">
        <w:rPr>
          <w:rFonts w:ascii="Book Antiqua" w:eastAsia="Book Antiqua" w:hAnsi="Book Antiqua" w:cs="Arial"/>
          <w:sz w:val="24"/>
          <w:szCs w:val="24"/>
          <w:vertAlign w:val="superscript"/>
        </w:rPr>
        <w:fldChar w:fldCharType="end"/>
      </w:r>
      <w:r w:rsidR="007A49C2" w:rsidRPr="00CC6AEB">
        <w:rPr>
          <w:rFonts w:ascii="Book Antiqua" w:eastAsia="Book Antiqua" w:hAnsi="Book Antiqua" w:cs="Arial"/>
          <w:sz w:val="24"/>
          <w:szCs w:val="24"/>
          <w:vertAlign w:val="superscript"/>
        </w:rPr>
        <w:t>]</w:t>
      </w:r>
      <w:r w:rsidR="007A49C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Furthermore, allograft cirrhosis with a poor outcome occurs within 5 years after transplantat</w:t>
      </w:r>
      <w:r w:rsidR="00D0244F" w:rsidRPr="00CC6AEB">
        <w:rPr>
          <w:rFonts w:ascii="Book Antiqua" w:eastAsia="Book Antiqua" w:hAnsi="Book Antiqua" w:cs="Arial"/>
          <w:sz w:val="24"/>
          <w:szCs w:val="24"/>
        </w:rPr>
        <w:t>ion in 20</w:t>
      </w:r>
      <w:r w:rsidR="00C31309" w:rsidRPr="00CC6AEB">
        <w:rPr>
          <w:rFonts w:ascii="Book Antiqua" w:eastAsia="Book Antiqua" w:hAnsi="Book Antiqua" w:cs="Arial"/>
          <w:sz w:val="24"/>
          <w:szCs w:val="24"/>
        </w:rPr>
        <w:t>%</w:t>
      </w:r>
      <w:r w:rsidR="00D0244F" w:rsidRPr="00CC6AEB">
        <w:rPr>
          <w:rFonts w:ascii="Book Antiqua" w:eastAsia="Book Antiqua" w:hAnsi="Book Antiqua" w:cs="Arial"/>
          <w:sz w:val="24"/>
          <w:szCs w:val="24"/>
        </w:rPr>
        <w:t>-30% of these patients</w:t>
      </w:r>
      <w:r w:rsidR="00D0244F"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{"citationItems":[{"id":"ITEM-1","itemData":{"DOI":"10.1056/NEJM199603283341302","ISSN":"0028-4793","PMID":"8596547","abstract":"BACKGROUND End-stage cirrhosis related to hepatitic C virus (HCV) is a common reason for liver transplantation, although viremia ia known to persist in most cases. We investigated the impact of persistent HCV infection after liver transplantation on patient and graft survival and the effects of the HCV genotype and the degree of HLA matching between donor and recipient on the severity of recurrent hepatitis. METHODS A group of 149 patients with HCV infection who received liver transplants between January 1982 and April 1994 were followed for a median of 36 months; 623 patients without HCV infection who underwent liver transplantation for end-stage chronic liver disease were used as a control group. A total of 528 liver-biopsy specimens from the HCV-infected recipients were reviewed, including 82 obtained one year after transplantation as scheduled and 39 obtained at five years as scheduled. In addition, biopsy specimens were obtained from 91 of the HCV-negative patients five years after transplantation. RESULTS Cumulative survival rates for the 149 patients with HCV infection were 79 percent after one year, 74 percent after three years, and 70 percent after five years, as compared with rates of 75 percent, 71 percent, and 69 percent, respectively, in the HCV-negative transplant recipients (P=0.12). Of the 130 patients with hepatitis C infection who survived more than 6 months after transplantation, 15 (12 percent) had no evidence of chronic hepatitis on their most recent liver biopsy (median followup, 20 months), 70 (54 percent) had mild chronic hepatitis (median, 35 months), 35 (27 percent) had moderate chronic hepatitis (median, 35 months), and 10 (8 percent) had cirrhosis (median, 51 months). Graft loss occurred after a median of 303 days in 27 of the 149 patients, including 5 with HCV-related cirrhosis and 3 with HCV-related cholestatic hepatitis. Infection with HCV genotype 1b was associated with more severe graft injury, whereas the primary immunosuppressive regimen used and the extent of HLA mismatching between donors and recipients had no significant effect on this variable. CONCLUSIONS After liver transplantation for HCV-related cirrhosis, persistent HCV infection can cause severe graft damage, and such damage is more frequent in patients infected with HCV genotype 1b than with other genotypes. After five years, the rates of graft and overall survival are similar between patients with and those without HCV infection.","author":[{"dropping-particle":"","family":"Gane","given":"Edward J.","non-dropping-particle":"","parse-names":false,"suffix":""},{"dropping-particle":"","family":"Portmann","given":"Bernard C.","non-dropping-particle":"","parse-names":false,"suffix":""},{"dropping-particle":"V.","family":"Naoumov","given":"Nikolai","non-dropping-particle":"","parse-names":false,"suffix":""},{"dropping-particle":"","family":"Smith","given":"Heather M.","non-dropping-particle":"","parse-names":false,"suffix":""},{"dropping-particle":"","family":"Underhill","given":"James A.","non-dropping-particle":"","parse-names":false,"suffix":""},{"dropping-particle":"","family":"Donaldson","given":"Peter T.","non-dropping-particle":"","parse-names":false,"suffix":""},{"dropping-particle":"","family":"Maertens","given":"Geert","non-dropping-particle":"","parse-names":false,"suffix":""},{"dropping-particle":"","family":"Williams","given":"Roger","non-dropping-particle":"","parse-names":false,"suffix":""}],"container-title":"New England Journal of Medicine","id":"ITEM-1","issue":"13","issued":{"date-parts":[["1996","3","28"]]},"page":"815-821","title":"Long-Term Outcome of Hepatitis C Infection after Liver Transplantation","type":"article-journal","volume":"334"},"uris":["http://www.mendeley.com/documents/?uuid=fc82bd18-3a24-3487-ac1e-49e9429d93d1"]}],"mendeley":{"formattedCitation":"&lt;sup&gt;5&lt;/sup&gt;","plainTextFormattedCitation":"5","previouslyFormattedCitation":"(E. J. Gane et al., 1996)"},"properties":{"noteIndex":0},"schema":"https://github.com/citation-style-language/schema/raw/master/csl-citation.json"}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5</w:t>
      </w:r>
      <w:r w:rsidRPr="00CC6AEB">
        <w:rPr>
          <w:rFonts w:ascii="Book Antiqua" w:eastAsia="Book Antiqua" w:hAnsi="Book Antiqua" w:cs="Arial"/>
          <w:sz w:val="24"/>
          <w:szCs w:val="24"/>
          <w:vertAlign w:val="superscript"/>
        </w:rPr>
        <w:fldChar w:fldCharType="end"/>
      </w:r>
      <w:r w:rsidR="00D0244F" w:rsidRPr="00CC6AEB">
        <w:rPr>
          <w:rFonts w:ascii="Book Antiqua" w:eastAsia="Book Antiqua" w:hAnsi="Book Antiqua" w:cs="Arial"/>
          <w:sz w:val="24"/>
          <w:szCs w:val="24"/>
          <w:vertAlign w:val="superscript"/>
        </w:rPr>
        <w:t>]</w:t>
      </w:r>
      <w:r w:rsidR="00D0244F" w:rsidRPr="00CC6AEB">
        <w:rPr>
          <w:rFonts w:ascii="Book Antiqua" w:eastAsia="Book Antiqua" w:hAnsi="Book Antiqua" w:cs="Arial"/>
          <w:sz w:val="24"/>
          <w:szCs w:val="24"/>
        </w:rPr>
        <w:t>.</w:t>
      </w:r>
    </w:p>
    <w:p w14:paraId="6F31CBD0" w14:textId="687E9F5D" w:rsidR="004124EB" w:rsidRPr="00CC6AEB" w:rsidRDefault="004124EB" w:rsidP="00CC6AEB">
      <w:pPr>
        <w:snapToGrid w:val="0"/>
        <w:spacing w:after="0" w:line="360" w:lineRule="auto"/>
        <w:ind w:firstLineChars="100" w:firstLine="240"/>
        <w:jc w:val="both"/>
        <w:rPr>
          <w:rFonts w:ascii="Book Antiqua" w:eastAsia="Book Antiqua" w:hAnsi="Book Antiqua" w:cs="Arial"/>
          <w:sz w:val="24"/>
          <w:szCs w:val="24"/>
        </w:rPr>
      </w:pPr>
      <w:bookmarkStart w:id="35" w:name="OLE_LINK4"/>
      <w:bookmarkStart w:id="36" w:name="OLE_LINK5"/>
      <w:r w:rsidRPr="00CC6AEB">
        <w:rPr>
          <w:rFonts w:ascii="Book Antiqua" w:eastAsia="Book Antiqua" w:hAnsi="Book Antiqua" w:cs="Arial"/>
          <w:sz w:val="24"/>
          <w:szCs w:val="24"/>
        </w:rPr>
        <w:t>Direct-acting antiviral</w:t>
      </w:r>
      <w:bookmarkEnd w:id="35"/>
      <w:bookmarkEnd w:id="36"/>
      <w:r w:rsidRPr="00CC6AEB">
        <w:rPr>
          <w:rFonts w:ascii="Book Antiqua" w:eastAsia="Book Antiqua" w:hAnsi="Book Antiqua" w:cs="Arial"/>
          <w:sz w:val="24"/>
          <w:szCs w:val="24"/>
        </w:rPr>
        <w:t xml:space="preserve"> (DAA) therapy has been adopted as the standard of care for recurrent HCV </w:t>
      </w:r>
      <w:r w:rsidR="007572F3" w:rsidRPr="00CC6AEB">
        <w:rPr>
          <w:rFonts w:ascii="Book Antiqua" w:eastAsia="Book Antiqua" w:hAnsi="Book Antiqua" w:cs="Arial"/>
          <w:sz w:val="24"/>
          <w:szCs w:val="24"/>
        </w:rPr>
        <w:t>infection after transplantation</w:t>
      </w:r>
      <w:r w:rsidR="007572F3"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{"citationItems":[{"id":"ITEM-1","itemData":{"DOI":"10.1016/J.JHEP.2018.02.012","ISSN":"0168-8278","abstract":"BACKGROUND &amp; AIMS\nThe efficacy of direct-acting antivirals (DAAs) has dramatically changed the prognosis of patients with chronic hepatitis C. We aimed to evaluate the impact of DAA therapy on the composition of the liver transplant (LT) waiting list and the early post-transplant survival. \n\nMETHODS\nWe evaluated all patients admitted to the waiting list for a primary LT between 1st January 2008 and 31st of December 2016 in Catalonia, Spain. Time span was divided into two periods according to the availability of different antiviral therapies: 2008–2013 (interferon-based therapies) and 2014–2016 (DAA). Changes in the indications of LT and the aetiology of liver disease, as well as post-LT patient survival, were evaluated according to the year of inclusion and transplantation, respectively. \n\nRESULTS\nWe included 1,483 patients. Admissions in the waiting list for hepatitis C virus (HCV)-related liver disease decreased significantly, from 47% in 2008–2013 to 35% in 2014–2016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&lt;0.001), particularly because of a reduction in patients with decompensated cirrhosis. In contrast, NASH-related inclusions increased from 4% to 7%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0.003). Three-year post-LT patient survival increased significantly in the second period in the whole cohort (82% vs. 91%,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0.002), because of better survival in anti-HCV positive patients (76% vs. 91%,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0.001), but not in anti-HCV negative patients (88% vs. 91%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0.359). Anti-HCV positive serology, the time period of 2008</w:instrText>
      </w:r>
      <w:r w:rsidR="00164AEC" w:rsidRPr="00CC6AEB">
        <w:rPr>
          <w:rFonts w:ascii="Book Antiqua" w:eastAsia="Book Antiqua" w:hAnsi="Book Antiqua" w:cs="Book Antiqua"/>
          <w:sz w:val="24"/>
          <w:szCs w:val="24"/>
          <w:vertAlign w:val="superscript"/>
        </w:rPr>
        <w:instrText>–</w:instrText>
      </w:r>
      <w:r w:rsidR="00164AEC" w:rsidRPr="00CC6AEB">
        <w:rPr>
          <w:rFonts w:ascii="Book Antiqua" w:eastAsia="Book Antiqua" w:hAnsi="Book Antiqua" w:cs="Arial"/>
          <w:sz w:val="24"/>
          <w:szCs w:val="24"/>
          <w:vertAlign w:val="superscript"/>
        </w:rPr>
        <w:instrText>2013 and higher donor age were independently associated with post-LT mortality in the whole cohort; while time period and donor age were independently associated with post-LT mortality in anti-HCV positive recipients. \n\nCONCLUSIONS\nThe high efficacy of DAAs is associated with significant changes in the composition of the LT waiting list and, more importantly, results in improved post-transplant survival. \n\nLAY SUMMARY\nThe efficacy of the new direct-acting antivirals is associated with a significant improvement in survival of patients undergoing liver transplantation because of hepatitis C virus-related liver disease. In addition, it has decreased the number of patients with hepatitis C that need a liver transplant.","author":[{"dropping-particle":"","family":"Crespo","given":"Gonzalo","non-dropping-particle":"","parse-names":false,"suffix":""},{"dropping-particle":"","family":"Trota","given":"Núria","non-dropping-particle":"","parse-names":false,"suffix":""},{"dropping-particle":"","family":"Londoño","given":"Maria-Carlota","non-dropping-particle":"","parse-names":false,"suffix":""},{"dropping-particle":"","family":"Mauro","given":"Ezequiel","non-dropping-particle":"","parse-names":false,"suffix":""},{"dropping-particle":"","family":"Baliellas","given":"Carme","non-dropping-particle":"","parse-names":false,"suffix":""},{"dropping-particle":"","family":"Castells","given":"Lluís","non-dropping-particle":"","parse-names":false,"suffix":""},{"dropping-particle":"","family":"Castellote","given":"Jose","non-dropping-particle":"","parse-names":false,"suffix":""},{"dropping-particle":"","family":"Tort","given":"Jaume","non-dropping-particle":"","parse-names":false,"suffix":""},{"dropping-particle":"","family":"Forns","given":"Xavier","non-dropping-particle":"","parse-names":false,"suffix":""},{"dropping-particle":"","family":"Navasa","given":"Miquel","non-dropping-particle":"","parse-names":false,"suffix":""}],"container-title":"Journal of Hepatology","id":"ITEM-1","issue":"1","issued":{"date-parts":[["2018","7","1"]]},"page":"11-17","publisher":"Elsevier","title":"The efficacy of direct anti-HCV drugs improves early post-liver transplant survival and induces significant changes in waiting list composition","type":"article-journal","volume":"69"},"uris":["http://www.mendeley.com/documents/?uuid=d04e519d-52e4-398e-b2f0-d85945d9e8f2"]}],"mendeley":{"formattedCitation":"&lt;sup&gt;6&lt;/sup&gt;","plainTextFormattedCitation":"6","previouslyFormattedCitation":"(Crespo et al., 2018)"},"properties":{"noteIndex":0},"schema":"https://github.com/citation-style-language/schema/raw/master/csl-citation.json"}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6</w:t>
      </w:r>
      <w:r w:rsidRPr="00CC6AEB">
        <w:rPr>
          <w:rFonts w:ascii="Book Antiqua" w:eastAsia="Book Antiqua" w:hAnsi="Book Antiqua" w:cs="Arial"/>
          <w:sz w:val="24"/>
          <w:szCs w:val="24"/>
          <w:vertAlign w:val="superscript"/>
        </w:rPr>
        <w:fldChar w:fldCharType="end"/>
      </w:r>
      <w:r w:rsidR="007572F3" w:rsidRPr="00CC6AEB">
        <w:rPr>
          <w:rFonts w:ascii="Book Antiqua" w:eastAsia="Book Antiqua" w:hAnsi="Book Antiqua" w:cs="Arial"/>
          <w:sz w:val="24"/>
          <w:szCs w:val="24"/>
          <w:vertAlign w:val="superscript"/>
        </w:rPr>
        <w:t>]</w:t>
      </w:r>
      <w:r w:rsidR="007572F3"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Patients with sustained virologic responses to antiviral therapy may experience fibrosis regress</w:t>
      </w:r>
      <w:r w:rsidR="000A2BF6" w:rsidRPr="00CC6AEB">
        <w:rPr>
          <w:rFonts w:ascii="Book Antiqua" w:eastAsia="Book Antiqua" w:hAnsi="Book Antiqua" w:cs="Arial"/>
          <w:sz w:val="24"/>
          <w:szCs w:val="24"/>
        </w:rPr>
        <w:t>ion and reduced mortality rates</w:t>
      </w:r>
      <w:r w:rsidR="000A2BF6"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{"citationItems":[{"id":"ITEM-1","itemData":{"DOI":"10.1016/J.JHEP.2012.12.014","ISSN":"0168-8278","PMID":"23262248","abstract":"&lt;h2&gt;Summary&lt;/h2&gt;&lt;p&gt;Liver fibrosis results from an excessive wound healing response in most chronic liver diseases, such as hepatitis C. Despite great advances in antiviral therapy in recent years, progressive liver fibrosis remains a major problem for patients with recurrent hepatitis C after liver transplantation. Liver biopsy remains a central tool in the management of HCV-positive liver transplant recipients, but reliable non-invasive methods for the assessment of liver fibrosis, such as ultrasound elastography, are increasingly being incorporated in the management of post-transplant patients, helping predict prognosis, guide treatment decisions, and stratify patients for emerging antifibrotic therapies.&lt;/p&gt;&lt;p&gt;In this manuscript, we will review the natural history as well as tools to monitor fibrosis progression in the HCV-positive liver transplant recipient, the mechanisms underlying rapid fibrosis progression in up to 30% of these patients, the effect of antiviral therapies and highlight promising antifibrotic approaches.&lt;/p&gt;","author":[{"dropping-particle":"","family":"Berenguer","given":"Marina","non-dropping-particle":"","parse-names":false,"suffix":""},{"dropping-particle":"","family":"Schuppan","given":"Detlef","non-dropping-particle":"","parse-names":false,"suffix":""}],"container-title":"Journal of Hepatology","id":"ITEM-1","issue":"5","issued":{"date-parts":[["2013","5","1"]]},"page":"1028-1041","publisher":"Elsevier","title":"Progression of liver fibrosis in post-transplant hepatitis C: Mechanisms, assessment and treatment","type":"article-journal","volume":"58"},"uris":["http://www.mendeley.com/documents/?uuid=ae6d4dbf-0047-3efb-832f-5a10788c5909"]}],"mendeley":{"formattedCitation":"&lt;sup&gt;7&lt;/sup&gt;","plainTextFormattedCitation":"7","previouslyFormattedCitation":"(Berenguer &amp; Schuppan, 2013)"},"properties":{"noteIndex":0},"schema":"https://github.com/citation-style-language/schema/raw/master/csl-citation.json"}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7</w:t>
      </w:r>
      <w:r w:rsidRPr="00CC6AEB">
        <w:rPr>
          <w:rFonts w:ascii="Book Antiqua" w:eastAsia="Book Antiqua" w:hAnsi="Book Antiqua" w:cs="Arial"/>
          <w:sz w:val="24"/>
          <w:szCs w:val="24"/>
          <w:vertAlign w:val="superscript"/>
        </w:rPr>
        <w:fldChar w:fldCharType="end"/>
      </w:r>
      <w:r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{"citationItems":[{"id":"ITEM-1","itemData":{"DOI":"10.1016/j.jhep.2006.10.017","ISSN":"01688278","PMID":"17196700","abstract":"BACKGROUND/AIMS HCV infection recurs almost in all HCV-positive patients receiving liver transplantation and carries a poor prognosis. Aim of this study was to analyze efficacy and effect on survival of antiviral therapy in this clinical setting. METHODS Pegylated-interferon alpha-2b and ribavirin were administered at a dose of 1 microg/kg of bwt weekly and 600-800 mg/day. Planned duration of treatment was 24 or 48 weeks according to HCV genotype. Patients who failed to respond at week 24 were considered as non-responders. RESULTS 61 patients were enrolled. According to intention-to-treat analysis, 44 (72%) patients were considered as treatment failure (31 non-responders, 4 relapsers, 9 dropout). Sustained virological response was achieved in 17 cases (28%). Genotype 2, higher doses of antivirals and absence of histological cirrhosis were predictors of sustained virological response. In the follow up, patients with sustained virological response had a significantly lower mortality compared to patients with treatment failure (chi2=6.9; P&lt;0.01). CONCLUSIONS Response rate to antiviral therapy in HCV reinfection after liver transplantation is higher if a full dose of antiviral drugs is administered and if treatment starts before histological cirrhosis has developed. Sustained virological response improves patient survival.","author":[{"dropping-particle":"","family":"Picciotto","given":"Francesco Paolo","non-dropping-particle":"","parse-names":false,"suffix":""},{"dropping-particle":"","family":"Tritto","given":"Giovanni","non-dropping-particle":"","parse-names":false,"suffix":""},{"dropping-particle":"","family":"Lanza","given":"Alfonso Galeota","non-dropping-particle":"","parse-names":false,"suffix":""},{"dropping-particle":"","family":"Addario","given":"Luigi","non-dropping-particle":"","parse-names":false,"suffix":""},{"dropping-particle":"","family":"Luca","given":"Massimo","non-dropping-particle":"De","parse-names":false,"suffix":""},{"dropping-particle":"","family":"Costanzo","given":"GiovanGiuseppe","non-dropping-particle":"Di","parse-names":false,"suffix":""},{"dropping-particle":"","family":"Lampasi","given":"Filippo","non-dropping-particle":"","parse-names":false,"suffix":""},{"dropping-particle":"","family":"Tartaglione","given":"Maria Teresa","non-dropping-particle":"","parse-names":false,"suffix":""},{"dropping-particle":"","family":"Marsilia","given":"Giuseppina Marino","non-dropping-particle":"","parse-names":false,"suffix":""},{"dropping-particle":"","family":"Calise","given":"Fulvio","non-dropping-particle":"","parse-names":false,"suffix":""},{"dropping-particle":"","family":"Cuomo","given":"Oreste","non-dropping-particle":"","parse-names":false,"suffix":""},{"dropping-particle":"","family":"Ascione","given":"Antonio","non-dropping-particle":"","parse-names":false,"suffix":""}],"container-title":"Journal of Hepatology","id":"ITEM-1","issue":"3","issued":{"date-parts":[["2007","3"]]},"page":"459-465","title":"Sustained virological response to antiviral therapy reduces mortality in HCV reinfection after liver transplantation","type":"article-journal","volume":"46"},"uris":["http://www.mendeley.com/documents/?uuid=5dd2fa72-3444-3fb6-8ccb-a678aaa3d9af"]}],"mendeley":{"formattedCitation":"&lt;sup&gt;8&lt;/sup&gt;","plainTextFormattedCitation":"8","previouslyFormattedCitation":"(Picciotto et al., 2007)"},"properties":{"noteIndex":0},"schema":"https://github.com/citation-style-language/schema/raw/master/csl-citation.json"}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8</w:t>
      </w:r>
      <w:r w:rsidRPr="00CC6AEB">
        <w:rPr>
          <w:rFonts w:ascii="Book Antiqua" w:eastAsia="Book Antiqua" w:hAnsi="Book Antiqua" w:cs="Arial"/>
          <w:sz w:val="24"/>
          <w:szCs w:val="24"/>
          <w:vertAlign w:val="superscript"/>
        </w:rPr>
        <w:fldChar w:fldCharType="end"/>
      </w:r>
      <w:r w:rsidR="000A2BF6" w:rsidRPr="00CC6AEB">
        <w:rPr>
          <w:rFonts w:ascii="Book Antiqua" w:eastAsia="Book Antiqua" w:hAnsi="Book Antiqua" w:cs="Arial"/>
          <w:sz w:val="24"/>
          <w:szCs w:val="24"/>
          <w:vertAlign w:val="superscript"/>
        </w:rPr>
        <w:t>]</w:t>
      </w:r>
      <w:r w:rsidR="000A2BF6"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In pre-transplant studies, there are conflicting data regarding the impact of DAA treatment on de-novo or recurrent hepatocellular carcinoma (HCC) in HCV-infected patients</w:t>
      </w:r>
      <w:r w:rsidR="003F5F26"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{"citationItems":[{"id":"ITEM-1","itemData":{"DOI":"10.1016/j.jhep.2016.04.008","ISSN":"1600-0641","PMID":"27084592","abstract":"BACKGROUND &amp; AIMS The success of direct-acting antivirals (DAA) against hepatitis C is a major breakthrough in hepatology. Until now, however, there are very few data on the effect of hepatitis C virus (HCV) eradication in patients who have already developed hepatocellular carcinoma. METHODS The study included patients with HCV infection and prior history of treated hepatocellular carcinoma who achieved complete response and lacked 'non-characterized nodules' at the time they underwent anti-HCV treatment with all-oral DAAs in 4 hospitals. Patients receiving interferon as part of the antiviral regimen were excluded. The baseline characteristics, laboratory and radiologic tumor response were registered in all patients before starting antiviral therapy and during the follow-up according to the clinical practice policy. RESULTS Between 2014 and 2015, 103 patients with prior hepatocellular carcinoma received DAA, 58 of them met the inclusion criteria. After a median follow-up of 5.7months, 3 patients died and 16 developed radiologic tumor recurrence (27.6%). The pattern of recurrence was: intrahepatic growth (3 patients), new intrahepatic lesion (1 nodule in 5 patients, up to 3 nodules less or equal to 3cm in 4 cases and multifocal in one patient) and infiltrative ill-defined hepatocellular carcinoma and/or extra-hepatic lesions in 3 patients. CONCLUSIONS Our data show an unexpected high rate and pattern of tumor recurrence coinciding with HCV clearance and, although based in a very small cohort of patients, should be taken as a note of caution and prime a large scale assessment that exceeds the individual investigators capacity. LAY SUMMARY High rate of cancer recurrence after DAA treatment in patients with prior hepatocellular carcinoma. Disruption of immune surveillance may facilitate the emergence of metastatic clones.","author":[{"dropping-particle":"","family":"Reig","given":"María","non-dropping-particle":"","parse-names":false,"suffix":""},{"dropping-particle":"","family":"Mariño","given":"Zoe","non-dropping-particle":"","parse-names":false,"suffix":""},{"dropping-particle":"","family":"Perelló","given":"Christie","non-dropping-particle":"","parse-names":false,"suffix":""},{"dropping-particle":"","family":"Iñarrairaegui","given":"Mercedes","non-dropping-particle":"","parse-names":false,"suffix":""},{"dropping-particle":"","family":"Ribeiro","given":"Andrea","non-dropping-particle":"","parse-names":false,"suffix":""},{"dropping-particle":"","family":"Lens","given":"Sabela","non-dropping-particle":"","parse-names":false,"suffix":""},{"dropping-particle":"","family":"Díaz","given":"Alba","non-dropping-particle":"","parse-names":false,"suffix":""},{"dropping-particle":"","family":"Vilana","given":"Ramón","non-dropping-particle":"","parse-names":false,"suffix":""},{"dropping-particle":"","family":"Darnell","given":"Anna","non-dropping-particle":"","parse-names":false,"suffix":""},{"dropping-particle":"","family":"Varela","given":"María","non-dropping-particle":"","parse-names":false,"suffix":""},{"dropping-particle":"","family":"Sangro","given":"Bruno","non-dropping-particle":"","parse-names":false,"suffix":""},{"dropping-particle":"","family":"Calleja","given":"José Luis","non-dropping-particle":"","parse-names":false,"suffix":""},{"dropping-particle":"","family":"Forns","given":"Xavier","non-dropping-particle":"","parse-names":false,"suffix":""},{"dropping-particle":"","family":"Bruix","given":"Jordi","non-dropping-particle":"","parse-names":false,"suffix":""}],"container-title":"Journal of hepatology","id":"ITEM-1","issue":"4","issued":{"date-parts":[["2016","10","1"]]},"page":"719-726","publisher":"Elsevier","title":"Unexpected high rate of early tumor recurrence in patients with HCV-related HCC undergoing interferon-free therapy.","type":"article-journal","volume":"65"},"uris":["http://www.mendeley.com/documents/?uuid=0d9ea71d-1afc-35fb-9600-3ce6c05692f6"]}],"mendeley":{"formattedCitation":"&lt;sup&gt;9&lt;/sup&gt;","plainTextFormattedCitation":"9","previouslyFormattedCitation":"(Reig et al., 2016)"},"properties":{"noteIndex":0},"schema":"https://github.com/citation-style-language/schema/raw/master/csl-citation.json"}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9</w:t>
      </w:r>
      <w:r w:rsidRPr="00CC6AEB">
        <w:rPr>
          <w:rFonts w:ascii="Book Antiqua" w:eastAsia="Book Antiqua" w:hAnsi="Book Antiqua" w:cs="Arial"/>
          <w:sz w:val="24"/>
          <w:szCs w:val="24"/>
          <w:vertAlign w:val="superscript"/>
        </w:rPr>
        <w:fldChar w:fldCharType="end"/>
      </w:r>
      <w:r w:rsidR="003B36AA" w:rsidRPr="00CC6AEB">
        <w:rPr>
          <w:rFonts w:ascii="Book Antiqua" w:eastAsia="Book Antiqua" w:hAnsi="Book Antiqua" w:cs="Arial"/>
          <w:sz w:val="24"/>
          <w:szCs w:val="24"/>
          <w:vertAlign w:val="superscript"/>
        </w:rPr>
        <w:t>-12</w:t>
      </w:r>
      <w:r w:rsidR="003F5F26" w:rsidRPr="00CC6AEB">
        <w:rPr>
          <w:rFonts w:ascii="Book Antiqua" w:eastAsia="Book Antiqua" w:hAnsi="Book Antiqua" w:cs="Arial"/>
          <w:sz w:val="24"/>
          <w:szCs w:val="24"/>
          <w:vertAlign w:val="superscript"/>
        </w:rPr>
        <w:t>]</w:t>
      </w:r>
      <w:r w:rsidR="003F5F26" w:rsidRPr="00CC6AEB">
        <w:rPr>
          <w:rFonts w:ascii="Book Antiqua" w:eastAsia="Book Antiqua" w:hAnsi="Book Antiqua" w:cs="Arial"/>
          <w:sz w:val="24"/>
          <w:szCs w:val="24"/>
        </w:rPr>
        <w:t>.</w:t>
      </w:r>
    </w:p>
    <w:p w14:paraId="6464E3DF" w14:textId="40A36B51" w:rsidR="004124EB" w:rsidRPr="00CC6AEB" w:rsidRDefault="004124E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Researchers have investigated the safety and efficacy of</w:t>
      </w:r>
      <w:r w:rsidR="00EE762D" w:rsidRPr="00CC6AEB">
        <w:rPr>
          <w:rFonts w:ascii="Book Antiqua" w:eastAsia="Book Antiqua" w:hAnsi="Book Antiqua" w:cs="Arial"/>
          <w:sz w:val="24"/>
          <w:szCs w:val="24"/>
        </w:rPr>
        <w:t xml:space="preserve"> DAA treatment in LT</w:t>
      </w:r>
      <w:r w:rsidR="00F072CF" w:rsidRPr="00CC6AEB">
        <w:rPr>
          <w:rFonts w:ascii="Book Antiqua" w:eastAsia="Book Antiqua" w:hAnsi="Book Antiqua" w:cs="Arial"/>
          <w:sz w:val="24"/>
          <w:szCs w:val="24"/>
        </w:rPr>
        <w:t xml:space="preserve"> </w:t>
      </w:r>
      <w:r w:rsidR="00EE762D" w:rsidRPr="00CC6AEB">
        <w:rPr>
          <w:rFonts w:ascii="Book Antiqua" w:eastAsia="Book Antiqua" w:hAnsi="Book Antiqua" w:cs="Arial"/>
          <w:sz w:val="24"/>
          <w:szCs w:val="24"/>
        </w:rPr>
        <w:t>recipients</w:t>
      </w:r>
      <w:r w:rsidR="00EE762D" w:rsidRPr="00CC6AEB">
        <w:rPr>
          <w:rFonts w:ascii="Book Antiqua" w:eastAsia="Book Antiqua" w:hAnsi="Book Antiqua" w:cs="Arial"/>
          <w:sz w:val="24"/>
          <w:szCs w:val="24"/>
          <w:vertAlign w:val="superscript"/>
        </w:rPr>
        <w:t>[</w:t>
      </w:r>
      <w:r w:rsidR="003B36AA" w:rsidRPr="00CC6AEB">
        <w:rPr>
          <w:rFonts w:ascii="Book Antiqua" w:eastAsia="Book Antiqua" w:hAnsi="Book Antiqua" w:cs="Arial"/>
          <w:sz w:val="24"/>
          <w:szCs w:val="24"/>
          <w:vertAlign w:val="superscript"/>
        </w:rPr>
        <w:t>13</w:t>
      </w:r>
      <w:r w:rsidR="00923689" w:rsidRPr="00CC6AEB">
        <w:rPr>
          <w:rFonts w:ascii="Book Antiqua" w:eastAsia="Book Antiqua" w:hAnsi="Book Antiqua" w:cs="Arial"/>
          <w:sz w:val="24"/>
          <w:szCs w:val="24"/>
          <w:vertAlign w:val="superscript"/>
        </w:rPr>
        <w:t>-15</w:t>
      </w:r>
      <w:r w:rsidR="00EE762D" w:rsidRPr="00CC6AEB">
        <w:rPr>
          <w:rFonts w:ascii="Book Antiqua" w:eastAsia="Book Antiqua" w:hAnsi="Book Antiqua" w:cs="Arial"/>
          <w:sz w:val="24"/>
          <w:szCs w:val="24"/>
          <w:vertAlign w:val="superscript"/>
        </w:rPr>
        <w:t>]</w:t>
      </w:r>
      <w:r w:rsidR="00EE762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However, the efficacy in LT recipients with a history of HCC has not been investigated. Moreover, there are no data regarding HCC recurrence in LT recipients following DAA therapy, especially patients who experienced treatment failure. Little is known about predictors of DAA treatment response after LT for HCC. Therefore, we performed this study to </w:t>
      </w:r>
      <w:r w:rsidR="009804E2" w:rsidRPr="00CC6AEB">
        <w:rPr>
          <w:rFonts w:ascii="Book Antiqua" w:eastAsia="Book Antiqua" w:hAnsi="Book Antiqua" w:cs="Arial"/>
          <w:sz w:val="24"/>
          <w:szCs w:val="24"/>
        </w:rPr>
        <w:t>(</w:t>
      </w:r>
      <w:r w:rsidRPr="00CC6AEB">
        <w:rPr>
          <w:rFonts w:ascii="Book Antiqua" w:eastAsia="Book Antiqua" w:hAnsi="Book Antiqua" w:cs="Arial"/>
          <w:sz w:val="24"/>
          <w:szCs w:val="24"/>
        </w:rPr>
        <w:t>1) highlight the efficacy and safety of DAA therapy in LT recipients with HCV infections and history of HCC</w:t>
      </w:r>
      <w:r w:rsidR="00C3130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and </w:t>
      </w:r>
      <w:r w:rsidR="009804E2" w:rsidRPr="00CC6AEB">
        <w:rPr>
          <w:rFonts w:ascii="Book Antiqua" w:eastAsia="Book Antiqua" w:hAnsi="Book Antiqua" w:cs="Arial"/>
          <w:sz w:val="24"/>
          <w:szCs w:val="24"/>
        </w:rPr>
        <w:t>(</w:t>
      </w:r>
      <w:r w:rsidRPr="00CC6AEB">
        <w:rPr>
          <w:rFonts w:ascii="Book Antiqua" w:eastAsia="Book Antiqua" w:hAnsi="Book Antiqua" w:cs="Arial"/>
          <w:sz w:val="24"/>
          <w:szCs w:val="24"/>
        </w:rPr>
        <w:t>2) investigate the impact of DAA use on post-</w:t>
      </w:r>
      <w:r w:rsidR="00C31309" w:rsidRPr="00CC6AEB">
        <w:rPr>
          <w:rFonts w:ascii="Book Antiqua" w:eastAsia="Book Antiqua" w:hAnsi="Book Antiqua" w:cs="Arial"/>
          <w:sz w:val="24"/>
          <w:szCs w:val="24"/>
        </w:rPr>
        <w:t>transplantation HCC recurrence.</w:t>
      </w:r>
    </w:p>
    <w:p w14:paraId="2CBF0232" w14:textId="77777777" w:rsidR="009804E2" w:rsidRPr="00CC6AEB" w:rsidRDefault="009804E2" w:rsidP="00CC6AEB">
      <w:pPr>
        <w:snapToGrid w:val="0"/>
        <w:spacing w:after="0" w:line="360" w:lineRule="auto"/>
        <w:jc w:val="both"/>
        <w:rPr>
          <w:rFonts w:ascii="Book Antiqua" w:hAnsi="Book Antiqua" w:cs="Arial"/>
          <w:sz w:val="24"/>
          <w:szCs w:val="24"/>
        </w:rPr>
      </w:pPr>
    </w:p>
    <w:p w14:paraId="6E3B54A6" w14:textId="77777777" w:rsidR="00C31309" w:rsidRPr="00CC6AEB" w:rsidRDefault="00C31309" w:rsidP="00CC6AEB">
      <w:pPr>
        <w:adjustRightInd w:val="0"/>
        <w:snapToGrid w:val="0"/>
        <w:spacing w:after="0" w:line="360" w:lineRule="auto"/>
        <w:jc w:val="both"/>
        <w:rPr>
          <w:rFonts w:ascii="Book Antiqua" w:hAnsi="Book Antiqua"/>
          <w:b/>
          <w:sz w:val="24"/>
          <w:szCs w:val="24"/>
          <w:u w:val="single"/>
        </w:rPr>
      </w:pPr>
      <w:r w:rsidRPr="00CC6AEB">
        <w:rPr>
          <w:rFonts w:ascii="Book Antiqua" w:hAnsi="Book Antiqua"/>
          <w:b/>
          <w:sz w:val="24"/>
          <w:szCs w:val="24"/>
          <w:u w:val="single"/>
        </w:rPr>
        <w:t>MATERIALS AND METHODS</w:t>
      </w:r>
    </w:p>
    <w:p w14:paraId="337C4FCF" w14:textId="4714D89B" w:rsidR="00233CCC" w:rsidRPr="00CC6AEB" w:rsidRDefault="00CB6F6A"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Study design</w:t>
      </w:r>
    </w:p>
    <w:p w14:paraId="28FDDC7F" w14:textId="15D91D6F" w:rsidR="004124EB" w:rsidRPr="00CC6AEB" w:rsidRDefault="004124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A total of 106 LT recipients given DAAs for recurrent </w:t>
      </w:r>
      <w:r w:rsidR="009804E2" w:rsidRPr="00CC6AEB">
        <w:rPr>
          <w:rFonts w:ascii="Book Antiqua" w:eastAsia="Book Antiqua" w:hAnsi="Book Antiqua" w:cs="Arial"/>
          <w:sz w:val="24"/>
          <w:szCs w:val="24"/>
        </w:rPr>
        <w:t>HCV</w:t>
      </w:r>
      <w:r w:rsidRPr="00CC6AEB">
        <w:rPr>
          <w:rFonts w:ascii="Book Antiqua" w:eastAsia="Book Antiqua" w:hAnsi="Book Antiqua" w:cs="Arial"/>
          <w:sz w:val="24"/>
          <w:szCs w:val="24"/>
        </w:rPr>
        <w:t xml:space="preserve"> infection from January 1, 2015, to March 1, 2019, at Baylor College of Medicine were retrospectively identified.</w:t>
      </w:r>
    </w:p>
    <w:p w14:paraId="1EB82CD2" w14:textId="69203833" w:rsidR="00233CCC" w:rsidRPr="00CC6AEB" w:rsidRDefault="004124E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 xml:space="preserve">Criteria for study inclusion were </w:t>
      </w:r>
      <w:r w:rsidR="004A041D" w:rsidRPr="00CC6AEB">
        <w:rPr>
          <w:rFonts w:ascii="Book Antiqua" w:eastAsia="Book Antiqua" w:hAnsi="Book Antiqua" w:cs="Arial"/>
          <w:sz w:val="24"/>
          <w:szCs w:val="24"/>
        </w:rPr>
        <w:t>(</w:t>
      </w:r>
      <w:r w:rsidR="000864DD" w:rsidRPr="00CC6AEB">
        <w:rPr>
          <w:rFonts w:ascii="Book Antiqua" w:eastAsia="Book Antiqua" w:hAnsi="Book Antiqua" w:cs="Arial"/>
          <w:sz w:val="24"/>
          <w:szCs w:val="24"/>
        </w:rPr>
        <w:t>1) age of 18 years or older;</w:t>
      </w:r>
      <w:r w:rsidRPr="00CC6AEB">
        <w:rPr>
          <w:rFonts w:ascii="Book Antiqua" w:eastAsia="Book Antiqua" w:hAnsi="Book Antiqua" w:cs="Arial"/>
          <w:sz w:val="24"/>
          <w:szCs w:val="24"/>
        </w:rPr>
        <w:t xml:space="preserve"> </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2</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h</w:t>
      </w:r>
      <w:r w:rsidR="000864DD" w:rsidRPr="00CC6AEB">
        <w:rPr>
          <w:rFonts w:ascii="Book Antiqua" w:eastAsia="Book Antiqua" w:hAnsi="Book Antiqua" w:cs="Arial"/>
          <w:sz w:val="24"/>
          <w:szCs w:val="24"/>
        </w:rPr>
        <w:t>istory of liver transplantation;</w:t>
      </w:r>
      <w:r w:rsidRPr="00CC6AEB">
        <w:rPr>
          <w:rFonts w:ascii="Book Antiqua" w:eastAsia="Book Antiqua" w:hAnsi="Book Antiqua" w:cs="Arial"/>
          <w:sz w:val="24"/>
          <w:szCs w:val="24"/>
        </w:rPr>
        <w:t xml:space="preserve"> </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3) positive anti-HCV and HCV </w:t>
      </w:r>
      <w:r w:rsidR="004A041D" w:rsidRPr="00CC6AEB">
        <w:rPr>
          <w:rFonts w:ascii="Book Antiqua" w:eastAsia="Book Antiqua" w:hAnsi="Book Antiqua" w:cs="Arial"/>
          <w:color w:val="000000" w:themeColor="text1"/>
          <w:sz w:val="24"/>
          <w:szCs w:val="24"/>
        </w:rPr>
        <w:t>ribonucleic acid</w:t>
      </w:r>
      <w:r w:rsidRPr="00CC6AEB">
        <w:rPr>
          <w:rFonts w:ascii="Book Antiqua" w:eastAsia="Book Antiqua" w:hAnsi="Book Antiqua" w:cs="Arial"/>
          <w:sz w:val="24"/>
          <w:szCs w:val="24"/>
        </w:rPr>
        <w:t xml:space="preserve"> prior to and after tra</w:t>
      </w:r>
      <w:r w:rsidR="000864DD" w:rsidRPr="00CC6AEB">
        <w:rPr>
          <w:rFonts w:ascii="Book Antiqua" w:eastAsia="Book Antiqua" w:hAnsi="Book Antiqua" w:cs="Arial"/>
          <w:sz w:val="24"/>
          <w:szCs w:val="24"/>
        </w:rPr>
        <w:t>nsplantation;</w:t>
      </w:r>
      <w:r w:rsidRPr="00CC6AEB">
        <w:rPr>
          <w:rFonts w:ascii="Book Antiqua" w:eastAsia="Book Antiqua" w:hAnsi="Book Antiqua" w:cs="Arial"/>
          <w:sz w:val="24"/>
          <w:szCs w:val="24"/>
        </w:rPr>
        <w:t xml:space="preserve"> and </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4) treatment with an oral DAA regimen with or w</w:t>
      </w:r>
      <w:r w:rsidR="0067213A" w:rsidRPr="00CC6AEB">
        <w:rPr>
          <w:rFonts w:ascii="Book Antiqua" w:eastAsia="Book Antiqua" w:hAnsi="Book Antiqua" w:cs="Arial"/>
          <w:sz w:val="24"/>
          <w:szCs w:val="24"/>
        </w:rPr>
        <w:t xml:space="preserve">ithout ribavirin. </w:t>
      </w:r>
      <w:r w:rsidR="00745112" w:rsidRPr="00CC6AEB">
        <w:rPr>
          <w:rFonts w:ascii="Book Antiqua" w:eastAsia="Book Antiqua" w:hAnsi="Book Antiqua" w:cs="Arial"/>
          <w:sz w:val="24"/>
          <w:szCs w:val="24"/>
        </w:rPr>
        <w:t xml:space="preserve">We excluded </w:t>
      </w:r>
      <w:r w:rsidR="004A041D" w:rsidRPr="00CC6AEB">
        <w:rPr>
          <w:rFonts w:ascii="Book Antiqua" w:eastAsia="Book Antiqua" w:hAnsi="Book Antiqua" w:cs="Arial"/>
          <w:sz w:val="24"/>
          <w:szCs w:val="24"/>
        </w:rPr>
        <w:t>(</w:t>
      </w:r>
      <w:r w:rsidR="00745112" w:rsidRPr="00CC6AEB">
        <w:rPr>
          <w:rFonts w:ascii="Book Antiqua" w:eastAsia="Book Antiqua" w:hAnsi="Book Antiqua" w:cs="Arial"/>
          <w:sz w:val="24"/>
          <w:szCs w:val="24"/>
        </w:rPr>
        <w:t xml:space="preserve">1) patients with active hepatitis B virus (HBV) infection evident by positive </w:t>
      </w:r>
      <w:bookmarkStart w:id="37" w:name="OLE_LINK6"/>
      <w:r w:rsidR="00745112" w:rsidRPr="00CC6AEB">
        <w:rPr>
          <w:rFonts w:ascii="Book Antiqua" w:eastAsia="Book Antiqua" w:hAnsi="Book Antiqua" w:cs="Arial"/>
          <w:sz w:val="24"/>
          <w:szCs w:val="24"/>
        </w:rPr>
        <w:t>hepatitis B surface antigens</w:t>
      </w:r>
      <w:bookmarkEnd w:id="37"/>
      <w:r w:rsidR="00A7275E" w:rsidRPr="00CC6AEB">
        <w:rPr>
          <w:rFonts w:ascii="Book Antiqua" w:eastAsia="Book Antiqua" w:hAnsi="Book Antiqua" w:cs="Arial"/>
          <w:sz w:val="24"/>
          <w:szCs w:val="24"/>
        </w:rPr>
        <w:t xml:space="preserve"> </w:t>
      </w:r>
      <w:r w:rsidR="00745112" w:rsidRPr="00CC6AEB">
        <w:rPr>
          <w:rFonts w:ascii="Book Antiqua" w:eastAsia="Book Antiqua" w:hAnsi="Book Antiqua" w:cs="Arial"/>
          <w:sz w:val="24"/>
          <w:szCs w:val="24"/>
        </w:rPr>
        <w:t xml:space="preserve">or HBV </w:t>
      </w:r>
      <w:r w:rsidR="00A7275E" w:rsidRPr="00CC6AEB">
        <w:rPr>
          <w:rFonts w:ascii="Book Antiqua" w:eastAsia="Book Antiqua" w:hAnsi="Book Antiqua" w:cs="Arial"/>
          <w:sz w:val="24"/>
          <w:szCs w:val="24"/>
        </w:rPr>
        <w:t>deoxyribonucleic acid</w:t>
      </w:r>
      <w:r w:rsidR="000864DD" w:rsidRPr="00CC6AEB">
        <w:rPr>
          <w:rFonts w:ascii="Book Antiqua" w:eastAsia="Book Antiqua" w:hAnsi="Book Antiqua" w:cs="Arial"/>
          <w:sz w:val="24"/>
          <w:szCs w:val="24"/>
        </w:rPr>
        <w:t>;</w:t>
      </w:r>
      <w:r w:rsidR="00745112" w:rsidRPr="00CC6AEB">
        <w:rPr>
          <w:rFonts w:ascii="Book Antiqua" w:eastAsia="Book Antiqua" w:hAnsi="Book Antiqua" w:cs="Arial"/>
          <w:sz w:val="24"/>
          <w:szCs w:val="24"/>
        </w:rPr>
        <w:t xml:space="preserve"> </w:t>
      </w:r>
      <w:r w:rsidR="00A7275E" w:rsidRPr="00CC6AEB">
        <w:rPr>
          <w:rFonts w:ascii="Book Antiqua" w:eastAsia="Book Antiqua" w:hAnsi="Book Antiqua" w:cs="Arial"/>
          <w:sz w:val="24"/>
          <w:szCs w:val="24"/>
        </w:rPr>
        <w:t>(</w:t>
      </w:r>
      <w:r w:rsidR="00745112" w:rsidRPr="00CC6AEB">
        <w:rPr>
          <w:rFonts w:ascii="Book Antiqua" w:eastAsia="Book Antiqua" w:hAnsi="Book Antiqua" w:cs="Arial"/>
          <w:sz w:val="24"/>
          <w:szCs w:val="24"/>
        </w:rPr>
        <w:t>2) patients with hum</w:t>
      </w:r>
      <w:r w:rsidR="000864DD" w:rsidRPr="00CC6AEB">
        <w:rPr>
          <w:rFonts w:ascii="Book Antiqua" w:eastAsia="Book Antiqua" w:hAnsi="Book Antiqua" w:cs="Arial"/>
          <w:sz w:val="24"/>
          <w:szCs w:val="24"/>
        </w:rPr>
        <w:t>an immunodeficiency virus</w:t>
      </w:r>
      <w:r w:rsidR="00745112" w:rsidRPr="00CC6AEB">
        <w:rPr>
          <w:rFonts w:ascii="Book Antiqua" w:eastAsia="Book Antiqua" w:hAnsi="Book Antiqua" w:cs="Arial"/>
          <w:sz w:val="24"/>
          <w:szCs w:val="24"/>
        </w:rPr>
        <w:t xml:space="preserve"> infection</w:t>
      </w:r>
      <w:r w:rsidR="000864DD" w:rsidRPr="00CC6AEB">
        <w:rPr>
          <w:rFonts w:ascii="Book Antiqua" w:eastAsia="Book Antiqua" w:hAnsi="Book Antiqua" w:cs="Arial"/>
          <w:sz w:val="24"/>
          <w:szCs w:val="24"/>
        </w:rPr>
        <w:t>;</w:t>
      </w:r>
      <w:r w:rsidR="008C3C38" w:rsidRPr="00CC6AEB">
        <w:rPr>
          <w:rFonts w:ascii="Book Antiqua" w:eastAsia="Book Antiqua" w:hAnsi="Book Antiqua" w:cs="Arial"/>
          <w:sz w:val="24"/>
          <w:szCs w:val="24"/>
        </w:rPr>
        <w:t xml:space="preserve"> and </w:t>
      </w:r>
      <w:r w:rsidR="00A7275E" w:rsidRPr="00CC6AEB">
        <w:rPr>
          <w:rFonts w:ascii="Book Antiqua" w:eastAsia="Book Antiqua" w:hAnsi="Book Antiqua" w:cs="Arial"/>
          <w:sz w:val="24"/>
          <w:szCs w:val="24"/>
        </w:rPr>
        <w:t>(</w:t>
      </w:r>
      <w:r w:rsidR="008C3C38" w:rsidRPr="00CC6AEB">
        <w:rPr>
          <w:rFonts w:ascii="Book Antiqua" w:eastAsia="Book Antiqua" w:hAnsi="Book Antiqua" w:cs="Arial"/>
          <w:sz w:val="24"/>
          <w:szCs w:val="24"/>
        </w:rPr>
        <w:t>3) any other metabolic, viral or genetic causes of chronic liver disease</w:t>
      </w:r>
      <w:r w:rsidR="00745112"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Patients were classified into two groups: those with pre-t</w:t>
      </w:r>
      <w:r w:rsidRPr="00CC6AEB">
        <w:rPr>
          <w:rFonts w:ascii="Book Antiqua" w:eastAsia="Book Antiqua" w:hAnsi="Book Antiqua" w:cs="Arial"/>
          <w:color w:val="000000" w:themeColor="text1"/>
          <w:sz w:val="24"/>
          <w:szCs w:val="24"/>
        </w:rPr>
        <w:t xml:space="preserve">ransplantation HCC (PHCC; </w:t>
      </w:r>
      <w:r w:rsidRPr="00CC6AEB">
        <w:rPr>
          <w:rFonts w:ascii="Book Antiqua" w:eastAsia="Book Antiqua" w:hAnsi="Book Antiqua" w:cs="Arial"/>
          <w:i/>
          <w:iCs/>
          <w:color w:val="000000" w:themeColor="text1"/>
          <w:sz w:val="24"/>
          <w:szCs w:val="24"/>
        </w:rPr>
        <w:t>n</w:t>
      </w:r>
      <w:r w:rsidRPr="00CC6AEB">
        <w:rPr>
          <w:rFonts w:ascii="Book Antiqua" w:eastAsia="Book Antiqua" w:hAnsi="Book Antiqua" w:cs="Arial"/>
          <w:color w:val="000000" w:themeColor="text1"/>
          <w:sz w:val="24"/>
          <w:szCs w:val="24"/>
        </w:rPr>
        <w:t xml:space="preserve"> = 68) and those without pre-transplantation HCC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w:t>
      </w:r>
      <w:r w:rsidRPr="00CC6AEB">
        <w:rPr>
          <w:rFonts w:ascii="Book Antiqua" w:eastAsia="Book Antiqua" w:hAnsi="Book Antiqua" w:cs="Arial"/>
          <w:i/>
          <w:iCs/>
          <w:color w:val="000000" w:themeColor="text1"/>
          <w:sz w:val="24"/>
          <w:szCs w:val="24"/>
        </w:rPr>
        <w:t>n</w:t>
      </w:r>
      <w:r w:rsidRPr="00CC6AEB">
        <w:rPr>
          <w:rFonts w:ascii="Book Antiqua" w:eastAsia="Book Antiqua" w:hAnsi="Book Antiqua" w:cs="Arial"/>
          <w:color w:val="000000" w:themeColor="text1"/>
          <w:sz w:val="24"/>
          <w:szCs w:val="24"/>
        </w:rPr>
        <w:t xml:space="preserve"> = 38). The initiation of DAA treatment and the regimen type and duration were determined by the treating transplant hepatologists. Demographic and clinical information for each participant </w:t>
      </w:r>
      <w:r w:rsidRPr="00CC6AEB">
        <w:rPr>
          <w:rFonts w:ascii="Book Antiqua" w:eastAsia="Book Antiqua" w:hAnsi="Book Antiqua" w:cs="Arial"/>
          <w:sz w:val="24"/>
          <w:szCs w:val="24"/>
        </w:rPr>
        <w:t xml:space="preserve">were documented and stored in a secure database under a </w:t>
      </w:r>
      <w:r w:rsidR="003710AE" w:rsidRPr="00CC6AEB">
        <w:rPr>
          <w:rFonts w:ascii="Book Antiqua" w:eastAsia="Book Antiqua" w:hAnsi="Book Antiqua" w:cs="Arial"/>
          <w:sz w:val="24"/>
          <w:szCs w:val="24"/>
        </w:rPr>
        <w:t>Baylor College of Medicine</w:t>
      </w:r>
      <w:r w:rsidR="00C346D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Institutional Review Board-approved protocol. All patients gave written informed consent for data collection prior to their LTs.</w:t>
      </w:r>
    </w:p>
    <w:p w14:paraId="2BD79AB5" w14:textId="77777777" w:rsidR="00CB6F6A" w:rsidRPr="00CC6AEB" w:rsidRDefault="00CB6F6A" w:rsidP="00CC6AEB">
      <w:pPr>
        <w:snapToGrid w:val="0"/>
        <w:spacing w:after="0" w:line="360" w:lineRule="auto"/>
        <w:jc w:val="both"/>
        <w:rPr>
          <w:rFonts w:ascii="Book Antiqua" w:eastAsia="Book Antiqua" w:hAnsi="Book Antiqua" w:cs="Arial"/>
          <w:sz w:val="24"/>
          <w:szCs w:val="24"/>
        </w:rPr>
      </w:pPr>
    </w:p>
    <w:p w14:paraId="1A9C4570" w14:textId="108B45A6" w:rsidR="00233CCC" w:rsidRPr="00CC6AEB" w:rsidRDefault="000864DD"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Patient information</w:t>
      </w:r>
    </w:p>
    <w:p w14:paraId="7820A8A9" w14:textId="4B9D336D"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color w:val="000000" w:themeColor="text1"/>
          <w:sz w:val="24"/>
          <w:szCs w:val="24"/>
        </w:rPr>
        <w:t xml:space="preserve">Clinical </w:t>
      </w:r>
      <w:r w:rsidR="000864DD" w:rsidRPr="00CC6AEB">
        <w:rPr>
          <w:rFonts w:ascii="Book Antiqua" w:eastAsia="Book Antiqua" w:hAnsi="Book Antiqua" w:cs="Arial"/>
          <w:b/>
          <w:color w:val="000000" w:themeColor="text1"/>
          <w:sz w:val="24"/>
          <w:szCs w:val="24"/>
        </w:rPr>
        <w:t>data:</w:t>
      </w:r>
      <w:r w:rsidRPr="00CC6AEB">
        <w:rPr>
          <w:rFonts w:ascii="Book Antiqua" w:eastAsia="Book Antiqua" w:hAnsi="Book Antiqua" w:cs="Arial"/>
          <w:color w:val="FF0000"/>
          <w:sz w:val="24"/>
          <w:szCs w:val="24"/>
        </w:rPr>
        <w:t xml:space="preserve"> </w:t>
      </w:r>
      <w:r w:rsidR="004124EB" w:rsidRPr="00CC6AEB">
        <w:rPr>
          <w:rFonts w:ascii="Book Antiqua" w:eastAsia="Book Antiqua" w:hAnsi="Book Antiqua" w:cs="Arial"/>
          <w:sz w:val="24"/>
          <w:szCs w:val="24"/>
        </w:rPr>
        <w:t>The collected information included the following baseline characteristics: age, sex, ethnicity, body mass index (BMI), medical history (comorbid conditions, stage of liver disease), adverse events, baseline (at time of DAA initiation) and on-treatment labora</w:t>
      </w:r>
      <w:r w:rsidR="000864DD" w:rsidRPr="00CC6AEB">
        <w:rPr>
          <w:rFonts w:ascii="Book Antiqua" w:eastAsia="Book Antiqua" w:hAnsi="Book Antiqua" w:cs="Arial"/>
          <w:sz w:val="24"/>
          <w:szCs w:val="24"/>
        </w:rPr>
        <w:t xml:space="preserve">tory values obtained every 4 </w:t>
      </w:r>
      <w:proofErr w:type="spellStart"/>
      <w:r w:rsidR="000864DD" w:rsidRPr="00CC6AEB">
        <w:rPr>
          <w:rFonts w:ascii="Book Antiqua" w:eastAsia="Book Antiqua" w:hAnsi="Book Antiqua" w:cs="Arial"/>
          <w:sz w:val="24"/>
          <w:szCs w:val="24"/>
        </w:rPr>
        <w:t>wk</w:t>
      </w:r>
      <w:proofErr w:type="spellEnd"/>
      <w:r w:rsidR="004124EB" w:rsidRPr="00CC6AEB">
        <w:rPr>
          <w:rFonts w:ascii="Book Antiqua" w:eastAsia="Book Antiqua" w:hAnsi="Book Antiqua" w:cs="Arial"/>
          <w:sz w:val="24"/>
          <w:szCs w:val="24"/>
        </w:rPr>
        <w:t>, including HCV</w:t>
      </w:r>
      <w:r w:rsidR="004124EB" w:rsidRPr="00CC6AEB">
        <w:rPr>
          <w:rFonts w:ascii="Book Antiqua" w:eastAsia="Book Antiqua" w:hAnsi="Book Antiqua" w:cs="Arial"/>
          <w:color w:val="000000" w:themeColor="text1"/>
          <w:sz w:val="24"/>
          <w:szCs w:val="24"/>
        </w:rPr>
        <w:t xml:space="preserve"> </w:t>
      </w:r>
      <w:r w:rsidR="00652649" w:rsidRPr="00CC6AEB">
        <w:rPr>
          <w:rFonts w:ascii="Book Antiqua" w:eastAsia="Book Antiqua" w:hAnsi="Book Antiqua" w:cs="Arial"/>
          <w:color w:val="000000" w:themeColor="text1"/>
          <w:sz w:val="24"/>
          <w:szCs w:val="24"/>
        </w:rPr>
        <w:t>ribonucleic acid</w:t>
      </w:r>
      <w:r w:rsidR="004124EB" w:rsidRPr="00CC6AEB">
        <w:rPr>
          <w:rFonts w:ascii="Book Antiqua" w:eastAsia="Book Antiqua" w:hAnsi="Book Antiqua" w:cs="Arial"/>
          <w:color w:val="000000" w:themeColor="text1"/>
          <w:sz w:val="24"/>
          <w:szCs w:val="24"/>
        </w:rPr>
        <w:t xml:space="preserve"> l</w:t>
      </w:r>
      <w:r w:rsidR="004124EB" w:rsidRPr="00CC6AEB">
        <w:rPr>
          <w:rFonts w:ascii="Book Antiqua" w:eastAsia="Book Antiqua" w:hAnsi="Book Antiqua" w:cs="Arial"/>
          <w:sz w:val="24"/>
          <w:szCs w:val="24"/>
        </w:rPr>
        <w:t>evels, until the end of treatment (EOT) and at follow-up visits. BMI was calculated at treatment initiation, the EOT, and the last follow-up visit (normal BMI, &lt;</w:t>
      </w:r>
      <w:r w:rsidR="00652649" w:rsidRPr="00CC6AEB">
        <w:rPr>
          <w:rFonts w:ascii="Book Antiqua" w:eastAsia="Book Antiqua" w:hAnsi="Book Antiqua" w:cs="Arial"/>
          <w:sz w:val="24"/>
          <w:szCs w:val="24"/>
        </w:rPr>
        <w:t xml:space="preserve"> </w:t>
      </w:r>
      <w:r w:rsidR="004124EB" w:rsidRPr="00CC6AEB">
        <w:rPr>
          <w:rFonts w:ascii="Book Antiqua" w:eastAsia="Book Antiqua" w:hAnsi="Book Antiqua" w:cs="Arial"/>
          <w:sz w:val="24"/>
          <w:szCs w:val="24"/>
        </w:rPr>
        <w:t xml:space="preserve">25 </w:t>
      </w:r>
      <w:r w:rsidR="000864DD" w:rsidRPr="00CC6AEB">
        <w:rPr>
          <w:rFonts w:ascii="Book Antiqua" w:eastAsia="Book Antiqua" w:hAnsi="Book Antiqua" w:cs="Arial"/>
          <w:sz w:val="24"/>
          <w:szCs w:val="24"/>
        </w:rPr>
        <w:t>k</w:t>
      </w:r>
      <w:r w:rsidR="004124EB" w:rsidRPr="00CC6AEB">
        <w:rPr>
          <w:rFonts w:ascii="Book Antiqua" w:eastAsia="Book Antiqua" w:hAnsi="Book Antiqua" w:cs="Arial"/>
          <w:sz w:val="24"/>
          <w:szCs w:val="24"/>
        </w:rPr>
        <w:t>g/m</w:t>
      </w:r>
      <w:r w:rsidR="004124EB" w:rsidRPr="00CC6AEB">
        <w:rPr>
          <w:rFonts w:ascii="Book Antiqua" w:eastAsia="Book Antiqua" w:hAnsi="Book Antiqua" w:cs="Arial"/>
          <w:sz w:val="24"/>
          <w:szCs w:val="24"/>
          <w:vertAlign w:val="superscript"/>
        </w:rPr>
        <w:t>2</w:t>
      </w:r>
      <w:r w:rsidR="004124EB" w:rsidRPr="00CC6AEB">
        <w:rPr>
          <w:rFonts w:ascii="Book Antiqua" w:eastAsia="Book Antiqua" w:hAnsi="Book Antiqua" w:cs="Arial"/>
          <w:sz w:val="24"/>
          <w:szCs w:val="24"/>
        </w:rPr>
        <w:t xml:space="preserve">; overweight, 25-30 </w:t>
      </w:r>
      <w:r w:rsidR="000864DD" w:rsidRPr="00CC6AEB">
        <w:rPr>
          <w:rFonts w:ascii="Book Antiqua" w:eastAsia="Book Antiqua" w:hAnsi="Book Antiqua" w:cs="Arial"/>
          <w:sz w:val="24"/>
          <w:szCs w:val="24"/>
        </w:rPr>
        <w:t>k</w:t>
      </w:r>
      <w:r w:rsidR="004124EB" w:rsidRPr="00CC6AEB">
        <w:rPr>
          <w:rFonts w:ascii="Book Antiqua" w:eastAsia="Book Antiqua" w:hAnsi="Book Antiqua" w:cs="Arial"/>
          <w:sz w:val="24"/>
          <w:szCs w:val="24"/>
        </w:rPr>
        <w:t>g/m</w:t>
      </w:r>
      <w:r w:rsidR="004124EB" w:rsidRPr="00CC6AEB">
        <w:rPr>
          <w:rFonts w:ascii="Book Antiqua" w:eastAsia="Book Antiqua" w:hAnsi="Book Antiqua" w:cs="Arial"/>
          <w:sz w:val="24"/>
          <w:szCs w:val="24"/>
          <w:vertAlign w:val="superscript"/>
        </w:rPr>
        <w:t>2</w:t>
      </w:r>
      <w:r w:rsidR="004124EB" w:rsidRPr="00CC6AEB">
        <w:rPr>
          <w:rFonts w:ascii="Book Antiqua" w:eastAsia="Book Antiqua" w:hAnsi="Book Antiqua" w:cs="Arial"/>
          <w:sz w:val="24"/>
          <w:szCs w:val="24"/>
        </w:rPr>
        <w:t>; obese, &gt;</w:t>
      </w:r>
      <w:r w:rsidR="00652649" w:rsidRPr="00CC6AEB">
        <w:rPr>
          <w:rFonts w:ascii="Book Antiqua" w:eastAsia="Book Antiqua" w:hAnsi="Book Antiqua" w:cs="Arial"/>
          <w:sz w:val="24"/>
          <w:szCs w:val="24"/>
        </w:rPr>
        <w:t xml:space="preserve"> </w:t>
      </w:r>
      <w:r w:rsidR="004124EB" w:rsidRPr="00CC6AEB">
        <w:rPr>
          <w:rFonts w:ascii="Book Antiqua" w:eastAsia="Book Antiqua" w:hAnsi="Book Antiqua" w:cs="Arial"/>
          <w:sz w:val="24"/>
          <w:szCs w:val="24"/>
        </w:rPr>
        <w:t xml:space="preserve">30 </w:t>
      </w:r>
      <w:r w:rsidR="000864DD" w:rsidRPr="00CC6AEB">
        <w:rPr>
          <w:rFonts w:ascii="Book Antiqua" w:eastAsia="Book Antiqua" w:hAnsi="Book Antiqua" w:cs="Arial"/>
          <w:sz w:val="24"/>
          <w:szCs w:val="24"/>
        </w:rPr>
        <w:t>k</w:t>
      </w:r>
      <w:r w:rsidR="004124EB" w:rsidRPr="00CC6AEB">
        <w:rPr>
          <w:rFonts w:ascii="Book Antiqua" w:eastAsia="Book Antiqua" w:hAnsi="Book Antiqua" w:cs="Arial"/>
          <w:sz w:val="24"/>
          <w:szCs w:val="24"/>
        </w:rPr>
        <w:t>g/m</w:t>
      </w:r>
      <w:r w:rsidR="004124EB" w:rsidRPr="00CC6AEB">
        <w:rPr>
          <w:rFonts w:ascii="Book Antiqua" w:eastAsia="Book Antiqua" w:hAnsi="Book Antiqua" w:cs="Arial"/>
          <w:sz w:val="24"/>
          <w:szCs w:val="24"/>
          <w:vertAlign w:val="superscript"/>
        </w:rPr>
        <w:t>2</w:t>
      </w:r>
      <w:r w:rsidR="004124EB" w:rsidRPr="00CC6AEB">
        <w:rPr>
          <w:rFonts w:ascii="Book Antiqua" w:eastAsia="Book Antiqua" w:hAnsi="Book Antiqua" w:cs="Arial"/>
          <w:sz w:val="24"/>
          <w:szCs w:val="24"/>
        </w:rPr>
        <w:t>).</w:t>
      </w:r>
    </w:p>
    <w:p w14:paraId="49FBAE12" w14:textId="77777777" w:rsidR="000864DD" w:rsidRPr="00CC6AEB" w:rsidRDefault="000864DD" w:rsidP="00CC6AEB">
      <w:pPr>
        <w:snapToGrid w:val="0"/>
        <w:spacing w:after="0" w:line="360" w:lineRule="auto"/>
        <w:jc w:val="both"/>
        <w:rPr>
          <w:rFonts w:ascii="Book Antiqua" w:eastAsia="Book Antiqua" w:hAnsi="Book Antiqua" w:cs="Arial"/>
          <w:b/>
          <w:sz w:val="24"/>
          <w:szCs w:val="24"/>
        </w:rPr>
      </w:pPr>
    </w:p>
    <w:p w14:paraId="2920A7B5" w14:textId="1A849D7C" w:rsidR="00233CCC" w:rsidRPr="00CC6AEB" w:rsidRDefault="000864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Laboratory data</w:t>
      </w:r>
      <w:r w:rsidRPr="00CC6AEB">
        <w:rPr>
          <w:rFonts w:ascii="Book Antiqua" w:hAnsi="Book Antiqua" w:cs="Arial"/>
          <w:b/>
          <w:sz w:val="24"/>
          <w:szCs w:val="24"/>
          <w:lang w:eastAsia="zh-CN"/>
        </w:rPr>
        <w:t xml:space="preserve">: </w:t>
      </w:r>
      <w:r w:rsidR="00851851" w:rsidRPr="00CC6AEB">
        <w:rPr>
          <w:rFonts w:ascii="Book Antiqua" w:eastAsia="Book Antiqua" w:hAnsi="Book Antiqua" w:cs="Arial"/>
          <w:sz w:val="24"/>
          <w:szCs w:val="24"/>
        </w:rPr>
        <w:t xml:space="preserve">The following laboratory test results were analyzed: anti-HCV and HCV </w:t>
      </w:r>
      <w:r w:rsidR="00F072CF" w:rsidRPr="00CC6AEB">
        <w:rPr>
          <w:rFonts w:ascii="Book Antiqua" w:eastAsia="Book Antiqua" w:hAnsi="Book Antiqua" w:cs="Arial"/>
          <w:color w:val="000000" w:themeColor="text1"/>
          <w:sz w:val="24"/>
          <w:szCs w:val="24"/>
        </w:rPr>
        <w:t>ribonucleic acid</w:t>
      </w:r>
      <w:r w:rsidR="00851851" w:rsidRPr="00CC6AEB">
        <w:rPr>
          <w:rFonts w:ascii="Book Antiqua" w:eastAsia="Book Antiqua" w:hAnsi="Book Antiqua" w:cs="Arial"/>
          <w:color w:val="000000" w:themeColor="text1"/>
          <w:sz w:val="24"/>
          <w:szCs w:val="24"/>
        </w:rPr>
        <w:t xml:space="preserve"> l</w:t>
      </w:r>
      <w:r w:rsidR="00851851" w:rsidRPr="00CC6AEB">
        <w:rPr>
          <w:rFonts w:ascii="Book Antiqua" w:eastAsia="Book Antiqua" w:hAnsi="Book Antiqua" w:cs="Arial"/>
          <w:sz w:val="24"/>
          <w:szCs w:val="24"/>
        </w:rPr>
        <w:t xml:space="preserve">evels; HCV genotypes; </w:t>
      </w:r>
      <w:r w:rsidR="00A7275E" w:rsidRPr="00CC6AEB">
        <w:rPr>
          <w:rFonts w:ascii="Book Antiqua" w:eastAsia="Book Antiqua" w:hAnsi="Book Antiqua" w:cs="Arial"/>
          <w:sz w:val="24"/>
          <w:szCs w:val="24"/>
        </w:rPr>
        <w:t>hepatitis B surface antigens</w:t>
      </w:r>
      <w:r w:rsidR="00851851" w:rsidRPr="00CC6AEB">
        <w:rPr>
          <w:rFonts w:ascii="Book Antiqua" w:eastAsia="Book Antiqua" w:hAnsi="Book Antiqua" w:cs="Arial"/>
          <w:sz w:val="24"/>
          <w:szCs w:val="24"/>
        </w:rPr>
        <w:t>; anti-hepatitis B surface antibodies; hepatiti</w:t>
      </w:r>
      <w:r w:rsidR="00B82195" w:rsidRPr="00CC6AEB">
        <w:rPr>
          <w:rFonts w:ascii="Book Antiqua" w:eastAsia="Book Antiqua" w:hAnsi="Book Antiqua" w:cs="Arial"/>
          <w:sz w:val="24"/>
          <w:szCs w:val="24"/>
        </w:rPr>
        <w:t>s B core antibodies</w:t>
      </w:r>
      <w:r w:rsidR="00851851" w:rsidRPr="00CC6AEB">
        <w:rPr>
          <w:rFonts w:ascii="Book Antiqua" w:eastAsia="Book Antiqua" w:hAnsi="Book Antiqua" w:cs="Arial"/>
          <w:sz w:val="24"/>
          <w:szCs w:val="24"/>
        </w:rPr>
        <w:t xml:space="preserve">; </w:t>
      </w:r>
      <w:r w:rsidR="00851851" w:rsidRPr="00CC6AEB">
        <w:rPr>
          <w:rFonts w:ascii="Book Antiqua" w:eastAsia="Book Antiqua" w:hAnsi="Book Antiqua" w:cs="Arial"/>
          <w:color w:val="000000" w:themeColor="text1"/>
          <w:sz w:val="24"/>
          <w:szCs w:val="24"/>
        </w:rPr>
        <w:t>anti-</w:t>
      </w:r>
      <w:r w:rsidR="00A7275E" w:rsidRPr="00CC6AEB">
        <w:rPr>
          <w:rFonts w:ascii="Book Antiqua" w:eastAsia="Book Antiqua" w:hAnsi="Book Antiqua" w:cs="Arial"/>
          <w:color w:val="000000" w:themeColor="text1"/>
          <w:sz w:val="24"/>
          <w:szCs w:val="24"/>
        </w:rPr>
        <w:t>human immunodeficiency virus</w:t>
      </w:r>
      <w:r w:rsidR="00851851" w:rsidRPr="00CC6AEB">
        <w:rPr>
          <w:rFonts w:ascii="Book Antiqua" w:eastAsia="Book Antiqua" w:hAnsi="Book Antiqua" w:cs="Arial"/>
          <w:sz w:val="24"/>
          <w:szCs w:val="24"/>
        </w:rPr>
        <w:t xml:space="preserve"> antibodies;</w:t>
      </w:r>
      <w:r w:rsidR="008F3148" w:rsidRPr="00CC6AEB">
        <w:rPr>
          <w:rFonts w:ascii="Book Antiqua" w:eastAsia="Book Antiqua" w:hAnsi="Book Antiqua" w:cs="Arial"/>
          <w:sz w:val="24"/>
          <w:szCs w:val="24"/>
        </w:rPr>
        <w:t xml:space="preserve"> Epstein-Barr virus, </w:t>
      </w:r>
      <w:proofErr w:type="spellStart"/>
      <w:r w:rsidR="008F3148" w:rsidRPr="00CC6AEB">
        <w:rPr>
          <w:rFonts w:ascii="Book Antiqua" w:eastAsia="Book Antiqua" w:hAnsi="Book Antiqua" w:cs="Arial"/>
          <w:sz w:val="24"/>
          <w:szCs w:val="24"/>
        </w:rPr>
        <w:t>cyotmegalovirus</w:t>
      </w:r>
      <w:proofErr w:type="spellEnd"/>
      <w:r w:rsidR="008F3148" w:rsidRPr="00CC6AEB">
        <w:rPr>
          <w:rFonts w:ascii="Book Antiqua" w:eastAsia="Book Antiqua" w:hAnsi="Book Antiqua" w:cs="Arial"/>
          <w:sz w:val="24"/>
          <w:szCs w:val="24"/>
        </w:rPr>
        <w:t>, iron studies, ceruloplasmin, auto-antibodies,</w:t>
      </w:r>
      <w:r w:rsidR="00851851" w:rsidRPr="00CC6AEB">
        <w:rPr>
          <w:rFonts w:ascii="Book Antiqua" w:eastAsia="Book Antiqua" w:hAnsi="Book Antiqua" w:cs="Arial"/>
          <w:sz w:val="24"/>
          <w:szCs w:val="24"/>
        </w:rPr>
        <w:t xml:space="preserve"> serum albumin, alkaline phosphatase, </w:t>
      </w:r>
      <w:r w:rsidR="00851851" w:rsidRPr="00CC6AEB">
        <w:rPr>
          <w:rFonts w:ascii="Book Antiqua" w:eastAsia="Book Antiqua" w:hAnsi="Book Antiqua" w:cs="Arial"/>
          <w:sz w:val="24"/>
          <w:szCs w:val="24"/>
        </w:rPr>
        <w:lastRenderedPageBreak/>
        <w:t xml:space="preserve">creatinine, sodium, alanine aminotransferase, and total bilirubin levels; prothrombin time and international normalized ratio; hemoglobin levels; and platelet counts. </w:t>
      </w:r>
      <w:r w:rsidR="00D9432D" w:rsidRPr="00CC6AEB">
        <w:rPr>
          <w:rFonts w:ascii="Book Antiqua" w:eastAsia="Book Antiqua" w:hAnsi="Book Antiqua" w:cs="Arial"/>
          <w:sz w:val="24"/>
          <w:szCs w:val="24"/>
        </w:rPr>
        <w:t xml:space="preserve">Test results were analyzed to exclude other viral, metabolic, autoimmune causes of liver disease. </w:t>
      </w:r>
      <w:r w:rsidR="00851851" w:rsidRPr="00CC6AEB">
        <w:rPr>
          <w:rFonts w:ascii="Book Antiqua" w:eastAsia="Book Antiqua" w:hAnsi="Book Antiqua" w:cs="Arial"/>
          <w:sz w:val="24"/>
          <w:szCs w:val="24"/>
        </w:rPr>
        <w:t>Estimated glomerular filtration rates were calculated using the Modification of Diet in Renal D</w:t>
      </w:r>
      <w:r w:rsidR="00C05386" w:rsidRPr="00CC6AEB">
        <w:rPr>
          <w:rFonts w:ascii="Book Antiqua" w:eastAsia="Book Antiqua" w:hAnsi="Book Antiqua" w:cs="Arial"/>
          <w:sz w:val="24"/>
          <w:szCs w:val="24"/>
        </w:rPr>
        <w:t>isease equation. The model for end-stage liver d</w:t>
      </w:r>
      <w:r w:rsidR="00851851" w:rsidRPr="00CC6AEB">
        <w:rPr>
          <w:rFonts w:ascii="Book Antiqua" w:eastAsia="Book Antiqua" w:hAnsi="Book Antiqua" w:cs="Arial"/>
          <w:sz w:val="24"/>
          <w:szCs w:val="24"/>
        </w:rPr>
        <w:t>isease-sodium score was calculated using serum bilirubin, creatinine, and sodium levels and the international normalized ratio.</w:t>
      </w:r>
    </w:p>
    <w:p w14:paraId="14288990" w14:textId="77777777" w:rsidR="000864DD" w:rsidRPr="00CC6AEB" w:rsidRDefault="000864DD" w:rsidP="00CC6AEB">
      <w:pPr>
        <w:snapToGrid w:val="0"/>
        <w:spacing w:after="0" w:line="360" w:lineRule="auto"/>
        <w:jc w:val="both"/>
        <w:rPr>
          <w:rFonts w:ascii="Book Antiqua" w:eastAsia="Book Antiqua" w:hAnsi="Book Antiqua" w:cs="Arial"/>
          <w:sz w:val="24"/>
          <w:szCs w:val="24"/>
        </w:rPr>
      </w:pPr>
    </w:p>
    <w:p w14:paraId="64CE9E4C" w14:textId="16C6E830" w:rsidR="00233CCC" w:rsidRPr="00CC6AEB" w:rsidRDefault="000864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Clinical efficacy:</w:t>
      </w:r>
      <w:r w:rsidR="00233CCC" w:rsidRPr="00CC6AEB">
        <w:rPr>
          <w:rFonts w:ascii="Book Antiqua" w:eastAsia="Book Antiqua" w:hAnsi="Book Antiqua" w:cs="Arial"/>
          <w:sz w:val="24"/>
          <w:szCs w:val="24"/>
        </w:rPr>
        <w:t xml:space="preserve"> </w:t>
      </w:r>
      <w:r w:rsidR="00851851" w:rsidRPr="00CC6AEB">
        <w:rPr>
          <w:rFonts w:ascii="Book Antiqua" w:eastAsia="Book Antiqua" w:hAnsi="Book Antiqua" w:cs="Arial"/>
          <w:sz w:val="24"/>
          <w:szCs w:val="24"/>
        </w:rPr>
        <w:t>Treatment efficacy was demonstrated</w:t>
      </w:r>
      <w:r w:rsidR="00851851" w:rsidRPr="00CC6AEB">
        <w:rPr>
          <w:rFonts w:ascii="Book Antiqua" w:eastAsia="Book Antiqua" w:hAnsi="Book Antiqua" w:cs="Arial"/>
          <w:color w:val="FF0000"/>
          <w:sz w:val="24"/>
          <w:szCs w:val="24"/>
        </w:rPr>
        <w:t xml:space="preserve"> </w:t>
      </w:r>
      <w:r w:rsidR="00851851" w:rsidRPr="00CC6AEB">
        <w:rPr>
          <w:rFonts w:ascii="Book Antiqua" w:eastAsia="Book Antiqua" w:hAnsi="Book Antiqua" w:cs="Arial"/>
          <w:color w:val="000000" w:themeColor="text1"/>
          <w:sz w:val="24"/>
          <w:szCs w:val="24"/>
        </w:rPr>
        <w:t xml:space="preserve">by </w:t>
      </w:r>
      <w:r w:rsidR="00C471A1" w:rsidRPr="00CC6AEB">
        <w:rPr>
          <w:rFonts w:ascii="Book Antiqua" w:eastAsia="Book Antiqua" w:hAnsi="Book Antiqua" w:cs="Arial"/>
          <w:sz w:val="24"/>
          <w:szCs w:val="24"/>
        </w:rPr>
        <w:t>sustained virologic response</w:t>
      </w:r>
      <w:r w:rsidR="00851851" w:rsidRPr="00CC6AEB">
        <w:rPr>
          <w:rFonts w:ascii="Book Antiqua" w:eastAsia="Book Antiqua" w:hAnsi="Book Antiqua" w:cs="Arial"/>
          <w:color w:val="000000" w:themeColor="text1"/>
          <w:sz w:val="24"/>
          <w:szCs w:val="24"/>
        </w:rPr>
        <w:t xml:space="preserve"> at follow-up week 12</w:t>
      </w:r>
      <w:r w:rsidR="00851851" w:rsidRPr="00CC6AEB">
        <w:rPr>
          <w:rFonts w:ascii="Book Antiqua" w:eastAsia="Book Antiqua" w:hAnsi="Book Antiqua" w:cs="Arial"/>
          <w:sz w:val="24"/>
          <w:szCs w:val="24"/>
        </w:rPr>
        <w:t xml:space="preserve">, defined as an undetectable HCV </w:t>
      </w:r>
      <w:r w:rsidR="00F072CF" w:rsidRPr="00CC6AEB">
        <w:rPr>
          <w:rFonts w:ascii="Book Antiqua" w:eastAsia="Book Antiqua" w:hAnsi="Book Antiqua" w:cs="Arial"/>
          <w:color w:val="000000" w:themeColor="text1"/>
          <w:sz w:val="24"/>
          <w:szCs w:val="24"/>
        </w:rPr>
        <w:t>ribonucleic acid</w:t>
      </w:r>
      <w:r w:rsidR="00851851" w:rsidRPr="00CC6AEB">
        <w:rPr>
          <w:rFonts w:ascii="Book Antiqua" w:eastAsia="Book Antiqua" w:hAnsi="Book Antiqua" w:cs="Arial"/>
          <w:sz w:val="24"/>
          <w:szCs w:val="24"/>
        </w:rPr>
        <w:t xml:space="preserve"> level in the blood at week 12 after the EOT. Accordingly, patients were classified as having DAA responses or failures.</w:t>
      </w:r>
    </w:p>
    <w:p w14:paraId="67C63F1E" w14:textId="77777777" w:rsidR="000864DD" w:rsidRPr="00CC6AEB" w:rsidRDefault="000864DD" w:rsidP="00CC6AEB">
      <w:pPr>
        <w:snapToGrid w:val="0"/>
        <w:spacing w:after="0" w:line="360" w:lineRule="auto"/>
        <w:jc w:val="both"/>
        <w:rPr>
          <w:rFonts w:ascii="Book Antiqua" w:eastAsia="Book Antiqua" w:hAnsi="Book Antiqua" w:cs="Arial"/>
          <w:sz w:val="24"/>
          <w:szCs w:val="24"/>
        </w:rPr>
      </w:pPr>
    </w:p>
    <w:p w14:paraId="78ADCEE5" w14:textId="33EF36EB" w:rsidR="00851851" w:rsidRPr="00CC6AEB" w:rsidRDefault="000864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Clinical safety:</w:t>
      </w:r>
      <w:r w:rsidR="00233CCC" w:rsidRPr="00CC6AEB">
        <w:rPr>
          <w:rFonts w:ascii="Book Antiqua" w:eastAsia="Book Antiqua" w:hAnsi="Book Antiqua" w:cs="Arial"/>
          <w:sz w:val="24"/>
          <w:szCs w:val="24"/>
        </w:rPr>
        <w:t xml:space="preserve"> </w:t>
      </w:r>
      <w:r w:rsidR="00851851" w:rsidRPr="00CC6AEB">
        <w:rPr>
          <w:rFonts w:ascii="Book Antiqua" w:eastAsia="Book Antiqua" w:hAnsi="Book Antiqua" w:cs="Arial"/>
          <w:sz w:val="24"/>
          <w:szCs w:val="24"/>
        </w:rPr>
        <w:t xml:space="preserve">Adverse events were defined as any events that required an HCV medication dose reduction or treatment discontinuation or the addition of a concomitant medication for management. Events of special interest in this study were HCC recurrence, </w:t>
      </w:r>
      <w:r w:rsidRPr="00CC6AEB">
        <w:rPr>
          <w:rFonts w:ascii="Book Antiqua" w:eastAsia="Book Antiqua" w:hAnsi="Book Antiqua" w:cs="Arial"/>
          <w:sz w:val="24"/>
          <w:szCs w:val="24"/>
        </w:rPr>
        <w:t>HBV</w:t>
      </w:r>
      <w:r w:rsidR="00851851" w:rsidRPr="00CC6AEB">
        <w:rPr>
          <w:rFonts w:ascii="Book Antiqua" w:eastAsia="Book Antiqua" w:hAnsi="Book Antiqua" w:cs="Arial"/>
          <w:sz w:val="24"/>
          <w:szCs w:val="24"/>
        </w:rPr>
        <w:t xml:space="preserve"> reactivation and acute allograft rejection.</w:t>
      </w:r>
    </w:p>
    <w:p w14:paraId="201FC3FD" w14:textId="77777777" w:rsidR="007E4FAB" w:rsidRPr="00CC6AEB" w:rsidRDefault="007E4FAB" w:rsidP="00CC6AEB">
      <w:pPr>
        <w:snapToGrid w:val="0"/>
        <w:spacing w:after="0" w:line="360" w:lineRule="auto"/>
        <w:jc w:val="both"/>
        <w:rPr>
          <w:rFonts w:ascii="Book Antiqua" w:hAnsi="Book Antiqua" w:cs="Arial"/>
          <w:color w:val="000000"/>
          <w:sz w:val="24"/>
          <w:szCs w:val="24"/>
        </w:rPr>
      </w:pPr>
    </w:p>
    <w:p w14:paraId="730AE189" w14:textId="77777777"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Statistical Analysis</w:t>
      </w:r>
    </w:p>
    <w:p w14:paraId="6BC34B25" w14:textId="1A460A68" w:rsidR="00730FDD" w:rsidRPr="00CC6AEB" w:rsidRDefault="00730F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Stata software (Stata Corp, College Station, </w:t>
      </w:r>
      <w:r w:rsidR="00B20859" w:rsidRPr="00CC6AEB">
        <w:rPr>
          <w:rFonts w:ascii="Book Antiqua" w:eastAsia="Book Antiqua" w:hAnsi="Book Antiqua" w:cs="Arial"/>
          <w:sz w:val="24"/>
          <w:szCs w:val="24"/>
        </w:rPr>
        <w:t>TX</w:t>
      </w:r>
      <w:r w:rsidR="00C471A1" w:rsidRPr="00CC6AEB">
        <w:rPr>
          <w:rFonts w:ascii="Book Antiqua" w:eastAsia="Book Antiqua" w:hAnsi="Book Antiqua" w:cs="Arial"/>
          <w:sz w:val="24"/>
          <w:szCs w:val="24"/>
        </w:rPr>
        <w:t>, United States</w:t>
      </w:r>
      <w:r w:rsidRPr="00CC6AEB">
        <w:rPr>
          <w:rFonts w:ascii="Book Antiqua" w:eastAsia="Book Antiqua" w:hAnsi="Book Antiqua" w:cs="Arial"/>
          <w:sz w:val="24"/>
          <w:szCs w:val="24"/>
        </w:rPr>
        <w:t xml:space="preserve">) was used for statistical analysis. Descriptive statistics were employed, with Student </w:t>
      </w:r>
      <w:r w:rsidRPr="00CC6AEB">
        <w:rPr>
          <w:rFonts w:ascii="Book Antiqua" w:eastAsia="Book Antiqua" w:hAnsi="Book Antiqua" w:cs="Arial"/>
          <w:i/>
          <w:sz w:val="24"/>
          <w:szCs w:val="24"/>
        </w:rPr>
        <w:t>t</w:t>
      </w:r>
      <w:r w:rsidRPr="00CC6AEB">
        <w:rPr>
          <w:rFonts w:ascii="Book Antiqua" w:eastAsia="Book Antiqua" w:hAnsi="Book Antiqua" w:cs="Arial"/>
          <w:sz w:val="24"/>
          <w:szCs w:val="24"/>
        </w:rPr>
        <w:t>-test and Mann-Whitney-Wilcoxon test statistics used to assess the significance of mean and median differences in continuous v</w:t>
      </w:r>
      <w:r w:rsidR="0067213A" w:rsidRPr="00CC6AEB">
        <w:rPr>
          <w:rFonts w:ascii="Book Antiqua" w:eastAsia="Book Antiqua" w:hAnsi="Book Antiqua" w:cs="Arial"/>
          <w:sz w:val="24"/>
          <w:szCs w:val="24"/>
        </w:rPr>
        <w:t xml:space="preserve">ariables between study groups. </w:t>
      </w:r>
      <w:r w:rsidRPr="00CC6AEB">
        <w:rPr>
          <w:rFonts w:ascii="Book Antiqua" w:eastAsia="Book Antiqua" w:hAnsi="Book Antiqua" w:cs="Arial"/>
          <w:sz w:val="24"/>
          <w:szCs w:val="24"/>
        </w:rPr>
        <w:t xml:space="preserve">The </w:t>
      </w:r>
      <w:r w:rsidRPr="00CC6AEB">
        <w:rPr>
          <w:rFonts w:ascii="Book Antiqua" w:eastAsia="Book Antiqua" w:hAnsi="Book Antiqua" w:cs="Arial"/>
          <w:color w:val="000000" w:themeColor="text1"/>
          <w:sz w:val="24"/>
          <w:szCs w:val="24"/>
        </w:rPr>
        <w:t xml:space="preserve">Pearson </w:t>
      </w:r>
      <w:r w:rsidRPr="00CC6AEB">
        <w:rPr>
          <w:rFonts w:ascii="Book Antiqua" w:eastAsia="Book Antiqua" w:hAnsi="Book Antiqua" w:cs="Arial"/>
          <w:i/>
          <w:color w:val="000000" w:themeColor="text1"/>
          <w:sz w:val="24"/>
          <w:szCs w:val="24"/>
        </w:rPr>
        <w:sym w:font="Symbol" w:char="F063"/>
      </w:r>
      <w:r w:rsidRPr="00CC6AEB">
        <w:rPr>
          <w:rFonts w:ascii="Book Antiqua" w:eastAsia="Book Antiqua" w:hAnsi="Book Antiqua" w:cs="Arial"/>
          <w:color w:val="000000" w:themeColor="text1"/>
          <w:sz w:val="24"/>
          <w:szCs w:val="24"/>
          <w:vertAlign w:val="superscript"/>
        </w:rPr>
        <w:t>2</w:t>
      </w:r>
      <w:r w:rsidRPr="00CC6AEB">
        <w:rPr>
          <w:rFonts w:ascii="Book Antiqua" w:eastAsia="Book Antiqua" w:hAnsi="Book Antiqua" w:cs="Arial"/>
          <w:color w:val="FF0000"/>
          <w:sz w:val="24"/>
          <w:szCs w:val="24"/>
        </w:rPr>
        <w:t xml:space="preserve"> </w:t>
      </w:r>
      <w:r w:rsidRPr="00CC6AEB">
        <w:rPr>
          <w:rFonts w:ascii="Book Antiqua" w:eastAsia="Book Antiqua" w:hAnsi="Book Antiqua" w:cs="Arial"/>
          <w:sz w:val="24"/>
          <w:szCs w:val="24"/>
        </w:rPr>
        <w:t xml:space="preserve">or Fisher exact test was used to test for differences in the distribution of categorical data between groups. To adjust for the small sample size, multivariate exact unconditional logistic regression analyses were performed. For each risk factor, the adjusted odds ratios and respective 95% confidence intervals were calculated. All </w:t>
      </w:r>
      <w:r w:rsidR="0007017E" w:rsidRPr="00CC6AEB">
        <w:rPr>
          <w:rFonts w:ascii="Book Antiqua" w:eastAsia="Book Antiqua" w:hAnsi="Book Antiqua" w:cs="Arial"/>
          <w:sz w:val="24"/>
          <w:szCs w:val="24"/>
        </w:rPr>
        <w:t>odds ratios</w:t>
      </w:r>
      <w:r w:rsidRPr="00CC6AEB">
        <w:rPr>
          <w:rFonts w:ascii="Book Antiqua" w:eastAsia="Book Antiqua" w:hAnsi="Book Antiqua" w:cs="Arial"/>
          <w:sz w:val="24"/>
          <w:szCs w:val="24"/>
        </w:rPr>
        <w:t xml:space="preserve"> were adjusted for age, sex, and significant factors from univariate analysis.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value less than </w:t>
      </w:r>
      <w:r w:rsidR="0007017E" w:rsidRPr="00CC6AEB">
        <w:rPr>
          <w:rFonts w:ascii="Book Antiqua" w:hAnsi="Book Antiqua" w:cs="Arial"/>
          <w:sz w:val="24"/>
          <w:szCs w:val="24"/>
          <w:lang w:eastAsia="zh-CN"/>
        </w:rPr>
        <w:t>0</w:t>
      </w:r>
      <w:r w:rsidRPr="00CC6AEB">
        <w:rPr>
          <w:rFonts w:ascii="Book Antiqua" w:eastAsia="Book Antiqua" w:hAnsi="Book Antiqua" w:cs="Arial"/>
          <w:sz w:val="24"/>
          <w:szCs w:val="24"/>
        </w:rPr>
        <w:t>.05 was defined as significant.</w:t>
      </w:r>
    </w:p>
    <w:p w14:paraId="7B1A9488" w14:textId="77777777" w:rsidR="000864DD" w:rsidRPr="00CC6AEB" w:rsidRDefault="000864DD" w:rsidP="00CC6AEB">
      <w:pPr>
        <w:snapToGrid w:val="0"/>
        <w:spacing w:after="0" w:line="360" w:lineRule="auto"/>
        <w:jc w:val="both"/>
        <w:rPr>
          <w:rFonts w:ascii="Book Antiqua" w:eastAsia="Book Antiqua" w:hAnsi="Book Antiqua" w:cs="Arial"/>
          <w:sz w:val="24"/>
          <w:szCs w:val="24"/>
        </w:rPr>
      </w:pPr>
    </w:p>
    <w:p w14:paraId="1017F1CF" w14:textId="77777777" w:rsidR="0078530F" w:rsidRPr="00CC6AEB" w:rsidRDefault="0078530F"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lastRenderedPageBreak/>
        <w:t>RESULTS</w:t>
      </w:r>
    </w:p>
    <w:p w14:paraId="54897134" w14:textId="77777777"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Baseline patient characteristics</w:t>
      </w:r>
    </w:p>
    <w:p w14:paraId="37C8B254" w14:textId="12D367CA" w:rsidR="00233CCC" w:rsidRPr="00CC6AEB" w:rsidRDefault="00986AD9"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Most patients in</w:t>
      </w:r>
      <w:r w:rsidRPr="00CC6AEB">
        <w:rPr>
          <w:rFonts w:ascii="Book Antiqua" w:eastAsia="Book Antiqua" w:hAnsi="Book Antiqua" w:cs="Arial"/>
          <w:color w:val="000000" w:themeColor="text1"/>
          <w:sz w:val="24"/>
          <w:szCs w:val="24"/>
        </w:rPr>
        <w:t xml:space="preserve"> the PHCC and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grou</w:t>
      </w:r>
      <w:r w:rsidRPr="00CC6AEB">
        <w:rPr>
          <w:rFonts w:ascii="Book Antiqua" w:eastAsia="Book Antiqua" w:hAnsi="Book Antiqua" w:cs="Arial"/>
          <w:sz w:val="24"/>
          <w:szCs w:val="24"/>
        </w:rPr>
        <w:t>ps were male and white (Table 1). The patients with PHCC were significantly older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07017E" w:rsidRPr="00CC6AEB">
        <w:rPr>
          <w:rFonts w:ascii="Book Antiqua" w:hAnsi="Book Antiqua" w:cs="Arial"/>
          <w:sz w:val="24"/>
          <w:szCs w:val="24"/>
          <w:lang w:eastAsia="zh-CN"/>
        </w:rPr>
        <w:t>0</w:t>
      </w:r>
      <w:r w:rsidRPr="00CC6AEB">
        <w:rPr>
          <w:rFonts w:ascii="Book Antiqua" w:eastAsia="Book Antiqua" w:hAnsi="Book Antiqua" w:cs="Arial"/>
          <w:sz w:val="24"/>
          <w:szCs w:val="24"/>
        </w:rPr>
        <w:t xml:space="preserve">.01), with a significantly more extensive past history of smoking than the patients with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w:t>
      </w:r>
      <w:bookmarkStart w:id="38" w:name="_Hlk44868472"/>
      <w:r w:rsidRPr="00CC6AEB">
        <w:rPr>
          <w:rFonts w:ascii="Book Antiqua" w:eastAsia="Book Antiqua" w:hAnsi="Book Antiqua" w:cs="Arial"/>
          <w:sz w:val="24"/>
          <w:szCs w:val="24"/>
        </w:rPr>
        <w:t>(</w:t>
      </w:r>
      <w:bookmarkEnd w:id="38"/>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07017E" w:rsidRPr="00CC6AEB">
        <w:rPr>
          <w:rFonts w:ascii="Book Antiqua" w:hAnsi="Book Antiqua" w:cs="Arial"/>
          <w:sz w:val="24"/>
          <w:szCs w:val="24"/>
          <w:lang w:eastAsia="zh-CN"/>
        </w:rPr>
        <w:t>0</w:t>
      </w:r>
      <w:r w:rsidRPr="00CC6AEB">
        <w:rPr>
          <w:rFonts w:ascii="Book Antiqua" w:eastAsia="Book Antiqua" w:hAnsi="Book Antiqua" w:cs="Arial"/>
          <w:sz w:val="24"/>
          <w:szCs w:val="24"/>
        </w:rPr>
        <w:t>.01). Baseline comorbidities and cirrhos</w:t>
      </w:r>
      <w:r w:rsidR="00442BAD" w:rsidRPr="00CC6AEB">
        <w:rPr>
          <w:rFonts w:ascii="Book Antiqua" w:eastAsia="Book Antiqua" w:hAnsi="Book Antiqua" w:cs="Arial"/>
          <w:sz w:val="24"/>
          <w:szCs w:val="24"/>
        </w:rPr>
        <w:t>is were similar in both groups.</w:t>
      </w:r>
      <w:r w:rsidRPr="00CC6AEB">
        <w:rPr>
          <w:rFonts w:ascii="Book Antiqua" w:eastAsia="Book Antiqua" w:hAnsi="Book Antiqua" w:cs="Arial"/>
          <w:sz w:val="24"/>
          <w:szCs w:val="24"/>
        </w:rPr>
        <w:t xml:space="preserve"> However, diabetes mellitus was significantly higher in the PHCC group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07017E" w:rsidRPr="00CC6AEB">
        <w:rPr>
          <w:rFonts w:ascii="Book Antiqua" w:hAnsi="Book Antiqua" w:cs="Arial"/>
          <w:sz w:val="24"/>
          <w:szCs w:val="24"/>
          <w:lang w:eastAsia="zh-CN"/>
        </w:rPr>
        <w:t>0</w:t>
      </w:r>
      <w:r w:rsidR="000864DD" w:rsidRPr="00CC6AEB">
        <w:rPr>
          <w:rFonts w:ascii="Book Antiqua" w:eastAsia="Book Antiqua" w:hAnsi="Book Antiqua" w:cs="Arial"/>
          <w:sz w:val="24"/>
          <w:szCs w:val="24"/>
        </w:rPr>
        <w:t>.01).</w:t>
      </w:r>
    </w:p>
    <w:p w14:paraId="296E2393" w14:textId="406C1810" w:rsidR="00233CCC" w:rsidRPr="00CC6AEB" w:rsidRDefault="00986AD9"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HCV genotyp</w:t>
      </w:r>
      <w:r w:rsidRPr="00CC6AEB">
        <w:rPr>
          <w:rFonts w:ascii="Book Antiqua" w:eastAsia="Book Antiqua" w:hAnsi="Book Antiqua" w:cs="Arial"/>
          <w:color w:val="000000" w:themeColor="text1"/>
          <w:sz w:val="24"/>
          <w:szCs w:val="24"/>
        </w:rPr>
        <w:t>es 1a and 1b wer</w:t>
      </w:r>
      <w:r w:rsidRPr="00CC6AEB">
        <w:rPr>
          <w:rFonts w:ascii="Book Antiqua" w:eastAsia="Book Antiqua" w:hAnsi="Book Antiqua" w:cs="Arial"/>
          <w:sz w:val="24"/>
          <w:szCs w:val="24"/>
        </w:rPr>
        <w:t>e present in 50%, and 21% of the PHCC patients, respectively, and 66% and 21</w:t>
      </w:r>
      <w:r w:rsidRPr="00CC6AEB">
        <w:rPr>
          <w:rFonts w:ascii="Book Antiqua" w:eastAsia="Book Antiqua" w:hAnsi="Book Antiqua" w:cs="Arial"/>
          <w:color w:val="000000" w:themeColor="text1"/>
          <w:sz w:val="24"/>
          <w:szCs w:val="24"/>
        </w:rPr>
        <w:t xml:space="preserve">% of the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patients, r</w:t>
      </w:r>
      <w:r w:rsidRPr="00CC6AEB">
        <w:rPr>
          <w:rFonts w:ascii="Book Antiqua" w:eastAsia="Book Antiqua" w:hAnsi="Book Antiqua" w:cs="Arial"/>
          <w:sz w:val="24"/>
          <w:szCs w:val="24"/>
        </w:rPr>
        <w:t>espectively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FF396A" w:rsidRPr="00CC6AEB">
        <w:rPr>
          <w:rFonts w:ascii="Book Antiqua" w:hAnsi="Book Antiqua" w:cs="Arial"/>
          <w:sz w:val="24"/>
          <w:szCs w:val="24"/>
          <w:lang w:eastAsia="zh-CN"/>
        </w:rPr>
        <w:t>0</w:t>
      </w:r>
      <w:r w:rsidRPr="00CC6AEB">
        <w:rPr>
          <w:rFonts w:ascii="Book Antiqua" w:eastAsia="Book Antiqua" w:hAnsi="Book Antiqua" w:cs="Arial"/>
          <w:sz w:val="24"/>
          <w:szCs w:val="24"/>
        </w:rPr>
        <w:t xml:space="preserve">.1). Although not statistically significant, more PHCC patients had HCV genotype 3a than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(22% </w:t>
      </w:r>
      <w:r w:rsidR="000864DD" w:rsidRPr="00CC6AEB">
        <w:rPr>
          <w:rFonts w:ascii="Book Antiqua" w:eastAsia="Book Antiqua" w:hAnsi="Book Antiqua" w:cs="Arial"/>
          <w:i/>
          <w:iCs/>
          <w:sz w:val="24"/>
          <w:szCs w:val="24"/>
        </w:rPr>
        <w:t>vs</w:t>
      </w:r>
      <w:r w:rsidRPr="00CC6AEB">
        <w:rPr>
          <w:rFonts w:ascii="Book Antiqua" w:eastAsia="Book Antiqua" w:hAnsi="Book Antiqua" w:cs="Arial"/>
          <w:sz w:val="24"/>
          <w:szCs w:val="24"/>
        </w:rPr>
        <w:t xml:space="preserve"> 11%;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FF396A" w:rsidRPr="00CC6AEB">
        <w:rPr>
          <w:rFonts w:ascii="Book Antiqua" w:hAnsi="Book Antiqua" w:cs="Arial"/>
          <w:sz w:val="24"/>
          <w:szCs w:val="24"/>
          <w:lang w:eastAsia="zh-CN"/>
        </w:rPr>
        <w:t>0</w:t>
      </w:r>
      <w:r w:rsidRPr="00CC6AEB">
        <w:rPr>
          <w:rFonts w:ascii="Book Antiqua" w:eastAsia="Book Antiqua" w:hAnsi="Book Antiqua" w:cs="Arial"/>
          <w:sz w:val="24"/>
          <w:szCs w:val="24"/>
        </w:rPr>
        <w:t>.1). The mean</w:t>
      </w:r>
      <w:r w:rsidR="000864D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w:t>
      </w:r>
      <w:r w:rsidR="000864DD" w:rsidRPr="00CC6AEB">
        <w:rPr>
          <w:rFonts w:ascii="Book Antiqua" w:eastAsia="Book Antiqua" w:hAnsi="Book Antiqua" w:cs="Arial"/>
          <w:sz w:val="24"/>
          <w:szCs w:val="24"/>
        </w:rPr>
        <w:t xml:space="preserve"> SD</w:t>
      </w:r>
      <w:r w:rsidRPr="00CC6AEB">
        <w:rPr>
          <w:rFonts w:ascii="Book Antiqua" w:eastAsia="Book Antiqua" w:hAnsi="Book Antiqua" w:cs="Arial"/>
          <w:sz w:val="24"/>
          <w:szCs w:val="24"/>
        </w:rPr>
        <w:t xml:space="preserve"> BMIs at DAA treatment initiation were comparable in</w:t>
      </w:r>
      <w:r w:rsidRPr="00CC6AEB">
        <w:rPr>
          <w:rFonts w:ascii="Book Antiqua" w:eastAsia="Book Antiqua" w:hAnsi="Book Antiqua" w:cs="Arial"/>
          <w:color w:val="000000" w:themeColor="text1"/>
          <w:sz w:val="24"/>
          <w:szCs w:val="24"/>
        </w:rPr>
        <w:t xml:space="preserve"> the PHCC and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pati</w:t>
      </w:r>
      <w:r w:rsidRPr="00CC6AEB">
        <w:rPr>
          <w:rFonts w:ascii="Book Antiqua" w:eastAsia="Book Antiqua" w:hAnsi="Book Antiqua" w:cs="Arial"/>
          <w:sz w:val="24"/>
          <w:szCs w:val="24"/>
        </w:rPr>
        <w:t>ents (28.5 ± 4.5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xml:space="preserve"> </w:t>
      </w:r>
      <w:r w:rsidR="000864DD" w:rsidRPr="00CC6AEB">
        <w:rPr>
          <w:rFonts w:ascii="Book Antiqua" w:eastAsia="Book Antiqua" w:hAnsi="Book Antiqua" w:cs="Arial"/>
          <w:i/>
          <w:iCs/>
          <w:color w:val="000000" w:themeColor="text1"/>
          <w:sz w:val="24"/>
          <w:szCs w:val="24"/>
        </w:rPr>
        <w:t>vs</w:t>
      </w:r>
      <w:r w:rsidRPr="00CC6AEB">
        <w:rPr>
          <w:rFonts w:ascii="Book Antiqua" w:eastAsia="Book Antiqua" w:hAnsi="Book Antiqua" w:cs="Arial"/>
          <w:sz w:val="24"/>
          <w:szCs w:val="24"/>
        </w:rPr>
        <w:t xml:space="preserve"> 27.9 ± 5.5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xml:space="preserv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Pr="00CC6AEB">
        <w:rPr>
          <w:rFonts w:ascii="Book Antiqua" w:eastAsia="Book Antiqua" w:hAnsi="Book Antiqua" w:cs="Arial"/>
          <w:sz w:val="24"/>
          <w:szCs w:val="24"/>
        </w:rPr>
        <w:t>.6).</w:t>
      </w:r>
    </w:p>
    <w:p w14:paraId="015776D4" w14:textId="0682BF7E" w:rsidR="00233CCC" w:rsidRPr="00CC6AEB" w:rsidRDefault="008B14EF"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Pre-transplant relapse rate to antiviral treatment was higher in the PHCC patients than in the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(34% </w:t>
      </w:r>
      <w:r w:rsidR="000864DD" w:rsidRPr="00CC6AEB">
        <w:rPr>
          <w:rFonts w:ascii="Book Antiqua" w:eastAsia="Book Antiqua" w:hAnsi="Book Antiqua" w:cs="Arial"/>
          <w:i/>
          <w:iCs/>
          <w:sz w:val="24"/>
          <w:szCs w:val="24"/>
        </w:rPr>
        <w:t>vs</w:t>
      </w:r>
      <w:r w:rsidRPr="00CC6AEB">
        <w:rPr>
          <w:rFonts w:ascii="Book Antiqua" w:eastAsia="Book Antiqua" w:hAnsi="Book Antiqua" w:cs="Arial"/>
          <w:sz w:val="24"/>
          <w:szCs w:val="24"/>
        </w:rPr>
        <w:t xml:space="preserve"> 16%; </w:t>
      </w:r>
      <w:r w:rsidRPr="00CC6AEB">
        <w:rPr>
          <w:rFonts w:ascii="Book Antiqua" w:eastAsia="Book Antiqua" w:hAnsi="Book Antiqua" w:cs="Arial"/>
          <w:i/>
          <w:sz w:val="24"/>
          <w:szCs w:val="24"/>
        </w:rPr>
        <w:t>P</w:t>
      </w:r>
      <w:r w:rsidR="00A27FAB"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00A27FAB" w:rsidRPr="00CC6AEB">
        <w:rPr>
          <w:rFonts w:ascii="Book Antiqua" w:eastAsia="Book Antiqua" w:hAnsi="Book Antiqua" w:cs="Arial"/>
          <w:sz w:val="24"/>
          <w:szCs w:val="24"/>
        </w:rPr>
        <w:t xml:space="preserve">.06). Although </w:t>
      </w:r>
      <w:r w:rsidR="0067423E" w:rsidRPr="00CC6AEB">
        <w:rPr>
          <w:rFonts w:ascii="Book Antiqua" w:eastAsia="Book Antiqua" w:hAnsi="Book Antiqua" w:cs="Arial"/>
          <w:sz w:val="24"/>
          <w:szCs w:val="24"/>
        </w:rPr>
        <w:t xml:space="preserve">there was </w:t>
      </w:r>
      <w:r w:rsidR="00A27FAB" w:rsidRPr="00CC6AEB">
        <w:rPr>
          <w:rFonts w:ascii="Book Antiqua" w:eastAsia="Book Antiqua" w:hAnsi="Book Antiqua" w:cs="Arial"/>
          <w:sz w:val="24"/>
          <w:szCs w:val="24"/>
        </w:rPr>
        <w:t>no</w:t>
      </w:r>
      <w:r w:rsidRPr="00CC6AEB">
        <w:rPr>
          <w:rFonts w:ascii="Book Antiqua" w:eastAsia="Book Antiqua" w:hAnsi="Book Antiqua" w:cs="Arial"/>
          <w:sz w:val="24"/>
          <w:szCs w:val="24"/>
        </w:rPr>
        <w:t xml:space="preserve"> </w:t>
      </w:r>
      <w:r w:rsidR="0067423E" w:rsidRPr="00CC6AEB">
        <w:rPr>
          <w:rFonts w:ascii="Book Antiqua" w:eastAsia="Book Antiqua" w:hAnsi="Book Antiqua" w:cs="Arial"/>
          <w:sz w:val="24"/>
          <w:szCs w:val="24"/>
        </w:rPr>
        <w:t>statistically</w:t>
      </w:r>
      <w:r w:rsidRPr="00CC6AEB">
        <w:rPr>
          <w:rFonts w:ascii="Book Antiqua" w:eastAsia="Book Antiqua" w:hAnsi="Book Antiqua" w:cs="Arial"/>
          <w:sz w:val="24"/>
          <w:szCs w:val="24"/>
        </w:rPr>
        <w:t xml:space="preserve"> significant difference, more PHCC patients received HCV- or </w:t>
      </w:r>
      <w:r w:rsidR="00CF6009" w:rsidRPr="00CC6AEB">
        <w:rPr>
          <w:rFonts w:ascii="Book Antiqua" w:eastAsia="Book Antiqua" w:hAnsi="Book Antiqua" w:cs="Arial"/>
          <w:sz w:val="24"/>
          <w:szCs w:val="24"/>
        </w:rPr>
        <w:t>anti-</w:t>
      </w:r>
      <w:proofErr w:type="spellStart"/>
      <w:r w:rsidR="00CF6009" w:rsidRPr="00CC6AEB">
        <w:rPr>
          <w:rFonts w:ascii="Book Antiqua" w:eastAsia="Book Antiqua" w:hAnsi="Book Antiqua" w:cs="Arial"/>
          <w:sz w:val="24"/>
          <w:szCs w:val="24"/>
        </w:rPr>
        <w:t>HBc</w:t>
      </w:r>
      <w:proofErr w:type="spellEnd"/>
      <w:r w:rsidR="00CF600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positive allografts than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6% </w:t>
      </w:r>
      <w:r w:rsidR="000864DD" w:rsidRPr="00CC6AEB">
        <w:rPr>
          <w:rFonts w:ascii="Book Antiqua" w:eastAsia="Book Antiqua" w:hAnsi="Book Antiqua" w:cs="Arial"/>
          <w:i/>
          <w:iCs/>
          <w:sz w:val="24"/>
          <w:szCs w:val="24"/>
        </w:rPr>
        <w:t xml:space="preserve">vs </w:t>
      </w:r>
      <w:r w:rsidRPr="00CC6AEB">
        <w:rPr>
          <w:rFonts w:ascii="Book Antiqua" w:eastAsia="Book Antiqua" w:hAnsi="Book Antiqua" w:cs="Arial"/>
          <w:sz w:val="24"/>
          <w:szCs w:val="24"/>
        </w:rPr>
        <w:t>0%</w:t>
      </w:r>
      <w:r w:rsidR="00885DAC" w:rsidRPr="00CC6AEB">
        <w:rPr>
          <w:rFonts w:ascii="Book Antiqua" w:eastAsia="Book Antiqua" w:hAnsi="Book Antiqua" w:cs="Arial"/>
          <w:sz w:val="24"/>
          <w:szCs w:val="24"/>
        </w:rPr>
        <w:t xml:space="preserv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Pr="00CC6AEB">
        <w:rPr>
          <w:rFonts w:ascii="Book Antiqua" w:eastAsia="Book Antiqua" w:hAnsi="Book Antiqua" w:cs="Arial"/>
          <w:sz w:val="24"/>
          <w:szCs w:val="24"/>
        </w:rPr>
        <w:t>.3</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and 15% </w:t>
      </w:r>
      <w:r w:rsidR="000864DD" w:rsidRPr="00CC6AEB">
        <w:rPr>
          <w:rFonts w:ascii="Book Antiqua" w:eastAsia="Book Antiqua" w:hAnsi="Book Antiqua" w:cs="Arial"/>
          <w:i/>
          <w:iCs/>
          <w:sz w:val="24"/>
          <w:szCs w:val="24"/>
        </w:rPr>
        <w:t xml:space="preserve">vs </w:t>
      </w:r>
      <w:r w:rsidRPr="00CC6AEB">
        <w:rPr>
          <w:rFonts w:ascii="Book Antiqua" w:eastAsia="Book Antiqua" w:hAnsi="Book Antiqua" w:cs="Arial"/>
          <w:sz w:val="24"/>
          <w:szCs w:val="24"/>
        </w:rPr>
        <w:t xml:space="preserve">3% </w:t>
      </w:r>
      <w:r w:rsidR="00885DAC" w:rsidRPr="00CC6AEB">
        <w:rPr>
          <w:rFonts w:ascii="Book Antiqua" w:eastAsia="Book Antiqua" w:hAnsi="Book Antiqua" w:cs="Arial"/>
          <w:sz w:val="24"/>
          <w:szCs w:val="24"/>
        </w:rPr>
        <w:t>(</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Pr="00CC6AEB">
        <w:rPr>
          <w:rFonts w:ascii="Book Antiqua" w:eastAsia="Book Antiqua" w:hAnsi="Book Antiqua" w:cs="Arial"/>
          <w:sz w:val="24"/>
          <w:szCs w:val="24"/>
        </w:rPr>
        <w:t>.09</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 respectively</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w:t>
      </w:r>
    </w:p>
    <w:p w14:paraId="5C985201" w14:textId="48FF9071" w:rsidR="002D08D2" w:rsidRPr="00CC6AEB" w:rsidRDefault="002D08D2"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Table 1 shows significant variations in the mean and median laboratory and clinical values between the two groups. Baseline (at time of DAA initiation) laboratory values were similar in the PHCC and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except for the serum creatinine level, </w:t>
      </w:r>
      <w:r w:rsidR="00885DAC" w:rsidRPr="00CC6AEB">
        <w:rPr>
          <w:rFonts w:ascii="Book Antiqua" w:eastAsia="Book Antiqua" w:hAnsi="Book Antiqua" w:cs="Arial"/>
          <w:sz w:val="24"/>
          <w:szCs w:val="24"/>
        </w:rPr>
        <w:t>estimated glomerular filtrat</w:t>
      </w:r>
      <w:r w:rsidR="00885DAC" w:rsidRPr="00CC6AEB">
        <w:rPr>
          <w:rFonts w:ascii="Book Antiqua" w:eastAsia="Book Antiqua" w:hAnsi="Book Antiqua" w:cs="Arial"/>
          <w:color w:val="000000" w:themeColor="text1"/>
          <w:sz w:val="24"/>
          <w:szCs w:val="24"/>
        </w:rPr>
        <w:t>ion rate</w:t>
      </w:r>
      <w:r w:rsidRPr="00CC6AEB">
        <w:rPr>
          <w:rFonts w:ascii="Book Antiqua" w:eastAsia="Book Antiqua" w:hAnsi="Book Antiqua" w:cs="Arial"/>
          <w:color w:val="000000" w:themeColor="text1"/>
          <w:sz w:val="24"/>
          <w:szCs w:val="24"/>
        </w:rPr>
        <w:t xml:space="preserve">, and </w:t>
      </w:r>
      <w:r w:rsidR="00885DAC" w:rsidRPr="00CC6AEB">
        <w:rPr>
          <w:rFonts w:ascii="Book Antiqua" w:eastAsia="Book Antiqua" w:hAnsi="Book Antiqua" w:cs="Arial"/>
          <w:color w:val="000000" w:themeColor="text1"/>
          <w:sz w:val="24"/>
          <w:szCs w:val="24"/>
        </w:rPr>
        <w:t>the mo</w:t>
      </w:r>
      <w:r w:rsidR="00885DAC" w:rsidRPr="00CC6AEB">
        <w:rPr>
          <w:rFonts w:ascii="Book Antiqua" w:eastAsia="Book Antiqua" w:hAnsi="Book Antiqua" w:cs="Arial"/>
          <w:sz w:val="24"/>
          <w:szCs w:val="24"/>
        </w:rPr>
        <w:t>del for end-stage liver d</w:t>
      </w:r>
      <w:r w:rsidR="00885DAC" w:rsidRPr="00CC6AEB">
        <w:rPr>
          <w:rFonts w:ascii="Book Antiqua" w:eastAsia="Book Antiqua" w:hAnsi="Book Antiqua" w:cs="Arial"/>
          <w:color w:val="000000" w:themeColor="text1"/>
          <w:sz w:val="24"/>
          <w:szCs w:val="24"/>
        </w:rPr>
        <w:t xml:space="preserve">isease-sodium </w:t>
      </w:r>
      <w:r w:rsidRPr="00CC6AEB">
        <w:rPr>
          <w:rFonts w:ascii="Book Antiqua" w:eastAsia="Book Antiqua" w:hAnsi="Book Antiqua" w:cs="Arial"/>
          <w:color w:val="000000" w:themeColor="text1"/>
          <w:sz w:val="24"/>
          <w:szCs w:val="24"/>
        </w:rPr>
        <w:t xml:space="preserve">score, </w:t>
      </w:r>
      <w:r w:rsidRPr="00CC6AEB">
        <w:rPr>
          <w:rFonts w:ascii="Book Antiqua" w:eastAsia="Book Antiqua" w:hAnsi="Book Antiqua" w:cs="Arial"/>
          <w:sz w:val="24"/>
          <w:szCs w:val="24"/>
        </w:rPr>
        <w:t>which were markedly lower i</w:t>
      </w:r>
      <w:r w:rsidR="000864DD" w:rsidRPr="00CC6AEB">
        <w:rPr>
          <w:rFonts w:ascii="Book Antiqua" w:eastAsia="Book Antiqua" w:hAnsi="Book Antiqua" w:cs="Arial"/>
          <w:sz w:val="24"/>
          <w:szCs w:val="24"/>
        </w:rPr>
        <w:t xml:space="preserve">n the PHCC patients (Table 1). </w:t>
      </w:r>
    </w:p>
    <w:p w14:paraId="1D0871F8" w14:textId="77777777" w:rsidR="007A5A7C" w:rsidRPr="00CC6AEB" w:rsidRDefault="007A5A7C" w:rsidP="00CC6AEB">
      <w:pPr>
        <w:snapToGrid w:val="0"/>
        <w:spacing w:after="0" w:line="360" w:lineRule="auto"/>
        <w:jc w:val="both"/>
        <w:rPr>
          <w:rFonts w:ascii="Book Antiqua" w:eastAsia="Book Antiqua" w:hAnsi="Book Antiqua"/>
          <w:b/>
          <w:i/>
          <w:sz w:val="24"/>
          <w:szCs w:val="24"/>
        </w:rPr>
      </w:pPr>
    </w:p>
    <w:p w14:paraId="6FF9F5E0" w14:textId="51D615A0"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Clinical efficacy</w:t>
      </w:r>
    </w:p>
    <w:p w14:paraId="635A90DA" w14:textId="58C484C8" w:rsidR="00233CCC" w:rsidRPr="00CC6AEB" w:rsidRDefault="002D08D2"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The median time from liver transplantation to DAA treatment initiation in the entire cohort was 34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1-331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and the median follow-up duration after DAA treatment completion was 20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3-46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The median time from liver transplantation to DAA treatment initiation in the PHCC patients was </w:t>
      </w:r>
      <w:r w:rsidRPr="00CC6AEB">
        <w:rPr>
          <w:rFonts w:ascii="Book Antiqua" w:eastAsia="Book Antiqua" w:hAnsi="Book Antiqua" w:cs="Arial"/>
          <w:sz w:val="24"/>
          <w:szCs w:val="24"/>
        </w:rPr>
        <w:lastRenderedPageBreak/>
        <w:t xml:space="preserve">28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1-171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which is significantly shorter than in the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91.5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2.0-331.0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7A5A7C"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.0001). One hundred patients (94%) experienced </w:t>
      </w:r>
      <w:r w:rsidR="007D1518" w:rsidRPr="00CC6AEB">
        <w:rPr>
          <w:rFonts w:ascii="Book Antiqua" w:eastAsia="Book Antiqua" w:hAnsi="Book Antiqua" w:cs="Arial"/>
          <w:sz w:val="24"/>
          <w:szCs w:val="24"/>
        </w:rPr>
        <w:t>sustained virologic response</w:t>
      </w:r>
      <w:r w:rsidR="007D1518" w:rsidRPr="00CC6AEB">
        <w:rPr>
          <w:rFonts w:ascii="Book Antiqua" w:eastAsia="Book Antiqua" w:hAnsi="Book Antiqua" w:cs="Arial"/>
          <w:color w:val="000000" w:themeColor="text1"/>
          <w:sz w:val="24"/>
          <w:szCs w:val="24"/>
        </w:rPr>
        <w:t xml:space="preserve"> at follow-up week 12 </w:t>
      </w:r>
      <w:r w:rsidR="007A5A7C" w:rsidRPr="00CC6AEB">
        <w:rPr>
          <w:rFonts w:ascii="Book Antiqua" w:eastAsia="Book Antiqua" w:hAnsi="Book Antiqua" w:cs="Arial"/>
          <w:color w:val="000000" w:themeColor="text1"/>
          <w:sz w:val="24"/>
          <w:szCs w:val="24"/>
        </w:rPr>
        <w:t>(</w:t>
      </w:r>
      <w:r w:rsidRPr="00CC6AEB">
        <w:rPr>
          <w:rFonts w:ascii="Book Antiqua" w:eastAsia="Book Antiqua" w:hAnsi="Book Antiqua" w:cs="Arial"/>
          <w:color w:val="000000" w:themeColor="text1"/>
          <w:sz w:val="24"/>
          <w:szCs w:val="24"/>
        </w:rPr>
        <w:t>SVR12</w:t>
      </w:r>
      <w:r w:rsidR="007A5A7C" w:rsidRPr="00CC6AEB">
        <w:rPr>
          <w:rFonts w:ascii="Book Antiqua" w:eastAsia="Book Antiqua" w:hAnsi="Book Antiqua" w:cs="Arial"/>
          <w:color w:val="000000" w:themeColor="text1"/>
          <w:sz w:val="24"/>
          <w:szCs w:val="24"/>
        </w:rPr>
        <w:t>)</w:t>
      </w:r>
      <w:r w:rsidR="000864DD" w:rsidRPr="00CC6AEB">
        <w:rPr>
          <w:rFonts w:ascii="Book Antiqua" w:eastAsia="Book Antiqua" w:hAnsi="Book Antiqua" w:cs="Arial"/>
          <w:color w:val="000000" w:themeColor="text1"/>
          <w:sz w:val="24"/>
          <w:szCs w:val="24"/>
        </w:rPr>
        <w:t xml:space="preserve"> </w:t>
      </w:r>
      <w:r w:rsidRPr="00CC6AEB">
        <w:rPr>
          <w:rFonts w:ascii="Book Antiqua" w:eastAsia="Book Antiqua" w:hAnsi="Book Antiqua" w:cs="Arial"/>
          <w:color w:val="000000" w:themeColor="text1"/>
          <w:sz w:val="24"/>
          <w:szCs w:val="24"/>
        </w:rPr>
        <w:t>(DAA response), w</w:t>
      </w:r>
      <w:r w:rsidRPr="00CC6AEB">
        <w:rPr>
          <w:rFonts w:ascii="Book Antiqua" w:eastAsia="Book Antiqua" w:hAnsi="Book Antiqua" w:cs="Arial"/>
          <w:sz w:val="24"/>
          <w:szCs w:val="24"/>
        </w:rPr>
        <w:t xml:space="preserve">hereas 6 patients (6%) did not (DAA failure). The median times from transplantation to DAA therapy initiation were 32.5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1.0-331.0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in the DAA response group and 54.5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8.0-148.0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in those who had DAA failure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7A5A7C" w:rsidRPr="00CC6AEB">
        <w:rPr>
          <w:rFonts w:ascii="Book Antiqua" w:eastAsia="Book Antiqua" w:hAnsi="Book Antiqua" w:cs="Arial"/>
          <w:sz w:val="24"/>
          <w:szCs w:val="24"/>
        </w:rPr>
        <w:t>0</w:t>
      </w:r>
      <w:r w:rsidR="000864DD" w:rsidRPr="00CC6AEB">
        <w:rPr>
          <w:rFonts w:ascii="Book Antiqua" w:eastAsia="Book Antiqua" w:hAnsi="Book Antiqua" w:cs="Arial"/>
          <w:sz w:val="24"/>
          <w:szCs w:val="24"/>
        </w:rPr>
        <w:t>.7).</w:t>
      </w:r>
    </w:p>
    <w:p w14:paraId="3E1DACED" w14:textId="77777777" w:rsidR="005D26EF"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All patients who did not experience SVR12 were non-cirrhotic. Two patients had relapses at follow-up week 12, three patients did so at follow-up week 4, and one patient suffered viral breakthrough at treatment week 12.</w:t>
      </w:r>
    </w:p>
    <w:p w14:paraId="2473EC6A" w14:textId="665C4F4A" w:rsidR="00233CCC" w:rsidRPr="00CC6AEB" w:rsidRDefault="005D26EF"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In the DAA response group, the rates of concordance between SVR12 and SVR at follow-up week 24, and between SVR12 and quantitative HCV polymerase chain reaction</w:t>
      </w:r>
      <w:r w:rsidR="007D1518"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at the last follow-up visit were both 100%, as no patients had relapses after experiencing SVR12</w:t>
      </w:r>
      <w:r w:rsidR="007A5A7C" w:rsidRPr="00CC6AEB">
        <w:rPr>
          <w:rFonts w:ascii="Book Antiqua" w:eastAsia="Book Antiqua" w:hAnsi="Book Antiqua" w:cs="Arial"/>
          <w:sz w:val="24"/>
          <w:szCs w:val="24"/>
        </w:rPr>
        <w:t>.</w:t>
      </w:r>
      <w:r w:rsidR="000864DD" w:rsidRPr="00CC6AEB">
        <w:rPr>
          <w:rFonts w:ascii="Book Antiqua" w:eastAsia="Book Antiqua" w:hAnsi="Book Antiqua" w:cs="Arial"/>
          <w:sz w:val="24"/>
          <w:szCs w:val="24"/>
        </w:rPr>
        <w:t xml:space="preserve"> </w:t>
      </w:r>
    </w:p>
    <w:p w14:paraId="7D9683D3" w14:textId="2D04836D" w:rsidR="00233CCC" w:rsidRPr="00CC6AEB" w:rsidRDefault="00233CCC" w:rsidP="00CC6AEB">
      <w:pPr>
        <w:snapToGrid w:val="0"/>
        <w:spacing w:after="0" w:line="360" w:lineRule="auto"/>
        <w:ind w:firstLineChars="100" w:firstLine="240"/>
        <w:jc w:val="both"/>
        <w:rPr>
          <w:rFonts w:ascii="Book Antiqua" w:eastAsia="Book Antiqua" w:hAnsi="Book Antiqua" w:cs="Arial"/>
          <w:color w:val="000000" w:themeColor="text1"/>
          <w:sz w:val="24"/>
          <w:szCs w:val="24"/>
        </w:rPr>
      </w:pPr>
      <w:r w:rsidRPr="00CC6AEB">
        <w:rPr>
          <w:rFonts w:ascii="Book Antiqua" w:eastAsia="Book Antiqua" w:hAnsi="Book Antiqua" w:cs="Arial"/>
          <w:sz w:val="24"/>
          <w:szCs w:val="24"/>
        </w:rPr>
        <w:t xml:space="preserve">Figure 1 shows the numbers of patients who had responses to and failures of the 16 DAA regimens used in this study. We observed no significant variations in the treatment distribution between the PHCC and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groups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hAnsi="Book Antiqua" w:cs="Arial"/>
          <w:sz w:val="24"/>
          <w:szCs w:val="24"/>
          <w:lang w:eastAsia="zh-CN"/>
        </w:rPr>
        <w:t>0</w:t>
      </w:r>
      <w:r w:rsidRPr="00CC6AEB">
        <w:rPr>
          <w:rFonts w:ascii="Book Antiqua" w:eastAsia="Book Antiqua" w:hAnsi="Book Antiqua" w:cs="Arial"/>
          <w:sz w:val="24"/>
          <w:szCs w:val="24"/>
        </w:rPr>
        <w:t xml:space="preserve">.3). The six patients who had DAA failures received five DAA regimens: </w:t>
      </w:r>
      <w:r w:rsidR="00EB110B" w:rsidRPr="00CC6AEB">
        <w:rPr>
          <w:rFonts w:ascii="Book Antiqua" w:eastAsia="SimSun" w:hAnsi="Book Antiqua" w:cs="SimSun"/>
          <w:sz w:val="24"/>
          <w:szCs w:val="24"/>
          <w:lang w:eastAsia="zh-CN"/>
        </w:rPr>
        <w:t>(</w:t>
      </w:r>
      <w:r w:rsidRPr="00CC6AEB">
        <w:rPr>
          <w:rFonts w:ascii="Book Antiqua" w:eastAsia="Book Antiqua" w:hAnsi="Book Antiqua" w:cs="Arial"/>
          <w:sz w:val="24"/>
          <w:szCs w:val="24"/>
        </w:rPr>
        <w:t>1) sofosbuvir (SOF)/</w:t>
      </w:r>
      <w:proofErr w:type="spellStart"/>
      <w:r w:rsidRPr="00CC6AEB">
        <w:rPr>
          <w:rFonts w:ascii="Book Antiqua" w:eastAsia="Book Antiqua" w:hAnsi="Book Antiqua" w:cs="Arial"/>
          <w:sz w:val="24"/>
          <w:szCs w:val="24"/>
        </w:rPr>
        <w:t>velpatasvir</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voxilaprevir</w:t>
      </w:r>
      <w:proofErr w:type="spellEnd"/>
      <w:r w:rsidRPr="00CC6AEB">
        <w:rPr>
          <w:rFonts w:ascii="Book Antiqua" w:eastAsia="Book Antiqua" w:hAnsi="Book Antiqua" w:cs="Arial"/>
          <w:sz w:val="24"/>
          <w:szCs w:val="24"/>
        </w:rPr>
        <w:t xml:space="preserve"> plus</w:t>
      </w:r>
      <w:r w:rsidRPr="00CC6AEB">
        <w:rPr>
          <w:rFonts w:ascii="Book Antiqua" w:eastAsia="Book Antiqua" w:hAnsi="Book Antiqua" w:cs="Arial"/>
          <w:color w:val="FF0000"/>
          <w:sz w:val="24"/>
          <w:szCs w:val="24"/>
        </w:rPr>
        <w:t xml:space="preserve"> </w:t>
      </w:r>
      <w:r w:rsidR="007D1518" w:rsidRPr="00CC6AEB">
        <w:rPr>
          <w:rFonts w:ascii="Book Antiqua" w:eastAsia="Book Antiqua" w:hAnsi="Book Antiqua" w:cs="Arial"/>
          <w:sz w:val="24"/>
          <w:szCs w:val="24"/>
        </w:rPr>
        <w:t>ribaviri</w:t>
      </w:r>
      <w:r w:rsidR="007D1518" w:rsidRPr="00CC6AEB">
        <w:rPr>
          <w:rFonts w:ascii="Book Antiqua" w:eastAsia="Book Antiqua" w:hAnsi="Book Antiqua" w:cs="Arial"/>
          <w:color w:val="000000" w:themeColor="text1"/>
          <w:sz w:val="24"/>
          <w:szCs w:val="24"/>
        </w:rPr>
        <w:t>n (</w:t>
      </w:r>
      <w:r w:rsidRPr="00CC6AEB">
        <w:rPr>
          <w:rFonts w:ascii="Book Antiqua" w:eastAsia="Book Antiqua" w:hAnsi="Book Antiqua" w:cs="Arial"/>
          <w:color w:val="000000" w:themeColor="text1"/>
          <w:sz w:val="24"/>
          <w:szCs w:val="24"/>
        </w:rPr>
        <w:t>RBV</w:t>
      </w:r>
      <w:r w:rsidR="007D1518" w:rsidRPr="00CC6AEB">
        <w:rPr>
          <w:rFonts w:ascii="Book Antiqua" w:eastAsia="Book Antiqua" w:hAnsi="Book Antiqua" w:cs="Arial"/>
          <w:color w:val="000000" w:themeColor="text1"/>
          <w:sz w:val="24"/>
          <w:szCs w:val="24"/>
        </w:rPr>
        <w:t>)</w:t>
      </w:r>
      <w:r w:rsidRPr="00CC6AEB">
        <w:rPr>
          <w:rFonts w:ascii="Book Antiqua" w:eastAsia="Book Antiqua" w:hAnsi="Book Antiqua" w:cs="Arial"/>
          <w:color w:val="000000" w:themeColor="text1"/>
          <w:sz w:val="24"/>
          <w:szCs w:val="24"/>
        </w:rPr>
        <w:t xml:space="preserve"> for 12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2); </w:t>
      </w:r>
      <w:r w:rsidR="00DD751A" w:rsidRPr="00CC6AEB">
        <w:rPr>
          <w:rFonts w:ascii="Book Antiqua" w:eastAsia="Book Antiqua" w:hAnsi="Book Antiqua" w:cs="Arial"/>
          <w:sz w:val="24"/>
          <w:szCs w:val="24"/>
        </w:rPr>
        <w:t>(</w:t>
      </w:r>
      <w:r w:rsidRPr="00CC6AEB">
        <w:rPr>
          <w:rFonts w:ascii="Book Antiqua" w:eastAsia="Book Antiqua" w:hAnsi="Book Antiqua" w:cs="Arial"/>
          <w:sz w:val="24"/>
          <w:szCs w:val="24"/>
        </w:rPr>
        <w:t>2) SOF, daclatasvir, a</w:t>
      </w:r>
      <w:r w:rsidRPr="00CC6AEB">
        <w:rPr>
          <w:rFonts w:ascii="Book Antiqua" w:eastAsia="Book Antiqua" w:hAnsi="Book Antiqua" w:cs="Arial"/>
          <w:color w:val="000000" w:themeColor="text1"/>
          <w:sz w:val="24"/>
          <w:szCs w:val="24"/>
        </w:rPr>
        <w:t>nd RBV fo</w:t>
      </w:r>
      <w:r w:rsidR="00DD751A" w:rsidRPr="00CC6AEB">
        <w:rPr>
          <w:rFonts w:ascii="Book Antiqua" w:eastAsia="Book Antiqua" w:hAnsi="Book Antiqua" w:cs="Arial"/>
          <w:sz w:val="24"/>
          <w:szCs w:val="24"/>
        </w:rPr>
        <w:t xml:space="preserve">r 24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1); </w:t>
      </w:r>
      <w:r w:rsidR="00DD751A" w:rsidRPr="00CC6AEB">
        <w:rPr>
          <w:rFonts w:ascii="Book Antiqua" w:eastAsia="Book Antiqua" w:hAnsi="Book Antiqua" w:cs="Arial"/>
          <w:sz w:val="24"/>
          <w:szCs w:val="24"/>
        </w:rPr>
        <w:t xml:space="preserve">(3) SOF/ledipasvir for 24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1); </w:t>
      </w:r>
      <w:r w:rsidR="00DD751A" w:rsidRPr="00CC6AEB">
        <w:rPr>
          <w:rFonts w:ascii="Book Antiqua" w:eastAsia="Book Antiqua" w:hAnsi="Book Antiqua" w:cs="Arial"/>
          <w:sz w:val="24"/>
          <w:szCs w:val="24"/>
        </w:rPr>
        <w:t>(4) SOF/</w:t>
      </w:r>
      <w:proofErr w:type="spellStart"/>
      <w:r w:rsidR="00DD751A" w:rsidRPr="00CC6AEB">
        <w:rPr>
          <w:rFonts w:ascii="Book Antiqua" w:eastAsia="Book Antiqua" w:hAnsi="Book Antiqua" w:cs="Arial"/>
          <w:sz w:val="24"/>
          <w:szCs w:val="24"/>
        </w:rPr>
        <w:t>simeprevir</w:t>
      </w:r>
      <w:proofErr w:type="spellEnd"/>
      <w:r w:rsidR="00DD751A" w:rsidRPr="00CC6AEB">
        <w:rPr>
          <w:rFonts w:ascii="Book Antiqua" w:eastAsia="Book Antiqua" w:hAnsi="Book Antiqua" w:cs="Arial"/>
          <w:sz w:val="24"/>
          <w:szCs w:val="24"/>
        </w:rPr>
        <w:t xml:space="preserve"> for 12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1); and </w:t>
      </w:r>
      <w:r w:rsidR="00DD751A"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5) </w:t>
      </w:r>
      <w:proofErr w:type="spellStart"/>
      <w:r w:rsidRPr="00CC6AEB">
        <w:rPr>
          <w:rFonts w:ascii="Book Antiqua" w:eastAsia="Book Antiqua" w:hAnsi="Book Antiqua" w:cs="Arial"/>
          <w:sz w:val="24"/>
          <w:szCs w:val="24"/>
        </w:rPr>
        <w:t>glecaprevir</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pibrentasvi</w:t>
      </w:r>
      <w:r w:rsidR="00DD751A" w:rsidRPr="00CC6AEB">
        <w:rPr>
          <w:rFonts w:ascii="Book Antiqua" w:eastAsia="Book Antiqua" w:hAnsi="Book Antiqua" w:cs="Arial"/>
          <w:sz w:val="24"/>
          <w:szCs w:val="24"/>
        </w:rPr>
        <w:t>r</w:t>
      </w:r>
      <w:proofErr w:type="spellEnd"/>
      <w:r w:rsidR="00DD751A" w:rsidRPr="00CC6AEB">
        <w:rPr>
          <w:rFonts w:ascii="Book Antiqua" w:eastAsia="Book Antiqua" w:hAnsi="Book Antiqua" w:cs="Arial"/>
          <w:sz w:val="24"/>
          <w:szCs w:val="24"/>
        </w:rPr>
        <w:t xml:space="preserve"> for 12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color w:val="000000" w:themeColor="text1"/>
          <w:sz w:val="24"/>
          <w:szCs w:val="24"/>
        </w:rPr>
        <w:t>(</w:t>
      </w:r>
      <w:r w:rsidRPr="00CC6AEB">
        <w:rPr>
          <w:rFonts w:ascii="Book Antiqua" w:eastAsia="Book Antiqua" w:hAnsi="Book Antiqua" w:cs="Arial"/>
          <w:i/>
          <w:iCs/>
          <w:color w:val="000000" w:themeColor="text1"/>
          <w:sz w:val="24"/>
          <w:szCs w:val="24"/>
        </w:rPr>
        <w:t>n</w:t>
      </w:r>
      <w:r w:rsidR="00DD751A" w:rsidRPr="00CC6AEB">
        <w:rPr>
          <w:rFonts w:ascii="Book Antiqua" w:eastAsia="Book Antiqua" w:hAnsi="Book Antiqua" w:cs="Arial"/>
          <w:color w:val="000000" w:themeColor="text1"/>
          <w:sz w:val="24"/>
          <w:szCs w:val="24"/>
        </w:rPr>
        <w:t xml:space="preserve"> = 1).</w:t>
      </w:r>
    </w:p>
    <w:p w14:paraId="6311A505" w14:textId="0AC501E0" w:rsidR="009C5E66" w:rsidRPr="00CC6AEB" w:rsidRDefault="009C5E6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color w:val="000000" w:themeColor="text1"/>
          <w:sz w:val="24"/>
          <w:szCs w:val="24"/>
        </w:rPr>
        <w:t xml:space="preserve">Table 2 lists the univariate and multivariate </w:t>
      </w:r>
      <w:r w:rsidR="00D25822" w:rsidRPr="00CC6AEB">
        <w:rPr>
          <w:rFonts w:ascii="Book Antiqua" w:eastAsia="Book Antiqua" w:hAnsi="Book Antiqua" w:cs="Arial"/>
          <w:color w:val="000000" w:themeColor="text1"/>
          <w:sz w:val="24"/>
          <w:szCs w:val="24"/>
        </w:rPr>
        <w:t>odds ratios (</w:t>
      </w:r>
      <w:r w:rsidRPr="00CC6AEB">
        <w:rPr>
          <w:rFonts w:ascii="Book Antiqua" w:eastAsia="Book Antiqua" w:hAnsi="Book Antiqua" w:cs="Arial"/>
          <w:color w:val="000000" w:themeColor="text1"/>
          <w:sz w:val="24"/>
          <w:szCs w:val="24"/>
        </w:rPr>
        <w:t>ORs</w:t>
      </w:r>
      <w:r w:rsidR="00D25822" w:rsidRPr="00CC6AEB">
        <w:rPr>
          <w:rFonts w:ascii="Book Antiqua" w:eastAsia="Book Antiqua" w:hAnsi="Book Antiqua" w:cs="Arial"/>
          <w:color w:val="000000" w:themeColor="text1"/>
          <w:sz w:val="24"/>
          <w:szCs w:val="24"/>
        </w:rPr>
        <w:t>)</w:t>
      </w:r>
      <w:r w:rsidRPr="00CC6AEB">
        <w:rPr>
          <w:rFonts w:ascii="Book Antiqua" w:eastAsia="Book Antiqua" w:hAnsi="Book Antiqua" w:cs="Arial"/>
          <w:color w:val="000000" w:themeColor="text1"/>
          <w:sz w:val="24"/>
          <w:szCs w:val="24"/>
        </w:rPr>
        <w:t xml:space="preserve"> an</w:t>
      </w:r>
      <w:r w:rsidRPr="00CC6AEB">
        <w:rPr>
          <w:rFonts w:ascii="Book Antiqua" w:eastAsia="Book Antiqua" w:hAnsi="Book Antiqua" w:cs="Arial"/>
          <w:sz w:val="24"/>
          <w:szCs w:val="24"/>
        </w:rPr>
        <w:t xml:space="preserve">d 95% </w:t>
      </w:r>
      <w:r w:rsidR="00D25822" w:rsidRPr="00CC6AEB">
        <w:rPr>
          <w:rFonts w:ascii="Book Antiqua" w:eastAsia="Book Antiqua" w:hAnsi="Book Antiqua" w:cs="Arial"/>
          <w:sz w:val="24"/>
          <w:szCs w:val="24"/>
        </w:rPr>
        <w:t>confidence interval (</w:t>
      </w:r>
      <w:r w:rsidRPr="00CC6AEB">
        <w:rPr>
          <w:rFonts w:ascii="Book Antiqua" w:eastAsia="Book Antiqua" w:hAnsi="Book Antiqua" w:cs="Arial"/>
          <w:sz w:val="24"/>
          <w:szCs w:val="24"/>
        </w:rPr>
        <w:t>CI</w:t>
      </w:r>
      <w:r w:rsidR="00D2582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for potential predictors of post-LT DAA therapy failure. Univariate analysis showed a significant risk of failure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.05) in patients with HCV-positive allografts; HCV genotype 3a; high </w:t>
      </w:r>
      <w:r w:rsidR="00D25822" w:rsidRPr="00CC6AEB">
        <w:rPr>
          <w:rFonts w:ascii="Book Antiqua" w:eastAsia="Book Antiqua" w:hAnsi="Book Antiqua" w:cs="Arial"/>
          <w:sz w:val="24"/>
          <w:szCs w:val="24"/>
        </w:rPr>
        <w:t>alanine aminotransferase (</w:t>
      </w:r>
      <w:r w:rsidRPr="00CC6AEB">
        <w:rPr>
          <w:rFonts w:ascii="Book Antiqua" w:eastAsia="Book Antiqua" w:hAnsi="Book Antiqua" w:cs="Arial"/>
          <w:sz w:val="24"/>
          <w:szCs w:val="24"/>
        </w:rPr>
        <w:t>ALT</w:t>
      </w:r>
      <w:r w:rsidR="00D2582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level &gt;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35 U/L and or quantitative HCV </w:t>
      </w:r>
      <w:r w:rsidR="00B30A13" w:rsidRPr="00CC6AEB">
        <w:rPr>
          <w:rFonts w:ascii="Book Antiqua" w:eastAsia="Book Antiqua" w:hAnsi="Book Antiqua" w:cs="Arial"/>
          <w:sz w:val="24"/>
          <w:szCs w:val="24"/>
        </w:rPr>
        <w:t xml:space="preserve">polymerase chain reaction </w:t>
      </w:r>
      <w:r w:rsidRPr="00CC6AEB">
        <w:rPr>
          <w:rFonts w:ascii="Book Antiqua" w:eastAsia="Book Antiqua" w:hAnsi="Book Antiqua" w:cs="Arial"/>
          <w:sz w:val="24"/>
          <w:szCs w:val="24"/>
        </w:rPr>
        <w:t>&gt;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15 IU/m</w:t>
      </w:r>
      <w:r w:rsidR="00EB110B" w:rsidRPr="00CC6AEB">
        <w:rPr>
          <w:rFonts w:ascii="Book Antiqua" w:eastAsia="Book Antiqua" w:hAnsi="Book Antiqua" w:cs="Arial"/>
          <w:sz w:val="24"/>
          <w:szCs w:val="24"/>
        </w:rPr>
        <w:t>L</w:t>
      </w:r>
      <w:r w:rsidRPr="00CC6AEB">
        <w:rPr>
          <w:rFonts w:ascii="Book Antiqua" w:eastAsia="Book Antiqua" w:hAnsi="Book Antiqua" w:cs="Arial"/>
          <w:sz w:val="24"/>
          <w:szCs w:val="24"/>
        </w:rPr>
        <w:t xml:space="preserve"> at treatment week 4. However, multivariate analysis after adjustment for these predictors demonstrated a high ALT level &gt;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was significantly associated with DAA therapy failure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.04) after adjustment for </w:t>
      </w:r>
      <w:r w:rsidRPr="00CC6AEB">
        <w:rPr>
          <w:rFonts w:ascii="Book Antiqua" w:eastAsia="Book Antiqua" w:hAnsi="Book Antiqua" w:cs="Arial"/>
          <w:sz w:val="24"/>
          <w:szCs w:val="24"/>
        </w:rPr>
        <w:lastRenderedPageBreak/>
        <w:t>the confounding effect of the significant factors described above. Pre-transplant relapse to DAA treatment and history of pre-transplant HCC did not impact SVR12 rates in patients treated with DAA post-LT.</w:t>
      </w:r>
    </w:p>
    <w:p w14:paraId="0F42552D" w14:textId="7F64EFF3"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We observed normalization of ALT levels ≤</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i</w:t>
      </w:r>
      <w:r w:rsidR="007D5644" w:rsidRPr="00CC6AEB">
        <w:rPr>
          <w:rFonts w:ascii="Book Antiqua" w:eastAsia="Book Antiqua" w:hAnsi="Book Antiqua" w:cs="Arial"/>
          <w:sz w:val="24"/>
          <w:szCs w:val="24"/>
        </w:rPr>
        <w:t>n 85% of the patients (Figure 2</w:t>
      </w:r>
      <w:r w:rsidR="0067213A" w:rsidRPr="00CC6AEB">
        <w:rPr>
          <w:rFonts w:ascii="Book Antiqua" w:eastAsia="Book Antiqua" w:hAnsi="Book Antiqua" w:cs="Arial"/>
          <w:sz w:val="24"/>
          <w:szCs w:val="24"/>
        </w:rPr>
        <w:t xml:space="preserve"> and Table 3</w:t>
      </w:r>
      <w:r w:rsidRPr="00CC6AEB">
        <w:rPr>
          <w:rFonts w:ascii="Book Antiqua" w:eastAsia="Book Antiqua" w:hAnsi="Book Antiqua" w:cs="Arial"/>
          <w:sz w:val="24"/>
          <w:szCs w:val="24"/>
        </w:rPr>
        <w:t xml:space="preserve">). Moreover, the mean platelet count in all patients improved significantly over the follow-up period with a mean difference of -36 (-47.9 to -6),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EB110B" w:rsidRPr="00CC6AEB">
        <w:rPr>
          <w:rFonts w:ascii="Book Antiqua" w:eastAsia="Book Antiqua" w:hAnsi="Book Antiqua" w:cs="Arial"/>
          <w:sz w:val="24"/>
          <w:szCs w:val="24"/>
        </w:rPr>
        <w:t>0</w:t>
      </w:r>
      <w:r w:rsidR="007D5644" w:rsidRPr="00CC6AEB">
        <w:rPr>
          <w:rFonts w:ascii="Book Antiqua" w:eastAsia="Book Antiqua" w:hAnsi="Book Antiqua" w:cs="Arial"/>
          <w:sz w:val="24"/>
          <w:szCs w:val="24"/>
        </w:rPr>
        <w:t>.001 (Figure 3</w:t>
      </w:r>
      <w:r w:rsidR="0067213A" w:rsidRPr="00CC6AEB">
        <w:rPr>
          <w:rFonts w:ascii="Book Antiqua" w:eastAsia="Book Antiqua" w:hAnsi="Book Antiqua" w:cs="Arial"/>
          <w:sz w:val="24"/>
          <w:szCs w:val="24"/>
        </w:rPr>
        <w:t xml:space="preserve"> and Table 4</w:t>
      </w:r>
      <w:r w:rsidRPr="00CC6AEB">
        <w:rPr>
          <w:rFonts w:ascii="Book Antiqua" w:eastAsia="Book Antiqua" w:hAnsi="Book Antiqua" w:cs="Arial"/>
          <w:sz w:val="24"/>
          <w:szCs w:val="24"/>
        </w:rPr>
        <w:t>).</w:t>
      </w:r>
    </w:p>
    <w:p w14:paraId="3C1B322E" w14:textId="77777777" w:rsidR="007A5A7C" w:rsidRPr="00CC6AEB" w:rsidRDefault="007A5A7C" w:rsidP="00CC6AEB">
      <w:pPr>
        <w:snapToGrid w:val="0"/>
        <w:spacing w:after="0" w:line="360" w:lineRule="auto"/>
        <w:jc w:val="both"/>
        <w:rPr>
          <w:rFonts w:ascii="Book Antiqua" w:eastAsia="Book Antiqua" w:hAnsi="Book Antiqua"/>
          <w:b/>
          <w:i/>
          <w:sz w:val="24"/>
          <w:szCs w:val="24"/>
        </w:rPr>
      </w:pPr>
    </w:p>
    <w:p w14:paraId="33315651" w14:textId="6808FE93"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HCC recurrence after DAA treatment</w:t>
      </w:r>
    </w:p>
    <w:p w14:paraId="06C92E3B" w14:textId="688AF6DF"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In the PHCC group, six patients (9%) experienced HCC recurrence after DAA treatment initiation. The median time from DAA therapy initiation to HCC recurrence was 8.5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1.0-29.0 </w:t>
      </w:r>
      <w:proofErr w:type="spellStart"/>
      <w:r w:rsidRPr="00CC6AEB">
        <w:rPr>
          <w:rFonts w:ascii="Book Antiqua" w:eastAsia="Book Antiqua" w:hAnsi="Book Antiqua" w:cs="Arial"/>
          <w:sz w:val="24"/>
          <w:szCs w:val="24"/>
        </w:rPr>
        <w:t>mo</w:t>
      </w:r>
      <w:proofErr w:type="spellEnd"/>
      <w:r w:rsidR="00DD751A" w:rsidRPr="00CC6AEB">
        <w:rPr>
          <w:rFonts w:ascii="Book Antiqua" w:eastAsia="Book Antiqua" w:hAnsi="Book Antiqua" w:cs="Arial"/>
          <w:sz w:val="24"/>
          <w:szCs w:val="24"/>
        </w:rPr>
        <w:t>).</w:t>
      </w:r>
    </w:p>
    <w:p w14:paraId="6EFF47E0" w14:textId="2F8F71D7" w:rsidR="00233CCC" w:rsidRPr="00CC6AEB" w:rsidRDefault="009C5E6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The demographic characteristics, HCC risk factors, and clinical features were similar in the patients who had HCC recurrences after DAA treatment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6) and those who did not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62), demonstrating a lack of a significant impact of these factors on prediction of recurrence after the treatment (Table </w:t>
      </w:r>
      <w:r w:rsidR="0067213A" w:rsidRPr="00CC6AEB">
        <w:rPr>
          <w:rFonts w:ascii="Book Antiqua" w:eastAsia="Book Antiqua" w:hAnsi="Book Antiqua" w:cs="Arial"/>
          <w:sz w:val="24"/>
          <w:szCs w:val="24"/>
        </w:rPr>
        <w:t>5</w:t>
      </w:r>
      <w:r w:rsidR="001E0A4E"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Of the patients who experienced HCC recurrence after DAA treatmen</w:t>
      </w:r>
      <w:r w:rsidR="00D44760" w:rsidRPr="00CC6AEB">
        <w:rPr>
          <w:rFonts w:ascii="Book Antiqua" w:eastAsia="Book Antiqua" w:hAnsi="Book Antiqua" w:cs="Arial"/>
          <w:sz w:val="24"/>
          <w:szCs w:val="24"/>
        </w:rPr>
        <w:t>t, 5 patients (83%) had relapse</w:t>
      </w:r>
      <w:r w:rsidR="00FC010F" w:rsidRPr="00CC6AEB">
        <w:rPr>
          <w:rFonts w:ascii="Book Antiqua" w:eastAsia="Book Antiqua" w:hAnsi="Book Antiqua" w:cs="Arial"/>
          <w:sz w:val="24"/>
          <w:szCs w:val="24"/>
        </w:rPr>
        <w:t>s</w:t>
      </w:r>
      <w:r w:rsidRPr="00CC6AEB">
        <w:rPr>
          <w:rFonts w:ascii="Book Antiqua" w:eastAsia="Book Antiqua" w:hAnsi="Book Antiqua" w:cs="Arial"/>
          <w:sz w:val="24"/>
          <w:szCs w:val="24"/>
        </w:rPr>
        <w:t xml:space="preserve"> to pre-transplant DAA treatment, suggesting pre-transplant relapse </w:t>
      </w:r>
      <w:r w:rsidR="006C4B5D" w:rsidRPr="00CC6AEB">
        <w:rPr>
          <w:rFonts w:ascii="Book Antiqua" w:eastAsia="Book Antiqua" w:hAnsi="Book Antiqua" w:cs="Arial"/>
          <w:sz w:val="24"/>
          <w:szCs w:val="24"/>
        </w:rPr>
        <w:t>is</w:t>
      </w:r>
      <w:r w:rsidRPr="00CC6AEB">
        <w:rPr>
          <w:rFonts w:ascii="Book Antiqua" w:eastAsia="Book Antiqua" w:hAnsi="Book Antiqua" w:cs="Arial"/>
          <w:sz w:val="24"/>
          <w:szCs w:val="24"/>
        </w:rPr>
        <w:t xml:space="preserve"> a predictor of post-transplant HCC recurrence. The estimated adjusted OR was 14.</w:t>
      </w:r>
      <w:r w:rsidR="00DD751A" w:rsidRPr="00CC6AEB">
        <w:rPr>
          <w:rFonts w:ascii="Book Antiqua" w:eastAsia="Book Antiqua" w:hAnsi="Book Antiqua" w:cs="Arial"/>
          <w:sz w:val="24"/>
          <w:szCs w:val="24"/>
        </w:rPr>
        <w:t>9 (95%CI:</w:t>
      </w:r>
      <w:r w:rsidRPr="00CC6AEB">
        <w:rPr>
          <w:rFonts w:ascii="Book Antiqua" w:eastAsia="Book Antiqua" w:hAnsi="Book Antiqua" w:cs="Arial"/>
          <w:sz w:val="24"/>
          <w:szCs w:val="24"/>
        </w:rPr>
        <w:t xml:space="preserve"> 1.1-21</w:t>
      </w:r>
      <w:r w:rsidR="00DD751A" w:rsidRPr="00CC6AEB">
        <w:rPr>
          <w:rFonts w:ascii="Book Antiqua" w:eastAsia="Book Antiqua" w:hAnsi="Book Antiqua" w:cs="Arial"/>
          <w:sz w:val="24"/>
          <w:szCs w:val="24"/>
        </w:rPr>
        <w:t>9.3).</w:t>
      </w:r>
    </w:p>
    <w:p w14:paraId="5275504A" w14:textId="365FAFE4"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In addition, we identified </w:t>
      </w:r>
      <w:r w:rsidR="0056120C" w:rsidRPr="00CC6AEB">
        <w:rPr>
          <w:rFonts w:ascii="Book Antiqua" w:eastAsia="Book Antiqua" w:hAnsi="Book Antiqua" w:cs="Arial"/>
          <w:sz w:val="24"/>
          <w:szCs w:val="24"/>
        </w:rPr>
        <w:t>relapse to</w:t>
      </w:r>
      <w:r w:rsidRPr="00CC6AEB">
        <w:rPr>
          <w:rFonts w:ascii="Book Antiqua" w:eastAsia="Book Antiqua" w:hAnsi="Book Antiqua" w:cs="Arial"/>
          <w:sz w:val="24"/>
          <w:szCs w:val="24"/>
        </w:rPr>
        <w:t xml:space="preserve"> the post-transplantation DAA therapy as a potential predictor of HCC recurrence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.05), with a 10-fold greater risk of recurrence in patients who had treatment failures than in responders. The estimated adjusted OR was 10</w:t>
      </w:r>
      <w:r w:rsidR="00DD751A" w:rsidRPr="00CC6AEB">
        <w:rPr>
          <w:rFonts w:ascii="Book Antiqua" w:eastAsia="Book Antiqua" w:hAnsi="Book Antiqua" w:cs="Arial"/>
          <w:sz w:val="24"/>
          <w:szCs w:val="24"/>
        </w:rPr>
        <w:t>.6 (95%CI:</w:t>
      </w:r>
      <w:r w:rsidRPr="00CC6AEB">
        <w:rPr>
          <w:rFonts w:ascii="Book Antiqua" w:eastAsia="Book Antiqua" w:hAnsi="Book Antiqua" w:cs="Arial"/>
          <w:sz w:val="24"/>
          <w:szCs w:val="24"/>
        </w:rPr>
        <w:t xml:space="preserve"> 1.0-121.6) (Table </w:t>
      </w:r>
      <w:r w:rsidR="0067213A" w:rsidRPr="00CC6AEB">
        <w:rPr>
          <w:rFonts w:ascii="Book Antiqua" w:eastAsia="Book Antiqua" w:hAnsi="Book Antiqua" w:cs="Arial"/>
          <w:sz w:val="24"/>
          <w:szCs w:val="24"/>
        </w:rPr>
        <w:t>5</w:t>
      </w:r>
      <w:r w:rsidRPr="00CC6AEB">
        <w:rPr>
          <w:rFonts w:ascii="Book Antiqua" w:eastAsia="Book Antiqua" w:hAnsi="Book Antiqua" w:cs="Arial"/>
          <w:sz w:val="24"/>
          <w:szCs w:val="24"/>
        </w:rPr>
        <w:t>).</w:t>
      </w:r>
    </w:p>
    <w:p w14:paraId="799600B8" w14:textId="77777777" w:rsidR="00233CCC" w:rsidRPr="00CC6AEB" w:rsidRDefault="00233CCC" w:rsidP="00CC6AEB">
      <w:pPr>
        <w:snapToGrid w:val="0"/>
        <w:spacing w:after="0" w:line="360" w:lineRule="auto"/>
        <w:jc w:val="both"/>
        <w:rPr>
          <w:rFonts w:ascii="Book Antiqua" w:hAnsi="Book Antiqua" w:cs="Arial"/>
          <w:color w:val="000000"/>
          <w:sz w:val="24"/>
          <w:szCs w:val="24"/>
        </w:rPr>
      </w:pPr>
    </w:p>
    <w:p w14:paraId="0AA68AE2" w14:textId="77777777"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RBV-containing regimens</w:t>
      </w:r>
    </w:p>
    <w:p w14:paraId="322AB347" w14:textId="5B4EB67E"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We also categorized patients into two groups according to use of RBV (</w:t>
      </w:r>
      <w:r w:rsidR="00B30AD9" w:rsidRPr="00CC6AEB">
        <w:rPr>
          <w:rFonts w:ascii="Book Antiqua" w:eastAsia="Book Antiqua" w:hAnsi="Book Antiqua" w:cs="Arial"/>
          <w:sz w:val="24"/>
          <w:szCs w:val="24"/>
        </w:rPr>
        <w:t xml:space="preserve">Table </w:t>
      </w:r>
      <w:r w:rsidR="0067213A" w:rsidRPr="00CC6AEB">
        <w:rPr>
          <w:rFonts w:ascii="Book Antiqua" w:eastAsia="Book Antiqua" w:hAnsi="Book Antiqua" w:cs="Arial"/>
          <w:sz w:val="24"/>
          <w:szCs w:val="24"/>
        </w:rPr>
        <w:t>6</w:t>
      </w:r>
      <w:r w:rsidRPr="00CC6AEB">
        <w:rPr>
          <w:rFonts w:ascii="Book Antiqua" w:eastAsia="Book Antiqua" w:hAnsi="Book Antiqua" w:cs="Arial"/>
          <w:sz w:val="24"/>
          <w:szCs w:val="24"/>
        </w:rPr>
        <w:t>). Demographic characteristics and baseline laboratory values were similar for patients given DAA therapy with and w</w:t>
      </w:r>
      <w:r w:rsidRPr="00CC6AEB">
        <w:rPr>
          <w:rFonts w:ascii="Book Antiqua" w:eastAsia="Book Antiqua" w:hAnsi="Book Antiqua" w:cs="Arial"/>
          <w:color w:val="000000" w:themeColor="text1"/>
          <w:sz w:val="24"/>
          <w:szCs w:val="24"/>
        </w:rPr>
        <w:t>ithout RBV except</w:t>
      </w:r>
      <w:r w:rsidRPr="00CC6AEB">
        <w:rPr>
          <w:rFonts w:ascii="Book Antiqua" w:eastAsia="Book Antiqua" w:hAnsi="Book Antiqua" w:cs="Arial"/>
          <w:sz w:val="24"/>
          <w:szCs w:val="24"/>
        </w:rPr>
        <w:t xml:space="preserve"> for the serum creatinine </w:t>
      </w:r>
      <w:r w:rsidRPr="00CC6AEB">
        <w:rPr>
          <w:rFonts w:ascii="Book Antiqua" w:eastAsia="Book Antiqua" w:hAnsi="Book Antiqua" w:cs="Arial"/>
          <w:sz w:val="24"/>
          <w:szCs w:val="24"/>
        </w:rPr>
        <w:lastRenderedPageBreak/>
        <w:t xml:space="preserve">and hemoglobin levels, </w:t>
      </w:r>
      <w:r w:rsidR="00885DAC" w:rsidRPr="00CC6AEB">
        <w:rPr>
          <w:rFonts w:ascii="Book Antiqua" w:eastAsia="Book Antiqua" w:hAnsi="Book Antiqua" w:cs="Arial"/>
          <w:color w:val="000000" w:themeColor="text1"/>
          <w:sz w:val="24"/>
          <w:szCs w:val="24"/>
        </w:rPr>
        <w:t>the mo</w:t>
      </w:r>
      <w:r w:rsidR="00885DAC" w:rsidRPr="00CC6AEB">
        <w:rPr>
          <w:rFonts w:ascii="Book Antiqua" w:eastAsia="Book Antiqua" w:hAnsi="Book Antiqua" w:cs="Arial"/>
          <w:sz w:val="24"/>
          <w:szCs w:val="24"/>
        </w:rPr>
        <w:t>del for end-stage liver d</w:t>
      </w:r>
      <w:r w:rsidR="00885DAC" w:rsidRPr="00CC6AEB">
        <w:rPr>
          <w:rFonts w:ascii="Book Antiqua" w:eastAsia="Book Antiqua" w:hAnsi="Book Antiqua" w:cs="Arial"/>
          <w:color w:val="000000" w:themeColor="text1"/>
          <w:sz w:val="24"/>
          <w:szCs w:val="24"/>
        </w:rPr>
        <w:t xml:space="preserve">isease-sodium score, </w:t>
      </w:r>
      <w:r w:rsidR="00885DAC" w:rsidRPr="00CC6AEB">
        <w:rPr>
          <w:rFonts w:ascii="Book Antiqua" w:eastAsia="Book Antiqua" w:hAnsi="Book Antiqua" w:cs="Arial"/>
          <w:sz w:val="24"/>
          <w:szCs w:val="24"/>
        </w:rPr>
        <w:t>estimated glomerular filtrat</w:t>
      </w:r>
      <w:r w:rsidR="00885DAC" w:rsidRPr="00CC6AEB">
        <w:rPr>
          <w:rFonts w:ascii="Book Antiqua" w:eastAsia="Book Antiqua" w:hAnsi="Book Antiqua" w:cs="Arial"/>
          <w:color w:val="000000" w:themeColor="text1"/>
          <w:sz w:val="24"/>
          <w:szCs w:val="24"/>
        </w:rPr>
        <w:t>ion rate,</w:t>
      </w:r>
      <w:r w:rsidRPr="00CC6AEB">
        <w:rPr>
          <w:rFonts w:ascii="Book Antiqua" w:eastAsia="Book Antiqua" w:hAnsi="Book Antiqua" w:cs="Arial"/>
          <w:sz w:val="24"/>
          <w:szCs w:val="24"/>
        </w:rPr>
        <w:t xml:space="preserve"> and presence of chronic kidney disease.</w:t>
      </w:r>
    </w:p>
    <w:p w14:paraId="13191CAF" w14:textId="6FBC355D"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Patients who received DAA regimens with and without RBV had similar SVR12 rates (95.5% </w:t>
      </w:r>
      <w:r w:rsidR="00DD751A" w:rsidRPr="00CC6AEB">
        <w:rPr>
          <w:rFonts w:ascii="Book Antiqua" w:eastAsia="Book Antiqua" w:hAnsi="Book Antiqua" w:cs="Arial"/>
          <w:i/>
          <w:iCs/>
          <w:sz w:val="24"/>
          <w:szCs w:val="24"/>
        </w:rPr>
        <w:t xml:space="preserve">vs </w:t>
      </w:r>
      <w:r w:rsidRPr="00CC6AEB">
        <w:rPr>
          <w:rFonts w:ascii="Book Antiqua" w:eastAsia="Book Antiqua" w:hAnsi="Book Antiqua" w:cs="Arial"/>
          <w:sz w:val="24"/>
          <w:szCs w:val="24"/>
        </w:rPr>
        <w:t xml:space="preserve">92.1%; </w:t>
      </w:r>
      <w:r w:rsidRPr="00CC6AEB">
        <w:rPr>
          <w:rFonts w:ascii="Book Antiqua" w:eastAsia="Book Antiqua" w:hAnsi="Book Antiqua" w:cs="Arial"/>
          <w:i/>
          <w:sz w:val="24"/>
          <w:szCs w:val="24"/>
        </w:rPr>
        <w:t xml:space="preserve">P </w:t>
      </w:r>
      <w:r w:rsidRPr="00CC6AEB">
        <w:rPr>
          <w:rFonts w:ascii="Book Antiqua" w:eastAsia="Book Antiqua" w:hAnsi="Book Antiqua" w:cs="Arial"/>
          <w:sz w:val="24"/>
          <w:szCs w:val="24"/>
        </w:rPr>
        <w:t xml:space="preserve">= </w:t>
      </w:r>
      <w:r w:rsidR="00EB110B" w:rsidRPr="00CC6AEB">
        <w:rPr>
          <w:rFonts w:ascii="Book Antiqua" w:eastAsia="Book Antiqua" w:hAnsi="Book Antiqua" w:cs="Arial"/>
          <w:sz w:val="24"/>
          <w:szCs w:val="24"/>
        </w:rPr>
        <w:t>0</w:t>
      </w:r>
      <w:r w:rsidR="00DD751A" w:rsidRPr="00CC6AEB">
        <w:rPr>
          <w:rFonts w:ascii="Book Antiqua" w:eastAsia="Book Antiqua" w:hAnsi="Book Antiqua" w:cs="Arial"/>
          <w:sz w:val="24"/>
          <w:szCs w:val="24"/>
        </w:rPr>
        <w:t>.7).</w:t>
      </w:r>
    </w:p>
    <w:p w14:paraId="74898696" w14:textId="77777777" w:rsidR="007A5A7C" w:rsidRPr="00CC6AEB" w:rsidRDefault="007A5A7C" w:rsidP="00CC6AEB">
      <w:pPr>
        <w:snapToGrid w:val="0"/>
        <w:spacing w:after="0" w:line="360" w:lineRule="auto"/>
        <w:jc w:val="both"/>
        <w:rPr>
          <w:rFonts w:ascii="Book Antiqua" w:eastAsia="Book Antiqua" w:hAnsi="Book Antiqua"/>
          <w:b/>
          <w:i/>
          <w:sz w:val="24"/>
          <w:szCs w:val="24"/>
        </w:rPr>
      </w:pPr>
    </w:p>
    <w:p w14:paraId="2BC3D965" w14:textId="7A60F44F"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BMI and DAA therapy</w:t>
      </w:r>
    </w:p>
    <w:p w14:paraId="175B5DBC" w14:textId="42DA4ABC" w:rsidR="002D6A7B"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A high baseline BMI (≥</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25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did not have a more significant impact on SVR12 or HCC recurrence after DAA treatment than a low BMI (&lt;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25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xml:space="preserve">) (Tables 2 and </w:t>
      </w:r>
      <w:r w:rsidR="0067213A" w:rsidRPr="00CC6AEB">
        <w:rPr>
          <w:rFonts w:ascii="Book Antiqua" w:eastAsia="Book Antiqua" w:hAnsi="Book Antiqua" w:cs="Arial"/>
          <w:sz w:val="24"/>
          <w:szCs w:val="24"/>
        </w:rPr>
        <w:t>5</w:t>
      </w:r>
      <w:r w:rsidRPr="00CC6AEB">
        <w:rPr>
          <w:rFonts w:ascii="Book Antiqua" w:eastAsia="Book Antiqua" w:hAnsi="Book Antiqua" w:cs="Arial"/>
          <w:sz w:val="24"/>
          <w:szCs w:val="24"/>
        </w:rPr>
        <w:t>). However, among those with PHCC, weight loss by the end of DAA treatment was a significant predictor of HCC recurrence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.03). </w:t>
      </w:r>
    </w:p>
    <w:p w14:paraId="3DC6FE22" w14:textId="5BA72A58" w:rsidR="007A5A7C" w:rsidRPr="00CC6AEB" w:rsidRDefault="007A5A7C" w:rsidP="00CC6AEB">
      <w:pPr>
        <w:snapToGrid w:val="0"/>
        <w:spacing w:after="0" w:line="360" w:lineRule="auto"/>
        <w:jc w:val="both"/>
        <w:rPr>
          <w:rFonts w:ascii="Book Antiqua" w:hAnsi="Book Antiqua"/>
          <w:bCs/>
          <w:iCs/>
          <w:color w:val="FF0000"/>
          <w:sz w:val="24"/>
          <w:szCs w:val="24"/>
          <w:lang w:eastAsia="zh-CN"/>
        </w:rPr>
      </w:pPr>
    </w:p>
    <w:p w14:paraId="7B6AFD4F" w14:textId="5AFD2D7D"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color w:val="000000" w:themeColor="text1"/>
          <w:sz w:val="24"/>
          <w:szCs w:val="24"/>
        </w:rPr>
        <w:t>Safety and tolerabi</w:t>
      </w:r>
      <w:r w:rsidRPr="00CC6AEB">
        <w:rPr>
          <w:rFonts w:ascii="Book Antiqua" w:eastAsia="Book Antiqua" w:hAnsi="Book Antiqua"/>
          <w:b/>
          <w:i/>
          <w:sz w:val="24"/>
          <w:szCs w:val="24"/>
        </w:rPr>
        <w:t>lity</w:t>
      </w:r>
    </w:p>
    <w:p w14:paraId="5284B21D" w14:textId="556FF4A2"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Only one patient in the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group had to discontinue DAA treatment SOF/</w:t>
      </w:r>
      <w:r w:rsidR="007D1518" w:rsidRPr="00CC6AEB">
        <w:rPr>
          <w:rFonts w:ascii="Book Antiqua" w:eastAsia="Book Antiqua" w:hAnsi="Book Antiqua" w:cs="Arial"/>
          <w:sz w:val="24"/>
          <w:szCs w:val="24"/>
        </w:rPr>
        <w:t xml:space="preserve"> ledipasvir</w:t>
      </w:r>
      <w:r w:rsidRPr="00CC6AEB">
        <w:rPr>
          <w:rFonts w:ascii="Book Antiqua" w:eastAsia="Book Antiqua" w:hAnsi="Book Antiqua" w:cs="Arial"/>
          <w:sz w:val="24"/>
          <w:szCs w:val="24"/>
        </w:rPr>
        <w:t xml:space="preserve"> at 16 weeks due to adverse events, which consisted of significant fatigue and headache, but achieved SVR12. However, of the patients receiving RBV-containing DAA regimens, 26 (38%) needed RBV discontinuation or dose modification due to adverse events, including anemia, fatigue, nausea, and elevated serum creatinine level.</w:t>
      </w:r>
    </w:p>
    <w:p w14:paraId="47B1EA76" w14:textId="0D31A464"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No patients experienced decompensation during or after DAA treatment until the last follow-up visit. </w:t>
      </w:r>
      <w:r w:rsidR="005022B2" w:rsidRPr="00CC6AEB">
        <w:rPr>
          <w:rFonts w:ascii="Book Antiqua" w:eastAsia="Book Antiqua" w:hAnsi="Book Antiqua" w:cs="Arial"/>
          <w:sz w:val="24"/>
          <w:szCs w:val="24"/>
        </w:rPr>
        <w:t>Also, none of anti-HBc</w:t>
      </w:r>
      <w:r w:rsidR="009C5E66" w:rsidRPr="00CC6AEB">
        <w:rPr>
          <w:rFonts w:ascii="Book Antiqua" w:eastAsia="Book Antiqua" w:hAnsi="Book Antiqua" w:cs="Arial"/>
          <w:sz w:val="24"/>
          <w:szCs w:val="24"/>
        </w:rPr>
        <w:t>-positive patients (30%) experienced HBV reactivation during or after DAA therapy until the last follow-up visit.</w:t>
      </w:r>
    </w:p>
    <w:p w14:paraId="0F7C883D" w14:textId="288517E3"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Physicians administered tacrolimus-containing regimens to 83% of the patients during DAA therapy. We found no significant changes in immunosuppressive drug dosages or levels during DAA treatment. Five patients (5%) experienced mild acute rejection episodes within a median time of 11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5-28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after DAA treatment completion, all of whom experienced SVR12 and rejection episodes were controlled.</w:t>
      </w:r>
    </w:p>
    <w:p w14:paraId="0B1DB484" w14:textId="77777777" w:rsidR="00C31309" w:rsidRPr="00CC6AEB" w:rsidRDefault="00C31309" w:rsidP="00CC6AEB">
      <w:pPr>
        <w:snapToGrid w:val="0"/>
        <w:spacing w:after="0" w:line="360" w:lineRule="auto"/>
        <w:jc w:val="both"/>
        <w:rPr>
          <w:rFonts w:ascii="Book Antiqua" w:eastAsia="Book Antiqua" w:hAnsi="Book Antiqua"/>
          <w:b/>
          <w:sz w:val="24"/>
          <w:szCs w:val="24"/>
          <w:u w:val="single"/>
        </w:rPr>
      </w:pPr>
    </w:p>
    <w:p w14:paraId="6920481C" w14:textId="77777777" w:rsidR="00D047B3" w:rsidRPr="00CC6AEB" w:rsidRDefault="00D047B3"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t>DISCUSSION</w:t>
      </w:r>
    </w:p>
    <w:p w14:paraId="703E5706" w14:textId="743582E4" w:rsidR="002D6A7B" w:rsidRPr="00CC6AEB" w:rsidRDefault="002D6A7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The present study is the first to demonstrate</w:t>
      </w:r>
      <w:r w:rsidR="00334454" w:rsidRPr="00CC6AEB">
        <w:rPr>
          <w:rFonts w:ascii="Book Antiqua" w:eastAsia="Book Antiqua" w:hAnsi="Book Antiqua" w:cs="Arial"/>
          <w:sz w:val="24"/>
          <w:szCs w:val="24"/>
        </w:rPr>
        <w:t xml:space="preserve"> that pre-transplant relapse to </w:t>
      </w:r>
      <w:r w:rsidR="00DD751A" w:rsidRPr="00CC6AEB">
        <w:rPr>
          <w:rFonts w:ascii="Book Antiqua" w:eastAsia="Book Antiqua" w:hAnsi="Book Antiqua" w:cs="Arial"/>
          <w:sz w:val="24"/>
          <w:szCs w:val="24"/>
        </w:rPr>
        <w:t>DAA</w:t>
      </w:r>
      <w:r w:rsidR="00334454" w:rsidRPr="00CC6AEB">
        <w:rPr>
          <w:rFonts w:ascii="Book Antiqua" w:eastAsia="Book Antiqua" w:hAnsi="Book Antiqua" w:cs="Arial"/>
          <w:sz w:val="24"/>
          <w:szCs w:val="24"/>
        </w:rPr>
        <w:t xml:space="preserve"> therapy is a significant predictor of post-transplant HCC recurrence. P</w:t>
      </w:r>
      <w:r w:rsidRPr="00CC6AEB">
        <w:rPr>
          <w:rFonts w:ascii="Book Antiqua" w:eastAsia="Book Antiqua" w:hAnsi="Book Antiqua" w:cs="Arial"/>
          <w:sz w:val="24"/>
          <w:szCs w:val="24"/>
        </w:rPr>
        <w:t xml:space="preserve">ost-LT DAA therapy </w:t>
      </w:r>
      <w:r w:rsidR="008B2FBE" w:rsidRPr="00CC6AEB">
        <w:rPr>
          <w:rFonts w:ascii="Book Antiqua" w:eastAsia="Book Antiqua" w:hAnsi="Book Antiqua" w:cs="Arial"/>
          <w:sz w:val="24"/>
          <w:szCs w:val="24"/>
        </w:rPr>
        <w:t>relapse</w:t>
      </w:r>
      <w:r w:rsidR="00334454" w:rsidRPr="00CC6AEB">
        <w:rPr>
          <w:rFonts w:ascii="Book Antiqua" w:eastAsia="Book Antiqua" w:hAnsi="Book Antiqua" w:cs="Arial"/>
          <w:sz w:val="24"/>
          <w:szCs w:val="24"/>
        </w:rPr>
        <w:t xml:space="preserve"> is also associated with</w:t>
      </w:r>
      <w:r w:rsidRPr="00CC6AEB">
        <w:rPr>
          <w:rFonts w:ascii="Book Antiqua" w:eastAsia="Book Antiqua" w:hAnsi="Book Antiqua" w:cs="Arial"/>
          <w:sz w:val="24"/>
          <w:szCs w:val="24"/>
        </w:rPr>
        <w:t xml:space="preserve"> HCC recurrence in LT recipients. </w:t>
      </w:r>
      <w:r w:rsidR="00801D9F" w:rsidRPr="00CC6AEB">
        <w:rPr>
          <w:rFonts w:ascii="Book Antiqua" w:eastAsia="Book Antiqua" w:hAnsi="Book Antiqua" w:cs="Arial"/>
          <w:sz w:val="24"/>
          <w:szCs w:val="24"/>
        </w:rPr>
        <w:t>High ALT level &gt;</w:t>
      </w:r>
      <w:r w:rsidR="004757D6" w:rsidRPr="00CC6AEB">
        <w:rPr>
          <w:rFonts w:ascii="Book Antiqua" w:eastAsia="Book Antiqua" w:hAnsi="Book Antiqua" w:cs="Arial"/>
          <w:sz w:val="24"/>
          <w:szCs w:val="24"/>
        </w:rPr>
        <w:t xml:space="preserve"> </w:t>
      </w:r>
      <w:r w:rsidR="00801D9F" w:rsidRPr="00CC6AEB">
        <w:rPr>
          <w:rFonts w:ascii="Book Antiqua" w:eastAsia="Book Antiqua" w:hAnsi="Book Antiqua" w:cs="Arial"/>
          <w:sz w:val="24"/>
          <w:szCs w:val="24"/>
        </w:rPr>
        <w:t>35 U/L at treatment week 4 is a pred</w:t>
      </w:r>
      <w:r w:rsidR="00DD751A" w:rsidRPr="00CC6AEB">
        <w:rPr>
          <w:rFonts w:ascii="Book Antiqua" w:eastAsia="Book Antiqua" w:hAnsi="Book Antiqua" w:cs="Arial"/>
          <w:sz w:val="24"/>
          <w:szCs w:val="24"/>
        </w:rPr>
        <w:t>ictor of DAA treatment failure.</w:t>
      </w:r>
    </w:p>
    <w:p w14:paraId="1BEFB1C4" w14:textId="6EA7097D" w:rsidR="002D6A7B" w:rsidRPr="00CC6AEB" w:rsidRDefault="002D6A7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All oral DAA treatments were recently adopted as the standard of care for treatment of recurrent HCV infection in LT recipients. However, contradictory data regarding the increased risk of HCC recurrence in pre-transplant patients after DAA therapy, and HCC influence on DAA SVR rates may affect the decision to treat unique populations of patients as LT recipients with past histories of HCC.</w:t>
      </w:r>
    </w:p>
    <w:p w14:paraId="454E75C5" w14:textId="1CD40A6D" w:rsidR="0005062E" w:rsidRPr="00CC6AEB" w:rsidRDefault="0005062E"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There is increasing evidence of interaction between DAA therapy and HCC in the recent literature. Patients with HCC tend to have low rates of SVR12, whereas those who do not experience S</w:t>
      </w:r>
      <w:r w:rsidR="00DD5727" w:rsidRPr="00CC6AEB">
        <w:rPr>
          <w:rFonts w:ascii="Book Antiqua" w:eastAsia="Book Antiqua" w:hAnsi="Book Antiqua" w:cs="Arial"/>
          <w:sz w:val="24"/>
          <w:szCs w:val="24"/>
        </w:rPr>
        <w:t xml:space="preserve">VR12 have increased risk of </w:t>
      </w:r>
      <w:r w:rsidR="00E60A96" w:rsidRPr="00CC6AEB">
        <w:rPr>
          <w:rFonts w:ascii="Book Antiqua" w:eastAsia="Book Antiqua" w:hAnsi="Book Antiqua" w:cs="Arial"/>
          <w:sz w:val="24"/>
          <w:szCs w:val="24"/>
        </w:rPr>
        <w:t>HCC</w:t>
      </w:r>
      <w:r w:rsidR="00E60A96" w:rsidRPr="00CC6AEB">
        <w:rPr>
          <w:rFonts w:ascii="Book Antiqua" w:eastAsia="Book Antiqua" w:hAnsi="Book Antiqua" w:cs="Arial"/>
          <w:sz w:val="24"/>
          <w:szCs w:val="24"/>
          <w:vertAlign w:val="superscript"/>
        </w:rPr>
        <w:t>[</w:t>
      </w:r>
      <w:r w:rsidR="00F5265F" w:rsidRPr="00CC6AEB">
        <w:rPr>
          <w:rFonts w:ascii="Book Antiqua" w:eastAsia="Book Antiqua" w:hAnsi="Book Antiqua" w:cs="Arial"/>
          <w:sz w:val="24"/>
          <w:szCs w:val="24"/>
          <w:vertAlign w:val="superscript"/>
        </w:rPr>
        <w:t>16-18</w:t>
      </w:r>
      <w:r w:rsidR="00DD5727" w:rsidRPr="00CC6AEB">
        <w:rPr>
          <w:rFonts w:ascii="Book Antiqua" w:eastAsia="Book Antiqua" w:hAnsi="Book Antiqua" w:cs="Arial"/>
          <w:sz w:val="24"/>
          <w:szCs w:val="24"/>
          <w:vertAlign w:val="superscript"/>
        </w:rPr>
        <w:t>]</w:t>
      </w:r>
      <w:r w:rsidR="00DD572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In an editorial, Hollande and Pol</w:t>
      </w:r>
      <w:r w:rsidR="006A3CF0" w:rsidRPr="00CC6AEB">
        <w:rPr>
          <w:rFonts w:ascii="Book Antiqua" w:eastAsia="Book Antiqua" w:hAnsi="Book Antiqua" w:cs="Arial"/>
          <w:sz w:val="24"/>
          <w:szCs w:val="24"/>
          <w:vertAlign w:val="superscript"/>
        </w:rPr>
        <w:t>[</w:t>
      </w:r>
      <w:r w:rsidR="00E6448A" w:rsidRPr="00CC6AEB">
        <w:rPr>
          <w:rFonts w:ascii="Book Antiqua" w:eastAsia="Book Antiqua" w:hAnsi="Book Antiqua" w:cs="Arial"/>
          <w:sz w:val="24"/>
          <w:szCs w:val="24"/>
          <w:vertAlign w:val="superscript"/>
        </w:rPr>
        <w:t>19</w:t>
      </w:r>
      <w:r w:rsidR="006A3CF0"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rPr>
        <w:t xml:space="preserve"> recommended intensive surveillance for HCC in patients who had DAA therapy failure. Yet researchers did not investigate these findings in LT recipients with PHCC</w:t>
      </w:r>
      <w:r w:rsidR="007E0429" w:rsidRPr="00CC6AEB">
        <w:rPr>
          <w:rFonts w:ascii="Book Antiqua" w:eastAsia="Book Antiqua" w:hAnsi="Book Antiqua" w:cs="Arial"/>
          <w:sz w:val="24"/>
          <w:szCs w:val="24"/>
          <w:vertAlign w:val="superscript"/>
        </w:rPr>
        <w:t>[</w:t>
      </w:r>
      <w:r w:rsidR="0077187A" w:rsidRPr="00CC6AEB">
        <w:rPr>
          <w:rFonts w:ascii="Book Antiqua" w:eastAsia="Book Antiqua" w:hAnsi="Book Antiqua" w:cs="Arial"/>
          <w:sz w:val="24"/>
          <w:szCs w:val="24"/>
          <w:vertAlign w:val="superscript"/>
        </w:rPr>
        <w:t>17</w:t>
      </w:r>
      <w:r w:rsidR="007E0429" w:rsidRPr="00CC6AEB">
        <w:rPr>
          <w:rFonts w:ascii="Book Antiqua" w:eastAsia="Book Antiqua" w:hAnsi="Book Antiqua" w:cs="Arial"/>
          <w:sz w:val="24"/>
          <w:szCs w:val="24"/>
          <w:vertAlign w:val="superscript"/>
        </w:rPr>
        <w:t>]</w:t>
      </w:r>
      <w:r w:rsidR="007E042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Consistently, we observed high risk of HCC recurrence in LT recipients who had DAA treatment failure. However, history of pre-transplant HCC did not impact SVR12 rates in patients treated with DAA post-LT as we removed tumor-affected livers.</w:t>
      </w:r>
    </w:p>
    <w:p w14:paraId="1A513A1A" w14:textId="3ADCE0B9"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LT recipients may be a reliable population to study the interaction between DAAs and HCC, especially in those with a failed DAA therapy after transplantation. This is driven by two factors. First, LT recipients have the benefit of receiving non-cirrhotic liver allografts with low prevalence of non-characterized nodules, which investigators have pointed to as the cause of </w:t>
      </w:r>
      <w:r w:rsidRPr="00CC6AEB">
        <w:rPr>
          <w:rFonts w:ascii="Book Antiqua" w:eastAsia="Book Antiqua" w:hAnsi="Book Antiqua" w:cs="Arial"/>
          <w:i/>
          <w:sz w:val="24"/>
          <w:szCs w:val="24"/>
        </w:rPr>
        <w:t>de-novo</w:t>
      </w:r>
      <w:r w:rsidRPr="00CC6AEB">
        <w:rPr>
          <w:rFonts w:ascii="Book Antiqua" w:eastAsia="Book Antiqua" w:hAnsi="Book Antiqua" w:cs="Arial"/>
          <w:sz w:val="24"/>
          <w:szCs w:val="24"/>
        </w:rPr>
        <w:t xml:space="preserve"> and recurrent HCC in pa</w:t>
      </w:r>
      <w:r w:rsidR="00622A69" w:rsidRPr="00CC6AEB">
        <w:rPr>
          <w:rFonts w:ascii="Book Antiqua" w:eastAsia="Book Antiqua" w:hAnsi="Book Antiqua" w:cs="Arial"/>
          <w:sz w:val="24"/>
          <w:szCs w:val="24"/>
        </w:rPr>
        <w:t>tients undergoing DAA treatment</w:t>
      </w:r>
      <w:r w:rsidR="00622A69" w:rsidRPr="00CC6AEB">
        <w:rPr>
          <w:rFonts w:ascii="Book Antiqua" w:eastAsia="Book Antiqua" w:hAnsi="Book Antiqua" w:cs="Arial"/>
          <w:sz w:val="24"/>
          <w:szCs w:val="24"/>
          <w:vertAlign w:val="superscript"/>
        </w:rPr>
        <w:t>[</w:t>
      </w:r>
      <w:r w:rsidR="00E6448A" w:rsidRPr="00CC6AEB">
        <w:rPr>
          <w:rFonts w:ascii="Book Antiqua" w:eastAsia="Book Antiqua" w:hAnsi="Book Antiqua" w:cs="Arial"/>
          <w:sz w:val="24"/>
          <w:szCs w:val="24"/>
          <w:vertAlign w:val="superscript"/>
        </w:rPr>
        <w:t>20</w:t>
      </w:r>
      <w:r w:rsidR="00622A69" w:rsidRPr="00CC6AEB">
        <w:rPr>
          <w:rFonts w:ascii="Book Antiqua" w:eastAsia="Book Antiqua" w:hAnsi="Book Antiqua" w:cs="Arial"/>
          <w:sz w:val="24"/>
          <w:szCs w:val="24"/>
          <w:vertAlign w:val="superscript"/>
        </w:rPr>
        <w:t>]</w:t>
      </w:r>
      <w:r w:rsidR="00622A6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Moreover, LT recipients are not decompensated, as some authors attributed increased HCC risk in the DAA era to less selection bias when compared with that in the interferon era, as they excluded interferon-based treatment from decompensated patien</w:t>
      </w:r>
      <w:r w:rsidR="00E01E37" w:rsidRPr="00CC6AEB">
        <w:rPr>
          <w:rFonts w:ascii="Book Antiqua" w:eastAsia="Book Antiqua" w:hAnsi="Book Antiqua" w:cs="Arial"/>
          <w:sz w:val="24"/>
          <w:szCs w:val="24"/>
        </w:rPr>
        <w:t>ts with Child-Pugh class B or C</w:t>
      </w:r>
      <w:r w:rsidR="00E01E37" w:rsidRPr="00CC6AEB">
        <w:rPr>
          <w:rFonts w:ascii="Book Antiqua" w:eastAsia="Book Antiqua" w:hAnsi="Book Antiqua" w:cs="Arial"/>
          <w:sz w:val="24"/>
          <w:szCs w:val="24"/>
          <w:vertAlign w:val="superscript"/>
        </w:rPr>
        <w:t>[</w:t>
      </w:r>
      <w:r w:rsidR="00367672" w:rsidRPr="00CC6AEB">
        <w:rPr>
          <w:rFonts w:ascii="Book Antiqua" w:eastAsia="Book Antiqua" w:hAnsi="Book Antiqua" w:cs="Arial"/>
          <w:sz w:val="24"/>
          <w:szCs w:val="24"/>
          <w:vertAlign w:val="superscript"/>
        </w:rPr>
        <w:t>21</w:t>
      </w:r>
      <w:r w:rsidR="00E01E37" w:rsidRPr="00CC6AEB">
        <w:rPr>
          <w:rFonts w:ascii="Book Antiqua" w:eastAsia="Book Antiqua" w:hAnsi="Book Antiqua" w:cs="Arial"/>
          <w:sz w:val="24"/>
          <w:szCs w:val="24"/>
          <w:vertAlign w:val="superscript"/>
        </w:rPr>
        <w:t>]</w:t>
      </w:r>
      <w:r w:rsidR="00E01E3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Second, the use of explant pathology to confirm the diagnosis of HCC rather than relying on imaging modalities that can misdiagnose HCC supports the </w:t>
      </w:r>
      <w:r w:rsidRPr="00CC6AEB">
        <w:rPr>
          <w:rFonts w:ascii="Book Antiqua" w:eastAsia="Book Antiqua" w:hAnsi="Book Antiqua" w:cs="Arial"/>
          <w:sz w:val="24"/>
          <w:szCs w:val="24"/>
        </w:rPr>
        <w:lastRenderedPageBreak/>
        <w:t>use of LT recipients in investigating the interaction between DAA therapy and HCC.</w:t>
      </w:r>
    </w:p>
    <w:p w14:paraId="5A11E57E" w14:textId="77777777" w:rsidR="00EC617B" w:rsidRPr="00CC6AEB" w:rsidRDefault="00EC617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None of the patients in the present study who had DAA therapy failure or recurrence of HCC were cirrhotic. This contradicts the suggestion that HCC recurrence or DAA failure risk is greater in cirrhotic than non-cirrhotic populations.</w:t>
      </w:r>
    </w:p>
    <w:p w14:paraId="531CFAD4" w14:textId="17F51BFC"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Whereas a specific explanation for the interaction between HCC and DAA therapy has yet to be established, some studies suggested that cross-talk among inflammatory, immune response, and angiogenesis pathways modulates the impact of DAAs on progression of HCC</w:t>
      </w:r>
      <w:r w:rsidR="00654A07" w:rsidRPr="00CC6AEB">
        <w:rPr>
          <w:rFonts w:ascii="Book Antiqua" w:eastAsia="Book Antiqua" w:hAnsi="Book Antiqua" w:cs="Arial"/>
          <w:sz w:val="24"/>
          <w:szCs w:val="24"/>
        </w:rPr>
        <w:t xml:space="preserve"> and the risk of its recurrence</w:t>
      </w:r>
      <w:r w:rsidR="00654A07" w:rsidRPr="00CC6AEB">
        <w:rPr>
          <w:rFonts w:ascii="Book Antiqua" w:eastAsia="Book Antiqua" w:hAnsi="Book Antiqua" w:cs="Arial"/>
          <w:sz w:val="24"/>
          <w:szCs w:val="24"/>
          <w:vertAlign w:val="superscript"/>
        </w:rPr>
        <w:t>[</w:t>
      </w:r>
      <w:r w:rsidR="00367672" w:rsidRPr="00CC6AEB">
        <w:rPr>
          <w:rFonts w:ascii="Book Antiqua" w:eastAsia="Book Antiqua" w:hAnsi="Book Antiqua" w:cs="Arial"/>
          <w:sz w:val="24"/>
          <w:szCs w:val="24"/>
          <w:vertAlign w:val="superscript"/>
        </w:rPr>
        <w:t>22,23</w:t>
      </w:r>
      <w:r w:rsidR="00654A07" w:rsidRPr="00CC6AEB">
        <w:rPr>
          <w:rFonts w:ascii="Book Antiqua" w:eastAsia="Book Antiqua" w:hAnsi="Book Antiqua" w:cs="Arial"/>
          <w:sz w:val="24"/>
          <w:szCs w:val="24"/>
          <w:vertAlign w:val="superscript"/>
        </w:rPr>
        <w:t>]</w:t>
      </w:r>
      <w:r w:rsidR="00654A0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Additionally, HCC may interact biologically with DAA therapy, which may influence pre-transplant SVR12 achievement and increases the risk of HCC recurrence in patients who failed DAA therapy with a prior history of HCC irrespective of HCC treatment re</w:t>
      </w:r>
      <w:r w:rsidR="00154420" w:rsidRPr="00CC6AEB">
        <w:rPr>
          <w:rFonts w:ascii="Book Antiqua" w:eastAsia="Book Antiqua" w:hAnsi="Book Antiqua" w:cs="Arial"/>
          <w:sz w:val="24"/>
          <w:szCs w:val="24"/>
        </w:rPr>
        <w:t>sponse or liver transplantation</w:t>
      </w:r>
      <w:r w:rsidR="00154420" w:rsidRPr="00CC6AEB">
        <w:rPr>
          <w:rFonts w:ascii="Book Antiqua" w:eastAsia="Book Antiqua" w:hAnsi="Book Antiqua" w:cs="Arial"/>
          <w:sz w:val="24"/>
          <w:szCs w:val="24"/>
          <w:vertAlign w:val="superscript"/>
        </w:rPr>
        <w:t>[</w:t>
      </w:r>
      <w:r w:rsidR="00DB146A" w:rsidRPr="00CC6AEB">
        <w:rPr>
          <w:rFonts w:ascii="Book Antiqua" w:eastAsia="Book Antiqua" w:hAnsi="Book Antiqua" w:cs="Arial"/>
          <w:sz w:val="24"/>
          <w:szCs w:val="24"/>
          <w:vertAlign w:val="superscript"/>
        </w:rPr>
        <w:t>17,19</w:t>
      </w:r>
      <w:r w:rsidR="00154420" w:rsidRPr="00CC6AEB">
        <w:rPr>
          <w:rFonts w:ascii="Book Antiqua" w:eastAsia="Book Antiqua" w:hAnsi="Book Antiqua" w:cs="Arial"/>
          <w:sz w:val="24"/>
          <w:szCs w:val="24"/>
          <w:vertAlign w:val="superscript"/>
        </w:rPr>
        <w:t>]</w:t>
      </w:r>
      <w:r w:rsidR="00154420"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Genetic susceptibility and variability in the genes involved in HCC risk or DAA metabolism may also play a role in the interaction between DAAs and HCC. Integration of the use of molecular markers with DAA therapy should be explored in future studies.</w:t>
      </w:r>
    </w:p>
    <w:p w14:paraId="19CF8A09" w14:textId="73D303C6" w:rsidR="00233CCC" w:rsidRPr="00CC6AEB" w:rsidRDefault="00EC617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There is no consensus regarding the optimum time to start DAA treatment after an LT. We found no difference in the SVR12 rate between patients who received early (&lt;</w:t>
      </w:r>
      <w:r w:rsidR="002D11BF"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1 year) and late (≥</w:t>
      </w:r>
      <w:r w:rsidR="002D11BF"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1 year) DAA therapy after LTs. Nevertheless, five of six patients who did not experience SVR12 received DAA therapy more than 1 year after their LTs.</w:t>
      </w:r>
    </w:p>
    <w:p w14:paraId="49EF27C7" w14:textId="5F1F21F1" w:rsidR="00233CCC" w:rsidRPr="00CC6AEB" w:rsidRDefault="006B2B20"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We have no explanation why patients with PHCC received DAA treatment earlier than patients with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in our study. This may be attributed to more rigorous follow-up, better compliance, and fear of decompensation or HCC recurrence after liver transplantation in patients with PHCC.</w:t>
      </w:r>
    </w:p>
    <w:p w14:paraId="76D5D315" w14:textId="1E7EC38F"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During post-treatment follow-up, no patients had relapses after SVR12, with 100% concordance between SVR12 rates and SVR rates at follow-up week 24 and between SVR12 rates and quantitative HCV </w:t>
      </w:r>
      <w:r w:rsidR="002D11BF" w:rsidRPr="00CC6AEB">
        <w:rPr>
          <w:rFonts w:ascii="Book Antiqua" w:eastAsia="Book Antiqua" w:hAnsi="Book Antiqua" w:cs="Arial"/>
          <w:sz w:val="24"/>
          <w:szCs w:val="24"/>
        </w:rPr>
        <w:t>polymerase chain reaction</w:t>
      </w:r>
      <w:r w:rsidRPr="00CC6AEB">
        <w:rPr>
          <w:rFonts w:ascii="Book Antiqua" w:eastAsia="Book Antiqua" w:hAnsi="Book Antiqua" w:cs="Arial"/>
          <w:sz w:val="24"/>
          <w:szCs w:val="24"/>
        </w:rPr>
        <w:t xml:space="preserve"> at the last </w:t>
      </w:r>
      <w:r w:rsidRPr="00CC6AEB">
        <w:rPr>
          <w:rFonts w:ascii="Book Antiqua" w:eastAsia="Book Antiqua" w:hAnsi="Book Antiqua" w:cs="Arial"/>
          <w:sz w:val="24"/>
          <w:szCs w:val="24"/>
        </w:rPr>
        <w:lastRenderedPageBreak/>
        <w:t>follow-up visit. This establishes SVR12 as an appropriate endpoint for demonstrating the clinical efficacy of all-oral DAA treatment similar to that in previous trials of</w:t>
      </w:r>
      <w:r w:rsidR="009A675B" w:rsidRPr="00CC6AEB">
        <w:rPr>
          <w:rFonts w:ascii="Book Antiqua" w:eastAsia="Book Antiqua" w:hAnsi="Book Antiqua" w:cs="Arial"/>
          <w:sz w:val="24"/>
          <w:szCs w:val="24"/>
        </w:rPr>
        <w:t xml:space="preserve"> sofosbuvir</w:t>
      </w:r>
      <w:r w:rsidRPr="00CC6AEB">
        <w:rPr>
          <w:rFonts w:ascii="Book Antiqua" w:eastAsia="Book Antiqua" w:hAnsi="Book Antiqua" w:cs="Arial"/>
          <w:sz w:val="24"/>
          <w:szCs w:val="24"/>
        </w:rPr>
        <w:t>/RBV with and without interferon</w:t>
      </w:r>
      <w:r w:rsidR="00154420" w:rsidRPr="00CC6AEB">
        <w:rPr>
          <w:rFonts w:ascii="Book Antiqua" w:eastAsia="Book Antiqua" w:hAnsi="Book Antiqua" w:cs="Arial"/>
          <w:sz w:val="24"/>
          <w:szCs w:val="24"/>
          <w:vertAlign w:val="superscript"/>
        </w:rPr>
        <w:t>[</w:t>
      </w:r>
      <w:r w:rsidR="00DB146A" w:rsidRPr="00CC6AEB">
        <w:rPr>
          <w:rFonts w:ascii="Book Antiqua" w:eastAsia="Book Antiqua" w:hAnsi="Book Antiqua" w:cs="Arial"/>
          <w:sz w:val="24"/>
          <w:szCs w:val="24"/>
          <w:vertAlign w:val="superscript"/>
        </w:rPr>
        <w:t>24</w:t>
      </w:r>
      <w:r w:rsidR="00154420" w:rsidRPr="00CC6AEB">
        <w:rPr>
          <w:rFonts w:ascii="Book Antiqua" w:eastAsia="Book Antiqua" w:hAnsi="Book Antiqua" w:cs="Arial"/>
          <w:sz w:val="24"/>
          <w:szCs w:val="24"/>
          <w:vertAlign w:val="superscript"/>
        </w:rPr>
        <w:t>]</w:t>
      </w:r>
      <w:r w:rsidR="00154420" w:rsidRPr="00CC6AEB">
        <w:rPr>
          <w:rFonts w:ascii="Book Antiqua" w:eastAsia="Book Antiqua" w:hAnsi="Book Antiqua" w:cs="Arial"/>
          <w:sz w:val="24"/>
          <w:szCs w:val="24"/>
        </w:rPr>
        <w:t>.</w:t>
      </w:r>
    </w:p>
    <w:p w14:paraId="040FCC03" w14:textId="002114C1"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Consistent with a previous study</w:t>
      </w:r>
      <w:r w:rsidR="008D4638" w:rsidRPr="00CC6AEB">
        <w:rPr>
          <w:rFonts w:ascii="Book Antiqua" w:eastAsia="Book Antiqua" w:hAnsi="Book Antiqua" w:cs="Arial"/>
          <w:sz w:val="24"/>
          <w:szCs w:val="24"/>
          <w:vertAlign w:val="superscript"/>
        </w:rPr>
        <w:t>[</w:t>
      </w:r>
      <w:r w:rsidR="00DB146A" w:rsidRPr="00CC6AEB">
        <w:rPr>
          <w:rFonts w:ascii="Book Antiqua" w:eastAsia="Book Antiqua" w:hAnsi="Book Antiqua" w:cs="Arial"/>
          <w:sz w:val="24"/>
          <w:szCs w:val="24"/>
          <w:vertAlign w:val="superscript"/>
        </w:rPr>
        <w:t>25</w:t>
      </w:r>
      <w:r w:rsidR="008D4638" w:rsidRPr="00CC6AEB">
        <w:rPr>
          <w:rFonts w:ascii="Book Antiqua" w:eastAsia="Book Antiqua" w:hAnsi="Book Antiqua" w:cs="Arial"/>
          <w:sz w:val="24"/>
          <w:szCs w:val="24"/>
          <w:vertAlign w:val="superscript"/>
        </w:rPr>
        <w:t>]</w:t>
      </w:r>
      <w:r w:rsidR="008D4638"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we showed that failure of the ALT level to normalize at treatment week 4 was a strong predictor of DAA treatment failure. This may result in enhancement of patient management </w:t>
      </w:r>
      <w:r w:rsidRPr="00CC6AEB">
        <w:rPr>
          <w:rFonts w:ascii="Book Antiqua" w:eastAsia="Book Antiqua" w:hAnsi="Book Antiqua" w:cs="Arial"/>
          <w:i/>
          <w:iCs/>
          <w:sz w:val="24"/>
          <w:szCs w:val="24"/>
        </w:rPr>
        <w:t>via</w:t>
      </w:r>
      <w:r w:rsidRPr="00CC6AEB">
        <w:rPr>
          <w:rFonts w:ascii="Book Antiqua" w:eastAsia="Book Antiqua" w:hAnsi="Book Antiqua" w:cs="Arial"/>
          <w:sz w:val="24"/>
          <w:szCs w:val="24"/>
        </w:rPr>
        <w:t xml:space="preserve"> </w:t>
      </w:r>
      <w:r w:rsidR="002D11BF" w:rsidRPr="00CC6AEB">
        <w:rPr>
          <w:rFonts w:ascii="Book Antiqua" w:eastAsia="SimSun" w:hAnsi="Book Antiqua" w:cs="SimSun"/>
          <w:sz w:val="24"/>
          <w:szCs w:val="24"/>
          <w:lang w:eastAsia="zh-CN"/>
        </w:rPr>
        <w:t>(</w:t>
      </w:r>
      <w:r w:rsidRPr="00CC6AEB">
        <w:rPr>
          <w:rFonts w:ascii="Book Antiqua" w:eastAsia="Book Antiqua" w:hAnsi="Book Antiqua" w:cs="Arial"/>
          <w:sz w:val="24"/>
          <w:szCs w:val="24"/>
        </w:rPr>
        <w:t xml:space="preserve">1) intensification of DAA treatment, either with RBV or extension of the treatment period, and </w:t>
      </w:r>
      <w:r w:rsidR="002D11BF" w:rsidRPr="00CC6AEB">
        <w:rPr>
          <w:rFonts w:ascii="Book Antiqua" w:hAnsi="Book Antiqua" w:cs="Arial"/>
          <w:sz w:val="24"/>
          <w:szCs w:val="24"/>
          <w:lang w:eastAsia="zh-CN"/>
        </w:rPr>
        <w:t>(</w:t>
      </w:r>
      <w:r w:rsidRPr="00CC6AEB">
        <w:rPr>
          <w:rFonts w:ascii="Book Antiqua" w:eastAsia="Book Antiqua" w:hAnsi="Book Antiqua" w:cs="Arial"/>
          <w:sz w:val="24"/>
          <w:szCs w:val="24"/>
        </w:rPr>
        <w:t xml:space="preserve">2) thorough evaluation for other causes of a persistently elevated ALT level at treatment week 4, such as alcoholism, high </w:t>
      </w:r>
      <w:r w:rsidR="002153EE" w:rsidRPr="00CC6AEB">
        <w:rPr>
          <w:rFonts w:ascii="Book Antiqua" w:eastAsia="Book Antiqua" w:hAnsi="Book Antiqua" w:cs="Arial"/>
          <w:sz w:val="24"/>
          <w:szCs w:val="24"/>
        </w:rPr>
        <w:t>body mass index</w:t>
      </w:r>
      <w:r w:rsidRPr="00CC6AEB">
        <w:rPr>
          <w:rFonts w:ascii="Book Antiqua" w:eastAsia="Book Antiqua" w:hAnsi="Book Antiqua" w:cs="Arial"/>
          <w:sz w:val="24"/>
          <w:szCs w:val="24"/>
        </w:rPr>
        <w:t>, and type 2 diabetes mellitus.</w:t>
      </w:r>
    </w:p>
    <w:p w14:paraId="6D123A79" w14:textId="77777777"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Multivariate analysis showed no impact of HCV genotype 3 or an HCV-positive allograft on the risk of failure or HCC recurrence after DAA treatment.</w:t>
      </w:r>
    </w:p>
    <w:p w14:paraId="6F5A1450" w14:textId="04F290D5" w:rsidR="00233CCC" w:rsidRPr="00CC6AEB" w:rsidRDefault="00E601C1"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Similar to other studies</w:t>
      </w:r>
      <w:r w:rsidRPr="00CC6AEB">
        <w:rPr>
          <w:rFonts w:ascii="Book Antiqua" w:eastAsia="Book Antiqua" w:hAnsi="Book Antiqua" w:cs="Arial"/>
          <w:sz w:val="24"/>
          <w:szCs w:val="24"/>
          <w:vertAlign w:val="superscript"/>
        </w:rPr>
        <w:t>[</w:t>
      </w:r>
      <w:r w:rsidR="00F968D9" w:rsidRPr="00CC6AEB">
        <w:rPr>
          <w:rFonts w:ascii="Book Antiqua" w:eastAsia="Book Antiqua" w:hAnsi="Book Antiqua" w:cs="Arial"/>
          <w:sz w:val="24"/>
          <w:szCs w:val="24"/>
          <w:vertAlign w:val="superscript"/>
        </w:rPr>
        <w:t>13,14</w:t>
      </w:r>
      <w:r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rPr>
        <w:t>,</w:t>
      </w:r>
      <w:r w:rsidR="00233CCC" w:rsidRPr="00CC6AEB">
        <w:rPr>
          <w:rFonts w:ascii="Book Antiqua" w:eastAsia="Book Antiqua" w:hAnsi="Book Antiqua" w:cs="Arial"/>
          <w:sz w:val="24"/>
          <w:szCs w:val="24"/>
        </w:rPr>
        <w:t xml:space="preserve"> we did not observe a significant difference in SVR12 rates between LT recipients who received DAA regimens with and without RBV. However, such an observation should be interpreted conservatively, as these patients were not randomized to receive RBV. Moreover, patients who received RBV were either cirrhotic or had a history of failure </w:t>
      </w:r>
      <w:r w:rsidR="00D02EBB" w:rsidRPr="00CC6AEB">
        <w:rPr>
          <w:rFonts w:ascii="Book Antiqua" w:eastAsia="Book Antiqua" w:hAnsi="Book Antiqua" w:cs="Arial"/>
          <w:sz w:val="24"/>
          <w:szCs w:val="24"/>
        </w:rPr>
        <w:t>to</w:t>
      </w:r>
      <w:r w:rsidR="00233CCC" w:rsidRPr="00CC6AEB">
        <w:rPr>
          <w:rFonts w:ascii="Book Antiqua" w:eastAsia="Book Antiqua" w:hAnsi="Book Antiqua" w:cs="Arial"/>
          <w:sz w:val="24"/>
          <w:szCs w:val="24"/>
        </w:rPr>
        <w:t xml:space="preserve"> antiviral therapy or quantitative HCV </w:t>
      </w:r>
      <w:r w:rsidR="00397F6D" w:rsidRPr="00CC6AEB">
        <w:rPr>
          <w:rFonts w:ascii="Book Antiqua" w:eastAsia="Book Antiqua" w:hAnsi="Book Antiqua" w:cs="Arial"/>
          <w:sz w:val="24"/>
          <w:szCs w:val="24"/>
        </w:rPr>
        <w:t>polymerase chain reaction</w:t>
      </w:r>
      <w:r w:rsidR="00233CCC" w:rsidRPr="00CC6AEB">
        <w:rPr>
          <w:rFonts w:ascii="Book Antiqua" w:eastAsia="Book Antiqua" w:hAnsi="Book Antiqua" w:cs="Arial"/>
          <w:sz w:val="24"/>
          <w:szCs w:val="24"/>
        </w:rPr>
        <w:t xml:space="preserve"> &gt;</w:t>
      </w:r>
      <w:r w:rsidR="00397F6D" w:rsidRPr="00CC6AEB">
        <w:rPr>
          <w:rFonts w:ascii="Book Antiqua" w:eastAsia="Book Antiqua" w:hAnsi="Book Antiqua" w:cs="Arial"/>
          <w:sz w:val="24"/>
          <w:szCs w:val="24"/>
        </w:rPr>
        <w:t xml:space="preserve"> </w:t>
      </w:r>
      <w:r w:rsidR="00233CCC" w:rsidRPr="00CC6AEB">
        <w:rPr>
          <w:rFonts w:ascii="Book Antiqua" w:eastAsia="Book Antiqua" w:hAnsi="Book Antiqua" w:cs="Arial"/>
          <w:sz w:val="24"/>
          <w:szCs w:val="24"/>
        </w:rPr>
        <w:t>15 IU/m</w:t>
      </w:r>
      <w:r w:rsidR="00397F6D" w:rsidRPr="00CC6AEB">
        <w:rPr>
          <w:rFonts w:ascii="Book Antiqua" w:eastAsia="Book Antiqua" w:hAnsi="Book Antiqua" w:cs="Arial"/>
          <w:sz w:val="24"/>
          <w:szCs w:val="24"/>
        </w:rPr>
        <w:t>L</w:t>
      </w:r>
      <w:r w:rsidR="00233CCC" w:rsidRPr="00CC6AEB">
        <w:rPr>
          <w:rFonts w:ascii="Book Antiqua" w:eastAsia="Book Antiqua" w:hAnsi="Book Antiqua" w:cs="Arial"/>
          <w:sz w:val="24"/>
          <w:szCs w:val="24"/>
        </w:rPr>
        <w:t xml:space="preserve"> at treatment week 4, with RBV added to their regimens to intensify them and achieve SVR12. Use of RBV therefore may have helped this population to have an SVR12 rate similar to those in other favorable populations.</w:t>
      </w:r>
    </w:p>
    <w:p w14:paraId="37A20300" w14:textId="79127EFF" w:rsidR="00BC1C6D" w:rsidRPr="00CC6AEB" w:rsidRDefault="00BC1C6D"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Overweight or obesity at baseline did not influence SVR12 achievement or HCC recurrence after DAA treatment. We observed no significant changes in </w:t>
      </w:r>
      <w:r w:rsidR="002153EE" w:rsidRPr="00CC6AEB">
        <w:rPr>
          <w:rFonts w:ascii="Book Antiqua" w:eastAsia="Book Antiqua" w:hAnsi="Book Antiqua" w:cs="Arial"/>
          <w:sz w:val="24"/>
          <w:szCs w:val="24"/>
        </w:rPr>
        <w:t>body mass index</w:t>
      </w:r>
      <w:r w:rsidRPr="00CC6AEB">
        <w:rPr>
          <w:rFonts w:ascii="Book Antiqua" w:eastAsia="Book Antiqua" w:hAnsi="Book Antiqua" w:cs="Arial"/>
          <w:sz w:val="24"/>
          <w:szCs w:val="24"/>
        </w:rPr>
        <w:t xml:space="preserve"> from baseline to the end of DAA treatment. However, among those with PHCC, weight loss by the end of DAA treatment was a significant predictor of HCC recurrence, which may be attributed to re</w:t>
      </w:r>
      <w:r w:rsidR="00A87E66" w:rsidRPr="00CC6AEB">
        <w:rPr>
          <w:rFonts w:ascii="Book Antiqua" w:eastAsia="Book Antiqua" w:hAnsi="Book Antiqua" w:cs="Arial"/>
          <w:sz w:val="24"/>
          <w:szCs w:val="24"/>
        </w:rPr>
        <w:t>lease of inflammatory cytokines</w:t>
      </w:r>
      <w:r w:rsidR="00A87E66" w:rsidRPr="00CC6AEB">
        <w:rPr>
          <w:rFonts w:ascii="Book Antiqua" w:eastAsia="Book Antiqua" w:hAnsi="Book Antiqua" w:cs="Arial"/>
          <w:sz w:val="24"/>
          <w:szCs w:val="24"/>
          <w:vertAlign w:val="superscript"/>
        </w:rPr>
        <w:t>[</w:t>
      </w:r>
      <w:r w:rsidR="00DB146A" w:rsidRPr="00CC6AEB">
        <w:rPr>
          <w:rFonts w:ascii="Book Antiqua" w:eastAsia="Book Antiqua" w:hAnsi="Book Antiqua" w:cs="Arial"/>
          <w:sz w:val="24"/>
          <w:szCs w:val="24"/>
          <w:vertAlign w:val="superscript"/>
        </w:rPr>
        <w:t>26</w:t>
      </w:r>
      <w:r w:rsidR="00A87E66" w:rsidRPr="00CC6AEB">
        <w:rPr>
          <w:rFonts w:ascii="Book Antiqua" w:eastAsia="Book Antiqua" w:hAnsi="Book Antiqua" w:cs="Arial"/>
          <w:sz w:val="24"/>
          <w:szCs w:val="24"/>
          <w:vertAlign w:val="superscript"/>
        </w:rPr>
        <w:t>]</w:t>
      </w:r>
      <w:r w:rsidR="00A87E66" w:rsidRPr="00CC6AEB">
        <w:rPr>
          <w:rFonts w:ascii="Book Antiqua" w:eastAsia="Book Antiqua" w:hAnsi="Book Antiqua" w:cs="Arial"/>
          <w:sz w:val="24"/>
          <w:szCs w:val="24"/>
        </w:rPr>
        <w:t>.</w:t>
      </w:r>
      <w:r w:rsidR="002C2EA3" w:rsidRPr="00CC6AEB">
        <w:rPr>
          <w:rFonts w:ascii="Book Antiqua" w:eastAsia="Book Antiqua" w:hAnsi="Book Antiqua" w:cs="Arial"/>
          <w:sz w:val="24"/>
          <w:szCs w:val="24"/>
        </w:rPr>
        <w:t xml:space="preserve"> </w:t>
      </w:r>
    </w:p>
    <w:p w14:paraId="36855121" w14:textId="156B6E22" w:rsidR="001C2B11" w:rsidRPr="00CC6AEB" w:rsidRDefault="001C2B11"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Tacrolimus-containing regimens were the most commonly used immunosuppressive medications in DAA therapy. Acute cellular rejection occurred in 5% of the patients after DAA treatment (median time of 11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after therapy</w:t>
      </w:r>
      <w:r w:rsidR="005E5974"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which is comparable with re</w:t>
      </w:r>
      <w:r w:rsidR="00A942EC" w:rsidRPr="00CC6AEB">
        <w:rPr>
          <w:rFonts w:ascii="Book Antiqua" w:eastAsia="Book Antiqua" w:hAnsi="Book Antiqua" w:cs="Arial"/>
          <w:sz w:val="24"/>
          <w:szCs w:val="24"/>
        </w:rPr>
        <w:t>jection rates in the literature</w:t>
      </w:r>
      <w:r w:rsidR="00A942EC" w:rsidRPr="00CC6AEB">
        <w:rPr>
          <w:rFonts w:ascii="Book Antiqua" w:eastAsia="Book Antiqua" w:hAnsi="Book Antiqua" w:cs="Arial"/>
          <w:sz w:val="24"/>
          <w:szCs w:val="24"/>
          <w:vertAlign w:val="superscript"/>
        </w:rPr>
        <w:t>[</w:t>
      </w:r>
      <w:r w:rsidR="007F5DAD" w:rsidRPr="00CC6AEB">
        <w:rPr>
          <w:rFonts w:ascii="Book Antiqua" w:eastAsia="Book Antiqua" w:hAnsi="Book Antiqua" w:cs="Arial"/>
          <w:sz w:val="24"/>
          <w:szCs w:val="24"/>
          <w:vertAlign w:val="superscript"/>
        </w:rPr>
        <w:t>13</w:t>
      </w:r>
      <w:r w:rsidR="00A942EC" w:rsidRPr="00CC6AEB">
        <w:rPr>
          <w:rFonts w:ascii="Book Antiqua" w:eastAsia="Book Antiqua" w:hAnsi="Book Antiqua" w:cs="Arial"/>
          <w:sz w:val="24"/>
          <w:szCs w:val="24"/>
          <w:vertAlign w:val="superscript"/>
        </w:rPr>
        <w:t>]</w:t>
      </w:r>
      <w:r w:rsidR="00A942EC" w:rsidRPr="00CC6AEB">
        <w:rPr>
          <w:rFonts w:ascii="Book Antiqua" w:eastAsia="Book Antiqua" w:hAnsi="Book Antiqua" w:cs="Arial"/>
          <w:sz w:val="24"/>
          <w:szCs w:val="24"/>
        </w:rPr>
        <w:t>.</w:t>
      </w:r>
    </w:p>
    <w:p w14:paraId="21736D8D" w14:textId="54E5A6F4" w:rsidR="00442FB6" w:rsidRPr="00CC6AEB" w:rsidRDefault="00442FB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HBV reactivation with DAA treatment is rare, with an estimated risk of 1.4% in patien</w:t>
      </w:r>
      <w:r w:rsidR="00D46017" w:rsidRPr="00CC6AEB">
        <w:rPr>
          <w:rFonts w:ascii="Book Antiqua" w:eastAsia="Book Antiqua" w:hAnsi="Book Antiqua" w:cs="Arial"/>
          <w:sz w:val="24"/>
          <w:szCs w:val="24"/>
        </w:rPr>
        <w:t>ts with resolved HBV infections</w:t>
      </w:r>
      <w:r w:rsidR="00D46017" w:rsidRPr="00CC6AEB">
        <w:rPr>
          <w:rFonts w:ascii="Book Antiqua" w:eastAsia="Book Antiqua" w:hAnsi="Book Antiqua" w:cs="Arial"/>
          <w:sz w:val="24"/>
          <w:szCs w:val="24"/>
          <w:vertAlign w:val="superscript"/>
        </w:rPr>
        <w:t>[</w:t>
      </w:r>
      <w:r w:rsidR="00DB146A" w:rsidRPr="00CC6AEB">
        <w:rPr>
          <w:rFonts w:ascii="Book Antiqua" w:eastAsia="Book Antiqua" w:hAnsi="Book Antiqua" w:cs="Arial"/>
          <w:sz w:val="24"/>
          <w:szCs w:val="24"/>
          <w:vertAlign w:val="superscript"/>
        </w:rPr>
        <w:t>27</w:t>
      </w:r>
      <w:r w:rsidR="00D46017" w:rsidRPr="00CC6AEB">
        <w:rPr>
          <w:rFonts w:ascii="Book Antiqua" w:eastAsia="Book Antiqua" w:hAnsi="Book Antiqua" w:cs="Arial"/>
          <w:sz w:val="24"/>
          <w:szCs w:val="24"/>
          <w:vertAlign w:val="superscript"/>
        </w:rPr>
        <w:t>]</w:t>
      </w:r>
      <w:r w:rsidR="00D4601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In</w:t>
      </w:r>
      <w:r w:rsidR="00495340" w:rsidRPr="00CC6AEB">
        <w:rPr>
          <w:rFonts w:ascii="Book Antiqua" w:eastAsia="Book Antiqua" w:hAnsi="Book Antiqua" w:cs="Arial"/>
          <w:sz w:val="24"/>
          <w:szCs w:val="24"/>
        </w:rPr>
        <w:t xml:space="preserve"> our study, none of anti-HBc</w:t>
      </w:r>
      <w:r w:rsidRPr="00CC6AEB">
        <w:rPr>
          <w:rFonts w:ascii="Book Antiqua" w:eastAsia="Book Antiqua" w:hAnsi="Book Antiqua" w:cs="Arial"/>
          <w:sz w:val="24"/>
          <w:szCs w:val="24"/>
        </w:rPr>
        <w:t xml:space="preserve">-positive patients experienced HBV reactivation during or after DAA therapy until the last follow-up visit. </w:t>
      </w:r>
    </w:p>
    <w:p w14:paraId="16C1B0D0" w14:textId="39A4991A" w:rsidR="00442FB6" w:rsidRPr="00CC6AEB" w:rsidRDefault="00442FB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This study has several strengths. It is the first to highlight predictors of HCC recurrence in patients in whom DAA treatment failed after an LT while adjusting for potential confounding factors. Furthermore, pre-transplant relapse to DAA therapy may predict post-transplant HCC recurrence. Given the uniqueness of LT recipients with recurrent HCV infection and HCC, we acknowledge the limitation of a single-center, retrospective study with a small sample size. Accordingly, we applied a rigid exact method of logistic regression analy</w:t>
      </w:r>
      <w:r w:rsidR="00DD751A" w:rsidRPr="00CC6AEB">
        <w:rPr>
          <w:rFonts w:ascii="Book Antiqua" w:eastAsia="Book Antiqua" w:hAnsi="Book Antiqua" w:cs="Arial"/>
          <w:sz w:val="24"/>
          <w:szCs w:val="24"/>
        </w:rPr>
        <w:t>sis to overcome this limitation.</w:t>
      </w:r>
    </w:p>
    <w:p w14:paraId="776D2F5D" w14:textId="77777777" w:rsidR="00BC5B72" w:rsidRDefault="00BC5B72" w:rsidP="00BC5B72">
      <w:pPr>
        <w:snapToGrid w:val="0"/>
        <w:spacing w:after="0" w:line="360" w:lineRule="auto"/>
        <w:jc w:val="both"/>
        <w:rPr>
          <w:rFonts w:ascii="Book Antiqua" w:eastAsia="Book Antiqua" w:hAnsi="Book Antiqua" w:cs="Arial"/>
          <w:sz w:val="24"/>
          <w:szCs w:val="24"/>
        </w:rPr>
      </w:pPr>
    </w:p>
    <w:p w14:paraId="146EE547" w14:textId="7D5E8D36" w:rsidR="00BC5B72" w:rsidRPr="00BC5B72" w:rsidRDefault="00BC5B72" w:rsidP="00BC5B72">
      <w:pPr>
        <w:snapToGrid w:val="0"/>
        <w:spacing w:after="0" w:line="360" w:lineRule="auto"/>
        <w:jc w:val="both"/>
        <w:rPr>
          <w:rFonts w:ascii="Book Antiqua" w:eastAsia="Book Antiqua" w:hAnsi="Book Antiqua" w:cs="Arial"/>
          <w:b/>
          <w:caps/>
          <w:sz w:val="24"/>
          <w:szCs w:val="24"/>
          <w:u w:val="single"/>
        </w:rPr>
      </w:pPr>
      <w:r w:rsidRPr="00BC5B72">
        <w:rPr>
          <w:rFonts w:ascii="Book Antiqua" w:eastAsia="Book Antiqua" w:hAnsi="Book Antiqua" w:cs="Arial"/>
          <w:b/>
          <w:caps/>
          <w:sz w:val="24"/>
          <w:szCs w:val="24"/>
          <w:u w:val="single"/>
        </w:rPr>
        <w:t>conclusion</w:t>
      </w:r>
    </w:p>
    <w:p w14:paraId="36402230" w14:textId="68AAFD63" w:rsidR="00442FB6" w:rsidRPr="00CC6AEB" w:rsidRDefault="00442FB6" w:rsidP="00BC5B72">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In conclusion, our results support the safety and efficacy of DAA treatment in LT recipients with history of HCC. </w:t>
      </w:r>
      <w:r w:rsidR="002721DC" w:rsidRPr="00CC6AEB">
        <w:rPr>
          <w:rFonts w:ascii="Book Antiqua" w:eastAsia="Book Antiqua" w:hAnsi="Book Antiqua" w:cs="Arial"/>
          <w:sz w:val="24"/>
          <w:szCs w:val="24"/>
        </w:rPr>
        <w:t>Relapse to pre-transplant</w:t>
      </w:r>
      <w:r w:rsidR="009B36D4" w:rsidRPr="00CC6AEB">
        <w:rPr>
          <w:rFonts w:ascii="Book Antiqua" w:eastAsia="Book Antiqua" w:hAnsi="Book Antiqua" w:cs="Arial"/>
          <w:sz w:val="24"/>
          <w:szCs w:val="24"/>
        </w:rPr>
        <w:t xml:space="preserve"> DAA </w:t>
      </w:r>
      <w:r w:rsidR="002721DC" w:rsidRPr="00CC6AEB">
        <w:rPr>
          <w:rFonts w:ascii="Book Antiqua" w:eastAsia="Book Antiqua" w:hAnsi="Book Antiqua" w:cs="Arial"/>
          <w:sz w:val="24"/>
          <w:szCs w:val="24"/>
        </w:rPr>
        <w:t>therapy</w:t>
      </w:r>
      <w:r w:rsidR="009B36D4" w:rsidRPr="00CC6AEB">
        <w:rPr>
          <w:rFonts w:ascii="Book Antiqua" w:eastAsia="Book Antiqua" w:hAnsi="Book Antiqua" w:cs="Arial"/>
          <w:sz w:val="24"/>
          <w:szCs w:val="24"/>
        </w:rPr>
        <w:t xml:space="preserve"> is a</w:t>
      </w:r>
      <w:r w:rsidR="002721DC" w:rsidRPr="00CC6AEB">
        <w:rPr>
          <w:rFonts w:ascii="Book Antiqua" w:eastAsia="Book Antiqua" w:hAnsi="Book Antiqua" w:cs="Arial"/>
          <w:sz w:val="24"/>
          <w:szCs w:val="24"/>
        </w:rPr>
        <w:t xml:space="preserve"> significant</w:t>
      </w:r>
      <w:r w:rsidR="009B36D4" w:rsidRPr="00CC6AEB">
        <w:rPr>
          <w:rFonts w:ascii="Book Antiqua" w:eastAsia="Book Antiqua" w:hAnsi="Book Antiqua" w:cs="Arial"/>
          <w:sz w:val="24"/>
          <w:szCs w:val="24"/>
        </w:rPr>
        <w:t xml:space="preserve"> predictor </w:t>
      </w:r>
      <w:r w:rsidR="002721DC" w:rsidRPr="00CC6AEB">
        <w:rPr>
          <w:rFonts w:ascii="Book Antiqua" w:eastAsia="Book Antiqua" w:hAnsi="Book Antiqua" w:cs="Arial"/>
          <w:sz w:val="24"/>
          <w:szCs w:val="24"/>
        </w:rPr>
        <w:t>of</w:t>
      </w:r>
      <w:r w:rsidR="009B36D4" w:rsidRPr="00CC6AEB">
        <w:rPr>
          <w:rFonts w:ascii="Book Antiqua" w:eastAsia="Book Antiqua" w:hAnsi="Book Antiqua" w:cs="Arial"/>
          <w:sz w:val="24"/>
          <w:szCs w:val="24"/>
        </w:rPr>
        <w:t xml:space="preserve"> HCC recurrence</w:t>
      </w:r>
      <w:r w:rsidR="00D57080" w:rsidRPr="00CC6AEB">
        <w:rPr>
          <w:rFonts w:ascii="Book Antiqua" w:eastAsia="Book Antiqua" w:hAnsi="Book Antiqua" w:cs="Arial"/>
          <w:sz w:val="24"/>
          <w:szCs w:val="24"/>
        </w:rPr>
        <w:t xml:space="preserve"> following transplantation</w:t>
      </w:r>
      <w:r w:rsidR="009B36D4" w:rsidRPr="00CC6AEB">
        <w:rPr>
          <w:rFonts w:ascii="Book Antiqua" w:eastAsia="Book Antiqua" w:hAnsi="Book Antiqua" w:cs="Arial"/>
          <w:sz w:val="24"/>
          <w:szCs w:val="24"/>
        </w:rPr>
        <w:t xml:space="preserve">. </w:t>
      </w:r>
      <w:r w:rsidR="001B502C" w:rsidRPr="00CC6AEB">
        <w:rPr>
          <w:rFonts w:ascii="Book Antiqua" w:eastAsia="Book Antiqua" w:hAnsi="Book Antiqua" w:cs="Arial"/>
          <w:sz w:val="24"/>
          <w:szCs w:val="24"/>
        </w:rPr>
        <w:t>Furthermore, r</w:t>
      </w:r>
      <w:r w:rsidR="00531328" w:rsidRPr="00CC6AEB">
        <w:rPr>
          <w:rFonts w:ascii="Book Antiqua" w:eastAsia="Book Antiqua" w:hAnsi="Book Antiqua" w:cs="Arial"/>
          <w:sz w:val="24"/>
          <w:szCs w:val="24"/>
        </w:rPr>
        <w:t xml:space="preserve">elapse to </w:t>
      </w:r>
      <w:r w:rsidR="0052175E" w:rsidRPr="00CC6AEB">
        <w:rPr>
          <w:rFonts w:ascii="Book Antiqua" w:eastAsia="Book Antiqua" w:hAnsi="Book Antiqua" w:cs="Arial"/>
          <w:sz w:val="24"/>
          <w:szCs w:val="24"/>
        </w:rPr>
        <w:t xml:space="preserve">post-transplant </w:t>
      </w:r>
      <w:r w:rsidR="00531328" w:rsidRPr="00CC6AEB">
        <w:rPr>
          <w:rFonts w:ascii="Book Antiqua" w:eastAsia="Book Antiqua" w:hAnsi="Book Antiqua" w:cs="Arial"/>
          <w:sz w:val="24"/>
          <w:szCs w:val="24"/>
        </w:rPr>
        <w:t xml:space="preserve">DAA therapy is associated with HCC recurrence. </w:t>
      </w:r>
      <w:r w:rsidR="008B4CD2" w:rsidRPr="00CC6AEB">
        <w:rPr>
          <w:rFonts w:ascii="Book Antiqua" w:eastAsia="Book Antiqua" w:hAnsi="Book Antiqua" w:cs="Arial"/>
          <w:sz w:val="24"/>
          <w:szCs w:val="24"/>
        </w:rPr>
        <w:t>ALT level</w:t>
      </w:r>
      <w:r w:rsidRPr="00CC6AEB">
        <w:rPr>
          <w:rFonts w:ascii="Book Antiqua" w:eastAsia="Book Antiqua" w:hAnsi="Book Antiqua" w:cs="Arial"/>
          <w:sz w:val="24"/>
          <w:szCs w:val="24"/>
        </w:rPr>
        <w:t xml:space="preserve"> &gt;</w:t>
      </w:r>
      <w:r w:rsidR="00397F6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is a significant predictor of treatment failure. Future validation of our findings in a multicenter study of a larger sample is warranted.</w:t>
      </w:r>
    </w:p>
    <w:p w14:paraId="55828463" w14:textId="77777777" w:rsidR="00C31309" w:rsidRPr="00CC6AEB" w:rsidRDefault="00C31309" w:rsidP="00CC6AEB">
      <w:pPr>
        <w:snapToGrid w:val="0"/>
        <w:spacing w:after="0" w:line="360" w:lineRule="auto"/>
        <w:jc w:val="both"/>
        <w:rPr>
          <w:rFonts w:ascii="Book Antiqua" w:eastAsia="Book Antiqua" w:hAnsi="Book Antiqua"/>
          <w:b/>
          <w:sz w:val="24"/>
          <w:szCs w:val="24"/>
          <w:u w:val="single"/>
        </w:rPr>
      </w:pPr>
    </w:p>
    <w:p w14:paraId="15445527" w14:textId="77777777" w:rsidR="00E821DB" w:rsidRPr="00CC6AEB" w:rsidRDefault="00E821DB"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t>ARTICLE HIGHLIGHTS</w:t>
      </w:r>
    </w:p>
    <w:p w14:paraId="36D8158A" w14:textId="77777777" w:rsidR="008241A8" w:rsidRPr="00CC6AEB" w:rsidRDefault="008241A8"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background</w:t>
      </w:r>
    </w:p>
    <w:p w14:paraId="624EE834" w14:textId="44C7C87B" w:rsidR="00233CCC" w:rsidRPr="00CC6AEB" w:rsidRDefault="00C36782"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Recent studies have shown lower sustained virologic response in patients with </w:t>
      </w:r>
      <w:r w:rsidR="00397F6D" w:rsidRPr="00CC6AEB">
        <w:rPr>
          <w:rFonts w:ascii="Book Antiqua" w:eastAsia="Book Antiqua" w:hAnsi="Book Antiqua" w:cs="Arial"/>
          <w:sz w:val="24"/>
          <w:szCs w:val="24"/>
        </w:rPr>
        <w:t>hepatocellular carcinoma (</w:t>
      </w:r>
      <w:r w:rsidRPr="00CC6AEB">
        <w:rPr>
          <w:rFonts w:ascii="Book Antiqua" w:eastAsia="Book Antiqua" w:hAnsi="Book Antiqua" w:cs="Arial"/>
          <w:sz w:val="24"/>
          <w:szCs w:val="24"/>
        </w:rPr>
        <w:t>HCC</w:t>
      </w:r>
      <w:r w:rsidR="00397F6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pre-transplant. Moreover, there are conflicting data regarding HCC recurrence in patients treated with direct-acting antivirals (DAAs). However, there are insufficient data regarding the efficacy of DAA in liver transplant</w:t>
      </w:r>
      <w:r w:rsidR="00997C21" w:rsidRPr="00CC6AEB">
        <w:rPr>
          <w:rFonts w:ascii="Book Antiqua" w:eastAsia="Book Antiqua" w:hAnsi="Book Antiqua" w:cs="Arial"/>
          <w:sz w:val="24"/>
          <w:szCs w:val="24"/>
        </w:rPr>
        <w:t xml:space="preserve"> </w:t>
      </w:r>
      <w:r w:rsidR="00397F6D" w:rsidRPr="00CC6AEB">
        <w:rPr>
          <w:rFonts w:ascii="Book Antiqua" w:eastAsia="Book Antiqua" w:hAnsi="Book Antiqua" w:cs="Arial"/>
          <w:sz w:val="24"/>
          <w:szCs w:val="24"/>
        </w:rPr>
        <w:t>(LT)</w:t>
      </w:r>
      <w:r w:rsidRPr="00CC6AEB">
        <w:rPr>
          <w:rFonts w:ascii="Book Antiqua" w:eastAsia="Book Antiqua" w:hAnsi="Book Antiqua" w:cs="Arial"/>
          <w:sz w:val="24"/>
          <w:szCs w:val="24"/>
        </w:rPr>
        <w:t xml:space="preserve"> recipients with past history of HCC.</w:t>
      </w:r>
    </w:p>
    <w:p w14:paraId="311C6213" w14:textId="77777777" w:rsidR="008241B0" w:rsidRPr="00CC6AEB" w:rsidRDefault="008241B0" w:rsidP="00CC6AEB">
      <w:pPr>
        <w:snapToGrid w:val="0"/>
        <w:spacing w:after="0" w:line="360" w:lineRule="auto"/>
        <w:jc w:val="both"/>
        <w:rPr>
          <w:rFonts w:ascii="Book Antiqua" w:eastAsia="Book Antiqua" w:hAnsi="Book Antiqua"/>
          <w:b/>
          <w:i/>
          <w:sz w:val="24"/>
          <w:szCs w:val="24"/>
        </w:rPr>
      </w:pPr>
    </w:p>
    <w:p w14:paraId="1694E732" w14:textId="77777777" w:rsidR="00C36782" w:rsidRPr="00CC6AEB" w:rsidRDefault="00C36782"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lastRenderedPageBreak/>
        <w:t>Research motivation</w:t>
      </w:r>
    </w:p>
    <w:p w14:paraId="0EC3546C" w14:textId="2ABCFF3A" w:rsidR="00C36782" w:rsidRPr="00CC6AEB" w:rsidRDefault="00C36782" w:rsidP="00CC6AEB">
      <w:pPr>
        <w:snapToGrid w:val="0"/>
        <w:spacing w:after="0" w:line="360" w:lineRule="auto"/>
        <w:jc w:val="both"/>
        <w:rPr>
          <w:rFonts w:ascii="Book Antiqua" w:hAnsi="Book Antiqua" w:cs="Arial"/>
          <w:sz w:val="24"/>
          <w:szCs w:val="24"/>
        </w:rPr>
      </w:pPr>
      <w:r w:rsidRPr="00CC6AEB">
        <w:rPr>
          <w:rFonts w:ascii="Book Antiqua" w:eastAsia="Book Antiqua" w:hAnsi="Book Antiqua" w:cs="Arial"/>
          <w:sz w:val="24"/>
          <w:szCs w:val="24"/>
        </w:rPr>
        <w:t xml:space="preserve">To </w:t>
      </w:r>
      <w:r w:rsidR="00694B87" w:rsidRPr="00CC6AEB">
        <w:rPr>
          <w:rFonts w:ascii="Book Antiqua" w:eastAsia="Book Antiqua" w:hAnsi="Book Antiqua" w:cs="Arial"/>
          <w:sz w:val="24"/>
          <w:szCs w:val="24"/>
        </w:rPr>
        <w:t>identify risk factors for DAA relapse and HCC recurrence after LT.</w:t>
      </w:r>
    </w:p>
    <w:p w14:paraId="28EB336B" w14:textId="77777777" w:rsidR="008241B0" w:rsidRPr="00CC6AEB" w:rsidRDefault="008241B0" w:rsidP="00CC6AEB">
      <w:pPr>
        <w:snapToGrid w:val="0"/>
        <w:spacing w:after="0" w:line="360" w:lineRule="auto"/>
        <w:jc w:val="both"/>
        <w:rPr>
          <w:rFonts w:ascii="Book Antiqua" w:eastAsia="Book Antiqua" w:hAnsi="Book Antiqua"/>
          <w:b/>
          <w:i/>
          <w:sz w:val="24"/>
          <w:szCs w:val="24"/>
        </w:rPr>
      </w:pPr>
    </w:p>
    <w:p w14:paraId="0DAFFAAF" w14:textId="77777777" w:rsidR="00C36782" w:rsidRPr="00CC6AEB" w:rsidRDefault="00C36782"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objectives</w:t>
      </w:r>
    </w:p>
    <w:p w14:paraId="7943C718" w14:textId="0F3EC667" w:rsidR="00694B87" w:rsidRPr="00CC6AEB" w:rsidRDefault="00694B87"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To highlight the efficacy and safety of DAA therapy in LT recipients with </w:t>
      </w:r>
      <w:r w:rsidR="00C471A1" w:rsidRPr="00CC6AEB">
        <w:rPr>
          <w:rFonts w:ascii="Book Antiqua" w:eastAsia="Book Antiqua" w:hAnsi="Book Antiqua" w:cs="Arial"/>
          <w:sz w:val="24"/>
          <w:szCs w:val="24"/>
        </w:rPr>
        <w:t>hepatitis C virus</w:t>
      </w:r>
      <w:r w:rsidRPr="00CC6AEB">
        <w:rPr>
          <w:rFonts w:ascii="Book Antiqua" w:eastAsia="Book Antiqua" w:hAnsi="Book Antiqua" w:cs="Arial"/>
          <w:sz w:val="24"/>
          <w:szCs w:val="24"/>
        </w:rPr>
        <w:t xml:space="preserve"> infections and history of HCC and to investigate the impact of DAA use on post-transplantation HCC recurrence. </w:t>
      </w:r>
    </w:p>
    <w:p w14:paraId="449246C7" w14:textId="77777777" w:rsidR="008241B0" w:rsidRPr="00CC6AEB" w:rsidRDefault="008241B0" w:rsidP="00CC6AEB">
      <w:pPr>
        <w:snapToGrid w:val="0"/>
        <w:spacing w:after="0" w:line="360" w:lineRule="auto"/>
        <w:jc w:val="both"/>
        <w:rPr>
          <w:rFonts w:ascii="Book Antiqua" w:hAnsi="Book Antiqua" w:cs="Arial"/>
          <w:sz w:val="24"/>
          <w:szCs w:val="24"/>
        </w:rPr>
      </w:pPr>
    </w:p>
    <w:p w14:paraId="1F2303A4" w14:textId="77777777" w:rsidR="00694B87" w:rsidRPr="00CC6AEB" w:rsidRDefault="00694B87"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methods</w:t>
      </w:r>
    </w:p>
    <w:p w14:paraId="082EEB4F" w14:textId="2CDC6800" w:rsidR="00233CCC" w:rsidRPr="00CC6AEB" w:rsidRDefault="00694B87"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We retrospectively analyzed the data of our center of LT recipients who received DAA therapy for </w:t>
      </w:r>
      <w:r w:rsidR="00C471A1" w:rsidRPr="00CC6AEB">
        <w:rPr>
          <w:rFonts w:ascii="Book Antiqua" w:eastAsia="Book Antiqua" w:hAnsi="Book Antiqua" w:cs="Arial"/>
          <w:sz w:val="24"/>
          <w:szCs w:val="24"/>
        </w:rPr>
        <w:t>hepatitis C virus</w:t>
      </w:r>
      <w:r w:rsidRPr="00CC6AEB">
        <w:rPr>
          <w:rFonts w:ascii="Book Antiqua" w:eastAsia="Book Antiqua" w:hAnsi="Book Antiqua" w:cs="Arial"/>
          <w:sz w:val="24"/>
          <w:szCs w:val="24"/>
        </w:rPr>
        <w:t xml:space="preserve"> recurrence and their relapse and HCC recurrence outcomes.</w:t>
      </w:r>
    </w:p>
    <w:p w14:paraId="3AB20D18" w14:textId="77777777" w:rsidR="008241B0" w:rsidRPr="00CC6AEB" w:rsidRDefault="008241B0" w:rsidP="00CC6AEB">
      <w:pPr>
        <w:snapToGrid w:val="0"/>
        <w:spacing w:after="0" w:line="360" w:lineRule="auto"/>
        <w:jc w:val="both"/>
        <w:rPr>
          <w:rFonts w:ascii="Book Antiqua" w:eastAsia="Book Antiqua" w:hAnsi="Book Antiqua"/>
          <w:b/>
          <w:i/>
          <w:sz w:val="24"/>
          <w:szCs w:val="24"/>
        </w:rPr>
      </w:pPr>
    </w:p>
    <w:p w14:paraId="3A5A194B" w14:textId="12E0A0B0" w:rsidR="00694B87" w:rsidRPr="00CC6AEB" w:rsidRDefault="00694B87"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results</w:t>
      </w:r>
    </w:p>
    <w:p w14:paraId="2E4D1117" w14:textId="34809D0F" w:rsidR="00E43677" w:rsidRPr="00CC6AEB" w:rsidRDefault="00ED18A3"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Six patients (6%) experienced DAA therapy failure post-LT and 100 (94%) had a sustained virologic response at follow-up week 12.</w:t>
      </w:r>
      <w:r w:rsidR="00E43677" w:rsidRPr="00CC6AEB">
        <w:rPr>
          <w:rFonts w:ascii="Book Antiqua" w:eastAsia="Book Antiqua" w:hAnsi="Book Antiqua" w:cs="Arial"/>
          <w:sz w:val="24"/>
          <w:szCs w:val="24"/>
        </w:rPr>
        <w:t xml:space="preserve"> DAA relapse post-LT was associated with post-transplantation HCC recurrence, </w:t>
      </w:r>
      <w:r w:rsidR="00E43677" w:rsidRPr="00CC6AEB">
        <w:rPr>
          <w:rFonts w:ascii="Book Antiqua" w:eastAsia="Book Antiqua" w:hAnsi="Book Antiqua" w:cs="Arial"/>
          <w:i/>
          <w:sz w:val="24"/>
          <w:szCs w:val="24"/>
        </w:rPr>
        <w:t>P</w:t>
      </w:r>
      <w:r w:rsidR="00E43677" w:rsidRPr="00CC6AEB">
        <w:rPr>
          <w:rFonts w:ascii="Book Antiqua" w:eastAsia="Book Antiqua" w:hAnsi="Book Antiqua" w:cs="Arial"/>
          <w:sz w:val="24"/>
          <w:szCs w:val="24"/>
        </w:rPr>
        <w:t xml:space="preserve"> = </w:t>
      </w:r>
      <w:r w:rsidR="00397F6D" w:rsidRPr="00CC6AEB">
        <w:rPr>
          <w:rFonts w:ascii="Book Antiqua" w:eastAsia="Book Antiqua" w:hAnsi="Book Antiqua" w:cs="Arial"/>
          <w:sz w:val="24"/>
          <w:szCs w:val="24"/>
        </w:rPr>
        <w:t>0</w:t>
      </w:r>
      <w:r w:rsidR="00E43677" w:rsidRPr="00CC6AEB">
        <w:rPr>
          <w:rFonts w:ascii="Book Antiqua" w:eastAsia="Book Antiqua" w:hAnsi="Book Antiqua" w:cs="Arial"/>
          <w:sz w:val="24"/>
          <w:szCs w:val="24"/>
        </w:rPr>
        <w:t xml:space="preserve">.05. Pre-LT DAA relapse is a predictor of post-LT HCC recurrence, </w:t>
      </w:r>
      <w:r w:rsidR="00E43677" w:rsidRPr="00CC6AEB">
        <w:rPr>
          <w:rFonts w:ascii="Book Antiqua" w:eastAsia="Book Antiqua" w:hAnsi="Book Antiqua" w:cs="Arial"/>
          <w:i/>
          <w:sz w:val="24"/>
          <w:szCs w:val="24"/>
        </w:rPr>
        <w:t>P</w:t>
      </w:r>
      <w:r w:rsidR="00E43677" w:rsidRPr="00CC6AEB">
        <w:rPr>
          <w:rFonts w:ascii="Book Antiqua" w:eastAsia="Book Antiqua" w:hAnsi="Book Antiqua" w:cs="Arial"/>
          <w:sz w:val="24"/>
          <w:szCs w:val="24"/>
        </w:rPr>
        <w:t xml:space="preserve"> = </w:t>
      </w:r>
      <w:r w:rsidR="00397F6D" w:rsidRPr="00CC6AEB">
        <w:rPr>
          <w:rFonts w:ascii="Book Antiqua" w:eastAsia="Book Antiqua" w:hAnsi="Book Antiqua" w:cs="Arial"/>
          <w:sz w:val="24"/>
          <w:szCs w:val="24"/>
        </w:rPr>
        <w:t>0</w:t>
      </w:r>
      <w:r w:rsidR="00E43677" w:rsidRPr="00CC6AEB">
        <w:rPr>
          <w:rFonts w:ascii="Book Antiqua" w:eastAsia="Book Antiqua" w:hAnsi="Book Antiqua" w:cs="Arial"/>
          <w:sz w:val="24"/>
          <w:szCs w:val="24"/>
        </w:rPr>
        <w:t xml:space="preserve">.04. </w:t>
      </w:r>
    </w:p>
    <w:p w14:paraId="5BAD3286" w14:textId="77777777" w:rsidR="008241B0" w:rsidRPr="00CC6AEB" w:rsidRDefault="008241B0" w:rsidP="00CC6AEB">
      <w:pPr>
        <w:snapToGrid w:val="0"/>
        <w:spacing w:after="0" w:line="360" w:lineRule="auto"/>
        <w:jc w:val="both"/>
        <w:rPr>
          <w:rFonts w:ascii="Book Antiqua" w:eastAsia="Book Antiqua" w:hAnsi="Book Antiqua" w:cs="Arial"/>
          <w:sz w:val="24"/>
          <w:szCs w:val="24"/>
        </w:rPr>
      </w:pPr>
    </w:p>
    <w:p w14:paraId="4F302700" w14:textId="77777777" w:rsidR="00392ED0" w:rsidRPr="00CC6AEB" w:rsidRDefault="00392ED0"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conclusions</w:t>
      </w:r>
    </w:p>
    <w:p w14:paraId="5E6C32C7" w14:textId="374F2C3F" w:rsidR="00ED18A3" w:rsidRPr="00CC6AEB" w:rsidRDefault="00ED18A3"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DAA is safe and effective in LT recipients with history of HCC. High </w:t>
      </w:r>
      <w:r w:rsidR="00997C21" w:rsidRPr="00CC6AEB">
        <w:rPr>
          <w:rFonts w:ascii="Book Antiqua" w:eastAsia="Book Antiqua" w:hAnsi="Book Antiqua" w:cs="Arial"/>
          <w:sz w:val="24"/>
          <w:szCs w:val="24"/>
        </w:rPr>
        <w:t>alanine aminotransferase</w:t>
      </w:r>
      <w:r w:rsidRPr="00CC6AEB">
        <w:rPr>
          <w:rFonts w:ascii="Book Antiqua" w:eastAsia="Book Antiqua" w:hAnsi="Book Antiqua" w:cs="Arial"/>
          <w:sz w:val="24"/>
          <w:szCs w:val="24"/>
        </w:rPr>
        <w:t xml:space="preserve"> &gt;</w:t>
      </w:r>
      <w:r w:rsidR="00397F6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and pre-LT DAA relapse are predictors of HCC recurrence after transplant. Relapse to DAA therapy post-LT is a potential risk factor for HCC recurrence.</w:t>
      </w:r>
    </w:p>
    <w:p w14:paraId="1E783299" w14:textId="77777777" w:rsidR="008241B0" w:rsidRPr="00CC6AEB" w:rsidRDefault="008241B0" w:rsidP="00CC6AEB">
      <w:pPr>
        <w:snapToGrid w:val="0"/>
        <w:spacing w:after="0" w:line="360" w:lineRule="auto"/>
        <w:jc w:val="both"/>
        <w:rPr>
          <w:rFonts w:ascii="Book Antiqua" w:eastAsia="Book Antiqua" w:hAnsi="Book Antiqua" w:cs="Arial"/>
          <w:sz w:val="24"/>
          <w:szCs w:val="24"/>
        </w:rPr>
      </w:pPr>
    </w:p>
    <w:p w14:paraId="144DE170" w14:textId="77777777" w:rsidR="009A46E9" w:rsidRPr="00CC6AEB" w:rsidRDefault="009A46E9"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perspectives</w:t>
      </w:r>
    </w:p>
    <w:p w14:paraId="730465DB" w14:textId="257F401A" w:rsidR="009A46E9" w:rsidRPr="00CC6AEB" w:rsidRDefault="00E43677"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Performing a multicenter study of a larger sample to validate our findings.</w:t>
      </w:r>
    </w:p>
    <w:p w14:paraId="0B05F611" w14:textId="77777777" w:rsidR="00233CCC" w:rsidRPr="00CC6AEB" w:rsidRDefault="00233CCC" w:rsidP="00CC6AEB">
      <w:pPr>
        <w:snapToGrid w:val="0"/>
        <w:spacing w:after="0" w:line="360" w:lineRule="auto"/>
        <w:jc w:val="both"/>
        <w:rPr>
          <w:rFonts w:ascii="Book Antiqua" w:hAnsi="Book Antiqua" w:cstheme="minorHAnsi"/>
          <w:color w:val="000000"/>
          <w:sz w:val="24"/>
          <w:szCs w:val="24"/>
        </w:rPr>
      </w:pPr>
    </w:p>
    <w:p w14:paraId="74807DF3" w14:textId="3ED811A4" w:rsidR="00254AD1" w:rsidRPr="00CC6AEB" w:rsidRDefault="00532179" w:rsidP="00CC6AEB">
      <w:pPr>
        <w:snapToGrid w:val="0"/>
        <w:spacing w:after="0" w:line="360" w:lineRule="auto"/>
        <w:jc w:val="both"/>
        <w:rPr>
          <w:rFonts w:ascii="Book Antiqua" w:hAnsi="Book Antiqua" w:cstheme="minorHAnsi"/>
          <w:color w:val="000000"/>
          <w:sz w:val="24"/>
          <w:szCs w:val="24"/>
        </w:rPr>
      </w:pPr>
      <w:r w:rsidRPr="00CC6AEB">
        <w:rPr>
          <w:rFonts w:ascii="Book Antiqua" w:eastAsia="Book Antiqua" w:hAnsi="Book Antiqua"/>
          <w:b/>
          <w:sz w:val="24"/>
          <w:szCs w:val="24"/>
        </w:rPr>
        <w:t>REFERENCES</w:t>
      </w:r>
    </w:p>
    <w:p w14:paraId="7396FAE3"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lastRenderedPageBreak/>
        <w:t xml:space="preserve">1 </w:t>
      </w:r>
      <w:r w:rsidRPr="00CC6AEB">
        <w:rPr>
          <w:rFonts w:ascii="Book Antiqua" w:hAnsi="Book Antiqua"/>
          <w:b/>
          <w:sz w:val="24"/>
          <w:szCs w:val="24"/>
        </w:rPr>
        <w:t>Kim WR</w:t>
      </w:r>
      <w:r w:rsidRPr="00CC6AEB">
        <w:rPr>
          <w:rFonts w:ascii="Book Antiqua" w:hAnsi="Book Antiqua"/>
          <w:sz w:val="24"/>
          <w:szCs w:val="24"/>
        </w:rPr>
        <w:t xml:space="preserve">,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NA, Pedersen RA, </w:t>
      </w:r>
      <w:proofErr w:type="spellStart"/>
      <w:r w:rsidRPr="00CC6AEB">
        <w:rPr>
          <w:rFonts w:ascii="Book Antiqua" w:hAnsi="Book Antiqua"/>
          <w:sz w:val="24"/>
          <w:szCs w:val="24"/>
        </w:rPr>
        <w:t>Therneau</w:t>
      </w:r>
      <w:proofErr w:type="spellEnd"/>
      <w:r w:rsidRPr="00CC6AEB">
        <w:rPr>
          <w:rFonts w:ascii="Book Antiqua" w:hAnsi="Book Antiqua"/>
          <w:sz w:val="24"/>
          <w:szCs w:val="24"/>
        </w:rPr>
        <w:t xml:space="preserve"> TM, Edwards E, Hindman AA, </w:t>
      </w:r>
      <w:proofErr w:type="spellStart"/>
      <w:r w:rsidRPr="00CC6AEB">
        <w:rPr>
          <w:rFonts w:ascii="Book Antiqua" w:hAnsi="Book Antiqua"/>
          <w:sz w:val="24"/>
          <w:szCs w:val="24"/>
        </w:rPr>
        <w:t>Brosgart</w:t>
      </w:r>
      <w:proofErr w:type="spellEnd"/>
      <w:r w:rsidRPr="00CC6AEB">
        <w:rPr>
          <w:rFonts w:ascii="Book Antiqua" w:hAnsi="Book Antiqua"/>
          <w:sz w:val="24"/>
          <w:szCs w:val="24"/>
        </w:rPr>
        <w:t xml:space="preserve"> CL. Trends in waiting list registration for liver transplantation for viral hepatitis in the United States. </w:t>
      </w:r>
      <w:r w:rsidRPr="00CC6AEB">
        <w:rPr>
          <w:rFonts w:ascii="Book Antiqua" w:hAnsi="Book Antiqua"/>
          <w:i/>
          <w:sz w:val="24"/>
          <w:szCs w:val="24"/>
        </w:rPr>
        <w:t>Gastroenterology</w:t>
      </w:r>
      <w:r w:rsidRPr="00CC6AEB">
        <w:rPr>
          <w:rFonts w:ascii="Book Antiqua" w:hAnsi="Book Antiqua"/>
          <w:sz w:val="24"/>
          <w:szCs w:val="24"/>
        </w:rPr>
        <w:t xml:space="preserve"> 2009; </w:t>
      </w:r>
      <w:r w:rsidRPr="00CC6AEB">
        <w:rPr>
          <w:rFonts w:ascii="Book Antiqua" w:hAnsi="Book Antiqua"/>
          <w:b/>
          <w:sz w:val="24"/>
          <w:szCs w:val="24"/>
        </w:rPr>
        <w:t>137</w:t>
      </w:r>
      <w:r w:rsidRPr="00CC6AEB">
        <w:rPr>
          <w:rFonts w:ascii="Book Antiqua" w:hAnsi="Book Antiqua"/>
          <w:sz w:val="24"/>
          <w:szCs w:val="24"/>
        </w:rPr>
        <w:t>: 1680-1686 [PMID: 19632234 DOI: 10.1053/j.gastro.2009.07.047]</w:t>
      </w:r>
    </w:p>
    <w:p w14:paraId="0223D2C6"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 </w:t>
      </w:r>
      <w:r w:rsidRPr="00CC6AEB">
        <w:rPr>
          <w:rFonts w:ascii="Book Antiqua" w:hAnsi="Book Antiqua"/>
          <w:b/>
          <w:sz w:val="24"/>
          <w:szCs w:val="24"/>
        </w:rPr>
        <w:t>Forman LM</w:t>
      </w:r>
      <w:r w:rsidRPr="00CC6AEB">
        <w:rPr>
          <w:rFonts w:ascii="Book Antiqua" w:hAnsi="Book Antiqua"/>
          <w:sz w:val="24"/>
          <w:szCs w:val="24"/>
        </w:rPr>
        <w:t xml:space="preserve">, Lewis JD, Berlin JA, Feldman HI, Lucey MR. The association between hepatitis C infection and survival after orthotopic liver transplantation. </w:t>
      </w:r>
      <w:r w:rsidRPr="00CC6AEB">
        <w:rPr>
          <w:rFonts w:ascii="Book Antiqua" w:hAnsi="Book Antiqua"/>
          <w:i/>
          <w:sz w:val="24"/>
          <w:szCs w:val="24"/>
        </w:rPr>
        <w:t>Gastroenterology</w:t>
      </w:r>
      <w:r w:rsidRPr="00CC6AEB">
        <w:rPr>
          <w:rFonts w:ascii="Book Antiqua" w:hAnsi="Book Antiqua"/>
          <w:sz w:val="24"/>
          <w:szCs w:val="24"/>
        </w:rPr>
        <w:t xml:space="preserve"> 2002; </w:t>
      </w:r>
      <w:r w:rsidRPr="00CC6AEB">
        <w:rPr>
          <w:rFonts w:ascii="Book Antiqua" w:hAnsi="Book Antiqua"/>
          <w:b/>
          <w:sz w:val="24"/>
          <w:szCs w:val="24"/>
        </w:rPr>
        <w:t>122</w:t>
      </w:r>
      <w:r w:rsidRPr="00CC6AEB">
        <w:rPr>
          <w:rFonts w:ascii="Book Antiqua" w:hAnsi="Book Antiqua"/>
          <w:sz w:val="24"/>
          <w:szCs w:val="24"/>
        </w:rPr>
        <w:t>: 889-896 [PMID: 11910340 DOI: 10.1053/gast.2002.32418]</w:t>
      </w:r>
    </w:p>
    <w:p w14:paraId="3359B698"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3 </w:t>
      </w:r>
      <w:r w:rsidRPr="00CC6AEB">
        <w:rPr>
          <w:rFonts w:ascii="Book Antiqua" w:hAnsi="Book Antiqua"/>
          <w:b/>
          <w:sz w:val="24"/>
          <w:szCs w:val="24"/>
        </w:rPr>
        <w:t>König V</w:t>
      </w:r>
      <w:r w:rsidRPr="00CC6AEB">
        <w:rPr>
          <w:rFonts w:ascii="Book Antiqua" w:hAnsi="Book Antiqua"/>
          <w:sz w:val="24"/>
          <w:szCs w:val="24"/>
        </w:rPr>
        <w:t xml:space="preserve">, </w:t>
      </w:r>
      <w:proofErr w:type="spellStart"/>
      <w:r w:rsidRPr="00CC6AEB">
        <w:rPr>
          <w:rFonts w:ascii="Book Antiqua" w:hAnsi="Book Antiqua"/>
          <w:sz w:val="24"/>
          <w:szCs w:val="24"/>
        </w:rPr>
        <w:t>Bauditz</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Lobeck</w:t>
      </w:r>
      <w:proofErr w:type="spellEnd"/>
      <w:r w:rsidRPr="00CC6AEB">
        <w:rPr>
          <w:rFonts w:ascii="Book Antiqua" w:hAnsi="Book Antiqua"/>
          <w:sz w:val="24"/>
          <w:szCs w:val="24"/>
        </w:rPr>
        <w:t xml:space="preserve"> H, </w:t>
      </w:r>
      <w:proofErr w:type="spellStart"/>
      <w:r w:rsidRPr="00CC6AEB">
        <w:rPr>
          <w:rFonts w:ascii="Book Antiqua" w:hAnsi="Book Antiqua"/>
          <w:sz w:val="24"/>
          <w:szCs w:val="24"/>
        </w:rPr>
        <w:t>Lüsebrink</w:t>
      </w:r>
      <w:proofErr w:type="spellEnd"/>
      <w:r w:rsidRPr="00CC6AEB">
        <w:rPr>
          <w:rFonts w:ascii="Book Antiqua" w:hAnsi="Book Antiqua"/>
          <w:sz w:val="24"/>
          <w:szCs w:val="24"/>
        </w:rPr>
        <w:t xml:space="preserve"> R, Neuhaus P, </w:t>
      </w:r>
      <w:proofErr w:type="spellStart"/>
      <w:r w:rsidRPr="00CC6AEB">
        <w:rPr>
          <w:rFonts w:ascii="Book Antiqua" w:hAnsi="Book Antiqua"/>
          <w:sz w:val="24"/>
          <w:szCs w:val="24"/>
        </w:rPr>
        <w:t>Blumhardt</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Bechstein</w:t>
      </w:r>
      <w:proofErr w:type="spellEnd"/>
      <w:r w:rsidRPr="00CC6AEB">
        <w:rPr>
          <w:rFonts w:ascii="Book Antiqua" w:hAnsi="Book Antiqua"/>
          <w:sz w:val="24"/>
          <w:szCs w:val="24"/>
        </w:rPr>
        <w:t xml:space="preserve"> WO, Neuhaus R, Steffen R, </w:t>
      </w:r>
      <w:proofErr w:type="spellStart"/>
      <w:r w:rsidRPr="00CC6AEB">
        <w:rPr>
          <w:rFonts w:ascii="Book Antiqua" w:hAnsi="Book Antiqua"/>
          <w:sz w:val="24"/>
          <w:szCs w:val="24"/>
        </w:rPr>
        <w:t>Hopf</w:t>
      </w:r>
      <w:proofErr w:type="spellEnd"/>
      <w:r w:rsidRPr="00CC6AEB">
        <w:rPr>
          <w:rFonts w:ascii="Book Antiqua" w:hAnsi="Book Antiqua"/>
          <w:sz w:val="24"/>
          <w:szCs w:val="24"/>
        </w:rPr>
        <w:t xml:space="preserve"> U. Hepatitis C virus reinfection in allografts after orthotopic liver transplantation. </w:t>
      </w:r>
      <w:r w:rsidRPr="00CC6AEB">
        <w:rPr>
          <w:rFonts w:ascii="Book Antiqua" w:hAnsi="Book Antiqua"/>
          <w:i/>
          <w:sz w:val="24"/>
          <w:szCs w:val="24"/>
        </w:rPr>
        <w:t>Hepatology</w:t>
      </w:r>
      <w:r w:rsidRPr="00CC6AEB">
        <w:rPr>
          <w:rFonts w:ascii="Book Antiqua" w:hAnsi="Book Antiqua"/>
          <w:sz w:val="24"/>
          <w:szCs w:val="24"/>
        </w:rPr>
        <w:t xml:space="preserve"> 1992; </w:t>
      </w:r>
      <w:r w:rsidRPr="00CC6AEB">
        <w:rPr>
          <w:rFonts w:ascii="Book Antiqua" w:hAnsi="Book Antiqua"/>
          <w:b/>
          <w:sz w:val="24"/>
          <w:szCs w:val="24"/>
        </w:rPr>
        <w:t>16</w:t>
      </w:r>
      <w:r w:rsidRPr="00CC6AEB">
        <w:rPr>
          <w:rFonts w:ascii="Book Antiqua" w:hAnsi="Book Antiqua"/>
          <w:sz w:val="24"/>
          <w:szCs w:val="24"/>
        </w:rPr>
        <w:t>: 1137-1143 [PMID: 1330865 DOI: 10.1002/hep.1840160506]</w:t>
      </w:r>
    </w:p>
    <w:p w14:paraId="13BEB5B2"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4 </w:t>
      </w:r>
      <w:proofErr w:type="spellStart"/>
      <w:r w:rsidRPr="00CC6AEB">
        <w:rPr>
          <w:rFonts w:ascii="Book Antiqua" w:hAnsi="Book Antiqua"/>
          <w:b/>
          <w:sz w:val="24"/>
          <w:szCs w:val="24"/>
        </w:rPr>
        <w:t>Gane</w:t>
      </w:r>
      <w:proofErr w:type="spellEnd"/>
      <w:r w:rsidRPr="00CC6AEB">
        <w:rPr>
          <w:rFonts w:ascii="Book Antiqua" w:hAnsi="Book Antiqua"/>
          <w:b/>
          <w:sz w:val="24"/>
          <w:szCs w:val="24"/>
        </w:rPr>
        <w:t xml:space="preserve"> E</w:t>
      </w:r>
      <w:r w:rsidRPr="00CC6AEB">
        <w:rPr>
          <w:rFonts w:ascii="Book Antiqua" w:hAnsi="Book Antiqua"/>
          <w:sz w:val="24"/>
          <w:szCs w:val="24"/>
        </w:rPr>
        <w:t xml:space="preserve">. The natural history and outcome of liver transplantation in hepatitis C virus-infected recipients. </w:t>
      </w:r>
      <w:r w:rsidRPr="00CC6AEB">
        <w:rPr>
          <w:rFonts w:ascii="Book Antiqua" w:hAnsi="Book Antiqua"/>
          <w:i/>
          <w:sz w:val="24"/>
          <w:szCs w:val="24"/>
        </w:rPr>
        <w:t xml:space="preserve">Liver </w:t>
      </w:r>
      <w:proofErr w:type="spellStart"/>
      <w:r w:rsidRPr="00CC6AEB">
        <w:rPr>
          <w:rFonts w:ascii="Book Antiqua" w:hAnsi="Book Antiqua"/>
          <w:i/>
          <w:sz w:val="24"/>
          <w:szCs w:val="24"/>
        </w:rPr>
        <w:t>Transpl</w:t>
      </w:r>
      <w:proofErr w:type="spellEnd"/>
      <w:r w:rsidRPr="00CC6AEB">
        <w:rPr>
          <w:rFonts w:ascii="Book Antiqua" w:hAnsi="Book Antiqua"/>
          <w:sz w:val="24"/>
          <w:szCs w:val="24"/>
        </w:rPr>
        <w:t xml:space="preserve"> 2003; </w:t>
      </w:r>
      <w:r w:rsidRPr="00CC6AEB">
        <w:rPr>
          <w:rFonts w:ascii="Book Antiqua" w:hAnsi="Book Antiqua"/>
          <w:b/>
          <w:sz w:val="24"/>
          <w:szCs w:val="24"/>
        </w:rPr>
        <w:t>9</w:t>
      </w:r>
      <w:r w:rsidRPr="00CC6AEB">
        <w:rPr>
          <w:rFonts w:ascii="Book Antiqua" w:hAnsi="Book Antiqua"/>
          <w:sz w:val="24"/>
          <w:szCs w:val="24"/>
        </w:rPr>
        <w:t>: S28-S34 [PMID: 14586892 DOI: 10.1053/jlts.2003.50248]</w:t>
      </w:r>
    </w:p>
    <w:p w14:paraId="164D3B4B"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5 </w:t>
      </w:r>
      <w:proofErr w:type="spellStart"/>
      <w:r w:rsidRPr="00CC6AEB">
        <w:rPr>
          <w:rFonts w:ascii="Book Antiqua" w:hAnsi="Book Antiqua"/>
          <w:b/>
          <w:sz w:val="24"/>
          <w:szCs w:val="24"/>
        </w:rPr>
        <w:t>Gane</w:t>
      </w:r>
      <w:proofErr w:type="spellEnd"/>
      <w:r w:rsidRPr="00CC6AEB">
        <w:rPr>
          <w:rFonts w:ascii="Book Antiqua" w:hAnsi="Book Antiqua"/>
          <w:b/>
          <w:sz w:val="24"/>
          <w:szCs w:val="24"/>
        </w:rPr>
        <w:t xml:space="preserve"> EJ</w:t>
      </w:r>
      <w:r w:rsidRPr="00CC6AEB">
        <w:rPr>
          <w:rFonts w:ascii="Book Antiqua" w:hAnsi="Book Antiqua"/>
          <w:sz w:val="24"/>
          <w:szCs w:val="24"/>
        </w:rPr>
        <w:t xml:space="preserve">, </w:t>
      </w:r>
      <w:proofErr w:type="spellStart"/>
      <w:r w:rsidRPr="00CC6AEB">
        <w:rPr>
          <w:rFonts w:ascii="Book Antiqua" w:hAnsi="Book Antiqua"/>
          <w:sz w:val="24"/>
          <w:szCs w:val="24"/>
        </w:rPr>
        <w:t>Portmann</w:t>
      </w:r>
      <w:proofErr w:type="spellEnd"/>
      <w:r w:rsidRPr="00CC6AEB">
        <w:rPr>
          <w:rFonts w:ascii="Book Antiqua" w:hAnsi="Book Antiqua"/>
          <w:sz w:val="24"/>
          <w:szCs w:val="24"/>
        </w:rPr>
        <w:t xml:space="preserve"> BC, </w:t>
      </w:r>
      <w:proofErr w:type="spellStart"/>
      <w:r w:rsidRPr="00CC6AEB">
        <w:rPr>
          <w:rFonts w:ascii="Book Antiqua" w:hAnsi="Book Antiqua"/>
          <w:sz w:val="24"/>
          <w:szCs w:val="24"/>
        </w:rPr>
        <w:t>Naoumov</w:t>
      </w:r>
      <w:proofErr w:type="spellEnd"/>
      <w:r w:rsidRPr="00CC6AEB">
        <w:rPr>
          <w:rFonts w:ascii="Book Antiqua" w:hAnsi="Book Antiqua"/>
          <w:sz w:val="24"/>
          <w:szCs w:val="24"/>
        </w:rPr>
        <w:t xml:space="preserve"> NV, Smith HM, Underhill JA, Donaldson PT, </w:t>
      </w:r>
      <w:proofErr w:type="spellStart"/>
      <w:r w:rsidRPr="00CC6AEB">
        <w:rPr>
          <w:rFonts w:ascii="Book Antiqua" w:hAnsi="Book Antiqua"/>
          <w:sz w:val="24"/>
          <w:szCs w:val="24"/>
        </w:rPr>
        <w:t>Maertens</w:t>
      </w:r>
      <w:proofErr w:type="spellEnd"/>
      <w:r w:rsidRPr="00CC6AEB">
        <w:rPr>
          <w:rFonts w:ascii="Book Antiqua" w:hAnsi="Book Antiqua"/>
          <w:sz w:val="24"/>
          <w:szCs w:val="24"/>
        </w:rPr>
        <w:t xml:space="preserve"> G, Williams R. Long-term outcome of hepatitis C infection after liver transplantation. </w:t>
      </w:r>
      <w:r w:rsidRPr="00CC6AEB">
        <w:rPr>
          <w:rFonts w:ascii="Book Antiqua" w:hAnsi="Book Antiqua"/>
          <w:i/>
          <w:sz w:val="24"/>
          <w:szCs w:val="24"/>
        </w:rPr>
        <w:t xml:space="preserve">N </w:t>
      </w:r>
      <w:proofErr w:type="spellStart"/>
      <w:r w:rsidRPr="00CC6AEB">
        <w:rPr>
          <w:rFonts w:ascii="Book Antiqua" w:hAnsi="Book Antiqua"/>
          <w:i/>
          <w:sz w:val="24"/>
          <w:szCs w:val="24"/>
        </w:rPr>
        <w:t>Engl</w:t>
      </w:r>
      <w:proofErr w:type="spellEnd"/>
      <w:r w:rsidRPr="00CC6AEB">
        <w:rPr>
          <w:rFonts w:ascii="Book Antiqua" w:hAnsi="Book Antiqua"/>
          <w:i/>
          <w:sz w:val="24"/>
          <w:szCs w:val="24"/>
        </w:rPr>
        <w:t xml:space="preserve"> J Med</w:t>
      </w:r>
      <w:r w:rsidRPr="00CC6AEB">
        <w:rPr>
          <w:rFonts w:ascii="Book Antiqua" w:hAnsi="Book Antiqua"/>
          <w:sz w:val="24"/>
          <w:szCs w:val="24"/>
        </w:rPr>
        <w:t xml:space="preserve"> 1996; </w:t>
      </w:r>
      <w:r w:rsidRPr="00CC6AEB">
        <w:rPr>
          <w:rFonts w:ascii="Book Antiqua" w:hAnsi="Book Antiqua"/>
          <w:b/>
          <w:sz w:val="24"/>
          <w:szCs w:val="24"/>
        </w:rPr>
        <w:t>334</w:t>
      </w:r>
      <w:r w:rsidRPr="00CC6AEB">
        <w:rPr>
          <w:rFonts w:ascii="Book Antiqua" w:hAnsi="Book Antiqua"/>
          <w:sz w:val="24"/>
          <w:szCs w:val="24"/>
        </w:rPr>
        <w:t>: 815-820 [PMID: 8596547 DOI: 10.1056/NEJM199603283341302]</w:t>
      </w:r>
    </w:p>
    <w:p w14:paraId="2BE8669E"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6 </w:t>
      </w:r>
      <w:r w:rsidRPr="00CC6AEB">
        <w:rPr>
          <w:rFonts w:ascii="Book Antiqua" w:hAnsi="Book Antiqua"/>
          <w:b/>
          <w:sz w:val="24"/>
          <w:szCs w:val="24"/>
        </w:rPr>
        <w:t>Crespo G</w:t>
      </w:r>
      <w:r w:rsidRPr="00CC6AEB">
        <w:rPr>
          <w:rFonts w:ascii="Book Antiqua" w:hAnsi="Book Antiqua"/>
          <w:sz w:val="24"/>
          <w:szCs w:val="24"/>
        </w:rPr>
        <w:t xml:space="preserve">, </w:t>
      </w:r>
      <w:proofErr w:type="spellStart"/>
      <w:r w:rsidRPr="00CC6AEB">
        <w:rPr>
          <w:rFonts w:ascii="Book Antiqua" w:hAnsi="Book Antiqua"/>
          <w:sz w:val="24"/>
          <w:szCs w:val="24"/>
        </w:rPr>
        <w:t>Trota</w:t>
      </w:r>
      <w:proofErr w:type="spellEnd"/>
      <w:r w:rsidRPr="00CC6AEB">
        <w:rPr>
          <w:rFonts w:ascii="Book Antiqua" w:hAnsi="Book Antiqua"/>
          <w:sz w:val="24"/>
          <w:szCs w:val="24"/>
        </w:rPr>
        <w:t xml:space="preserve"> N, </w:t>
      </w:r>
      <w:proofErr w:type="spellStart"/>
      <w:r w:rsidRPr="00CC6AEB">
        <w:rPr>
          <w:rFonts w:ascii="Book Antiqua" w:hAnsi="Book Antiqua"/>
          <w:sz w:val="24"/>
          <w:szCs w:val="24"/>
        </w:rPr>
        <w:t>Londoño</w:t>
      </w:r>
      <w:proofErr w:type="spellEnd"/>
      <w:r w:rsidRPr="00CC6AEB">
        <w:rPr>
          <w:rFonts w:ascii="Book Antiqua" w:hAnsi="Book Antiqua"/>
          <w:sz w:val="24"/>
          <w:szCs w:val="24"/>
        </w:rPr>
        <w:t xml:space="preserve"> MC, Mauro E, </w:t>
      </w:r>
      <w:proofErr w:type="spellStart"/>
      <w:r w:rsidRPr="00CC6AEB">
        <w:rPr>
          <w:rFonts w:ascii="Book Antiqua" w:hAnsi="Book Antiqua"/>
          <w:sz w:val="24"/>
          <w:szCs w:val="24"/>
        </w:rPr>
        <w:t>Baliellas</w:t>
      </w:r>
      <w:proofErr w:type="spellEnd"/>
      <w:r w:rsidRPr="00CC6AEB">
        <w:rPr>
          <w:rFonts w:ascii="Book Antiqua" w:hAnsi="Book Antiqua"/>
          <w:sz w:val="24"/>
          <w:szCs w:val="24"/>
        </w:rPr>
        <w:t xml:space="preserve"> C, Castells L, </w:t>
      </w:r>
      <w:proofErr w:type="spellStart"/>
      <w:r w:rsidRPr="00CC6AEB">
        <w:rPr>
          <w:rFonts w:ascii="Book Antiqua" w:hAnsi="Book Antiqua"/>
          <w:sz w:val="24"/>
          <w:szCs w:val="24"/>
        </w:rPr>
        <w:t>Castellote</w:t>
      </w:r>
      <w:proofErr w:type="spellEnd"/>
      <w:r w:rsidRPr="00CC6AEB">
        <w:rPr>
          <w:rFonts w:ascii="Book Antiqua" w:hAnsi="Book Antiqua"/>
          <w:sz w:val="24"/>
          <w:szCs w:val="24"/>
        </w:rPr>
        <w:t xml:space="preserve"> J, Tort J, </w:t>
      </w:r>
      <w:proofErr w:type="spellStart"/>
      <w:r w:rsidRPr="00CC6AEB">
        <w:rPr>
          <w:rFonts w:ascii="Book Antiqua" w:hAnsi="Book Antiqua"/>
          <w:sz w:val="24"/>
          <w:szCs w:val="24"/>
        </w:rPr>
        <w:t>Forns</w:t>
      </w:r>
      <w:proofErr w:type="spellEnd"/>
      <w:r w:rsidRPr="00CC6AEB">
        <w:rPr>
          <w:rFonts w:ascii="Book Antiqua" w:hAnsi="Book Antiqua"/>
          <w:sz w:val="24"/>
          <w:szCs w:val="24"/>
        </w:rPr>
        <w:t xml:space="preserve"> X, </w:t>
      </w:r>
      <w:proofErr w:type="spellStart"/>
      <w:r w:rsidRPr="00CC6AEB">
        <w:rPr>
          <w:rFonts w:ascii="Book Antiqua" w:hAnsi="Book Antiqua"/>
          <w:sz w:val="24"/>
          <w:szCs w:val="24"/>
        </w:rPr>
        <w:t>Navasa</w:t>
      </w:r>
      <w:proofErr w:type="spellEnd"/>
      <w:r w:rsidRPr="00CC6AEB">
        <w:rPr>
          <w:rFonts w:ascii="Book Antiqua" w:hAnsi="Book Antiqua"/>
          <w:sz w:val="24"/>
          <w:szCs w:val="24"/>
        </w:rPr>
        <w:t xml:space="preserve"> M. The efficacy of direct anti-HCV drugs improves early post-liver transplant survival and induces significant changes in waiting list composition. </w:t>
      </w:r>
      <w:r w:rsidRPr="00CC6AEB">
        <w:rPr>
          <w:rFonts w:ascii="Book Antiqua" w:hAnsi="Book Antiqua"/>
          <w:i/>
          <w:sz w:val="24"/>
          <w:szCs w:val="24"/>
        </w:rPr>
        <w:t>J Hepatol</w:t>
      </w:r>
      <w:r w:rsidRPr="00CC6AEB">
        <w:rPr>
          <w:rFonts w:ascii="Book Antiqua" w:hAnsi="Book Antiqua"/>
          <w:sz w:val="24"/>
          <w:szCs w:val="24"/>
        </w:rPr>
        <w:t xml:space="preserve"> 2018; </w:t>
      </w:r>
      <w:r w:rsidRPr="00CC6AEB">
        <w:rPr>
          <w:rFonts w:ascii="Book Antiqua" w:hAnsi="Book Antiqua"/>
          <w:b/>
          <w:sz w:val="24"/>
          <w:szCs w:val="24"/>
        </w:rPr>
        <w:t>69</w:t>
      </w:r>
      <w:r w:rsidRPr="00CC6AEB">
        <w:rPr>
          <w:rFonts w:ascii="Book Antiqua" w:hAnsi="Book Antiqua"/>
          <w:sz w:val="24"/>
          <w:szCs w:val="24"/>
        </w:rPr>
        <w:t>: 11-17 [PMID: 29481821 DOI: 10.1016/j.jhep.2018.02.012]</w:t>
      </w:r>
    </w:p>
    <w:p w14:paraId="0DB581FC"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7 </w:t>
      </w:r>
      <w:proofErr w:type="spellStart"/>
      <w:r w:rsidRPr="00CC6AEB">
        <w:rPr>
          <w:rFonts w:ascii="Book Antiqua" w:hAnsi="Book Antiqua"/>
          <w:b/>
          <w:sz w:val="24"/>
          <w:szCs w:val="24"/>
        </w:rPr>
        <w:t>Berenguer</w:t>
      </w:r>
      <w:proofErr w:type="spellEnd"/>
      <w:r w:rsidRPr="00CC6AEB">
        <w:rPr>
          <w:rFonts w:ascii="Book Antiqua" w:hAnsi="Book Antiqua"/>
          <w:b/>
          <w:sz w:val="24"/>
          <w:szCs w:val="24"/>
        </w:rPr>
        <w:t xml:space="preserve"> M</w:t>
      </w:r>
      <w:r w:rsidRPr="00CC6AEB">
        <w:rPr>
          <w:rFonts w:ascii="Book Antiqua" w:hAnsi="Book Antiqua"/>
          <w:sz w:val="24"/>
          <w:szCs w:val="24"/>
        </w:rPr>
        <w:t xml:space="preserve">, </w:t>
      </w:r>
      <w:proofErr w:type="spellStart"/>
      <w:r w:rsidRPr="00CC6AEB">
        <w:rPr>
          <w:rFonts w:ascii="Book Antiqua" w:hAnsi="Book Antiqua"/>
          <w:sz w:val="24"/>
          <w:szCs w:val="24"/>
        </w:rPr>
        <w:t>Schuppan</w:t>
      </w:r>
      <w:proofErr w:type="spellEnd"/>
      <w:r w:rsidRPr="00CC6AEB">
        <w:rPr>
          <w:rFonts w:ascii="Book Antiqua" w:hAnsi="Book Antiqua"/>
          <w:sz w:val="24"/>
          <w:szCs w:val="24"/>
        </w:rPr>
        <w:t xml:space="preserve"> D. Progression of liver fibrosis in post-transplant hepatitis C: mechanisms, assessment and treatment. </w:t>
      </w:r>
      <w:r w:rsidRPr="00CC6AEB">
        <w:rPr>
          <w:rFonts w:ascii="Book Antiqua" w:hAnsi="Book Antiqua"/>
          <w:i/>
          <w:sz w:val="24"/>
          <w:szCs w:val="24"/>
        </w:rPr>
        <w:t>J Hepatol</w:t>
      </w:r>
      <w:r w:rsidRPr="00CC6AEB">
        <w:rPr>
          <w:rFonts w:ascii="Book Antiqua" w:hAnsi="Book Antiqua"/>
          <w:sz w:val="24"/>
          <w:szCs w:val="24"/>
        </w:rPr>
        <w:t xml:space="preserve"> 2013; </w:t>
      </w:r>
      <w:r w:rsidRPr="00CC6AEB">
        <w:rPr>
          <w:rFonts w:ascii="Book Antiqua" w:hAnsi="Book Antiqua"/>
          <w:b/>
          <w:sz w:val="24"/>
          <w:szCs w:val="24"/>
        </w:rPr>
        <w:t>58</w:t>
      </w:r>
      <w:r w:rsidRPr="00CC6AEB">
        <w:rPr>
          <w:rFonts w:ascii="Book Antiqua" w:hAnsi="Book Antiqua"/>
          <w:sz w:val="24"/>
          <w:szCs w:val="24"/>
        </w:rPr>
        <w:t>: 1028-1041 [PMID: 23262248 DOI: 10.1016/j.jhep.2012.12.014]</w:t>
      </w:r>
    </w:p>
    <w:p w14:paraId="07485813"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8 </w:t>
      </w:r>
      <w:proofErr w:type="spellStart"/>
      <w:r w:rsidRPr="00CC6AEB">
        <w:rPr>
          <w:rFonts w:ascii="Book Antiqua" w:hAnsi="Book Antiqua"/>
          <w:b/>
          <w:sz w:val="24"/>
          <w:szCs w:val="24"/>
        </w:rPr>
        <w:t>Picciotto</w:t>
      </w:r>
      <w:proofErr w:type="spellEnd"/>
      <w:r w:rsidRPr="00CC6AEB">
        <w:rPr>
          <w:rFonts w:ascii="Book Antiqua" w:hAnsi="Book Antiqua"/>
          <w:b/>
          <w:sz w:val="24"/>
          <w:szCs w:val="24"/>
        </w:rPr>
        <w:t xml:space="preserve"> FP</w:t>
      </w:r>
      <w:r w:rsidRPr="00CC6AEB">
        <w:rPr>
          <w:rFonts w:ascii="Book Antiqua" w:hAnsi="Book Antiqua"/>
          <w:sz w:val="24"/>
          <w:szCs w:val="24"/>
        </w:rPr>
        <w:t xml:space="preserve">, </w:t>
      </w:r>
      <w:proofErr w:type="spellStart"/>
      <w:r w:rsidRPr="00CC6AEB">
        <w:rPr>
          <w:rFonts w:ascii="Book Antiqua" w:hAnsi="Book Antiqua"/>
          <w:sz w:val="24"/>
          <w:szCs w:val="24"/>
        </w:rPr>
        <w:t>Tritto</w:t>
      </w:r>
      <w:proofErr w:type="spellEnd"/>
      <w:r w:rsidRPr="00CC6AEB">
        <w:rPr>
          <w:rFonts w:ascii="Book Antiqua" w:hAnsi="Book Antiqua"/>
          <w:sz w:val="24"/>
          <w:szCs w:val="24"/>
        </w:rPr>
        <w:t xml:space="preserve"> G, Lanza AG, Addario L, De Luca M, Di Costanzo GG, </w:t>
      </w:r>
      <w:proofErr w:type="spellStart"/>
      <w:r w:rsidRPr="00CC6AEB">
        <w:rPr>
          <w:rFonts w:ascii="Book Antiqua" w:hAnsi="Book Antiqua"/>
          <w:sz w:val="24"/>
          <w:szCs w:val="24"/>
        </w:rPr>
        <w:t>Lampasi</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Tartaglione</w:t>
      </w:r>
      <w:proofErr w:type="spellEnd"/>
      <w:r w:rsidRPr="00CC6AEB">
        <w:rPr>
          <w:rFonts w:ascii="Book Antiqua" w:hAnsi="Book Antiqua"/>
          <w:sz w:val="24"/>
          <w:szCs w:val="24"/>
        </w:rPr>
        <w:t xml:space="preserve"> MT, </w:t>
      </w:r>
      <w:proofErr w:type="spellStart"/>
      <w:r w:rsidRPr="00CC6AEB">
        <w:rPr>
          <w:rFonts w:ascii="Book Antiqua" w:hAnsi="Book Antiqua"/>
          <w:sz w:val="24"/>
          <w:szCs w:val="24"/>
        </w:rPr>
        <w:t>Marsilia</w:t>
      </w:r>
      <w:proofErr w:type="spellEnd"/>
      <w:r w:rsidRPr="00CC6AEB">
        <w:rPr>
          <w:rFonts w:ascii="Book Antiqua" w:hAnsi="Book Antiqua"/>
          <w:sz w:val="24"/>
          <w:szCs w:val="24"/>
        </w:rPr>
        <w:t xml:space="preserve"> GM, </w:t>
      </w:r>
      <w:proofErr w:type="spellStart"/>
      <w:r w:rsidRPr="00CC6AEB">
        <w:rPr>
          <w:rFonts w:ascii="Book Antiqua" w:hAnsi="Book Antiqua"/>
          <w:sz w:val="24"/>
          <w:szCs w:val="24"/>
        </w:rPr>
        <w:t>Calise</w:t>
      </w:r>
      <w:proofErr w:type="spellEnd"/>
      <w:r w:rsidRPr="00CC6AEB">
        <w:rPr>
          <w:rFonts w:ascii="Book Antiqua" w:hAnsi="Book Antiqua"/>
          <w:sz w:val="24"/>
          <w:szCs w:val="24"/>
        </w:rPr>
        <w:t xml:space="preserve"> F, Cuomo O, </w:t>
      </w:r>
      <w:proofErr w:type="spellStart"/>
      <w:r w:rsidRPr="00CC6AEB">
        <w:rPr>
          <w:rFonts w:ascii="Book Antiqua" w:hAnsi="Book Antiqua"/>
          <w:sz w:val="24"/>
          <w:szCs w:val="24"/>
        </w:rPr>
        <w:t>Ascione</w:t>
      </w:r>
      <w:proofErr w:type="spellEnd"/>
      <w:r w:rsidRPr="00CC6AEB">
        <w:rPr>
          <w:rFonts w:ascii="Book Antiqua" w:hAnsi="Book Antiqua"/>
          <w:sz w:val="24"/>
          <w:szCs w:val="24"/>
        </w:rPr>
        <w:t xml:space="preserve"> A. Sustained virological response to antiviral therapy reduces mortality in HCV </w:t>
      </w:r>
      <w:r w:rsidRPr="00CC6AEB">
        <w:rPr>
          <w:rFonts w:ascii="Book Antiqua" w:hAnsi="Book Antiqua"/>
          <w:sz w:val="24"/>
          <w:szCs w:val="24"/>
        </w:rPr>
        <w:lastRenderedPageBreak/>
        <w:t xml:space="preserve">reinfection after liver transplantation. </w:t>
      </w:r>
      <w:r w:rsidRPr="00CC6AEB">
        <w:rPr>
          <w:rFonts w:ascii="Book Antiqua" w:hAnsi="Book Antiqua"/>
          <w:i/>
          <w:sz w:val="24"/>
          <w:szCs w:val="24"/>
        </w:rPr>
        <w:t>J Hepatol</w:t>
      </w:r>
      <w:r w:rsidRPr="00CC6AEB">
        <w:rPr>
          <w:rFonts w:ascii="Book Antiqua" w:hAnsi="Book Antiqua"/>
          <w:sz w:val="24"/>
          <w:szCs w:val="24"/>
        </w:rPr>
        <w:t xml:space="preserve"> 2007; </w:t>
      </w:r>
      <w:r w:rsidRPr="00CC6AEB">
        <w:rPr>
          <w:rFonts w:ascii="Book Antiqua" w:hAnsi="Book Antiqua"/>
          <w:b/>
          <w:sz w:val="24"/>
          <w:szCs w:val="24"/>
        </w:rPr>
        <w:t>46</w:t>
      </w:r>
      <w:r w:rsidRPr="00CC6AEB">
        <w:rPr>
          <w:rFonts w:ascii="Book Antiqua" w:hAnsi="Book Antiqua"/>
          <w:sz w:val="24"/>
          <w:szCs w:val="24"/>
        </w:rPr>
        <w:t>: 459-465 [PMID: 17196700 DOI: 10.1016/j.jhep.2006.10.017]</w:t>
      </w:r>
    </w:p>
    <w:p w14:paraId="7D6774DD"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9 </w:t>
      </w:r>
      <w:proofErr w:type="spellStart"/>
      <w:r w:rsidRPr="00CC6AEB">
        <w:rPr>
          <w:rFonts w:ascii="Book Antiqua" w:hAnsi="Book Antiqua"/>
          <w:b/>
          <w:sz w:val="24"/>
          <w:szCs w:val="24"/>
        </w:rPr>
        <w:t>Reig</w:t>
      </w:r>
      <w:proofErr w:type="spellEnd"/>
      <w:r w:rsidRPr="00CC6AEB">
        <w:rPr>
          <w:rFonts w:ascii="Book Antiqua" w:hAnsi="Book Antiqua"/>
          <w:b/>
          <w:sz w:val="24"/>
          <w:szCs w:val="24"/>
        </w:rPr>
        <w:t xml:space="preserve"> M</w:t>
      </w:r>
      <w:r w:rsidRPr="00CC6AEB">
        <w:rPr>
          <w:rFonts w:ascii="Book Antiqua" w:hAnsi="Book Antiqua"/>
          <w:sz w:val="24"/>
          <w:szCs w:val="24"/>
        </w:rPr>
        <w:t xml:space="preserve">, </w:t>
      </w:r>
      <w:proofErr w:type="spellStart"/>
      <w:r w:rsidRPr="00CC6AEB">
        <w:rPr>
          <w:rFonts w:ascii="Book Antiqua" w:hAnsi="Book Antiqua"/>
          <w:sz w:val="24"/>
          <w:szCs w:val="24"/>
        </w:rPr>
        <w:t>Mariño</w:t>
      </w:r>
      <w:proofErr w:type="spellEnd"/>
      <w:r w:rsidRPr="00CC6AEB">
        <w:rPr>
          <w:rFonts w:ascii="Book Antiqua" w:hAnsi="Book Antiqua"/>
          <w:sz w:val="24"/>
          <w:szCs w:val="24"/>
        </w:rPr>
        <w:t xml:space="preserve"> Z, </w:t>
      </w:r>
      <w:proofErr w:type="spellStart"/>
      <w:r w:rsidRPr="00CC6AEB">
        <w:rPr>
          <w:rFonts w:ascii="Book Antiqua" w:hAnsi="Book Antiqua"/>
          <w:sz w:val="24"/>
          <w:szCs w:val="24"/>
        </w:rPr>
        <w:t>Perelló</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Iñarrairaegui</w:t>
      </w:r>
      <w:proofErr w:type="spellEnd"/>
      <w:r w:rsidRPr="00CC6AEB">
        <w:rPr>
          <w:rFonts w:ascii="Book Antiqua" w:hAnsi="Book Antiqua"/>
          <w:sz w:val="24"/>
          <w:szCs w:val="24"/>
        </w:rPr>
        <w:t xml:space="preserve"> M, Ribeiro A, Lens S, Díaz A, </w:t>
      </w:r>
      <w:proofErr w:type="spellStart"/>
      <w:r w:rsidRPr="00CC6AEB">
        <w:rPr>
          <w:rFonts w:ascii="Book Antiqua" w:hAnsi="Book Antiqua"/>
          <w:sz w:val="24"/>
          <w:szCs w:val="24"/>
        </w:rPr>
        <w:t>Vilana</w:t>
      </w:r>
      <w:proofErr w:type="spellEnd"/>
      <w:r w:rsidRPr="00CC6AEB">
        <w:rPr>
          <w:rFonts w:ascii="Book Antiqua" w:hAnsi="Book Antiqua"/>
          <w:sz w:val="24"/>
          <w:szCs w:val="24"/>
        </w:rPr>
        <w:t xml:space="preserve"> R, Darnell A, Varela M, </w:t>
      </w:r>
      <w:proofErr w:type="spellStart"/>
      <w:r w:rsidRPr="00CC6AEB">
        <w:rPr>
          <w:rFonts w:ascii="Book Antiqua" w:hAnsi="Book Antiqua"/>
          <w:sz w:val="24"/>
          <w:szCs w:val="24"/>
        </w:rPr>
        <w:t>Sangro</w:t>
      </w:r>
      <w:proofErr w:type="spellEnd"/>
      <w:r w:rsidRPr="00CC6AEB">
        <w:rPr>
          <w:rFonts w:ascii="Book Antiqua" w:hAnsi="Book Antiqua"/>
          <w:sz w:val="24"/>
          <w:szCs w:val="24"/>
        </w:rPr>
        <w:t xml:space="preserve"> B, Calleja JL, </w:t>
      </w:r>
      <w:proofErr w:type="spellStart"/>
      <w:r w:rsidRPr="00CC6AEB">
        <w:rPr>
          <w:rFonts w:ascii="Book Antiqua" w:hAnsi="Book Antiqua"/>
          <w:sz w:val="24"/>
          <w:szCs w:val="24"/>
        </w:rPr>
        <w:t>Forns</w:t>
      </w:r>
      <w:proofErr w:type="spellEnd"/>
      <w:r w:rsidRPr="00CC6AEB">
        <w:rPr>
          <w:rFonts w:ascii="Book Antiqua" w:hAnsi="Book Antiqua"/>
          <w:sz w:val="24"/>
          <w:szCs w:val="24"/>
        </w:rPr>
        <w:t xml:space="preserve"> X, </w:t>
      </w:r>
      <w:proofErr w:type="spellStart"/>
      <w:r w:rsidRPr="00CC6AEB">
        <w:rPr>
          <w:rFonts w:ascii="Book Antiqua" w:hAnsi="Book Antiqua"/>
          <w:sz w:val="24"/>
          <w:szCs w:val="24"/>
        </w:rPr>
        <w:t>Bruix</w:t>
      </w:r>
      <w:proofErr w:type="spellEnd"/>
      <w:r w:rsidRPr="00CC6AEB">
        <w:rPr>
          <w:rFonts w:ascii="Book Antiqua" w:hAnsi="Book Antiqua"/>
          <w:sz w:val="24"/>
          <w:szCs w:val="24"/>
        </w:rPr>
        <w:t xml:space="preserve"> J. Unexpected high rate of early tumor recurrence in patients with HCV-related HCC undergoing interferon-free therapy. </w:t>
      </w:r>
      <w:r w:rsidRPr="00CC6AEB">
        <w:rPr>
          <w:rFonts w:ascii="Book Antiqua" w:hAnsi="Book Antiqua"/>
          <w:i/>
          <w:sz w:val="24"/>
          <w:szCs w:val="24"/>
        </w:rPr>
        <w:t>J Hepatol</w:t>
      </w:r>
      <w:r w:rsidRPr="00CC6AEB">
        <w:rPr>
          <w:rFonts w:ascii="Book Antiqua" w:hAnsi="Book Antiqua"/>
          <w:sz w:val="24"/>
          <w:szCs w:val="24"/>
        </w:rPr>
        <w:t xml:space="preserve"> 2016; </w:t>
      </w:r>
      <w:r w:rsidRPr="00CC6AEB">
        <w:rPr>
          <w:rFonts w:ascii="Book Antiqua" w:hAnsi="Book Antiqua"/>
          <w:b/>
          <w:sz w:val="24"/>
          <w:szCs w:val="24"/>
        </w:rPr>
        <w:t>65</w:t>
      </w:r>
      <w:r w:rsidRPr="00CC6AEB">
        <w:rPr>
          <w:rFonts w:ascii="Book Antiqua" w:hAnsi="Book Antiqua"/>
          <w:sz w:val="24"/>
          <w:szCs w:val="24"/>
        </w:rPr>
        <w:t>: 719-726 [PMID: 27084592 DOI: 10.1016/j.jhep.2016.04.008]</w:t>
      </w:r>
    </w:p>
    <w:p w14:paraId="04FB49AF"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10 </w:t>
      </w:r>
      <w:r w:rsidRPr="00CC6AEB">
        <w:rPr>
          <w:rFonts w:ascii="Book Antiqua" w:hAnsi="Book Antiqua"/>
          <w:b/>
          <w:sz w:val="24"/>
          <w:szCs w:val="24"/>
        </w:rPr>
        <w:t>Conti F</w:t>
      </w:r>
      <w:r w:rsidRPr="00CC6AEB">
        <w:rPr>
          <w:rFonts w:ascii="Book Antiqua" w:hAnsi="Book Antiqua"/>
          <w:sz w:val="24"/>
          <w:szCs w:val="24"/>
        </w:rPr>
        <w:t xml:space="preserve">, </w:t>
      </w:r>
      <w:proofErr w:type="spellStart"/>
      <w:r w:rsidRPr="00CC6AEB">
        <w:rPr>
          <w:rFonts w:ascii="Book Antiqua" w:hAnsi="Book Antiqua"/>
          <w:sz w:val="24"/>
          <w:szCs w:val="24"/>
        </w:rPr>
        <w:t>Buonfiglioli</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Scuteri</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Crespi</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Bolondi</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Caraceni</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Foschi</w:t>
      </w:r>
      <w:proofErr w:type="spellEnd"/>
      <w:r w:rsidRPr="00CC6AEB">
        <w:rPr>
          <w:rFonts w:ascii="Book Antiqua" w:hAnsi="Book Antiqua"/>
          <w:sz w:val="24"/>
          <w:szCs w:val="24"/>
        </w:rPr>
        <w:t xml:space="preserve"> FG, </w:t>
      </w:r>
      <w:proofErr w:type="spellStart"/>
      <w:r w:rsidRPr="00CC6AEB">
        <w:rPr>
          <w:rFonts w:ascii="Book Antiqua" w:hAnsi="Book Antiqua"/>
          <w:sz w:val="24"/>
          <w:szCs w:val="24"/>
        </w:rPr>
        <w:t>Lenzi</w:t>
      </w:r>
      <w:proofErr w:type="spellEnd"/>
      <w:r w:rsidRPr="00CC6AEB">
        <w:rPr>
          <w:rFonts w:ascii="Book Antiqua" w:hAnsi="Book Antiqua"/>
          <w:sz w:val="24"/>
          <w:szCs w:val="24"/>
        </w:rPr>
        <w:t xml:space="preserve"> M, Mazzella G, </w:t>
      </w:r>
      <w:proofErr w:type="spellStart"/>
      <w:r w:rsidRPr="00CC6AEB">
        <w:rPr>
          <w:rFonts w:ascii="Book Antiqua" w:hAnsi="Book Antiqua"/>
          <w:sz w:val="24"/>
          <w:szCs w:val="24"/>
        </w:rPr>
        <w:t>Verucchi</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Andreone</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Brillanti</w:t>
      </w:r>
      <w:proofErr w:type="spellEnd"/>
      <w:r w:rsidRPr="00CC6AEB">
        <w:rPr>
          <w:rFonts w:ascii="Book Antiqua" w:hAnsi="Book Antiqua"/>
          <w:sz w:val="24"/>
          <w:szCs w:val="24"/>
        </w:rPr>
        <w:t xml:space="preserve"> S. Early occurrence and recurrence of hepatocellular carcinoma in HCV-related cirrhosis treated with direct-acting antivirals. </w:t>
      </w:r>
      <w:r w:rsidRPr="00CC6AEB">
        <w:rPr>
          <w:rFonts w:ascii="Book Antiqua" w:hAnsi="Book Antiqua"/>
          <w:i/>
          <w:sz w:val="24"/>
          <w:szCs w:val="24"/>
        </w:rPr>
        <w:t>J Hepatol</w:t>
      </w:r>
      <w:r w:rsidRPr="00CC6AEB">
        <w:rPr>
          <w:rFonts w:ascii="Book Antiqua" w:hAnsi="Book Antiqua"/>
          <w:sz w:val="24"/>
          <w:szCs w:val="24"/>
        </w:rPr>
        <w:t xml:space="preserve"> 2016; </w:t>
      </w:r>
      <w:r w:rsidRPr="00CC6AEB">
        <w:rPr>
          <w:rFonts w:ascii="Book Antiqua" w:hAnsi="Book Antiqua"/>
          <w:b/>
          <w:sz w:val="24"/>
          <w:szCs w:val="24"/>
        </w:rPr>
        <w:t>65</w:t>
      </w:r>
      <w:r w:rsidRPr="00CC6AEB">
        <w:rPr>
          <w:rFonts w:ascii="Book Antiqua" w:hAnsi="Book Antiqua"/>
          <w:sz w:val="24"/>
          <w:szCs w:val="24"/>
        </w:rPr>
        <w:t>: 727-733 [PMID: 27349488 DOI: 10.1016/j.jhep.2016.06.015]</w:t>
      </w:r>
    </w:p>
    <w:p w14:paraId="37467ABE"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11 </w:t>
      </w:r>
      <w:r w:rsidRPr="00CC6AEB">
        <w:rPr>
          <w:rFonts w:ascii="Book Antiqua" w:hAnsi="Book Antiqua"/>
          <w:b/>
          <w:sz w:val="24"/>
          <w:szCs w:val="24"/>
        </w:rPr>
        <w:t>Kanwal F</w:t>
      </w:r>
      <w:r w:rsidRPr="00CC6AEB">
        <w:rPr>
          <w:rFonts w:ascii="Book Antiqua" w:hAnsi="Book Antiqua"/>
          <w:sz w:val="24"/>
          <w:szCs w:val="24"/>
        </w:rPr>
        <w:t xml:space="preserve">, Kramer J, Asch SM, </w:t>
      </w:r>
      <w:proofErr w:type="spellStart"/>
      <w:r w:rsidRPr="00CC6AEB">
        <w:rPr>
          <w:rFonts w:ascii="Book Antiqua" w:hAnsi="Book Antiqua"/>
          <w:sz w:val="24"/>
          <w:szCs w:val="24"/>
        </w:rPr>
        <w:t>Chayanupatkul</w:t>
      </w:r>
      <w:proofErr w:type="spellEnd"/>
      <w:r w:rsidRPr="00CC6AEB">
        <w:rPr>
          <w:rFonts w:ascii="Book Antiqua" w:hAnsi="Book Antiqua"/>
          <w:sz w:val="24"/>
          <w:szCs w:val="24"/>
        </w:rPr>
        <w:t xml:space="preserve"> M, Cao Y, El-</w:t>
      </w:r>
      <w:proofErr w:type="spellStart"/>
      <w:r w:rsidRPr="00CC6AEB">
        <w:rPr>
          <w:rFonts w:ascii="Book Antiqua" w:hAnsi="Book Antiqua"/>
          <w:sz w:val="24"/>
          <w:szCs w:val="24"/>
        </w:rPr>
        <w:t>Serag</w:t>
      </w:r>
      <w:proofErr w:type="spellEnd"/>
      <w:r w:rsidRPr="00CC6AEB">
        <w:rPr>
          <w:rFonts w:ascii="Book Antiqua" w:hAnsi="Book Antiqua"/>
          <w:sz w:val="24"/>
          <w:szCs w:val="24"/>
        </w:rPr>
        <w:t xml:space="preserve"> HB. Risk of Hepatocellular Cancer in HCV Patients Treated With Direct-Acting Antiviral Agents. </w:t>
      </w:r>
      <w:r w:rsidRPr="00CC6AEB">
        <w:rPr>
          <w:rFonts w:ascii="Book Antiqua" w:hAnsi="Book Antiqua"/>
          <w:i/>
          <w:sz w:val="24"/>
          <w:szCs w:val="24"/>
        </w:rPr>
        <w:t>Gastroenterology</w:t>
      </w:r>
      <w:r w:rsidRPr="00CC6AEB">
        <w:rPr>
          <w:rFonts w:ascii="Book Antiqua" w:hAnsi="Book Antiqua"/>
          <w:sz w:val="24"/>
          <w:szCs w:val="24"/>
        </w:rPr>
        <w:t xml:space="preserve"> 2017; </w:t>
      </w:r>
      <w:r w:rsidRPr="00CC6AEB">
        <w:rPr>
          <w:rFonts w:ascii="Book Antiqua" w:hAnsi="Book Antiqua"/>
          <w:b/>
          <w:sz w:val="24"/>
          <w:szCs w:val="24"/>
        </w:rPr>
        <w:t>153</w:t>
      </w:r>
      <w:r w:rsidRPr="00CC6AEB">
        <w:rPr>
          <w:rFonts w:ascii="Book Antiqua" w:hAnsi="Book Antiqua"/>
          <w:sz w:val="24"/>
          <w:szCs w:val="24"/>
        </w:rPr>
        <w:t>: 996-1005.e1 [PMID: 28642197 DOI: 10.1053/j.gastro.2017.06.012]</w:t>
      </w:r>
    </w:p>
    <w:p w14:paraId="25DF9F65" w14:textId="7B39BC50"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12 </w:t>
      </w:r>
      <w:r w:rsidRPr="00CC6AEB">
        <w:rPr>
          <w:rFonts w:ascii="Book Antiqua" w:hAnsi="Book Antiqua"/>
          <w:b/>
          <w:sz w:val="24"/>
          <w:szCs w:val="24"/>
        </w:rPr>
        <w:t xml:space="preserve">ANRS collaborative study group on hepatocellular carcinoma (ANRS CO22 HEPATHER, CO12 </w:t>
      </w:r>
      <w:proofErr w:type="spellStart"/>
      <w:r w:rsidRPr="00CC6AEB">
        <w:rPr>
          <w:rFonts w:ascii="Book Antiqua" w:hAnsi="Book Antiqua"/>
          <w:b/>
          <w:sz w:val="24"/>
          <w:szCs w:val="24"/>
        </w:rPr>
        <w:t>CirVir</w:t>
      </w:r>
      <w:proofErr w:type="spellEnd"/>
      <w:r w:rsidRPr="00CC6AEB">
        <w:rPr>
          <w:rFonts w:ascii="Book Antiqua" w:hAnsi="Book Antiqua"/>
          <w:b/>
          <w:sz w:val="24"/>
          <w:szCs w:val="24"/>
        </w:rPr>
        <w:t xml:space="preserve"> and CO23 CUPILT cohorts)</w:t>
      </w:r>
      <w:r w:rsidRPr="00321AEF">
        <w:rPr>
          <w:rFonts w:ascii="Book Antiqua" w:hAnsi="Book Antiqua"/>
          <w:sz w:val="24"/>
          <w:szCs w:val="24"/>
        </w:rPr>
        <w:t xml:space="preserve">. </w:t>
      </w:r>
      <w:r w:rsidRPr="00CC6AEB">
        <w:rPr>
          <w:rFonts w:ascii="Book Antiqua" w:hAnsi="Book Antiqua"/>
          <w:sz w:val="24"/>
          <w:szCs w:val="24"/>
        </w:rPr>
        <w:t xml:space="preserve">Lack of evidence of an effect of direct-acting antivirals on the recurrence of hepatocellular carcinoma: Data from three ANRS cohorts. </w:t>
      </w:r>
      <w:r w:rsidRPr="00CC6AEB">
        <w:rPr>
          <w:rFonts w:ascii="Book Antiqua" w:hAnsi="Book Antiqua"/>
          <w:i/>
          <w:sz w:val="24"/>
          <w:szCs w:val="24"/>
        </w:rPr>
        <w:t>J Hepatol</w:t>
      </w:r>
      <w:r w:rsidRPr="00CC6AEB">
        <w:rPr>
          <w:rFonts w:ascii="Book Antiqua" w:hAnsi="Book Antiqua"/>
          <w:sz w:val="24"/>
          <w:szCs w:val="24"/>
        </w:rPr>
        <w:t xml:space="preserve"> 2016; </w:t>
      </w:r>
      <w:r w:rsidRPr="00CC6AEB">
        <w:rPr>
          <w:rFonts w:ascii="Book Antiqua" w:hAnsi="Book Antiqua"/>
          <w:b/>
          <w:sz w:val="24"/>
          <w:szCs w:val="24"/>
        </w:rPr>
        <w:t>65</w:t>
      </w:r>
      <w:r w:rsidRPr="00CC6AEB">
        <w:rPr>
          <w:rFonts w:ascii="Book Antiqua" w:hAnsi="Book Antiqua"/>
          <w:sz w:val="24"/>
          <w:szCs w:val="24"/>
        </w:rPr>
        <w:t>: 734-740 [PMID: 27288051 DOI: 10.1016/j.jhep.2016.05.045]</w:t>
      </w:r>
    </w:p>
    <w:p w14:paraId="0EF2AD67"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13 </w:t>
      </w:r>
      <w:r w:rsidRPr="00CC6AEB">
        <w:rPr>
          <w:rFonts w:ascii="Book Antiqua" w:hAnsi="Book Antiqua"/>
          <w:b/>
          <w:sz w:val="24"/>
          <w:szCs w:val="24"/>
        </w:rPr>
        <w:t>Saxena V</w:t>
      </w:r>
      <w:r w:rsidRPr="00CC6AEB">
        <w:rPr>
          <w:rFonts w:ascii="Book Antiqua" w:hAnsi="Book Antiqua"/>
          <w:sz w:val="24"/>
          <w:szCs w:val="24"/>
        </w:rPr>
        <w:t xml:space="preserve">, </w:t>
      </w:r>
      <w:proofErr w:type="spellStart"/>
      <w:r w:rsidRPr="00CC6AEB">
        <w:rPr>
          <w:rFonts w:ascii="Book Antiqua" w:hAnsi="Book Antiqua"/>
          <w:sz w:val="24"/>
          <w:szCs w:val="24"/>
        </w:rPr>
        <w:t>Khungar</w:t>
      </w:r>
      <w:proofErr w:type="spellEnd"/>
      <w:r w:rsidRPr="00CC6AEB">
        <w:rPr>
          <w:rFonts w:ascii="Book Antiqua" w:hAnsi="Book Antiqua"/>
          <w:sz w:val="24"/>
          <w:szCs w:val="24"/>
        </w:rPr>
        <w:t xml:space="preserve"> V, Verna EC, </w:t>
      </w:r>
      <w:proofErr w:type="spellStart"/>
      <w:r w:rsidRPr="00CC6AEB">
        <w:rPr>
          <w:rFonts w:ascii="Book Antiqua" w:hAnsi="Book Antiqua"/>
          <w:sz w:val="24"/>
          <w:szCs w:val="24"/>
        </w:rPr>
        <w:t>Levitsky</w:t>
      </w:r>
      <w:proofErr w:type="spellEnd"/>
      <w:r w:rsidRPr="00CC6AEB">
        <w:rPr>
          <w:rFonts w:ascii="Book Antiqua" w:hAnsi="Book Antiqua"/>
          <w:sz w:val="24"/>
          <w:szCs w:val="24"/>
        </w:rPr>
        <w:t xml:space="preserve"> J, Brown RS Jr, Hassan MA, </w:t>
      </w:r>
      <w:proofErr w:type="spellStart"/>
      <w:r w:rsidRPr="00CC6AEB">
        <w:rPr>
          <w:rFonts w:ascii="Book Antiqua" w:hAnsi="Book Antiqua"/>
          <w:sz w:val="24"/>
          <w:szCs w:val="24"/>
        </w:rPr>
        <w:t>Sulkowski</w:t>
      </w:r>
      <w:proofErr w:type="spellEnd"/>
      <w:r w:rsidRPr="00CC6AEB">
        <w:rPr>
          <w:rFonts w:ascii="Book Antiqua" w:hAnsi="Book Antiqua"/>
          <w:sz w:val="24"/>
          <w:szCs w:val="24"/>
        </w:rPr>
        <w:t xml:space="preserve"> MS, O'Leary JG, </w:t>
      </w:r>
      <w:proofErr w:type="spellStart"/>
      <w:r w:rsidRPr="00CC6AEB">
        <w:rPr>
          <w:rFonts w:ascii="Book Antiqua" w:hAnsi="Book Antiqua"/>
          <w:sz w:val="24"/>
          <w:szCs w:val="24"/>
        </w:rPr>
        <w:t>Koraishy</w:t>
      </w:r>
      <w:proofErr w:type="spellEnd"/>
      <w:r w:rsidRPr="00CC6AEB">
        <w:rPr>
          <w:rFonts w:ascii="Book Antiqua" w:hAnsi="Book Antiqua"/>
          <w:sz w:val="24"/>
          <w:szCs w:val="24"/>
        </w:rPr>
        <w:t xml:space="preserve"> F, Galati JS, </w:t>
      </w:r>
      <w:proofErr w:type="spellStart"/>
      <w:r w:rsidRPr="00CC6AEB">
        <w:rPr>
          <w:rFonts w:ascii="Book Antiqua" w:hAnsi="Book Antiqua"/>
          <w:sz w:val="24"/>
          <w:szCs w:val="24"/>
        </w:rPr>
        <w:t>Kuo</w:t>
      </w:r>
      <w:proofErr w:type="spellEnd"/>
      <w:r w:rsidRPr="00CC6AEB">
        <w:rPr>
          <w:rFonts w:ascii="Book Antiqua" w:hAnsi="Book Antiqua"/>
          <w:sz w:val="24"/>
          <w:szCs w:val="24"/>
        </w:rPr>
        <w:t xml:space="preserve"> AA, </w:t>
      </w:r>
      <w:proofErr w:type="spellStart"/>
      <w:r w:rsidRPr="00CC6AEB">
        <w:rPr>
          <w:rFonts w:ascii="Book Antiqua" w:hAnsi="Book Antiqua"/>
          <w:sz w:val="24"/>
          <w:szCs w:val="24"/>
        </w:rPr>
        <w:t>Vainorius</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Akushevich</w:t>
      </w:r>
      <w:proofErr w:type="spellEnd"/>
      <w:r w:rsidRPr="00CC6AEB">
        <w:rPr>
          <w:rFonts w:ascii="Book Antiqua" w:hAnsi="Book Antiqua"/>
          <w:sz w:val="24"/>
          <w:szCs w:val="24"/>
        </w:rPr>
        <w:t xml:space="preserve"> L, Nelson DR, Fried MW,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 Reddy KR. Safety and efficacy of current direct-acting antiviral regimens in kidney and liver transplant recipients with hepatitis C: Results from the HCV-TARGET study. </w:t>
      </w:r>
      <w:r w:rsidRPr="00CC6AEB">
        <w:rPr>
          <w:rFonts w:ascii="Book Antiqua" w:hAnsi="Book Antiqua"/>
          <w:i/>
          <w:sz w:val="24"/>
          <w:szCs w:val="24"/>
        </w:rPr>
        <w:t>Hepatology</w:t>
      </w:r>
      <w:r w:rsidRPr="00CC6AEB">
        <w:rPr>
          <w:rFonts w:ascii="Book Antiqua" w:hAnsi="Book Antiqua"/>
          <w:sz w:val="24"/>
          <w:szCs w:val="24"/>
        </w:rPr>
        <w:t xml:space="preserve"> 2017; </w:t>
      </w:r>
      <w:r w:rsidRPr="00CC6AEB">
        <w:rPr>
          <w:rFonts w:ascii="Book Antiqua" w:hAnsi="Book Antiqua"/>
          <w:b/>
          <w:sz w:val="24"/>
          <w:szCs w:val="24"/>
        </w:rPr>
        <w:t>66</w:t>
      </w:r>
      <w:r w:rsidRPr="00CC6AEB">
        <w:rPr>
          <w:rFonts w:ascii="Book Antiqua" w:hAnsi="Book Antiqua"/>
          <w:sz w:val="24"/>
          <w:szCs w:val="24"/>
        </w:rPr>
        <w:t>: 1090-1101 [PMID: 28504842 DOI: 10.1002/hep.29258]</w:t>
      </w:r>
    </w:p>
    <w:p w14:paraId="0EF2F561"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14 </w:t>
      </w:r>
      <w:r w:rsidRPr="00CC6AEB">
        <w:rPr>
          <w:rFonts w:ascii="Book Antiqua" w:hAnsi="Book Antiqua"/>
          <w:b/>
          <w:sz w:val="24"/>
          <w:szCs w:val="24"/>
        </w:rPr>
        <w:t>Kwok RM</w:t>
      </w:r>
      <w:r w:rsidRPr="00CC6AEB">
        <w:rPr>
          <w:rFonts w:ascii="Book Antiqua" w:hAnsi="Book Antiqua"/>
          <w:sz w:val="24"/>
          <w:szCs w:val="24"/>
        </w:rPr>
        <w:t xml:space="preserve">, </w:t>
      </w:r>
      <w:proofErr w:type="spellStart"/>
      <w:r w:rsidRPr="00CC6AEB">
        <w:rPr>
          <w:rFonts w:ascii="Book Antiqua" w:hAnsi="Book Antiqua"/>
          <w:sz w:val="24"/>
          <w:szCs w:val="24"/>
        </w:rPr>
        <w:t>Ahn</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Schiano</w:t>
      </w:r>
      <w:proofErr w:type="spellEnd"/>
      <w:r w:rsidRPr="00CC6AEB">
        <w:rPr>
          <w:rFonts w:ascii="Book Antiqua" w:hAnsi="Book Antiqua"/>
          <w:sz w:val="24"/>
          <w:szCs w:val="24"/>
        </w:rPr>
        <w:t xml:space="preserve"> TD, </w:t>
      </w:r>
      <w:proofErr w:type="spellStart"/>
      <w:r w:rsidRPr="00CC6AEB">
        <w:rPr>
          <w:rFonts w:ascii="Book Antiqua" w:hAnsi="Book Antiqua"/>
          <w:sz w:val="24"/>
          <w:szCs w:val="24"/>
        </w:rPr>
        <w:t>Te</w:t>
      </w:r>
      <w:proofErr w:type="spellEnd"/>
      <w:r w:rsidRPr="00CC6AEB">
        <w:rPr>
          <w:rFonts w:ascii="Book Antiqua" w:hAnsi="Book Antiqua"/>
          <w:sz w:val="24"/>
          <w:szCs w:val="24"/>
        </w:rPr>
        <w:t xml:space="preserve"> HS, </w:t>
      </w:r>
      <w:proofErr w:type="spellStart"/>
      <w:r w:rsidRPr="00CC6AEB">
        <w:rPr>
          <w:rFonts w:ascii="Book Antiqua" w:hAnsi="Book Antiqua"/>
          <w:sz w:val="24"/>
          <w:szCs w:val="24"/>
        </w:rPr>
        <w:t>Potosky</w:t>
      </w:r>
      <w:proofErr w:type="spellEnd"/>
      <w:r w:rsidRPr="00CC6AEB">
        <w:rPr>
          <w:rFonts w:ascii="Book Antiqua" w:hAnsi="Book Antiqua"/>
          <w:sz w:val="24"/>
          <w:szCs w:val="24"/>
        </w:rPr>
        <w:t xml:space="preserve"> DR, Tierney A, </w:t>
      </w:r>
      <w:proofErr w:type="spellStart"/>
      <w:r w:rsidRPr="00CC6AEB">
        <w:rPr>
          <w:rFonts w:ascii="Book Antiqua" w:hAnsi="Book Antiqua"/>
          <w:sz w:val="24"/>
          <w:szCs w:val="24"/>
        </w:rPr>
        <w:t>Satoskar</w:t>
      </w:r>
      <w:proofErr w:type="spellEnd"/>
      <w:r w:rsidRPr="00CC6AEB">
        <w:rPr>
          <w:rFonts w:ascii="Book Antiqua" w:hAnsi="Book Antiqua"/>
          <w:sz w:val="24"/>
          <w:szCs w:val="24"/>
        </w:rPr>
        <w:t xml:space="preserve"> R, </w:t>
      </w:r>
      <w:proofErr w:type="spellStart"/>
      <w:r w:rsidRPr="00CC6AEB">
        <w:rPr>
          <w:rFonts w:ascii="Book Antiqua" w:hAnsi="Book Antiqua"/>
          <w:sz w:val="24"/>
          <w:szCs w:val="24"/>
        </w:rPr>
        <w:t>Robertazzi</w:t>
      </w:r>
      <w:proofErr w:type="spellEnd"/>
      <w:r w:rsidRPr="00CC6AEB">
        <w:rPr>
          <w:rFonts w:ascii="Book Antiqua" w:hAnsi="Book Antiqua"/>
          <w:sz w:val="24"/>
          <w:szCs w:val="24"/>
        </w:rPr>
        <w:t xml:space="preserve"> S, </w:t>
      </w:r>
      <w:proofErr w:type="spellStart"/>
      <w:r w:rsidRPr="00CC6AEB">
        <w:rPr>
          <w:rFonts w:ascii="Book Antiqua" w:hAnsi="Book Antiqua"/>
          <w:sz w:val="24"/>
          <w:szCs w:val="24"/>
        </w:rPr>
        <w:t>Rodigas</w:t>
      </w:r>
      <w:proofErr w:type="spellEnd"/>
      <w:r w:rsidRPr="00CC6AEB">
        <w:rPr>
          <w:rFonts w:ascii="Book Antiqua" w:hAnsi="Book Antiqua"/>
          <w:sz w:val="24"/>
          <w:szCs w:val="24"/>
        </w:rPr>
        <w:t xml:space="preserve"> C, Lee Sang M, </w:t>
      </w:r>
      <w:proofErr w:type="spellStart"/>
      <w:r w:rsidRPr="00CC6AEB">
        <w:rPr>
          <w:rFonts w:ascii="Book Antiqua" w:hAnsi="Book Antiqua"/>
          <w:sz w:val="24"/>
          <w:szCs w:val="24"/>
        </w:rPr>
        <w:t>Wiegel</w:t>
      </w:r>
      <w:proofErr w:type="spellEnd"/>
      <w:r w:rsidRPr="00CC6AEB">
        <w:rPr>
          <w:rFonts w:ascii="Book Antiqua" w:hAnsi="Book Antiqua"/>
          <w:sz w:val="24"/>
          <w:szCs w:val="24"/>
        </w:rPr>
        <w:t xml:space="preserve"> J, Patel N, </w:t>
      </w:r>
      <w:proofErr w:type="spellStart"/>
      <w:r w:rsidRPr="00CC6AEB">
        <w:rPr>
          <w:rFonts w:ascii="Book Antiqua" w:hAnsi="Book Antiqua"/>
          <w:sz w:val="24"/>
          <w:szCs w:val="24"/>
        </w:rPr>
        <w:t>Gripshover</w:t>
      </w:r>
      <w:proofErr w:type="spellEnd"/>
      <w:r w:rsidRPr="00CC6AEB">
        <w:rPr>
          <w:rFonts w:ascii="Book Antiqua" w:hAnsi="Book Antiqua"/>
          <w:sz w:val="24"/>
          <w:szCs w:val="24"/>
        </w:rPr>
        <w:t xml:space="preserve"> J, Hassan MA, Branch A, Smith CI. Sofosbuvir plus </w:t>
      </w:r>
      <w:proofErr w:type="spellStart"/>
      <w:r w:rsidRPr="00CC6AEB">
        <w:rPr>
          <w:rFonts w:ascii="Book Antiqua" w:hAnsi="Book Antiqua"/>
          <w:sz w:val="24"/>
          <w:szCs w:val="24"/>
        </w:rPr>
        <w:t>ledispasvir</w:t>
      </w:r>
      <w:proofErr w:type="spellEnd"/>
      <w:r w:rsidRPr="00CC6AEB">
        <w:rPr>
          <w:rFonts w:ascii="Book Antiqua" w:hAnsi="Book Antiqua"/>
          <w:sz w:val="24"/>
          <w:szCs w:val="24"/>
        </w:rPr>
        <w:t xml:space="preserve"> for recurrent hepatitis C in liver </w:t>
      </w:r>
      <w:r w:rsidRPr="00CC6AEB">
        <w:rPr>
          <w:rFonts w:ascii="Book Antiqua" w:hAnsi="Book Antiqua"/>
          <w:sz w:val="24"/>
          <w:szCs w:val="24"/>
        </w:rPr>
        <w:lastRenderedPageBreak/>
        <w:t xml:space="preserve">transplant recipients. </w:t>
      </w:r>
      <w:r w:rsidRPr="00CC6AEB">
        <w:rPr>
          <w:rFonts w:ascii="Book Antiqua" w:hAnsi="Book Antiqua"/>
          <w:i/>
          <w:sz w:val="24"/>
          <w:szCs w:val="24"/>
        </w:rPr>
        <w:t xml:space="preserve">Liver </w:t>
      </w:r>
      <w:proofErr w:type="spellStart"/>
      <w:r w:rsidRPr="00CC6AEB">
        <w:rPr>
          <w:rFonts w:ascii="Book Antiqua" w:hAnsi="Book Antiqua"/>
          <w:i/>
          <w:sz w:val="24"/>
          <w:szCs w:val="24"/>
        </w:rPr>
        <w:t>Transpl</w:t>
      </w:r>
      <w:proofErr w:type="spellEnd"/>
      <w:r w:rsidRPr="00CC6AEB">
        <w:rPr>
          <w:rFonts w:ascii="Book Antiqua" w:hAnsi="Book Antiqua"/>
          <w:sz w:val="24"/>
          <w:szCs w:val="24"/>
        </w:rPr>
        <w:t xml:space="preserve"> 2016; </w:t>
      </w:r>
      <w:r w:rsidRPr="00CC6AEB">
        <w:rPr>
          <w:rFonts w:ascii="Book Antiqua" w:hAnsi="Book Antiqua"/>
          <w:b/>
          <w:sz w:val="24"/>
          <w:szCs w:val="24"/>
        </w:rPr>
        <w:t>22</w:t>
      </w:r>
      <w:r w:rsidRPr="00CC6AEB">
        <w:rPr>
          <w:rFonts w:ascii="Book Antiqua" w:hAnsi="Book Antiqua"/>
          <w:sz w:val="24"/>
          <w:szCs w:val="24"/>
        </w:rPr>
        <w:t>: 1536-1543 [PMID: 27543748 DOI: 10.1002/lt.24614]</w:t>
      </w:r>
    </w:p>
    <w:p w14:paraId="19BC3D1E"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15 </w:t>
      </w:r>
      <w:r w:rsidRPr="00CC6AEB">
        <w:rPr>
          <w:rFonts w:ascii="Book Antiqua" w:hAnsi="Book Antiqua"/>
          <w:b/>
          <w:sz w:val="24"/>
          <w:szCs w:val="24"/>
        </w:rPr>
        <w:t>Brown RS Jr</w:t>
      </w:r>
      <w:r w:rsidRPr="00CC6AEB">
        <w:rPr>
          <w:rFonts w:ascii="Book Antiqua" w:hAnsi="Book Antiqua"/>
          <w:sz w:val="24"/>
          <w:szCs w:val="24"/>
        </w:rPr>
        <w:t xml:space="preserve">, O'Leary JG, Reddy KR, </w:t>
      </w:r>
      <w:proofErr w:type="spellStart"/>
      <w:r w:rsidRPr="00CC6AEB">
        <w:rPr>
          <w:rFonts w:ascii="Book Antiqua" w:hAnsi="Book Antiqua"/>
          <w:sz w:val="24"/>
          <w:szCs w:val="24"/>
        </w:rPr>
        <w:t>Kuo</w:t>
      </w:r>
      <w:proofErr w:type="spellEnd"/>
      <w:r w:rsidRPr="00CC6AEB">
        <w:rPr>
          <w:rFonts w:ascii="Book Antiqua" w:hAnsi="Book Antiqua"/>
          <w:sz w:val="24"/>
          <w:szCs w:val="24"/>
        </w:rPr>
        <w:t xml:space="preserve"> A, Morelli GJ, Burton JR </w:t>
      </w:r>
      <w:proofErr w:type="spellStart"/>
      <w:r w:rsidRPr="00CC6AEB">
        <w:rPr>
          <w:rFonts w:ascii="Book Antiqua" w:hAnsi="Book Antiqua"/>
          <w:sz w:val="24"/>
          <w:szCs w:val="24"/>
        </w:rPr>
        <w:t>Jr</w:t>
      </w:r>
      <w:proofErr w:type="spellEnd"/>
      <w:r w:rsidRPr="00CC6AEB">
        <w:rPr>
          <w:rFonts w:ascii="Book Antiqua" w:hAnsi="Book Antiqua"/>
          <w:sz w:val="24"/>
          <w:szCs w:val="24"/>
        </w:rPr>
        <w:t xml:space="preserve">, </w:t>
      </w:r>
      <w:proofErr w:type="spellStart"/>
      <w:r w:rsidRPr="00CC6AEB">
        <w:rPr>
          <w:rFonts w:ascii="Book Antiqua" w:hAnsi="Book Antiqua"/>
          <w:sz w:val="24"/>
          <w:szCs w:val="24"/>
        </w:rPr>
        <w:t>Stravitz</w:t>
      </w:r>
      <w:proofErr w:type="spellEnd"/>
      <w:r w:rsidRPr="00CC6AEB">
        <w:rPr>
          <w:rFonts w:ascii="Book Antiqua" w:hAnsi="Book Antiqua"/>
          <w:sz w:val="24"/>
          <w:szCs w:val="24"/>
        </w:rPr>
        <w:t xml:space="preserve"> RT, Durand C, Di </w:t>
      </w:r>
      <w:proofErr w:type="spellStart"/>
      <w:r w:rsidRPr="00CC6AEB">
        <w:rPr>
          <w:rFonts w:ascii="Book Antiqua" w:hAnsi="Book Antiqua"/>
          <w:sz w:val="24"/>
          <w:szCs w:val="24"/>
        </w:rPr>
        <w:t>Bisceglie</w:t>
      </w:r>
      <w:proofErr w:type="spellEnd"/>
      <w:r w:rsidRPr="00CC6AEB">
        <w:rPr>
          <w:rFonts w:ascii="Book Antiqua" w:hAnsi="Book Antiqua"/>
          <w:sz w:val="24"/>
          <w:szCs w:val="24"/>
        </w:rPr>
        <w:t xml:space="preserve"> AM, </w:t>
      </w:r>
      <w:proofErr w:type="spellStart"/>
      <w:r w:rsidRPr="00CC6AEB">
        <w:rPr>
          <w:rFonts w:ascii="Book Antiqua" w:hAnsi="Book Antiqua"/>
          <w:sz w:val="24"/>
          <w:szCs w:val="24"/>
        </w:rPr>
        <w:t>Kwo</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Frenette</w:t>
      </w:r>
      <w:proofErr w:type="spellEnd"/>
      <w:r w:rsidRPr="00CC6AEB">
        <w:rPr>
          <w:rFonts w:ascii="Book Antiqua" w:hAnsi="Book Antiqua"/>
          <w:sz w:val="24"/>
          <w:szCs w:val="24"/>
        </w:rPr>
        <w:t xml:space="preserve"> CT, Stewart TG, Nelson DR, Fried MW,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NA; Hepatitis C Therapeutic Registry Research Network Study Group. Interferon-free therapy for genotype 1 hepatitis C in liver transplant recipients: Real-world experience from the hepatitis C therapeutic registry and research network. </w:t>
      </w:r>
      <w:r w:rsidRPr="00CC6AEB">
        <w:rPr>
          <w:rFonts w:ascii="Book Antiqua" w:hAnsi="Book Antiqua"/>
          <w:i/>
          <w:sz w:val="24"/>
          <w:szCs w:val="24"/>
        </w:rPr>
        <w:t xml:space="preserve">Liver </w:t>
      </w:r>
      <w:proofErr w:type="spellStart"/>
      <w:r w:rsidRPr="00CC6AEB">
        <w:rPr>
          <w:rFonts w:ascii="Book Antiqua" w:hAnsi="Book Antiqua"/>
          <w:i/>
          <w:sz w:val="24"/>
          <w:szCs w:val="24"/>
        </w:rPr>
        <w:t>Transpl</w:t>
      </w:r>
      <w:proofErr w:type="spellEnd"/>
      <w:r w:rsidRPr="00CC6AEB">
        <w:rPr>
          <w:rFonts w:ascii="Book Antiqua" w:hAnsi="Book Antiqua"/>
          <w:sz w:val="24"/>
          <w:szCs w:val="24"/>
        </w:rPr>
        <w:t xml:space="preserve"> 2016; </w:t>
      </w:r>
      <w:r w:rsidRPr="00CC6AEB">
        <w:rPr>
          <w:rFonts w:ascii="Book Antiqua" w:hAnsi="Book Antiqua"/>
          <w:b/>
          <w:sz w:val="24"/>
          <w:szCs w:val="24"/>
        </w:rPr>
        <w:t>22</w:t>
      </w:r>
      <w:r w:rsidRPr="00CC6AEB">
        <w:rPr>
          <w:rFonts w:ascii="Book Antiqua" w:hAnsi="Book Antiqua"/>
          <w:sz w:val="24"/>
          <w:szCs w:val="24"/>
        </w:rPr>
        <w:t>: 24-33 [PMID: 26519873 DOI: 10.1002/lt.24366]</w:t>
      </w:r>
    </w:p>
    <w:p w14:paraId="6581682F"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16 </w:t>
      </w:r>
      <w:proofErr w:type="spellStart"/>
      <w:r w:rsidRPr="00CC6AEB">
        <w:rPr>
          <w:rFonts w:ascii="Book Antiqua" w:hAnsi="Book Antiqua"/>
          <w:b/>
          <w:sz w:val="24"/>
          <w:szCs w:val="24"/>
        </w:rPr>
        <w:t>Prenner</w:t>
      </w:r>
      <w:proofErr w:type="spellEnd"/>
      <w:r w:rsidRPr="00CC6AEB">
        <w:rPr>
          <w:rFonts w:ascii="Book Antiqua" w:hAnsi="Book Antiqua"/>
          <w:b/>
          <w:sz w:val="24"/>
          <w:szCs w:val="24"/>
        </w:rPr>
        <w:t xml:space="preserve"> SB</w:t>
      </w:r>
      <w:r w:rsidRPr="00CC6AEB">
        <w:rPr>
          <w:rFonts w:ascii="Book Antiqua" w:hAnsi="Book Antiqua"/>
          <w:sz w:val="24"/>
          <w:szCs w:val="24"/>
        </w:rPr>
        <w:t xml:space="preserve">, </w:t>
      </w:r>
      <w:proofErr w:type="spellStart"/>
      <w:r w:rsidRPr="00CC6AEB">
        <w:rPr>
          <w:rFonts w:ascii="Book Antiqua" w:hAnsi="Book Antiqua"/>
          <w:sz w:val="24"/>
          <w:szCs w:val="24"/>
        </w:rPr>
        <w:t>VanWagner</w:t>
      </w:r>
      <w:proofErr w:type="spellEnd"/>
      <w:r w:rsidRPr="00CC6AEB">
        <w:rPr>
          <w:rFonts w:ascii="Book Antiqua" w:hAnsi="Book Antiqua"/>
          <w:sz w:val="24"/>
          <w:szCs w:val="24"/>
        </w:rPr>
        <w:t xml:space="preserve"> LB, Flamm SL, Salem R, Lewandowski RJ, Kulik L. Hepatocellular carcinoma decreases the chance of successful hepatitis C virus therapy with direct-acting antivirals. </w:t>
      </w:r>
      <w:r w:rsidRPr="00CC6AEB">
        <w:rPr>
          <w:rFonts w:ascii="Book Antiqua" w:hAnsi="Book Antiqua"/>
          <w:i/>
          <w:sz w:val="24"/>
          <w:szCs w:val="24"/>
        </w:rPr>
        <w:t>J Hepatol</w:t>
      </w:r>
      <w:r w:rsidRPr="00CC6AEB">
        <w:rPr>
          <w:rFonts w:ascii="Book Antiqua" w:hAnsi="Book Antiqua"/>
          <w:sz w:val="24"/>
          <w:szCs w:val="24"/>
        </w:rPr>
        <w:t xml:space="preserve"> 2017; </w:t>
      </w:r>
      <w:r w:rsidRPr="00CC6AEB">
        <w:rPr>
          <w:rFonts w:ascii="Book Antiqua" w:hAnsi="Book Antiqua"/>
          <w:b/>
          <w:sz w:val="24"/>
          <w:szCs w:val="24"/>
        </w:rPr>
        <w:t>66</w:t>
      </w:r>
      <w:r w:rsidRPr="00CC6AEB">
        <w:rPr>
          <w:rFonts w:ascii="Book Antiqua" w:hAnsi="Book Antiqua"/>
          <w:sz w:val="24"/>
          <w:szCs w:val="24"/>
        </w:rPr>
        <w:t>: 1173-1181 [PMID: 28161470 DOI: 10.1016/j.jhep.2017.01.020]</w:t>
      </w:r>
    </w:p>
    <w:p w14:paraId="3086CD6F"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17 </w:t>
      </w:r>
      <w:r w:rsidRPr="00CC6AEB">
        <w:rPr>
          <w:rFonts w:ascii="Book Antiqua" w:hAnsi="Book Antiqua"/>
          <w:b/>
          <w:sz w:val="24"/>
          <w:szCs w:val="24"/>
        </w:rPr>
        <w:t>Radhakrishnan K</w:t>
      </w:r>
      <w:r w:rsidRPr="00CC6AEB">
        <w:rPr>
          <w:rFonts w:ascii="Book Antiqua" w:hAnsi="Book Antiqua"/>
          <w:sz w:val="24"/>
          <w:szCs w:val="24"/>
        </w:rPr>
        <w:t xml:space="preserve">, Di </w:t>
      </w:r>
      <w:proofErr w:type="spellStart"/>
      <w:r w:rsidRPr="00CC6AEB">
        <w:rPr>
          <w:rFonts w:ascii="Book Antiqua" w:hAnsi="Book Antiqua"/>
          <w:sz w:val="24"/>
          <w:szCs w:val="24"/>
        </w:rPr>
        <w:t>Bisceglie</w:t>
      </w:r>
      <w:proofErr w:type="spellEnd"/>
      <w:r w:rsidRPr="00CC6AEB">
        <w:rPr>
          <w:rFonts w:ascii="Book Antiqua" w:hAnsi="Book Antiqua"/>
          <w:sz w:val="24"/>
          <w:szCs w:val="24"/>
        </w:rPr>
        <w:t xml:space="preserve"> AM, Reddy KR, Lim JK, </w:t>
      </w:r>
      <w:proofErr w:type="spellStart"/>
      <w:r w:rsidRPr="00CC6AEB">
        <w:rPr>
          <w:rFonts w:ascii="Book Antiqua" w:hAnsi="Book Antiqua"/>
          <w:sz w:val="24"/>
          <w:szCs w:val="24"/>
        </w:rPr>
        <w:t>Levitsky</w:t>
      </w:r>
      <w:proofErr w:type="spellEnd"/>
      <w:r w:rsidRPr="00CC6AEB">
        <w:rPr>
          <w:rFonts w:ascii="Book Antiqua" w:hAnsi="Book Antiqua"/>
          <w:sz w:val="24"/>
          <w:szCs w:val="24"/>
        </w:rPr>
        <w:t xml:space="preserve"> J, Hassan MA, Darling JM, Feld JJ, </w:t>
      </w:r>
      <w:proofErr w:type="spellStart"/>
      <w:r w:rsidRPr="00CC6AEB">
        <w:rPr>
          <w:rFonts w:ascii="Book Antiqua" w:hAnsi="Book Antiqua"/>
          <w:sz w:val="24"/>
          <w:szCs w:val="24"/>
        </w:rPr>
        <w:t>Akushevich</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Vainorius</w:t>
      </w:r>
      <w:proofErr w:type="spellEnd"/>
      <w:r w:rsidRPr="00CC6AEB">
        <w:rPr>
          <w:rFonts w:ascii="Book Antiqua" w:hAnsi="Book Antiqua"/>
          <w:sz w:val="24"/>
          <w:szCs w:val="24"/>
        </w:rPr>
        <w:t xml:space="preserve"> M, Nelson DR, Fried MW, Brown RS Jr,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NA. Treatment Status of Hepatocellular Carcinoma Does Not Influence Rates of Sustained Virologic Response: An HCV-TARGET Analysis. </w:t>
      </w:r>
      <w:proofErr w:type="spellStart"/>
      <w:r w:rsidRPr="00CC6AEB">
        <w:rPr>
          <w:rFonts w:ascii="Book Antiqua" w:hAnsi="Book Antiqua"/>
          <w:i/>
          <w:sz w:val="24"/>
          <w:szCs w:val="24"/>
        </w:rPr>
        <w:t>Hepatol</w:t>
      </w:r>
      <w:proofErr w:type="spellEnd"/>
      <w:r w:rsidRPr="00CC6AEB">
        <w:rPr>
          <w:rFonts w:ascii="Book Antiqua" w:hAnsi="Book Antiqua"/>
          <w:i/>
          <w:sz w:val="24"/>
          <w:szCs w:val="24"/>
        </w:rPr>
        <w:t xml:space="preserve"> </w:t>
      </w:r>
      <w:proofErr w:type="spellStart"/>
      <w:r w:rsidRPr="00CC6AEB">
        <w:rPr>
          <w:rFonts w:ascii="Book Antiqua" w:hAnsi="Book Antiqua"/>
          <w:i/>
          <w:sz w:val="24"/>
          <w:szCs w:val="24"/>
        </w:rPr>
        <w:t>Commun</w:t>
      </w:r>
      <w:proofErr w:type="spellEnd"/>
      <w:r w:rsidRPr="00CC6AEB">
        <w:rPr>
          <w:rFonts w:ascii="Book Antiqua" w:hAnsi="Book Antiqua"/>
          <w:sz w:val="24"/>
          <w:szCs w:val="24"/>
        </w:rPr>
        <w:t xml:space="preserve"> 2019; </w:t>
      </w:r>
      <w:r w:rsidRPr="00CC6AEB">
        <w:rPr>
          <w:rFonts w:ascii="Book Antiqua" w:hAnsi="Book Antiqua"/>
          <w:b/>
          <w:sz w:val="24"/>
          <w:szCs w:val="24"/>
        </w:rPr>
        <w:t>3</w:t>
      </w:r>
      <w:r w:rsidRPr="00CC6AEB">
        <w:rPr>
          <w:rFonts w:ascii="Book Antiqua" w:hAnsi="Book Antiqua"/>
          <w:sz w:val="24"/>
          <w:szCs w:val="24"/>
        </w:rPr>
        <w:t>: 1388-1399 [PMID: 31592494 DOI: 10.1002/hep4.1412]</w:t>
      </w:r>
    </w:p>
    <w:p w14:paraId="3E83E68D"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18 </w:t>
      </w:r>
      <w:r w:rsidRPr="00CC6AEB">
        <w:rPr>
          <w:rFonts w:ascii="Book Antiqua" w:hAnsi="Book Antiqua"/>
          <w:b/>
          <w:sz w:val="24"/>
          <w:szCs w:val="24"/>
        </w:rPr>
        <w:t>van der Meer AJ</w:t>
      </w:r>
      <w:r w:rsidRPr="00CC6AEB">
        <w:rPr>
          <w:rFonts w:ascii="Book Antiqua" w:hAnsi="Book Antiqua"/>
          <w:sz w:val="24"/>
          <w:szCs w:val="24"/>
        </w:rPr>
        <w:t xml:space="preserve">, Veldt BJ, Feld JJ, </w:t>
      </w:r>
      <w:proofErr w:type="spellStart"/>
      <w:r w:rsidRPr="00CC6AEB">
        <w:rPr>
          <w:rFonts w:ascii="Book Antiqua" w:hAnsi="Book Antiqua"/>
          <w:sz w:val="24"/>
          <w:szCs w:val="24"/>
        </w:rPr>
        <w:t>Wedemeyer</w:t>
      </w:r>
      <w:proofErr w:type="spellEnd"/>
      <w:r w:rsidRPr="00CC6AEB">
        <w:rPr>
          <w:rFonts w:ascii="Book Antiqua" w:hAnsi="Book Antiqua"/>
          <w:sz w:val="24"/>
          <w:szCs w:val="24"/>
        </w:rPr>
        <w:t xml:space="preserve"> H, Dufour JF, </w:t>
      </w:r>
      <w:proofErr w:type="spellStart"/>
      <w:r w:rsidRPr="00CC6AEB">
        <w:rPr>
          <w:rFonts w:ascii="Book Antiqua" w:hAnsi="Book Antiqua"/>
          <w:sz w:val="24"/>
          <w:szCs w:val="24"/>
        </w:rPr>
        <w:t>Lammert</w:t>
      </w:r>
      <w:proofErr w:type="spellEnd"/>
      <w:r w:rsidRPr="00CC6AEB">
        <w:rPr>
          <w:rFonts w:ascii="Book Antiqua" w:hAnsi="Book Antiqua"/>
          <w:sz w:val="24"/>
          <w:szCs w:val="24"/>
        </w:rPr>
        <w:t xml:space="preserve"> F, Duarte-</w:t>
      </w:r>
      <w:proofErr w:type="spellStart"/>
      <w:r w:rsidRPr="00CC6AEB">
        <w:rPr>
          <w:rFonts w:ascii="Book Antiqua" w:hAnsi="Book Antiqua"/>
          <w:sz w:val="24"/>
          <w:szCs w:val="24"/>
        </w:rPr>
        <w:t>Rojo</w:t>
      </w:r>
      <w:proofErr w:type="spellEnd"/>
      <w:r w:rsidRPr="00CC6AEB">
        <w:rPr>
          <w:rFonts w:ascii="Book Antiqua" w:hAnsi="Book Antiqua"/>
          <w:sz w:val="24"/>
          <w:szCs w:val="24"/>
        </w:rPr>
        <w:t xml:space="preserve"> A, Heathcote EJ, </w:t>
      </w:r>
      <w:proofErr w:type="spellStart"/>
      <w:r w:rsidRPr="00CC6AEB">
        <w:rPr>
          <w:rFonts w:ascii="Book Antiqua" w:hAnsi="Book Antiqua"/>
          <w:sz w:val="24"/>
          <w:szCs w:val="24"/>
        </w:rPr>
        <w:t>Manns</w:t>
      </w:r>
      <w:proofErr w:type="spellEnd"/>
      <w:r w:rsidRPr="00CC6AEB">
        <w:rPr>
          <w:rFonts w:ascii="Book Antiqua" w:hAnsi="Book Antiqua"/>
          <w:sz w:val="24"/>
          <w:szCs w:val="24"/>
        </w:rPr>
        <w:t xml:space="preserve"> MP, </w:t>
      </w:r>
      <w:proofErr w:type="spellStart"/>
      <w:r w:rsidRPr="00CC6AEB">
        <w:rPr>
          <w:rFonts w:ascii="Book Antiqua" w:hAnsi="Book Antiqua"/>
          <w:sz w:val="24"/>
          <w:szCs w:val="24"/>
        </w:rPr>
        <w:t>Kuske</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Zeuzem</w:t>
      </w:r>
      <w:proofErr w:type="spellEnd"/>
      <w:r w:rsidRPr="00CC6AEB">
        <w:rPr>
          <w:rFonts w:ascii="Book Antiqua" w:hAnsi="Book Antiqua"/>
          <w:sz w:val="24"/>
          <w:szCs w:val="24"/>
        </w:rPr>
        <w:t xml:space="preserve"> S, Hofmann WP, de Knegt RJ, Hansen BE, Janssen HL. Association between sustained virological response and all-cause mortality among patients with chronic hepatitis C and advanced hepatic fibrosis. </w:t>
      </w:r>
      <w:r w:rsidRPr="00CC6AEB">
        <w:rPr>
          <w:rFonts w:ascii="Book Antiqua" w:hAnsi="Book Antiqua"/>
          <w:i/>
          <w:sz w:val="24"/>
          <w:szCs w:val="24"/>
        </w:rPr>
        <w:t>JAMA</w:t>
      </w:r>
      <w:r w:rsidRPr="00CC6AEB">
        <w:rPr>
          <w:rFonts w:ascii="Book Antiqua" w:hAnsi="Book Antiqua"/>
          <w:sz w:val="24"/>
          <w:szCs w:val="24"/>
        </w:rPr>
        <w:t xml:space="preserve"> 2012; </w:t>
      </w:r>
      <w:r w:rsidRPr="00CC6AEB">
        <w:rPr>
          <w:rFonts w:ascii="Book Antiqua" w:hAnsi="Book Antiqua"/>
          <w:b/>
          <w:sz w:val="24"/>
          <w:szCs w:val="24"/>
        </w:rPr>
        <w:t>308</w:t>
      </w:r>
      <w:r w:rsidRPr="00CC6AEB">
        <w:rPr>
          <w:rFonts w:ascii="Book Antiqua" w:hAnsi="Book Antiqua"/>
          <w:sz w:val="24"/>
          <w:szCs w:val="24"/>
        </w:rPr>
        <w:t>: 2584-2593 [PMID: 23268517 DOI: 10.1001/jama.2012.144878]</w:t>
      </w:r>
    </w:p>
    <w:p w14:paraId="65309725"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19 </w:t>
      </w:r>
      <w:r w:rsidRPr="00CC6AEB">
        <w:rPr>
          <w:rFonts w:ascii="Book Antiqua" w:hAnsi="Book Antiqua"/>
          <w:b/>
          <w:sz w:val="24"/>
          <w:szCs w:val="24"/>
        </w:rPr>
        <w:t>Hollande C</w:t>
      </w:r>
      <w:r w:rsidRPr="00CC6AEB">
        <w:rPr>
          <w:rFonts w:ascii="Book Antiqua" w:hAnsi="Book Antiqua"/>
          <w:sz w:val="24"/>
          <w:szCs w:val="24"/>
        </w:rPr>
        <w:t>, Pol S. Editorial: reciprocal interaction between HCV direct-acting anti-</w:t>
      </w:r>
      <w:proofErr w:type="spellStart"/>
      <w:r w:rsidRPr="00CC6AEB">
        <w:rPr>
          <w:rFonts w:ascii="Book Antiqua" w:hAnsi="Book Antiqua"/>
          <w:sz w:val="24"/>
          <w:szCs w:val="24"/>
        </w:rPr>
        <w:t>virals</w:t>
      </w:r>
      <w:proofErr w:type="spellEnd"/>
      <w:r w:rsidRPr="00CC6AEB">
        <w:rPr>
          <w:rFonts w:ascii="Book Antiqua" w:hAnsi="Book Antiqua"/>
          <w:sz w:val="24"/>
          <w:szCs w:val="24"/>
        </w:rPr>
        <w:t xml:space="preserve"> (DAA) and hepatocellular carcinoma (HCC)-a negative impact of HCC on sustained virologic response not of DAA on HCC. </w:t>
      </w:r>
      <w:r w:rsidRPr="00CC6AEB">
        <w:rPr>
          <w:rFonts w:ascii="Book Antiqua" w:hAnsi="Book Antiqua"/>
          <w:i/>
          <w:sz w:val="24"/>
          <w:szCs w:val="24"/>
        </w:rPr>
        <w:t xml:space="preserve">Aliment </w:t>
      </w:r>
      <w:proofErr w:type="spellStart"/>
      <w:r w:rsidRPr="00CC6AEB">
        <w:rPr>
          <w:rFonts w:ascii="Book Antiqua" w:hAnsi="Book Antiqua"/>
          <w:i/>
          <w:sz w:val="24"/>
          <w:szCs w:val="24"/>
        </w:rPr>
        <w:t>Pharmacol</w:t>
      </w:r>
      <w:proofErr w:type="spellEnd"/>
      <w:r w:rsidRPr="00CC6AEB">
        <w:rPr>
          <w:rFonts w:ascii="Book Antiqua" w:hAnsi="Book Antiqua"/>
          <w:i/>
          <w:sz w:val="24"/>
          <w:szCs w:val="24"/>
        </w:rPr>
        <w:t xml:space="preserve"> </w:t>
      </w:r>
      <w:proofErr w:type="spellStart"/>
      <w:r w:rsidRPr="00CC6AEB">
        <w:rPr>
          <w:rFonts w:ascii="Book Antiqua" w:hAnsi="Book Antiqua"/>
          <w:i/>
          <w:sz w:val="24"/>
          <w:szCs w:val="24"/>
        </w:rPr>
        <w:t>Ther</w:t>
      </w:r>
      <w:proofErr w:type="spellEnd"/>
      <w:r w:rsidRPr="00CC6AEB">
        <w:rPr>
          <w:rFonts w:ascii="Book Antiqua" w:hAnsi="Book Antiqua"/>
          <w:sz w:val="24"/>
          <w:szCs w:val="24"/>
        </w:rPr>
        <w:t xml:space="preserve"> 2019; </w:t>
      </w:r>
      <w:r w:rsidRPr="00CC6AEB">
        <w:rPr>
          <w:rFonts w:ascii="Book Antiqua" w:hAnsi="Book Antiqua"/>
          <w:b/>
          <w:sz w:val="24"/>
          <w:szCs w:val="24"/>
        </w:rPr>
        <w:t>50</w:t>
      </w:r>
      <w:r w:rsidRPr="00CC6AEB">
        <w:rPr>
          <w:rFonts w:ascii="Book Antiqua" w:hAnsi="Book Antiqua"/>
          <w:sz w:val="24"/>
          <w:szCs w:val="24"/>
        </w:rPr>
        <w:t>: 227-228 [PMID: 31246364 DOI: 10.1111/apt.15328]</w:t>
      </w:r>
    </w:p>
    <w:p w14:paraId="1423642D"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20 </w:t>
      </w:r>
      <w:proofErr w:type="spellStart"/>
      <w:r w:rsidRPr="00CC6AEB">
        <w:rPr>
          <w:rFonts w:ascii="Book Antiqua" w:hAnsi="Book Antiqua"/>
          <w:b/>
          <w:sz w:val="24"/>
          <w:szCs w:val="24"/>
        </w:rPr>
        <w:t>Mariño</w:t>
      </w:r>
      <w:proofErr w:type="spellEnd"/>
      <w:r w:rsidRPr="00CC6AEB">
        <w:rPr>
          <w:rFonts w:ascii="Book Antiqua" w:hAnsi="Book Antiqua"/>
          <w:b/>
          <w:sz w:val="24"/>
          <w:szCs w:val="24"/>
        </w:rPr>
        <w:t xml:space="preserve"> Z</w:t>
      </w:r>
      <w:r w:rsidRPr="00CC6AEB">
        <w:rPr>
          <w:rFonts w:ascii="Book Antiqua" w:hAnsi="Book Antiqua"/>
          <w:sz w:val="24"/>
          <w:szCs w:val="24"/>
        </w:rPr>
        <w:t xml:space="preserve">, Darnell A, Lens S, </w:t>
      </w:r>
      <w:proofErr w:type="spellStart"/>
      <w:r w:rsidRPr="00CC6AEB">
        <w:rPr>
          <w:rFonts w:ascii="Book Antiqua" w:hAnsi="Book Antiqua"/>
          <w:sz w:val="24"/>
          <w:szCs w:val="24"/>
        </w:rPr>
        <w:t>Sapena</w:t>
      </w:r>
      <w:proofErr w:type="spellEnd"/>
      <w:r w:rsidRPr="00CC6AEB">
        <w:rPr>
          <w:rFonts w:ascii="Book Antiqua" w:hAnsi="Book Antiqua"/>
          <w:sz w:val="24"/>
          <w:szCs w:val="24"/>
        </w:rPr>
        <w:t xml:space="preserve"> V, Díaz A, Belmonte E, </w:t>
      </w:r>
      <w:proofErr w:type="spellStart"/>
      <w:r w:rsidRPr="00CC6AEB">
        <w:rPr>
          <w:rFonts w:ascii="Book Antiqua" w:hAnsi="Book Antiqua"/>
          <w:sz w:val="24"/>
          <w:szCs w:val="24"/>
        </w:rPr>
        <w:t>Perelló</w:t>
      </w:r>
      <w:proofErr w:type="spellEnd"/>
      <w:r w:rsidRPr="00CC6AEB">
        <w:rPr>
          <w:rFonts w:ascii="Book Antiqua" w:hAnsi="Book Antiqua"/>
          <w:sz w:val="24"/>
          <w:szCs w:val="24"/>
        </w:rPr>
        <w:t xml:space="preserve"> C, Calleja JL, Varela M, Rodriguez M, Rodriguez de Lope C, </w:t>
      </w:r>
      <w:proofErr w:type="spellStart"/>
      <w:r w:rsidRPr="00CC6AEB">
        <w:rPr>
          <w:rFonts w:ascii="Book Antiqua" w:hAnsi="Book Antiqua"/>
          <w:sz w:val="24"/>
          <w:szCs w:val="24"/>
        </w:rPr>
        <w:t>Llerena</w:t>
      </w:r>
      <w:proofErr w:type="spellEnd"/>
      <w:r w:rsidRPr="00CC6AEB">
        <w:rPr>
          <w:rFonts w:ascii="Book Antiqua" w:hAnsi="Book Antiqua"/>
          <w:sz w:val="24"/>
          <w:szCs w:val="24"/>
        </w:rPr>
        <w:t xml:space="preserve"> S, </w:t>
      </w:r>
      <w:proofErr w:type="spellStart"/>
      <w:r w:rsidRPr="00CC6AEB">
        <w:rPr>
          <w:rFonts w:ascii="Book Antiqua" w:hAnsi="Book Antiqua"/>
          <w:sz w:val="24"/>
          <w:szCs w:val="24"/>
        </w:rPr>
        <w:t>Torras</w:t>
      </w:r>
      <w:proofErr w:type="spellEnd"/>
      <w:r w:rsidRPr="00CC6AEB">
        <w:rPr>
          <w:rFonts w:ascii="Book Antiqua" w:hAnsi="Book Antiqua"/>
          <w:sz w:val="24"/>
          <w:szCs w:val="24"/>
        </w:rPr>
        <w:t xml:space="preserve"> X, Gallego A, </w:t>
      </w:r>
      <w:r w:rsidRPr="00CC6AEB">
        <w:rPr>
          <w:rFonts w:ascii="Book Antiqua" w:hAnsi="Book Antiqua"/>
          <w:sz w:val="24"/>
          <w:szCs w:val="24"/>
        </w:rPr>
        <w:lastRenderedPageBreak/>
        <w:t xml:space="preserve">Sala M, </w:t>
      </w:r>
      <w:proofErr w:type="spellStart"/>
      <w:r w:rsidRPr="00CC6AEB">
        <w:rPr>
          <w:rFonts w:ascii="Book Antiqua" w:hAnsi="Book Antiqua"/>
          <w:sz w:val="24"/>
          <w:szCs w:val="24"/>
        </w:rPr>
        <w:t>Morillas</w:t>
      </w:r>
      <w:proofErr w:type="spellEnd"/>
      <w:r w:rsidRPr="00CC6AEB">
        <w:rPr>
          <w:rFonts w:ascii="Book Antiqua" w:hAnsi="Book Antiqua"/>
          <w:sz w:val="24"/>
          <w:szCs w:val="24"/>
        </w:rPr>
        <w:t xml:space="preserve"> RM, </w:t>
      </w:r>
      <w:proofErr w:type="spellStart"/>
      <w:r w:rsidRPr="00CC6AEB">
        <w:rPr>
          <w:rFonts w:ascii="Book Antiqua" w:hAnsi="Book Antiqua"/>
          <w:sz w:val="24"/>
          <w:szCs w:val="24"/>
        </w:rPr>
        <w:t>Minguez</w:t>
      </w:r>
      <w:proofErr w:type="spellEnd"/>
      <w:r w:rsidRPr="00CC6AEB">
        <w:rPr>
          <w:rFonts w:ascii="Book Antiqua" w:hAnsi="Book Antiqua"/>
          <w:sz w:val="24"/>
          <w:szCs w:val="24"/>
        </w:rPr>
        <w:t xml:space="preserve"> B, </w:t>
      </w:r>
      <w:proofErr w:type="spellStart"/>
      <w:r w:rsidRPr="00CC6AEB">
        <w:rPr>
          <w:rFonts w:ascii="Book Antiqua" w:hAnsi="Book Antiqua"/>
          <w:sz w:val="24"/>
          <w:szCs w:val="24"/>
        </w:rPr>
        <w:t>Llaneras</w:t>
      </w:r>
      <w:proofErr w:type="spellEnd"/>
      <w:r w:rsidRPr="00CC6AEB">
        <w:rPr>
          <w:rFonts w:ascii="Book Antiqua" w:hAnsi="Book Antiqua"/>
          <w:sz w:val="24"/>
          <w:szCs w:val="24"/>
        </w:rPr>
        <w:t xml:space="preserve"> J, Coll S, Carrion JA, </w:t>
      </w:r>
      <w:proofErr w:type="spellStart"/>
      <w:r w:rsidRPr="00CC6AEB">
        <w:rPr>
          <w:rFonts w:ascii="Book Antiqua" w:hAnsi="Book Antiqua"/>
          <w:sz w:val="24"/>
          <w:szCs w:val="24"/>
        </w:rPr>
        <w:t>Iñarrairaegui</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Sangro</w:t>
      </w:r>
      <w:proofErr w:type="spellEnd"/>
      <w:r w:rsidRPr="00CC6AEB">
        <w:rPr>
          <w:rFonts w:ascii="Book Antiqua" w:hAnsi="Book Antiqua"/>
          <w:sz w:val="24"/>
          <w:szCs w:val="24"/>
        </w:rPr>
        <w:t xml:space="preserve"> B, </w:t>
      </w:r>
      <w:proofErr w:type="spellStart"/>
      <w:r w:rsidRPr="00CC6AEB">
        <w:rPr>
          <w:rFonts w:ascii="Book Antiqua" w:hAnsi="Book Antiqua"/>
          <w:sz w:val="24"/>
          <w:szCs w:val="24"/>
        </w:rPr>
        <w:t>Vilana</w:t>
      </w:r>
      <w:proofErr w:type="spellEnd"/>
      <w:r w:rsidRPr="00CC6AEB">
        <w:rPr>
          <w:rFonts w:ascii="Book Antiqua" w:hAnsi="Book Antiqua"/>
          <w:sz w:val="24"/>
          <w:szCs w:val="24"/>
        </w:rPr>
        <w:t xml:space="preserve"> R, Sole M, </w:t>
      </w:r>
      <w:proofErr w:type="spellStart"/>
      <w:r w:rsidRPr="00CC6AEB">
        <w:rPr>
          <w:rFonts w:ascii="Book Antiqua" w:hAnsi="Book Antiqua"/>
          <w:sz w:val="24"/>
          <w:szCs w:val="24"/>
        </w:rPr>
        <w:t>Ayuso</w:t>
      </w:r>
      <w:proofErr w:type="spellEnd"/>
      <w:r w:rsidRPr="00CC6AEB">
        <w:rPr>
          <w:rFonts w:ascii="Book Antiqua" w:hAnsi="Book Antiqua"/>
          <w:sz w:val="24"/>
          <w:szCs w:val="24"/>
        </w:rPr>
        <w:t xml:space="preserve"> C, Ríos J, </w:t>
      </w:r>
      <w:proofErr w:type="spellStart"/>
      <w:r w:rsidRPr="00CC6AEB">
        <w:rPr>
          <w:rFonts w:ascii="Book Antiqua" w:hAnsi="Book Antiqua"/>
          <w:sz w:val="24"/>
          <w:szCs w:val="24"/>
        </w:rPr>
        <w:t>Forns</w:t>
      </w:r>
      <w:proofErr w:type="spellEnd"/>
      <w:r w:rsidRPr="00CC6AEB">
        <w:rPr>
          <w:rFonts w:ascii="Book Antiqua" w:hAnsi="Book Antiqua"/>
          <w:sz w:val="24"/>
          <w:szCs w:val="24"/>
        </w:rPr>
        <w:t xml:space="preserve"> X, </w:t>
      </w:r>
      <w:proofErr w:type="spellStart"/>
      <w:r w:rsidRPr="00CC6AEB">
        <w:rPr>
          <w:rFonts w:ascii="Book Antiqua" w:hAnsi="Book Antiqua"/>
          <w:sz w:val="24"/>
          <w:szCs w:val="24"/>
        </w:rPr>
        <w:t>Bruix</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Reig</w:t>
      </w:r>
      <w:proofErr w:type="spellEnd"/>
      <w:r w:rsidRPr="00CC6AEB">
        <w:rPr>
          <w:rFonts w:ascii="Book Antiqua" w:hAnsi="Book Antiqua"/>
          <w:sz w:val="24"/>
          <w:szCs w:val="24"/>
        </w:rPr>
        <w:t xml:space="preserve"> M. Time association between hepatitis C therapy and hepatocellular carcinoma emergence in cirrhosis: Relevance of non-characterized nodules. </w:t>
      </w:r>
      <w:r w:rsidRPr="00CC6AEB">
        <w:rPr>
          <w:rFonts w:ascii="Book Antiqua" w:hAnsi="Book Antiqua"/>
          <w:i/>
          <w:sz w:val="24"/>
          <w:szCs w:val="24"/>
        </w:rPr>
        <w:t>J Hepatol</w:t>
      </w:r>
      <w:r w:rsidRPr="00CC6AEB">
        <w:rPr>
          <w:rFonts w:ascii="Book Antiqua" w:hAnsi="Book Antiqua"/>
          <w:sz w:val="24"/>
          <w:szCs w:val="24"/>
        </w:rPr>
        <w:t xml:space="preserve"> 2019; </w:t>
      </w:r>
      <w:r w:rsidRPr="00CC6AEB">
        <w:rPr>
          <w:rFonts w:ascii="Book Antiqua" w:hAnsi="Book Antiqua"/>
          <w:b/>
          <w:sz w:val="24"/>
          <w:szCs w:val="24"/>
        </w:rPr>
        <w:t>70</w:t>
      </w:r>
      <w:r w:rsidRPr="00CC6AEB">
        <w:rPr>
          <w:rFonts w:ascii="Book Antiqua" w:hAnsi="Book Antiqua"/>
          <w:sz w:val="24"/>
          <w:szCs w:val="24"/>
        </w:rPr>
        <w:t>: 874-884 [PMID: 30684506 DOI: 10.1016/j.jhep.2019.01.005]</w:t>
      </w:r>
    </w:p>
    <w:p w14:paraId="2CC6BDE2"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21 </w:t>
      </w:r>
      <w:r w:rsidRPr="00CC6AEB">
        <w:rPr>
          <w:rFonts w:ascii="Book Antiqua" w:hAnsi="Book Antiqua"/>
          <w:b/>
          <w:sz w:val="24"/>
          <w:szCs w:val="24"/>
        </w:rPr>
        <w:t>Pol S</w:t>
      </w:r>
      <w:r w:rsidRPr="00CC6AEB">
        <w:rPr>
          <w:rFonts w:ascii="Book Antiqua" w:hAnsi="Book Antiqua"/>
          <w:sz w:val="24"/>
          <w:szCs w:val="24"/>
        </w:rPr>
        <w:t xml:space="preserve">, Fontaine H, </w:t>
      </w:r>
      <w:proofErr w:type="spellStart"/>
      <w:r w:rsidRPr="00CC6AEB">
        <w:rPr>
          <w:rFonts w:ascii="Book Antiqua" w:hAnsi="Book Antiqua"/>
          <w:sz w:val="24"/>
          <w:szCs w:val="24"/>
        </w:rPr>
        <w:t>Carrat</w:t>
      </w:r>
      <w:proofErr w:type="spellEnd"/>
      <w:r w:rsidRPr="00CC6AEB">
        <w:rPr>
          <w:rFonts w:ascii="Book Antiqua" w:hAnsi="Book Antiqua"/>
          <w:sz w:val="24"/>
          <w:szCs w:val="24"/>
        </w:rPr>
        <w:t xml:space="preserve"> F; on the behalf of the ANRS/AFEF </w:t>
      </w:r>
      <w:proofErr w:type="spellStart"/>
      <w:r w:rsidRPr="00CC6AEB">
        <w:rPr>
          <w:rFonts w:ascii="Book Antiqua" w:hAnsi="Book Antiqua"/>
          <w:sz w:val="24"/>
          <w:szCs w:val="24"/>
        </w:rPr>
        <w:t>Hepather</w:t>
      </w:r>
      <w:proofErr w:type="spellEnd"/>
      <w:r w:rsidRPr="00CC6AEB">
        <w:rPr>
          <w:rFonts w:ascii="Book Antiqua" w:hAnsi="Book Antiqua"/>
          <w:sz w:val="24"/>
          <w:szCs w:val="24"/>
        </w:rPr>
        <w:t xml:space="preserve"> Study group. Time association between hepatitis C therapy and hepatocellular carcinoma emergence in cirrhosis: Relevance of non-characterized nodules - A response. </w:t>
      </w:r>
      <w:r w:rsidRPr="00CC6AEB">
        <w:rPr>
          <w:rFonts w:ascii="Book Antiqua" w:hAnsi="Book Antiqua"/>
          <w:i/>
          <w:sz w:val="24"/>
          <w:szCs w:val="24"/>
        </w:rPr>
        <w:t>J Hepatol</w:t>
      </w:r>
      <w:r w:rsidRPr="00CC6AEB">
        <w:rPr>
          <w:rFonts w:ascii="Book Antiqua" w:hAnsi="Book Antiqua"/>
          <w:sz w:val="24"/>
          <w:szCs w:val="24"/>
        </w:rPr>
        <w:t xml:space="preserve"> 2019; </w:t>
      </w:r>
      <w:r w:rsidRPr="00CC6AEB">
        <w:rPr>
          <w:rFonts w:ascii="Book Antiqua" w:hAnsi="Book Antiqua"/>
          <w:b/>
          <w:sz w:val="24"/>
          <w:szCs w:val="24"/>
        </w:rPr>
        <w:t>71</w:t>
      </w:r>
      <w:r w:rsidRPr="00CC6AEB">
        <w:rPr>
          <w:rFonts w:ascii="Book Antiqua" w:hAnsi="Book Antiqua"/>
          <w:sz w:val="24"/>
          <w:szCs w:val="24"/>
        </w:rPr>
        <w:t>: 446 [PMID: 31130438 DOI: 10.1016/j.jhep.2019.02.025]</w:t>
      </w:r>
    </w:p>
    <w:p w14:paraId="5F6F4F08"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22 </w:t>
      </w:r>
      <w:proofErr w:type="spellStart"/>
      <w:r w:rsidRPr="00CC6AEB">
        <w:rPr>
          <w:rFonts w:ascii="Book Antiqua" w:hAnsi="Book Antiqua"/>
          <w:b/>
          <w:sz w:val="24"/>
          <w:szCs w:val="24"/>
        </w:rPr>
        <w:t>Debes</w:t>
      </w:r>
      <w:proofErr w:type="spellEnd"/>
      <w:r w:rsidRPr="00CC6AEB">
        <w:rPr>
          <w:rFonts w:ascii="Book Antiqua" w:hAnsi="Book Antiqua"/>
          <w:b/>
          <w:sz w:val="24"/>
          <w:szCs w:val="24"/>
        </w:rPr>
        <w:t xml:space="preserve"> JD</w:t>
      </w:r>
      <w:r w:rsidRPr="00CC6AEB">
        <w:rPr>
          <w:rFonts w:ascii="Book Antiqua" w:hAnsi="Book Antiqua"/>
          <w:sz w:val="24"/>
          <w:szCs w:val="24"/>
        </w:rPr>
        <w:t xml:space="preserve">, van </w:t>
      </w:r>
      <w:proofErr w:type="spellStart"/>
      <w:r w:rsidRPr="00CC6AEB">
        <w:rPr>
          <w:rFonts w:ascii="Book Antiqua" w:hAnsi="Book Antiqua"/>
          <w:sz w:val="24"/>
          <w:szCs w:val="24"/>
        </w:rPr>
        <w:t>Tilborg</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Groothuismink</w:t>
      </w:r>
      <w:proofErr w:type="spellEnd"/>
      <w:r w:rsidRPr="00CC6AEB">
        <w:rPr>
          <w:rFonts w:ascii="Book Antiqua" w:hAnsi="Book Antiqua"/>
          <w:sz w:val="24"/>
          <w:szCs w:val="24"/>
        </w:rPr>
        <w:t xml:space="preserve"> ZMA, Hansen BE, Schulze </w:t>
      </w:r>
      <w:proofErr w:type="spellStart"/>
      <w:r w:rsidRPr="00CC6AEB">
        <w:rPr>
          <w:rFonts w:ascii="Book Antiqua" w:hAnsi="Book Antiqua"/>
          <w:sz w:val="24"/>
          <w:szCs w:val="24"/>
        </w:rPr>
        <w:t>Zur</w:t>
      </w:r>
      <w:proofErr w:type="spellEnd"/>
      <w:r w:rsidRPr="00CC6AEB">
        <w:rPr>
          <w:rFonts w:ascii="Book Antiqua" w:hAnsi="Book Antiqua"/>
          <w:sz w:val="24"/>
          <w:szCs w:val="24"/>
        </w:rPr>
        <w:t xml:space="preserve"> </w:t>
      </w:r>
      <w:proofErr w:type="spellStart"/>
      <w:r w:rsidRPr="00CC6AEB">
        <w:rPr>
          <w:rFonts w:ascii="Book Antiqua" w:hAnsi="Book Antiqua"/>
          <w:sz w:val="24"/>
          <w:szCs w:val="24"/>
        </w:rPr>
        <w:t>Wiesch</w:t>
      </w:r>
      <w:proofErr w:type="spellEnd"/>
      <w:r w:rsidRPr="00CC6AEB">
        <w:rPr>
          <w:rFonts w:ascii="Book Antiqua" w:hAnsi="Book Antiqua"/>
          <w:sz w:val="24"/>
          <w:szCs w:val="24"/>
        </w:rPr>
        <w:t xml:space="preserve"> J, von </w:t>
      </w:r>
      <w:proofErr w:type="spellStart"/>
      <w:r w:rsidRPr="00CC6AEB">
        <w:rPr>
          <w:rFonts w:ascii="Book Antiqua" w:hAnsi="Book Antiqua"/>
          <w:sz w:val="24"/>
          <w:szCs w:val="24"/>
        </w:rPr>
        <w:t>Felden</w:t>
      </w:r>
      <w:proofErr w:type="spellEnd"/>
      <w:r w:rsidRPr="00CC6AEB">
        <w:rPr>
          <w:rFonts w:ascii="Book Antiqua" w:hAnsi="Book Antiqua"/>
          <w:sz w:val="24"/>
          <w:szCs w:val="24"/>
        </w:rPr>
        <w:t xml:space="preserve"> J, de </w:t>
      </w:r>
      <w:proofErr w:type="spellStart"/>
      <w:r w:rsidRPr="00CC6AEB">
        <w:rPr>
          <w:rFonts w:ascii="Book Antiqua" w:hAnsi="Book Antiqua"/>
          <w:sz w:val="24"/>
          <w:szCs w:val="24"/>
        </w:rPr>
        <w:t>Knegt</w:t>
      </w:r>
      <w:proofErr w:type="spellEnd"/>
      <w:r w:rsidRPr="00CC6AEB">
        <w:rPr>
          <w:rFonts w:ascii="Book Antiqua" w:hAnsi="Book Antiqua"/>
          <w:sz w:val="24"/>
          <w:szCs w:val="24"/>
        </w:rPr>
        <w:t xml:space="preserve"> RJ, </w:t>
      </w:r>
      <w:proofErr w:type="spellStart"/>
      <w:r w:rsidRPr="00CC6AEB">
        <w:rPr>
          <w:rFonts w:ascii="Book Antiqua" w:hAnsi="Book Antiqua"/>
          <w:sz w:val="24"/>
          <w:szCs w:val="24"/>
        </w:rPr>
        <w:t>Boonstra</w:t>
      </w:r>
      <w:proofErr w:type="spellEnd"/>
      <w:r w:rsidRPr="00CC6AEB">
        <w:rPr>
          <w:rFonts w:ascii="Book Antiqua" w:hAnsi="Book Antiqua"/>
          <w:sz w:val="24"/>
          <w:szCs w:val="24"/>
        </w:rPr>
        <w:t xml:space="preserve"> A. Levels of Cytokines in Serum Associate With Development of Hepatocellular Carcinoma in Patients With HCV Infection Treated With Direct-Acting Antivirals. </w:t>
      </w:r>
      <w:r w:rsidRPr="00CC6AEB">
        <w:rPr>
          <w:rFonts w:ascii="Book Antiqua" w:hAnsi="Book Antiqua"/>
          <w:i/>
          <w:sz w:val="24"/>
          <w:szCs w:val="24"/>
        </w:rPr>
        <w:t>Gastroenterology</w:t>
      </w:r>
      <w:r w:rsidRPr="00CC6AEB">
        <w:rPr>
          <w:rFonts w:ascii="Book Antiqua" w:hAnsi="Book Antiqua"/>
          <w:sz w:val="24"/>
          <w:szCs w:val="24"/>
        </w:rPr>
        <w:t xml:space="preserve"> 2018; </w:t>
      </w:r>
      <w:r w:rsidRPr="00CC6AEB">
        <w:rPr>
          <w:rFonts w:ascii="Book Antiqua" w:hAnsi="Book Antiqua"/>
          <w:b/>
          <w:sz w:val="24"/>
          <w:szCs w:val="24"/>
        </w:rPr>
        <w:t>154</w:t>
      </w:r>
      <w:r w:rsidRPr="00CC6AEB">
        <w:rPr>
          <w:rFonts w:ascii="Book Antiqua" w:hAnsi="Book Antiqua"/>
          <w:sz w:val="24"/>
          <w:szCs w:val="24"/>
        </w:rPr>
        <w:t>: 515-517.e3 [PMID: 29102620 DOI: 10.1053/j.gastro.2017.10.035]</w:t>
      </w:r>
    </w:p>
    <w:p w14:paraId="4C37CE22"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23 </w:t>
      </w:r>
      <w:proofErr w:type="spellStart"/>
      <w:r w:rsidRPr="00CC6AEB">
        <w:rPr>
          <w:rFonts w:ascii="Book Antiqua" w:hAnsi="Book Antiqua"/>
          <w:b/>
          <w:sz w:val="24"/>
          <w:szCs w:val="24"/>
        </w:rPr>
        <w:t>Faillaci</w:t>
      </w:r>
      <w:proofErr w:type="spellEnd"/>
      <w:r w:rsidRPr="00CC6AEB">
        <w:rPr>
          <w:rFonts w:ascii="Book Antiqua" w:hAnsi="Book Antiqua"/>
          <w:b/>
          <w:sz w:val="24"/>
          <w:szCs w:val="24"/>
        </w:rPr>
        <w:t xml:space="preserve"> F</w:t>
      </w:r>
      <w:r w:rsidRPr="00CC6AEB">
        <w:rPr>
          <w:rFonts w:ascii="Book Antiqua" w:hAnsi="Book Antiqua"/>
          <w:sz w:val="24"/>
          <w:szCs w:val="24"/>
        </w:rPr>
        <w:t xml:space="preserve">, </w:t>
      </w:r>
      <w:proofErr w:type="spellStart"/>
      <w:r w:rsidRPr="00CC6AEB">
        <w:rPr>
          <w:rFonts w:ascii="Book Antiqua" w:hAnsi="Book Antiqua"/>
          <w:sz w:val="24"/>
          <w:szCs w:val="24"/>
        </w:rPr>
        <w:t>Marzi</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Critelli</w:t>
      </w:r>
      <w:proofErr w:type="spellEnd"/>
      <w:r w:rsidRPr="00CC6AEB">
        <w:rPr>
          <w:rFonts w:ascii="Book Antiqua" w:hAnsi="Book Antiqua"/>
          <w:sz w:val="24"/>
          <w:szCs w:val="24"/>
        </w:rPr>
        <w:t xml:space="preserve"> R, </w:t>
      </w:r>
      <w:proofErr w:type="spellStart"/>
      <w:r w:rsidRPr="00CC6AEB">
        <w:rPr>
          <w:rFonts w:ascii="Book Antiqua" w:hAnsi="Book Antiqua"/>
          <w:sz w:val="24"/>
          <w:szCs w:val="24"/>
        </w:rPr>
        <w:t>Milosa</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Schepis</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Turola</w:t>
      </w:r>
      <w:proofErr w:type="spellEnd"/>
      <w:r w:rsidRPr="00CC6AEB">
        <w:rPr>
          <w:rFonts w:ascii="Book Antiqua" w:hAnsi="Book Antiqua"/>
          <w:sz w:val="24"/>
          <w:szCs w:val="24"/>
        </w:rPr>
        <w:t xml:space="preserve"> E, </w:t>
      </w:r>
      <w:proofErr w:type="spellStart"/>
      <w:r w:rsidRPr="00CC6AEB">
        <w:rPr>
          <w:rFonts w:ascii="Book Antiqua" w:hAnsi="Book Antiqua"/>
          <w:sz w:val="24"/>
          <w:szCs w:val="24"/>
        </w:rPr>
        <w:t>Andreani</w:t>
      </w:r>
      <w:proofErr w:type="spellEnd"/>
      <w:r w:rsidRPr="00CC6AEB">
        <w:rPr>
          <w:rFonts w:ascii="Book Antiqua" w:hAnsi="Book Antiqua"/>
          <w:sz w:val="24"/>
          <w:szCs w:val="24"/>
        </w:rPr>
        <w:t xml:space="preserve"> S, </w:t>
      </w:r>
      <w:proofErr w:type="spellStart"/>
      <w:r w:rsidRPr="00CC6AEB">
        <w:rPr>
          <w:rFonts w:ascii="Book Antiqua" w:hAnsi="Book Antiqua"/>
          <w:sz w:val="24"/>
          <w:szCs w:val="24"/>
        </w:rPr>
        <w:t>Vandelli</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Bernabucci</w:t>
      </w:r>
      <w:proofErr w:type="spellEnd"/>
      <w:r w:rsidRPr="00CC6AEB">
        <w:rPr>
          <w:rFonts w:ascii="Book Antiqua" w:hAnsi="Book Antiqua"/>
          <w:sz w:val="24"/>
          <w:szCs w:val="24"/>
        </w:rPr>
        <w:t xml:space="preserve"> V, Lei B, </w:t>
      </w:r>
      <w:proofErr w:type="spellStart"/>
      <w:r w:rsidRPr="00CC6AEB">
        <w:rPr>
          <w:rFonts w:ascii="Book Antiqua" w:hAnsi="Book Antiqua"/>
          <w:sz w:val="24"/>
          <w:szCs w:val="24"/>
        </w:rPr>
        <w:t>D'Ambrosio</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Bristot</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Cavalletto</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Chemello</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Sighinolfi</w:t>
      </w:r>
      <w:proofErr w:type="spellEnd"/>
      <w:r w:rsidRPr="00CC6AEB">
        <w:rPr>
          <w:rFonts w:ascii="Book Antiqua" w:hAnsi="Book Antiqua"/>
          <w:sz w:val="24"/>
          <w:szCs w:val="24"/>
        </w:rPr>
        <w:t xml:space="preserve"> P, Manni P, </w:t>
      </w:r>
      <w:proofErr w:type="spellStart"/>
      <w:r w:rsidRPr="00CC6AEB">
        <w:rPr>
          <w:rFonts w:ascii="Book Antiqua" w:hAnsi="Book Antiqua"/>
          <w:sz w:val="24"/>
          <w:szCs w:val="24"/>
        </w:rPr>
        <w:t>Maiorana</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Caporali</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Bianchini</w:t>
      </w:r>
      <w:proofErr w:type="spellEnd"/>
      <w:r w:rsidRPr="00CC6AEB">
        <w:rPr>
          <w:rFonts w:ascii="Book Antiqua" w:hAnsi="Book Antiqua"/>
          <w:sz w:val="24"/>
          <w:szCs w:val="24"/>
        </w:rPr>
        <w:t xml:space="preserve"> M, Marsico M, Turco L, de Maria N, Del </w:t>
      </w:r>
      <w:proofErr w:type="spellStart"/>
      <w:r w:rsidRPr="00CC6AEB">
        <w:rPr>
          <w:rFonts w:ascii="Book Antiqua" w:hAnsi="Book Antiqua"/>
          <w:sz w:val="24"/>
          <w:szCs w:val="24"/>
        </w:rPr>
        <w:t>Buono</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Todesca</w:t>
      </w:r>
      <w:proofErr w:type="spellEnd"/>
      <w:r w:rsidRPr="00CC6AEB">
        <w:rPr>
          <w:rFonts w:ascii="Book Antiqua" w:hAnsi="Book Antiqua"/>
          <w:sz w:val="24"/>
          <w:szCs w:val="24"/>
        </w:rPr>
        <w:t xml:space="preserve"> P, di Lena L, </w:t>
      </w:r>
      <w:proofErr w:type="spellStart"/>
      <w:r w:rsidRPr="00CC6AEB">
        <w:rPr>
          <w:rFonts w:ascii="Book Antiqua" w:hAnsi="Book Antiqua"/>
          <w:sz w:val="24"/>
          <w:szCs w:val="24"/>
        </w:rPr>
        <w:t>Romagnoli</w:t>
      </w:r>
      <w:proofErr w:type="spellEnd"/>
      <w:r w:rsidRPr="00CC6AEB">
        <w:rPr>
          <w:rFonts w:ascii="Book Antiqua" w:hAnsi="Book Antiqua"/>
          <w:sz w:val="24"/>
          <w:szCs w:val="24"/>
        </w:rPr>
        <w:t xml:space="preserve"> D, </w:t>
      </w:r>
      <w:proofErr w:type="spellStart"/>
      <w:r w:rsidRPr="00CC6AEB">
        <w:rPr>
          <w:rFonts w:ascii="Book Antiqua" w:hAnsi="Book Antiqua"/>
          <w:sz w:val="24"/>
          <w:szCs w:val="24"/>
        </w:rPr>
        <w:t>Magistri</w:t>
      </w:r>
      <w:proofErr w:type="spellEnd"/>
      <w:r w:rsidRPr="00CC6AEB">
        <w:rPr>
          <w:rFonts w:ascii="Book Antiqua" w:hAnsi="Book Antiqua"/>
          <w:sz w:val="24"/>
          <w:szCs w:val="24"/>
        </w:rPr>
        <w:t xml:space="preserve"> P, di Benedetto F, Bruno S, </w:t>
      </w:r>
      <w:proofErr w:type="spellStart"/>
      <w:r w:rsidRPr="00CC6AEB">
        <w:rPr>
          <w:rFonts w:ascii="Book Antiqua" w:hAnsi="Book Antiqua"/>
          <w:sz w:val="24"/>
          <w:szCs w:val="24"/>
        </w:rPr>
        <w:t>Taliani</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Giannelli</w:t>
      </w:r>
      <w:proofErr w:type="spellEnd"/>
      <w:r w:rsidRPr="00CC6AEB">
        <w:rPr>
          <w:rFonts w:ascii="Book Antiqua" w:hAnsi="Book Antiqua"/>
          <w:sz w:val="24"/>
          <w:szCs w:val="24"/>
        </w:rPr>
        <w:t xml:space="preserve"> G, Martinez-</w:t>
      </w:r>
      <w:proofErr w:type="spellStart"/>
      <w:r w:rsidRPr="00CC6AEB">
        <w:rPr>
          <w:rFonts w:ascii="Book Antiqua" w:hAnsi="Book Antiqua"/>
          <w:sz w:val="24"/>
          <w:szCs w:val="24"/>
        </w:rPr>
        <w:t>Chantar</w:t>
      </w:r>
      <w:proofErr w:type="spellEnd"/>
      <w:r w:rsidRPr="00CC6AEB">
        <w:rPr>
          <w:rFonts w:ascii="Book Antiqua" w:hAnsi="Book Antiqua"/>
          <w:sz w:val="24"/>
          <w:szCs w:val="24"/>
        </w:rPr>
        <w:t xml:space="preserve"> ML, Villa E. Liver Angiopoietin-2 Is a Key Predictor of De Novo or Recurrent Hepatocellular Cancer After Hepatitis C Virus Direct-Acting Antivirals. </w:t>
      </w:r>
      <w:r w:rsidRPr="00CC6AEB">
        <w:rPr>
          <w:rFonts w:ascii="Book Antiqua" w:hAnsi="Book Antiqua"/>
          <w:i/>
          <w:sz w:val="24"/>
          <w:szCs w:val="24"/>
        </w:rPr>
        <w:t>Hepatology</w:t>
      </w:r>
      <w:r w:rsidRPr="00CC6AEB">
        <w:rPr>
          <w:rFonts w:ascii="Book Antiqua" w:hAnsi="Book Antiqua"/>
          <w:sz w:val="24"/>
          <w:szCs w:val="24"/>
        </w:rPr>
        <w:t xml:space="preserve"> 2018; </w:t>
      </w:r>
      <w:r w:rsidRPr="00CC6AEB">
        <w:rPr>
          <w:rFonts w:ascii="Book Antiqua" w:hAnsi="Book Antiqua"/>
          <w:b/>
          <w:sz w:val="24"/>
          <w:szCs w:val="24"/>
        </w:rPr>
        <w:t>68</w:t>
      </w:r>
      <w:r w:rsidRPr="00CC6AEB">
        <w:rPr>
          <w:rFonts w:ascii="Book Antiqua" w:hAnsi="Book Antiqua"/>
          <w:sz w:val="24"/>
          <w:szCs w:val="24"/>
        </w:rPr>
        <w:t>: 1010-1024 [PMID: 29604220 DOI: 10.1002/hep.29911]</w:t>
      </w:r>
    </w:p>
    <w:p w14:paraId="13EBBB3B"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24 </w:t>
      </w:r>
      <w:r w:rsidRPr="00CC6AEB">
        <w:rPr>
          <w:rFonts w:ascii="Book Antiqua" w:hAnsi="Book Antiqua"/>
          <w:b/>
          <w:sz w:val="24"/>
          <w:szCs w:val="24"/>
        </w:rPr>
        <w:t>Yoshida EM</w:t>
      </w:r>
      <w:r w:rsidRPr="00CC6AEB">
        <w:rPr>
          <w:rFonts w:ascii="Book Antiqua" w:hAnsi="Book Antiqua"/>
          <w:sz w:val="24"/>
          <w:szCs w:val="24"/>
        </w:rPr>
        <w:t xml:space="preserve">, </w:t>
      </w:r>
      <w:proofErr w:type="spellStart"/>
      <w:r w:rsidRPr="00CC6AEB">
        <w:rPr>
          <w:rFonts w:ascii="Book Antiqua" w:hAnsi="Book Antiqua"/>
          <w:sz w:val="24"/>
          <w:szCs w:val="24"/>
        </w:rPr>
        <w:t>Sulkowski</w:t>
      </w:r>
      <w:proofErr w:type="spellEnd"/>
      <w:r w:rsidRPr="00CC6AEB">
        <w:rPr>
          <w:rFonts w:ascii="Book Antiqua" w:hAnsi="Book Antiqua"/>
          <w:sz w:val="24"/>
          <w:szCs w:val="24"/>
        </w:rPr>
        <w:t xml:space="preserve"> MS, </w:t>
      </w:r>
      <w:proofErr w:type="spellStart"/>
      <w:r w:rsidRPr="00CC6AEB">
        <w:rPr>
          <w:rFonts w:ascii="Book Antiqua" w:hAnsi="Book Antiqua"/>
          <w:sz w:val="24"/>
          <w:szCs w:val="24"/>
        </w:rPr>
        <w:t>Gane</w:t>
      </w:r>
      <w:proofErr w:type="spellEnd"/>
      <w:r w:rsidRPr="00CC6AEB">
        <w:rPr>
          <w:rFonts w:ascii="Book Antiqua" w:hAnsi="Book Antiqua"/>
          <w:sz w:val="24"/>
          <w:szCs w:val="24"/>
        </w:rPr>
        <w:t xml:space="preserve"> EJ, Herring RW Jr, </w:t>
      </w:r>
      <w:proofErr w:type="spellStart"/>
      <w:r w:rsidRPr="00CC6AEB">
        <w:rPr>
          <w:rFonts w:ascii="Book Antiqua" w:hAnsi="Book Antiqua"/>
          <w:sz w:val="24"/>
          <w:szCs w:val="24"/>
        </w:rPr>
        <w:t>Ratziu</w:t>
      </w:r>
      <w:proofErr w:type="spellEnd"/>
      <w:r w:rsidRPr="00CC6AEB">
        <w:rPr>
          <w:rFonts w:ascii="Book Antiqua" w:hAnsi="Book Antiqua"/>
          <w:sz w:val="24"/>
          <w:szCs w:val="24"/>
        </w:rPr>
        <w:t xml:space="preserve"> V, Ding X, Wang J, Chuang SM, Ma J, McNally J, </w:t>
      </w:r>
      <w:proofErr w:type="spellStart"/>
      <w:r w:rsidRPr="00CC6AEB">
        <w:rPr>
          <w:rFonts w:ascii="Book Antiqua" w:hAnsi="Book Antiqua"/>
          <w:sz w:val="24"/>
          <w:szCs w:val="24"/>
        </w:rPr>
        <w:t>Stamm</w:t>
      </w:r>
      <w:proofErr w:type="spellEnd"/>
      <w:r w:rsidRPr="00CC6AEB">
        <w:rPr>
          <w:rFonts w:ascii="Book Antiqua" w:hAnsi="Book Antiqua"/>
          <w:sz w:val="24"/>
          <w:szCs w:val="24"/>
        </w:rPr>
        <w:t xml:space="preserve"> LM, Brainard DM, Symonds WT, </w:t>
      </w:r>
      <w:proofErr w:type="spellStart"/>
      <w:r w:rsidRPr="00CC6AEB">
        <w:rPr>
          <w:rFonts w:ascii="Book Antiqua" w:hAnsi="Book Antiqua"/>
          <w:sz w:val="24"/>
          <w:szCs w:val="24"/>
        </w:rPr>
        <w:t>McHutchison</w:t>
      </w:r>
      <w:proofErr w:type="spellEnd"/>
      <w:r w:rsidRPr="00CC6AEB">
        <w:rPr>
          <w:rFonts w:ascii="Book Antiqua" w:hAnsi="Book Antiqua"/>
          <w:sz w:val="24"/>
          <w:szCs w:val="24"/>
        </w:rPr>
        <w:t xml:space="preserve"> JG, Beavers KL, Jacobson IM, Reddy KR, </w:t>
      </w:r>
      <w:proofErr w:type="spellStart"/>
      <w:r w:rsidRPr="00CC6AEB">
        <w:rPr>
          <w:rFonts w:ascii="Book Antiqua" w:hAnsi="Book Antiqua"/>
          <w:sz w:val="24"/>
          <w:szCs w:val="24"/>
        </w:rPr>
        <w:t>Lawitz</w:t>
      </w:r>
      <w:proofErr w:type="spellEnd"/>
      <w:r w:rsidRPr="00CC6AEB">
        <w:rPr>
          <w:rFonts w:ascii="Book Antiqua" w:hAnsi="Book Antiqua"/>
          <w:sz w:val="24"/>
          <w:szCs w:val="24"/>
        </w:rPr>
        <w:t xml:space="preserve"> E. Concordance of sustained virological response 4, 12, and 24 weeks post-treatment with sofosbuvir-containing regimens for hepatitis C virus. </w:t>
      </w:r>
      <w:r w:rsidRPr="00CC6AEB">
        <w:rPr>
          <w:rFonts w:ascii="Book Antiqua" w:hAnsi="Book Antiqua"/>
          <w:i/>
          <w:sz w:val="24"/>
          <w:szCs w:val="24"/>
        </w:rPr>
        <w:t>Hepatology</w:t>
      </w:r>
      <w:r w:rsidRPr="00CC6AEB">
        <w:rPr>
          <w:rFonts w:ascii="Book Antiqua" w:hAnsi="Book Antiqua"/>
          <w:sz w:val="24"/>
          <w:szCs w:val="24"/>
        </w:rPr>
        <w:t xml:space="preserve"> 2015; </w:t>
      </w:r>
      <w:r w:rsidRPr="00CC6AEB">
        <w:rPr>
          <w:rFonts w:ascii="Book Antiqua" w:hAnsi="Book Antiqua"/>
          <w:b/>
          <w:sz w:val="24"/>
          <w:szCs w:val="24"/>
        </w:rPr>
        <w:t>61</w:t>
      </w:r>
      <w:r w:rsidRPr="00CC6AEB">
        <w:rPr>
          <w:rFonts w:ascii="Book Antiqua" w:hAnsi="Book Antiqua"/>
          <w:sz w:val="24"/>
          <w:szCs w:val="24"/>
        </w:rPr>
        <w:t>: 41-45 [PMID: 25314116 DOI: 10.1002/hep.27366]</w:t>
      </w:r>
    </w:p>
    <w:p w14:paraId="557A87D8"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25 </w:t>
      </w:r>
      <w:proofErr w:type="spellStart"/>
      <w:r w:rsidRPr="00CC6AEB">
        <w:rPr>
          <w:rFonts w:ascii="Book Antiqua" w:hAnsi="Book Antiqua"/>
          <w:b/>
          <w:sz w:val="24"/>
          <w:szCs w:val="24"/>
        </w:rPr>
        <w:t>Raschzok</w:t>
      </w:r>
      <w:proofErr w:type="spellEnd"/>
      <w:r w:rsidRPr="00CC6AEB">
        <w:rPr>
          <w:rFonts w:ascii="Book Antiqua" w:hAnsi="Book Antiqua"/>
          <w:b/>
          <w:sz w:val="24"/>
          <w:szCs w:val="24"/>
        </w:rPr>
        <w:t xml:space="preserve"> N</w:t>
      </w:r>
      <w:r w:rsidRPr="00CC6AEB">
        <w:rPr>
          <w:rFonts w:ascii="Book Antiqua" w:hAnsi="Book Antiqua"/>
          <w:sz w:val="24"/>
          <w:szCs w:val="24"/>
        </w:rPr>
        <w:t xml:space="preserve">, Schott E, </w:t>
      </w:r>
      <w:proofErr w:type="spellStart"/>
      <w:r w:rsidRPr="00CC6AEB">
        <w:rPr>
          <w:rFonts w:ascii="Book Antiqua" w:hAnsi="Book Antiqua"/>
          <w:sz w:val="24"/>
          <w:szCs w:val="24"/>
        </w:rPr>
        <w:t>Reutzel</w:t>
      </w:r>
      <w:proofErr w:type="spellEnd"/>
      <w:r w:rsidRPr="00CC6AEB">
        <w:rPr>
          <w:rFonts w:ascii="Book Antiqua" w:hAnsi="Book Antiqua"/>
          <w:sz w:val="24"/>
          <w:szCs w:val="24"/>
        </w:rPr>
        <w:t xml:space="preserve">-Selke A, </w:t>
      </w:r>
      <w:proofErr w:type="spellStart"/>
      <w:r w:rsidRPr="00CC6AEB">
        <w:rPr>
          <w:rFonts w:ascii="Book Antiqua" w:hAnsi="Book Antiqua"/>
          <w:sz w:val="24"/>
          <w:szCs w:val="24"/>
        </w:rPr>
        <w:t>Damrah</w:t>
      </w:r>
      <w:proofErr w:type="spellEnd"/>
      <w:r w:rsidRPr="00CC6AEB">
        <w:rPr>
          <w:rFonts w:ascii="Book Antiqua" w:hAnsi="Book Antiqua"/>
          <w:sz w:val="24"/>
          <w:szCs w:val="24"/>
        </w:rPr>
        <w:t xml:space="preserve"> I, </w:t>
      </w:r>
      <w:proofErr w:type="spellStart"/>
      <w:r w:rsidRPr="00CC6AEB">
        <w:rPr>
          <w:rFonts w:ascii="Book Antiqua" w:hAnsi="Book Antiqua"/>
          <w:sz w:val="24"/>
          <w:szCs w:val="24"/>
        </w:rPr>
        <w:t>Gül</w:t>
      </w:r>
      <w:proofErr w:type="spellEnd"/>
      <w:r w:rsidRPr="00CC6AEB">
        <w:rPr>
          <w:rFonts w:ascii="Book Antiqua" w:hAnsi="Book Antiqua"/>
          <w:sz w:val="24"/>
          <w:szCs w:val="24"/>
        </w:rPr>
        <w:t xml:space="preserve">-Klein S, </w:t>
      </w:r>
      <w:proofErr w:type="spellStart"/>
      <w:r w:rsidRPr="00CC6AEB">
        <w:rPr>
          <w:rFonts w:ascii="Book Antiqua" w:hAnsi="Book Antiqua"/>
          <w:sz w:val="24"/>
          <w:szCs w:val="24"/>
        </w:rPr>
        <w:t>Strücker</w:t>
      </w:r>
      <w:proofErr w:type="spellEnd"/>
      <w:r w:rsidRPr="00CC6AEB">
        <w:rPr>
          <w:rFonts w:ascii="Book Antiqua" w:hAnsi="Book Antiqua"/>
          <w:sz w:val="24"/>
          <w:szCs w:val="24"/>
        </w:rPr>
        <w:t xml:space="preserve"> B, Sauer IM, </w:t>
      </w:r>
      <w:proofErr w:type="spellStart"/>
      <w:r w:rsidRPr="00CC6AEB">
        <w:rPr>
          <w:rFonts w:ascii="Book Antiqua" w:hAnsi="Book Antiqua"/>
          <w:sz w:val="24"/>
          <w:szCs w:val="24"/>
        </w:rPr>
        <w:t>Pratschke</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Eurich</w:t>
      </w:r>
      <w:proofErr w:type="spellEnd"/>
      <w:r w:rsidRPr="00CC6AEB">
        <w:rPr>
          <w:rFonts w:ascii="Book Antiqua" w:hAnsi="Book Antiqua"/>
          <w:sz w:val="24"/>
          <w:szCs w:val="24"/>
        </w:rPr>
        <w:t xml:space="preserve"> D, </w:t>
      </w:r>
      <w:proofErr w:type="spellStart"/>
      <w:r w:rsidRPr="00CC6AEB">
        <w:rPr>
          <w:rFonts w:ascii="Book Antiqua" w:hAnsi="Book Antiqua"/>
          <w:sz w:val="24"/>
          <w:szCs w:val="24"/>
        </w:rPr>
        <w:t>Stockmann</w:t>
      </w:r>
      <w:proofErr w:type="spellEnd"/>
      <w:r w:rsidRPr="00CC6AEB">
        <w:rPr>
          <w:rFonts w:ascii="Book Antiqua" w:hAnsi="Book Antiqua"/>
          <w:sz w:val="24"/>
          <w:szCs w:val="24"/>
        </w:rPr>
        <w:t xml:space="preserve"> M. The impact of directly acting antivirals </w:t>
      </w:r>
      <w:r w:rsidRPr="00CC6AEB">
        <w:rPr>
          <w:rFonts w:ascii="Book Antiqua" w:hAnsi="Book Antiqua"/>
          <w:sz w:val="24"/>
          <w:szCs w:val="24"/>
        </w:rPr>
        <w:lastRenderedPageBreak/>
        <w:t xml:space="preserve">on the enzymatic liver function of liver transplant recipients with recurrent hepatitis C. </w:t>
      </w:r>
      <w:proofErr w:type="spellStart"/>
      <w:r w:rsidRPr="00CC6AEB">
        <w:rPr>
          <w:rFonts w:ascii="Book Antiqua" w:hAnsi="Book Antiqua"/>
          <w:i/>
          <w:sz w:val="24"/>
          <w:szCs w:val="24"/>
        </w:rPr>
        <w:t>Transpl</w:t>
      </w:r>
      <w:proofErr w:type="spellEnd"/>
      <w:r w:rsidRPr="00CC6AEB">
        <w:rPr>
          <w:rFonts w:ascii="Book Antiqua" w:hAnsi="Book Antiqua"/>
          <w:i/>
          <w:sz w:val="24"/>
          <w:szCs w:val="24"/>
        </w:rPr>
        <w:t xml:space="preserve"> Infect Dis</w:t>
      </w:r>
      <w:r w:rsidRPr="00CC6AEB">
        <w:rPr>
          <w:rFonts w:ascii="Book Antiqua" w:hAnsi="Book Antiqua"/>
          <w:sz w:val="24"/>
          <w:szCs w:val="24"/>
        </w:rPr>
        <w:t xml:space="preserve"> 2016; </w:t>
      </w:r>
      <w:r w:rsidRPr="00CC6AEB">
        <w:rPr>
          <w:rFonts w:ascii="Book Antiqua" w:hAnsi="Book Antiqua"/>
          <w:b/>
          <w:sz w:val="24"/>
          <w:szCs w:val="24"/>
        </w:rPr>
        <w:t>18</w:t>
      </w:r>
      <w:r w:rsidRPr="00CC6AEB">
        <w:rPr>
          <w:rFonts w:ascii="Book Antiqua" w:hAnsi="Book Antiqua"/>
          <w:sz w:val="24"/>
          <w:szCs w:val="24"/>
        </w:rPr>
        <w:t>: 896-903 [PMID: 27632190 DOI: 10.1111/tid.12606]</w:t>
      </w:r>
    </w:p>
    <w:p w14:paraId="58BA5943"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26 </w:t>
      </w:r>
      <w:r w:rsidRPr="00CC6AEB">
        <w:rPr>
          <w:rFonts w:ascii="Book Antiqua" w:hAnsi="Book Antiqua"/>
          <w:b/>
          <w:sz w:val="24"/>
          <w:szCs w:val="24"/>
        </w:rPr>
        <w:t>Aoyagi T</w:t>
      </w:r>
      <w:r w:rsidRPr="00CC6AEB">
        <w:rPr>
          <w:rFonts w:ascii="Book Antiqua" w:hAnsi="Book Antiqua"/>
          <w:sz w:val="24"/>
          <w:szCs w:val="24"/>
        </w:rPr>
        <w:t xml:space="preserve">, Terracina KP, Raza A, Matsubara H, </w:t>
      </w:r>
      <w:proofErr w:type="spellStart"/>
      <w:r w:rsidRPr="00CC6AEB">
        <w:rPr>
          <w:rFonts w:ascii="Book Antiqua" w:hAnsi="Book Antiqua"/>
          <w:sz w:val="24"/>
          <w:szCs w:val="24"/>
        </w:rPr>
        <w:t>Takabe</w:t>
      </w:r>
      <w:proofErr w:type="spellEnd"/>
      <w:r w:rsidRPr="00CC6AEB">
        <w:rPr>
          <w:rFonts w:ascii="Book Antiqua" w:hAnsi="Book Antiqua"/>
          <w:sz w:val="24"/>
          <w:szCs w:val="24"/>
        </w:rPr>
        <w:t xml:space="preserve"> K. Cancer cachexia, mechanism and treatment. </w:t>
      </w:r>
      <w:r w:rsidRPr="00CC6AEB">
        <w:rPr>
          <w:rFonts w:ascii="Book Antiqua" w:hAnsi="Book Antiqua"/>
          <w:i/>
          <w:sz w:val="24"/>
          <w:szCs w:val="24"/>
        </w:rPr>
        <w:t xml:space="preserve">World J </w:t>
      </w:r>
      <w:proofErr w:type="spellStart"/>
      <w:r w:rsidRPr="00CC6AEB">
        <w:rPr>
          <w:rFonts w:ascii="Book Antiqua" w:hAnsi="Book Antiqua"/>
          <w:i/>
          <w:sz w:val="24"/>
          <w:szCs w:val="24"/>
        </w:rPr>
        <w:t>Gastrointest</w:t>
      </w:r>
      <w:proofErr w:type="spellEnd"/>
      <w:r w:rsidRPr="00CC6AEB">
        <w:rPr>
          <w:rFonts w:ascii="Book Antiqua" w:hAnsi="Book Antiqua"/>
          <w:i/>
          <w:sz w:val="24"/>
          <w:szCs w:val="24"/>
        </w:rPr>
        <w:t xml:space="preserve"> Oncol</w:t>
      </w:r>
      <w:r w:rsidRPr="00CC6AEB">
        <w:rPr>
          <w:rFonts w:ascii="Book Antiqua" w:hAnsi="Book Antiqua"/>
          <w:sz w:val="24"/>
          <w:szCs w:val="24"/>
        </w:rPr>
        <w:t xml:space="preserve"> 2015; </w:t>
      </w:r>
      <w:r w:rsidRPr="00CC6AEB">
        <w:rPr>
          <w:rFonts w:ascii="Book Antiqua" w:hAnsi="Book Antiqua"/>
          <w:b/>
          <w:sz w:val="24"/>
          <w:szCs w:val="24"/>
        </w:rPr>
        <w:t>7</w:t>
      </w:r>
      <w:r w:rsidRPr="00CC6AEB">
        <w:rPr>
          <w:rFonts w:ascii="Book Antiqua" w:hAnsi="Book Antiqua"/>
          <w:sz w:val="24"/>
          <w:szCs w:val="24"/>
        </w:rPr>
        <w:t>: 17-29 [PMID: 25897346 DOI: 10.4251/wjgo.v7.i4.17]</w:t>
      </w:r>
    </w:p>
    <w:p w14:paraId="7FFF397A" w14:textId="3C22D399" w:rsidR="008241B0"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27 </w:t>
      </w:r>
      <w:proofErr w:type="spellStart"/>
      <w:r w:rsidRPr="00CC6AEB">
        <w:rPr>
          <w:rFonts w:ascii="Book Antiqua" w:hAnsi="Book Antiqua"/>
          <w:b/>
          <w:sz w:val="24"/>
          <w:szCs w:val="24"/>
        </w:rPr>
        <w:t>Mücke</w:t>
      </w:r>
      <w:proofErr w:type="spellEnd"/>
      <w:r w:rsidRPr="00CC6AEB">
        <w:rPr>
          <w:rFonts w:ascii="Book Antiqua" w:hAnsi="Book Antiqua"/>
          <w:b/>
          <w:sz w:val="24"/>
          <w:szCs w:val="24"/>
        </w:rPr>
        <w:t xml:space="preserve"> MM</w:t>
      </w:r>
      <w:r w:rsidRPr="00CC6AEB">
        <w:rPr>
          <w:rFonts w:ascii="Book Antiqua" w:hAnsi="Book Antiqua"/>
          <w:sz w:val="24"/>
          <w:szCs w:val="24"/>
        </w:rPr>
        <w:t xml:space="preserve">, Backus LI, </w:t>
      </w:r>
      <w:proofErr w:type="spellStart"/>
      <w:r w:rsidRPr="00CC6AEB">
        <w:rPr>
          <w:rFonts w:ascii="Book Antiqua" w:hAnsi="Book Antiqua"/>
          <w:sz w:val="24"/>
          <w:szCs w:val="24"/>
        </w:rPr>
        <w:t>Mücke</w:t>
      </w:r>
      <w:proofErr w:type="spellEnd"/>
      <w:r w:rsidRPr="00CC6AEB">
        <w:rPr>
          <w:rFonts w:ascii="Book Antiqua" w:hAnsi="Book Antiqua"/>
          <w:sz w:val="24"/>
          <w:szCs w:val="24"/>
        </w:rPr>
        <w:t xml:space="preserve"> VT, Coppola N, </w:t>
      </w:r>
      <w:proofErr w:type="spellStart"/>
      <w:r w:rsidRPr="00CC6AEB">
        <w:rPr>
          <w:rFonts w:ascii="Book Antiqua" w:hAnsi="Book Antiqua"/>
          <w:sz w:val="24"/>
          <w:szCs w:val="24"/>
        </w:rPr>
        <w:t>Preda</w:t>
      </w:r>
      <w:proofErr w:type="spellEnd"/>
      <w:r w:rsidRPr="00CC6AEB">
        <w:rPr>
          <w:rFonts w:ascii="Book Antiqua" w:hAnsi="Book Antiqua"/>
          <w:sz w:val="24"/>
          <w:szCs w:val="24"/>
        </w:rPr>
        <w:t xml:space="preserve"> CM, </w:t>
      </w:r>
      <w:proofErr w:type="spellStart"/>
      <w:r w:rsidRPr="00CC6AEB">
        <w:rPr>
          <w:rFonts w:ascii="Book Antiqua" w:hAnsi="Book Antiqua"/>
          <w:sz w:val="24"/>
          <w:szCs w:val="24"/>
        </w:rPr>
        <w:t>Yeh</w:t>
      </w:r>
      <w:proofErr w:type="spellEnd"/>
      <w:r w:rsidRPr="00CC6AEB">
        <w:rPr>
          <w:rFonts w:ascii="Book Antiqua" w:hAnsi="Book Antiqua"/>
          <w:sz w:val="24"/>
          <w:szCs w:val="24"/>
        </w:rPr>
        <w:t xml:space="preserve"> ML, Tang LSY, </w:t>
      </w:r>
      <w:proofErr w:type="spellStart"/>
      <w:r w:rsidRPr="00CC6AEB">
        <w:rPr>
          <w:rFonts w:ascii="Book Antiqua" w:hAnsi="Book Antiqua"/>
          <w:sz w:val="24"/>
          <w:szCs w:val="24"/>
        </w:rPr>
        <w:t>Belperio</w:t>
      </w:r>
      <w:proofErr w:type="spellEnd"/>
      <w:r w:rsidRPr="00CC6AEB">
        <w:rPr>
          <w:rFonts w:ascii="Book Antiqua" w:hAnsi="Book Antiqua"/>
          <w:sz w:val="24"/>
          <w:szCs w:val="24"/>
        </w:rPr>
        <w:t xml:space="preserve"> PS, Wilson EM, Yu ML, </w:t>
      </w:r>
      <w:proofErr w:type="spellStart"/>
      <w:r w:rsidRPr="00CC6AEB">
        <w:rPr>
          <w:rFonts w:ascii="Book Antiqua" w:hAnsi="Book Antiqua"/>
          <w:sz w:val="24"/>
          <w:szCs w:val="24"/>
        </w:rPr>
        <w:t>Zeuzem</w:t>
      </w:r>
      <w:proofErr w:type="spellEnd"/>
      <w:r w:rsidRPr="00CC6AEB">
        <w:rPr>
          <w:rFonts w:ascii="Book Antiqua" w:hAnsi="Book Antiqua"/>
          <w:sz w:val="24"/>
          <w:szCs w:val="24"/>
        </w:rPr>
        <w:t xml:space="preserve"> S, Herrmann E, </w:t>
      </w:r>
      <w:proofErr w:type="spellStart"/>
      <w:r w:rsidRPr="00CC6AEB">
        <w:rPr>
          <w:rFonts w:ascii="Book Antiqua" w:hAnsi="Book Antiqua"/>
          <w:sz w:val="24"/>
          <w:szCs w:val="24"/>
        </w:rPr>
        <w:t>Vermehren</w:t>
      </w:r>
      <w:proofErr w:type="spellEnd"/>
      <w:r w:rsidRPr="00CC6AEB">
        <w:rPr>
          <w:rFonts w:ascii="Book Antiqua" w:hAnsi="Book Antiqua"/>
          <w:sz w:val="24"/>
          <w:szCs w:val="24"/>
        </w:rPr>
        <w:t xml:space="preserve"> J. Hepatitis B virus reactivation during direct-acting antiviral therapy for hepatitis C: a systematic review and meta-analysis. </w:t>
      </w:r>
      <w:r w:rsidRPr="00CC6AEB">
        <w:rPr>
          <w:rFonts w:ascii="Book Antiqua" w:hAnsi="Book Antiqua"/>
          <w:i/>
          <w:sz w:val="24"/>
          <w:szCs w:val="24"/>
        </w:rPr>
        <w:t>Lancet Gastroenterol Hepatol</w:t>
      </w:r>
      <w:r w:rsidRPr="00CC6AEB">
        <w:rPr>
          <w:rFonts w:ascii="Book Antiqua" w:hAnsi="Book Antiqua"/>
          <w:sz w:val="24"/>
          <w:szCs w:val="24"/>
        </w:rPr>
        <w:t xml:space="preserve"> 2018; </w:t>
      </w:r>
      <w:r w:rsidRPr="00CC6AEB">
        <w:rPr>
          <w:rFonts w:ascii="Book Antiqua" w:hAnsi="Book Antiqua"/>
          <w:b/>
          <w:sz w:val="24"/>
          <w:szCs w:val="24"/>
        </w:rPr>
        <w:t>3</w:t>
      </w:r>
      <w:r w:rsidRPr="00CC6AEB">
        <w:rPr>
          <w:rFonts w:ascii="Book Antiqua" w:hAnsi="Book Antiqua"/>
          <w:sz w:val="24"/>
          <w:szCs w:val="24"/>
        </w:rPr>
        <w:t>: 172-180 [PMID: 29371017 DOI: 10.1016/S2468-1253(18)30002-5]</w:t>
      </w:r>
    </w:p>
    <w:p w14:paraId="1F1C7AB6" w14:textId="77777777" w:rsidR="005D5C8D" w:rsidRPr="00CC6AEB" w:rsidRDefault="005D5C8D" w:rsidP="00CC6AEB">
      <w:pPr>
        <w:snapToGrid w:val="0"/>
        <w:spacing w:after="0" w:line="360" w:lineRule="auto"/>
        <w:jc w:val="both"/>
        <w:rPr>
          <w:rFonts w:ascii="Book Antiqua" w:hAnsi="Book Antiqua"/>
          <w:sz w:val="24"/>
          <w:szCs w:val="24"/>
        </w:rPr>
      </w:pPr>
      <w:bookmarkStart w:id="39" w:name="_GoBack"/>
      <w:bookmarkEnd w:id="39"/>
    </w:p>
    <w:p w14:paraId="7B3616BF" w14:textId="62F76BEB" w:rsidR="0008053D" w:rsidRPr="00CC6AEB" w:rsidRDefault="008241B0" w:rsidP="00CC6AEB">
      <w:pPr>
        <w:snapToGrid w:val="0"/>
        <w:spacing w:after="0" w:line="360" w:lineRule="auto"/>
        <w:jc w:val="both"/>
        <w:rPr>
          <w:rFonts w:ascii="Book Antiqua" w:eastAsia="Book Antiqua" w:hAnsi="Book Antiqua"/>
          <w:b/>
          <w:sz w:val="24"/>
          <w:szCs w:val="24"/>
        </w:rPr>
      </w:pPr>
      <w:r w:rsidRPr="00CC6AEB">
        <w:rPr>
          <w:rFonts w:ascii="Book Antiqua" w:eastAsia="Book Antiqua" w:hAnsi="Book Antiqua"/>
          <w:b/>
          <w:sz w:val="24"/>
          <w:szCs w:val="24"/>
        </w:rPr>
        <w:t>Footnotes</w:t>
      </w:r>
    </w:p>
    <w:p w14:paraId="6513AA53" w14:textId="69F0DA80"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Institutional review board statement: </w:t>
      </w:r>
      <w:r w:rsidRPr="00CC6AEB">
        <w:rPr>
          <w:rFonts w:ascii="Book Antiqua" w:eastAsia="Book Antiqua" w:hAnsi="Book Antiqua"/>
          <w:sz w:val="24"/>
          <w:szCs w:val="24"/>
        </w:rPr>
        <w:t>This study was reviewed and approved by</w:t>
      </w:r>
      <w:r w:rsidRPr="00CC6AEB">
        <w:rPr>
          <w:rFonts w:ascii="Book Antiqua" w:eastAsia="Book Antiqua" w:hAnsi="Book Antiqua"/>
          <w:b/>
          <w:sz w:val="24"/>
          <w:szCs w:val="24"/>
        </w:rPr>
        <w:t xml:space="preserve"> </w:t>
      </w:r>
      <w:r w:rsidRPr="00CC6AEB">
        <w:rPr>
          <w:rFonts w:ascii="Book Antiqua" w:eastAsia="Book Antiqua" w:hAnsi="Book Antiqua"/>
          <w:sz w:val="24"/>
          <w:szCs w:val="24"/>
        </w:rPr>
        <w:t>the Ethics Committee of Baylor College of Medicine.</w:t>
      </w:r>
    </w:p>
    <w:p w14:paraId="48F3F4B5" w14:textId="77777777" w:rsidR="008241B0" w:rsidRPr="00CC6AEB" w:rsidRDefault="008241B0" w:rsidP="00CC6AEB">
      <w:pPr>
        <w:snapToGrid w:val="0"/>
        <w:spacing w:after="0" w:line="360" w:lineRule="auto"/>
        <w:jc w:val="both"/>
        <w:rPr>
          <w:rFonts w:ascii="Book Antiqua" w:eastAsia="Book Antiqua" w:hAnsi="Book Antiqua"/>
          <w:b/>
          <w:sz w:val="24"/>
          <w:szCs w:val="24"/>
        </w:rPr>
      </w:pPr>
    </w:p>
    <w:p w14:paraId="3915F3E9" w14:textId="3AC2FF7F"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Informed consent statement: </w:t>
      </w:r>
      <w:r w:rsidRPr="00CC6AEB">
        <w:rPr>
          <w:rFonts w:ascii="Book Antiqua" w:eastAsia="Book Antiqua" w:hAnsi="Book Antiqua"/>
          <w:sz w:val="24"/>
          <w:szCs w:val="24"/>
        </w:rPr>
        <w:t>Informed consent was waived by the Institutional review Board of Baylor College of Medicine.</w:t>
      </w:r>
    </w:p>
    <w:p w14:paraId="51FF9187" w14:textId="77777777" w:rsidR="008241B0" w:rsidRPr="00CC6AEB" w:rsidRDefault="008241B0" w:rsidP="00CC6AEB">
      <w:pPr>
        <w:snapToGrid w:val="0"/>
        <w:spacing w:after="0" w:line="360" w:lineRule="auto"/>
        <w:jc w:val="both"/>
        <w:rPr>
          <w:rFonts w:ascii="Book Antiqua" w:eastAsia="Book Antiqua" w:hAnsi="Book Antiqua"/>
          <w:b/>
          <w:sz w:val="24"/>
          <w:szCs w:val="24"/>
        </w:rPr>
      </w:pPr>
    </w:p>
    <w:p w14:paraId="20AF630C" w14:textId="77777777"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Conflict-of-interest statement: </w:t>
      </w:r>
      <w:r w:rsidRPr="00CC6AEB">
        <w:rPr>
          <w:rFonts w:ascii="Book Antiqua" w:eastAsia="Book Antiqua" w:hAnsi="Book Antiqua"/>
          <w:sz w:val="24"/>
          <w:szCs w:val="24"/>
        </w:rPr>
        <w:t>We have no financial relationships to disclose.</w:t>
      </w:r>
    </w:p>
    <w:p w14:paraId="0C08F033" w14:textId="77777777" w:rsidR="0008053D" w:rsidRPr="00CC6AEB" w:rsidRDefault="0008053D" w:rsidP="00CC6AEB">
      <w:pPr>
        <w:snapToGrid w:val="0"/>
        <w:spacing w:after="0" w:line="360" w:lineRule="auto"/>
        <w:jc w:val="both"/>
        <w:rPr>
          <w:rFonts w:ascii="Book Antiqua" w:eastAsia="Book Antiqua" w:hAnsi="Book Antiqua"/>
          <w:b/>
          <w:sz w:val="24"/>
          <w:szCs w:val="24"/>
        </w:rPr>
      </w:pPr>
    </w:p>
    <w:p w14:paraId="74B9E0ED" w14:textId="104D9990"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Data sharing statement: </w:t>
      </w:r>
      <w:r w:rsidRPr="00CC6AEB">
        <w:rPr>
          <w:rFonts w:ascii="Book Antiqua" w:eastAsia="Book Antiqua" w:hAnsi="Book Antiqua"/>
          <w:sz w:val="24"/>
          <w:szCs w:val="24"/>
        </w:rPr>
        <w:t>No additional data are available.</w:t>
      </w:r>
    </w:p>
    <w:p w14:paraId="1BD2D8FF" w14:textId="77777777" w:rsidR="0008053D" w:rsidRPr="00CC6AEB" w:rsidRDefault="0008053D" w:rsidP="00CC6AEB">
      <w:pPr>
        <w:snapToGrid w:val="0"/>
        <w:spacing w:after="0" w:line="360" w:lineRule="auto"/>
        <w:jc w:val="both"/>
        <w:rPr>
          <w:rFonts w:ascii="Book Antiqua" w:eastAsia="Book Antiqua" w:hAnsi="Book Antiqua"/>
          <w:b/>
          <w:sz w:val="24"/>
          <w:szCs w:val="24"/>
        </w:rPr>
      </w:pPr>
    </w:p>
    <w:p w14:paraId="227E2159" w14:textId="5BD21D49" w:rsidR="0077520B" w:rsidRPr="00CC6AEB" w:rsidRDefault="0077520B" w:rsidP="00CC6AEB">
      <w:pPr>
        <w:snapToGrid w:val="0"/>
        <w:spacing w:after="0" w:line="360" w:lineRule="auto"/>
        <w:jc w:val="both"/>
        <w:rPr>
          <w:rFonts w:ascii="Book Antiqua" w:eastAsia="Book Antiqua" w:hAnsi="Book Antiqua"/>
          <w:b/>
          <w:sz w:val="24"/>
          <w:szCs w:val="24"/>
        </w:rPr>
      </w:pPr>
      <w:r w:rsidRPr="00CC6AEB">
        <w:rPr>
          <w:rFonts w:ascii="Book Antiqua" w:hAnsi="Book Antiqua"/>
          <w:b/>
          <w:color w:val="000000"/>
          <w:sz w:val="24"/>
          <w:szCs w:val="24"/>
        </w:rPr>
        <w:t>Open-Access:</w:t>
      </w:r>
      <w:r w:rsidRPr="00CC6AEB">
        <w:rPr>
          <w:rFonts w:ascii="Book Antiqua" w:hAnsi="Book Antiqua"/>
          <w:color w:val="000000"/>
          <w:sz w:val="24"/>
          <w:szCs w:val="24"/>
        </w:rPr>
        <w:t xml:space="preserve"> This article is an open-access </w:t>
      </w:r>
      <w:r w:rsidRPr="00CC6AEB">
        <w:rPr>
          <w:rFonts w:ascii="Book Antiqua" w:hAnsi="Book Antiqua"/>
          <w:sz w:val="24"/>
          <w:szCs w:val="24"/>
        </w:rPr>
        <w:t xml:space="preserve">article that was selected </w:t>
      </w:r>
      <w:r w:rsidRPr="00CC6AE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C6AEB">
        <w:rPr>
          <w:rFonts w:ascii="Book Antiqua" w:hAnsi="Book Antiqua"/>
          <w:color w:val="000000"/>
          <w:sz w:val="24"/>
          <w:szCs w:val="24"/>
        </w:rPr>
        <w:t>NonCommercial</w:t>
      </w:r>
      <w:proofErr w:type="spellEnd"/>
      <w:r w:rsidRPr="00CC6AE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658966" w14:textId="77777777" w:rsidR="0077520B" w:rsidRPr="00CC6AEB" w:rsidRDefault="0077520B" w:rsidP="00CC6AEB">
      <w:pPr>
        <w:snapToGrid w:val="0"/>
        <w:spacing w:after="0" w:line="360" w:lineRule="auto"/>
        <w:jc w:val="both"/>
        <w:rPr>
          <w:rFonts w:ascii="Book Antiqua" w:eastAsia="Book Antiqua" w:hAnsi="Book Antiqua"/>
          <w:b/>
          <w:sz w:val="24"/>
          <w:szCs w:val="24"/>
        </w:rPr>
      </w:pPr>
    </w:p>
    <w:p w14:paraId="27B5441A" w14:textId="64A41279"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Manuscript source: </w:t>
      </w:r>
      <w:r w:rsidRPr="00CC6AEB">
        <w:rPr>
          <w:rFonts w:ascii="Book Antiqua" w:eastAsia="Book Antiqua" w:hAnsi="Book Antiqua"/>
          <w:sz w:val="24"/>
          <w:szCs w:val="24"/>
        </w:rPr>
        <w:t>Unsolicited manuscript</w:t>
      </w:r>
    </w:p>
    <w:p w14:paraId="4A2847F3" w14:textId="77777777" w:rsidR="0008053D" w:rsidRPr="00CC6AEB" w:rsidRDefault="0008053D" w:rsidP="00CC6AEB">
      <w:pPr>
        <w:snapToGrid w:val="0"/>
        <w:spacing w:after="0" w:line="360" w:lineRule="auto"/>
        <w:jc w:val="both"/>
        <w:rPr>
          <w:rFonts w:ascii="Book Antiqua" w:eastAsia="Book Antiqua" w:hAnsi="Book Antiqua"/>
          <w:b/>
          <w:sz w:val="24"/>
          <w:szCs w:val="24"/>
        </w:rPr>
      </w:pPr>
    </w:p>
    <w:p w14:paraId="6C77C94A" w14:textId="5DA590C5"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Corresponding Author's Membership in Professional Societies: </w:t>
      </w:r>
      <w:r w:rsidRPr="00CC6AEB">
        <w:rPr>
          <w:rFonts w:ascii="Book Antiqua" w:eastAsia="Book Antiqua" w:hAnsi="Book Antiqua"/>
          <w:sz w:val="24"/>
          <w:szCs w:val="24"/>
        </w:rPr>
        <w:t>American Gastroenterological Association</w:t>
      </w:r>
      <w:r w:rsidR="00123C60" w:rsidRPr="00CC6AEB">
        <w:rPr>
          <w:rFonts w:ascii="Book Antiqua" w:eastAsia="Book Antiqua" w:hAnsi="Book Antiqua"/>
          <w:sz w:val="24"/>
          <w:szCs w:val="24"/>
        </w:rPr>
        <w:t>.</w:t>
      </w:r>
    </w:p>
    <w:p w14:paraId="7687D1A2" w14:textId="77777777" w:rsidR="002D298B" w:rsidRPr="00CC6AEB" w:rsidRDefault="002D298B" w:rsidP="00CC6AEB">
      <w:pPr>
        <w:snapToGrid w:val="0"/>
        <w:spacing w:after="0" w:line="360" w:lineRule="auto"/>
        <w:jc w:val="both"/>
        <w:rPr>
          <w:rFonts w:ascii="Book Antiqua" w:eastAsia="Book Antiqua" w:hAnsi="Book Antiqua"/>
          <w:sz w:val="24"/>
          <w:szCs w:val="24"/>
        </w:rPr>
      </w:pPr>
    </w:p>
    <w:p w14:paraId="62456896" w14:textId="77777777" w:rsidR="00123C60" w:rsidRPr="00CC6AEB" w:rsidRDefault="00123C60" w:rsidP="00CC6AEB">
      <w:pPr>
        <w:snapToGrid w:val="0"/>
        <w:spacing w:after="0" w:line="360" w:lineRule="auto"/>
        <w:jc w:val="both"/>
        <w:rPr>
          <w:rFonts w:ascii="Book Antiqua" w:hAnsi="Book Antiqua"/>
          <w:b/>
          <w:sz w:val="24"/>
          <w:szCs w:val="24"/>
          <w:lang w:eastAsia="zh-CN"/>
        </w:rPr>
      </w:pPr>
      <w:r w:rsidRPr="00CC6AEB">
        <w:rPr>
          <w:rFonts w:ascii="Book Antiqua" w:hAnsi="Book Antiqua"/>
          <w:b/>
          <w:sz w:val="24"/>
          <w:szCs w:val="24"/>
        </w:rPr>
        <w:t>Peer-review started:</w:t>
      </w:r>
      <w:r w:rsidRPr="00CC6AEB">
        <w:rPr>
          <w:rFonts w:ascii="Book Antiqua" w:hAnsi="Book Antiqua"/>
          <w:sz w:val="24"/>
          <w:szCs w:val="24"/>
        </w:rPr>
        <w:t xml:space="preserve"> </w:t>
      </w:r>
      <w:r w:rsidRPr="00CC6AEB">
        <w:rPr>
          <w:rFonts w:ascii="Book Antiqua" w:hAnsi="Book Antiqua"/>
          <w:bCs/>
          <w:sz w:val="24"/>
          <w:szCs w:val="24"/>
        </w:rPr>
        <w:t>March</w:t>
      </w:r>
      <w:r w:rsidRPr="00CC6AEB">
        <w:rPr>
          <w:rFonts w:ascii="Book Antiqua" w:hAnsi="Book Antiqua"/>
          <w:b/>
          <w:sz w:val="24"/>
          <w:szCs w:val="24"/>
          <w:lang w:eastAsia="zh-CN"/>
        </w:rPr>
        <w:t xml:space="preserve"> </w:t>
      </w:r>
      <w:r w:rsidRPr="00CC6AEB">
        <w:rPr>
          <w:rFonts w:ascii="Book Antiqua" w:hAnsi="Book Antiqua"/>
          <w:sz w:val="24"/>
          <w:szCs w:val="24"/>
          <w:lang w:eastAsia="zh-CN"/>
        </w:rPr>
        <w:t>9, 2020</w:t>
      </w:r>
    </w:p>
    <w:p w14:paraId="1BCA2C98" w14:textId="77777777" w:rsidR="00123C60" w:rsidRPr="00CC6AEB" w:rsidRDefault="00123C60" w:rsidP="00CC6AEB">
      <w:pPr>
        <w:snapToGrid w:val="0"/>
        <w:spacing w:after="0" w:line="360" w:lineRule="auto"/>
        <w:jc w:val="both"/>
        <w:rPr>
          <w:rFonts w:ascii="Book Antiqua" w:hAnsi="Book Antiqua"/>
          <w:b/>
          <w:sz w:val="24"/>
          <w:szCs w:val="24"/>
          <w:lang w:eastAsia="zh-CN"/>
        </w:rPr>
      </w:pPr>
      <w:r w:rsidRPr="00CC6AEB">
        <w:rPr>
          <w:rFonts w:ascii="Book Antiqua" w:hAnsi="Book Antiqua"/>
          <w:b/>
          <w:sz w:val="24"/>
          <w:szCs w:val="24"/>
        </w:rPr>
        <w:t>First decision:</w:t>
      </w:r>
      <w:r w:rsidRPr="00CC6AEB">
        <w:rPr>
          <w:rFonts w:ascii="Book Antiqua" w:hAnsi="Book Antiqua"/>
          <w:b/>
          <w:sz w:val="24"/>
          <w:szCs w:val="24"/>
          <w:lang w:eastAsia="zh-CN"/>
        </w:rPr>
        <w:t xml:space="preserve"> </w:t>
      </w:r>
      <w:r w:rsidRPr="00CC6AEB">
        <w:rPr>
          <w:rFonts w:ascii="Book Antiqua" w:hAnsi="Book Antiqua"/>
          <w:bCs/>
          <w:sz w:val="24"/>
          <w:szCs w:val="24"/>
        </w:rPr>
        <w:t>April</w:t>
      </w:r>
      <w:r w:rsidRPr="00CC6AEB">
        <w:rPr>
          <w:rFonts w:ascii="Book Antiqua" w:hAnsi="Book Antiqua"/>
          <w:b/>
          <w:sz w:val="24"/>
          <w:szCs w:val="24"/>
          <w:lang w:eastAsia="zh-CN"/>
        </w:rPr>
        <w:t xml:space="preserve"> </w:t>
      </w:r>
      <w:r w:rsidRPr="00CC6AEB">
        <w:rPr>
          <w:rFonts w:ascii="Book Antiqua" w:hAnsi="Book Antiqua"/>
          <w:sz w:val="24"/>
          <w:szCs w:val="24"/>
          <w:lang w:eastAsia="zh-CN"/>
        </w:rPr>
        <w:t>3, 2020</w:t>
      </w:r>
    </w:p>
    <w:p w14:paraId="361D7E7D" w14:textId="77777777" w:rsidR="00123C60" w:rsidRPr="00CC6AEB" w:rsidRDefault="00123C60" w:rsidP="00CC6AEB">
      <w:pPr>
        <w:snapToGrid w:val="0"/>
        <w:spacing w:after="0" w:line="360" w:lineRule="auto"/>
        <w:jc w:val="both"/>
        <w:rPr>
          <w:rFonts w:ascii="Book Antiqua" w:hAnsi="Book Antiqua"/>
          <w:b/>
          <w:sz w:val="24"/>
          <w:szCs w:val="24"/>
          <w:lang w:eastAsia="zh-CN"/>
        </w:rPr>
      </w:pPr>
      <w:r w:rsidRPr="00CC6AEB">
        <w:rPr>
          <w:rFonts w:ascii="Book Antiqua" w:hAnsi="Book Antiqua"/>
          <w:b/>
          <w:sz w:val="24"/>
          <w:szCs w:val="24"/>
        </w:rPr>
        <w:t>Article in press:</w:t>
      </w:r>
    </w:p>
    <w:p w14:paraId="26A3501E" w14:textId="77777777" w:rsidR="00123C60" w:rsidRPr="00CC6AEB" w:rsidRDefault="00123C60" w:rsidP="00CC6AEB">
      <w:pPr>
        <w:snapToGrid w:val="0"/>
        <w:spacing w:after="0" w:line="360" w:lineRule="auto"/>
        <w:jc w:val="both"/>
        <w:rPr>
          <w:rFonts w:ascii="Book Antiqua" w:eastAsia="Book Antiqua" w:hAnsi="Book Antiqua"/>
          <w:sz w:val="24"/>
          <w:szCs w:val="24"/>
        </w:rPr>
      </w:pPr>
    </w:p>
    <w:p w14:paraId="1616D077" w14:textId="6D9D77D9"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Specialty type: </w:t>
      </w:r>
      <w:r w:rsidRPr="00CC6AEB">
        <w:rPr>
          <w:rFonts w:ascii="Book Antiqua" w:eastAsia="Book Antiqua" w:hAnsi="Book Antiqua"/>
          <w:sz w:val="24"/>
          <w:szCs w:val="24"/>
        </w:rPr>
        <w:t>Gastroenterology and hepatology</w:t>
      </w:r>
    </w:p>
    <w:p w14:paraId="33AFD000" w14:textId="77777777" w:rsidR="00123C60" w:rsidRPr="00CC6AEB" w:rsidRDefault="00123C60" w:rsidP="00CC6AEB">
      <w:pPr>
        <w:snapToGrid w:val="0"/>
        <w:spacing w:after="0" w:line="360" w:lineRule="auto"/>
        <w:jc w:val="both"/>
        <w:rPr>
          <w:rFonts w:ascii="Book Antiqua" w:eastAsia="Book Antiqua" w:hAnsi="Book Antiqua"/>
          <w:b/>
          <w:sz w:val="24"/>
          <w:szCs w:val="24"/>
        </w:rPr>
      </w:pPr>
    </w:p>
    <w:p w14:paraId="385DD34F" w14:textId="4D0BA6A2" w:rsidR="00FD14FF"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Country of origin: </w:t>
      </w:r>
      <w:r w:rsidR="002D298B" w:rsidRPr="00CC6AEB">
        <w:rPr>
          <w:rFonts w:ascii="Book Antiqua" w:eastAsia="Book Antiqua" w:hAnsi="Book Antiqua"/>
          <w:sz w:val="24"/>
          <w:szCs w:val="24"/>
        </w:rPr>
        <w:t>United States</w:t>
      </w:r>
    </w:p>
    <w:p w14:paraId="19AC3F95" w14:textId="77777777" w:rsidR="0077520B" w:rsidRPr="00CC6AEB" w:rsidRDefault="0077520B" w:rsidP="00CC6AEB">
      <w:pPr>
        <w:widowControl w:val="0"/>
        <w:adjustRightInd w:val="0"/>
        <w:snapToGrid w:val="0"/>
        <w:spacing w:after="0" w:line="360" w:lineRule="auto"/>
        <w:jc w:val="both"/>
        <w:rPr>
          <w:rFonts w:ascii="Book Antiqua" w:hAnsi="Book Antiqua" w:cs="SimSun"/>
          <w:b/>
          <w:sz w:val="24"/>
          <w:szCs w:val="24"/>
          <w:lang w:eastAsia="zh-CN"/>
        </w:rPr>
      </w:pPr>
      <w:r w:rsidRPr="00CC6AEB">
        <w:rPr>
          <w:rFonts w:ascii="Book Antiqua" w:hAnsi="Book Antiqua" w:cs="SimSun"/>
          <w:b/>
          <w:sz w:val="24"/>
          <w:szCs w:val="24"/>
          <w:lang w:eastAsia="zh-CN"/>
        </w:rPr>
        <w:t>Peer-review report’s scientific quality classification</w:t>
      </w:r>
    </w:p>
    <w:p w14:paraId="000FF58D" w14:textId="1B73E654" w:rsidR="0077520B" w:rsidRPr="00CC6AEB" w:rsidRDefault="0077520B" w:rsidP="00CC6AEB">
      <w:pPr>
        <w:widowControl w:val="0"/>
        <w:adjustRightInd w:val="0"/>
        <w:snapToGrid w:val="0"/>
        <w:spacing w:after="0" w:line="360" w:lineRule="auto"/>
        <w:jc w:val="both"/>
        <w:rPr>
          <w:rFonts w:ascii="Book Antiqua" w:hAnsi="Book Antiqua" w:cs="SimSun"/>
          <w:sz w:val="24"/>
          <w:szCs w:val="24"/>
          <w:lang w:eastAsia="zh-CN"/>
        </w:rPr>
      </w:pPr>
      <w:r w:rsidRPr="00CC6AEB">
        <w:rPr>
          <w:rFonts w:ascii="Book Antiqua" w:hAnsi="Book Antiqua" w:cs="SimSun"/>
          <w:sz w:val="24"/>
          <w:szCs w:val="24"/>
          <w:lang w:eastAsia="zh-CN"/>
        </w:rPr>
        <w:t>Grade A (Excellent): 0</w:t>
      </w:r>
    </w:p>
    <w:p w14:paraId="7F4BD219" w14:textId="77777777" w:rsidR="0077520B" w:rsidRPr="00CC6AEB" w:rsidRDefault="0077520B" w:rsidP="00CC6AEB">
      <w:pPr>
        <w:widowControl w:val="0"/>
        <w:adjustRightInd w:val="0"/>
        <w:snapToGrid w:val="0"/>
        <w:spacing w:after="0" w:line="360" w:lineRule="auto"/>
        <w:jc w:val="both"/>
        <w:rPr>
          <w:rFonts w:ascii="Book Antiqua" w:hAnsi="Book Antiqua" w:cs="SimSun"/>
          <w:sz w:val="24"/>
          <w:szCs w:val="24"/>
          <w:lang w:eastAsia="zh-CN"/>
        </w:rPr>
      </w:pPr>
      <w:r w:rsidRPr="00CC6AEB">
        <w:rPr>
          <w:rFonts w:ascii="Book Antiqua" w:hAnsi="Book Antiqua" w:cs="SimSun"/>
          <w:sz w:val="24"/>
          <w:szCs w:val="24"/>
          <w:lang w:eastAsia="zh-CN"/>
        </w:rPr>
        <w:t>Grade B (Very good): 0</w:t>
      </w:r>
    </w:p>
    <w:p w14:paraId="1AC80BE9" w14:textId="7E118A3F" w:rsidR="0077520B" w:rsidRPr="00CC6AEB" w:rsidRDefault="0077520B" w:rsidP="00CC6AEB">
      <w:pPr>
        <w:widowControl w:val="0"/>
        <w:adjustRightInd w:val="0"/>
        <w:snapToGrid w:val="0"/>
        <w:spacing w:after="0" w:line="360" w:lineRule="auto"/>
        <w:jc w:val="both"/>
        <w:rPr>
          <w:rFonts w:ascii="Book Antiqua" w:hAnsi="Book Antiqua" w:cs="SimSun"/>
          <w:sz w:val="24"/>
          <w:szCs w:val="24"/>
          <w:lang w:eastAsia="zh-CN"/>
        </w:rPr>
      </w:pPr>
      <w:r w:rsidRPr="00CC6AEB">
        <w:rPr>
          <w:rFonts w:ascii="Book Antiqua" w:hAnsi="Book Antiqua" w:cs="SimSun"/>
          <w:sz w:val="24"/>
          <w:szCs w:val="24"/>
          <w:lang w:eastAsia="zh-CN"/>
        </w:rPr>
        <w:t>Grade C (Good): C</w:t>
      </w:r>
      <w:r w:rsidR="00123C60" w:rsidRPr="00CC6AEB">
        <w:rPr>
          <w:rFonts w:ascii="Book Antiqua" w:hAnsi="Book Antiqua" w:cs="SimSun"/>
          <w:sz w:val="24"/>
          <w:szCs w:val="24"/>
          <w:lang w:eastAsia="zh-CN"/>
        </w:rPr>
        <w:t>, C</w:t>
      </w:r>
    </w:p>
    <w:p w14:paraId="077DB075" w14:textId="77777777" w:rsidR="0077520B" w:rsidRPr="00CC6AEB" w:rsidRDefault="0077520B" w:rsidP="00CC6AEB">
      <w:pPr>
        <w:widowControl w:val="0"/>
        <w:adjustRightInd w:val="0"/>
        <w:snapToGrid w:val="0"/>
        <w:spacing w:after="0" w:line="360" w:lineRule="auto"/>
        <w:jc w:val="both"/>
        <w:rPr>
          <w:rFonts w:ascii="Book Antiqua" w:hAnsi="Book Antiqua" w:cs="SimSun"/>
          <w:sz w:val="24"/>
          <w:szCs w:val="24"/>
          <w:lang w:eastAsia="zh-CN"/>
        </w:rPr>
      </w:pPr>
      <w:r w:rsidRPr="00CC6AEB">
        <w:rPr>
          <w:rFonts w:ascii="Book Antiqua" w:hAnsi="Book Antiqua" w:cs="SimSun"/>
          <w:sz w:val="24"/>
          <w:szCs w:val="24"/>
          <w:lang w:eastAsia="zh-CN"/>
        </w:rPr>
        <w:t>Grade D (Fair): 0</w:t>
      </w:r>
    </w:p>
    <w:p w14:paraId="76780858" w14:textId="7BE71E90" w:rsidR="00FD14FF" w:rsidRPr="00CC6AEB" w:rsidRDefault="0077520B" w:rsidP="00CC6AEB">
      <w:pPr>
        <w:snapToGrid w:val="0"/>
        <w:spacing w:after="0" w:line="360" w:lineRule="auto"/>
        <w:jc w:val="both"/>
        <w:rPr>
          <w:rFonts w:ascii="Book Antiqua" w:hAnsi="Book Antiqua" w:cs="Arial"/>
          <w:b/>
          <w:sz w:val="24"/>
          <w:szCs w:val="24"/>
        </w:rPr>
      </w:pPr>
      <w:r w:rsidRPr="00CC6AEB">
        <w:rPr>
          <w:rFonts w:ascii="Book Antiqua" w:hAnsi="Book Antiqua" w:cs="SimSun"/>
          <w:sz w:val="24"/>
          <w:szCs w:val="24"/>
          <w:lang w:eastAsia="zh-CN"/>
        </w:rPr>
        <w:t>Grade E (Poor): 0</w:t>
      </w:r>
    </w:p>
    <w:p w14:paraId="5B679209" w14:textId="4534085E" w:rsidR="00FD14FF" w:rsidRPr="00CC6AEB" w:rsidRDefault="00FD14FF" w:rsidP="00CC6AEB">
      <w:pPr>
        <w:snapToGrid w:val="0"/>
        <w:spacing w:after="0" w:line="360" w:lineRule="auto"/>
        <w:jc w:val="both"/>
        <w:rPr>
          <w:rFonts w:ascii="Book Antiqua" w:hAnsi="Book Antiqua" w:cs="Arial"/>
          <w:b/>
          <w:sz w:val="24"/>
          <w:szCs w:val="24"/>
        </w:rPr>
      </w:pPr>
    </w:p>
    <w:p w14:paraId="32211675" w14:textId="6F189169" w:rsidR="007D5644" w:rsidRPr="00CC6AEB" w:rsidRDefault="0077520B" w:rsidP="00CC6AEB">
      <w:pPr>
        <w:widowControl w:val="0"/>
        <w:adjustRightInd w:val="0"/>
        <w:snapToGrid w:val="0"/>
        <w:spacing w:after="0" w:line="360" w:lineRule="auto"/>
        <w:jc w:val="both"/>
        <w:rPr>
          <w:rFonts w:ascii="Book Antiqua" w:hAnsi="Book Antiqua"/>
          <w:b/>
          <w:bCs/>
          <w:color w:val="000000"/>
          <w:kern w:val="2"/>
          <w:sz w:val="24"/>
          <w:szCs w:val="24"/>
          <w:lang w:eastAsia="zh-CN"/>
        </w:rPr>
      </w:pPr>
      <w:bookmarkStart w:id="40" w:name="OLE_LINK139"/>
      <w:bookmarkStart w:id="41" w:name="OLE_LINK140"/>
      <w:r w:rsidRPr="00CC6AEB">
        <w:rPr>
          <w:rFonts w:ascii="Book Antiqua" w:hAnsi="Book Antiqua"/>
          <w:b/>
          <w:bCs/>
          <w:color w:val="000000"/>
          <w:kern w:val="2"/>
          <w:sz w:val="24"/>
          <w:szCs w:val="24"/>
          <w:lang w:eastAsia="zh-CN"/>
        </w:rPr>
        <w:t>P-Reviewer:</w:t>
      </w:r>
      <w:r w:rsidRPr="00CC6AEB">
        <w:rPr>
          <w:rFonts w:ascii="Book Antiqua" w:hAnsi="Book Antiqua"/>
          <w:bCs/>
          <w:color w:val="000000"/>
          <w:kern w:val="2"/>
          <w:sz w:val="24"/>
          <w:szCs w:val="24"/>
          <w:lang w:eastAsia="zh-CN"/>
        </w:rPr>
        <w:t xml:space="preserve"> </w:t>
      </w:r>
      <w:r w:rsidR="00123C60" w:rsidRPr="00CC6AEB">
        <w:rPr>
          <w:rFonts w:ascii="Book Antiqua" w:hAnsi="Book Antiqua"/>
          <w:bCs/>
          <w:color w:val="000000"/>
          <w:kern w:val="2"/>
          <w:sz w:val="24"/>
          <w:szCs w:val="24"/>
          <w:lang w:eastAsia="zh-CN"/>
        </w:rPr>
        <w:t>Fiore M,</w:t>
      </w:r>
      <w:r w:rsidR="00123C60" w:rsidRPr="00CC6AEB">
        <w:rPr>
          <w:rFonts w:ascii="Book Antiqua" w:hAnsi="Book Antiqua"/>
          <w:sz w:val="24"/>
          <w:szCs w:val="24"/>
        </w:rPr>
        <w:t xml:space="preserve"> </w:t>
      </w:r>
      <w:r w:rsidR="00123C60" w:rsidRPr="00CC6AEB">
        <w:rPr>
          <w:rFonts w:ascii="Book Antiqua" w:hAnsi="Book Antiqua"/>
          <w:bCs/>
          <w:color w:val="000000"/>
          <w:kern w:val="2"/>
          <w:sz w:val="24"/>
          <w:szCs w:val="24"/>
          <w:lang w:eastAsia="zh-CN"/>
        </w:rPr>
        <w:t xml:space="preserve">Ho CM </w:t>
      </w:r>
      <w:r w:rsidRPr="00CC6AEB">
        <w:rPr>
          <w:rFonts w:ascii="Book Antiqua" w:hAnsi="Book Antiqua"/>
          <w:b/>
          <w:bCs/>
          <w:color w:val="000000"/>
          <w:kern w:val="2"/>
          <w:sz w:val="24"/>
          <w:szCs w:val="24"/>
          <w:lang w:eastAsia="zh-CN"/>
        </w:rPr>
        <w:t>S-Editor:</w:t>
      </w:r>
      <w:r w:rsidRPr="00CC6AEB">
        <w:rPr>
          <w:rFonts w:ascii="Book Antiqua" w:hAnsi="Book Antiqua"/>
          <w:color w:val="000000"/>
          <w:kern w:val="2"/>
          <w:sz w:val="24"/>
          <w:szCs w:val="24"/>
          <w:lang w:eastAsia="zh-CN"/>
        </w:rPr>
        <w:t xml:space="preserve"> Zhang L </w:t>
      </w:r>
      <w:r w:rsidRPr="00CC6AEB">
        <w:rPr>
          <w:rFonts w:ascii="Book Antiqua" w:hAnsi="Book Antiqua"/>
          <w:b/>
          <w:bCs/>
          <w:color w:val="000000"/>
          <w:kern w:val="2"/>
          <w:sz w:val="24"/>
          <w:szCs w:val="24"/>
          <w:lang w:eastAsia="zh-CN"/>
        </w:rPr>
        <w:t>L-Editor:</w:t>
      </w:r>
      <w:r w:rsidRPr="00CC6AEB">
        <w:rPr>
          <w:rFonts w:ascii="Book Antiqua" w:hAnsi="Book Antiqua"/>
          <w:color w:val="000000"/>
          <w:kern w:val="2"/>
          <w:sz w:val="24"/>
          <w:szCs w:val="24"/>
          <w:lang w:eastAsia="zh-CN"/>
        </w:rPr>
        <w:t xml:space="preserve"> </w:t>
      </w:r>
      <w:r w:rsidR="00F128D9">
        <w:rPr>
          <w:rFonts w:ascii="Book Antiqua" w:hAnsi="Book Antiqua"/>
          <w:b/>
          <w:bCs/>
          <w:color w:val="000000"/>
          <w:kern w:val="2"/>
          <w:sz w:val="24"/>
          <w:szCs w:val="24"/>
          <w:lang w:eastAsia="zh-CN"/>
        </w:rPr>
        <w:t>P</w:t>
      </w:r>
      <w:r w:rsidRPr="00CC6AEB">
        <w:rPr>
          <w:rFonts w:ascii="Book Antiqua" w:hAnsi="Book Antiqua"/>
          <w:b/>
          <w:bCs/>
          <w:color w:val="000000"/>
          <w:kern w:val="2"/>
          <w:sz w:val="24"/>
          <w:szCs w:val="24"/>
          <w:lang w:eastAsia="zh-CN"/>
        </w:rPr>
        <w:t>-Editor:</w:t>
      </w:r>
      <w:bookmarkEnd w:id="40"/>
      <w:bookmarkEnd w:id="41"/>
    </w:p>
    <w:p w14:paraId="425BCB58" w14:textId="77777777" w:rsidR="007D5644" w:rsidRPr="00CC6AEB" w:rsidRDefault="007D5644" w:rsidP="00CC6AEB">
      <w:pPr>
        <w:snapToGrid w:val="0"/>
        <w:spacing w:after="0" w:line="360" w:lineRule="auto"/>
        <w:jc w:val="both"/>
        <w:rPr>
          <w:rFonts w:ascii="Book Antiqua" w:hAnsi="Book Antiqua"/>
          <w:b/>
          <w:bCs/>
          <w:color w:val="000000"/>
          <w:kern w:val="2"/>
          <w:sz w:val="24"/>
          <w:szCs w:val="24"/>
          <w:lang w:eastAsia="zh-CN"/>
        </w:rPr>
      </w:pPr>
      <w:r w:rsidRPr="00CC6AEB">
        <w:rPr>
          <w:rFonts w:ascii="Book Antiqua" w:hAnsi="Book Antiqua"/>
          <w:b/>
          <w:bCs/>
          <w:color w:val="000000"/>
          <w:kern w:val="2"/>
          <w:sz w:val="24"/>
          <w:szCs w:val="24"/>
          <w:lang w:eastAsia="zh-CN"/>
        </w:rPr>
        <w:br w:type="page"/>
      </w:r>
    </w:p>
    <w:p w14:paraId="34C05F5E" w14:textId="630A7226" w:rsidR="00FD14FF" w:rsidRPr="00CC6AEB" w:rsidRDefault="007D5644" w:rsidP="00CC6AEB">
      <w:pPr>
        <w:widowControl w:val="0"/>
        <w:adjustRightInd w:val="0"/>
        <w:snapToGrid w:val="0"/>
        <w:spacing w:after="0" w:line="360" w:lineRule="auto"/>
        <w:jc w:val="both"/>
        <w:rPr>
          <w:rFonts w:ascii="Book Antiqua" w:hAnsi="Book Antiqua"/>
          <w:b/>
          <w:bCs/>
          <w:color w:val="000000"/>
          <w:kern w:val="2"/>
          <w:sz w:val="24"/>
          <w:szCs w:val="24"/>
          <w:lang w:eastAsia="zh-CN"/>
        </w:rPr>
      </w:pPr>
      <w:r w:rsidRPr="00CC6AEB">
        <w:rPr>
          <w:rFonts w:ascii="Book Antiqua" w:hAnsi="Book Antiqua"/>
          <w:b/>
          <w:bCs/>
          <w:color w:val="000000"/>
          <w:kern w:val="2"/>
          <w:sz w:val="24"/>
          <w:szCs w:val="24"/>
          <w:lang w:eastAsia="zh-CN"/>
        </w:rPr>
        <w:lastRenderedPageBreak/>
        <w:t>Figure Legends</w:t>
      </w:r>
    </w:p>
    <w:p w14:paraId="22CA17AA" w14:textId="50BC06C9" w:rsidR="007D5644" w:rsidRPr="00CC6AEB" w:rsidRDefault="007D5644" w:rsidP="00CC6AEB">
      <w:pPr>
        <w:widowControl w:val="0"/>
        <w:adjustRightInd w:val="0"/>
        <w:snapToGrid w:val="0"/>
        <w:spacing w:after="0" w:line="360" w:lineRule="auto"/>
        <w:jc w:val="both"/>
        <w:rPr>
          <w:rFonts w:ascii="Book Antiqua" w:hAnsi="Book Antiqua"/>
          <w:b/>
          <w:bCs/>
          <w:color w:val="000000"/>
          <w:kern w:val="2"/>
          <w:sz w:val="24"/>
          <w:szCs w:val="24"/>
          <w:lang w:eastAsia="zh-CN"/>
        </w:rPr>
      </w:pPr>
      <w:r w:rsidRPr="00CC6AEB">
        <w:rPr>
          <w:rFonts w:ascii="Book Antiqua" w:hAnsi="Book Antiqua"/>
          <w:b/>
          <w:bCs/>
          <w:noProof/>
          <w:color w:val="000000"/>
          <w:kern w:val="2"/>
          <w:sz w:val="24"/>
          <w:szCs w:val="24"/>
          <w:lang w:eastAsia="zh-CN"/>
        </w:rPr>
        <w:drawing>
          <wp:inline distT="0" distB="0" distL="0" distR="0" wp14:anchorId="585D2BE1" wp14:editId="17951891">
            <wp:extent cx="5488306"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8306" cy="3657600"/>
                    </a:xfrm>
                    <a:prstGeom prst="rect">
                      <a:avLst/>
                    </a:prstGeom>
                  </pic:spPr>
                </pic:pic>
              </a:graphicData>
            </a:graphic>
          </wp:inline>
        </w:drawing>
      </w:r>
    </w:p>
    <w:p w14:paraId="4C50A600" w14:textId="622AFD91" w:rsidR="007D5644" w:rsidRPr="00CC6AEB" w:rsidRDefault="007D5644" w:rsidP="00CC6AEB">
      <w:pPr>
        <w:snapToGrid w:val="0"/>
        <w:spacing w:after="0" w:line="360" w:lineRule="auto"/>
        <w:jc w:val="both"/>
        <w:rPr>
          <w:rFonts w:ascii="Book Antiqua" w:eastAsia="Book Antiqua" w:hAnsi="Book Antiqua" w:cs="Arial"/>
          <w:bCs/>
          <w:sz w:val="24"/>
          <w:szCs w:val="24"/>
        </w:rPr>
      </w:pPr>
      <w:r w:rsidRPr="00CC6AEB">
        <w:rPr>
          <w:rFonts w:ascii="Book Antiqua" w:hAnsi="Book Antiqua" w:cs="Arial"/>
          <w:b/>
          <w:sz w:val="24"/>
          <w:szCs w:val="24"/>
        </w:rPr>
        <w:t xml:space="preserve">Figure 1 </w:t>
      </w:r>
      <w:r w:rsidRPr="00CC6AEB">
        <w:rPr>
          <w:rFonts w:ascii="Book Antiqua" w:eastAsia="Book Antiqua" w:hAnsi="Book Antiqua" w:cs="Arial"/>
          <w:b/>
          <w:sz w:val="24"/>
          <w:szCs w:val="24"/>
        </w:rPr>
        <w:t>Numbers and percentages of the study patients who had responses to (</w:t>
      </w:r>
      <w:r w:rsidRPr="00CC6AEB">
        <w:rPr>
          <w:rFonts w:ascii="Book Antiqua" w:eastAsia="Book Antiqua" w:hAnsi="Book Antiqua" w:cs="Arial"/>
          <w:b/>
          <w:i/>
          <w:iCs/>
          <w:sz w:val="24"/>
          <w:szCs w:val="24"/>
        </w:rPr>
        <w:t>n</w:t>
      </w:r>
      <w:r w:rsidRPr="00CC6AEB">
        <w:rPr>
          <w:rFonts w:ascii="Book Antiqua" w:eastAsia="Book Antiqua" w:hAnsi="Book Antiqua" w:cs="Arial"/>
          <w:b/>
          <w:sz w:val="24"/>
          <w:szCs w:val="24"/>
        </w:rPr>
        <w:t xml:space="preserve"> = 100) and failure of (</w:t>
      </w:r>
      <w:r w:rsidRPr="00CC6AEB">
        <w:rPr>
          <w:rFonts w:ascii="Book Antiqua" w:eastAsia="Book Antiqua" w:hAnsi="Book Antiqua" w:cs="Arial"/>
          <w:b/>
          <w:i/>
          <w:iCs/>
          <w:sz w:val="24"/>
          <w:szCs w:val="24"/>
        </w:rPr>
        <w:t>n</w:t>
      </w:r>
      <w:r w:rsidRPr="00CC6AEB">
        <w:rPr>
          <w:rFonts w:ascii="Book Antiqua" w:eastAsia="Book Antiqua" w:hAnsi="Book Antiqua" w:cs="Arial"/>
          <w:b/>
          <w:sz w:val="24"/>
          <w:szCs w:val="24"/>
        </w:rPr>
        <w:t xml:space="preserve"> = 100) the 16 direct-acting antiviral regimens.</w:t>
      </w:r>
      <w:r w:rsidRPr="00CC6AEB">
        <w:rPr>
          <w:rFonts w:ascii="Book Antiqua" w:eastAsia="Book Antiqua" w:hAnsi="Book Antiqua" w:cs="Arial"/>
          <w:bCs/>
          <w:sz w:val="24"/>
          <w:szCs w:val="24"/>
        </w:rPr>
        <w:t xml:space="preserve"> EBR: Elbasvir; GZR: Grazoprevir; </w:t>
      </w:r>
      <w:proofErr w:type="spellStart"/>
      <w:r w:rsidRPr="00CC6AEB">
        <w:rPr>
          <w:rFonts w:ascii="Book Antiqua" w:eastAsia="Book Antiqua" w:hAnsi="Book Antiqua" w:cs="Arial"/>
          <w:bCs/>
          <w:sz w:val="24"/>
          <w:szCs w:val="24"/>
        </w:rPr>
        <w:t>PrOD</w:t>
      </w:r>
      <w:proofErr w:type="spellEnd"/>
      <w:r w:rsidRPr="00CC6AEB">
        <w:rPr>
          <w:rFonts w:ascii="Book Antiqua" w:eastAsia="Book Antiqua" w:hAnsi="Book Antiqua" w:cs="Arial"/>
          <w:bCs/>
          <w:sz w:val="24"/>
          <w:szCs w:val="24"/>
        </w:rPr>
        <w:t xml:space="preserve">: </w:t>
      </w:r>
      <w:proofErr w:type="spellStart"/>
      <w:r w:rsidRPr="00CC6AEB">
        <w:rPr>
          <w:rFonts w:ascii="Book Antiqua" w:eastAsia="Book Antiqua" w:hAnsi="Book Antiqua" w:cs="Arial"/>
          <w:bCs/>
          <w:sz w:val="24"/>
          <w:szCs w:val="24"/>
        </w:rPr>
        <w:t>Paritaprevir</w:t>
      </w:r>
      <w:proofErr w:type="spellEnd"/>
      <w:r w:rsidRPr="00CC6AEB">
        <w:rPr>
          <w:rFonts w:ascii="Book Antiqua" w:eastAsia="Book Antiqua" w:hAnsi="Book Antiqua" w:cs="Arial"/>
          <w:bCs/>
          <w:sz w:val="24"/>
          <w:szCs w:val="24"/>
        </w:rPr>
        <w:t>-ritonavir-</w:t>
      </w:r>
      <w:proofErr w:type="spellStart"/>
      <w:r w:rsidRPr="00CC6AEB">
        <w:rPr>
          <w:rFonts w:ascii="Book Antiqua" w:eastAsia="Book Antiqua" w:hAnsi="Book Antiqua" w:cs="Arial"/>
          <w:bCs/>
          <w:sz w:val="24"/>
          <w:szCs w:val="24"/>
        </w:rPr>
        <w:t>ombitasvir</w:t>
      </w:r>
      <w:proofErr w:type="spellEnd"/>
      <w:r w:rsidRPr="00CC6AEB">
        <w:rPr>
          <w:rFonts w:ascii="Book Antiqua" w:eastAsia="Book Antiqua" w:hAnsi="Book Antiqua" w:cs="Arial"/>
          <w:bCs/>
          <w:sz w:val="24"/>
          <w:szCs w:val="24"/>
        </w:rPr>
        <w:t xml:space="preserve">-dasabuvir; SIM: </w:t>
      </w:r>
      <w:proofErr w:type="spellStart"/>
      <w:r w:rsidRPr="00CC6AEB">
        <w:rPr>
          <w:rFonts w:ascii="Book Antiqua" w:eastAsia="Book Antiqua" w:hAnsi="Book Antiqua" w:cs="Arial"/>
          <w:bCs/>
          <w:sz w:val="24"/>
          <w:szCs w:val="24"/>
        </w:rPr>
        <w:t>Simeprevir</w:t>
      </w:r>
      <w:proofErr w:type="spellEnd"/>
      <w:r w:rsidRPr="00CC6AEB">
        <w:rPr>
          <w:rFonts w:ascii="Book Antiqua" w:eastAsia="Book Antiqua" w:hAnsi="Book Antiqua" w:cs="Arial"/>
          <w:bCs/>
          <w:sz w:val="24"/>
          <w:szCs w:val="24"/>
        </w:rPr>
        <w:t>.</w:t>
      </w:r>
    </w:p>
    <w:p w14:paraId="264EA1DB" w14:textId="77777777" w:rsidR="007D5644" w:rsidRPr="00CC6AEB" w:rsidRDefault="007D5644" w:rsidP="00CC6AEB">
      <w:pPr>
        <w:snapToGrid w:val="0"/>
        <w:spacing w:after="0" w:line="360" w:lineRule="auto"/>
        <w:jc w:val="both"/>
        <w:rPr>
          <w:rFonts w:ascii="Book Antiqua" w:eastAsia="Book Antiqua" w:hAnsi="Book Antiqua" w:cs="Arial"/>
          <w:bCs/>
          <w:sz w:val="24"/>
          <w:szCs w:val="24"/>
        </w:rPr>
      </w:pPr>
      <w:r w:rsidRPr="00CC6AEB">
        <w:rPr>
          <w:rFonts w:ascii="Book Antiqua" w:eastAsia="Book Antiqua" w:hAnsi="Book Antiqua" w:cs="Arial"/>
          <w:bCs/>
          <w:sz w:val="24"/>
          <w:szCs w:val="24"/>
        </w:rPr>
        <w:br w:type="page"/>
      </w:r>
    </w:p>
    <w:p w14:paraId="01022A7E" w14:textId="5A0CE26A" w:rsidR="007D5644" w:rsidRPr="00CC6AEB" w:rsidRDefault="007D5644" w:rsidP="00CC6AEB">
      <w:pPr>
        <w:snapToGrid w:val="0"/>
        <w:spacing w:after="0" w:line="360" w:lineRule="auto"/>
        <w:jc w:val="both"/>
        <w:rPr>
          <w:rFonts w:ascii="Book Antiqua" w:hAnsi="Book Antiqua" w:cs="Arial"/>
          <w:b/>
          <w:sz w:val="24"/>
          <w:szCs w:val="24"/>
        </w:rPr>
      </w:pPr>
      <w:r w:rsidRPr="00CC6AEB">
        <w:rPr>
          <w:rFonts w:ascii="Book Antiqua" w:hAnsi="Book Antiqua" w:cs="Arial"/>
          <w:b/>
          <w:noProof/>
          <w:sz w:val="24"/>
          <w:szCs w:val="24"/>
          <w:lang w:eastAsia="zh-CN"/>
        </w:rPr>
        <w:lastRenderedPageBreak/>
        <w:drawing>
          <wp:inline distT="0" distB="0" distL="0" distR="0" wp14:anchorId="3B56DFB7" wp14:editId="49F31CAF">
            <wp:extent cx="5486400" cy="600964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6009640"/>
                    </a:xfrm>
                    <a:prstGeom prst="rect">
                      <a:avLst/>
                    </a:prstGeom>
                  </pic:spPr>
                </pic:pic>
              </a:graphicData>
            </a:graphic>
          </wp:inline>
        </w:drawing>
      </w:r>
    </w:p>
    <w:p w14:paraId="52D4E48C" w14:textId="02AFAD90" w:rsidR="007D5644" w:rsidRPr="00CC6AEB" w:rsidRDefault="007D5644" w:rsidP="00CC6AEB">
      <w:pPr>
        <w:snapToGrid w:val="0"/>
        <w:spacing w:after="0" w:line="360" w:lineRule="auto"/>
        <w:jc w:val="both"/>
        <w:rPr>
          <w:rFonts w:ascii="Book Antiqua" w:hAnsi="Book Antiqua" w:cs="Arial"/>
          <w:b/>
          <w:sz w:val="24"/>
          <w:szCs w:val="24"/>
        </w:rPr>
      </w:pPr>
      <w:r w:rsidRPr="00CC6AEB">
        <w:rPr>
          <w:rFonts w:ascii="Book Antiqua" w:hAnsi="Book Antiqua" w:cs="Arial"/>
          <w:b/>
          <w:sz w:val="24"/>
          <w:szCs w:val="24"/>
        </w:rPr>
        <w:t xml:space="preserve">Figure 2 </w:t>
      </w:r>
      <w:r w:rsidRPr="00CC6AEB">
        <w:rPr>
          <w:rFonts w:ascii="Book Antiqua" w:eastAsia="Book Antiqua" w:hAnsi="Book Antiqua" w:cs="Arial"/>
          <w:b/>
          <w:sz w:val="24"/>
          <w:szCs w:val="24"/>
        </w:rPr>
        <w:t>Mean (± SD) alanine aminotransferase levels in patients who had direct-acting antiviral therapy responses and failure (baseline, week 4, week 8, and week 12).</w:t>
      </w:r>
    </w:p>
    <w:p w14:paraId="28A2261C" w14:textId="77777777" w:rsidR="007D5644" w:rsidRPr="00CC6AEB" w:rsidRDefault="007D5644" w:rsidP="00CC6AEB">
      <w:pPr>
        <w:snapToGrid w:val="0"/>
        <w:spacing w:after="0" w:line="360" w:lineRule="auto"/>
        <w:jc w:val="both"/>
        <w:rPr>
          <w:rFonts w:ascii="Book Antiqua" w:hAnsi="Book Antiqua" w:cs="Arial"/>
          <w:b/>
          <w:sz w:val="24"/>
          <w:szCs w:val="24"/>
        </w:rPr>
      </w:pPr>
      <w:r w:rsidRPr="00CC6AEB">
        <w:rPr>
          <w:rFonts w:ascii="Book Antiqua" w:hAnsi="Book Antiqua" w:cs="Arial"/>
          <w:b/>
          <w:sz w:val="24"/>
          <w:szCs w:val="24"/>
        </w:rPr>
        <w:br w:type="page"/>
      </w:r>
    </w:p>
    <w:p w14:paraId="6674A750" w14:textId="4E9318CD" w:rsidR="007D5644" w:rsidRPr="00CC6AEB" w:rsidRDefault="007D5644" w:rsidP="00CC6AEB">
      <w:pPr>
        <w:pStyle w:val="ListParagraph"/>
        <w:snapToGrid w:val="0"/>
        <w:spacing w:after="0" w:line="360" w:lineRule="auto"/>
        <w:ind w:left="0"/>
        <w:contextualSpacing w:val="0"/>
        <w:jc w:val="both"/>
        <w:rPr>
          <w:rFonts w:ascii="Book Antiqua" w:hAnsi="Book Antiqua" w:cs="Arial"/>
          <w:b/>
          <w:sz w:val="24"/>
          <w:szCs w:val="24"/>
          <w:lang w:eastAsia="zh-CN"/>
        </w:rPr>
      </w:pPr>
      <w:r w:rsidRPr="00CC6AEB">
        <w:rPr>
          <w:rFonts w:ascii="Book Antiqua" w:hAnsi="Book Antiqua" w:cs="Arial"/>
          <w:b/>
          <w:noProof/>
          <w:sz w:val="24"/>
          <w:szCs w:val="24"/>
          <w:lang w:eastAsia="zh-CN"/>
        </w:rPr>
        <w:lastRenderedPageBreak/>
        <w:drawing>
          <wp:inline distT="0" distB="0" distL="0" distR="0" wp14:anchorId="7C2B5F83" wp14:editId="3A63B86B">
            <wp:extent cx="5486400" cy="5969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3.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5969000"/>
                    </a:xfrm>
                    <a:prstGeom prst="rect">
                      <a:avLst/>
                    </a:prstGeom>
                  </pic:spPr>
                </pic:pic>
              </a:graphicData>
            </a:graphic>
          </wp:inline>
        </w:drawing>
      </w:r>
    </w:p>
    <w:p w14:paraId="6D92E2B7" w14:textId="73787C59" w:rsidR="007D5644" w:rsidRPr="00CC6AEB" w:rsidRDefault="007D5644" w:rsidP="00CC6AEB">
      <w:pPr>
        <w:pStyle w:val="ListParagraph"/>
        <w:snapToGrid w:val="0"/>
        <w:spacing w:after="0" w:line="360" w:lineRule="auto"/>
        <w:ind w:left="0"/>
        <w:contextualSpacing w:val="0"/>
        <w:jc w:val="both"/>
        <w:rPr>
          <w:rFonts w:ascii="Book Antiqua" w:eastAsia="Book Antiqua" w:hAnsi="Book Antiqua" w:cs="Arial"/>
          <w:b/>
          <w:sz w:val="24"/>
          <w:szCs w:val="24"/>
        </w:rPr>
      </w:pPr>
      <w:bookmarkStart w:id="42" w:name="OLE_LINK35"/>
      <w:bookmarkStart w:id="43" w:name="OLE_LINK36"/>
      <w:r w:rsidRPr="00CC6AEB">
        <w:rPr>
          <w:rFonts w:ascii="Book Antiqua" w:hAnsi="Book Antiqua" w:cs="Arial"/>
          <w:b/>
          <w:sz w:val="24"/>
          <w:szCs w:val="24"/>
          <w:lang w:eastAsia="zh-CN"/>
        </w:rPr>
        <w:t xml:space="preserve">Figure 3 </w:t>
      </w:r>
      <w:r w:rsidRPr="00CC6AEB">
        <w:rPr>
          <w:rFonts w:ascii="Book Antiqua" w:eastAsia="Book Antiqua" w:hAnsi="Book Antiqua" w:cs="Arial"/>
          <w:b/>
          <w:sz w:val="24"/>
          <w:szCs w:val="24"/>
        </w:rPr>
        <w:t>Mean (± SD) platelet counts in patients who had direct-acting antiviral therapy responses and failure (baseline, week 4, week 8, and week 12).</w:t>
      </w:r>
    </w:p>
    <w:bookmarkEnd w:id="42"/>
    <w:bookmarkEnd w:id="43"/>
    <w:p w14:paraId="20790EA8" w14:textId="77777777" w:rsidR="0077520B" w:rsidRPr="00CC6AEB" w:rsidRDefault="0077520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br w:type="page"/>
      </w:r>
    </w:p>
    <w:p w14:paraId="59C5590A" w14:textId="44EBB5A2" w:rsidR="00B21FDB" w:rsidRPr="00CC6AEB" w:rsidRDefault="00B21FD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 xml:space="preserve">Table 1 Characteristics of the </w:t>
      </w:r>
      <w:r w:rsidR="00C23AE1" w:rsidRPr="00CC6AEB">
        <w:rPr>
          <w:rFonts w:ascii="Book Antiqua" w:eastAsia="Book Antiqua" w:hAnsi="Book Antiqua" w:cs="Arial"/>
          <w:b/>
          <w:sz w:val="24"/>
          <w:szCs w:val="24"/>
        </w:rPr>
        <w:t>s</w:t>
      </w:r>
      <w:r w:rsidRPr="00CC6AEB">
        <w:rPr>
          <w:rFonts w:ascii="Book Antiqua" w:eastAsia="Book Antiqua" w:hAnsi="Book Antiqua" w:cs="Arial"/>
          <w:b/>
          <w:sz w:val="24"/>
          <w:szCs w:val="24"/>
        </w:rPr>
        <w:t xml:space="preserve">tudy </w:t>
      </w:r>
      <w:r w:rsidR="00C23AE1" w:rsidRPr="00CC6AEB">
        <w:rPr>
          <w:rFonts w:ascii="Book Antiqua" w:eastAsia="Book Antiqua" w:hAnsi="Book Antiqua" w:cs="Arial"/>
          <w:b/>
          <w:sz w:val="24"/>
          <w:szCs w:val="24"/>
        </w:rPr>
        <w:t>p</w:t>
      </w:r>
      <w:r w:rsidRPr="00CC6AEB">
        <w:rPr>
          <w:rFonts w:ascii="Book Antiqua" w:eastAsia="Book Antiqua" w:hAnsi="Book Antiqua" w:cs="Arial"/>
          <w:b/>
          <w:sz w:val="24"/>
          <w:szCs w:val="24"/>
        </w:rPr>
        <w:t xml:space="preserve">opulation </w:t>
      </w:r>
      <w:r w:rsidR="00C23AE1" w:rsidRPr="00CC6AEB">
        <w:rPr>
          <w:rFonts w:ascii="Book Antiqua" w:eastAsia="Book Antiqua" w:hAnsi="Book Antiqua" w:cs="Arial"/>
          <w:b/>
          <w:sz w:val="24"/>
          <w:szCs w:val="24"/>
        </w:rPr>
        <w:t>a</w:t>
      </w:r>
      <w:r w:rsidRPr="00CC6AEB">
        <w:rPr>
          <w:rFonts w:ascii="Book Antiqua" w:eastAsia="Book Antiqua" w:hAnsi="Book Antiqua" w:cs="Arial"/>
          <w:b/>
          <w:sz w:val="24"/>
          <w:szCs w:val="24"/>
        </w:rPr>
        <w:t xml:space="preserve">ccording to </w:t>
      </w:r>
      <w:r w:rsidR="00C23AE1" w:rsidRPr="00CC6AEB">
        <w:rPr>
          <w:rFonts w:ascii="Book Antiqua" w:eastAsia="Book Antiqua" w:hAnsi="Book Antiqua" w:cs="Arial"/>
          <w:b/>
          <w:sz w:val="24"/>
          <w:szCs w:val="24"/>
        </w:rPr>
        <w:t>p</w:t>
      </w:r>
      <w:r w:rsidRPr="00CC6AEB">
        <w:rPr>
          <w:rFonts w:ascii="Book Antiqua" w:eastAsia="Book Antiqua" w:hAnsi="Book Antiqua" w:cs="Arial"/>
          <w:b/>
          <w:sz w:val="24"/>
          <w:szCs w:val="24"/>
        </w:rPr>
        <w:t xml:space="preserve">re-transplantation </w:t>
      </w:r>
      <w:bookmarkStart w:id="44" w:name="_Hlk44932743"/>
      <w:r w:rsidR="00C23AE1" w:rsidRPr="00CC6AEB">
        <w:rPr>
          <w:rFonts w:ascii="Book Antiqua" w:eastAsia="Book Antiqua" w:hAnsi="Book Antiqua" w:cs="Arial"/>
          <w:b/>
          <w:sz w:val="24"/>
          <w:szCs w:val="24"/>
        </w:rPr>
        <w:t>hepatocellular carcinoma</w:t>
      </w:r>
      <w:bookmarkEnd w:id="44"/>
      <w:r w:rsidRPr="00CC6AEB">
        <w:rPr>
          <w:rFonts w:ascii="Book Antiqua" w:eastAsia="Book Antiqua" w:hAnsi="Book Antiqua" w:cs="Arial"/>
          <w:b/>
          <w:sz w:val="24"/>
          <w:szCs w:val="24"/>
        </w:rPr>
        <w:t xml:space="preserve"> </w:t>
      </w:r>
      <w:r w:rsidR="00C23AE1" w:rsidRPr="00CC6AEB">
        <w:rPr>
          <w:rFonts w:ascii="Book Antiqua" w:eastAsia="Book Antiqua" w:hAnsi="Book Antiqua" w:cs="Arial"/>
          <w:b/>
          <w:sz w:val="24"/>
          <w:szCs w:val="24"/>
        </w:rPr>
        <w:t>s</w:t>
      </w:r>
      <w:r w:rsidRPr="00CC6AEB">
        <w:rPr>
          <w:rFonts w:ascii="Book Antiqua" w:eastAsia="Book Antiqua" w:hAnsi="Book Antiqua" w:cs="Arial"/>
          <w:b/>
          <w:sz w:val="24"/>
          <w:szCs w:val="24"/>
        </w:rPr>
        <w:t xml:space="preserve">tatus </w:t>
      </w:r>
    </w:p>
    <w:tbl>
      <w:tblPr>
        <w:tblStyle w:val="GridTable1Light-Accent31"/>
        <w:tblW w:w="89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1417"/>
        <w:gridCol w:w="993"/>
      </w:tblGrid>
      <w:tr w:rsidR="00B21FDB" w:rsidRPr="00CC6AEB" w14:paraId="5AC8DB4C" w14:textId="77777777" w:rsidTr="004D7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nil"/>
            </w:tcBorders>
          </w:tcPr>
          <w:p w14:paraId="02F5B778" w14:textId="77777777" w:rsidR="00B21FDB" w:rsidRPr="00CC6AEB" w:rsidRDefault="00B21FDB" w:rsidP="00CC6AEB">
            <w:pPr>
              <w:snapToGrid w:val="0"/>
              <w:spacing w:line="360" w:lineRule="auto"/>
              <w:jc w:val="both"/>
              <w:rPr>
                <w:rFonts w:ascii="Book Antiqua" w:hAnsi="Book Antiqua" w:cs="Arial"/>
                <w:sz w:val="24"/>
                <w:szCs w:val="24"/>
              </w:rPr>
            </w:pPr>
          </w:p>
        </w:tc>
        <w:tc>
          <w:tcPr>
            <w:tcW w:w="3402" w:type="dxa"/>
            <w:gridSpan w:val="2"/>
            <w:tcBorders>
              <w:bottom w:val="nil"/>
            </w:tcBorders>
          </w:tcPr>
          <w:p w14:paraId="278C1A1D"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Number (%)</w:t>
            </w:r>
          </w:p>
        </w:tc>
        <w:tc>
          <w:tcPr>
            <w:tcW w:w="993" w:type="dxa"/>
            <w:tcBorders>
              <w:bottom w:val="nil"/>
            </w:tcBorders>
          </w:tcPr>
          <w:p w14:paraId="44D281C2"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p>
        </w:tc>
      </w:tr>
      <w:tr w:rsidR="00B21FDB" w:rsidRPr="00CC6AEB" w14:paraId="03FB6B54" w14:textId="77777777" w:rsidTr="004D77A1">
        <w:tc>
          <w:tcPr>
            <w:cnfStyle w:val="001000000000" w:firstRow="0" w:lastRow="0" w:firstColumn="1" w:lastColumn="0" w:oddVBand="0" w:evenVBand="0" w:oddHBand="0" w:evenHBand="0" w:firstRowFirstColumn="0" w:firstRowLastColumn="0" w:lastRowFirstColumn="0" w:lastRowLastColumn="0"/>
            <w:tcW w:w="4536" w:type="dxa"/>
            <w:tcBorders>
              <w:top w:val="nil"/>
              <w:bottom w:val="single" w:sz="4" w:space="0" w:color="auto"/>
            </w:tcBorders>
          </w:tcPr>
          <w:p w14:paraId="048DB03C" w14:textId="77777777"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 xml:space="preserve">Characteristic </w:t>
            </w:r>
          </w:p>
        </w:tc>
        <w:tc>
          <w:tcPr>
            <w:tcW w:w="1985" w:type="dxa"/>
            <w:tcBorders>
              <w:top w:val="nil"/>
              <w:bottom w:val="single" w:sz="4" w:space="0" w:color="auto"/>
            </w:tcBorders>
          </w:tcPr>
          <w:p w14:paraId="28AA2963" w14:textId="32232138" w:rsidR="00B21FDB" w:rsidRPr="00CC6AEB" w:rsidRDefault="00123C60"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Non-HCC</w:t>
            </w:r>
            <w:r w:rsidRPr="00CC6AEB">
              <w:rPr>
                <w:rFonts w:ascii="Book Antiqua" w:hAnsi="Book Antiqua" w:cs="Arial"/>
                <w:b/>
                <w:sz w:val="24"/>
                <w:szCs w:val="24"/>
                <w:lang w:eastAsia="zh-CN"/>
              </w:rPr>
              <w:t xml:space="preserve">, </w:t>
            </w:r>
            <w:r w:rsidR="00B21FDB" w:rsidRPr="00CC6AEB">
              <w:rPr>
                <w:rFonts w:ascii="Book Antiqua" w:hAnsi="Book Antiqua" w:cs="Arial"/>
                <w:b/>
                <w:sz w:val="24"/>
                <w:szCs w:val="24"/>
              </w:rPr>
              <w:t>(</w:t>
            </w:r>
            <w:r w:rsidR="00B21FDB" w:rsidRPr="00CC6AEB">
              <w:rPr>
                <w:rFonts w:ascii="Book Antiqua" w:hAnsi="Book Antiqua" w:cs="Arial"/>
                <w:b/>
                <w:i/>
                <w:iCs/>
                <w:sz w:val="24"/>
                <w:szCs w:val="24"/>
              </w:rPr>
              <w:t>n</w:t>
            </w:r>
            <w:r w:rsidR="009B2F9B" w:rsidRPr="00CC6AEB">
              <w:rPr>
                <w:rFonts w:ascii="Book Antiqua" w:hAnsi="Book Antiqua" w:cs="Arial"/>
                <w:b/>
                <w:sz w:val="24"/>
                <w:szCs w:val="24"/>
              </w:rPr>
              <w:t xml:space="preserve"> </w:t>
            </w:r>
            <w:r w:rsidR="00B21FDB" w:rsidRPr="00CC6AEB">
              <w:rPr>
                <w:rFonts w:ascii="Book Antiqua" w:hAnsi="Book Antiqua" w:cs="Arial"/>
                <w:b/>
                <w:sz w:val="24"/>
                <w:szCs w:val="24"/>
              </w:rPr>
              <w:t>=</w:t>
            </w:r>
            <w:r w:rsidR="009B2F9B" w:rsidRPr="00CC6AEB">
              <w:rPr>
                <w:rFonts w:ascii="Book Antiqua" w:hAnsi="Book Antiqua" w:cs="Arial"/>
                <w:b/>
                <w:sz w:val="24"/>
                <w:szCs w:val="24"/>
              </w:rPr>
              <w:t xml:space="preserve"> </w:t>
            </w:r>
            <w:r w:rsidR="00B21FDB" w:rsidRPr="00CC6AEB">
              <w:rPr>
                <w:rFonts w:ascii="Book Antiqua" w:hAnsi="Book Antiqua" w:cs="Arial"/>
                <w:b/>
                <w:sz w:val="24"/>
                <w:szCs w:val="24"/>
              </w:rPr>
              <w:t>38)</w:t>
            </w:r>
          </w:p>
        </w:tc>
        <w:tc>
          <w:tcPr>
            <w:tcW w:w="1417" w:type="dxa"/>
            <w:tcBorders>
              <w:top w:val="nil"/>
              <w:bottom w:val="single" w:sz="4" w:space="0" w:color="auto"/>
            </w:tcBorders>
          </w:tcPr>
          <w:p w14:paraId="3389A63A" w14:textId="3BFFBA1E"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HCC</w:t>
            </w:r>
            <w:r w:rsidR="00123C60" w:rsidRPr="00CC6AEB">
              <w:rPr>
                <w:rFonts w:ascii="Book Antiqua" w:hAnsi="Book Antiqua" w:cs="Arial"/>
                <w:b/>
                <w:sz w:val="24"/>
                <w:szCs w:val="24"/>
              </w:rPr>
              <w:t>,</w:t>
            </w:r>
            <w:r w:rsidR="00123C60" w:rsidRPr="00CC6AEB">
              <w:rPr>
                <w:rFonts w:ascii="Book Antiqua" w:hAnsi="Book Antiqua" w:cs="Arial"/>
                <w:b/>
                <w:sz w:val="24"/>
                <w:szCs w:val="24"/>
                <w:lang w:eastAsia="zh-CN"/>
              </w:rPr>
              <w:t xml:space="preserve"> </w:t>
            </w:r>
            <w:r w:rsidRPr="00CC6AEB">
              <w:rPr>
                <w:rFonts w:ascii="Book Antiqua" w:hAnsi="Book Antiqua" w:cs="Arial"/>
                <w:b/>
                <w:sz w:val="24"/>
                <w:szCs w:val="24"/>
              </w:rPr>
              <w:t>(</w:t>
            </w:r>
            <w:r w:rsidRPr="00CC6AEB">
              <w:rPr>
                <w:rFonts w:ascii="Book Antiqua" w:hAnsi="Book Antiqua" w:cs="Arial"/>
                <w:b/>
                <w:i/>
                <w:iCs/>
                <w:sz w:val="24"/>
                <w:szCs w:val="24"/>
              </w:rPr>
              <w:t>n</w:t>
            </w:r>
            <w:r w:rsidR="009B2F9B" w:rsidRPr="00CC6AEB">
              <w:rPr>
                <w:rFonts w:ascii="Book Antiqua" w:hAnsi="Book Antiqua" w:cs="Arial"/>
                <w:b/>
                <w:i/>
                <w:iCs/>
                <w:sz w:val="24"/>
                <w:szCs w:val="24"/>
              </w:rPr>
              <w:t xml:space="preserve"> </w:t>
            </w:r>
            <w:r w:rsidRPr="00CC6AEB">
              <w:rPr>
                <w:rFonts w:ascii="Book Antiqua" w:hAnsi="Book Antiqua" w:cs="Arial"/>
                <w:b/>
                <w:sz w:val="24"/>
                <w:szCs w:val="24"/>
              </w:rPr>
              <w:t>=</w:t>
            </w:r>
            <w:r w:rsidR="009B2F9B" w:rsidRPr="00CC6AEB">
              <w:rPr>
                <w:rFonts w:ascii="Book Antiqua" w:hAnsi="Book Antiqua" w:cs="Arial"/>
                <w:b/>
                <w:sz w:val="24"/>
                <w:szCs w:val="24"/>
              </w:rPr>
              <w:t xml:space="preserve"> </w:t>
            </w:r>
            <w:r w:rsidRPr="00CC6AEB">
              <w:rPr>
                <w:rFonts w:ascii="Book Antiqua" w:hAnsi="Book Antiqua" w:cs="Arial"/>
                <w:b/>
                <w:sz w:val="24"/>
                <w:szCs w:val="24"/>
              </w:rPr>
              <w:t>68)</w:t>
            </w:r>
          </w:p>
        </w:tc>
        <w:tc>
          <w:tcPr>
            <w:tcW w:w="993" w:type="dxa"/>
            <w:tcBorders>
              <w:top w:val="nil"/>
              <w:bottom w:val="single" w:sz="4" w:space="0" w:color="auto"/>
            </w:tcBorders>
          </w:tcPr>
          <w:p w14:paraId="136E27D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i/>
                <w:sz w:val="24"/>
                <w:szCs w:val="24"/>
              </w:rPr>
              <w:t>P</w:t>
            </w:r>
            <w:r w:rsidRPr="00CC6AEB">
              <w:rPr>
                <w:rFonts w:ascii="Book Antiqua" w:hAnsi="Book Antiqua" w:cs="Arial"/>
                <w:b/>
                <w:sz w:val="24"/>
                <w:szCs w:val="24"/>
              </w:rPr>
              <w:t xml:space="preserve"> value</w:t>
            </w:r>
          </w:p>
        </w:tc>
      </w:tr>
      <w:tr w:rsidR="00B21FDB" w:rsidRPr="00CC6AEB" w14:paraId="3EAE69D7" w14:textId="77777777" w:rsidTr="004D77A1">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tcBorders>
          </w:tcPr>
          <w:p w14:paraId="5F51318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Demographics</w:t>
            </w:r>
          </w:p>
        </w:tc>
        <w:tc>
          <w:tcPr>
            <w:tcW w:w="4395" w:type="dxa"/>
            <w:gridSpan w:val="3"/>
            <w:tcBorders>
              <w:top w:val="single" w:sz="4" w:space="0" w:color="auto"/>
            </w:tcBorders>
          </w:tcPr>
          <w:p w14:paraId="48E61B3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5139ED7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41F2FAD" w14:textId="21BCBDE7" w:rsidR="00B21FDB" w:rsidRPr="00CC6AEB" w:rsidRDefault="00971457"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w:t>
            </w:r>
            <w:r w:rsidR="00123C60" w:rsidRPr="00CC6AEB">
              <w:rPr>
                <w:rFonts w:ascii="Book Antiqua" w:hAnsi="Book Antiqua" w:cs="Arial"/>
                <w:b w:val="0"/>
                <w:sz w:val="24"/>
                <w:szCs w:val="24"/>
              </w:rPr>
              <w:t xml:space="preserve">ean </w:t>
            </w:r>
            <w:r w:rsidR="00B21FDB"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age</w:t>
            </w:r>
            <w:r w:rsidR="00123C60" w:rsidRPr="00CC6AEB">
              <w:rPr>
                <w:rFonts w:ascii="Book Antiqua" w:hAnsi="Book Antiqua" w:cs="Arial"/>
                <w:b w:val="0"/>
                <w:sz w:val="24"/>
                <w:szCs w:val="24"/>
              </w:rPr>
              <w:t xml:space="preserve"> at treatment initiation, years</w:t>
            </w:r>
          </w:p>
        </w:tc>
        <w:tc>
          <w:tcPr>
            <w:tcW w:w="1985" w:type="dxa"/>
          </w:tcPr>
          <w:p w14:paraId="7B74E02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58.2 ± 11.1</w:t>
            </w:r>
          </w:p>
        </w:tc>
        <w:tc>
          <w:tcPr>
            <w:tcW w:w="1417" w:type="dxa"/>
          </w:tcPr>
          <w:p w14:paraId="4DC73B7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62.2 ± 5.9</w:t>
            </w:r>
          </w:p>
        </w:tc>
        <w:tc>
          <w:tcPr>
            <w:tcW w:w="993" w:type="dxa"/>
          </w:tcPr>
          <w:p w14:paraId="6F41FAA8" w14:textId="6732D6CC"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64DDED55"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6583145" w14:textId="60E5B1AC"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Median </w:t>
            </w:r>
            <w:r w:rsidR="00123C60" w:rsidRPr="00CC6AEB">
              <w:rPr>
                <w:rFonts w:ascii="Book Antiqua" w:hAnsi="Book Antiqua" w:cs="Arial"/>
                <w:b w:val="0"/>
                <w:sz w:val="24"/>
                <w:szCs w:val="24"/>
              </w:rPr>
              <w:t xml:space="preserve">age at treatment initiation, </w:t>
            </w:r>
            <w:proofErr w:type="spellStart"/>
            <w:r w:rsidR="00123C60" w:rsidRPr="00CC6AEB">
              <w:rPr>
                <w:rFonts w:ascii="Book Antiqua" w:hAnsi="Book Antiqua" w:cs="Arial"/>
                <w:b w:val="0"/>
                <w:sz w:val="24"/>
                <w:szCs w:val="24"/>
              </w:rPr>
              <w:t>yr</w:t>
            </w:r>
            <w:proofErr w:type="spellEnd"/>
            <w:r w:rsidRPr="00CC6AEB">
              <w:rPr>
                <w:rFonts w:ascii="Book Antiqua" w:hAnsi="Book Antiqua" w:cs="Arial"/>
                <w:b w:val="0"/>
                <w:sz w:val="24"/>
                <w:szCs w:val="24"/>
              </w:rPr>
              <w:t xml:space="preserve"> (range)</w:t>
            </w:r>
          </w:p>
        </w:tc>
        <w:tc>
          <w:tcPr>
            <w:tcW w:w="1985" w:type="dxa"/>
          </w:tcPr>
          <w:p w14:paraId="7066F6A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62 (28-74)</w:t>
            </w:r>
          </w:p>
        </w:tc>
        <w:tc>
          <w:tcPr>
            <w:tcW w:w="1417" w:type="dxa"/>
          </w:tcPr>
          <w:p w14:paraId="3910AB8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62.5 (47.0-78.0)</w:t>
            </w:r>
          </w:p>
        </w:tc>
        <w:tc>
          <w:tcPr>
            <w:tcW w:w="993" w:type="dxa"/>
          </w:tcPr>
          <w:p w14:paraId="4F9010B6" w14:textId="246749A5"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r>
      <w:tr w:rsidR="00B21FDB" w:rsidRPr="00CC6AEB" w14:paraId="6AE94D3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0E6C034" w14:textId="542601BE" w:rsidR="00B21FDB" w:rsidRPr="00CC6AEB" w:rsidRDefault="00B21FDB" w:rsidP="00CC6AEB">
            <w:pPr>
              <w:snapToGrid w:val="0"/>
              <w:spacing w:line="360" w:lineRule="auto"/>
              <w:ind w:firstLineChars="50" w:firstLine="120"/>
              <w:jc w:val="both"/>
              <w:rPr>
                <w:rFonts w:ascii="Book Antiqua" w:hAnsi="Book Antiqua" w:cs="Arial"/>
                <w:b w:val="0"/>
                <w:sz w:val="24"/>
                <w:szCs w:val="24"/>
              </w:rPr>
            </w:pPr>
            <w:r w:rsidRPr="00CC6AEB">
              <w:rPr>
                <w:rFonts w:ascii="Book Antiqua" w:hAnsi="Book Antiqua" w:cs="Arial"/>
                <w:b w:val="0"/>
                <w:sz w:val="24"/>
                <w:szCs w:val="24"/>
              </w:rPr>
              <w:t xml:space="preserve">Male </w:t>
            </w:r>
          </w:p>
        </w:tc>
        <w:tc>
          <w:tcPr>
            <w:tcW w:w="1985" w:type="dxa"/>
          </w:tcPr>
          <w:p w14:paraId="1F685B1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25 (66)</w:t>
            </w:r>
          </w:p>
        </w:tc>
        <w:tc>
          <w:tcPr>
            <w:tcW w:w="1417" w:type="dxa"/>
          </w:tcPr>
          <w:p w14:paraId="017A5C4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50 (74)</w:t>
            </w:r>
          </w:p>
        </w:tc>
        <w:tc>
          <w:tcPr>
            <w:tcW w:w="993" w:type="dxa"/>
            <w:vMerge w:val="restart"/>
          </w:tcPr>
          <w:p w14:paraId="4E3356CD" w14:textId="298115B6"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p w14:paraId="2295E11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D241FB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3449F69"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Female</w:t>
            </w:r>
          </w:p>
        </w:tc>
        <w:tc>
          <w:tcPr>
            <w:tcW w:w="1985" w:type="dxa"/>
          </w:tcPr>
          <w:p w14:paraId="4AA4440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(34)</w:t>
            </w:r>
          </w:p>
        </w:tc>
        <w:tc>
          <w:tcPr>
            <w:tcW w:w="1417" w:type="dxa"/>
          </w:tcPr>
          <w:p w14:paraId="1AD1B16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18 (26)</w:t>
            </w:r>
          </w:p>
        </w:tc>
        <w:tc>
          <w:tcPr>
            <w:tcW w:w="993" w:type="dxa"/>
            <w:vMerge/>
          </w:tcPr>
          <w:p w14:paraId="7990A55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6E62C80"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DE2C91D"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White </w:t>
            </w:r>
          </w:p>
        </w:tc>
        <w:tc>
          <w:tcPr>
            <w:tcW w:w="1985" w:type="dxa"/>
          </w:tcPr>
          <w:p w14:paraId="704A387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(50)</w:t>
            </w:r>
          </w:p>
        </w:tc>
        <w:tc>
          <w:tcPr>
            <w:tcW w:w="1417" w:type="dxa"/>
          </w:tcPr>
          <w:p w14:paraId="6A664D9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37 (54)</w:t>
            </w:r>
          </w:p>
        </w:tc>
        <w:tc>
          <w:tcPr>
            <w:tcW w:w="993" w:type="dxa"/>
            <w:vMerge w:val="restart"/>
          </w:tcPr>
          <w:p w14:paraId="71BC1BAE" w14:textId="582AA7A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p w14:paraId="587EE36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14D069B"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745F4AF"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Black </w:t>
            </w:r>
          </w:p>
        </w:tc>
        <w:tc>
          <w:tcPr>
            <w:tcW w:w="1985" w:type="dxa"/>
          </w:tcPr>
          <w:p w14:paraId="71C88A4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(29)</w:t>
            </w:r>
          </w:p>
        </w:tc>
        <w:tc>
          <w:tcPr>
            <w:tcW w:w="1417" w:type="dxa"/>
          </w:tcPr>
          <w:p w14:paraId="356EBD0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(16)</w:t>
            </w:r>
          </w:p>
        </w:tc>
        <w:tc>
          <w:tcPr>
            <w:tcW w:w="993" w:type="dxa"/>
            <w:vMerge/>
          </w:tcPr>
          <w:p w14:paraId="7456CEE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4B1BA6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3033E40"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Hispanic</w:t>
            </w:r>
          </w:p>
        </w:tc>
        <w:tc>
          <w:tcPr>
            <w:tcW w:w="1985" w:type="dxa"/>
          </w:tcPr>
          <w:p w14:paraId="6E78043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 (16)</w:t>
            </w:r>
          </w:p>
        </w:tc>
        <w:tc>
          <w:tcPr>
            <w:tcW w:w="1417" w:type="dxa"/>
          </w:tcPr>
          <w:p w14:paraId="0D46086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17 (25)</w:t>
            </w:r>
          </w:p>
        </w:tc>
        <w:tc>
          <w:tcPr>
            <w:tcW w:w="993" w:type="dxa"/>
            <w:vMerge/>
          </w:tcPr>
          <w:p w14:paraId="52BCEBD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28D68A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148ECF1"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Asian</w:t>
            </w:r>
          </w:p>
        </w:tc>
        <w:tc>
          <w:tcPr>
            <w:tcW w:w="1985" w:type="dxa"/>
          </w:tcPr>
          <w:p w14:paraId="05B6A62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 (5)</w:t>
            </w:r>
          </w:p>
        </w:tc>
        <w:tc>
          <w:tcPr>
            <w:tcW w:w="1417" w:type="dxa"/>
          </w:tcPr>
          <w:p w14:paraId="4B100BE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 (4)</w:t>
            </w:r>
          </w:p>
        </w:tc>
        <w:tc>
          <w:tcPr>
            <w:tcW w:w="993" w:type="dxa"/>
            <w:vMerge/>
          </w:tcPr>
          <w:p w14:paraId="41A503B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60CB16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5F5170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Epidemiologic characteristics</w:t>
            </w:r>
          </w:p>
        </w:tc>
        <w:tc>
          <w:tcPr>
            <w:tcW w:w="4395" w:type="dxa"/>
            <w:gridSpan w:val="3"/>
          </w:tcPr>
          <w:p w14:paraId="1681364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EC9442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5FFF0500" w14:textId="75E8E3E6" w:rsidR="00B21FDB" w:rsidRPr="00CC6AEB" w:rsidRDefault="007D5644" w:rsidP="00CC6AEB">
            <w:pPr>
              <w:snapToGrid w:val="0"/>
              <w:spacing w:line="360" w:lineRule="auto"/>
              <w:ind w:firstLineChars="50" w:firstLine="120"/>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baseline BMI</w:t>
            </w:r>
          </w:p>
        </w:tc>
        <w:tc>
          <w:tcPr>
            <w:tcW w:w="1985" w:type="dxa"/>
          </w:tcPr>
          <w:p w14:paraId="556FB49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27.9 ± 5.5</w:t>
            </w:r>
          </w:p>
        </w:tc>
        <w:tc>
          <w:tcPr>
            <w:tcW w:w="1417" w:type="dxa"/>
          </w:tcPr>
          <w:p w14:paraId="396F7AF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28.5 ± 4.5</w:t>
            </w:r>
          </w:p>
        </w:tc>
        <w:tc>
          <w:tcPr>
            <w:tcW w:w="993" w:type="dxa"/>
          </w:tcPr>
          <w:p w14:paraId="04CD3079" w14:textId="776DB463"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r>
      <w:tr w:rsidR="00B21FDB" w:rsidRPr="00CC6AEB" w14:paraId="2E592F3B"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A48A732"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baseline BMI, (range)</w:t>
            </w:r>
          </w:p>
        </w:tc>
        <w:tc>
          <w:tcPr>
            <w:tcW w:w="1985" w:type="dxa"/>
          </w:tcPr>
          <w:p w14:paraId="7042FBE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27.0 (21.0-48.5)</w:t>
            </w:r>
          </w:p>
        </w:tc>
        <w:tc>
          <w:tcPr>
            <w:tcW w:w="1417" w:type="dxa"/>
          </w:tcPr>
          <w:p w14:paraId="54C5FB5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28.5 (17.0-46.0)</w:t>
            </w:r>
          </w:p>
        </w:tc>
        <w:tc>
          <w:tcPr>
            <w:tcW w:w="993" w:type="dxa"/>
          </w:tcPr>
          <w:p w14:paraId="4A475A1F" w14:textId="46AE1F3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2DAFD94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E75A75A"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Alcohol drinking</w:t>
            </w:r>
          </w:p>
        </w:tc>
        <w:tc>
          <w:tcPr>
            <w:tcW w:w="1985" w:type="dxa"/>
          </w:tcPr>
          <w:p w14:paraId="72A1F5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(29)</w:t>
            </w:r>
          </w:p>
        </w:tc>
        <w:tc>
          <w:tcPr>
            <w:tcW w:w="1417" w:type="dxa"/>
          </w:tcPr>
          <w:p w14:paraId="4A41AC0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32 (47)</w:t>
            </w:r>
          </w:p>
        </w:tc>
        <w:tc>
          <w:tcPr>
            <w:tcW w:w="993" w:type="dxa"/>
          </w:tcPr>
          <w:p w14:paraId="5471D2C6" w14:textId="20EF83E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.08</w:t>
            </w:r>
          </w:p>
        </w:tc>
      </w:tr>
      <w:tr w:rsidR="00B21FDB" w:rsidRPr="00CC6AEB" w14:paraId="6D552B80"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E2F99D0"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Cigarette smoking </w:t>
            </w:r>
          </w:p>
        </w:tc>
        <w:tc>
          <w:tcPr>
            <w:tcW w:w="1985" w:type="dxa"/>
          </w:tcPr>
          <w:p w14:paraId="132CA7A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18 (47)</w:t>
            </w:r>
          </w:p>
        </w:tc>
        <w:tc>
          <w:tcPr>
            <w:tcW w:w="1417" w:type="dxa"/>
          </w:tcPr>
          <w:p w14:paraId="3328FC3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51 (75)</w:t>
            </w:r>
          </w:p>
        </w:tc>
        <w:tc>
          <w:tcPr>
            <w:tcW w:w="993" w:type="dxa"/>
          </w:tcPr>
          <w:p w14:paraId="46600964" w14:textId="1FA4EEDF"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2D7DA7B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7772B619" w14:textId="77777777" w:rsidR="00B21FDB" w:rsidRPr="00CC6AEB" w:rsidRDefault="00B21FDB" w:rsidP="00CC6AEB">
            <w:pPr>
              <w:snapToGrid w:val="0"/>
              <w:spacing w:line="360" w:lineRule="auto"/>
              <w:jc w:val="both"/>
              <w:rPr>
                <w:rFonts w:ascii="Book Antiqua" w:hAnsi="Book Antiqua" w:cs="Arial"/>
                <w:b w:val="0"/>
                <w:sz w:val="24"/>
                <w:szCs w:val="24"/>
                <w:highlight w:val="yellow"/>
              </w:rPr>
            </w:pPr>
            <w:r w:rsidRPr="00CC6AEB">
              <w:rPr>
                <w:rFonts w:ascii="Book Antiqua" w:hAnsi="Book Antiqua" w:cs="Arial"/>
                <w:b w:val="0"/>
                <w:sz w:val="24"/>
                <w:szCs w:val="24"/>
              </w:rPr>
              <w:t>Baseline co-morbidities</w:t>
            </w:r>
          </w:p>
        </w:tc>
        <w:tc>
          <w:tcPr>
            <w:tcW w:w="4395" w:type="dxa"/>
            <w:gridSpan w:val="3"/>
          </w:tcPr>
          <w:p w14:paraId="06C0CCC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highlight w:val="yellow"/>
              </w:rPr>
            </w:pPr>
          </w:p>
        </w:tc>
      </w:tr>
      <w:tr w:rsidR="00B21FDB" w:rsidRPr="00CC6AEB" w14:paraId="2DF2154D"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898101D"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Diabetes Mellitus</w:t>
            </w:r>
          </w:p>
        </w:tc>
        <w:tc>
          <w:tcPr>
            <w:tcW w:w="1985" w:type="dxa"/>
          </w:tcPr>
          <w:p w14:paraId="0CAF135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20 (53)</w:t>
            </w:r>
          </w:p>
        </w:tc>
        <w:tc>
          <w:tcPr>
            <w:tcW w:w="1417" w:type="dxa"/>
          </w:tcPr>
          <w:p w14:paraId="3384915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53 (78)</w:t>
            </w:r>
          </w:p>
        </w:tc>
        <w:tc>
          <w:tcPr>
            <w:tcW w:w="993" w:type="dxa"/>
          </w:tcPr>
          <w:p w14:paraId="7FC7C589" w14:textId="156C9756"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14C0CFD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B28009E"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CKD</w:t>
            </w:r>
          </w:p>
        </w:tc>
        <w:tc>
          <w:tcPr>
            <w:tcW w:w="1985" w:type="dxa"/>
          </w:tcPr>
          <w:p w14:paraId="08AC787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20 (53)</w:t>
            </w:r>
          </w:p>
        </w:tc>
        <w:tc>
          <w:tcPr>
            <w:tcW w:w="1417" w:type="dxa"/>
          </w:tcPr>
          <w:p w14:paraId="5B96BA4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23 (34)</w:t>
            </w:r>
          </w:p>
        </w:tc>
        <w:tc>
          <w:tcPr>
            <w:tcW w:w="993" w:type="dxa"/>
          </w:tcPr>
          <w:p w14:paraId="4076484F" w14:textId="4FB7E2C6"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.06</w:t>
            </w:r>
            <w:r w:rsidR="00B21FDB" w:rsidRPr="00CC6AEB">
              <w:rPr>
                <w:rFonts w:ascii="Book Antiqua" w:hAnsi="Book Antiqua" w:cs="Arial"/>
                <w:i/>
                <w:color w:val="000000"/>
                <w:sz w:val="24"/>
                <w:szCs w:val="24"/>
                <w:vertAlign w:val="superscript"/>
              </w:rPr>
              <w:t xml:space="preserve"> </w:t>
            </w:r>
          </w:p>
        </w:tc>
      </w:tr>
      <w:tr w:rsidR="00B21FDB" w:rsidRPr="00CC6AEB" w14:paraId="1C5F739E"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3F286CE" w14:textId="3BBF1B6C" w:rsidR="00B21FDB" w:rsidRPr="00CC6AEB" w:rsidRDefault="00B21FDB" w:rsidP="00CC6AEB">
            <w:pPr>
              <w:snapToGrid w:val="0"/>
              <w:spacing w:line="360" w:lineRule="auto"/>
              <w:jc w:val="both"/>
              <w:rPr>
                <w:rFonts w:ascii="Book Antiqua" w:hAnsi="Book Antiqua" w:cs="Arial"/>
                <w:b w:val="0"/>
                <w:sz w:val="24"/>
                <w:szCs w:val="24"/>
                <w:vertAlign w:val="superscript"/>
              </w:rPr>
            </w:pPr>
            <w:r w:rsidRPr="00CC6AEB">
              <w:rPr>
                <w:rFonts w:ascii="Book Antiqua" w:hAnsi="Book Antiqua" w:cs="Arial"/>
                <w:b w:val="0"/>
                <w:sz w:val="24"/>
                <w:szCs w:val="24"/>
              </w:rPr>
              <w:t xml:space="preserve"> eGFR &lt;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30 mL/min/1.73 m</w:t>
            </w:r>
            <w:r w:rsidRPr="00CC6AEB">
              <w:rPr>
                <w:rFonts w:ascii="Book Antiqua" w:hAnsi="Book Antiqua" w:cs="Arial"/>
                <w:b w:val="0"/>
                <w:sz w:val="24"/>
                <w:szCs w:val="24"/>
                <w:vertAlign w:val="superscript"/>
              </w:rPr>
              <w:t>2</w:t>
            </w:r>
          </w:p>
        </w:tc>
        <w:tc>
          <w:tcPr>
            <w:tcW w:w="1985" w:type="dxa"/>
          </w:tcPr>
          <w:p w14:paraId="4A2A77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 (18)</w:t>
            </w:r>
          </w:p>
        </w:tc>
        <w:tc>
          <w:tcPr>
            <w:tcW w:w="1417" w:type="dxa"/>
          </w:tcPr>
          <w:p w14:paraId="5A46EEC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 (3)</w:t>
            </w:r>
          </w:p>
        </w:tc>
        <w:tc>
          <w:tcPr>
            <w:tcW w:w="993" w:type="dxa"/>
          </w:tcPr>
          <w:p w14:paraId="6E43068E" w14:textId="01F68C2C"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6F375356"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4E33BF5"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1985" w:type="dxa"/>
          </w:tcPr>
          <w:p w14:paraId="6C7FEB6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 (15)</w:t>
            </w:r>
          </w:p>
        </w:tc>
        <w:tc>
          <w:tcPr>
            <w:tcW w:w="1417" w:type="dxa"/>
          </w:tcPr>
          <w:p w14:paraId="0276167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 (8)</w:t>
            </w:r>
          </w:p>
        </w:tc>
        <w:tc>
          <w:tcPr>
            <w:tcW w:w="993" w:type="dxa"/>
          </w:tcPr>
          <w:p w14:paraId="0747F965" w14:textId="5C839F78"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6BEECA4E"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884EB31" w14:textId="77777777" w:rsidR="00B21FDB" w:rsidRPr="00CC6AEB" w:rsidRDefault="00B21FDB" w:rsidP="00CC6AEB">
            <w:pPr>
              <w:snapToGrid w:val="0"/>
              <w:spacing w:line="360" w:lineRule="auto"/>
              <w:jc w:val="both"/>
              <w:rPr>
                <w:rFonts w:ascii="Book Antiqua" w:hAnsi="Book Antiqua" w:cs="Arial"/>
                <w:b w:val="0"/>
                <w:sz w:val="24"/>
                <w:szCs w:val="24"/>
                <w:highlight w:val="red"/>
              </w:rPr>
            </w:pPr>
            <w:r w:rsidRPr="00CC6AEB">
              <w:rPr>
                <w:rFonts w:ascii="Book Antiqua" w:hAnsi="Book Antiqua" w:cs="Arial"/>
                <w:b w:val="0"/>
                <w:sz w:val="24"/>
                <w:szCs w:val="24"/>
              </w:rPr>
              <w:t xml:space="preserve"> HCV-positive allograft</w:t>
            </w:r>
          </w:p>
        </w:tc>
        <w:tc>
          <w:tcPr>
            <w:tcW w:w="1985" w:type="dxa"/>
          </w:tcPr>
          <w:p w14:paraId="5E3F832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p>
        </w:tc>
        <w:tc>
          <w:tcPr>
            <w:tcW w:w="1417" w:type="dxa"/>
          </w:tcPr>
          <w:p w14:paraId="45974C8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 (6)</w:t>
            </w:r>
          </w:p>
        </w:tc>
        <w:tc>
          <w:tcPr>
            <w:tcW w:w="993" w:type="dxa"/>
          </w:tcPr>
          <w:p w14:paraId="585FBD52" w14:textId="40899AC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highlight w:val="yellow"/>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5D0DD82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2D3F22B" w14:textId="6D5B76C7" w:rsidR="00B21FDB" w:rsidRPr="00CC6AEB" w:rsidRDefault="00B21FDB" w:rsidP="00CC6AEB">
            <w:pPr>
              <w:snapToGrid w:val="0"/>
              <w:spacing w:line="360" w:lineRule="auto"/>
              <w:jc w:val="both"/>
              <w:rPr>
                <w:rFonts w:ascii="Book Antiqua" w:hAnsi="Book Antiqua" w:cs="Arial"/>
                <w:b w:val="0"/>
                <w:sz w:val="24"/>
                <w:szCs w:val="24"/>
                <w:highlight w:val="red"/>
              </w:rPr>
            </w:pPr>
            <w:r w:rsidRPr="00CC6AEB">
              <w:rPr>
                <w:rFonts w:ascii="Book Antiqua" w:hAnsi="Book Antiqua" w:cs="Arial"/>
                <w:b w:val="0"/>
                <w:sz w:val="24"/>
                <w:szCs w:val="24"/>
              </w:rPr>
              <w:t xml:space="preserve"> </w:t>
            </w:r>
            <w:r w:rsidR="00104347" w:rsidRPr="00CC6AEB">
              <w:rPr>
                <w:rFonts w:ascii="Book Antiqua" w:hAnsi="Book Antiqua" w:cs="Arial"/>
                <w:b w:val="0"/>
                <w:sz w:val="24"/>
                <w:szCs w:val="24"/>
              </w:rPr>
              <w:t>Anti-</w:t>
            </w:r>
            <w:bookmarkStart w:id="45" w:name="_Hlk44933182"/>
            <w:r w:rsidRPr="00CC6AEB">
              <w:rPr>
                <w:rFonts w:ascii="Book Antiqua" w:hAnsi="Book Antiqua" w:cs="Arial"/>
                <w:b w:val="0"/>
                <w:sz w:val="24"/>
                <w:szCs w:val="24"/>
              </w:rPr>
              <w:t>HB</w:t>
            </w:r>
            <w:r w:rsidR="00104347" w:rsidRPr="00CC6AEB">
              <w:rPr>
                <w:rFonts w:ascii="Book Antiqua" w:hAnsi="Book Antiqua" w:cs="Arial"/>
                <w:b w:val="0"/>
                <w:sz w:val="24"/>
                <w:szCs w:val="24"/>
              </w:rPr>
              <w:t>c</w:t>
            </w:r>
            <w:bookmarkEnd w:id="45"/>
            <w:r w:rsidRPr="00CC6AEB">
              <w:rPr>
                <w:rFonts w:ascii="Book Antiqua" w:hAnsi="Book Antiqua" w:cs="Arial"/>
                <w:b w:val="0"/>
                <w:sz w:val="24"/>
                <w:szCs w:val="24"/>
              </w:rPr>
              <w:t>-positive allograft</w:t>
            </w:r>
          </w:p>
        </w:tc>
        <w:tc>
          <w:tcPr>
            <w:tcW w:w="1985" w:type="dxa"/>
          </w:tcPr>
          <w:p w14:paraId="57FE41B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 (3)</w:t>
            </w:r>
          </w:p>
        </w:tc>
        <w:tc>
          <w:tcPr>
            <w:tcW w:w="1417" w:type="dxa"/>
          </w:tcPr>
          <w:p w14:paraId="502D2C5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(15)</w:t>
            </w:r>
          </w:p>
        </w:tc>
        <w:tc>
          <w:tcPr>
            <w:tcW w:w="993" w:type="dxa"/>
          </w:tcPr>
          <w:p w14:paraId="700A7A97" w14:textId="7A02C7FC"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.09</w:t>
            </w:r>
          </w:p>
        </w:tc>
      </w:tr>
      <w:tr w:rsidR="00B21FDB" w:rsidRPr="00CC6AEB" w14:paraId="1A1BFE6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772A668C"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lastRenderedPageBreak/>
              <w:t xml:space="preserve"> Pre-transplant relapse to antiviral treatment</w:t>
            </w:r>
          </w:p>
        </w:tc>
        <w:tc>
          <w:tcPr>
            <w:tcW w:w="1985" w:type="dxa"/>
          </w:tcPr>
          <w:p w14:paraId="30ACF7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 (16)</w:t>
            </w:r>
          </w:p>
        </w:tc>
        <w:tc>
          <w:tcPr>
            <w:tcW w:w="1417" w:type="dxa"/>
          </w:tcPr>
          <w:p w14:paraId="76AF3A3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23 (34)</w:t>
            </w:r>
          </w:p>
        </w:tc>
        <w:tc>
          <w:tcPr>
            <w:tcW w:w="993" w:type="dxa"/>
          </w:tcPr>
          <w:p w14:paraId="3B5A8137" w14:textId="57BF01A3"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.06</w:t>
            </w:r>
          </w:p>
        </w:tc>
      </w:tr>
      <w:tr w:rsidR="00B21FDB" w:rsidRPr="00CC6AEB" w14:paraId="7CE54784"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EFBDD68" w14:textId="60CE1106"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 xml:space="preserve">SD) time from LT to DAA initiation, </w:t>
            </w:r>
            <w:proofErr w:type="spellStart"/>
            <w:r w:rsidRPr="00CC6AEB">
              <w:rPr>
                <w:rFonts w:ascii="Book Antiqua" w:hAnsi="Book Antiqua" w:cs="Arial"/>
                <w:b w:val="0"/>
                <w:sz w:val="24"/>
                <w:szCs w:val="24"/>
              </w:rPr>
              <w:t>mo</w:t>
            </w:r>
            <w:proofErr w:type="spellEnd"/>
            <w:r w:rsidRPr="00CC6AEB">
              <w:rPr>
                <w:rFonts w:ascii="Book Antiqua" w:hAnsi="Book Antiqua" w:cs="Arial"/>
                <w:b w:val="0"/>
                <w:sz w:val="24"/>
                <w:szCs w:val="24"/>
              </w:rPr>
              <w:t xml:space="preserve"> </w:t>
            </w:r>
          </w:p>
        </w:tc>
        <w:tc>
          <w:tcPr>
            <w:tcW w:w="1985" w:type="dxa"/>
          </w:tcPr>
          <w:p w14:paraId="5F69C1C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99.3 ± 79.7</w:t>
            </w:r>
          </w:p>
        </w:tc>
        <w:tc>
          <w:tcPr>
            <w:tcW w:w="1417" w:type="dxa"/>
          </w:tcPr>
          <w:p w14:paraId="773B2DA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39.4 ± 40.5</w:t>
            </w:r>
          </w:p>
        </w:tc>
        <w:tc>
          <w:tcPr>
            <w:tcW w:w="993" w:type="dxa"/>
          </w:tcPr>
          <w:p w14:paraId="34535B60" w14:textId="55AEA40E"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.0001</w:t>
            </w:r>
          </w:p>
        </w:tc>
      </w:tr>
      <w:tr w:rsidR="00B21FDB" w:rsidRPr="00CC6AEB" w14:paraId="024BE75E"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02F58466"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time from LT to DAA initiation, months (range)</w:t>
            </w:r>
          </w:p>
        </w:tc>
        <w:tc>
          <w:tcPr>
            <w:tcW w:w="1985" w:type="dxa"/>
          </w:tcPr>
          <w:p w14:paraId="1FE4F0D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91.5 (2.0-331.0)</w:t>
            </w:r>
          </w:p>
        </w:tc>
        <w:tc>
          <w:tcPr>
            <w:tcW w:w="1417" w:type="dxa"/>
          </w:tcPr>
          <w:p w14:paraId="2CF7E29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 (1-171)</w:t>
            </w:r>
          </w:p>
        </w:tc>
        <w:tc>
          <w:tcPr>
            <w:tcW w:w="993" w:type="dxa"/>
          </w:tcPr>
          <w:p w14:paraId="3CBB8E39" w14:textId="27D87EC2"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.0001</w:t>
            </w:r>
          </w:p>
        </w:tc>
      </w:tr>
      <w:tr w:rsidR="00B21FDB" w:rsidRPr="00CC6AEB" w14:paraId="027A636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4F7BFA4" w14:textId="574D58FB"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Baseline </w:t>
            </w:r>
            <w:r w:rsidR="00E12327" w:rsidRPr="00CC6AEB">
              <w:rPr>
                <w:rFonts w:ascii="Book Antiqua" w:hAnsi="Book Antiqua" w:cs="Arial"/>
                <w:b w:val="0"/>
                <w:sz w:val="24"/>
                <w:szCs w:val="24"/>
              </w:rPr>
              <w:t xml:space="preserve">laboratory </w:t>
            </w:r>
            <w:r w:rsidRPr="00CC6AEB">
              <w:rPr>
                <w:rFonts w:ascii="Book Antiqua" w:hAnsi="Book Antiqua" w:cs="Arial"/>
                <w:b w:val="0"/>
                <w:sz w:val="24"/>
                <w:szCs w:val="24"/>
              </w:rPr>
              <w:t>values</w:t>
            </w:r>
          </w:p>
        </w:tc>
        <w:tc>
          <w:tcPr>
            <w:tcW w:w="4395" w:type="dxa"/>
            <w:gridSpan w:val="3"/>
          </w:tcPr>
          <w:p w14:paraId="1F7FBCC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E15C2C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C4548D5" w14:textId="5C6FEACF"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SD) creatinine level, mg/dL</w:t>
            </w:r>
          </w:p>
        </w:tc>
        <w:tc>
          <w:tcPr>
            <w:tcW w:w="1985" w:type="dxa"/>
          </w:tcPr>
          <w:p w14:paraId="7907CCF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 1.9</w:t>
            </w:r>
          </w:p>
        </w:tc>
        <w:tc>
          <w:tcPr>
            <w:tcW w:w="1417" w:type="dxa"/>
          </w:tcPr>
          <w:p w14:paraId="3B505DA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 ± 0.8</w:t>
            </w:r>
          </w:p>
        </w:tc>
        <w:tc>
          <w:tcPr>
            <w:tcW w:w="993" w:type="dxa"/>
          </w:tcPr>
          <w:p w14:paraId="1524C13B" w14:textId="3783B1DE"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.08</w:t>
            </w:r>
          </w:p>
        </w:tc>
      </w:tr>
      <w:tr w:rsidR="00B21FDB" w:rsidRPr="00CC6AEB" w14:paraId="0F7D5721"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63DF58E3"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creatinine level, mg/dL (range)</w:t>
            </w:r>
          </w:p>
        </w:tc>
        <w:tc>
          <w:tcPr>
            <w:tcW w:w="1985" w:type="dxa"/>
          </w:tcPr>
          <w:p w14:paraId="0A61E69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 (0.7-8.7)</w:t>
            </w:r>
          </w:p>
        </w:tc>
        <w:tc>
          <w:tcPr>
            <w:tcW w:w="1417" w:type="dxa"/>
          </w:tcPr>
          <w:p w14:paraId="68D703F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(0.7-7.0)</w:t>
            </w:r>
          </w:p>
        </w:tc>
        <w:tc>
          <w:tcPr>
            <w:tcW w:w="993" w:type="dxa"/>
          </w:tcPr>
          <w:p w14:paraId="1BBF2864" w14:textId="524B5FDF"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1C41259D"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56843573" w14:textId="4C8FDE44"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SD) AFP level, ng/mL</w:t>
            </w:r>
          </w:p>
        </w:tc>
        <w:tc>
          <w:tcPr>
            <w:tcW w:w="1985" w:type="dxa"/>
          </w:tcPr>
          <w:p w14:paraId="290359E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10.2 ± 30.5</w:t>
            </w:r>
          </w:p>
        </w:tc>
        <w:tc>
          <w:tcPr>
            <w:tcW w:w="1417" w:type="dxa"/>
          </w:tcPr>
          <w:p w14:paraId="009D376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6.8 ± 12.8</w:t>
            </w:r>
          </w:p>
        </w:tc>
        <w:tc>
          <w:tcPr>
            <w:tcW w:w="993" w:type="dxa"/>
          </w:tcPr>
          <w:p w14:paraId="2A62681F" w14:textId="30A9E02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72919FF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0A4CA76E"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AFP level, ng/mL (range)</w:t>
            </w:r>
          </w:p>
        </w:tc>
        <w:tc>
          <w:tcPr>
            <w:tcW w:w="1985" w:type="dxa"/>
          </w:tcPr>
          <w:p w14:paraId="39BFE95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3.2 (2.0-149.0)</w:t>
            </w:r>
          </w:p>
        </w:tc>
        <w:tc>
          <w:tcPr>
            <w:tcW w:w="1417" w:type="dxa"/>
          </w:tcPr>
          <w:p w14:paraId="126662B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3.1 (1.3-88.0)</w:t>
            </w:r>
          </w:p>
        </w:tc>
        <w:tc>
          <w:tcPr>
            <w:tcW w:w="993" w:type="dxa"/>
          </w:tcPr>
          <w:p w14:paraId="7CE4DA24" w14:textId="00081DF8"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4C715B61"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57B2E7E6" w14:textId="464EB31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 xml:space="preserve">SD) </w:t>
            </w:r>
            <w:bookmarkStart w:id="46" w:name="_Hlk44933152"/>
            <w:r w:rsidRPr="00CC6AEB">
              <w:rPr>
                <w:rFonts w:ascii="Book Antiqua" w:hAnsi="Book Antiqua" w:cs="Arial"/>
                <w:b w:val="0"/>
                <w:sz w:val="24"/>
                <w:szCs w:val="24"/>
              </w:rPr>
              <w:t>MELD-Na score</w:t>
            </w:r>
            <w:bookmarkEnd w:id="46"/>
            <w:r w:rsidRPr="00CC6AEB">
              <w:rPr>
                <w:rFonts w:ascii="Book Antiqua" w:hAnsi="Book Antiqua" w:cs="Arial"/>
                <w:b w:val="0"/>
                <w:sz w:val="24"/>
                <w:szCs w:val="24"/>
              </w:rPr>
              <w:t xml:space="preserve"> </w:t>
            </w:r>
          </w:p>
        </w:tc>
        <w:tc>
          <w:tcPr>
            <w:tcW w:w="1985" w:type="dxa"/>
          </w:tcPr>
          <w:p w14:paraId="057757A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 5</w:t>
            </w:r>
          </w:p>
        </w:tc>
        <w:tc>
          <w:tcPr>
            <w:tcW w:w="1417" w:type="dxa"/>
          </w:tcPr>
          <w:p w14:paraId="4E6B114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 4</w:t>
            </w:r>
          </w:p>
        </w:tc>
        <w:tc>
          <w:tcPr>
            <w:tcW w:w="993" w:type="dxa"/>
          </w:tcPr>
          <w:p w14:paraId="7C83195F" w14:textId="52726D9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5730B65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3CB7A7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MELD-Na score (range)</w:t>
            </w:r>
          </w:p>
        </w:tc>
        <w:tc>
          <w:tcPr>
            <w:tcW w:w="1985" w:type="dxa"/>
          </w:tcPr>
          <w:p w14:paraId="20262C7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(6-24)</w:t>
            </w:r>
          </w:p>
        </w:tc>
        <w:tc>
          <w:tcPr>
            <w:tcW w:w="1417" w:type="dxa"/>
          </w:tcPr>
          <w:p w14:paraId="7384365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 (6-24)</w:t>
            </w:r>
          </w:p>
        </w:tc>
        <w:tc>
          <w:tcPr>
            <w:tcW w:w="993" w:type="dxa"/>
          </w:tcPr>
          <w:p w14:paraId="32252CB4" w14:textId="0AE3F48F"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76B05C6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02D0870C"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Clinical outcomes</w:t>
            </w:r>
          </w:p>
        </w:tc>
        <w:tc>
          <w:tcPr>
            <w:tcW w:w="4395" w:type="dxa"/>
            <w:gridSpan w:val="3"/>
          </w:tcPr>
          <w:p w14:paraId="14D97D8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41AC25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66D7035C"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Relapse at follow-up week 12</w:t>
            </w:r>
          </w:p>
        </w:tc>
        <w:tc>
          <w:tcPr>
            <w:tcW w:w="1985" w:type="dxa"/>
          </w:tcPr>
          <w:p w14:paraId="61A8D62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 (3)</w:t>
            </w:r>
          </w:p>
        </w:tc>
        <w:tc>
          <w:tcPr>
            <w:tcW w:w="1417" w:type="dxa"/>
          </w:tcPr>
          <w:p w14:paraId="252BBD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 (7)</w:t>
            </w:r>
          </w:p>
        </w:tc>
        <w:tc>
          <w:tcPr>
            <w:tcW w:w="993" w:type="dxa"/>
          </w:tcPr>
          <w:p w14:paraId="1A2121CF" w14:textId="6629CED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r>
      <w:tr w:rsidR="00B21FDB" w:rsidRPr="00CC6AEB" w14:paraId="7B9968D0"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19E49AB"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SVR12</w:t>
            </w:r>
          </w:p>
        </w:tc>
        <w:tc>
          <w:tcPr>
            <w:tcW w:w="1985" w:type="dxa"/>
          </w:tcPr>
          <w:p w14:paraId="007CD23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37 (97)</w:t>
            </w:r>
          </w:p>
        </w:tc>
        <w:tc>
          <w:tcPr>
            <w:tcW w:w="1417" w:type="dxa"/>
          </w:tcPr>
          <w:p w14:paraId="4F99E23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63 (93)</w:t>
            </w:r>
          </w:p>
        </w:tc>
        <w:tc>
          <w:tcPr>
            <w:tcW w:w="993" w:type="dxa"/>
          </w:tcPr>
          <w:p w14:paraId="5D89694C" w14:textId="6BA1B85A"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r>
      <w:tr w:rsidR="00B21FDB" w:rsidRPr="00CC6AEB" w14:paraId="1918D477"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756FC75"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HCC recurrence after DAA treatment</w:t>
            </w:r>
          </w:p>
        </w:tc>
        <w:tc>
          <w:tcPr>
            <w:tcW w:w="1985" w:type="dxa"/>
          </w:tcPr>
          <w:p w14:paraId="6F1FE8F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p>
        </w:tc>
        <w:tc>
          <w:tcPr>
            <w:tcW w:w="1417" w:type="dxa"/>
          </w:tcPr>
          <w:p w14:paraId="363880F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 (9)</w:t>
            </w:r>
          </w:p>
        </w:tc>
        <w:tc>
          <w:tcPr>
            <w:tcW w:w="993" w:type="dxa"/>
          </w:tcPr>
          <w:p w14:paraId="30B7DFFE" w14:textId="362A380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.08</w:t>
            </w:r>
          </w:p>
        </w:tc>
      </w:tr>
    </w:tbl>
    <w:p w14:paraId="689B8DC1" w14:textId="05235D2D" w:rsidR="00B21FDB" w:rsidRPr="00CC6AEB" w:rsidRDefault="00E12327" w:rsidP="00CC6AEB">
      <w:pPr>
        <w:pStyle w:val="NoSpacing"/>
        <w:snapToGrid w:val="0"/>
        <w:spacing w:line="360" w:lineRule="auto"/>
        <w:jc w:val="both"/>
        <w:rPr>
          <w:rFonts w:ascii="Book Antiqua" w:eastAsia="SimSun" w:hAnsi="Book Antiqua" w:cs="SimSun"/>
          <w:sz w:val="24"/>
          <w:szCs w:val="24"/>
          <w:lang w:eastAsia="zh-CN"/>
        </w:rPr>
      </w:pPr>
      <w:r w:rsidRPr="00CC6AEB">
        <w:rPr>
          <w:rFonts w:ascii="Book Antiqua" w:hAnsi="Book Antiqua" w:cs="Arial"/>
          <w:sz w:val="24"/>
          <w:szCs w:val="24"/>
        </w:rPr>
        <w:t>HCC:</w:t>
      </w:r>
      <w:r w:rsidR="00C23AE1" w:rsidRPr="00CC6AEB">
        <w:rPr>
          <w:rFonts w:ascii="Book Antiqua" w:hAnsi="Book Antiqua"/>
          <w:sz w:val="24"/>
          <w:szCs w:val="24"/>
        </w:rPr>
        <w:t xml:space="preserve"> </w:t>
      </w:r>
      <w:r w:rsidRPr="00CC6AEB">
        <w:rPr>
          <w:rFonts w:ascii="Book Antiqua" w:hAnsi="Book Antiqua" w:cs="Arial"/>
          <w:sz w:val="24"/>
          <w:szCs w:val="24"/>
        </w:rPr>
        <w:t xml:space="preserve">Hepatocellular </w:t>
      </w:r>
      <w:r w:rsidR="00C23AE1" w:rsidRPr="00CC6AEB">
        <w:rPr>
          <w:rFonts w:ascii="Book Antiqua" w:hAnsi="Book Antiqua" w:cs="Arial"/>
          <w:sz w:val="24"/>
          <w:szCs w:val="24"/>
        </w:rPr>
        <w:t>carcinoma;</w:t>
      </w:r>
      <w:r w:rsidR="00371DD4" w:rsidRPr="00CC6AEB">
        <w:rPr>
          <w:rFonts w:ascii="Book Antiqua" w:hAnsi="Book Antiqua" w:cs="Arial"/>
          <w:sz w:val="24"/>
          <w:szCs w:val="24"/>
        </w:rPr>
        <w:t xml:space="preserve"> </w:t>
      </w:r>
      <w:r w:rsidRPr="00CC6AEB">
        <w:rPr>
          <w:rFonts w:ascii="Book Antiqua" w:hAnsi="Book Antiqua" w:cs="Arial"/>
          <w:sz w:val="24"/>
          <w:szCs w:val="24"/>
        </w:rPr>
        <w:t>SD:</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Standard </w:t>
      </w:r>
      <w:r w:rsidR="00B43EE6" w:rsidRPr="00CC6AEB">
        <w:rPr>
          <w:rFonts w:ascii="Book Antiqua" w:eastAsia="Book Antiqua" w:hAnsi="Book Antiqua" w:cs="Arial"/>
          <w:sz w:val="24"/>
          <w:szCs w:val="24"/>
        </w:rPr>
        <w:t>deviation;</w:t>
      </w:r>
      <w:r w:rsidR="00B43EE6" w:rsidRPr="00CC6AEB">
        <w:rPr>
          <w:rFonts w:ascii="Book Antiqua" w:hAnsi="Book Antiqua" w:cs="Arial"/>
          <w:sz w:val="24"/>
          <w:szCs w:val="24"/>
        </w:rPr>
        <w:t xml:space="preserve"> </w:t>
      </w:r>
      <w:r w:rsidRPr="00CC6AEB">
        <w:rPr>
          <w:rFonts w:ascii="Book Antiqua" w:hAnsi="Book Antiqua" w:cs="Arial"/>
          <w:sz w:val="24"/>
          <w:szCs w:val="24"/>
        </w:rPr>
        <w:t>BMI:</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Body </w:t>
      </w:r>
      <w:r w:rsidR="00B43EE6" w:rsidRPr="00CC6AEB">
        <w:rPr>
          <w:rFonts w:ascii="Book Antiqua" w:eastAsia="Book Antiqua" w:hAnsi="Book Antiqua" w:cs="Arial"/>
          <w:sz w:val="24"/>
          <w:szCs w:val="24"/>
        </w:rPr>
        <w:t>mass index</w:t>
      </w:r>
      <w:r w:rsidRPr="00CC6AEB">
        <w:rPr>
          <w:rFonts w:ascii="Book Antiqua" w:hAnsi="Book Antiqua" w:cs="Arial"/>
          <w:sz w:val="24"/>
          <w:szCs w:val="24"/>
        </w:rPr>
        <w:t>; CKD:</w:t>
      </w:r>
      <w:r w:rsidR="00B21FDB" w:rsidRPr="00CC6AEB">
        <w:rPr>
          <w:rFonts w:ascii="Book Antiqua" w:hAnsi="Book Antiqua" w:cs="Arial"/>
          <w:sz w:val="24"/>
          <w:szCs w:val="24"/>
        </w:rPr>
        <w:t xml:space="preserve"> </w:t>
      </w:r>
      <w:r w:rsidRPr="00CC6AEB">
        <w:rPr>
          <w:rFonts w:ascii="Book Antiqua" w:hAnsi="Book Antiqua" w:cs="Arial"/>
          <w:sz w:val="24"/>
          <w:szCs w:val="24"/>
        </w:rPr>
        <w:t xml:space="preserve">Chronic </w:t>
      </w:r>
      <w:r w:rsidR="00B21FDB" w:rsidRPr="00CC6AEB">
        <w:rPr>
          <w:rFonts w:ascii="Book Antiqua" w:hAnsi="Book Antiqua" w:cs="Arial"/>
          <w:sz w:val="24"/>
          <w:szCs w:val="24"/>
        </w:rPr>
        <w:t>kidney disease</w:t>
      </w:r>
      <w:r w:rsidRPr="00CC6AEB">
        <w:rPr>
          <w:rFonts w:ascii="Book Antiqua" w:hAnsi="Book Antiqua" w:cs="Arial"/>
          <w:sz w:val="24"/>
          <w:szCs w:val="24"/>
        </w:rPr>
        <w:t>; HCV:</w:t>
      </w:r>
      <w:r w:rsidR="00371DD4" w:rsidRPr="00CC6AEB">
        <w:rPr>
          <w:rFonts w:ascii="Book Antiqua" w:hAnsi="Book Antiqua"/>
          <w:sz w:val="24"/>
          <w:szCs w:val="24"/>
        </w:rPr>
        <w:t xml:space="preserve"> </w:t>
      </w:r>
      <w:r w:rsidRPr="00CC6AEB">
        <w:rPr>
          <w:rFonts w:ascii="Book Antiqua" w:eastAsia="Book Antiqua" w:hAnsi="Book Antiqua" w:cs="Arial"/>
          <w:sz w:val="24"/>
          <w:szCs w:val="24"/>
        </w:rPr>
        <w:t xml:space="preserve">Hepatitis </w:t>
      </w:r>
      <w:r w:rsidR="00B43EE6" w:rsidRPr="00CC6AEB">
        <w:rPr>
          <w:rFonts w:ascii="Book Antiqua" w:eastAsia="Book Antiqua" w:hAnsi="Book Antiqua" w:cs="Arial"/>
          <w:sz w:val="24"/>
          <w:szCs w:val="24"/>
        </w:rPr>
        <w:t>C virus</w:t>
      </w:r>
      <w:r w:rsidR="00B43EE6" w:rsidRPr="00CC6AEB">
        <w:rPr>
          <w:rFonts w:ascii="Book Antiqua" w:eastAsia="SimSun" w:hAnsi="Book Antiqua" w:cs="SimSun"/>
          <w:sz w:val="24"/>
          <w:szCs w:val="24"/>
          <w:lang w:eastAsia="zh-CN"/>
        </w:rPr>
        <w:t xml:space="preserve">; </w:t>
      </w:r>
      <w:r w:rsidR="00371DD4" w:rsidRPr="00CC6AEB">
        <w:rPr>
          <w:rFonts w:ascii="Book Antiqua" w:hAnsi="Book Antiqua" w:cs="Arial"/>
          <w:sz w:val="24"/>
          <w:szCs w:val="24"/>
        </w:rPr>
        <w:t>HBc</w:t>
      </w:r>
      <w:r w:rsidRPr="00CC6AEB">
        <w:rPr>
          <w:rFonts w:ascii="Book Antiqua" w:hAnsi="Book Antiqua" w:cs="Arial"/>
          <w:sz w:val="24"/>
          <w:szCs w:val="24"/>
        </w:rPr>
        <w:t>:</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Hepatitis </w:t>
      </w:r>
      <w:r w:rsidR="00B43EE6" w:rsidRPr="00CC6AEB">
        <w:rPr>
          <w:rFonts w:ascii="Book Antiqua" w:eastAsia="Book Antiqua" w:hAnsi="Book Antiqua" w:cs="Arial"/>
          <w:sz w:val="24"/>
          <w:szCs w:val="24"/>
        </w:rPr>
        <w:t>B core;</w:t>
      </w:r>
      <w:r w:rsidR="00371DD4" w:rsidRPr="00CC6AEB">
        <w:rPr>
          <w:rFonts w:ascii="Book Antiqua" w:hAnsi="Book Antiqua" w:cs="Arial"/>
          <w:sz w:val="24"/>
          <w:szCs w:val="24"/>
        </w:rPr>
        <w:t xml:space="preserve"> </w:t>
      </w:r>
      <w:r w:rsidRPr="00CC6AEB">
        <w:rPr>
          <w:rFonts w:ascii="Book Antiqua" w:hAnsi="Book Antiqua" w:cs="Arial"/>
          <w:sz w:val="24"/>
          <w:szCs w:val="24"/>
        </w:rPr>
        <w:t>LT:</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Liver </w:t>
      </w:r>
      <w:r w:rsidR="00B43EE6" w:rsidRPr="00CC6AEB">
        <w:rPr>
          <w:rFonts w:ascii="Book Antiqua" w:eastAsia="Book Antiqua" w:hAnsi="Book Antiqua" w:cs="Arial"/>
          <w:sz w:val="24"/>
          <w:szCs w:val="24"/>
        </w:rPr>
        <w:t>transplant</w:t>
      </w:r>
      <w:r w:rsidR="00B43EE6" w:rsidRPr="00CC6AEB">
        <w:rPr>
          <w:rFonts w:ascii="Book Antiqua" w:hAnsi="Book Antiqua" w:cs="Arial"/>
          <w:sz w:val="24"/>
          <w:szCs w:val="24"/>
        </w:rPr>
        <w:t xml:space="preserve">; </w:t>
      </w:r>
      <w:r w:rsidRPr="00CC6AEB">
        <w:rPr>
          <w:rFonts w:ascii="Book Antiqua" w:hAnsi="Book Antiqua" w:cs="Arial"/>
          <w:sz w:val="24"/>
          <w:szCs w:val="24"/>
        </w:rPr>
        <w:t>DAA:</w:t>
      </w:r>
      <w:r w:rsidR="00371DD4" w:rsidRPr="00CC6AEB">
        <w:rPr>
          <w:rFonts w:ascii="Book Antiqua" w:hAnsi="Book Antiqua" w:cs="Arial"/>
          <w:sz w:val="24"/>
          <w:szCs w:val="24"/>
        </w:rPr>
        <w:t xml:space="preserve"> </w:t>
      </w:r>
      <w:r w:rsidRPr="00CC6AEB">
        <w:rPr>
          <w:rFonts w:ascii="Book Antiqua" w:eastAsia="Book Antiqua" w:hAnsi="Book Antiqua" w:cs="Arial"/>
          <w:sz w:val="24"/>
          <w:szCs w:val="24"/>
        </w:rPr>
        <w:t>Direct</w:t>
      </w:r>
      <w:r w:rsidR="00B43EE6" w:rsidRPr="00CC6AEB">
        <w:rPr>
          <w:rFonts w:ascii="Book Antiqua" w:eastAsia="Book Antiqua" w:hAnsi="Book Antiqua" w:cs="Arial"/>
          <w:sz w:val="24"/>
          <w:szCs w:val="24"/>
        </w:rPr>
        <w:t>-acting antiviral;</w:t>
      </w:r>
      <w:r w:rsidR="00B43EE6" w:rsidRPr="00CC6AEB">
        <w:rPr>
          <w:rFonts w:ascii="Book Antiqua" w:hAnsi="Book Antiqua" w:cs="Arial"/>
          <w:sz w:val="24"/>
          <w:szCs w:val="24"/>
        </w:rPr>
        <w:t xml:space="preserve"> </w:t>
      </w:r>
      <w:r w:rsidRPr="00CC6AEB">
        <w:rPr>
          <w:rFonts w:ascii="Book Antiqua" w:hAnsi="Book Antiqua" w:cs="Arial"/>
          <w:sz w:val="24"/>
          <w:szCs w:val="24"/>
        </w:rPr>
        <w:t>AFP:</w:t>
      </w:r>
      <w:r w:rsidR="00371DD4" w:rsidRPr="00CC6AEB">
        <w:rPr>
          <w:rFonts w:ascii="Book Antiqua" w:hAnsi="Book Antiqua" w:cs="Arial"/>
          <w:sz w:val="24"/>
          <w:szCs w:val="24"/>
        </w:rPr>
        <w:t xml:space="preserve"> </w:t>
      </w:r>
      <w:r w:rsidRPr="00CC6AEB">
        <w:rPr>
          <w:rFonts w:ascii="Book Antiqua" w:hAnsi="Book Antiqua" w:cs="Arial"/>
          <w:sz w:val="24"/>
          <w:szCs w:val="24"/>
        </w:rPr>
        <w:t>Alpha</w:t>
      </w:r>
      <w:r w:rsidR="00371DD4" w:rsidRPr="00CC6AEB">
        <w:rPr>
          <w:rFonts w:ascii="Book Antiqua" w:hAnsi="Book Antiqua" w:cs="Arial"/>
          <w:sz w:val="24"/>
          <w:szCs w:val="24"/>
        </w:rPr>
        <w:t>-fetoprotein;</w:t>
      </w:r>
      <w:r w:rsidR="00371DD4" w:rsidRPr="00CC6AEB">
        <w:rPr>
          <w:rFonts w:ascii="Book Antiqua" w:hAnsi="Book Antiqua"/>
          <w:sz w:val="24"/>
          <w:szCs w:val="24"/>
        </w:rPr>
        <w:t xml:space="preserve"> </w:t>
      </w:r>
      <w:r w:rsidR="00371DD4" w:rsidRPr="00CC6AEB">
        <w:rPr>
          <w:rFonts w:ascii="Book Antiqua" w:hAnsi="Book Antiqua" w:cs="Arial"/>
          <w:sz w:val="24"/>
          <w:szCs w:val="24"/>
        </w:rPr>
        <w:t>SVR</w:t>
      </w:r>
      <w:r w:rsidRPr="00CC6AEB">
        <w:rPr>
          <w:rFonts w:ascii="Book Antiqua" w:hAnsi="Book Antiqua" w:cs="Arial"/>
          <w:sz w:val="24"/>
          <w:szCs w:val="24"/>
        </w:rPr>
        <w:t>:</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Sustained </w:t>
      </w:r>
      <w:r w:rsidR="00B43EE6" w:rsidRPr="00CC6AEB">
        <w:rPr>
          <w:rFonts w:ascii="Book Antiqua" w:eastAsia="Book Antiqua" w:hAnsi="Book Antiqua" w:cs="Arial"/>
          <w:sz w:val="24"/>
          <w:szCs w:val="24"/>
        </w:rPr>
        <w:t>virologic response</w:t>
      </w:r>
      <w:r w:rsidR="00B21FDB" w:rsidRPr="00CC6AEB">
        <w:rPr>
          <w:rFonts w:ascii="Book Antiqua" w:hAnsi="Book Antiqua" w:cs="Arial"/>
          <w:sz w:val="24"/>
          <w:szCs w:val="24"/>
        </w:rPr>
        <w:t>.</w:t>
      </w:r>
    </w:p>
    <w:p w14:paraId="7DBDF006" w14:textId="77777777" w:rsidR="00E12327" w:rsidRPr="00CC6AEB" w:rsidRDefault="00E12327" w:rsidP="00CC6AEB">
      <w:pPr>
        <w:snapToGrid w:val="0"/>
        <w:spacing w:after="0" w:line="360" w:lineRule="auto"/>
        <w:jc w:val="both"/>
        <w:rPr>
          <w:rFonts w:ascii="Book Antiqua" w:hAnsi="Book Antiqua" w:cs="Arial"/>
          <w:sz w:val="24"/>
          <w:szCs w:val="24"/>
        </w:rPr>
      </w:pPr>
      <w:r w:rsidRPr="00CC6AEB">
        <w:rPr>
          <w:rFonts w:ascii="Book Antiqua" w:hAnsi="Book Antiqua" w:cs="Arial"/>
          <w:sz w:val="24"/>
          <w:szCs w:val="24"/>
        </w:rPr>
        <w:br w:type="page"/>
      </w:r>
    </w:p>
    <w:p w14:paraId="34D5665C" w14:textId="670076B4" w:rsidR="00B21FDB" w:rsidRPr="00CC6AEB" w:rsidRDefault="00B21FD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 xml:space="preserve">Table 2 </w:t>
      </w:r>
      <w:r w:rsidR="00826759" w:rsidRPr="00CC6AEB">
        <w:rPr>
          <w:rFonts w:ascii="Book Antiqua" w:eastAsia="Book Antiqua" w:hAnsi="Book Antiqua" w:cs="Arial"/>
          <w:b/>
          <w:sz w:val="24"/>
          <w:szCs w:val="24"/>
        </w:rPr>
        <w:t>Risk factors for</w:t>
      </w:r>
      <w:r w:rsidRPr="00CC6AEB">
        <w:rPr>
          <w:rFonts w:ascii="Book Antiqua" w:eastAsia="Book Antiqua" w:hAnsi="Book Antiqua" w:cs="Arial"/>
          <w:b/>
          <w:sz w:val="24"/>
          <w:szCs w:val="24"/>
        </w:rPr>
        <w:t xml:space="preserve"> post-</w:t>
      </w:r>
      <w:r w:rsidR="00E12327" w:rsidRPr="00CC6AEB">
        <w:rPr>
          <w:rFonts w:ascii="Book Antiqua" w:eastAsia="Book Antiqua" w:hAnsi="Book Antiqua" w:cs="Arial"/>
          <w:b/>
          <w:sz w:val="24"/>
          <w:szCs w:val="24"/>
        </w:rPr>
        <w:t>liver transplant</w:t>
      </w:r>
      <w:r w:rsidRPr="00CC6AEB">
        <w:rPr>
          <w:rFonts w:ascii="Book Antiqua" w:eastAsia="Book Antiqua" w:hAnsi="Book Antiqua" w:cs="Arial"/>
          <w:b/>
          <w:sz w:val="24"/>
          <w:szCs w:val="24"/>
        </w:rPr>
        <w:t xml:space="preserve"> </w:t>
      </w:r>
      <w:r w:rsidR="00E12327" w:rsidRPr="00CC6AEB">
        <w:rPr>
          <w:rFonts w:ascii="Book Antiqua" w:eastAsia="Book Antiqua" w:hAnsi="Book Antiqua" w:cs="Arial"/>
          <w:b/>
          <w:sz w:val="24"/>
          <w:szCs w:val="24"/>
        </w:rPr>
        <w:t>direct-acting antiviral</w:t>
      </w:r>
      <w:r w:rsidRPr="00CC6AEB">
        <w:rPr>
          <w:rFonts w:ascii="Book Antiqua" w:eastAsia="Book Antiqua" w:hAnsi="Book Antiqua" w:cs="Arial"/>
          <w:b/>
          <w:sz w:val="24"/>
          <w:szCs w:val="24"/>
        </w:rPr>
        <w:t xml:space="preserve"> </w:t>
      </w:r>
      <w:r w:rsidR="00E12327" w:rsidRPr="00CC6AEB">
        <w:rPr>
          <w:rFonts w:ascii="Book Antiqua" w:eastAsia="Book Antiqua" w:hAnsi="Book Antiqua" w:cs="Arial"/>
          <w:b/>
          <w:sz w:val="24"/>
          <w:szCs w:val="24"/>
        </w:rPr>
        <w:t>therapy response</w:t>
      </w:r>
      <w:r w:rsidRPr="00CC6AEB">
        <w:rPr>
          <w:rFonts w:ascii="Book Antiqua" w:eastAsia="Book Antiqua" w:hAnsi="Book Antiqua" w:cs="Arial"/>
          <w:b/>
          <w:sz w:val="24"/>
          <w:szCs w:val="24"/>
        </w:rPr>
        <w:t xml:space="preserve"> (Logistic </w:t>
      </w:r>
      <w:r w:rsidR="00E12327" w:rsidRPr="00CC6AEB">
        <w:rPr>
          <w:rFonts w:ascii="Book Antiqua" w:eastAsia="Book Antiqua" w:hAnsi="Book Antiqua" w:cs="Arial"/>
          <w:b/>
          <w:sz w:val="24"/>
          <w:szCs w:val="24"/>
        </w:rPr>
        <w:t>regression analysis</w:t>
      </w:r>
      <w:r w:rsidRPr="00CC6AEB">
        <w:rPr>
          <w:rFonts w:ascii="Book Antiqua" w:eastAsia="Book Antiqua" w:hAnsi="Book Antiqua" w:cs="Arial"/>
          <w:b/>
          <w:sz w:val="24"/>
          <w:szCs w:val="24"/>
        </w:rPr>
        <w:t>)</w:t>
      </w:r>
    </w:p>
    <w:tbl>
      <w:tblPr>
        <w:tblStyle w:val="GridTable1Light-Accent31"/>
        <w:tblW w:w="0" w:type="auto"/>
        <w:tblInd w:w="-54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2473"/>
        <w:gridCol w:w="1451"/>
        <w:gridCol w:w="843"/>
        <w:gridCol w:w="1764"/>
        <w:gridCol w:w="827"/>
      </w:tblGrid>
      <w:tr w:rsidR="00B21FDB" w:rsidRPr="00CC6AEB" w14:paraId="6ECF5DFE" w14:textId="77777777" w:rsidTr="000A77C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47D743B" w14:textId="77777777"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Variable</w:t>
            </w:r>
          </w:p>
        </w:tc>
        <w:tc>
          <w:tcPr>
            <w:tcW w:w="0" w:type="auto"/>
            <w:tcBorders>
              <w:top w:val="single" w:sz="4" w:space="0" w:color="auto"/>
              <w:bottom w:val="single" w:sz="4" w:space="0" w:color="auto"/>
            </w:tcBorders>
          </w:tcPr>
          <w:p w14:paraId="0B79AF12" w14:textId="4DEFD663"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Number of DAA therapy responses/failures</w:t>
            </w:r>
            <w:r w:rsidR="000A77CC" w:rsidRPr="00CC6AEB">
              <w:rPr>
                <w:rFonts w:ascii="Book Antiqua" w:hAnsi="Book Antiqua" w:cs="Arial"/>
                <w:sz w:val="24"/>
                <w:szCs w:val="24"/>
              </w:rPr>
              <w:t>,</w:t>
            </w:r>
            <w:r w:rsidR="000A77CC" w:rsidRPr="00CC6AEB">
              <w:rPr>
                <w:rFonts w:ascii="Book Antiqua" w:hAnsi="Book Antiqua" w:cs="Arial"/>
                <w:sz w:val="24"/>
                <w:szCs w:val="24"/>
                <w:lang w:eastAsia="zh-CN"/>
              </w:rPr>
              <w:t xml:space="preserve"> </w:t>
            </w:r>
            <w:r w:rsidRPr="00CC6AEB">
              <w:rPr>
                <w:rFonts w:ascii="Book Antiqua" w:hAnsi="Book Antiqua" w:cs="Arial"/>
                <w:sz w:val="24"/>
                <w:szCs w:val="24"/>
              </w:rPr>
              <w:t>(</w:t>
            </w:r>
            <w:r w:rsidRPr="00CC6AEB">
              <w:rPr>
                <w:rFonts w:ascii="Book Antiqua" w:hAnsi="Book Antiqua" w:cs="Arial"/>
                <w:i/>
                <w:iCs/>
                <w:sz w:val="24"/>
                <w:szCs w:val="24"/>
              </w:rPr>
              <w:t>n</w:t>
            </w:r>
            <w:r w:rsidRPr="00CC6AEB">
              <w:rPr>
                <w:rFonts w:ascii="Book Antiqua" w:hAnsi="Book Antiqua" w:cs="Arial"/>
                <w:sz w:val="24"/>
                <w:szCs w:val="24"/>
              </w:rPr>
              <w:t xml:space="preserve"> = 100/6) </w:t>
            </w:r>
          </w:p>
        </w:tc>
        <w:tc>
          <w:tcPr>
            <w:tcW w:w="0" w:type="auto"/>
            <w:tcBorders>
              <w:top w:val="single" w:sz="4" w:space="0" w:color="auto"/>
              <w:bottom w:val="single" w:sz="4" w:space="0" w:color="auto"/>
            </w:tcBorders>
          </w:tcPr>
          <w:p w14:paraId="37E6E610" w14:textId="7BFD0F74"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 xml:space="preserve">Univariate </w:t>
            </w:r>
            <w:r w:rsidR="00E12327" w:rsidRPr="00CC6AEB">
              <w:rPr>
                <w:rFonts w:ascii="Book Antiqua" w:hAnsi="Book Antiqua" w:cs="Arial"/>
                <w:sz w:val="24"/>
                <w:szCs w:val="24"/>
              </w:rPr>
              <w:t>OR,</w:t>
            </w:r>
            <w:r w:rsidR="00E12327" w:rsidRPr="00CC6AEB">
              <w:rPr>
                <w:rFonts w:ascii="Book Antiqua" w:hAnsi="Book Antiqua" w:cs="Arial"/>
                <w:sz w:val="24"/>
                <w:szCs w:val="24"/>
                <w:lang w:eastAsia="zh-CN"/>
              </w:rPr>
              <w:t xml:space="preserve"> </w:t>
            </w:r>
            <w:r w:rsidR="00E12327" w:rsidRPr="00CC6AEB">
              <w:rPr>
                <w:rFonts w:ascii="Book Antiqua" w:hAnsi="Book Antiqua" w:cs="Arial"/>
                <w:sz w:val="24"/>
                <w:szCs w:val="24"/>
              </w:rPr>
              <w:t>(95%</w:t>
            </w:r>
            <w:r w:rsidR="000A77CC" w:rsidRPr="00CC6AEB">
              <w:rPr>
                <w:rFonts w:ascii="Book Antiqua" w:hAnsi="Book Antiqua" w:cs="Arial"/>
                <w:sz w:val="24"/>
                <w:szCs w:val="24"/>
              </w:rPr>
              <w:t>CI)</w:t>
            </w:r>
          </w:p>
        </w:tc>
        <w:tc>
          <w:tcPr>
            <w:tcW w:w="843" w:type="dxa"/>
            <w:tcBorders>
              <w:top w:val="single" w:sz="4" w:space="0" w:color="auto"/>
              <w:bottom w:val="single" w:sz="4" w:space="0" w:color="auto"/>
            </w:tcBorders>
          </w:tcPr>
          <w:p w14:paraId="3CA123D5"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p>
        </w:tc>
        <w:tc>
          <w:tcPr>
            <w:tcW w:w="1764" w:type="dxa"/>
            <w:tcBorders>
              <w:top w:val="single" w:sz="4" w:space="0" w:color="auto"/>
              <w:bottom w:val="single" w:sz="4" w:space="0" w:color="auto"/>
            </w:tcBorders>
          </w:tcPr>
          <w:p w14:paraId="610A2BE1" w14:textId="6B2D63B6" w:rsidR="00B21FDB" w:rsidRPr="00CC6AEB" w:rsidRDefault="00E12327"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Multivariate OR,</w:t>
            </w:r>
            <w:r w:rsidRPr="00CC6AEB">
              <w:rPr>
                <w:rFonts w:ascii="Book Antiqua" w:hAnsi="Book Antiqua" w:cs="Arial"/>
                <w:sz w:val="24"/>
                <w:szCs w:val="24"/>
                <w:lang w:eastAsia="zh-CN"/>
              </w:rPr>
              <w:t xml:space="preserve"> </w:t>
            </w:r>
            <w:r w:rsidRPr="00CC6AEB">
              <w:rPr>
                <w:rFonts w:ascii="Book Antiqua" w:hAnsi="Book Antiqua" w:cs="Arial"/>
                <w:sz w:val="24"/>
                <w:szCs w:val="24"/>
              </w:rPr>
              <w:t>(95%</w:t>
            </w:r>
            <w:r w:rsidR="00B21FDB" w:rsidRPr="00CC6AEB">
              <w:rPr>
                <w:rFonts w:ascii="Book Antiqua" w:hAnsi="Book Antiqua" w:cs="Arial"/>
                <w:sz w:val="24"/>
                <w:szCs w:val="24"/>
              </w:rPr>
              <w:t>CI)</w:t>
            </w:r>
          </w:p>
        </w:tc>
        <w:tc>
          <w:tcPr>
            <w:tcW w:w="0" w:type="auto"/>
            <w:tcBorders>
              <w:top w:val="single" w:sz="4" w:space="0" w:color="auto"/>
              <w:bottom w:val="single" w:sz="4" w:space="0" w:color="auto"/>
            </w:tcBorders>
          </w:tcPr>
          <w:p w14:paraId="3BA2C794"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p>
        </w:tc>
      </w:tr>
      <w:tr w:rsidR="00B21FDB" w:rsidRPr="00CC6AEB" w14:paraId="08F8D807"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7655717B" w14:textId="4B3DCE5D"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Age &gt;</w:t>
            </w:r>
            <w:r w:rsidR="009C638E" w:rsidRPr="00CC6AEB">
              <w:rPr>
                <w:rFonts w:ascii="Book Antiqua" w:hAnsi="Book Antiqua" w:cs="Arial"/>
                <w:b w:val="0"/>
                <w:sz w:val="24"/>
                <w:szCs w:val="24"/>
              </w:rPr>
              <w:t xml:space="preserve"> </w:t>
            </w:r>
            <w:r w:rsidR="00E12327" w:rsidRPr="00CC6AEB">
              <w:rPr>
                <w:rFonts w:ascii="Book Antiqua" w:hAnsi="Book Antiqua" w:cs="Arial"/>
                <w:b w:val="0"/>
                <w:sz w:val="24"/>
                <w:szCs w:val="24"/>
              </w:rPr>
              <w:t xml:space="preserve">60 </w:t>
            </w:r>
            <w:proofErr w:type="spellStart"/>
            <w:r w:rsidR="00E12327" w:rsidRPr="00CC6AEB">
              <w:rPr>
                <w:rFonts w:ascii="Book Antiqua" w:hAnsi="Book Antiqua" w:cs="Arial"/>
                <w:b w:val="0"/>
                <w:sz w:val="24"/>
                <w:szCs w:val="24"/>
              </w:rPr>
              <w:t>yr</w:t>
            </w:r>
            <w:proofErr w:type="spellEnd"/>
          </w:p>
        </w:tc>
        <w:tc>
          <w:tcPr>
            <w:tcW w:w="0" w:type="auto"/>
          </w:tcPr>
          <w:p w14:paraId="46EF7FF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60/4</w:t>
            </w:r>
          </w:p>
        </w:tc>
        <w:tc>
          <w:tcPr>
            <w:tcW w:w="0" w:type="auto"/>
          </w:tcPr>
          <w:p w14:paraId="6D0D2E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(0.2-15.4)</w:t>
            </w:r>
          </w:p>
        </w:tc>
        <w:tc>
          <w:tcPr>
            <w:tcW w:w="843" w:type="dxa"/>
          </w:tcPr>
          <w:p w14:paraId="2DAF6415" w14:textId="6FBF23B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c>
          <w:tcPr>
            <w:tcW w:w="1764" w:type="dxa"/>
          </w:tcPr>
          <w:p w14:paraId="3C9F472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457A897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AA36D6B"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30926A33"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Male</w:t>
            </w:r>
          </w:p>
        </w:tc>
        <w:tc>
          <w:tcPr>
            <w:tcW w:w="0" w:type="auto"/>
          </w:tcPr>
          <w:p w14:paraId="7C00F36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70/5</w:t>
            </w:r>
          </w:p>
        </w:tc>
        <w:tc>
          <w:tcPr>
            <w:tcW w:w="0" w:type="auto"/>
          </w:tcPr>
          <w:p w14:paraId="4B869E3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2.1 (0.2-104.7)</w:t>
            </w:r>
          </w:p>
        </w:tc>
        <w:tc>
          <w:tcPr>
            <w:tcW w:w="843" w:type="dxa"/>
          </w:tcPr>
          <w:p w14:paraId="066FADAC" w14:textId="12CB51CC"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764" w:type="dxa"/>
          </w:tcPr>
          <w:p w14:paraId="05665A3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42A04C7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5AEE8A1"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2ADF8D55" w14:textId="685B5710"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Baseline BMI (≥</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25 kg/m</w:t>
            </w:r>
            <w:r w:rsidRPr="00CC6AEB">
              <w:rPr>
                <w:rFonts w:ascii="Book Antiqua" w:hAnsi="Book Antiqua" w:cs="Arial"/>
                <w:b w:val="0"/>
                <w:sz w:val="24"/>
                <w:szCs w:val="24"/>
                <w:vertAlign w:val="superscript"/>
              </w:rPr>
              <w:t>2</w:t>
            </w:r>
            <w:r w:rsidRPr="00CC6AEB">
              <w:rPr>
                <w:rFonts w:ascii="Book Antiqua" w:hAnsi="Book Antiqua" w:cs="Arial"/>
                <w:b w:val="0"/>
                <w:sz w:val="24"/>
                <w:szCs w:val="24"/>
              </w:rPr>
              <w:t>)</w:t>
            </w:r>
          </w:p>
        </w:tc>
        <w:tc>
          <w:tcPr>
            <w:tcW w:w="0" w:type="auto"/>
          </w:tcPr>
          <w:p w14:paraId="5D3DC2A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76/5</w:t>
            </w:r>
          </w:p>
        </w:tc>
        <w:tc>
          <w:tcPr>
            <w:tcW w:w="0" w:type="auto"/>
          </w:tcPr>
          <w:p w14:paraId="25626E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1.6 (0.2-77.7)</w:t>
            </w:r>
          </w:p>
        </w:tc>
        <w:tc>
          <w:tcPr>
            <w:tcW w:w="843" w:type="dxa"/>
          </w:tcPr>
          <w:p w14:paraId="4C23835E" w14:textId="1D0DB8E2"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764" w:type="dxa"/>
          </w:tcPr>
          <w:p w14:paraId="097386E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300B89B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9EB2024"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4032365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Alcohol drinking</w:t>
            </w:r>
          </w:p>
        </w:tc>
        <w:tc>
          <w:tcPr>
            <w:tcW w:w="0" w:type="auto"/>
          </w:tcPr>
          <w:p w14:paraId="615B8F6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39/4</w:t>
            </w:r>
          </w:p>
        </w:tc>
        <w:tc>
          <w:tcPr>
            <w:tcW w:w="0" w:type="auto"/>
          </w:tcPr>
          <w:p w14:paraId="10986C0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3.1 (0.4-35.7)</w:t>
            </w:r>
          </w:p>
        </w:tc>
        <w:tc>
          <w:tcPr>
            <w:tcW w:w="843" w:type="dxa"/>
          </w:tcPr>
          <w:p w14:paraId="4275490C" w14:textId="327A6B4D"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c>
          <w:tcPr>
            <w:tcW w:w="1764" w:type="dxa"/>
          </w:tcPr>
          <w:p w14:paraId="2880188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553A556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AD79FEC"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1C9298F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Cigarette smoking</w:t>
            </w:r>
          </w:p>
        </w:tc>
        <w:tc>
          <w:tcPr>
            <w:tcW w:w="0" w:type="auto"/>
          </w:tcPr>
          <w:p w14:paraId="3F03268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64/5</w:t>
            </w:r>
          </w:p>
        </w:tc>
        <w:tc>
          <w:tcPr>
            <w:tcW w:w="0" w:type="auto"/>
          </w:tcPr>
          <w:p w14:paraId="76E8F67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 (0.3-136.6)</w:t>
            </w:r>
          </w:p>
        </w:tc>
        <w:tc>
          <w:tcPr>
            <w:tcW w:w="843" w:type="dxa"/>
          </w:tcPr>
          <w:p w14:paraId="6244C1CB" w14:textId="1D734177"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c>
          <w:tcPr>
            <w:tcW w:w="1764" w:type="dxa"/>
          </w:tcPr>
          <w:p w14:paraId="02CB855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54C7AA2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2A588B0B" w14:textId="77777777" w:rsidTr="000A77CC">
        <w:trPr>
          <w:trHeight w:val="315"/>
        </w:trPr>
        <w:tc>
          <w:tcPr>
            <w:cnfStyle w:val="001000000000" w:firstRow="0" w:lastRow="0" w:firstColumn="1" w:lastColumn="0" w:oddVBand="0" w:evenVBand="0" w:oddHBand="0" w:evenHBand="0" w:firstRowFirstColumn="0" w:firstRowLastColumn="0" w:lastRowFirstColumn="0" w:lastRowLastColumn="0"/>
            <w:tcW w:w="0" w:type="auto"/>
          </w:tcPr>
          <w:p w14:paraId="6B31A5F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Diabetes Mellitus</w:t>
            </w:r>
          </w:p>
        </w:tc>
        <w:tc>
          <w:tcPr>
            <w:tcW w:w="0" w:type="auto"/>
          </w:tcPr>
          <w:p w14:paraId="6AB90F2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70/3</w:t>
            </w:r>
          </w:p>
        </w:tc>
        <w:tc>
          <w:tcPr>
            <w:tcW w:w="0" w:type="auto"/>
          </w:tcPr>
          <w:p w14:paraId="5887594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0.4 (0.1-3.4)</w:t>
            </w:r>
          </w:p>
        </w:tc>
        <w:tc>
          <w:tcPr>
            <w:tcW w:w="843" w:type="dxa"/>
          </w:tcPr>
          <w:p w14:paraId="5B79F521" w14:textId="69A3398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c>
          <w:tcPr>
            <w:tcW w:w="1764" w:type="dxa"/>
          </w:tcPr>
          <w:p w14:paraId="70BDCD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3C73322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69AA44C3"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3B50B969"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CKD</w:t>
            </w:r>
          </w:p>
        </w:tc>
        <w:tc>
          <w:tcPr>
            <w:tcW w:w="0" w:type="auto"/>
          </w:tcPr>
          <w:p w14:paraId="22E5C83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42/1</w:t>
            </w:r>
          </w:p>
        </w:tc>
        <w:tc>
          <w:tcPr>
            <w:tcW w:w="0" w:type="auto"/>
          </w:tcPr>
          <w:p w14:paraId="643E9C0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0.30 (0.01-2.60)</w:t>
            </w:r>
          </w:p>
        </w:tc>
        <w:tc>
          <w:tcPr>
            <w:tcW w:w="843" w:type="dxa"/>
          </w:tcPr>
          <w:p w14:paraId="50F3AAC7" w14:textId="35E42028"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c>
          <w:tcPr>
            <w:tcW w:w="1764" w:type="dxa"/>
          </w:tcPr>
          <w:p w14:paraId="2EEB7B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1ADB49C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1DF7A2A"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1D6D89D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0" w:type="auto"/>
          </w:tcPr>
          <w:p w14:paraId="0E4DC6D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9/0</w:t>
            </w:r>
          </w:p>
        </w:tc>
        <w:tc>
          <w:tcPr>
            <w:tcW w:w="0" w:type="auto"/>
          </w:tcPr>
          <w:p w14:paraId="58D1CF6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843" w:type="dxa"/>
          </w:tcPr>
          <w:p w14:paraId="040E0C6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764" w:type="dxa"/>
          </w:tcPr>
          <w:p w14:paraId="29FE22B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158747F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BF8B6FF"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2D5D4C7D" w14:textId="1C0C8AA5"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Pre-</w:t>
            </w:r>
            <w:r w:rsidR="00757A68" w:rsidRPr="00CC6AEB">
              <w:rPr>
                <w:rFonts w:ascii="Book Antiqua" w:hAnsi="Book Antiqua" w:cs="Arial"/>
                <w:b w:val="0"/>
                <w:sz w:val="24"/>
                <w:szCs w:val="24"/>
              </w:rPr>
              <w:t>LT</w:t>
            </w:r>
            <w:r w:rsidRPr="00CC6AEB">
              <w:rPr>
                <w:rFonts w:ascii="Book Antiqua" w:hAnsi="Book Antiqua" w:cs="Arial"/>
                <w:b w:val="0"/>
                <w:sz w:val="24"/>
                <w:szCs w:val="24"/>
              </w:rPr>
              <w:t xml:space="preserve"> relapse to DAA </w:t>
            </w:r>
          </w:p>
        </w:tc>
        <w:tc>
          <w:tcPr>
            <w:tcW w:w="0" w:type="auto"/>
          </w:tcPr>
          <w:p w14:paraId="6F4C14A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25/4</w:t>
            </w:r>
          </w:p>
        </w:tc>
        <w:tc>
          <w:tcPr>
            <w:tcW w:w="0" w:type="auto"/>
          </w:tcPr>
          <w:p w14:paraId="54C0275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5.9 (0.8-68.7)</w:t>
            </w:r>
          </w:p>
        </w:tc>
        <w:tc>
          <w:tcPr>
            <w:tcW w:w="843" w:type="dxa"/>
          </w:tcPr>
          <w:p w14:paraId="6AB175E3" w14:textId="0BB2660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.09</w:t>
            </w:r>
          </w:p>
        </w:tc>
        <w:tc>
          <w:tcPr>
            <w:tcW w:w="1764" w:type="dxa"/>
          </w:tcPr>
          <w:p w14:paraId="3504846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0957E4F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764B548"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667E85DE" w14:textId="52A6DA23" w:rsidR="00B21FDB" w:rsidRPr="00CC6AEB" w:rsidRDefault="00B65CCF"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Anti-</w:t>
            </w:r>
            <w:r w:rsidR="00B21FDB" w:rsidRPr="00CC6AEB">
              <w:rPr>
                <w:rFonts w:ascii="Book Antiqua" w:hAnsi="Book Antiqua" w:cs="Arial"/>
                <w:b w:val="0"/>
                <w:sz w:val="24"/>
                <w:szCs w:val="24"/>
              </w:rPr>
              <w:t>HB</w:t>
            </w:r>
            <w:r w:rsidRPr="00CC6AEB">
              <w:rPr>
                <w:rFonts w:ascii="Book Antiqua" w:hAnsi="Book Antiqua" w:cs="Arial"/>
                <w:b w:val="0"/>
                <w:sz w:val="24"/>
                <w:szCs w:val="24"/>
              </w:rPr>
              <w:t>c</w:t>
            </w:r>
            <w:r w:rsidR="00B21FDB" w:rsidRPr="00CC6AEB">
              <w:rPr>
                <w:rFonts w:ascii="Book Antiqua" w:hAnsi="Book Antiqua" w:cs="Arial"/>
                <w:b w:val="0"/>
                <w:sz w:val="24"/>
                <w:szCs w:val="24"/>
              </w:rPr>
              <w:t>-positive allograft</w:t>
            </w:r>
          </w:p>
        </w:tc>
        <w:tc>
          <w:tcPr>
            <w:tcW w:w="0" w:type="auto"/>
          </w:tcPr>
          <w:p w14:paraId="1EE27FA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9/2</w:t>
            </w:r>
          </w:p>
        </w:tc>
        <w:tc>
          <w:tcPr>
            <w:tcW w:w="0" w:type="auto"/>
          </w:tcPr>
          <w:p w14:paraId="7248C42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4.9 (0.4-40.4)</w:t>
            </w:r>
          </w:p>
        </w:tc>
        <w:tc>
          <w:tcPr>
            <w:tcW w:w="843" w:type="dxa"/>
          </w:tcPr>
          <w:p w14:paraId="6C99B766" w14:textId="560065DE"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c>
          <w:tcPr>
            <w:tcW w:w="1764" w:type="dxa"/>
          </w:tcPr>
          <w:p w14:paraId="601DBCE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6FE5366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02CD0DD"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609A197B"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HCV-positive allograft</w:t>
            </w:r>
          </w:p>
        </w:tc>
        <w:tc>
          <w:tcPr>
            <w:tcW w:w="0" w:type="auto"/>
          </w:tcPr>
          <w:p w14:paraId="12D07F5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2/2</w:t>
            </w:r>
          </w:p>
        </w:tc>
        <w:tc>
          <w:tcPr>
            <w:tcW w:w="0" w:type="auto"/>
          </w:tcPr>
          <w:p w14:paraId="63B1150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22.0 (1.3-381.3)</w:t>
            </w:r>
          </w:p>
        </w:tc>
        <w:tc>
          <w:tcPr>
            <w:tcW w:w="843" w:type="dxa"/>
          </w:tcPr>
          <w:p w14:paraId="1B8075C7" w14:textId="6850DB4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.02</w:t>
            </w:r>
          </w:p>
        </w:tc>
        <w:tc>
          <w:tcPr>
            <w:tcW w:w="1764" w:type="dxa"/>
          </w:tcPr>
          <w:p w14:paraId="2A330AA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3.2 (0.1-856.8)</w:t>
            </w:r>
            <w:r w:rsidRPr="00CC6AEB">
              <w:rPr>
                <w:rFonts w:ascii="Book Antiqua" w:hAnsi="Book Antiqua" w:cs="Arial"/>
                <w:i/>
                <w:sz w:val="24"/>
                <w:szCs w:val="24"/>
              </w:rPr>
              <w:t xml:space="preserve"> </w:t>
            </w:r>
          </w:p>
        </w:tc>
        <w:tc>
          <w:tcPr>
            <w:tcW w:w="0" w:type="auto"/>
          </w:tcPr>
          <w:p w14:paraId="032CFE84" w14:textId="74F0AC4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r>
      <w:tr w:rsidR="00B21FDB" w:rsidRPr="00CC6AEB" w14:paraId="7AB07DFF"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5F8404B3"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lastRenderedPageBreak/>
              <w:t>HCV genotype 3a</w:t>
            </w:r>
          </w:p>
        </w:tc>
        <w:tc>
          <w:tcPr>
            <w:tcW w:w="0" w:type="auto"/>
          </w:tcPr>
          <w:p w14:paraId="66B53A1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15/4</w:t>
            </w:r>
          </w:p>
        </w:tc>
        <w:tc>
          <w:tcPr>
            <w:tcW w:w="0" w:type="auto"/>
          </w:tcPr>
          <w:p w14:paraId="51836AB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10.9 (1.4-130.9)</w:t>
            </w:r>
          </w:p>
        </w:tc>
        <w:tc>
          <w:tcPr>
            <w:tcW w:w="843" w:type="dxa"/>
          </w:tcPr>
          <w:p w14:paraId="39A2A655" w14:textId="00F80BC8"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.03</w:t>
            </w:r>
          </w:p>
        </w:tc>
        <w:tc>
          <w:tcPr>
            <w:tcW w:w="1764" w:type="dxa"/>
          </w:tcPr>
          <w:p w14:paraId="2FD3E44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1.40 (0.02-89.10)</w:t>
            </w:r>
            <w:r w:rsidRPr="00CC6AEB">
              <w:rPr>
                <w:rFonts w:ascii="Book Antiqua" w:hAnsi="Book Antiqua" w:cs="Arial"/>
                <w:i/>
                <w:sz w:val="24"/>
                <w:szCs w:val="24"/>
              </w:rPr>
              <w:t xml:space="preserve"> </w:t>
            </w:r>
          </w:p>
        </w:tc>
        <w:tc>
          <w:tcPr>
            <w:tcW w:w="0" w:type="auto"/>
          </w:tcPr>
          <w:p w14:paraId="6EE8F94A" w14:textId="500CFCF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r>
      <w:tr w:rsidR="00B21FDB" w:rsidRPr="00CC6AEB" w14:paraId="3B1FC43E"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5A18C815"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Presence of HCC before LT</w:t>
            </w:r>
          </w:p>
        </w:tc>
        <w:tc>
          <w:tcPr>
            <w:tcW w:w="0" w:type="auto"/>
          </w:tcPr>
          <w:p w14:paraId="03C0BA9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63/5</w:t>
            </w:r>
          </w:p>
        </w:tc>
        <w:tc>
          <w:tcPr>
            <w:tcW w:w="0" w:type="auto"/>
          </w:tcPr>
          <w:p w14:paraId="13C2774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2.9 (0.3-142.6)</w:t>
            </w:r>
          </w:p>
        </w:tc>
        <w:tc>
          <w:tcPr>
            <w:tcW w:w="843" w:type="dxa"/>
          </w:tcPr>
          <w:p w14:paraId="26671C37" w14:textId="46E8AFDA"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c>
          <w:tcPr>
            <w:tcW w:w="1764" w:type="dxa"/>
          </w:tcPr>
          <w:p w14:paraId="5CB224A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3934D6C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463A931"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4760CF6A" w14:textId="560BE75F"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Rej</w:t>
            </w:r>
            <w:r w:rsidR="000A77CC" w:rsidRPr="00CC6AEB">
              <w:rPr>
                <w:rFonts w:ascii="Book Antiqua" w:hAnsi="Book Antiqua" w:cs="Arial"/>
                <w:b w:val="0"/>
                <w:sz w:val="24"/>
                <w:szCs w:val="24"/>
              </w:rPr>
              <w:t>ection during/after DAA therapy</w:t>
            </w:r>
          </w:p>
        </w:tc>
        <w:tc>
          <w:tcPr>
            <w:tcW w:w="0" w:type="auto"/>
          </w:tcPr>
          <w:p w14:paraId="6801F2B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5/0</w:t>
            </w:r>
          </w:p>
        </w:tc>
        <w:tc>
          <w:tcPr>
            <w:tcW w:w="0" w:type="auto"/>
          </w:tcPr>
          <w:p w14:paraId="2DC9553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843" w:type="dxa"/>
          </w:tcPr>
          <w:p w14:paraId="1FD5CBD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764" w:type="dxa"/>
          </w:tcPr>
          <w:p w14:paraId="67F9897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6B1B60F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579734B0"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66D5C826" w14:textId="5D1ACDF0"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ALT level at treatment week 4 (&gt;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35 IU/L)</w:t>
            </w:r>
          </w:p>
        </w:tc>
        <w:tc>
          <w:tcPr>
            <w:tcW w:w="0" w:type="auto"/>
          </w:tcPr>
          <w:p w14:paraId="326C55C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16/4</w:t>
            </w:r>
          </w:p>
        </w:tc>
        <w:tc>
          <w:tcPr>
            <w:tcW w:w="0" w:type="auto"/>
          </w:tcPr>
          <w:p w14:paraId="012367B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1.02 (1.00-1.05)</w:t>
            </w:r>
          </w:p>
        </w:tc>
        <w:tc>
          <w:tcPr>
            <w:tcW w:w="843" w:type="dxa"/>
          </w:tcPr>
          <w:p w14:paraId="464FC38F" w14:textId="67AF20E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.001</w:t>
            </w:r>
          </w:p>
        </w:tc>
        <w:tc>
          <w:tcPr>
            <w:tcW w:w="1764" w:type="dxa"/>
          </w:tcPr>
          <w:p w14:paraId="7D0E0F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1.04 (1.00-1.10)</w:t>
            </w:r>
            <w:r w:rsidRPr="00CC6AEB">
              <w:rPr>
                <w:rFonts w:ascii="Book Antiqua" w:hAnsi="Book Antiqua" w:cs="Arial"/>
                <w:i/>
                <w:sz w:val="24"/>
                <w:szCs w:val="24"/>
              </w:rPr>
              <w:t xml:space="preserve"> </w:t>
            </w:r>
          </w:p>
        </w:tc>
        <w:tc>
          <w:tcPr>
            <w:tcW w:w="0" w:type="auto"/>
          </w:tcPr>
          <w:p w14:paraId="1F67438D" w14:textId="1D51C1B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.04</w:t>
            </w:r>
            <w:r w:rsidR="00B21FDB" w:rsidRPr="00CC6AEB">
              <w:rPr>
                <w:rFonts w:ascii="Book Antiqua" w:hAnsi="Book Antiqua" w:cs="Arial"/>
                <w:i/>
                <w:sz w:val="24"/>
                <w:szCs w:val="24"/>
                <w:vertAlign w:val="superscript"/>
              </w:rPr>
              <w:t xml:space="preserve"> </w:t>
            </w:r>
          </w:p>
        </w:tc>
      </w:tr>
      <w:tr w:rsidR="00B21FDB" w:rsidRPr="00CC6AEB" w14:paraId="6E861ED5"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150516DE" w14:textId="4E0DABA4"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Quantitative HCV PCR at treatment week 4 (&gt;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15 IU/m</w:t>
            </w:r>
            <w:r w:rsidR="009C638E" w:rsidRPr="00CC6AEB">
              <w:rPr>
                <w:rFonts w:ascii="Book Antiqua" w:hAnsi="Book Antiqua" w:cs="Arial"/>
                <w:b w:val="0"/>
                <w:sz w:val="24"/>
                <w:szCs w:val="24"/>
              </w:rPr>
              <w:t>L</w:t>
            </w:r>
            <w:r w:rsidRPr="00CC6AEB">
              <w:rPr>
                <w:rFonts w:ascii="Book Antiqua" w:hAnsi="Book Antiqua" w:cs="Arial"/>
                <w:b w:val="0"/>
                <w:sz w:val="24"/>
                <w:szCs w:val="24"/>
              </w:rPr>
              <w:t>)</w:t>
            </w:r>
          </w:p>
        </w:tc>
        <w:tc>
          <w:tcPr>
            <w:tcW w:w="0" w:type="auto"/>
          </w:tcPr>
          <w:p w14:paraId="7F4AEF4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8/3</w:t>
            </w:r>
          </w:p>
        </w:tc>
        <w:tc>
          <w:tcPr>
            <w:tcW w:w="0" w:type="auto"/>
          </w:tcPr>
          <w:p w14:paraId="78CA0E2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10.9 (1.3-96.4)</w:t>
            </w:r>
          </w:p>
        </w:tc>
        <w:tc>
          <w:tcPr>
            <w:tcW w:w="843" w:type="dxa"/>
          </w:tcPr>
          <w:p w14:paraId="7A8D0B56" w14:textId="448D1F25"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.01</w:t>
            </w:r>
          </w:p>
        </w:tc>
        <w:tc>
          <w:tcPr>
            <w:tcW w:w="1764" w:type="dxa"/>
          </w:tcPr>
          <w:p w14:paraId="0FF8CC1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3.6 (0.1-172.3)</w:t>
            </w:r>
            <w:r w:rsidRPr="00CC6AEB">
              <w:rPr>
                <w:rFonts w:ascii="Book Antiqua" w:hAnsi="Book Antiqua" w:cs="Arial"/>
                <w:i/>
                <w:sz w:val="24"/>
                <w:szCs w:val="24"/>
              </w:rPr>
              <w:t xml:space="preserve"> </w:t>
            </w:r>
          </w:p>
        </w:tc>
        <w:tc>
          <w:tcPr>
            <w:tcW w:w="0" w:type="auto"/>
          </w:tcPr>
          <w:p w14:paraId="56BB67B3" w14:textId="64803F9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bl>
    <w:p w14:paraId="2A59C54B" w14:textId="01073F83" w:rsidR="007B67F8" w:rsidRPr="00CC6AEB" w:rsidRDefault="00B608FB" w:rsidP="00CC6AEB">
      <w:pPr>
        <w:pStyle w:val="NoSpacing"/>
        <w:snapToGrid w:val="0"/>
        <w:spacing w:line="360" w:lineRule="auto"/>
        <w:jc w:val="both"/>
        <w:rPr>
          <w:rFonts w:ascii="Book Antiqua" w:eastAsia="Book Antiqua" w:hAnsi="Book Antiqua" w:cs="Arial"/>
          <w:sz w:val="24"/>
          <w:szCs w:val="24"/>
        </w:rPr>
      </w:pPr>
      <w:r w:rsidRPr="00CC6AEB">
        <w:rPr>
          <w:rFonts w:ascii="Book Antiqua" w:hAnsi="Book Antiqua" w:cs="Arial"/>
          <w:sz w:val="24"/>
          <w:szCs w:val="24"/>
        </w:rPr>
        <w:t>HCC:</w:t>
      </w:r>
      <w:r w:rsidRPr="00CC6AEB">
        <w:rPr>
          <w:rFonts w:ascii="Book Antiqua" w:hAnsi="Book Antiqua"/>
          <w:sz w:val="24"/>
          <w:szCs w:val="24"/>
        </w:rPr>
        <w:t xml:space="preserve"> </w:t>
      </w:r>
      <w:r w:rsidRPr="00CC6AEB">
        <w:rPr>
          <w:rFonts w:ascii="Book Antiqua" w:hAnsi="Book Antiqua" w:cs="Arial"/>
          <w:sz w:val="24"/>
          <w:szCs w:val="24"/>
        </w:rPr>
        <w:t xml:space="preserve">Hepatocellular carcinoma; </w:t>
      </w:r>
      <w:r w:rsidR="000A77CC" w:rsidRPr="00CC6AEB">
        <w:rPr>
          <w:rFonts w:ascii="Book Antiqua" w:hAnsi="Book Antiqua" w:cs="Arial"/>
          <w:sz w:val="24"/>
          <w:szCs w:val="24"/>
        </w:rPr>
        <w:t>BMI:</w:t>
      </w:r>
      <w:r w:rsidR="000A77CC" w:rsidRPr="00CC6AEB">
        <w:rPr>
          <w:rFonts w:ascii="Book Antiqua" w:eastAsia="Book Antiqua" w:hAnsi="Book Antiqua" w:cs="Arial"/>
          <w:sz w:val="24"/>
          <w:szCs w:val="24"/>
        </w:rPr>
        <w:t xml:space="preserve"> Body mass index</w:t>
      </w:r>
      <w:r w:rsidR="000A77CC" w:rsidRPr="00CC6AEB">
        <w:rPr>
          <w:rFonts w:ascii="Book Antiqua" w:hAnsi="Book Antiqua" w:cs="Arial"/>
          <w:sz w:val="24"/>
          <w:szCs w:val="24"/>
        </w:rPr>
        <w:t>; CKD:</w:t>
      </w:r>
      <w:r w:rsidR="00B21FDB" w:rsidRPr="00CC6AEB">
        <w:rPr>
          <w:rFonts w:ascii="Book Antiqua" w:hAnsi="Book Antiqua" w:cs="Arial"/>
          <w:sz w:val="24"/>
          <w:szCs w:val="24"/>
        </w:rPr>
        <w:t xml:space="preserve"> </w:t>
      </w:r>
      <w:r w:rsidR="000A77CC" w:rsidRPr="00CC6AEB">
        <w:rPr>
          <w:rFonts w:ascii="Book Antiqua" w:hAnsi="Book Antiqua" w:cs="Arial"/>
          <w:sz w:val="24"/>
          <w:szCs w:val="24"/>
        </w:rPr>
        <w:t xml:space="preserve">Chronic kidney disease; DAA: </w:t>
      </w:r>
      <w:r w:rsidR="000A77CC" w:rsidRPr="00CC6AEB">
        <w:rPr>
          <w:rFonts w:ascii="Book Antiqua" w:eastAsia="Book Antiqua" w:hAnsi="Book Antiqua" w:cs="Arial"/>
          <w:sz w:val="24"/>
          <w:szCs w:val="24"/>
        </w:rPr>
        <w:t xml:space="preserve">Direct-acting antiviral; </w:t>
      </w:r>
      <w:r w:rsidR="000A77CC" w:rsidRPr="00CC6AEB">
        <w:rPr>
          <w:rFonts w:ascii="Book Antiqua" w:hAnsi="Book Antiqua" w:cs="Arial"/>
          <w:sz w:val="24"/>
          <w:szCs w:val="24"/>
        </w:rPr>
        <w:t>HCV:</w:t>
      </w:r>
      <w:r w:rsidR="000A77CC" w:rsidRPr="00CC6AEB">
        <w:rPr>
          <w:rFonts w:ascii="Book Antiqua" w:hAnsi="Book Antiqua"/>
          <w:sz w:val="24"/>
          <w:szCs w:val="24"/>
        </w:rPr>
        <w:t xml:space="preserve"> </w:t>
      </w:r>
      <w:r w:rsidR="000A77CC" w:rsidRPr="00CC6AEB">
        <w:rPr>
          <w:rFonts w:ascii="Book Antiqua" w:eastAsia="Book Antiqua" w:hAnsi="Book Antiqua" w:cs="Arial"/>
          <w:sz w:val="24"/>
          <w:szCs w:val="24"/>
        </w:rPr>
        <w:t>Hepatitis C virus</w:t>
      </w:r>
      <w:r w:rsidR="000A77CC" w:rsidRPr="00CC6AEB">
        <w:rPr>
          <w:rFonts w:ascii="Book Antiqua" w:eastAsia="SimSun" w:hAnsi="Book Antiqua" w:cs="SimSun"/>
          <w:sz w:val="24"/>
          <w:szCs w:val="24"/>
          <w:lang w:eastAsia="zh-CN"/>
        </w:rPr>
        <w:t xml:space="preserve">; OR: </w:t>
      </w:r>
      <w:r w:rsidR="000A77CC" w:rsidRPr="00CC6AEB">
        <w:rPr>
          <w:rFonts w:ascii="Book Antiqua" w:eastAsia="Book Antiqua" w:hAnsi="Book Antiqua" w:cs="Arial"/>
          <w:sz w:val="24"/>
          <w:szCs w:val="24"/>
        </w:rPr>
        <w:t xml:space="preserve">Odds ratio; CI: Confidence interval; ALT: Alanine aminotransferase; </w:t>
      </w:r>
      <w:r w:rsidR="000A77CC" w:rsidRPr="00CC6AEB">
        <w:rPr>
          <w:rFonts w:ascii="Book Antiqua" w:hAnsi="Book Antiqua" w:cs="Arial"/>
          <w:sz w:val="24"/>
          <w:szCs w:val="24"/>
        </w:rPr>
        <w:t>LT:</w:t>
      </w:r>
      <w:r w:rsidR="000A77CC" w:rsidRPr="00CC6AEB">
        <w:rPr>
          <w:rFonts w:ascii="Book Antiqua" w:eastAsia="Book Antiqua" w:hAnsi="Book Antiqua" w:cs="Arial"/>
          <w:sz w:val="24"/>
          <w:szCs w:val="24"/>
        </w:rPr>
        <w:t xml:space="preserve"> Liver transplant</w:t>
      </w:r>
      <w:r w:rsidR="000A77CC" w:rsidRPr="00CC6AEB">
        <w:rPr>
          <w:rFonts w:ascii="Book Antiqua" w:hAnsi="Book Antiqua" w:cs="Arial"/>
          <w:sz w:val="24"/>
          <w:szCs w:val="24"/>
        </w:rPr>
        <w:t>; HBc:</w:t>
      </w:r>
      <w:r w:rsidR="000A77CC" w:rsidRPr="00CC6AEB">
        <w:rPr>
          <w:rFonts w:ascii="Book Antiqua" w:eastAsia="Book Antiqua" w:hAnsi="Book Antiqua" w:cs="Arial"/>
          <w:sz w:val="24"/>
          <w:szCs w:val="24"/>
        </w:rPr>
        <w:t xml:space="preserve"> Hepatitis B core; PCR: Polymerase chain reaction.</w:t>
      </w:r>
    </w:p>
    <w:p w14:paraId="0E1C2A35" w14:textId="77777777" w:rsidR="007B67F8" w:rsidRPr="00CC6AEB" w:rsidRDefault="007B67F8"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br w:type="page"/>
      </w:r>
    </w:p>
    <w:p w14:paraId="33DA49BF" w14:textId="76ACA582" w:rsidR="007B67F8" w:rsidRPr="00CC6AEB" w:rsidRDefault="007B67F8" w:rsidP="00CC6AEB">
      <w:pPr>
        <w:snapToGrid w:val="0"/>
        <w:spacing w:after="0" w:line="360" w:lineRule="auto"/>
        <w:jc w:val="both"/>
        <w:rPr>
          <w:rFonts w:ascii="Book Antiqua" w:hAnsi="Book Antiqua" w:cs="Arial"/>
          <w:b/>
          <w:sz w:val="24"/>
          <w:szCs w:val="24"/>
        </w:rPr>
      </w:pPr>
      <w:r w:rsidRPr="00CC6AEB">
        <w:rPr>
          <w:rFonts w:ascii="Book Antiqua" w:hAnsi="Book Antiqua" w:cs="Arial"/>
          <w:b/>
          <w:sz w:val="24"/>
          <w:szCs w:val="24"/>
          <w:lang w:eastAsia="zh-CN"/>
        </w:rPr>
        <w:lastRenderedPageBreak/>
        <w:t xml:space="preserve">Table 3 </w:t>
      </w:r>
      <w:r w:rsidRPr="00CC6AEB">
        <w:rPr>
          <w:rFonts w:ascii="Book Antiqua" w:eastAsia="Book Antiqua" w:hAnsi="Book Antiqua" w:cs="Arial"/>
          <w:b/>
          <w:sz w:val="24"/>
          <w:szCs w:val="24"/>
        </w:rPr>
        <w:t>Mean (± SD) alanine aminotransferase levels in patients who had direct-acting antiviral therapy responses and failure (baseline, week 4, week 8, and week 12)</w:t>
      </w:r>
    </w:p>
    <w:tbl>
      <w:tblPr>
        <w:tblW w:w="5000" w:type="pct"/>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742"/>
        <w:gridCol w:w="1405"/>
        <w:gridCol w:w="1830"/>
        <w:gridCol w:w="1797"/>
        <w:gridCol w:w="1866"/>
      </w:tblGrid>
      <w:tr w:rsidR="007B67F8" w:rsidRPr="00CC6AEB" w14:paraId="2290AEBA" w14:textId="77777777" w:rsidTr="0067213A">
        <w:trPr>
          <w:trHeight w:val="993"/>
        </w:trPr>
        <w:tc>
          <w:tcPr>
            <w:tcW w:w="898"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0D9F3757" w14:textId="77777777"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SVR12 Achievement </w:t>
            </w:r>
          </w:p>
        </w:tc>
        <w:tc>
          <w:tcPr>
            <w:tcW w:w="841"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0E8A52FB" w14:textId="7D77B6E4"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Baseline ALT,</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c>
          <w:tcPr>
            <w:tcW w:w="1087"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2E1AD86B" w14:textId="6F3E5204"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ALT at treatment </w:t>
            </w:r>
            <w:r w:rsidR="0067213A" w:rsidRPr="00CC6AEB">
              <w:rPr>
                <w:rFonts w:ascii="Book Antiqua" w:hAnsi="Book Antiqua"/>
                <w:b/>
                <w:sz w:val="24"/>
                <w:szCs w:val="24"/>
              </w:rPr>
              <w:t xml:space="preserve">week </w:t>
            </w:r>
            <w:r w:rsidRPr="00CC6AEB">
              <w:rPr>
                <w:rFonts w:ascii="Book Antiqua" w:hAnsi="Book Antiqua"/>
                <w:b/>
                <w:sz w:val="24"/>
                <w:szCs w:val="24"/>
              </w:rPr>
              <w:t>4,</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c>
          <w:tcPr>
            <w:tcW w:w="1067"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680BE8D3" w14:textId="441114C5"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ALT at treatment </w:t>
            </w:r>
            <w:r w:rsidR="0067213A" w:rsidRPr="00CC6AEB">
              <w:rPr>
                <w:rFonts w:ascii="Book Antiqua" w:hAnsi="Book Antiqua"/>
                <w:b/>
                <w:sz w:val="24"/>
                <w:szCs w:val="24"/>
              </w:rPr>
              <w:t xml:space="preserve">week </w:t>
            </w:r>
            <w:r w:rsidRPr="00CC6AEB">
              <w:rPr>
                <w:rFonts w:ascii="Book Antiqua" w:hAnsi="Book Antiqua"/>
                <w:b/>
                <w:sz w:val="24"/>
                <w:szCs w:val="24"/>
              </w:rPr>
              <w:t>8,</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c>
          <w:tcPr>
            <w:tcW w:w="1108"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2C25007E" w14:textId="0103979B"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ALT at treatment </w:t>
            </w:r>
            <w:r w:rsidR="0067213A" w:rsidRPr="00CC6AEB">
              <w:rPr>
                <w:rFonts w:ascii="Book Antiqua" w:hAnsi="Book Antiqua"/>
                <w:b/>
                <w:sz w:val="24"/>
                <w:szCs w:val="24"/>
              </w:rPr>
              <w:t xml:space="preserve">week </w:t>
            </w:r>
            <w:r w:rsidRPr="00CC6AEB">
              <w:rPr>
                <w:rFonts w:ascii="Book Antiqua" w:hAnsi="Book Antiqua"/>
                <w:b/>
                <w:sz w:val="24"/>
                <w:szCs w:val="24"/>
              </w:rPr>
              <w:t>12,</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r>
      <w:tr w:rsidR="0067213A" w:rsidRPr="00CC6AEB" w14:paraId="0704D004" w14:textId="77777777" w:rsidTr="0067213A">
        <w:trPr>
          <w:trHeight w:val="568"/>
        </w:trPr>
        <w:tc>
          <w:tcPr>
            <w:tcW w:w="898" w:type="pct"/>
            <w:tcBorders>
              <w:top w:val="single" w:sz="8" w:space="0" w:color="000000"/>
            </w:tcBorders>
            <w:shd w:val="clear" w:color="auto" w:fill="auto"/>
            <w:tcMar>
              <w:top w:w="72" w:type="dxa"/>
              <w:left w:w="144" w:type="dxa"/>
              <w:bottom w:w="72" w:type="dxa"/>
              <w:right w:w="144" w:type="dxa"/>
            </w:tcMar>
            <w:hideMark/>
          </w:tcPr>
          <w:p w14:paraId="238BDDF4"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Responders</w:t>
            </w:r>
          </w:p>
        </w:tc>
        <w:tc>
          <w:tcPr>
            <w:tcW w:w="841" w:type="pct"/>
            <w:tcBorders>
              <w:top w:val="single" w:sz="8" w:space="0" w:color="000000"/>
            </w:tcBorders>
            <w:shd w:val="clear" w:color="auto" w:fill="auto"/>
            <w:tcMar>
              <w:top w:w="72" w:type="dxa"/>
              <w:left w:w="144" w:type="dxa"/>
              <w:bottom w:w="72" w:type="dxa"/>
              <w:right w:w="144" w:type="dxa"/>
            </w:tcMar>
          </w:tcPr>
          <w:p w14:paraId="47CE9EF3" w14:textId="43AF65A5"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80.67 (± 102.447)</w:t>
            </w:r>
          </w:p>
        </w:tc>
        <w:tc>
          <w:tcPr>
            <w:tcW w:w="1087" w:type="pct"/>
            <w:tcBorders>
              <w:top w:val="single" w:sz="8" w:space="0" w:color="000000"/>
            </w:tcBorders>
            <w:shd w:val="clear" w:color="auto" w:fill="auto"/>
            <w:tcMar>
              <w:top w:w="72" w:type="dxa"/>
              <w:left w:w="144" w:type="dxa"/>
              <w:bottom w:w="72" w:type="dxa"/>
              <w:right w:w="144" w:type="dxa"/>
            </w:tcMar>
            <w:hideMark/>
          </w:tcPr>
          <w:p w14:paraId="5CB4AACA" w14:textId="3ADB48C1"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25.21 (± 20.416)</w:t>
            </w:r>
          </w:p>
        </w:tc>
        <w:tc>
          <w:tcPr>
            <w:tcW w:w="1067" w:type="pct"/>
            <w:tcBorders>
              <w:top w:val="single" w:sz="8" w:space="0" w:color="000000"/>
            </w:tcBorders>
            <w:shd w:val="clear" w:color="auto" w:fill="auto"/>
            <w:tcMar>
              <w:top w:w="72" w:type="dxa"/>
              <w:left w:w="144" w:type="dxa"/>
              <w:bottom w:w="72" w:type="dxa"/>
              <w:right w:w="144" w:type="dxa"/>
            </w:tcMar>
            <w:hideMark/>
          </w:tcPr>
          <w:p w14:paraId="1A08F169" w14:textId="7B91221B"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19.78 (± 11.651)</w:t>
            </w:r>
          </w:p>
        </w:tc>
        <w:tc>
          <w:tcPr>
            <w:tcW w:w="1108" w:type="pct"/>
            <w:tcBorders>
              <w:top w:val="single" w:sz="8" w:space="0" w:color="000000"/>
            </w:tcBorders>
            <w:shd w:val="clear" w:color="auto" w:fill="auto"/>
            <w:tcMar>
              <w:top w:w="72" w:type="dxa"/>
              <w:left w:w="144" w:type="dxa"/>
              <w:bottom w:w="72" w:type="dxa"/>
              <w:right w:w="144" w:type="dxa"/>
            </w:tcMar>
            <w:hideMark/>
          </w:tcPr>
          <w:p w14:paraId="6421FD71" w14:textId="65FC3C12"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cs="Arial"/>
                <w:sz w:val="24"/>
                <w:szCs w:val="24"/>
                <w:shd w:val="clear" w:color="auto" w:fill="FFFFFF"/>
              </w:rPr>
              <w:t>20.21 (</w:t>
            </w:r>
            <w:r w:rsidRPr="00CC6AEB">
              <w:rPr>
                <w:rFonts w:ascii="Book Antiqua" w:hAnsi="Book Antiqua"/>
                <w:sz w:val="24"/>
                <w:szCs w:val="24"/>
              </w:rPr>
              <w:t xml:space="preserve">± </w:t>
            </w:r>
            <w:r w:rsidRPr="00CC6AEB">
              <w:rPr>
                <w:rFonts w:ascii="Book Antiqua" w:hAnsi="Book Antiqua" w:cs="Arial"/>
                <w:sz w:val="24"/>
                <w:szCs w:val="24"/>
                <w:shd w:val="clear" w:color="auto" w:fill="FFFFFF"/>
              </w:rPr>
              <w:t>10.994)</w:t>
            </w:r>
          </w:p>
        </w:tc>
      </w:tr>
      <w:tr w:rsidR="002507EC" w:rsidRPr="00CC6AEB" w14:paraId="0DDB659B" w14:textId="77777777" w:rsidTr="0067213A">
        <w:trPr>
          <w:trHeight w:val="568"/>
        </w:trPr>
        <w:tc>
          <w:tcPr>
            <w:tcW w:w="898" w:type="pct"/>
            <w:shd w:val="clear" w:color="auto" w:fill="auto"/>
            <w:tcMar>
              <w:top w:w="72" w:type="dxa"/>
              <w:left w:w="144" w:type="dxa"/>
              <w:bottom w:w="72" w:type="dxa"/>
              <w:right w:w="144" w:type="dxa"/>
            </w:tcMar>
            <w:hideMark/>
          </w:tcPr>
          <w:p w14:paraId="5EACD58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Failures</w:t>
            </w:r>
          </w:p>
        </w:tc>
        <w:tc>
          <w:tcPr>
            <w:tcW w:w="841" w:type="pct"/>
            <w:shd w:val="clear" w:color="auto" w:fill="auto"/>
            <w:tcMar>
              <w:top w:w="72" w:type="dxa"/>
              <w:left w:w="144" w:type="dxa"/>
              <w:bottom w:w="72" w:type="dxa"/>
              <w:right w:w="144" w:type="dxa"/>
            </w:tcMar>
            <w:hideMark/>
          </w:tcPr>
          <w:p w14:paraId="2787D4F0"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133.00 (±103.057)</w:t>
            </w:r>
          </w:p>
        </w:tc>
        <w:tc>
          <w:tcPr>
            <w:tcW w:w="1087" w:type="pct"/>
            <w:shd w:val="clear" w:color="auto" w:fill="auto"/>
            <w:tcMar>
              <w:top w:w="72" w:type="dxa"/>
              <w:left w:w="144" w:type="dxa"/>
              <w:bottom w:w="72" w:type="dxa"/>
              <w:right w:w="144" w:type="dxa"/>
            </w:tcMar>
            <w:hideMark/>
          </w:tcPr>
          <w:p w14:paraId="2100C691" w14:textId="0982D77A"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61.17 (± 71.337)</w:t>
            </w:r>
          </w:p>
        </w:tc>
        <w:tc>
          <w:tcPr>
            <w:tcW w:w="1067" w:type="pct"/>
            <w:shd w:val="clear" w:color="auto" w:fill="auto"/>
            <w:tcMar>
              <w:top w:w="72" w:type="dxa"/>
              <w:left w:w="144" w:type="dxa"/>
              <w:bottom w:w="72" w:type="dxa"/>
              <w:right w:w="144" w:type="dxa"/>
            </w:tcMar>
            <w:hideMark/>
          </w:tcPr>
          <w:p w14:paraId="35CE782D" w14:textId="09D66E42"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54.50 (± 63.385)</w:t>
            </w:r>
          </w:p>
        </w:tc>
        <w:tc>
          <w:tcPr>
            <w:tcW w:w="1108" w:type="pct"/>
            <w:shd w:val="clear" w:color="auto" w:fill="auto"/>
            <w:tcMar>
              <w:top w:w="72" w:type="dxa"/>
              <w:left w:w="144" w:type="dxa"/>
              <w:bottom w:w="72" w:type="dxa"/>
              <w:right w:w="144" w:type="dxa"/>
            </w:tcMar>
            <w:hideMark/>
          </w:tcPr>
          <w:p w14:paraId="4CE52579" w14:textId="0250849D"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cs="Arial"/>
                <w:sz w:val="24"/>
                <w:szCs w:val="24"/>
                <w:shd w:val="clear" w:color="auto" w:fill="FFFFFF"/>
              </w:rPr>
              <w:t>56.83 (</w:t>
            </w:r>
            <w:r w:rsidRPr="00CC6AEB">
              <w:rPr>
                <w:rFonts w:ascii="Book Antiqua" w:hAnsi="Book Antiqua"/>
                <w:sz w:val="24"/>
                <w:szCs w:val="24"/>
              </w:rPr>
              <w:t xml:space="preserve">± </w:t>
            </w:r>
            <w:r w:rsidRPr="00CC6AEB">
              <w:rPr>
                <w:rFonts w:ascii="Book Antiqua" w:hAnsi="Book Antiqua" w:cs="Arial"/>
                <w:sz w:val="24"/>
                <w:szCs w:val="24"/>
                <w:shd w:val="clear" w:color="auto" w:fill="FFFFFF"/>
              </w:rPr>
              <w:t>43.938)</w:t>
            </w:r>
          </w:p>
        </w:tc>
      </w:tr>
      <w:tr w:rsidR="002507EC" w:rsidRPr="00CC6AEB" w14:paraId="3CDA5957" w14:textId="77777777" w:rsidTr="0067213A">
        <w:trPr>
          <w:trHeight w:val="568"/>
        </w:trPr>
        <w:tc>
          <w:tcPr>
            <w:tcW w:w="898" w:type="pct"/>
            <w:shd w:val="clear" w:color="auto" w:fill="auto"/>
            <w:tcMar>
              <w:top w:w="72" w:type="dxa"/>
              <w:left w:w="144" w:type="dxa"/>
              <w:bottom w:w="72" w:type="dxa"/>
              <w:right w:w="144" w:type="dxa"/>
            </w:tcMar>
            <w:hideMark/>
          </w:tcPr>
          <w:p w14:paraId="34D5AC33"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bCs/>
                <w:i/>
                <w:iCs/>
                <w:sz w:val="24"/>
                <w:szCs w:val="24"/>
              </w:rPr>
              <w:t>P</w:t>
            </w:r>
            <w:r w:rsidRPr="00CC6AEB">
              <w:rPr>
                <w:rFonts w:ascii="Book Antiqua" w:hAnsi="Book Antiqua"/>
                <w:sz w:val="24"/>
                <w:szCs w:val="24"/>
              </w:rPr>
              <w:t xml:space="preserve"> values </w:t>
            </w:r>
          </w:p>
        </w:tc>
        <w:tc>
          <w:tcPr>
            <w:tcW w:w="841" w:type="pct"/>
            <w:shd w:val="clear" w:color="auto" w:fill="auto"/>
            <w:tcMar>
              <w:top w:w="72" w:type="dxa"/>
              <w:left w:w="144" w:type="dxa"/>
              <w:bottom w:w="72" w:type="dxa"/>
              <w:right w:w="144" w:type="dxa"/>
            </w:tcMar>
            <w:hideMark/>
          </w:tcPr>
          <w:p w14:paraId="043BDF8C"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0.2</w:t>
            </w:r>
          </w:p>
        </w:tc>
        <w:tc>
          <w:tcPr>
            <w:tcW w:w="1087" w:type="pct"/>
            <w:shd w:val="clear" w:color="auto" w:fill="auto"/>
            <w:tcMar>
              <w:top w:w="72" w:type="dxa"/>
              <w:left w:w="144" w:type="dxa"/>
              <w:bottom w:w="72" w:type="dxa"/>
              <w:right w:w="144" w:type="dxa"/>
            </w:tcMar>
            <w:hideMark/>
          </w:tcPr>
          <w:p w14:paraId="07FBA81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0.001</w:t>
            </w:r>
          </w:p>
        </w:tc>
        <w:tc>
          <w:tcPr>
            <w:tcW w:w="1067" w:type="pct"/>
            <w:shd w:val="clear" w:color="auto" w:fill="auto"/>
            <w:tcMar>
              <w:top w:w="72" w:type="dxa"/>
              <w:left w:w="144" w:type="dxa"/>
              <w:bottom w:w="72" w:type="dxa"/>
              <w:right w:w="144" w:type="dxa"/>
            </w:tcMar>
            <w:hideMark/>
          </w:tcPr>
          <w:p w14:paraId="5C6D71D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0.0001</w:t>
            </w:r>
          </w:p>
        </w:tc>
        <w:tc>
          <w:tcPr>
            <w:tcW w:w="1108" w:type="pct"/>
            <w:shd w:val="clear" w:color="auto" w:fill="auto"/>
            <w:tcMar>
              <w:top w:w="72" w:type="dxa"/>
              <w:left w:w="144" w:type="dxa"/>
              <w:bottom w:w="72" w:type="dxa"/>
              <w:right w:w="144" w:type="dxa"/>
            </w:tcMar>
            <w:hideMark/>
          </w:tcPr>
          <w:p w14:paraId="6DB466D8"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0.0001</w:t>
            </w:r>
          </w:p>
        </w:tc>
      </w:tr>
    </w:tbl>
    <w:p w14:paraId="1E3F64B5" w14:textId="6A6DE107" w:rsidR="007B67F8" w:rsidRPr="00CC6AEB" w:rsidRDefault="007B67F8" w:rsidP="00CC6AEB">
      <w:pPr>
        <w:pStyle w:val="NoSpacing"/>
        <w:snapToGrid w:val="0"/>
        <w:spacing w:line="360" w:lineRule="auto"/>
        <w:jc w:val="both"/>
        <w:rPr>
          <w:rFonts w:ascii="Book Antiqua" w:eastAsia="Book Antiqua" w:hAnsi="Book Antiqua" w:cs="Arial"/>
          <w:sz w:val="24"/>
          <w:szCs w:val="24"/>
        </w:rPr>
      </w:pPr>
      <w:r w:rsidRPr="00CC6AEB">
        <w:rPr>
          <w:rFonts w:ascii="Book Antiqua" w:hAnsi="Book Antiqua" w:cs="Arial"/>
          <w:sz w:val="24"/>
          <w:szCs w:val="24"/>
          <w:lang w:eastAsia="zh-CN"/>
        </w:rPr>
        <w:t xml:space="preserve">ALT: </w:t>
      </w:r>
      <w:r w:rsidRPr="00CC6AEB">
        <w:rPr>
          <w:rFonts w:ascii="Book Antiqua" w:eastAsia="Book Antiqua" w:hAnsi="Book Antiqua" w:cs="Arial"/>
          <w:sz w:val="24"/>
          <w:szCs w:val="24"/>
        </w:rPr>
        <w:t>Alanine aminotransferase.</w:t>
      </w:r>
    </w:p>
    <w:p w14:paraId="145EBC09" w14:textId="77777777" w:rsidR="007B67F8" w:rsidRPr="00CC6AEB" w:rsidRDefault="007B67F8"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br w:type="page"/>
      </w:r>
    </w:p>
    <w:p w14:paraId="0BF657E6" w14:textId="297118F9" w:rsidR="007B67F8" w:rsidRPr="00CC6AEB" w:rsidRDefault="007B67F8" w:rsidP="00CC6AEB">
      <w:pPr>
        <w:pStyle w:val="ListParagraph"/>
        <w:snapToGrid w:val="0"/>
        <w:spacing w:after="0" w:line="360" w:lineRule="auto"/>
        <w:ind w:left="0"/>
        <w:contextualSpacing w:val="0"/>
        <w:jc w:val="both"/>
        <w:rPr>
          <w:rFonts w:ascii="Book Antiqua" w:eastAsia="Book Antiqua" w:hAnsi="Book Antiqua" w:cs="Arial"/>
          <w:b/>
          <w:sz w:val="24"/>
          <w:szCs w:val="24"/>
        </w:rPr>
      </w:pPr>
      <w:r w:rsidRPr="00CC6AEB">
        <w:rPr>
          <w:rFonts w:ascii="Book Antiqua" w:hAnsi="Book Antiqua" w:cs="Arial"/>
          <w:b/>
          <w:sz w:val="24"/>
          <w:szCs w:val="24"/>
          <w:lang w:eastAsia="zh-CN"/>
        </w:rPr>
        <w:lastRenderedPageBreak/>
        <w:t>Table 4</w:t>
      </w:r>
      <w:r w:rsidRPr="00CC6AEB">
        <w:rPr>
          <w:rFonts w:ascii="Book Antiqua" w:hAnsi="Book Antiqua" w:cs="Arial"/>
          <w:sz w:val="24"/>
          <w:szCs w:val="24"/>
          <w:lang w:eastAsia="zh-CN"/>
        </w:rPr>
        <w:t xml:space="preserve"> </w:t>
      </w:r>
      <w:r w:rsidRPr="00CC6AEB">
        <w:rPr>
          <w:rFonts w:ascii="Book Antiqua" w:eastAsia="Book Antiqua" w:hAnsi="Book Antiqua" w:cs="Arial"/>
          <w:b/>
          <w:sz w:val="24"/>
          <w:szCs w:val="24"/>
        </w:rPr>
        <w:t>Mean (± SD) platelet counts in patients who had direct-acting antiviral therapy responses and failure (baseline, week 4, week 8, and week 12)</w:t>
      </w:r>
    </w:p>
    <w:tbl>
      <w:tblPr>
        <w:tblW w:w="10348" w:type="dxa"/>
        <w:jc w:val="center"/>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772"/>
        <w:gridCol w:w="1752"/>
        <w:gridCol w:w="2250"/>
        <w:gridCol w:w="2340"/>
        <w:gridCol w:w="2234"/>
      </w:tblGrid>
      <w:tr w:rsidR="004D77A1" w:rsidRPr="00CC6AEB" w14:paraId="45AADFB8" w14:textId="77777777" w:rsidTr="004D77A1">
        <w:trPr>
          <w:trHeight w:val="993"/>
          <w:jc w:val="center"/>
        </w:trPr>
        <w:tc>
          <w:tcPr>
            <w:tcW w:w="1772"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7DE04649" w14:textId="77777777"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SVR12 Achievement </w:t>
            </w:r>
          </w:p>
        </w:tc>
        <w:tc>
          <w:tcPr>
            <w:tcW w:w="1752"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23878DA6" w14:textId="6CE9C5EF"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Baseline PLT,</w:t>
            </w:r>
            <w:r w:rsidRPr="00CC6AEB">
              <w:rPr>
                <w:rFonts w:ascii="Book Antiqua" w:hAnsi="Book Antiqua"/>
                <w:b/>
                <w:sz w:val="24"/>
                <w:szCs w:val="24"/>
                <w:lang w:eastAsia="zh-CN"/>
              </w:rPr>
              <w:t xml:space="preserve"> </w:t>
            </w:r>
            <w:r w:rsidRPr="00CC6AEB">
              <w:rPr>
                <w:rFonts w:ascii="Book Antiqua" w:hAnsi="Book Antiqua"/>
                <w:b/>
                <w:sz w:val="24"/>
                <w:szCs w:val="24"/>
              </w:rPr>
              <w:t xml:space="preserve">mean (± SD) </w:t>
            </w:r>
          </w:p>
        </w:tc>
        <w:tc>
          <w:tcPr>
            <w:tcW w:w="225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38E77249" w14:textId="79E8C3E4" w:rsidR="007B67F8" w:rsidRPr="00CC6AEB" w:rsidRDefault="007B67F8" w:rsidP="00CC6AEB">
            <w:pPr>
              <w:tabs>
                <w:tab w:val="left" w:pos="3330"/>
              </w:tabs>
              <w:snapToGrid w:val="0"/>
              <w:spacing w:after="0" w:line="360" w:lineRule="auto"/>
              <w:jc w:val="both"/>
              <w:rPr>
                <w:rFonts w:ascii="Book Antiqua" w:hAnsi="Book Antiqua"/>
                <w:b/>
                <w:sz w:val="24"/>
                <w:szCs w:val="24"/>
              </w:rPr>
            </w:pPr>
            <w:bookmarkStart w:id="47" w:name="OLE_LINK7"/>
            <w:bookmarkStart w:id="48" w:name="OLE_LINK8"/>
            <w:r w:rsidRPr="00CC6AEB">
              <w:rPr>
                <w:rFonts w:ascii="Book Antiqua" w:hAnsi="Book Antiqua"/>
                <w:b/>
                <w:sz w:val="24"/>
                <w:szCs w:val="24"/>
              </w:rPr>
              <w:t>PLT at treatment</w:t>
            </w:r>
            <w:bookmarkEnd w:id="47"/>
            <w:bookmarkEnd w:id="48"/>
            <w:r w:rsidRPr="00CC6AEB">
              <w:rPr>
                <w:rFonts w:ascii="Book Antiqua" w:hAnsi="Book Antiqua"/>
                <w:b/>
                <w:sz w:val="24"/>
                <w:szCs w:val="24"/>
              </w:rPr>
              <w:t xml:space="preserve"> week 4,</w:t>
            </w:r>
            <w:r w:rsidRPr="00CC6AEB">
              <w:rPr>
                <w:rFonts w:ascii="Book Antiqua" w:hAnsi="Book Antiqua"/>
                <w:b/>
                <w:sz w:val="24"/>
                <w:szCs w:val="24"/>
                <w:lang w:eastAsia="zh-CN"/>
              </w:rPr>
              <w:t xml:space="preserve"> </w:t>
            </w:r>
            <w:r w:rsidRPr="00CC6AEB">
              <w:rPr>
                <w:rFonts w:ascii="Book Antiqua" w:hAnsi="Book Antiqua"/>
                <w:b/>
                <w:sz w:val="24"/>
                <w:szCs w:val="24"/>
              </w:rPr>
              <w:t xml:space="preserve">mean (± SD) </w:t>
            </w:r>
          </w:p>
        </w:tc>
        <w:tc>
          <w:tcPr>
            <w:tcW w:w="234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11CF0AF0" w14:textId="53CA81EC"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PLT at treatment week 8,</w:t>
            </w:r>
            <w:r w:rsidRPr="00CC6AEB">
              <w:rPr>
                <w:rFonts w:ascii="Book Antiqua" w:hAnsi="Book Antiqua"/>
                <w:b/>
                <w:sz w:val="24"/>
                <w:szCs w:val="24"/>
                <w:lang w:eastAsia="zh-CN"/>
              </w:rPr>
              <w:t xml:space="preserve"> </w:t>
            </w:r>
            <w:r w:rsidRPr="00CC6AEB">
              <w:rPr>
                <w:rFonts w:ascii="Book Antiqua" w:hAnsi="Book Antiqua"/>
                <w:b/>
                <w:sz w:val="24"/>
                <w:szCs w:val="24"/>
              </w:rPr>
              <w:t xml:space="preserve">mean (± SD) </w:t>
            </w:r>
          </w:p>
        </w:tc>
        <w:tc>
          <w:tcPr>
            <w:tcW w:w="2234"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0353ECAA" w14:textId="4DC9D394"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PLT at treatment week 12,</w:t>
            </w:r>
            <w:r w:rsidRPr="00CC6AEB">
              <w:rPr>
                <w:rFonts w:ascii="Book Antiqua" w:hAnsi="Book Antiqua"/>
                <w:b/>
                <w:sz w:val="24"/>
                <w:szCs w:val="24"/>
                <w:lang w:eastAsia="zh-CN"/>
              </w:rPr>
              <w:t xml:space="preserve"> </w:t>
            </w:r>
            <w:r w:rsidRPr="00CC6AEB">
              <w:rPr>
                <w:rFonts w:ascii="Book Antiqua" w:hAnsi="Book Antiqua"/>
                <w:b/>
                <w:sz w:val="24"/>
                <w:szCs w:val="24"/>
              </w:rPr>
              <w:t>mean (± SD)</w:t>
            </w:r>
          </w:p>
        </w:tc>
      </w:tr>
      <w:tr w:rsidR="007B67F8" w:rsidRPr="00CC6AEB" w14:paraId="36C781C5" w14:textId="77777777" w:rsidTr="004D77A1">
        <w:trPr>
          <w:trHeight w:val="568"/>
          <w:jc w:val="center"/>
        </w:trPr>
        <w:tc>
          <w:tcPr>
            <w:tcW w:w="1772" w:type="dxa"/>
            <w:tcBorders>
              <w:top w:val="single" w:sz="8" w:space="0" w:color="000000"/>
            </w:tcBorders>
            <w:shd w:val="clear" w:color="auto" w:fill="auto"/>
            <w:tcMar>
              <w:top w:w="72" w:type="dxa"/>
              <w:left w:w="144" w:type="dxa"/>
              <w:bottom w:w="72" w:type="dxa"/>
              <w:right w:w="144" w:type="dxa"/>
            </w:tcMar>
            <w:hideMark/>
          </w:tcPr>
          <w:p w14:paraId="475564E5"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Responders</w:t>
            </w:r>
          </w:p>
        </w:tc>
        <w:tc>
          <w:tcPr>
            <w:tcW w:w="1752" w:type="dxa"/>
            <w:tcBorders>
              <w:top w:val="single" w:sz="8" w:space="0" w:color="000000"/>
            </w:tcBorders>
            <w:shd w:val="clear" w:color="auto" w:fill="auto"/>
            <w:tcMar>
              <w:top w:w="72" w:type="dxa"/>
              <w:left w:w="144" w:type="dxa"/>
              <w:bottom w:w="72" w:type="dxa"/>
              <w:right w:w="144" w:type="dxa"/>
            </w:tcMar>
            <w:hideMark/>
          </w:tcPr>
          <w:p w14:paraId="320C87E0" w14:textId="29BB124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152.54 (± 55.880)</w:t>
            </w:r>
          </w:p>
        </w:tc>
        <w:tc>
          <w:tcPr>
            <w:tcW w:w="2250" w:type="dxa"/>
            <w:tcBorders>
              <w:top w:val="single" w:sz="8" w:space="0" w:color="000000"/>
            </w:tcBorders>
            <w:shd w:val="clear" w:color="auto" w:fill="auto"/>
            <w:tcMar>
              <w:top w:w="72" w:type="dxa"/>
              <w:left w:w="144" w:type="dxa"/>
              <w:bottom w:w="72" w:type="dxa"/>
              <w:right w:w="144" w:type="dxa"/>
            </w:tcMar>
            <w:hideMark/>
          </w:tcPr>
          <w:p w14:paraId="25C5585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172.33 (± 72.156)</w:t>
            </w:r>
          </w:p>
        </w:tc>
        <w:tc>
          <w:tcPr>
            <w:tcW w:w="2340" w:type="dxa"/>
            <w:tcBorders>
              <w:top w:val="single" w:sz="8" w:space="0" w:color="000000"/>
            </w:tcBorders>
            <w:shd w:val="clear" w:color="auto" w:fill="auto"/>
            <w:tcMar>
              <w:top w:w="72" w:type="dxa"/>
              <w:left w:w="144" w:type="dxa"/>
              <w:bottom w:w="72" w:type="dxa"/>
              <w:right w:w="144" w:type="dxa"/>
            </w:tcMar>
            <w:hideMark/>
          </w:tcPr>
          <w:p w14:paraId="1EDA0141"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164.94 (± 53.580)</w:t>
            </w:r>
          </w:p>
        </w:tc>
        <w:tc>
          <w:tcPr>
            <w:tcW w:w="2234" w:type="dxa"/>
            <w:tcBorders>
              <w:top w:val="single" w:sz="8" w:space="0" w:color="000000"/>
            </w:tcBorders>
            <w:shd w:val="clear" w:color="auto" w:fill="auto"/>
            <w:tcMar>
              <w:top w:w="72" w:type="dxa"/>
              <w:left w:w="144" w:type="dxa"/>
              <w:bottom w:w="72" w:type="dxa"/>
              <w:right w:w="144" w:type="dxa"/>
            </w:tcMar>
            <w:hideMark/>
          </w:tcPr>
          <w:p w14:paraId="2C6EEEA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169.42 (± 59.499)</w:t>
            </w:r>
          </w:p>
        </w:tc>
      </w:tr>
      <w:tr w:rsidR="007B67F8" w:rsidRPr="00CC6AEB" w14:paraId="76C303D7" w14:textId="77777777" w:rsidTr="004D77A1">
        <w:trPr>
          <w:trHeight w:val="568"/>
          <w:jc w:val="center"/>
        </w:trPr>
        <w:tc>
          <w:tcPr>
            <w:tcW w:w="1772" w:type="dxa"/>
            <w:shd w:val="clear" w:color="auto" w:fill="auto"/>
            <w:tcMar>
              <w:top w:w="72" w:type="dxa"/>
              <w:left w:w="144" w:type="dxa"/>
              <w:bottom w:w="72" w:type="dxa"/>
              <w:right w:w="144" w:type="dxa"/>
            </w:tcMar>
            <w:hideMark/>
          </w:tcPr>
          <w:p w14:paraId="1ECA4660"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Failures</w:t>
            </w:r>
          </w:p>
        </w:tc>
        <w:tc>
          <w:tcPr>
            <w:tcW w:w="1752" w:type="dxa"/>
            <w:shd w:val="clear" w:color="auto" w:fill="auto"/>
            <w:tcMar>
              <w:top w:w="72" w:type="dxa"/>
              <w:left w:w="144" w:type="dxa"/>
              <w:bottom w:w="72" w:type="dxa"/>
              <w:right w:w="144" w:type="dxa"/>
            </w:tcMar>
            <w:hideMark/>
          </w:tcPr>
          <w:p w14:paraId="50FA8241"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150.00 (± 35.157)</w:t>
            </w:r>
          </w:p>
        </w:tc>
        <w:tc>
          <w:tcPr>
            <w:tcW w:w="2250" w:type="dxa"/>
            <w:shd w:val="clear" w:color="auto" w:fill="auto"/>
            <w:tcMar>
              <w:top w:w="72" w:type="dxa"/>
              <w:left w:w="144" w:type="dxa"/>
              <w:bottom w:w="72" w:type="dxa"/>
              <w:right w:w="144" w:type="dxa"/>
            </w:tcMar>
            <w:hideMark/>
          </w:tcPr>
          <w:p w14:paraId="3563C5FD"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153.00 (± 58.258)</w:t>
            </w:r>
          </w:p>
        </w:tc>
        <w:tc>
          <w:tcPr>
            <w:tcW w:w="2340" w:type="dxa"/>
            <w:shd w:val="clear" w:color="auto" w:fill="auto"/>
            <w:tcMar>
              <w:top w:w="72" w:type="dxa"/>
              <w:left w:w="144" w:type="dxa"/>
              <w:bottom w:w="72" w:type="dxa"/>
              <w:right w:w="144" w:type="dxa"/>
            </w:tcMar>
            <w:hideMark/>
          </w:tcPr>
          <w:p w14:paraId="4FAF5499"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167.25 (± 57.058)</w:t>
            </w:r>
          </w:p>
        </w:tc>
        <w:tc>
          <w:tcPr>
            <w:tcW w:w="2234" w:type="dxa"/>
            <w:shd w:val="clear" w:color="auto" w:fill="auto"/>
            <w:tcMar>
              <w:top w:w="72" w:type="dxa"/>
              <w:left w:w="144" w:type="dxa"/>
              <w:bottom w:w="72" w:type="dxa"/>
              <w:right w:w="144" w:type="dxa"/>
            </w:tcMar>
            <w:hideMark/>
          </w:tcPr>
          <w:p w14:paraId="144D5BA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160.67 (± 60.902)</w:t>
            </w:r>
          </w:p>
        </w:tc>
      </w:tr>
      <w:tr w:rsidR="007B67F8" w:rsidRPr="00CC6AEB" w14:paraId="0E18F452" w14:textId="77777777" w:rsidTr="004D77A1">
        <w:trPr>
          <w:trHeight w:val="568"/>
          <w:jc w:val="center"/>
        </w:trPr>
        <w:tc>
          <w:tcPr>
            <w:tcW w:w="1772" w:type="dxa"/>
            <w:shd w:val="clear" w:color="auto" w:fill="auto"/>
            <w:tcMar>
              <w:top w:w="72" w:type="dxa"/>
              <w:left w:w="144" w:type="dxa"/>
              <w:bottom w:w="72" w:type="dxa"/>
              <w:right w:w="144" w:type="dxa"/>
            </w:tcMar>
            <w:hideMark/>
          </w:tcPr>
          <w:p w14:paraId="327742F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bCs/>
                <w:i/>
                <w:iCs/>
                <w:sz w:val="24"/>
                <w:szCs w:val="24"/>
              </w:rPr>
              <w:t>P</w:t>
            </w:r>
            <w:r w:rsidRPr="00CC6AEB">
              <w:rPr>
                <w:rFonts w:ascii="Book Antiqua" w:hAnsi="Book Antiqua"/>
                <w:sz w:val="24"/>
                <w:szCs w:val="24"/>
              </w:rPr>
              <w:t xml:space="preserve"> values </w:t>
            </w:r>
          </w:p>
        </w:tc>
        <w:tc>
          <w:tcPr>
            <w:tcW w:w="1752" w:type="dxa"/>
            <w:shd w:val="clear" w:color="auto" w:fill="auto"/>
            <w:tcMar>
              <w:top w:w="72" w:type="dxa"/>
              <w:left w:w="144" w:type="dxa"/>
              <w:bottom w:w="72" w:type="dxa"/>
              <w:right w:w="144" w:type="dxa"/>
            </w:tcMar>
            <w:hideMark/>
          </w:tcPr>
          <w:p w14:paraId="245010DD"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0.9</w:t>
            </w:r>
          </w:p>
        </w:tc>
        <w:tc>
          <w:tcPr>
            <w:tcW w:w="2250" w:type="dxa"/>
            <w:shd w:val="clear" w:color="auto" w:fill="auto"/>
            <w:tcMar>
              <w:top w:w="72" w:type="dxa"/>
              <w:left w:w="144" w:type="dxa"/>
              <w:bottom w:w="72" w:type="dxa"/>
              <w:right w:w="144" w:type="dxa"/>
            </w:tcMar>
            <w:hideMark/>
          </w:tcPr>
          <w:p w14:paraId="2EA3A4A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0.5</w:t>
            </w:r>
          </w:p>
        </w:tc>
        <w:tc>
          <w:tcPr>
            <w:tcW w:w="2340" w:type="dxa"/>
            <w:shd w:val="clear" w:color="auto" w:fill="auto"/>
            <w:tcMar>
              <w:top w:w="72" w:type="dxa"/>
              <w:left w:w="144" w:type="dxa"/>
              <w:bottom w:w="72" w:type="dxa"/>
              <w:right w:w="144" w:type="dxa"/>
            </w:tcMar>
            <w:hideMark/>
          </w:tcPr>
          <w:p w14:paraId="56F1A278"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0.9</w:t>
            </w:r>
          </w:p>
        </w:tc>
        <w:tc>
          <w:tcPr>
            <w:tcW w:w="2234" w:type="dxa"/>
            <w:shd w:val="clear" w:color="auto" w:fill="auto"/>
            <w:tcMar>
              <w:top w:w="72" w:type="dxa"/>
              <w:left w:w="144" w:type="dxa"/>
              <w:bottom w:w="72" w:type="dxa"/>
              <w:right w:w="144" w:type="dxa"/>
            </w:tcMar>
            <w:hideMark/>
          </w:tcPr>
          <w:p w14:paraId="0EF2A7B8"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0.7</w:t>
            </w:r>
          </w:p>
        </w:tc>
      </w:tr>
    </w:tbl>
    <w:p w14:paraId="460289D1" w14:textId="61A8E680" w:rsidR="00B21FDB" w:rsidRPr="00CC6AEB" w:rsidRDefault="007B67F8" w:rsidP="00CC6AEB">
      <w:pPr>
        <w:pStyle w:val="NoSpacing"/>
        <w:snapToGrid w:val="0"/>
        <w:spacing w:line="360" w:lineRule="auto"/>
        <w:jc w:val="both"/>
        <w:rPr>
          <w:rFonts w:ascii="Book Antiqua" w:hAnsi="Book Antiqua" w:cs="Arial"/>
          <w:sz w:val="24"/>
          <w:szCs w:val="24"/>
          <w:lang w:eastAsia="zh-CN"/>
        </w:rPr>
      </w:pPr>
      <w:r w:rsidRPr="00CC6AEB">
        <w:rPr>
          <w:rFonts w:ascii="Book Antiqua" w:hAnsi="Book Antiqua" w:cs="Arial"/>
          <w:sz w:val="24"/>
          <w:szCs w:val="24"/>
          <w:lang w:eastAsia="zh-CN"/>
        </w:rPr>
        <w:t>PLT: Platelet.</w:t>
      </w:r>
    </w:p>
    <w:p w14:paraId="720FBA47" w14:textId="77777777" w:rsidR="000A77CC" w:rsidRPr="00CC6AEB" w:rsidRDefault="000A77CC" w:rsidP="00CC6AEB">
      <w:pPr>
        <w:snapToGrid w:val="0"/>
        <w:spacing w:after="0" w:line="360" w:lineRule="auto"/>
        <w:jc w:val="both"/>
        <w:rPr>
          <w:rFonts w:ascii="Book Antiqua" w:hAnsi="Book Antiqua" w:cs="Arial"/>
          <w:sz w:val="24"/>
          <w:szCs w:val="24"/>
        </w:rPr>
      </w:pPr>
      <w:r w:rsidRPr="00CC6AEB">
        <w:rPr>
          <w:rFonts w:ascii="Book Antiqua" w:hAnsi="Book Antiqua" w:cs="Arial"/>
          <w:sz w:val="24"/>
          <w:szCs w:val="24"/>
        </w:rPr>
        <w:br w:type="page"/>
      </w:r>
    </w:p>
    <w:p w14:paraId="7E7217E5" w14:textId="7E8A88DB" w:rsidR="00B21FDB" w:rsidRPr="00CC6AEB" w:rsidRDefault="00B21FD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 xml:space="preserve">Table </w:t>
      </w:r>
      <w:r w:rsidR="007D5644" w:rsidRPr="00CC6AEB">
        <w:rPr>
          <w:rFonts w:ascii="Book Antiqua" w:eastAsia="Book Antiqua" w:hAnsi="Book Antiqua" w:cs="Arial"/>
          <w:b/>
          <w:sz w:val="24"/>
          <w:szCs w:val="24"/>
        </w:rPr>
        <w:t>5</w:t>
      </w:r>
      <w:r w:rsidRPr="00CC6AEB">
        <w:rPr>
          <w:rFonts w:ascii="Book Antiqua" w:eastAsia="Book Antiqua" w:hAnsi="Book Antiqua" w:cs="Arial"/>
          <w:b/>
          <w:sz w:val="24"/>
          <w:szCs w:val="24"/>
        </w:rPr>
        <w:t xml:space="preserve"> </w:t>
      </w:r>
      <w:r w:rsidR="008F5158" w:rsidRPr="00CC6AEB">
        <w:rPr>
          <w:rFonts w:ascii="Book Antiqua" w:eastAsia="Book Antiqua" w:hAnsi="Book Antiqua" w:cs="Arial"/>
          <w:b/>
          <w:sz w:val="24"/>
          <w:szCs w:val="24"/>
        </w:rPr>
        <w:t xml:space="preserve">Risk factors for </w:t>
      </w:r>
      <w:r w:rsidR="000A77CC" w:rsidRPr="00CC6AEB">
        <w:rPr>
          <w:rFonts w:ascii="Book Antiqua" w:hAnsi="Book Antiqua" w:cs="Arial"/>
          <w:b/>
          <w:sz w:val="24"/>
          <w:szCs w:val="24"/>
        </w:rPr>
        <w:t>hepatocellular carcinoma</w:t>
      </w:r>
      <w:r w:rsidR="008F5158" w:rsidRPr="00CC6AEB">
        <w:rPr>
          <w:rFonts w:ascii="Book Antiqua" w:eastAsia="Book Antiqua" w:hAnsi="Book Antiqua" w:cs="Arial"/>
          <w:b/>
          <w:sz w:val="24"/>
          <w:szCs w:val="24"/>
        </w:rPr>
        <w:t xml:space="preserve"> </w:t>
      </w:r>
      <w:r w:rsidR="000A77CC" w:rsidRPr="00CC6AEB">
        <w:rPr>
          <w:rFonts w:ascii="Book Antiqua" w:eastAsia="Book Antiqua" w:hAnsi="Book Antiqua" w:cs="Arial"/>
          <w:b/>
          <w:sz w:val="24"/>
          <w:szCs w:val="24"/>
        </w:rPr>
        <w:t>recurrence post</w:t>
      </w:r>
      <w:r w:rsidR="008F5158" w:rsidRPr="00CC6AEB">
        <w:rPr>
          <w:rFonts w:ascii="Book Antiqua" w:eastAsia="Book Antiqua" w:hAnsi="Book Antiqua" w:cs="Arial"/>
          <w:b/>
          <w:sz w:val="24"/>
          <w:szCs w:val="24"/>
        </w:rPr>
        <w:t>-</w:t>
      </w:r>
      <w:r w:rsidR="000A77CC" w:rsidRPr="00CC6AEB">
        <w:rPr>
          <w:rFonts w:ascii="Book Antiqua" w:eastAsia="Book Antiqua" w:hAnsi="Book Antiqua" w:cs="Arial"/>
          <w:b/>
          <w:sz w:val="24"/>
          <w:szCs w:val="24"/>
        </w:rPr>
        <w:t>liver transplant</w:t>
      </w:r>
      <w:r w:rsidR="008F5158"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 xml:space="preserve">(Logistic </w:t>
      </w:r>
      <w:r w:rsidR="000A77CC" w:rsidRPr="00CC6AEB">
        <w:rPr>
          <w:rFonts w:ascii="Book Antiqua" w:eastAsia="Book Antiqua" w:hAnsi="Book Antiqua" w:cs="Arial"/>
          <w:b/>
          <w:sz w:val="24"/>
          <w:szCs w:val="24"/>
        </w:rPr>
        <w:t>regression analysis</w:t>
      </w:r>
      <w:r w:rsidRPr="00CC6AEB">
        <w:rPr>
          <w:rFonts w:ascii="Book Antiqua" w:eastAsia="Book Antiqua" w:hAnsi="Book Antiqua" w:cs="Arial"/>
          <w:b/>
          <w:sz w:val="24"/>
          <w:szCs w:val="24"/>
        </w:rPr>
        <w:t>)</w:t>
      </w:r>
    </w:p>
    <w:tbl>
      <w:tblPr>
        <w:tblStyle w:val="GridTable1Light-Accent31"/>
        <w:tblW w:w="10170" w:type="dxa"/>
        <w:tblInd w:w="-2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981"/>
        <w:gridCol w:w="1811"/>
        <w:gridCol w:w="1029"/>
        <w:gridCol w:w="1913"/>
        <w:gridCol w:w="981"/>
      </w:tblGrid>
      <w:tr w:rsidR="00B21FDB" w:rsidRPr="00CC6AEB" w14:paraId="61381086" w14:textId="77777777" w:rsidTr="000A77C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455" w:type="dxa"/>
            <w:tcBorders>
              <w:top w:val="single" w:sz="4" w:space="0" w:color="auto"/>
              <w:bottom w:val="single" w:sz="4" w:space="0" w:color="auto"/>
            </w:tcBorders>
          </w:tcPr>
          <w:p w14:paraId="4DE6E324" w14:textId="77777777"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Variable</w:t>
            </w:r>
          </w:p>
        </w:tc>
        <w:tc>
          <w:tcPr>
            <w:tcW w:w="1981" w:type="dxa"/>
            <w:tcBorders>
              <w:top w:val="single" w:sz="4" w:space="0" w:color="auto"/>
              <w:bottom w:val="single" w:sz="4" w:space="0" w:color="auto"/>
            </w:tcBorders>
          </w:tcPr>
          <w:p w14:paraId="223FF16B" w14:textId="26004051"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No HCC recurrence/HCC recurrence</w:t>
            </w:r>
            <w:r w:rsidR="000A77CC" w:rsidRPr="00CC6AEB">
              <w:rPr>
                <w:rFonts w:ascii="Book Antiqua" w:hAnsi="Book Antiqua" w:cs="Arial"/>
                <w:sz w:val="24"/>
                <w:szCs w:val="24"/>
              </w:rPr>
              <w:t>,</w:t>
            </w:r>
            <w:r w:rsidR="000A77CC" w:rsidRPr="00CC6AEB">
              <w:rPr>
                <w:rFonts w:ascii="Book Antiqua" w:hAnsi="Book Antiqua" w:cs="Arial"/>
                <w:sz w:val="24"/>
                <w:szCs w:val="24"/>
                <w:lang w:eastAsia="zh-CN"/>
              </w:rPr>
              <w:t xml:space="preserve"> </w:t>
            </w:r>
            <w:r w:rsidRPr="00CC6AEB">
              <w:rPr>
                <w:rFonts w:ascii="Book Antiqua" w:hAnsi="Book Antiqua" w:cs="Arial"/>
                <w:sz w:val="24"/>
                <w:szCs w:val="24"/>
              </w:rPr>
              <w:t>(</w:t>
            </w:r>
            <w:r w:rsidRPr="00CC6AEB">
              <w:rPr>
                <w:rFonts w:ascii="Book Antiqua" w:hAnsi="Book Antiqua" w:cs="Arial"/>
                <w:i/>
                <w:iCs/>
                <w:sz w:val="24"/>
                <w:szCs w:val="24"/>
              </w:rPr>
              <w:t>n</w:t>
            </w:r>
            <w:r w:rsidR="000A77CC" w:rsidRPr="00CC6AEB">
              <w:rPr>
                <w:rFonts w:ascii="Book Antiqua" w:hAnsi="Book Antiqua" w:cs="Arial"/>
                <w:sz w:val="24"/>
                <w:szCs w:val="24"/>
              </w:rPr>
              <w:t xml:space="preserve"> = 62/6)</w:t>
            </w:r>
          </w:p>
        </w:tc>
        <w:tc>
          <w:tcPr>
            <w:tcW w:w="1811" w:type="dxa"/>
            <w:tcBorders>
              <w:top w:val="single" w:sz="4" w:space="0" w:color="auto"/>
              <w:bottom w:val="single" w:sz="4" w:space="0" w:color="auto"/>
            </w:tcBorders>
          </w:tcPr>
          <w:p w14:paraId="6A0E6C85"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 xml:space="preserve">Univariate OR </w:t>
            </w:r>
          </w:p>
          <w:p w14:paraId="46660DE5" w14:textId="30885E67" w:rsidR="00B21FDB" w:rsidRPr="00CC6AEB" w:rsidRDefault="000A77CC"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(95%</w:t>
            </w:r>
            <w:r w:rsidR="00B21FDB" w:rsidRPr="00CC6AEB">
              <w:rPr>
                <w:rFonts w:ascii="Book Antiqua" w:hAnsi="Book Antiqua" w:cs="Arial"/>
                <w:sz w:val="24"/>
                <w:szCs w:val="24"/>
              </w:rPr>
              <w:t xml:space="preserve">CI) </w:t>
            </w:r>
          </w:p>
        </w:tc>
        <w:tc>
          <w:tcPr>
            <w:tcW w:w="1029" w:type="dxa"/>
            <w:tcBorders>
              <w:top w:val="single" w:sz="4" w:space="0" w:color="auto"/>
              <w:bottom w:val="single" w:sz="4" w:space="0" w:color="auto"/>
            </w:tcBorders>
          </w:tcPr>
          <w:p w14:paraId="63234ABD"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p>
        </w:tc>
        <w:tc>
          <w:tcPr>
            <w:tcW w:w="1913" w:type="dxa"/>
            <w:tcBorders>
              <w:top w:val="single" w:sz="4" w:space="0" w:color="auto"/>
              <w:bottom w:val="single" w:sz="4" w:space="0" w:color="auto"/>
            </w:tcBorders>
          </w:tcPr>
          <w:p w14:paraId="358CACB1" w14:textId="643F8F17" w:rsidR="00B21FDB" w:rsidRPr="00CC6AEB" w:rsidRDefault="000A77CC"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Multivariate OR, (95%</w:t>
            </w:r>
            <w:r w:rsidR="00B21FDB" w:rsidRPr="00CC6AEB">
              <w:rPr>
                <w:rFonts w:ascii="Book Antiqua" w:hAnsi="Book Antiqua" w:cs="Arial"/>
                <w:sz w:val="24"/>
                <w:szCs w:val="24"/>
              </w:rPr>
              <w:t>CI)</w:t>
            </w:r>
          </w:p>
        </w:tc>
        <w:tc>
          <w:tcPr>
            <w:tcW w:w="981" w:type="dxa"/>
            <w:tcBorders>
              <w:top w:val="single" w:sz="4" w:space="0" w:color="auto"/>
              <w:bottom w:val="single" w:sz="4" w:space="0" w:color="auto"/>
            </w:tcBorders>
          </w:tcPr>
          <w:p w14:paraId="66CCFDF8"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r w:rsidRPr="00CC6AEB">
              <w:rPr>
                <w:rFonts w:ascii="Book Antiqua" w:hAnsi="Book Antiqua" w:cs="Arial"/>
                <w:i/>
                <w:sz w:val="24"/>
                <w:szCs w:val="24"/>
              </w:rPr>
              <w:t xml:space="preserve"> </w:t>
            </w:r>
          </w:p>
        </w:tc>
      </w:tr>
      <w:tr w:rsidR="00B21FDB" w:rsidRPr="00CC6AEB" w14:paraId="63A0CBC9"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4158ED16" w14:textId="08C61C59"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Age &gt;</w:t>
            </w:r>
            <w:r w:rsidR="009C638E" w:rsidRPr="00CC6AEB">
              <w:rPr>
                <w:rFonts w:ascii="Book Antiqua" w:hAnsi="Book Antiqua" w:cs="Arial"/>
                <w:b w:val="0"/>
                <w:sz w:val="24"/>
                <w:szCs w:val="24"/>
              </w:rPr>
              <w:t xml:space="preserve"> </w:t>
            </w:r>
            <w:r w:rsidR="000A77CC" w:rsidRPr="00CC6AEB">
              <w:rPr>
                <w:rFonts w:ascii="Book Antiqua" w:hAnsi="Book Antiqua" w:cs="Arial"/>
                <w:b w:val="0"/>
                <w:sz w:val="24"/>
                <w:szCs w:val="24"/>
              </w:rPr>
              <w:t xml:space="preserve">60 </w:t>
            </w:r>
            <w:proofErr w:type="spellStart"/>
            <w:r w:rsidR="000A77CC" w:rsidRPr="00CC6AEB">
              <w:rPr>
                <w:rFonts w:ascii="Book Antiqua" w:hAnsi="Book Antiqua" w:cs="Arial"/>
                <w:b w:val="0"/>
                <w:sz w:val="24"/>
                <w:szCs w:val="24"/>
              </w:rPr>
              <w:t>yr</w:t>
            </w:r>
            <w:proofErr w:type="spellEnd"/>
          </w:p>
        </w:tc>
        <w:tc>
          <w:tcPr>
            <w:tcW w:w="1981" w:type="dxa"/>
          </w:tcPr>
          <w:p w14:paraId="0B8C4A6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39/3</w:t>
            </w:r>
          </w:p>
        </w:tc>
        <w:tc>
          <w:tcPr>
            <w:tcW w:w="1811" w:type="dxa"/>
          </w:tcPr>
          <w:p w14:paraId="200DEF2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0.6 (0.1-4.8)</w:t>
            </w:r>
          </w:p>
        </w:tc>
        <w:tc>
          <w:tcPr>
            <w:tcW w:w="1029" w:type="dxa"/>
          </w:tcPr>
          <w:p w14:paraId="519BD646" w14:textId="2715A9EE"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c>
          <w:tcPr>
            <w:tcW w:w="1913" w:type="dxa"/>
          </w:tcPr>
          <w:p w14:paraId="62781CF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34FCDC6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67790D29"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5B552C4"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Male</w:t>
            </w:r>
          </w:p>
        </w:tc>
        <w:tc>
          <w:tcPr>
            <w:tcW w:w="1981" w:type="dxa"/>
          </w:tcPr>
          <w:p w14:paraId="48352D0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45/5</w:t>
            </w:r>
          </w:p>
        </w:tc>
        <w:tc>
          <w:tcPr>
            <w:tcW w:w="1811" w:type="dxa"/>
          </w:tcPr>
          <w:p w14:paraId="3B0C465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(0.2-94.5)</w:t>
            </w:r>
          </w:p>
        </w:tc>
        <w:tc>
          <w:tcPr>
            <w:tcW w:w="1029" w:type="dxa"/>
          </w:tcPr>
          <w:p w14:paraId="60F29227" w14:textId="0524C9E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913" w:type="dxa"/>
          </w:tcPr>
          <w:p w14:paraId="54DDBE4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59D8A68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425DE53"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4C3FBBD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White </w:t>
            </w:r>
          </w:p>
        </w:tc>
        <w:tc>
          <w:tcPr>
            <w:tcW w:w="1981" w:type="dxa"/>
          </w:tcPr>
          <w:p w14:paraId="44160D2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34/3</w:t>
            </w:r>
          </w:p>
        </w:tc>
        <w:tc>
          <w:tcPr>
            <w:tcW w:w="1811" w:type="dxa"/>
          </w:tcPr>
          <w:p w14:paraId="1D03ABF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0.8 (0.1-6.7)</w:t>
            </w:r>
          </w:p>
        </w:tc>
        <w:tc>
          <w:tcPr>
            <w:tcW w:w="1029" w:type="dxa"/>
          </w:tcPr>
          <w:p w14:paraId="30E92D46" w14:textId="6F6296D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913" w:type="dxa"/>
          </w:tcPr>
          <w:p w14:paraId="7C7AAAA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08F1827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B96B9DD"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890E879" w14:textId="209D391B"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Baseline BMI</w:t>
            </w:r>
            <w:r w:rsidRPr="00CC6AEB">
              <w:rPr>
                <w:rFonts w:ascii="Book Antiqua" w:hAnsi="Book Antiqua" w:cs="Arial"/>
                <w:sz w:val="24"/>
                <w:szCs w:val="24"/>
              </w:rPr>
              <w:t xml:space="preserve">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25 kg/m</w:t>
            </w:r>
            <w:r w:rsidRPr="00CC6AEB">
              <w:rPr>
                <w:rFonts w:ascii="Book Antiqua" w:hAnsi="Book Antiqua" w:cs="Arial"/>
                <w:b w:val="0"/>
                <w:sz w:val="24"/>
                <w:szCs w:val="24"/>
                <w:vertAlign w:val="superscript"/>
              </w:rPr>
              <w:t>2</w:t>
            </w:r>
            <w:r w:rsidRPr="00CC6AEB">
              <w:rPr>
                <w:rFonts w:ascii="Book Antiqua" w:hAnsi="Book Antiqua" w:cs="Arial"/>
                <w:b w:val="0"/>
                <w:sz w:val="24"/>
                <w:szCs w:val="24"/>
              </w:rPr>
              <w:t>)</w:t>
            </w:r>
          </w:p>
        </w:tc>
        <w:tc>
          <w:tcPr>
            <w:tcW w:w="1981" w:type="dxa"/>
          </w:tcPr>
          <w:p w14:paraId="6A33560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50/4</w:t>
            </w:r>
          </w:p>
        </w:tc>
        <w:tc>
          <w:tcPr>
            <w:tcW w:w="1811" w:type="dxa"/>
          </w:tcPr>
          <w:p w14:paraId="4E773B8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0.5 (0.1-5.9)</w:t>
            </w:r>
          </w:p>
        </w:tc>
        <w:tc>
          <w:tcPr>
            <w:tcW w:w="1029" w:type="dxa"/>
          </w:tcPr>
          <w:p w14:paraId="4F32A738" w14:textId="34414325"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.7</w:t>
            </w:r>
          </w:p>
        </w:tc>
        <w:tc>
          <w:tcPr>
            <w:tcW w:w="1913" w:type="dxa"/>
          </w:tcPr>
          <w:p w14:paraId="6545E3A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453ACB5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8BB3EA1"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42DA22B" w14:textId="13683A9C"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EOT BMI (&lt;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25 kg/m</w:t>
            </w:r>
            <w:r w:rsidRPr="00CC6AEB">
              <w:rPr>
                <w:rFonts w:ascii="Book Antiqua" w:hAnsi="Book Antiqua" w:cs="Arial"/>
                <w:b w:val="0"/>
                <w:sz w:val="24"/>
                <w:szCs w:val="24"/>
                <w:vertAlign w:val="superscript"/>
              </w:rPr>
              <w:t>2</w:t>
            </w:r>
            <w:r w:rsidRPr="00CC6AEB">
              <w:rPr>
                <w:rFonts w:ascii="Book Antiqua" w:hAnsi="Book Antiqua" w:cs="Arial"/>
                <w:b w:val="0"/>
                <w:sz w:val="24"/>
                <w:szCs w:val="24"/>
              </w:rPr>
              <w:t>)</w:t>
            </w:r>
          </w:p>
        </w:tc>
        <w:tc>
          <w:tcPr>
            <w:tcW w:w="1981" w:type="dxa"/>
          </w:tcPr>
          <w:p w14:paraId="15B343E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11/4</w:t>
            </w:r>
          </w:p>
        </w:tc>
        <w:tc>
          <w:tcPr>
            <w:tcW w:w="1811" w:type="dxa"/>
          </w:tcPr>
          <w:p w14:paraId="193FFD1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8.8 (1.1-109.3)</w:t>
            </w:r>
          </w:p>
        </w:tc>
        <w:tc>
          <w:tcPr>
            <w:tcW w:w="1029" w:type="dxa"/>
          </w:tcPr>
          <w:p w14:paraId="46DDE401" w14:textId="46B9AD4B"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.03</w:t>
            </w:r>
          </w:p>
        </w:tc>
        <w:tc>
          <w:tcPr>
            <w:tcW w:w="1913" w:type="dxa"/>
          </w:tcPr>
          <w:p w14:paraId="4980C31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12.3 (1.2-131.0)</w:t>
            </w:r>
            <w:r w:rsidRPr="00CC6AEB">
              <w:rPr>
                <w:rFonts w:ascii="Book Antiqua" w:hAnsi="Book Antiqua" w:cs="Arial"/>
                <w:i/>
                <w:sz w:val="24"/>
                <w:szCs w:val="24"/>
              </w:rPr>
              <w:t xml:space="preserve"> </w:t>
            </w:r>
          </w:p>
        </w:tc>
        <w:tc>
          <w:tcPr>
            <w:tcW w:w="981" w:type="dxa"/>
          </w:tcPr>
          <w:p w14:paraId="6BCA3E0C" w14:textId="6E9FDE5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.03</w:t>
            </w:r>
          </w:p>
        </w:tc>
      </w:tr>
      <w:tr w:rsidR="00B21FDB" w:rsidRPr="00CC6AEB" w14:paraId="646DC30E"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581C17B0"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Alcohol drinking</w:t>
            </w:r>
          </w:p>
        </w:tc>
        <w:tc>
          <w:tcPr>
            <w:tcW w:w="1981" w:type="dxa"/>
          </w:tcPr>
          <w:p w14:paraId="48C5AB6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28/4</w:t>
            </w:r>
          </w:p>
        </w:tc>
        <w:tc>
          <w:tcPr>
            <w:tcW w:w="1811" w:type="dxa"/>
          </w:tcPr>
          <w:p w14:paraId="624D80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2.4 (0.3-28.3)</w:t>
            </w:r>
          </w:p>
        </w:tc>
        <w:tc>
          <w:tcPr>
            <w:tcW w:w="1029" w:type="dxa"/>
          </w:tcPr>
          <w:p w14:paraId="52573319" w14:textId="5C3A01B1"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c>
          <w:tcPr>
            <w:tcW w:w="1913" w:type="dxa"/>
          </w:tcPr>
          <w:p w14:paraId="765038B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7E9CE79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FB0066F"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2CBE0E64"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Cigarette smoking</w:t>
            </w:r>
          </w:p>
        </w:tc>
        <w:tc>
          <w:tcPr>
            <w:tcW w:w="1981" w:type="dxa"/>
          </w:tcPr>
          <w:p w14:paraId="123ACAC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48/3</w:t>
            </w:r>
          </w:p>
        </w:tc>
        <w:tc>
          <w:tcPr>
            <w:tcW w:w="1811" w:type="dxa"/>
          </w:tcPr>
          <w:p w14:paraId="7480F8F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0.3 (0.1-2.5)</w:t>
            </w:r>
          </w:p>
        </w:tc>
        <w:tc>
          <w:tcPr>
            <w:tcW w:w="1029" w:type="dxa"/>
          </w:tcPr>
          <w:p w14:paraId="12DC3E67" w14:textId="385FCF46"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.3</w:t>
            </w:r>
          </w:p>
        </w:tc>
        <w:tc>
          <w:tcPr>
            <w:tcW w:w="1913" w:type="dxa"/>
          </w:tcPr>
          <w:p w14:paraId="2652B61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4E20141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5BB5BA3D"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92120FD"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1981" w:type="dxa"/>
          </w:tcPr>
          <w:p w14:paraId="06FB930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4/0</w:t>
            </w:r>
          </w:p>
        </w:tc>
        <w:tc>
          <w:tcPr>
            <w:tcW w:w="1811" w:type="dxa"/>
          </w:tcPr>
          <w:p w14:paraId="7C445CF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029" w:type="dxa"/>
          </w:tcPr>
          <w:p w14:paraId="65AF5F5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913" w:type="dxa"/>
          </w:tcPr>
          <w:p w14:paraId="13EAB23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2DC4386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2031F8F2"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1740CC9" w14:textId="12AD910A"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Pre-</w:t>
            </w:r>
            <w:r w:rsidR="00757A68" w:rsidRPr="00CC6AEB">
              <w:rPr>
                <w:rFonts w:ascii="Book Antiqua" w:hAnsi="Book Antiqua" w:cs="Arial"/>
                <w:b w:val="0"/>
                <w:sz w:val="24"/>
                <w:szCs w:val="24"/>
              </w:rPr>
              <w:t>LT</w:t>
            </w:r>
            <w:r w:rsidR="000A77CC" w:rsidRPr="00CC6AEB">
              <w:rPr>
                <w:rFonts w:ascii="Book Antiqua" w:hAnsi="Book Antiqua" w:cs="Arial"/>
                <w:b w:val="0"/>
                <w:sz w:val="24"/>
                <w:szCs w:val="24"/>
              </w:rPr>
              <w:t xml:space="preserve"> relapse to DAA</w:t>
            </w:r>
          </w:p>
        </w:tc>
        <w:tc>
          <w:tcPr>
            <w:tcW w:w="1981" w:type="dxa"/>
          </w:tcPr>
          <w:p w14:paraId="0C1B80B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18/5</w:t>
            </w:r>
          </w:p>
        </w:tc>
        <w:tc>
          <w:tcPr>
            <w:tcW w:w="1811" w:type="dxa"/>
          </w:tcPr>
          <w:p w14:paraId="1624E1F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11.7 (1.2-590.7)</w:t>
            </w:r>
          </w:p>
        </w:tc>
        <w:tc>
          <w:tcPr>
            <w:tcW w:w="1029" w:type="dxa"/>
          </w:tcPr>
          <w:p w14:paraId="1FFC93A6" w14:textId="4E9F807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.006</w:t>
            </w:r>
          </w:p>
        </w:tc>
        <w:tc>
          <w:tcPr>
            <w:tcW w:w="1913" w:type="dxa"/>
          </w:tcPr>
          <w:p w14:paraId="37B90A8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14.9 (1.1-219.3)</w:t>
            </w:r>
          </w:p>
        </w:tc>
        <w:tc>
          <w:tcPr>
            <w:tcW w:w="981" w:type="dxa"/>
          </w:tcPr>
          <w:p w14:paraId="50D5412B" w14:textId="580FBBAE"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.04</w:t>
            </w:r>
            <w:r w:rsidR="00B21FDB" w:rsidRPr="00CC6AEB">
              <w:rPr>
                <w:rFonts w:ascii="Book Antiqua" w:hAnsi="Book Antiqua" w:cs="Arial"/>
                <w:i/>
                <w:sz w:val="24"/>
                <w:szCs w:val="24"/>
                <w:vertAlign w:val="superscript"/>
              </w:rPr>
              <w:t xml:space="preserve"> </w:t>
            </w:r>
          </w:p>
        </w:tc>
      </w:tr>
      <w:tr w:rsidR="00B21FDB" w:rsidRPr="00CC6AEB" w14:paraId="2E6E376A"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57B960D2" w14:textId="48470874" w:rsidR="00B21FDB" w:rsidRPr="00CC6AEB" w:rsidRDefault="00B65CCF"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Anti-HBc</w:t>
            </w:r>
            <w:r w:rsidR="00B21FDB" w:rsidRPr="00CC6AEB">
              <w:rPr>
                <w:rFonts w:ascii="Book Antiqua" w:hAnsi="Book Antiqua" w:cs="Arial"/>
                <w:b w:val="0"/>
                <w:sz w:val="24"/>
                <w:szCs w:val="24"/>
              </w:rPr>
              <w:t>-positive allograft</w:t>
            </w:r>
          </w:p>
        </w:tc>
        <w:tc>
          <w:tcPr>
            <w:tcW w:w="1981" w:type="dxa"/>
          </w:tcPr>
          <w:p w14:paraId="7DC43D5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8/2</w:t>
            </w:r>
          </w:p>
        </w:tc>
        <w:tc>
          <w:tcPr>
            <w:tcW w:w="1811" w:type="dxa"/>
          </w:tcPr>
          <w:p w14:paraId="6C731A4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3.3 (0.3-27.8)</w:t>
            </w:r>
          </w:p>
        </w:tc>
        <w:tc>
          <w:tcPr>
            <w:tcW w:w="1029" w:type="dxa"/>
          </w:tcPr>
          <w:p w14:paraId="16C35163" w14:textId="0622CC6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c>
          <w:tcPr>
            <w:tcW w:w="1913" w:type="dxa"/>
          </w:tcPr>
          <w:p w14:paraId="5E15FCB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0C8D93D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2DD3B8C"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4383D6DA"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HCV-positive allograft</w:t>
            </w:r>
          </w:p>
        </w:tc>
        <w:tc>
          <w:tcPr>
            <w:tcW w:w="1981" w:type="dxa"/>
          </w:tcPr>
          <w:p w14:paraId="33D6331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4/0</w:t>
            </w:r>
          </w:p>
        </w:tc>
        <w:tc>
          <w:tcPr>
            <w:tcW w:w="1811" w:type="dxa"/>
          </w:tcPr>
          <w:p w14:paraId="3B72547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029" w:type="dxa"/>
          </w:tcPr>
          <w:p w14:paraId="2C20318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913" w:type="dxa"/>
          </w:tcPr>
          <w:p w14:paraId="6A18D4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558AA4B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D6C8598"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5756247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HCV genotype 3a</w:t>
            </w:r>
          </w:p>
        </w:tc>
        <w:tc>
          <w:tcPr>
            <w:tcW w:w="1981" w:type="dxa"/>
          </w:tcPr>
          <w:p w14:paraId="1EC1FB3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12/3</w:t>
            </w:r>
          </w:p>
        </w:tc>
        <w:tc>
          <w:tcPr>
            <w:tcW w:w="1811" w:type="dxa"/>
          </w:tcPr>
          <w:p w14:paraId="12CE5A5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4.1 (0.5-34.2)</w:t>
            </w:r>
          </w:p>
        </w:tc>
        <w:tc>
          <w:tcPr>
            <w:tcW w:w="1029" w:type="dxa"/>
          </w:tcPr>
          <w:p w14:paraId="116CD01E" w14:textId="0007BEC5"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c>
          <w:tcPr>
            <w:tcW w:w="1913" w:type="dxa"/>
          </w:tcPr>
          <w:p w14:paraId="1678C2D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31D6EDC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2C18A3A"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28E03A40" w14:textId="7BE82D57" w:rsidR="00B21FDB" w:rsidRPr="00CC6AEB" w:rsidRDefault="000B6DB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Post-LT relapse</w:t>
            </w:r>
            <w:r w:rsidR="00104347" w:rsidRPr="00CC6AEB">
              <w:rPr>
                <w:rFonts w:ascii="Book Antiqua" w:hAnsi="Book Antiqua" w:cs="Arial"/>
                <w:b w:val="0"/>
                <w:sz w:val="24"/>
                <w:szCs w:val="24"/>
              </w:rPr>
              <w:t xml:space="preserve"> to DAA</w:t>
            </w:r>
          </w:p>
        </w:tc>
        <w:tc>
          <w:tcPr>
            <w:tcW w:w="1981" w:type="dxa"/>
          </w:tcPr>
          <w:p w14:paraId="3D27732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2/3</w:t>
            </w:r>
          </w:p>
        </w:tc>
        <w:tc>
          <w:tcPr>
            <w:tcW w:w="1811" w:type="dxa"/>
          </w:tcPr>
          <w:p w14:paraId="2D78969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26.2 (2.2-432.9)</w:t>
            </w:r>
          </w:p>
        </w:tc>
        <w:tc>
          <w:tcPr>
            <w:tcW w:w="1029" w:type="dxa"/>
          </w:tcPr>
          <w:p w14:paraId="06355A3A" w14:textId="442E4603"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.002</w:t>
            </w:r>
          </w:p>
        </w:tc>
        <w:tc>
          <w:tcPr>
            <w:tcW w:w="1913" w:type="dxa"/>
          </w:tcPr>
          <w:p w14:paraId="47D307D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10.6 (1.0-121.6)</w:t>
            </w:r>
            <w:r w:rsidRPr="00CC6AEB">
              <w:rPr>
                <w:rFonts w:ascii="Book Antiqua" w:hAnsi="Book Antiqua" w:cs="Arial"/>
                <w:i/>
                <w:sz w:val="24"/>
                <w:szCs w:val="24"/>
              </w:rPr>
              <w:t xml:space="preserve"> </w:t>
            </w:r>
          </w:p>
        </w:tc>
        <w:tc>
          <w:tcPr>
            <w:tcW w:w="981" w:type="dxa"/>
          </w:tcPr>
          <w:p w14:paraId="05E163E2" w14:textId="4D7A9A26"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.05</w:t>
            </w:r>
          </w:p>
        </w:tc>
      </w:tr>
    </w:tbl>
    <w:p w14:paraId="115A4379" w14:textId="252D6299" w:rsidR="00B608FB" w:rsidRPr="00CC6AEB" w:rsidRDefault="000A77CC" w:rsidP="00CC6AEB">
      <w:pPr>
        <w:pStyle w:val="NoSpacing"/>
        <w:snapToGrid w:val="0"/>
        <w:spacing w:line="360" w:lineRule="auto"/>
        <w:jc w:val="both"/>
        <w:rPr>
          <w:rFonts w:ascii="Book Antiqua" w:hAnsi="Book Antiqua" w:cs="Arial"/>
          <w:sz w:val="24"/>
          <w:szCs w:val="24"/>
        </w:rPr>
      </w:pPr>
      <w:r w:rsidRPr="00CC6AEB">
        <w:rPr>
          <w:rFonts w:ascii="Book Antiqua" w:hAnsi="Book Antiqua" w:cs="Arial"/>
          <w:sz w:val="24"/>
          <w:szCs w:val="24"/>
        </w:rPr>
        <w:t>HCC:</w:t>
      </w:r>
      <w:r w:rsidRPr="00CC6AEB">
        <w:rPr>
          <w:rFonts w:ascii="Book Antiqua" w:hAnsi="Book Antiqua"/>
          <w:sz w:val="24"/>
          <w:szCs w:val="24"/>
        </w:rPr>
        <w:t xml:space="preserve"> </w:t>
      </w:r>
      <w:r w:rsidRPr="00CC6AEB">
        <w:rPr>
          <w:rFonts w:ascii="Book Antiqua" w:hAnsi="Book Antiqua" w:cs="Arial"/>
          <w:sz w:val="24"/>
          <w:szCs w:val="24"/>
        </w:rPr>
        <w:t>Hepatocellular carcinoma;</w:t>
      </w:r>
      <w:r w:rsidR="00B608FB" w:rsidRPr="00CC6AEB">
        <w:rPr>
          <w:rFonts w:ascii="Book Antiqua" w:hAnsi="Book Antiqua" w:cs="Arial"/>
          <w:sz w:val="24"/>
          <w:szCs w:val="24"/>
        </w:rPr>
        <w:t xml:space="preserve"> BMI:</w:t>
      </w:r>
      <w:r w:rsidR="00B608FB" w:rsidRPr="00CC6AEB">
        <w:rPr>
          <w:rFonts w:ascii="Book Antiqua" w:eastAsia="Book Antiqua" w:hAnsi="Book Antiqua" w:cs="Arial"/>
          <w:sz w:val="24"/>
          <w:szCs w:val="24"/>
        </w:rPr>
        <w:t xml:space="preserve"> Body mass index</w:t>
      </w:r>
      <w:r w:rsidR="00B608FB" w:rsidRPr="00CC6AEB">
        <w:rPr>
          <w:rFonts w:ascii="Book Antiqua" w:hAnsi="Book Antiqua" w:cs="Arial"/>
          <w:sz w:val="24"/>
          <w:szCs w:val="24"/>
        </w:rPr>
        <w:t xml:space="preserve">; DAA: </w:t>
      </w:r>
      <w:r w:rsidR="00B608FB" w:rsidRPr="00CC6AEB">
        <w:rPr>
          <w:rFonts w:ascii="Book Antiqua" w:eastAsia="Book Antiqua" w:hAnsi="Book Antiqua" w:cs="Arial"/>
          <w:sz w:val="24"/>
          <w:szCs w:val="24"/>
        </w:rPr>
        <w:t xml:space="preserve">Direct-acting antiviral; </w:t>
      </w:r>
      <w:r w:rsidR="00B608FB" w:rsidRPr="00CC6AEB">
        <w:rPr>
          <w:rFonts w:ascii="Book Antiqua" w:hAnsi="Book Antiqua" w:cs="Arial"/>
          <w:sz w:val="24"/>
          <w:szCs w:val="24"/>
        </w:rPr>
        <w:t>HCV:</w:t>
      </w:r>
      <w:r w:rsidR="00B608FB" w:rsidRPr="00CC6AEB">
        <w:rPr>
          <w:rFonts w:ascii="Book Antiqua" w:hAnsi="Book Antiqua"/>
          <w:sz w:val="24"/>
          <w:szCs w:val="24"/>
        </w:rPr>
        <w:t xml:space="preserve"> </w:t>
      </w:r>
      <w:r w:rsidR="00B608FB" w:rsidRPr="00CC6AEB">
        <w:rPr>
          <w:rFonts w:ascii="Book Antiqua" w:eastAsia="Book Antiqua" w:hAnsi="Book Antiqua" w:cs="Arial"/>
          <w:sz w:val="24"/>
          <w:szCs w:val="24"/>
        </w:rPr>
        <w:t>Hepatitis C virus</w:t>
      </w:r>
      <w:r w:rsidR="00B608FB" w:rsidRPr="00CC6AEB">
        <w:rPr>
          <w:rFonts w:ascii="Book Antiqua" w:eastAsia="SimSun" w:hAnsi="Book Antiqua" w:cs="SimSun"/>
          <w:sz w:val="24"/>
          <w:szCs w:val="24"/>
          <w:lang w:eastAsia="zh-CN"/>
        </w:rPr>
        <w:t xml:space="preserve">; OR: </w:t>
      </w:r>
      <w:r w:rsidR="00B608FB" w:rsidRPr="00CC6AEB">
        <w:rPr>
          <w:rFonts w:ascii="Book Antiqua" w:eastAsia="Book Antiqua" w:hAnsi="Book Antiqua" w:cs="Arial"/>
          <w:sz w:val="24"/>
          <w:szCs w:val="24"/>
        </w:rPr>
        <w:t xml:space="preserve">Odds ratio; CI: Confidence interval; </w:t>
      </w:r>
      <w:r w:rsidR="00B608FB" w:rsidRPr="00CC6AEB">
        <w:rPr>
          <w:rFonts w:ascii="Book Antiqua" w:hAnsi="Book Antiqua" w:cs="Arial"/>
          <w:sz w:val="24"/>
          <w:szCs w:val="24"/>
        </w:rPr>
        <w:t>LT:</w:t>
      </w:r>
      <w:r w:rsidR="00B608FB" w:rsidRPr="00CC6AEB">
        <w:rPr>
          <w:rFonts w:ascii="Book Antiqua" w:eastAsia="Book Antiqua" w:hAnsi="Book Antiqua" w:cs="Arial"/>
          <w:sz w:val="24"/>
          <w:szCs w:val="24"/>
        </w:rPr>
        <w:t xml:space="preserve"> Liver transplant</w:t>
      </w:r>
      <w:r w:rsidR="00B608FB" w:rsidRPr="00CC6AEB">
        <w:rPr>
          <w:rFonts w:ascii="Book Antiqua" w:hAnsi="Book Antiqua" w:cs="Arial"/>
          <w:sz w:val="24"/>
          <w:szCs w:val="24"/>
        </w:rPr>
        <w:t>; HBc:</w:t>
      </w:r>
      <w:r w:rsidR="00B608FB" w:rsidRPr="00CC6AEB">
        <w:rPr>
          <w:rFonts w:ascii="Book Antiqua" w:eastAsia="Book Antiqua" w:hAnsi="Book Antiqua" w:cs="Arial"/>
          <w:sz w:val="24"/>
          <w:szCs w:val="24"/>
        </w:rPr>
        <w:t xml:space="preserve"> Hepatitis B core; EOT: End of treatment.</w:t>
      </w:r>
    </w:p>
    <w:p w14:paraId="11FCCB86" w14:textId="77777777" w:rsidR="00B608FB" w:rsidRPr="00CC6AEB" w:rsidRDefault="00B608FB" w:rsidP="00CC6AEB">
      <w:pPr>
        <w:snapToGrid w:val="0"/>
        <w:spacing w:after="0" w:line="360" w:lineRule="auto"/>
        <w:jc w:val="both"/>
        <w:rPr>
          <w:rFonts w:ascii="Book Antiqua" w:hAnsi="Book Antiqua" w:cs="Arial"/>
          <w:sz w:val="24"/>
          <w:szCs w:val="24"/>
        </w:rPr>
      </w:pPr>
      <w:r w:rsidRPr="00CC6AEB">
        <w:rPr>
          <w:rFonts w:ascii="Book Antiqua" w:hAnsi="Book Antiqua" w:cs="Arial"/>
          <w:sz w:val="24"/>
          <w:szCs w:val="24"/>
        </w:rPr>
        <w:br w:type="page"/>
      </w:r>
    </w:p>
    <w:p w14:paraId="06EA89D0" w14:textId="5DC5E4D5" w:rsidR="00B21FDB" w:rsidRPr="00CC6AEB" w:rsidRDefault="00B21FDB" w:rsidP="00CC6AEB">
      <w:pPr>
        <w:snapToGrid w:val="0"/>
        <w:spacing w:after="0" w:line="360" w:lineRule="auto"/>
        <w:jc w:val="both"/>
        <w:rPr>
          <w:rFonts w:ascii="Book Antiqua" w:hAnsi="Book Antiqua"/>
          <w:b/>
          <w:sz w:val="24"/>
          <w:szCs w:val="24"/>
        </w:rPr>
      </w:pPr>
      <w:r w:rsidRPr="00CC6AEB">
        <w:rPr>
          <w:rFonts w:ascii="Book Antiqua" w:eastAsia="Book Antiqua" w:hAnsi="Book Antiqua" w:cs="Arial"/>
          <w:b/>
          <w:sz w:val="24"/>
          <w:szCs w:val="24"/>
        </w:rPr>
        <w:lastRenderedPageBreak/>
        <w:t xml:space="preserve">Table </w:t>
      </w:r>
      <w:r w:rsidR="007D5644" w:rsidRPr="00CC6AEB">
        <w:rPr>
          <w:rFonts w:ascii="Book Antiqua" w:eastAsia="Book Antiqua" w:hAnsi="Book Antiqua" w:cs="Arial"/>
          <w:b/>
          <w:sz w:val="24"/>
          <w:szCs w:val="24"/>
        </w:rPr>
        <w:t>6</w:t>
      </w:r>
      <w:r w:rsidRPr="00CC6AEB">
        <w:rPr>
          <w:rFonts w:ascii="Book Antiqua" w:eastAsia="Book Antiqua" w:hAnsi="Book Antiqua" w:cs="Arial"/>
          <w:b/>
          <w:sz w:val="24"/>
          <w:szCs w:val="24"/>
        </w:rPr>
        <w:t xml:space="preserve"> Characteristics of the </w:t>
      </w:r>
      <w:r w:rsidR="00B608FB" w:rsidRPr="00CC6AEB">
        <w:rPr>
          <w:rFonts w:ascii="Book Antiqua" w:eastAsia="Book Antiqua" w:hAnsi="Book Antiqua" w:cs="Arial"/>
          <w:b/>
          <w:sz w:val="24"/>
          <w:szCs w:val="24"/>
        </w:rPr>
        <w:t>study population according to use</w:t>
      </w:r>
      <w:r w:rsidRPr="00CC6AEB">
        <w:rPr>
          <w:rFonts w:ascii="Book Antiqua" w:eastAsia="Book Antiqua" w:hAnsi="Book Antiqua" w:cs="Arial"/>
          <w:b/>
          <w:sz w:val="24"/>
          <w:szCs w:val="24"/>
        </w:rPr>
        <w:t xml:space="preserve"> of </w:t>
      </w:r>
      <w:r w:rsidR="00B608FB" w:rsidRPr="00CC6AEB">
        <w:rPr>
          <w:rFonts w:ascii="Book Antiqua" w:eastAsia="Book Antiqua" w:hAnsi="Book Antiqua" w:cs="Arial"/>
          <w:b/>
          <w:sz w:val="24"/>
          <w:szCs w:val="24"/>
        </w:rPr>
        <w:t>ribaviri</w:t>
      </w:r>
      <w:r w:rsidR="00B608FB" w:rsidRPr="00CC6AEB">
        <w:rPr>
          <w:rFonts w:ascii="Book Antiqua" w:eastAsia="Book Antiqua" w:hAnsi="Book Antiqua" w:cs="Arial"/>
          <w:b/>
          <w:color w:val="000000" w:themeColor="text1"/>
          <w:sz w:val="24"/>
          <w:szCs w:val="24"/>
        </w:rPr>
        <w:t>n</w:t>
      </w:r>
    </w:p>
    <w:tbl>
      <w:tblPr>
        <w:tblStyle w:val="GridTable1Light-Accent31"/>
        <w:tblW w:w="10075"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3201"/>
        <w:gridCol w:w="2160"/>
        <w:gridCol w:w="1170"/>
      </w:tblGrid>
      <w:tr w:rsidR="00B21FDB" w:rsidRPr="00CC6AEB" w14:paraId="652A4C41" w14:textId="77777777" w:rsidTr="00582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000000" w:themeColor="text1"/>
            </w:tcBorders>
            <w:shd w:val="clear" w:color="auto" w:fill="auto"/>
          </w:tcPr>
          <w:p w14:paraId="6EB5AE9A" w14:textId="77777777" w:rsidR="00B21FDB" w:rsidRPr="00CC6AEB" w:rsidRDefault="00B21FDB" w:rsidP="00CC6AEB">
            <w:pPr>
              <w:snapToGrid w:val="0"/>
              <w:spacing w:line="360" w:lineRule="auto"/>
              <w:jc w:val="both"/>
              <w:rPr>
                <w:rFonts w:ascii="Book Antiqua" w:hAnsi="Book Antiqua" w:cs="Arial"/>
                <w:sz w:val="24"/>
                <w:szCs w:val="24"/>
              </w:rPr>
            </w:pPr>
          </w:p>
        </w:tc>
        <w:tc>
          <w:tcPr>
            <w:tcW w:w="5361" w:type="dxa"/>
            <w:gridSpan w:val="2"/>
            <w:tcBorders>
              <w:bottom w:val="single" w:sz="4" w:space="0" w:color="000000" w:themeColor="text1"/>
            </w:tcBorders>
            <w:shd w:val="clear" w:color="auto" w:fill="auto"/>
          </w:tcPr>
          <w:p w14:paraId="4AF83312"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Number (%)</w:t>
            </w:r>
          </w:p>
        </w:tc>
        <w:tc>
          <w:tcPr>
            <w:tcW w:w="1170" w:type="dxa"/>
            <w:tcBorders>
              <w:bottom w:val="single" w:sz="4" w:space="0" w:color="000000" w:themeColor="text1"/>
            </w:tcBorders>
            <w:shd w:val="clear" w:color="auto" w:fill="auto"/>
          </w:tcPr>
          <w:p w14:paraId="2ECC0D63"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p>
        </w:tc>
      </w:tr>
      <w:tr w:rsidR="00B21FDB" w:rsidRPr="00CC6AEB" w14:paraId="5D4B6013" w14:textId="77777777" w:rsidTr="005820D7">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bottom w:val="single" w:sz="4" w:space="0" w:color="000000" w:themeColor="text1"/>
            </w:tcBorders>
            <w:shd w:val="clear" w:color="auto" w:fill="auto"/>
          </w:tcPr>
          <w:p w14:paraId="2C675446" w14:textId="6107C86A" w:rsidR="00B21FDB" w:rsidRPr="00CC6AEB" w:rsidRDefault="00B608F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Characteristic</w:t>
            </w:r>
          </w:p>
        </w:tc>
        <w:tc>
          <w:tcPr>
            <w:tcW w:w="3201" w:type="dxa"/>
            <w:tcBorders>
              <w:top w:val="single" w:sz="4" w:space="0" w:color="000000" w:themeColor="text1"/>
              <w:bottom w:val="single" w:sz="4" w:space="0" w:color="000000" w:themeColor="text1"/>
            </w:tcBorders>
            <w:shd w:val="clear" w:color="auto" w:fill="auto"/>
          </w:tcPr>
          <w:p w14:paraId="3B7E394A" w14:textId="546C95EF"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RBV-containing DAA regimens</w:t>
            </w:r>
            <w:r w:rsidR="00472C92" w:rsidRPr="00CC6AEB">
              <w:rPr>
                <w:rFonts w:ascii="Book Antiqua" w:hAnsi="Book Antiqua" w:cs="Arial"/>
                <w:b/>
                <w:sz w:val="24"/>
                <w:szCs w:val="24"/>
                <w:lang w:eastAsia="zh-CN"/>
              </w:rPr>
              <w:t xml:space="preserve"> </w:t>
            </w:r>
            <w:r w:rsidRPr="00CC6AEB">
              <w:rPr>
                <w:rFonts w:ascii="Book Antiqua" w:hAnsi="Book Antiqua" w:cs="Arial"/>
                <w:b/>
                <w:sz w:val="24"/>
                <w:szCs w:val="24"/>
              </w:rPr>
              <w:t>(</w:t>
            </w:r>
            <w:r w:rsidRPr="00CC6AEB">
              <w:rPr>
                <w:rFonts w:ascii="Book Antiqua" w:hAnsi="Book Antiqua" w:cs="Arial"/>
                <w:b/>
                <w:i/>
                <w:iCs/>
                <w:sz w:val="24"/>
                <w:szCs w:val="24"/>
              </w:rPr>
              <w:t>n</w:t>
            </w:r>
            <w:r w:rsidR="00B608FB" w:rsidRPr="00CC6AEB">
              <w:rPr>
                <w:rFonts w:ascii="Book Antiqua" w:hAnsi="Book Antiqua" w:cs="Arial"/>
                <w:b/>
                <w:i/>
                <w:iCs/>
                <w:sz w:val="24"/>
                <w:szCs w:val="24"/>
              </w:rPr>
              <w:t xml:space="preserve"> </w:t>
            </w:r>
            <w:r w:rsidRPr="00CC6AEB">
              <w:rPr>
                <w:rFonts w:ascii="Book Antiqua" w:hAnsi="Book Antiqua" w:cs="Arial"/>
                <w:b/>
                <w:sz w:val="24"/>
                <w:szCs w:val="24"/>
              </w:rPr>
              <w:t>=</w:t>
            </w:r>
            <w:r w:rsidR="00B608FB" w:rsidRPr="00CC6AEB">
              <w:rPr>
                <w:rFonts w:ascii="Book Antiqua" w:hAnsi="Book Antiqua" w:cs="Arial"/>
                <w:b/>
                <w:sz w:val="24"/>
                <w:szCs w:val="24"/>
              </w:rPr>
              <w:t xml:space="preserve"> </w:t>
            </w:r>
            <w:r w:rsidRPr="00CC6AEB">
              <w:rPr>
                <w:rFonts w:ascii="Book Antiqua" w:hAnsi="Book Antiqua" w:cs="Arial"/>
                <w:b/>
                <w:sz w:val="24"/>
                <w:szCs w:val="24"/>
              </w:rPr>
              <w:t>68)</w:t>
            </w:r>
          </w:p>
        </w:tc>
        <w:tc>
          <w:tcPr>
            <w:tcW w:w="2160" w:type="dxa"/>
            <w:tcBorders>
              <w:top w:val="single" w:sz="4" w:space="0" w:color="000000" w:themeColor="text1"/>
              <w:bottom w:val="single" w:sz="4" w:space="0" w:color="000000" w:themeColor="text1"/>
            </w:tcBorders>
            <w:shd w:val="clear" w:color="auto" w:fill="auto"/>
          </w:tcPr>
          <w:p w14:paraId="6F42A983" w14:textId="57685B5B"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Non-RBV containing DAA regimens</w:t>
            </w:r>
            <w:r w:rsidR="00472C92" w:rsidRPr="00CC6AEB">
              <w:rPr>
                <w:rFonts w:ascii="Book Antiqua" w:hAnsi="Book Antiqua" w:cs="Arial"/>
                <w:b/>
                <w:sz w:val="24"/>
                <w:szCs w:val="24"/>
                <w:lang w:eastAsia="zh-CN"/>
              </w:rPr>
              <w:t xml:space="preserve"> </w:t>
            </w:r>
            <w:r w:rsidRPr="00CC6AEB">
              <w:rPr>
                <w:rFonts w:ascii="Book Antiqua" w:hAnsi="Book Antiqua" w:cs="Arial"/>
                <w:b/>
                <w:sz w:val="24"/>
                <w:szCs w:val="24"/>
              </w:rPr>
              <w:t>(</w:t>
            </w:r>
            <w:r w:rsidRPr="00CC6AEB">
              <w:rPr>
                <w:rFonts w:ascii="Book Antiqua" w:hAnsi="Book Antiqua" w:cs="Arial"/>
                <w:b/>
                <w:i/>
                <w:iCs/>
                <w:sz w:val="24"/>
                <w:szCs w:val="24"/>
              </w:rPr>
              <w:t>n</w:t>
            </w:r>
            <w:r w:rsidR="00B608FB" w:rsidRPr="00CC6AEB">
              <w:rPr>
                <w:rFonts w:ascii="Book Antiqua" w:hAnsi="Book Antiqua" w:cs="Arial"/>
                <w:b/>
                <w:i/>
                <w:iCs/>
                <w:sz w:val="24"/>
                <w:szCs w:val="24"/>
              </w:rPr>
              <w:t xml:space="preserve"> </w:t>
            </w:r>
            <w:r w:rsidRPr="00CC6AEB">
              <w:rPr>
                <w:rFonts w:ascii="Book Antiqua" w:hAnsi="Book Antiqua" w:cs="Arial"/>
                <w:b/>
                <w:sz w:val="24"/>
                <w:szCs w:val="24"/>
              </w:rPr>
              <w:t>=</w:t>
            </w:r>
            <w:r w:rsidR="00B608FB" w:rsidRPr="00CC6AEB">
              <w:rPr>
                <w:rFonts w:ascii="Book Antiqua" w:hAnsi="Book Antiqua" w:cs="Arial"/>
                <w:b/>
                <w:sz w:val="24"/>
                <w:szCs w:val="24"/>
              </w:rPr>
              <w:t xml:space="preserve"> </w:t>
            </w:r>
            <w:r w:rsidRPr="00CC6AEB">
              <w:rPr>
                <w:rFonts w:ascii="Book Antiqua" w:hAnsi="Book Antiqua" w:cs="Arial"/>
                <w:b/>
                <w:sz w:val="24"/>
                <w:szCs w:val="24"/>
              </w:rPr>
              <w:t>38)</w:t>
            </w:r>
          </w:p>
        </w:tc>
        <w:tc>
          <w:tcPr>
            <w:tcW w:w="1170" w:type="dxa"/>
            <w:tcBorders>
              <w:top w:val="single" w:sz="4" w:space="0" w:color="000000" w:themeColor="text1"/>
              <w:bottom w:val="single" w:sz="4" w:space="0" w:color="000000" w:themeColor="text1"/>
            </w:tcBorders>
            <w:shd w:val="clear" w:color="auto" w:fill="auto"/>
          </w:tcPr>
          <w:p w14:paraId="75807D1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i/>
                <w:sz w:val="24"/>
                <w:szCs w:val="24"/>
              </w:rPr>
              <w:t>P</w:t>
            </w:r>
            <w:r w:rsidRPr="00CC6AEB">
              <w:rPr>
                <w:rFonts w:ascii="Book Antiqua" w:hAnsi="Book Antiqua" w:cs="Arial"/>
                <w:b/>
                <w:sz w:val="24"/>
                <w:szCs w:val="24"/>
              </w:rPr>
              <w:t xml:space="preserve"> value</w:t>
            </w:r>
          </w:p>
        </w:tc>
      </w:tr>
      <w:tr w:rsidR="00B21FDB" w:rsidRPr="00CC6AEB" w14:paraId="70575DF2" w14:textId="77777777" w:rsidTr="005820D7">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shd w:val="clear" w:color="auto" w:fill="auto"/>
          </w:tcPr>
          <w:p w14:paraId="2FB1A3D4" w14:textId="32129193"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Age ≥</w:t>
            </w:r>
            <w:r w:rsidR="00BF4891" w:rsidRPr="00CC6AEB">
              <w:rPr>
                <w:rFonts w:ascii="Book Antiqua" w:hAnsi="Book Antiqua" w:cs="Arial"/>
                <w:b w:val="0"/>
                <w:sz w:val="24"/>
                <w:szCs w:val="24"/>
              </w:rPr>
              <w:t xml:space="preserve"> </w:t>
            </w:r>
            <w:r w:rsidR="00B608FB" w:rsidRPr="00CC6AEB">
              <w:rPr>
                <w:rFonts w:ascii="Book Antiqua" w:hAnsi="Book Antiqua" w:cs="Arial"/>
                <w:b w:val="0"/>
                <w:sz w:val="24"/>
                <w:szCs w:val="24"/>
              </w:rPr>
              <w:t xml:space="preserve">60 </w:t>
            </w:r>
            <w:proofErr w:type="spellStart"/>
            <w:r w:rsidR="00B608FB" w:rsidRPr="00CC6AEB">
              <w:rPr>
                <w:rFonts w:ascii="Book Antiqua" w:hAnsi="Book Antiqua" w:cs="Arial"/>
                <w:b w:val="0"/>
                <w:sz w:val="24"/>
                <w:szCs w:val="24"/>
              </w:rPr>
              <w:t>yr</w:t>
            </w:r>
            <w:proofErr w:type="spellEnd"/>
          </w:p>
        </w:tc>
        <w:tc>
          <w:tcPr>
            <w:tcW w:w="3201" w:type="dxa"/>
            <w:tcBorders>
              <w:top w:val="single" w:sz="4" w:space="0" w:color="000000" w:themeColor="text1"/>
            </w:tcBorders>
            <w:shd w:val="clear" w:color="auto" w:fill="auto"/>
          </w:tcPr>
          <w:p w14:paraId="4CE6B73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38 (58)</w:t>
            </w:r>
          </w:p>
        </w:tc>
        <w:tc>
          <w:tcPr>
            <w:tcW w:w="2160" w:type="dxa"/>
            <w:tcBorders>
              <w:top w:val="single" w:sz="4" w:space="0" w:color="000000" w:themeColor="text1"/>
            </w:tcBorders>
            <w:shd w:val="clear" w:color="auto" w:fill="auto"/>
          </w:tcPr>
          <w:p w14:paraId="4A0F59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26 (70)</w:t>
            </w:r>
          </w:p>
        </w:tc>
        <w:tc>
          <w:tcPr>
            <w:tcW w:w="1170" w:type="dxa"/>
            <w:tcBorders>
              <w:top w:val="single" w:sz="4" w:space="0" w:color="000000" w:themeColor="text1"/>
            </w:tcBorders>
            <w:shd w:val="clear" w:color="auto" w:fill="auto"/>
          </w:tcPr>
          <w:p w14:paraId="49DAF78B" w14:textId="73789492"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r>
      <w:tr w:rsidR="00B21FDB" w:rsidRPr="00CC6AEB" w14:paraId="07F88841"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2BBED92" w14:textId="4C68C048" w:rsidR="00B21FDB" w:rsidRPr="00CC6AEB" w:rsidRDefault="00D61D8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Male</w:t>
            </w:r>
          </w:p>
        </w:tc>
        <w:tc>
          <w:tcPr>
            <w:tcW w:w="3201" w:type="dxa"/>
            <w:shd w:val="clear" w:color="auto" w:fill="auto"/>
          </w:tcPr>
          <w:p w14:paraId="5E95E02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51 (75)</w:t>
            </w:r>
          </w:p>
        </w:tc>
        <w:tc>
          <w:tcPr>
            <w:tcW w:w="2160" w:type="dxa"/>
            <w:shd w:val="clear" w:color="auto" w:fill="auto"/>
          </w:tcPr>
          <w:p w14:paraId="36C59B3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24 (63)</w:t>
            </w:r>
          </w:p>
        </w:tc>
        <w:tc>
          <w:tcPr>
            <w:tcW w:w="1170" w:type="dxa"/>
            <w:vMerge w:val="restart"/>
            <w:shd w:val="clear" w:color="auto" w:fill="auto"/>
          </w:tcPr>
          <w:p w14:paraId="55DFDB9A" w14:textId="73E88D0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58C9F3A4"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48FC8E7" w14:textId="58A353E0"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Female</w:t>
            </w:r>
          </w:p>
        </w:tc>
        <w:tc>
          <w:tcPr>
            <w:tcW w:w="3201" w:type="dxa"/>
            <w:shd w:val="clear" w:color="auto" w:fill="auto"/>
          </w:tcPr>
          <w:p w14:paraId="7B1B34F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17 (25)</w:t>
            </w:r>
          </w:p>
        </w:tc>
        <w:tc>
          <w:tcPr>
            <w:tcW w:w="2160" w:type="dxa"/>
            <w:shd w:val="clear" w:color="auto" w:fill="auto"/>
          </w:tcPr>
          <w:p w14:paraId="5DCBA28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 (37)</w:t>
            </w:r>
          </w:p>
        </w:tc>
        <w:tc>
          <w:tcPr>
            <w:tcW w:w="1170" w:type="dxa"/>
            <w:vMerge/>
            <w:shd w:val="clear" w:color="auto" w:fill="auto"/>
          </w:tcPr>
          <w:p w14:paraId="6827C55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2F1E3660"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694C965" w14:textId="074AD2B6" w:rsidR="00B21FDB" w:rsidRPr="00CC6AEB" w:rsidRDefault="00D61D8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White</w:t>
            </w:r>
          </w:p>
        </w:tc>
        <w:tc>
          <w:tcPr>
            <w:tcW w:w="3201" w:type="dxa"/>
            <w:shd w:val="clear" w:color="auto" w:fill="auto"/>
          </w:tcPr>
          <w:p w14:paraId="24FF1A5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37 (54)</w:t>
            </w:r>
          </w:p>
        </w:tc>
        <w:tc>
          <w:tcPr>
            <w:tcW w:w="2160" w:type="dxa"/>
            <w:shd w:val="clear" w:color="auto" w:fill="auto"/>
          </w:tcPr>
          <w:p w14:paraId="69A2054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(50)</w:t>
            </w:r>
          </w:p>
        </w:tc>
        <w:tc>
          <w:tcPr>
            <w:tcW w:w="1170" w:type="dxa"/>
            <w:vMerge w:val="restart"/>
            <w:shd w:val="clear" w:color="auto" w:fill="auto"/>
          </w:tcPr>
          <w:p w14:paraId="07B11278" w14:textId="3B7796F8"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r>
      <w:tr w:rsidR="00B21FDB" w:rsidRPr="00CC6AEB" w14:paraId="5C1A9A09"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518BDDE" w14:textId="0CFD692B" w:rsidR="00B21FDB" w:rsidRPr="00CC6AEB" w:rsidRDefault="00D61D8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Black</w:t>
            </w:r>
          </w:p>
        </w:tc>
        <w:tc>
          <w:tcPr>
            <w:tcW w:w="3201" w:type="dxa"/>
            <w:shd w:val="clear" w:color="auto" w:fill="auto"/>
          </w:tcPr>
          <w:p w14:paraId="1138C1F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15 (22)</w:t>
            </w:r>
          </w:p>
        </w:tc>
        <w:tc>
          <w:tcPr>
            <w:tcW w:w="2160" w:type="dxa"/>
            <w:shd w:val="clear" w:color="auto" w:fill="auto"/>
          </w:tcPr>
          <w:p w14:paraId="497521A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 (18)</w:t>
            </w:r>
          </w:p>
        </w:tc>
        <w:tc>
          <w:tcPr>
            <w:tcW w:w="1170" w:type="dxa"/>
            <w:vMerge/>
            <w:shd w:val="clear" w:color="auto" w:fill="auto"/>
          </w:tcPr>
          <w:p w14:paraId="2D98DB1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DAC4500"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3943572" w14:textId="1CAF7185"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Hispanic</w:t>
            </w:r>
          </w:p>
        </w:tc>
        <w:tc>
          <w:tcPr>
            <w:tcW w:w="3201" w:type="dxa"/>
            <w:shd w:val="clear" w:color="auto" w:fill="auto"/>
          </w:tcPr>
          <w:p w14:paraId="67D318A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(19)</w:t>
            </w:r>
          </w:p>
        </w:tc>
        <w:tc>
          <w:tcPr>
            <w:tcW w:w="2160" w:type="dxa"/>
            <w:shd w:val="clear" w:color="auto" w:fill="auto"/>
          </w:tcPr>
          <w:p w14:paraId="2865880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(26)</w:t>
            </w:r>
          </w:p>
        </w:tc>
        <w:tc>
          <w:tcPr>
            <w:tcW w:w="1170" w:type="dxa"/>
            <w:vMerge/>
            <w:shd w:val="clear" w:color="auto" w:fill="auto"/>
          </w:tcPr>
          <w:p w14:paraId="5A20215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4239CE2"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4DFD987" w14:textId="11A2C6C6"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Asian</w:t>
            </w:r>
          </w:p>
        </w:tc>
        <w:tc>
          <w:tcPr>
            <w:tcW w:w="3201" w:type="dxa"/>
            <w:shd w:val="clear" w:color="auto" w:fill="auto"/>
          </w:tcPr>
          <w:p w14:paraId="4AA909A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 (4)</w:t>
            </w:r>
          </w:p>
        </w:tc>
        <w:tc>
          <w:tcPr>
            <w:tcW w:w="2160" w:type="dxa"/>
            <w:shd w:val="clear" w:color="auto" w:fill="auto"/>
          </w:tcPr>
          <w:p w14:paraId="51E41E0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 (5)</w:t>
            </w:r>
          </w:p>
        </w:tc>
        <w:tc>
          <w:tcPr>
            <w:tcW w:w="1170" w:type="dxa"/>
            <w:vMerge/>
            <w:shd w:val="clear" w:color="auto" w:fill="auto"/>
          </w:tcPr>
          <w:p w14:paraId="37604AD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A1AD2D6"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54632DC" w14:textId="2CB04A09"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Diabetes Mellitus</w:t>
            </w:r>
          </w:p>
        </w:tc>
        <w:tc>
          <w:tcPr>
            <w:tcW w:w="3201" w:type="dxa"/>
            <w:shd w:val="clear" w:color="auto" w:fill="auto"/>
          </w:tcPr>
          <w:p w14:paraId="511A1AE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45 (66)</w:t>
            </w:r>
          </w:p>
        </w:tc>
        <w:tc>
          <w:tcPr>
            <w:tcW w:w="2160" w:type="dxa"/>
            <w:shd w:val="clear" w:color="auto" w:fill="auto"/>
          </w:tcPr>
          <w:p w14:paraId="718803B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 (74)</w:t>
            </w:r>
          </w:p>
        </w:tc>
        <w:tc>
          <w:tcPr>
            <w:tcW w:w="1170" w:type="dxa"/>
            <w:shd w:val="clear" w:color="auto" w:fill="auto"/>
          </w:tcPr>
          <w:p w14:paraId="0A034280" w14:textId="75E775F1"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5EF550DD"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2172745" w14:textId="0215064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CKD</w:t>
            </w:r>
          </w:p>
        </w:tc>
        <w:tc>
          <w:tcPr>
            <w:tcW w:w="3201" w:type="dxa"/>
            <w:shd w:val="clear" w:color="auto" w:fill="auto"/>
          </w:tcPr>
          <w:p w14:paraId="3D4A5F8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22 (32)</w:t>
            </w:r>
          </w:p>
        </w:tc>
        <w:tc>
          <w:tcPr>
            <w:tcW w:w="2160" w:type="dxa"/>
            <w:shd w:val="clear" w:color="auto" w:fill="auto"/>
          </w:tcPr>
          <w:p w14:paraId="693E9EB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21 (55)</w:t>
            </w:r>
          </w:p>
        </w:tc>
        <w:tc>
          <w:tcPr>
            <w:tcW w:w="1170" w:type="dxa"/>
            <w:shd w:val="clear" w:color="auto" w:fill="auto"/>
          </w:tcPr>
          <w:p w14:paraId="225CD8C9" w14:textId="4BA4943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.02</w:t>
            </w:r>
          </w:p>
        </w:tc>
      </w:tr>
      <w:tr w:rsidR="00B21FDB" w:rsidRPr="00CC6AEB" w14:paraId="546D67A0"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42C10D2" w14:textId="0394B3CC"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e</w:t>
            </w:r>
            <w:bookmarkStart w:id="49" w:name="OLE_LINK16"/>
            <w:bookmarkStart w:id="50" w:name="OLE_LINK17"/>
            <w:r w:rsidRPr="00CC6AEB">
              <w:rPr>
                <w:rFonts w:ascii="Book Antiqua" w:hAnsi="Book Antiqua" w:cs="Arial"/>
                <w:b w:val="0"/>
                <w:sz w:val="24"/>
                <w:szCs w:val="24"/>
              </w:rPr>
              <w:t>GFR</w:t>
            </w:r>
            <w:bookmarkEnd w:id="49"/>
            <w:bookmarkEnd w:id="50"/>
            <w:r w:rsidRPr="00CC6AEB">
              <w:rPr>
                <w:rFonts w:ascii="Book Antiqua" w:hAnsi="Book Antiqua" w:cs="Arial"/>
                <w:b w:val="0"/>
                <w:sz w:val="24"/>
                <w:szCs w:val="24"/>
              </w:rPr>
              <w:t xml:space="preserve"> &lt;</w:t>
            </w:r>
            <w:r w:rsidR="00BF4891" w:rsidRPr="00CC6AEB">
              <w:rPr>
                <w:rFonts w:ascii="Book Antiqua" w:hAnsi="Book Antiqua" w:cs="Arial"/>
                <w:b w:val="0"/>
                <w:sz w:val="24"/>
                <w:szCs w:val="24"/>
              </w:rPr>
              <w:t xml:space="preserve"> </w:t>
            </w:r>
            <w:r w:rsidRPr="00CC6AEB">
              <w:rPr>
                <w:rFonts w:ascii="Book Antiqua" w:hAnsi="Book Antiqua" w:cs="Arial"/>
                <w:b w:val="0"/>
                <w:sz w:val="24"/>
                <w:szCs w:val="24"/>
              </w:rPr>
              <w:t>30 mL/min/1.73 m</w:t>
            </w:r>
            <w:r w:rsidRPr="00CC6AEB">
              <w:rPr>
                <w:rFonts w:ascii="Book Antiqua" w:hAnsi="Book Antiqua" w:cs="Arial"/>
                <w:b w:val="0"/>
                <w:sz w:val="24"/>
                <w:szCs w:val="24"/>
                <w:vertAlign w:val="superscript"/>
              </w:rPr>
              <w:t>2</w:t>
            </w:r>
          </w:p>
        </w:tc>
        <w:tc>
          <w:tcPr>
            <w:tcW w:w="3201" w:type="dxa"/>
            <w:shd w:val="clear" w:color="auto" w:fill="auto"/>
          </w:tcPr>
          <w:p w14:paraId="298DF64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 (2)</w:t>
            </w:r>
          </w:p>
        </w:tc>
        <w:tc>
          <w:tcPr>
            <w:tcW w:w="2160" w:type="dxa"/>
            <w:shd w:val="clear" w:color="auto" w:fill="auto"/>
          </w:tcPr>
          <w:p w14:paraId="462E895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 (21)</w:t>
            </w:r>
          </w:p>
        </w:tc>
        <w:tc>
          <w:tcPr>
            <w:tcW w:w="1170" w:type="dxa"/>
            <w:shd w:val="clear" w:color="auto" w:fill="auto"/>
          </w:tcPr>
          <w:p w14:paraId="0256BBC0" w14:textId="03D5D62D"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.001</w:t>
            </w:r>
          </w:p>
        </w:tc>
      </w:tr>
      <w:tr w:rsidR="00B21FDB" w:rsidRPr="00CC6AEB" w14:paraId="21EE21DA"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42D4BC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3201" w:type="dxa"/>
            <w:shd w:val="clear" w:color="auto" w:fill="auto"/>
          </w:tcPr>
          <w:p w14:paraId="58C0FC4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 (8)</w:t>
            </w:r>
          </w:p>
        </w:tc>
        <w:tc>
          <w:tcPr>
            <w:tcW w:w="2160" w:type="dxa"/>
            <w:shd w:val="clear" w:color="auto" w:fill="auto"/>
          </w:tcPr>
          <w:p w14:paraId="7E9B8B6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 (16)</w:t>
            </w:r>
          </w:p>
        </w:tc>
        <w:tc>
          <w:tcPr>
            <w:tcW w:w="1170" w:type="dxa"/>
            <w:shd w:val="clear" w:color="auto" w:fill="auto"/>
          </w:tcPr>
          <w:p w14:paraId="303FFD88" w14:textId="3D861C91"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3E7B6A66"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7955AB2" w14:textId="1B401B01" w:rsidR="00B21FDB" w:rsidRPr="00CC6AEB" w:rsidRDefault="00B608F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BF4891"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creatinine level, mg/dL</w:t>
            </w:r>
          </w:p>
        </w:tc>
        <w:tc>
          <w:tcPr>
            <w:tcW w:w="3201" w:type="dxa"/>
            <w:shd w:val="clear" w:color="auto" w:fill="auto"/>
          </w:tcPr>
          <w:p w14:paraId="47C548D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 ± 1.0</w:t>
            </w:r>
          </w:p>
        </w:tc>
        <w:tc>
          <w:tcPr>
            <w:tcW w:w="2160" w:type="dxa"/>
            <w:shd w:val="clear" w:color="auto" w:fill="auto"/>
          </w:tcPr>
          <w:p w14:paraId="7688225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 1.8</w:t>
            </w:r>
          </w:p>
        </w:tc>
        <w:tc>
          <w:tcPr>
            <w:tcW w:w="1170" w:type="dxa"/>
            <w:shd w:val="clear" w:color="auto" w:fill="auto"/>
          </w:tcPr>
          <w:p w14:paraId="5F9A5352" w14:textId="5D02C48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.02</w:t>
            </w:r>
          </w:p>
        </w:tc>
      </w:tr>
      <w:tr w:rsidR="00B21FDB" w:rsidRPr="00CC6AEB" w14:paraId="441B1863"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FAD9D54" w14:textId="712C5078" w:rsidR="00B21FDB" w:rsidRPr="00CC6AEB" w:rsidRDefault="00B608F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BF4891"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hemoglobin level, g/dL</w:t>
            </w:r>
          </w:p>
        </w:tc>
        <w:tc>
          <w:tcPr>
            <w:tcW w:w="3201" w:type="dxa"/>
            <w:shd w:val="clear" w:color="auto" w:fill="auto"/>
          </w:tcPr>
          <w:p w14:paraId="627963E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14.0 ± 1.7</w:t>
            </w:r>
          </w:p>
        </w:tc>
        <w:tc>
          <w:tcPr>
            <w:tcW w:w="2160" w:type="dxa"/>
            <w:shd w:val="clear" w:color="auto" w:fill="auto"/>
          </w:tcPr>
          <w:p w14:paraId="65FB4EB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12.0 ± 2.0</w:t>
            </w:r>
          </w:p>
        </w:tc>
        <w:tc>
          <w:tcPr>
            <w:tcW w:w="1170" w:type="dxa"/>
            <w:shd w:val="clear" w:color="auto" w:fill="auto"/>
          </w:tcPr>
          <w:p w14:paraId="7507B797" w14:textId="4E3B92A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.0001</w:t>
            </w:r>
          </w:p>
        </w:tc>
      </w:tr>
      <w:tr w:rsidR="00B21FDB" w:rsidRPr="00CC6AEB" w14:paraId="65F3B315"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E83639B" w14:textId="1925A1EC" w:rsidR="00B21FDB" w:rsidRPr="00CC6AEB" w:rsidRDefault="00B608F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BF4891"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MELD-Na sc</w:t>
            </w:r>
            <w:r w:rsidRPr="00CC6AEB">
              <w:rPr>
                <w:rFonts w:ascii="Book Antiqua" w:hAnsi="Book Antiqua" w:cs="Arial"/>
                <w:b w:val="0"/>
                <w:sz w:val="24"/>
                <w:szCs w:val="24"/>
              </w:rPr>
              <w:t>ore</w:t>
            </w:r>
          </w:p>
        </w:tc>
        <w:tc>
          <w:tcPr>
            <w:tcW w:w="3201" w:type="dxa"/>
            <w:shd w:val="clear" w:color="auto" w:fill="auto"/>
          </w:tcPr>
          <w:p w14:paraId="719122B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 4</w:t>
            </w:r>
          </w:p>
        </w:tc>
        <w:tc>
          <w:tcPr>
            <w:tcW w:w="2160" w:type="dxa"/>
            <w:shd w:val="clear" w:color="auto" w:fill="auto"/>
          </w:tcPr>
          <w:p w14:paraId="67EEF9B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 6</w:t>
            </w:r>
          </w:p>
        </w:tc>
        <w:tc>
          <w:tcPr>
            <w:tcW w:w="1170" w:type="dxa"/>
            <w:shd w:val="clear" w:color="auto" w:fill="auto"/>
          </w:tcPr>
          <w:p w14:paraId="55EFA758" w14:textId="5E757E9C"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2B4459CB"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12A1DD8" w14:textId="70B85988"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SVR12</w:t>
            </w:r>
          </w:p>
        </w:tc>
        <w:tc>
          <w:tcPr>
            <w:tcW w:w="3201" w:type="dxa"/>
            <w:shd w:val="clear" w:color="auto" w:fill="auto"/>
          </w:tcPr>
          <w:p w14:paraId="57C7D2E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65 (95.5)</w:t>
            </w:r>
          </w:p>
        </w:tc>
        <w:tc>
          <w:tcPr>
            <w:tcW w:w="2160" w:type="dxa"/>
            <w:shd w:val="clear" w:color="auto" w:fill="auto"/>
          </w:tcPr>
          <w:p w14:paraId="27F346F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35 (92.1)</w:t>
            </w:r>
          </w:p>
        </w:tc>
        <w:tc>
          <w:tcPr>
            <w:tcW w:w="1170" w:type="dxa"/>
            <w:shd w:val="clear" w:color="auto" w:fill="auto"/>
          </w:tcPr>
          <w:p w14:paraId="3AF6DB35" w14:textId="05F12D3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.7</w:t>
            </w:r>
          </w:p>
        </w:tc>
      </w:tr>
    </w:tbl>
    <w:p w14:paraId="7C91CF73" w14:textId="14840DF5" w:rsidR="00261522" w:rsidRPr="00CC6AEB" w:rsidRDefault="00B608FB" w:rsidP="00CC6AEB">
      <w:pPr>
        <w:pStyle w:val="NoSpacing"/>
        <w:snapToGrid w:val="0"/>
        <w:spacing w:line="360" w:lineRule="auto"/>
        <w:jc w:val="both"/>
        <w:rPr>
          <w:rFonts w:ascii="Book Antiqua" w:eastAsia="SimSun" w:hAnsi="Book Antiqua" w:cs="SimSun"/>
          <w:sz w:val="24"/>
          <w:szCs w:val="24"/>
          <w:lang w:eastAsia="zh-CN"/>
        </w:rPr>
      </w:pPr>
      <w:r w:rsidRPr="00CC6AEB">
        <w:rPr>
          <w:rFonts w:ascii="Book Antiqua" w:hAnsi="Book Antiqua" w:cs="Arial"/>
          <w:sz w:val="24"/>
          <w:szCs w:val="24"/>
        </w:rPr>
        <w:t>RBV:</w:t>
      </w:r>
      <w:r w:rsidR="00D61D8E" w:rsidRPr="00CC6AEB">
        <w:rPr>
          <w:rFonts w:ascii="Book Antiqua" w:hAnsi="Book Antiqua" w:cs="Arial"/>
          <w:sz w:val="24"/>
          <w:szCs w:val="24"/>
        </w:rPr>
        <w:t xml:space="preserve"> </w:t>
      </w:r>
      <w:r w:rsidRPr="00CC6AEB">
        <w:rPr>
          <w:rFonts w:ascii="Book Antiqua" w:eastAsia="Book Antiqua" w:hAnsi="Book Antiqua" w:cs="Arial"/>
          <w:sz w:val="24"/>
          <w:szCs w:val="24"/>
        </w:rPr>
        <w:t>Ribaviri</w:t>
      </w:r>
      <w:r w:rsidRPr="00CC6AEB">
        <w:rPr>
          <w:rFonts w:ascii="Book Antiqua" w:eastAsia="Book Antiqua" w:hAnsi="Book Antiqua" w:cs="Arial"/>
          <w:color w:val="000000" w:themeColor="text1"/>
          <w:sz w:val="24"/>
          <w:szCs w:val="24"/>
        </w:rPr>
        <w:t>n;</w:t>
      </w:r>
      <w:r w:rsidRPr="00CC6AEB">
        <w:rPr>
          <w:rFonts w:ascii="Book Antiqua" w:hAnsi="Book Antiqua" w:cs="Arial"/>
          <w:sz w:val="24"/>
          <w:szCs w:val="24"/>
        </w:rPr>
        <w:t xml:space="preserve"> </w:t>
      </w:r>
      <w:r w:rsidR="004D77A1" w:rsidRPr="00CC6AEB">
        <w:rPr>
          <w:rFonts w:ascii="Book Antiqua" w:hAnsi="Book Antiqua" w:cs="Arial"/>
          <w:sz w:val="24"/>
          <w:szCs w:val="24"/>
        </w:rPr>
        <w:t>CKD:</w:t>
      </w:r>
      <w:r w:rsidRPr="00CC6AEB">
        <w:rPr>
          <w:rFonts w:ascii="Book Antiqua" w:hAnsi="Book Antiqua" w:cs="Arial"/>
          <w:sz w:val="24"/>
          <w:szCs w:val="24"/>
        </w:rPr>
        <w:t xml:space="preserve"> </w:t>
      </w:r>
      <w:r w:rsidR="004D77A1" w:rsidRPr="00CC6AEB">
        <w:rPr>
          <w:rFonts w:ascii="Book Antiqua" w:hAnsi="Book Antiqua" w:cs="Arial"/>
          <w:sz w:val="24"/>
          <w:szCs w:val="24"/>
        </w:rPr>
        <w:t xml:space="preserve">Chronic </w:t>
      </w:r>
      <w:r w:rsidRPr="00CC6AEB">
        <w:rPr>
          <w:rFonts w:ascii="Book Antiqua" w:hAnsi="Book Antiqua" w:cs="Arial"/>
          <w:sz w:val="24"/>
          <w:szCs w:val="24"/>
        </w:rPr>
        <w:t xml:space="preserve">kidney disease; DAA: </w:t>
      </w:r>
      <w:r w:rsidRPr="00CC6AEB">
        <w:rPr>
          <w:rFonts w:ascii="Book Antiqua" w:eastAsia="Book Antiqua" w:hAnsi="Book Antiqua" w:cs="Arial"/>
          <w:sz w:val="24"/>
          <w:szCs w:val="24"/>
        </w:rPr>
        <w:t xml:space="preserve">Direct-acting antiviral; </w:t>
      </w:r>
      <w:r w:rsidRPr="00CC6AEB">
        <w:rPr>
          <w:rFonts w:ascii="Book Antiqua" w:hAnsi="Book Antiqua" w:cs="Arial"/>
          <w:sz w:val="24"/>
          <w:szCs w:val="24"/>
        </w:rPr>
        <w:t>SVR:</w:t>
      </w:r>
      <w:r w:rsidRPr="00CC6AEB">
        <w:rPr>
          <w:rFonts w:ascii="Book Antiqua" w:eastAsia="Book Antiqua" w:hAnsi="Book Antiqua" w:cs="Arial"/>
          <w:sz w:val="24"/>
          <w:szCs w:val="24"/>
        </w:rPr>
        <w:t xml:space="preserve"> Sustained virologic response</w:t>
      </w:r>
      <w:r w:rsidRPr="00CC6AEB">
        <w:rPr>
          <w:rFonts w:ascii="Book Antiqua" w:hAnsi="Book Antiqua" w:cs="Arial"/>
          <w:sz w:val="24"/>
          <w:szCs w:val="24"/>
        </w:rPr>
        <w:t>.</w:t>
      </w:r>
    </w:p>
    <w:sectPr w:rsidR="00261522" w:rsidRPr="00CC6AEB" w:rsidSect="00146136">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24FF" w14:textId="77777777" w:rsidR="00AF16B8" w:rsidRDefault="00AF16B8" w:rsidP="00233CCC">
      <w:pPr>
        <w:spacing w:after="0" w:line="240" w:lineRule="auto"/>
      </w:pPr>
      <w:r>
        <w:separator/>
      </w:r>
    </w:p>
  </w:endnote>
  <w:endnote w:type="continuationSeparator" w:id="0">
    <w:p w14:paraId="59517246" w14:textId="77777777" w:rsidR="00AF16B8" w:rsidRDefault="00AF16B8" w:rsidP="0023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787295"/>
      <w:docPartObj>
        <w:docPartGallery w:val="Page Numbers (Bottom of Page)"/>
        <w:docPartUnique/>
      </w:docPartObj>
    </w:sdtPr>
    <w:sdtEndPr/>
    <w:sdtContent>
      <w:sdt>
        <w:sdtPr>
          <w:id w:val="-1769616900"/>
          <w:docPartObj>
            <w:docPartGallery w:val="Page Numbers (Top of Page)"/>
            <w:docPartUnique/>
          </w:docPartObj>
        </w:sdtPr>
        <w:sdtEndPr/>
        <w:sdtContent>
          <w:p w14:paraId="6A845C03" w14:textId="6AE81D4C" w:rsidR="00971457" w:rsidRDefault="0097145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128D9">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128D9">
              <w:rPr>
                <w:b/>
                <w:bCs/>
                <w:noProof/>
              </w:rPr>
              <w:t>34</w:t>
            </w:r>
            <w:r>
              <w:rPr>
                <w:b/>
                <w:bCs/>
                <w:sz w:val="24"/>
                <w:szCs w:val="24"/>
              </w:rPr>
              <w:fldChar w:fldCharType="end"/>
            </w:r>
          </w:p>
        </w:sdtContent>
      </w:sdt>
    </w:sdtContent>
  </w:sdt>
  <w:p w14:paraId="79D4C20F" w14:textId="77777777" w:rsidR="00971457" w:rsidRDefault="0097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357A7" w14:textId="77777777" w:rsidR="00AF16B8" w:rsidRDefault="00AF16B8" w:rsidP="00233CCC">
      <w:pPr>
        <w:spacing w:after="0" w:line="240" w:lineRule="auto"/>
      </w:pPr>
      <w:r>
        <w:separator/>
      </w:r>
    </w:p>
  </w:footnote>
  <w:footnote w:type="continuationSeparator" w:id="0">
    <w:p w14:paraId="55035D60" w14:textId="77777777" w:rsidR="00AF16B8" w:rsidRDefault="00AF16B8" w:rsidP="0023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308927"/>
      <w:docPartObj>
        <w:docPartGallery w:val="Page Numbers (Top of Page)"/>
        <w:docPartUnique/>
      </w:docPartObj>
    </w:sdtPr>
    <w:sdtEndPr>
      <w:rPr>
        <w:noProof/>
      </w:rPr>
    </w:sdtEndPr>
    <w:sdtContent>
      <w:p w14:paraId="6F4BF0D9" w14:textId="77150551" w:rsidR="00971457" w:rsidRDefault="00971457">
        <w:pPr>
          <w:pStyle w:val="Header"/>
          <w:jc w:val="right"/>
        </w:pPr>
        <w:r>
          <w:fldChar w:fldCharType="begin"/>
        </w:r>
        <w:r>
          <w:instrText xml:space="preserve"> PAGE   \* MERGEFORMAT </w:instrText>
        </w:r>
        <w:r>
          <w:fldChar w:fldCharType="separate"/>
        </w:r>
        <w:r w:rsidR="00F128D9">
          <w:rPr>
            <w:noProof/>
          </w:rPr>
          <w:t>24</w:t>
        </w:r>
        <w:r>
          <w:rPr>
            <w:noProof/>
          </w:rPr>
          <w:fldChar w:fldCharType="end"/>
        </w:r>
      </w:p>
    </w:sdtContent>
  </w:sdt>
  <w:p w14:paraId="4F639903" w14:textId="77777777" w:rsidR="00971457" w:rsidRDefault="0097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44EB3"/>
    <w:multiLevelType w:val="hybridMultilevel"/>
    <w:tmpl w:val="BCCA1A56"/>
    <w:lvl w:ilvl="0" w:tplc="99E21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CC"/>
    <w:rsid w:val="00001D8E"/>
    <w:rsid w:val="00005185"/>
    <w:rsid w:val="00006907"/>
    <w:rsid w:val="00027455"/>
    <w:rsid w:val="0003273D"/>
    <w:rsid w:val="00044943"/>
    <w:rsid w:val="0004786C"/>
    <w:rsid w:val="0005062E"/>
    <w:rsid w:val="00051F6E"/>
    <w:rsid w:val="00062769"/>
    <w:rsid w:val="00064419"/>
    <w:rsid w:val="0007017E"/>
    <w:rsid w:val="000701B4"/>
    <w:rsid w:val="00071E7A"/>
    <w:rsid w:val="0008053D"/>
    <w:rsid w:val="000843B2"/>
    <w:rsid w:val="00084B50"/>
    <w:rsid w:val="00085C61"/>
    <w:rsid w:val="000864DD"/>
    <w:rsid w:val="00092A64"/>
    <w:rsid w:val="00094047"/>
    <w:rsid w:val="00095870"/>
    <w:rsid w:val="000A1375"/>
    <w:rsid w:val="000A2BF6"/>
    <w:rsid w:val="000A77CC"/>
    <w:rsid w:val="000B6121"/>
    <w:rsid w:val="000B6DBE"/>
    <w:rsid w:val="000B74A9"/>
    <w:rsid w:val="000C00F9"/>
    <w:rsid w:val="000D3100"/>
    <w:rsid w:val="000D7E9A"/>
    <w:rsid w:val="000F4081"/>
    <w:rsid w:val="00104347"/>
    <w:rsid w:val="001147AE"/>
    <w:rsid w:val="00115CEA"/>
    <w:rsid w:val="00123147"/>
    <w:rsid w:val="00123C60"/>
    <w:rsid w:val="00124216"/>
    <w:rsid w:val="00135348"/>
    <w:rsid w:val="00144387"/>
    <w:rsid w:val="00146136"/>
    <w:rsid w:val="00147CFB"/>
    <w:rsid w:val="00152C77"/>
    <w:rsid w:val="00154420"/>
    <w:rsid w:val="00164AEC"/>
    <w:rsid w:val="001705E6"/>
    <w:rsid w:val="001833C3"/>
    <w:rsid w:val="001A1B3D"/>
    <w:rsid w:val="001A2B82"/>
    <w:rsid w:val="001B502C"/>
    <w:rsid w:val="001C177F"/>
    <w:rsid w:val="001C2B11"/>
    <w:rsid w:val="001D056C"/>
    <w:rsid w:val="001E0A4E"/>
    <w:rsid w:val="001E481D"/>
    <w:rsid w:val="001E7171"/>
    <w:rsid w:val="001F2FE0"/>
    <w:rsid w:val="002153EE"/>
    <w:rsid w:val="00233CCC"/>
    <w:rsid w:val="00244480"/>
    <w:rsid w:val="002507EC"/>
    <w:rsid w:val="00252C78"/>
    <w:rsid w:val="00254AD1"/>
    <w:rsid w:val="00256BD1"/>
    <w:rsid w:val="00261522"/>
    <w:rsid w:val="002721DC"/>
    <w:rsid w:val="002843E8"/>
    <w:rsid w:val="00290358"/>
    <w:rsid w:val="00294788"/>
    <w:rsid w:val="002A4894"/>
    <w:rsid w:val="002B3186"/>
    <w:rsid w:val="002B7653"/>
    <w:rsid w:val="002C2EA3"/>
    <w:rsid w:val="002C758D"/>
    <w:rsid w:val="002D08D2"/>
    <w:rsid w:val="002D11BF"/>
    <w:rsid w:val="002D298B"/>
    <w:rsid w:val="002D6A7B"/>
    <w:rsid w:val="002E0932"/>
    <w:rsid w:val="002E4778"/>
    <w:rsid w:val="002F0FB0"/>
    <w:rsid w:val="002F1250"/>
    <w:rsid w:val="002F4141"/>
    <w:rsid w:val="00321AEF"/>
    <w:rsid w:val="00332C81"/>
    <w:rsid w:val="00334454"/>
    <w:rsid w:val="00335B07"/>
    <w:rsid w:val="00337E8B"/>
    <w:rsid w:val="00347A69"/>
    <w:rsid w:val="0035474F"/>
    <w:rsid w:val="003636B9"/>
    <w:rsid w:val="00363FF3"/>
    <w:rsid w:val="003644EF"/>
    <w:rsid w:val="00367416"/>
    <w:rsid w:val="00367672"/>
    <w:rsid w:val="0037087A"/>
    <w:rsid w:val="003710AE"/>
    <w:rsid w:val="00371DD4"/>
    <w:rsid w:val="0037725F"/>
    <w:rsid w:val="00383324"/>
    <w:rsid w:val="00392ED0"/>
    <w:rsid w:val="00393725"/>
    <w:rsid w:val="00397F6D"/>
    <w:rsid w:val="003A383B"/>
    <w:rsid w:val="003B0C88"/>
    <w:rsid w:val="003B36AA"/>
    <w:rsid w:val="003C1678"/>
    <w:rsid w:val="003C5489"/>
    <w:rsid w:val="003C6F9D"/>
    <w:rsid w:val="003C76F4"/>
    <w:rsid w:val="003E04BA"/>
    <w:rsid w:val="003F5F26"/>
    <w:rsid w:val="00407FDF"/>
    <w:rsid w:val="004124EB"/>
    <w:rsid w:val="004233EB"/>
    <w:rsid w:val="00431101"/>
    <w:rsid w:val="00440831"/>
    <w:rsid w:val="00441FA0"/>
    <w:rsid w:val="00442BAD"/>
    <w:rsid w:val="00442FB6"/>
    <w:rsid w:val="00453F50"/>
    <w:rsid w:val="004548BE"/>
    <w:rsid w:val="00454C35"/>
    <w:rsid w:val="00455A18"/>
    <w:rsid w:val="004566DB"/>
    <w:rsid w:val="00461BE6"/>
    <w:rsid w:val="00467901"/>
    <w:rsid w:val="00467EBE"/>
    <w:rsid w:val="00472234"/>
    <w:rsid w:val="00472C92"/>
    <w:rsid w:val="004757D6"/>
    <w:rsid w:val="00480A3E"/>
    <w:rsid w:val="0048123B"/>
    <w:rsid w:val="00484621"/>
    <w:rsid w:val="00495340"/>
    <w:rsid w:val="004A041D"/>
    <w:rsid w:val="004A1F48"/>
    <w:rsid w:val="004A5574"/>
    <w:rsid w:val="004B43F7"/>
    <w:rsid w:val="004C35EE"/>
    <w:rsid w:val="004D77A1"/>
    <w:rsid w:val="004E2016"/>
    <w:rsid w:val="004E2F95"/>
    <w:rsid w:val="004F6737"/>
    <w:rsid w:val="004F69FC"/>
    <w:rsid w:val="005022B2"/>
    <w:rsid w:val="0050518F"/>
    <w:rsid w:val="00506294"/>
    <w:rsid w:val="005210DA"/>
    <w:rsid w:val="0052175E"/>
    <w:rsid w:val="00531328"/>
    <w:rsid w:val="00532179"/>
    <w:rsid w:val="00557163"/>
    <w:rsid w:val="0056120C"/>
    <w:rsid w:val="00561ACB"/>
    <w:rsid w:val="005714D5"/>
    <w:rsid w:val="005748E4"/>
    <w:rsid w:val="005820D7"/>
    <w:rsid w:val="00590F74"/>
    <w:rsid w:val="005A2B5E"/>
    <w:rsid w:val="005B0A59"/>
    <w:rsid w:val="005B4D60"/>
    <w:rsid w:val="005C3E8D"/>
    <w:rsid w:val="005D1FC0"/>
    <w:rsid w:val="005D26EF"/>
    <w:rsid w:val="005D35B4"/>
    <w:rsid w:val="005D5486"/>
    <w:rsid w:val="005D5C8D"/>
    <w:rsid w:val="005E0107"/>
    <w:rsid w:val="005E3936"/>
    <w:rsid w:val="005E5974"/>
    <w:rsid w:val="005E63C8"/>
    <w:rsid w:val="005F484A"/>
    <w:rsid w:val="006079E0"/>
    <w:rsid w:val="00620321"/>
    <w:rsid w:val="00622A69"/>
    <w:rsid w:val="00627EAD"/>
    <w:rsid w:val="006361FE"/>
    <w:rsid w:val="006364B7"/>
    <w:rsid w:val="00637F07"/>
    <w:rsid w:val="00641C04"/>
    <w:rsid w:val="00650C3E"/>
    <w:rsid w:val="00652649"/>
    <w:rsid w:val="006526FA"/>
    <w:rsid w:val="00652C81"/>
    <w:rsid w:val="00652EDA"/>
    <w:rsid w:val="006533C1"/>
    <w:rsid w:val="00654A07"/>
    <w:rsid w:val="0065648C"/>
    <w:rsid w:val="00670D5F"/>
    <w:rsid w:val="0067213A"/>
    <w:rsid w:val="0067423E"/>
    <w:rsid w:val="00694B87"/>
    <w:rsid w:val="006954AB"/>
    <w:rsid w:val="00697063"/>
    <w:rsid w:val="006A14E9"/>
    <w:rsid w:val="006A27A0"/>
    <w:rsid w:val="006A3CF0"/>
    <w:rsid w:val="006A5B74"/>
    <w:rsid w:val="006A6407"/>
    <w:rsid w:val="006A716F"/>
    <w:rsid w:val="006B2B20"/>
    <w:rsid w:val="006B403D"/>
    <w:rsid w:val="006B5AB0"/>
    <w:rsid w:val="006C4B5D"/>
    <w:rsid w:val="006C5B19"/>
    <w:rsid w:val="006D21C6"/>
    <w:rsid w:val="006E2F1F"/>
    <w:rsid w:val="006E6717"/>
    <w:rsid w:val="006F6E69"/>
    <w:rsid w:val="007054BD"/>
    <w:rsid w:val="007203FD"/>
    <w:rsid w:val="00730FDD"/>
    <w:rsid w:val="00732F0C"/>
    <w:rsid w:val="00745112"/>
    <w:rsid w:val="00754211"/>
    <w:rsid w:val="00756E04"/>
    <w:rsid w:val="007572F3"/>
    <w:rsid w:val="00757A68"/>
    <w:rsid w:val="00766363"/>
    <w:rsid w:val="0077187A"/>
    <w:rsid w:val="007739D3"/>
    <w:rsid w:val="0077520B"/>
    <w:rsid w:val="007835DE"/>
    <w:rsid w:val="0078530F"/>
    <w:rsid w:val="007A49C2"/>
    <w:rsid w:val="007A5A7C"/>
    <w:rsid w:val="007A5ACC"/>
    <w:rsid w:val="007A5F27"/>
    <w:rsid w:val="007B2AAA"/>
    <w:rsid w:val="007B32A1"/>
    <w:rsid w:val="007B33FF"/>
    <w:rsid w:val="007B36ED"/>
    <w:rsid w:val="007B6792"/>
    <w:rsid w:val="007B67F8"/>
    <w:rsid w:val="007C72E2"/>
    <w:rsid w:val="007D1518"/>
    <w:rsid w:val="007D5644"/>
    <w:rsid w:val="007E0429"/>
    <w:rsid w:val="007E2270"/>
    <w:rsid w:val="007E4FAB"/>
    <w:rsid w:val="007F0041"/>
    <w:rsid w:val="007F5DAD"/>
    <w:rsid w:val="00800CCC"/>
    <w:rsid w:val="00801D9F"/>
    <w:rsid w:val="00811C96"/>
    <w:rsid w:val="00813D65"/>
    <w:rsid w:val="008208C1"/>
    <w:rsid w:val="00820C2C"/>
    <w:rsid w:val="008241A8"/>
    <w:rsid w:val="008241B0"/>
    <w:rsid w:val="00826759"/>
    <w:rsid w:val="00832FB9"/>
    <w:rsid w:val="00843404"/>
    <w:rsid w:val="00851851"/>
    <w:rsid w:val="00874979"/>
    <w:rsid w:val="00881A25"/>
    <w:rsid w:val="00884DE5"/>
    <w:rsid w:val="00885DAC"/>
    <w:rsid w:val="00887398"/>
    <w:rsid w:val="00890403"/>
    <w:rsid w:val="00892ADC"/>
    <w:rsid w:val="00897DFD"/>
    <w:rsid w:val="008A1414"/>
    <w:rsid w:val="008A48ED"/>
    <w:rsid w:val="008A6334"/>
    <w:rsid w:val="008B14EF"/>
    <w:rsid w:val="008B2FBE"/>
    <w:rsid w:val="008B4BFB"/>
    <w:rsid w:val="008B4CD2"/>
    <w:rsid w:val="008B68C4"/>
    <w:rsid w:val="008C3C38"/>
    <w:rsid w:val="008C74FD"/>
    <w:rsid w:val="008C7920"/>
    <w:rsid w:val="008D4638"/>
    <w:rsid w:val="008D49B4"/>
    <w:rsid w:val="008E1246"/>
    <w:rsid w:val="008E1F38"/>
    <w:rsid w:val="008F19F3"/>
    <w:rsid w:val="008F3148"/>
    <w:rsid w:val="008F5158"/>
    <w:rsid w:val="008F7B86"/>
    <w:rsid w:val="00913CC5"/>
    <w:rsid w:val="00923689"/>
    <w:rsid w:val="0092416D"/>
    <w:rsid w:val="00926F6E"/>
    <w:rsid w:val="00933159"/>
    <w:rsid w:val="00941712"/>
    <w:rsid w:val="00944D3D"/>
    <w:rsid w:val="0095555A"/>
    <w:rsid w:val="00957865"/>
    <w:rsid w:val="0096580F"/>
    <w:rsid w:val="00971457"/>
    <w:rsid w:val="009804E2"/>
    <w:rsid w:val="00986AD9"/>
    <w:rsid w:val="009909EE"/>
    <w:rsid w:val="00991F55"/>
    <w:rsid w:val="00992CAC"/>
    <w:rsid w:val="00997C21"/>
    <w:rsid w:val="009A0F61"/>
    <w:rsid w:val="009A46E9"/>
    <w:rsid w:val="009A4C5E"/>
    <w:rsid w:val="009A675B"/>
    <w:rsid w:val="009B2F9B"/>
    <w:rsid w:val="009B36D4"/>
    <w:rsid w:val="009C5E66"/>
    <w:rsid w:val="009C638E"/>
    <w:rsid w:val="009E4F9F"/>
    <w:rsid w:val="009E6476"/>
    <w:rsid w:val="009E76C3"/>
    <w:rsid w:val="009F3139"/>
    <w:rsid w:val="00A0277A"/>
    <w:rsid w:val="00A05EE5"/>
    <w:rsid w:val="00A12D79"/>
    <w:rsid w:val="00A27FAB"/>
    <w:rsid w:val="00A3151E"/>
    <w:rsid w:val="00A31F81"/>
    <w:rsid w:val="00A3344B"/>
    <w:rsid w:val="00A47B15"/>
    <w:rsid w:val="00A50F08"/>
    <w:rsid w:val="00A522E8"/>
    <w:rsid w:val="00A52813"/>
    <w:rsid w:val="00A52ED0"/>
    <w:rsid w:val="00A54080"/>
    <w:rsid w:val="00A57B1E"/>
    <w:rsid w:val="00A62114"/>
    <w:rsid w:val="00A62265"/>
    <w:rsid w:val="00A63671"/>
    <w:rsid w:val="00A7275E"/>
    <w:rsid w:val="00A732D0"/>
    <w:rsid w:val="00A73CD3"/>
    <w:rsid w:val="00A764CF"/>
    <w:rsid w:val="00A837BE"/>
    <w:rsid w:val="00A842D0"/>
    <w:rsid w:val="00A87E66"/>
    <w:rsid w:val="00A93DF2"/>
    <w:rsid w:val="00A942EC"/>
    <w:rsid w:val="00A94502"/>
    <w:rsid w:val="00A95FB4"/>
    <w:rsid w:val="00AA062D"/>
    <w:rsid w:val="00AC408B"/>
    <w:rsid w:val="00AC5032"/>
    <w:rsid w:val="00AE34FD"/>
    <w:rsid w:val="00AE3AB5"/>
    <w:rsid w:val="00AF0610"/>
    <w:rsid w:val="00AF16B8"/>
    <w:rsid w:val="00AF4C96"/>
    <w:rsid w:val="00B01AD7"/>
    <w:rsid w:val="00B01CFC"/>
    <w:rsid w:val="00B115E0"/>
    <w:rsid w:val="00B206D8"/>
    <w:rsid w:val="00B20778"/>
    <w:rsid w:val="00B20859"/>
    <w:rsid w:val="00B21FDB"/>
    <w:rsid w:val="00B30A13"/>
    <w:rsid w:val="00B30AD9"/>
    <w:rsid w:val="00B43EE6"/>
    <w:rsid w:val="00B46819"/>
    <w:rsid w:val="00B54C9A"/>
    <w:rsid w:val="00B55EEC"/>
    <w:rsid w:val="00B56EF3"/>
    <w:rsid w:val="00B6081B"/>
    <w:rsid w:val="00B608FB"/>
    <w:rsid w:val="00B65CCF"/>
    <w:rsid w:val="00B7382D"/>
    <w:rsid w:val="00B74D0B"/>
    <w:rsid w:val="00B82195"/>
    <w:rsid w:val="00B83DCC"/>
    <w:rsid w:val="00BA14FD"/>
    <w:rsid w:val="00BA68CD"/>
    <w:rsid w:val="00BB52F2"/>
    <w:rsid w:val="00BB5D8D"/>
    <w:rsid w:val="00BC1C6D"/>
    <w:rsid w:val="00BC5B72"/>
    <w:rsid w:val="00BE5099"/>
    <w:rsid w:val="00BE6056"/>
    <w:rsid w:val="00BF3237"/>
    <w:rsid w:val="00BF4891"/>
    <w:rsid w:val="00C01C13"/>
    <w:rsid w:val="00C05386"/>
    <w:rsid w:val="00C05A9E"/>
    <w:rsid w:val="00C07868"/>
    <w:rsid w:val="00C23AE1"/>
    <w:rsid w:val="00C250A9"/>
    <w:rsid w:val="00C31309"/>
    <w:rsid w:val="00C346DD"/>
    <w:rsid w:val="00C35DAA"/>
    <w:rsid w:val="00C36782"/>
    <w:rsid w:val="00C4383D"/>
    <w:rsid w:val="00C46161"/>
    <w:rsid w:val="00C471A1"/>
    <w:rsid w:val="00C50A0D"/>
    <w:rsid w:val="00C5718D"/>
    <w:rsid w:val="00C6527F"/>
    <w:rsid w:val="00C70125"/>
    <w:rsid w:val="00C74D00"/>
    <w:rsid w:val="00C75533"/>
    <w:rsid w:val="00C75CCE"/>
    <w:rsid w:val="00C8008D"/>
    <w:rsid w:val="00C97547"/>
    <w:rsid w:val="00CB2795"/>
    <w:rsid w:val="00CB3CB8"/>
    <w:rsid w:val="00CB6F6A"/>
    <w:rsid w:val="00CC6AEB"/>
    <w:rsid w:val="00CD1A33"/>
    <w:rsid w:val="00CE7942"/>
    <w:rsid w:val="00CF6009"/>
    <w:rsid w:val="00D0244F"/>
    <w:rsid w:val="00D02EBB"/>
    <w:rsid w:val="00D047B3"/>
    <w:rsid w:val="00D25822"/>
    <w:rsid w:val="00D30923"/>
    <w:rsid w:val="00D30C1F"/>
    <w:rsid w:val="00D3286D"/>
    <w:rsid w:val="00D32F64"/>
    <w:rsid w:val="00D44760"/>
    <w:rsid w:val="00D45A5F"/>
    <w:rsid w:val="00D46017"/>
    <w:rsid w:val="00D46D77"/>
    <w:rsid w:val="00D54364"/>
    <w:rsid w:val="00D57080"/>
    <w:rsid w:val="00D61D8E"/>
    <w:rsid w:val="00D711FB"/>
    <w:rsid w:val="00D7702D"/>
    <w:rsid w:val="00D913DB"/>
    <w:rsid w:val="00D9432D"/>
    <w:rsid w:val="00DB0C71"/>
    <w:rsid w:val="00DB146A"/>
    <w:rsid w:val="00DB43A8"/>
    <w:rsid w:val="00DD5727"/>
    <w:rsid w:val="00DD751A"/>
    <w:rsid w:val="00DE2CA3"/>
    <w:rsid w:val="00DE51BE"/>
    <w:rsid w:val="00E0011D"/>
    <w:rsid w:val="00E01E37"/>
    <w:rsid w:val="00E03360"/>
    <w:rsid w:val="00E05683"/>
    <w:rsid w:val="00E12327"/>
    <w:rsid w:val="00E2086B"/>
    <w:rsid w:val="00E43677"/>
    <w:rsid w:val="00E5404B"/>
    <w:rsid w:val="00E5489A"/>
    <w:rsid w:val="00E56D8F"/>
    <w:rsid w:val="00E601C1"/>
    <w:rsid w:val="00E60A96"/>
    <w:rsid w:val="00E613C7"/>
    <w:rsid w:val="00E6448A"/>
    <w:rsid w:val="00E76125"/>
    <w:rsid w:val="00E77732"/>
    <w:rsid w:val="00E821DB"/>
    <w:rsid w:val="00E920C6"/>
    <w:rsid w:val="00E95D53"/>
    <w:rsid w:val="00EB110B"/>
    <w:rsid w:val="00EB1FF6"/>
    <w:rsid w:val="00EC44D1"/>
    <w:rsid w:val="00EC617B"/>
    <w:rsid w:val="00ED1563"/>
    <w:rsid w:val="00ED18A3"/>
    <w:rsid w:val="00ED544E"/>
    <w:rsid w:val="00ED778F"/>
    <w:rsid w:val="00EE46B1"/>
    <w:rsid w:val="00EE6E6F"/>
    <w:rsid w:val="00EE762D"/>
    <w:rsid w:val="00EF104A"/>
    <w:rsid w:val="00EF7376"/>
    <w:rsid w:val="00F072CF"/>
    <w:rsid w:val="00F07C4B"/>
    <w:rsid w:val="00F128D9"/>
    <w:rsid w:val="00F17267"/>
    <w:rsid w:val="00F204F1"/>
    <w:rsid w:val="00F40477"/>
    <w:rsid w:val="00F43E23"/>
    <w:rsid w:val="00F5265F"/>
    <w:rsid w:val="00F53E57"/>
    <w:rsid w:val="00F65429"/>
    <w:rsid w:val="00F7006A"/>
    <w:rsid w:val="00F74888"/>
    <w:rsid w:val="00F77DDF"/>
    <w:rsid w:val="00F834F0"/>
    <w:rsid w:val="00F968D9"/>
    <w:rsid w:val="00FA1DA9"/>
    <w:rsid w:val="00FB0775"/>
    <w:rsid w:val="00FC010F"/>
    <w:rsid w:val="00FC0B34"/>
    <w:rsid w:val="00FC478B"/>
    <w:rsid w:val="00FD14FF"/>
    <w:rsid w:val="00FD7FE8"/>
    <w:rsid w:val="00FE7DEF"/>
    <w:rsid w:val="00FF36A8"/>
    <w:rsid w:val="00FF3788"/>
    <w:rsid w:val="00FF3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36651"/>
  <w15:chartTrackingRefBased/>
  <w15:docId w15:val="{104F9A14-1039-499F-B8E6-8BC3D168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233CCC"/>
  </w:style>
  <w:style w:type="character" w:styleId="Hyperlink">
    <w:name w:val="Hyperlink"/>
    <w:basedOn w:val="DefaultParagraphFont"/>
    <w:rsid w:val="00233CCC"/>
    <w:rPr>
      <w:color w:val="0000FF"/>
      <w:u w:val="single"/>
    </w:rPr>
  </w:style>
  <w:style w:type="paragraph" w:styleId="BalloonText">
    <w:name w:val="Balloon Text"/>
    <w:basedOn w:val="Normal"/>
    <w:link w:val="BalloonTextChar"/>
    <w:uiPriority w:val="99"/>
    <w:semiHidden/>
    <w:unhideWhenUsed/>
    <w:rsid w:val="0023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CC"/>
    <w:rPr>
      <w:rFonts w:ascii="Segoe UI" w:hAnsi="Segoe UI" w:cs="Segoe UI"/>
      <w:sz w:val="18"/>
      <w:szCs w:val="18"/>
    </w:rPr>
  </w:style>
  <w:style w:type="paragraph" w:styleId="NoSpacing">
    <w:name w:val="No Spacing"/>
    <w:uiPriority w:val="1"/>
    <w:qFormat/>
    <w:rsid w:val="00233CCC"/>
    <w:pPr>
      <w:spacing w:after="0" w:line="240" w:lineRule="auto"/>
    </w:pPr>
  </w:style>
  <w:style w:type="table" w:customStyle="1" w:styleId="GridTable1Light-Accent31">
    <w:name w:val="Grid Table 1 Light - Accent 31"/>
    <w:basedOn w:val="TableNormal"/>
    <w:uiPriority w:val="46"/>
    <w:rsid w:val="00233CC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33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CC"/>
  </w:style>
  <w:style w:type="paragraph" w:styleId="Footer">
    <w:name w:val="footer"/>
    <w:basedOn w:val="Normal"/>
    <w:link w:val="FooterChar"/>
    <w:uiPriority w:val="99"/>
    <w:unhideWhenUsed/>
    <w:rsid w:val="0023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CC"/>
  </w:style>
  <w:style w:type="paragraph" w:styleId="ListParagraph">
    <w:name w:val="List Paragraph"/>
    <w:basedOn w:val="Normal"/>
    <w:uiPriority w:val="34"/>
    <w:qFormat/>
    <w:rsid w:val="00233CCC"/>
    <w:pPr>
      <w:ind w:left="720"/>
      <w:contextualSpacing/>
    </w:pPr>
  </w:style>
  <w:style w:type="paragraph" w:styleId="NormalWeb">
    <w:name w:val="Normal (Web)"/>
    <w:basedOn w:val="Normal"/>
    <w:uiPriority w:val="99"/>
    <w:semiHidden/>
    <w:unhideWhenUsed/>
    <w:rsid w:val="0023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ifier">
    <w:name w:val="identifier"/>
    <w:basedOn w:val="DefaultParagraphFont"/>
    <w:rsid w:val="00C50A0D"/>
  </w:style>
  <w:style w:type="character" w:styleId="Strong">
    <w:name w:val="Strong"/>
    <w:basedOn w:val="DefaultParagraphFont"/>
    <w:uiPriority w:val="22"/>
    <w:qFormat/>
    <w:rsid w:val="00832FB9"/>
    <w:rPr>
      <w:b/>
      <w:bCs/>
    </w:rPr>
  </w:style>
  <w:style w:type="character" w:customStyle="1" w:styleId="UnresolvedMention1">
    <w:name w:val="Unresolved Mention1"/>
    <w:basedOn w:val="DefaultParagraphFont"/>
    <w:uiPriority w:val="99"/>
    <w:semiHidden/>
    <w:unhideWhenUsed/>
    <w:rsid w:val="00E0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0500">
      <w:bodyDiv w:val="1"/>
      <w:marLeft w:val="0"/>
      <w:marRight w:val="0"/>
      <w:marTop w:val="0"/>
      <w:marBottom w:val="0"/>
      <w:divBdr>
        <w:top w:val="none" w:sz="0" w:space="0" w:color="auto"/>
        <w:left w:val="none" w:sz="0" w:space="0" w:color="auto"/>
        <w:bottom w:val="none" w:sz="0" w:space="0" w:color="auto"/>
        <w:right w:val="none" w:sz="0" w:space="0" w:color="auto"/>
      </w:divBdr>
    </w:div>
    <w:div w:id="116724930">
      <w:bodyDiv w:val="1"/>
      <w:marLeft w:val="0"/>
      <w:marRight w:val="0"/>
      <w:marTop w:val="0"/>
      <w:marBottom w:val="0"/>
      <w:divBdr>
        <w:top w:val="none" w:sz="0" w:space="0" w:color="auto"/>
        <w:left w:val="none" w:sz="0" w:space="0" w:color="auto"/>
        <w:bottom w:val="none" w:sz="0" w:space="0" w:color="auto"/>
        <w:right w:val="none" w:sz="0" w:space="0" w:color="auto"/>
      </w:divBdr>
    </w:div>
    <w:div w:id="118570482">
      <w:bodyDiv w:val="1"/>
      <w:marLeft w:val="0"/>
      <w:marRight w:val="0"/>
      <w:marTop w:val="0"/>
      <w:marBottom w:val="0"/>
      <w:divBdr>
        <w:top w:val="none" w:sz="0" w:space="0" w:color="auto"/>
        <w:left w:val="none" w:sz="0" w:space="0" w:color="auto"/>
        <w:bottom w:val="none" w:sz="0" w:space="0" w:color="auto"/>
        <w:right w:val="none" w:sz="0" w:space="0" w:color="auto"/>
      </w:divBdr>
    </w:div>
    <w:div w:id="135033486">
      <w:bodyDiv w:val="1"/>
      <w:marLeft w:val="0"/>
      <w:marRight w:val="0"/>
      <w:marTop w:val="0"/>
      <w:marBottom w:val="0"/>
      <w:divBdr>
        <w:top w:val="none" w:sz="0" w:space="0" w:color="auto"/>
        <w:left w:val="none" w:sz="0" w:space="0" w:color="auto"/>
        <w:bottom w:val="none" w:sz="0" w:space="0" w:color="auto"/>
        <w:right w:val="none" w:sz="0" w:space="0" w:color="auto"/>
      </w:divBdr>
    </w:div>
    <w:div w:id="193731566">
      <w:bodyDiv w:val="1"/>
      <w:marLeft w:val="0"/>
      <w:marRight w:val="0"/>
      <w:marTop w:val="0"/>
      <w:marBottom w:val="0"/>
      <w:divBdr>
        <w:top w:val="none" w:sz="0" w:space="0" w:color="auto"/>
        <w:left w:val="none" w:sz="0" w:space="0" w:color="auto"/>
        <w:bottom w:val="none" w:sz="0" w:space="0" w:color="auto"/>
        <w:right w:val="none" w:sz="0" w:space="0" w:color="auto"/>
      </w:divBdr>
    </w:div>
    <w:div w:id="197592487">
      <w:bodyDiv w:val="1"/>
      <w:marLeft w:val="0"/>
      <w:marRight w:val="0"/>
      <w:marTop w:val="0"/>
      <w:marBottom w:val="0"/>
      <w:divBdr>
        <w:top w:val="none" w:sz="0" w:space="0" w:color="auto"/>
        <w:left w:val="none" w:sz="0" w:space="0" w:color="auto"/>
        <w:bottom w:val="none" w:sz="0" w:space="0" w:color="auto"/>
        <w:right w:val="none" w:sz="0" w:space="0" w:color="auto"/>
      </w:divBdr>
    </w:div>
    <w:div w:id="305161853">
      <w:bodyDiv w:val="1"/>
      <w:marLeft w:val="0"/>
      <w:marRight w:val="0"/>
      <w:marTop w:val="0"/>
      <w:marBottom w:val="0"/>
      <w:divBdr>
        <w:top w:val="none" w:sz="0" w:space="0" w:color="auto"/>
        <w:left w:val="none" w:sz="0" w:space="0" w:color="auto"/>
        <w:bottom w:val="none" w:sz="0" w:space="0" w:color="auto"/>
        <w:right w:val="none" w:sz="0" w:space="0" w:color="auto"/>
      </w:divBdr>
    </w:div>
    <w:div w:id="318924971">
      <w:bodyDiv w:val="1"/>
      <w:marLeft w:val="0"/>
      <w:marRight w:val="0"/>
      <w:marTop w:val="0"/>
      <w:marBottom w:val="0"/>
      <w:divBdr>
        <w:top w:val="none" w:sz="0" w:space="0" w:color="auto"/>
        <w:left w:val="none" w:sz="0" w:space="0" w:color="auto"/>
        <w:bottom w:val="none" w:sz="0" w:space="0" w:color="auto"/>
        <w:right w:val="none" w:sz="0" w:space="0" w:color="auto"/>
      </w:divBdr>
    </w:div>
    <w:div w:id="323582448">
      <w:bodyDiv w:val="1"/>
      <w:marLeft w:val="0"/>
      <w:marRight w:val="0"/>
      <w:marTop w:val="0"/>
      <w:marBottom w:val="0"/>
      <w:divBdr>
        <w:top w:val="none" w:sz="0" w:space="0" w:color="auto"/>
        <w:left w:val="none" w:sz="0" w:space="0" w:color="auto"/>
        <w:bottom w:val="none" w:sz="0" w:space="0" w:color="auto"/>
        <w:right w:val="none" w:sz="0" w:space="0" w:color="auto"/>
      </w:divBdr>
    </w:div>
    <w:div w:id="376046796">
      <w:bodyDiv w:val="1"/>
      <w:marLeft w:val="0"/>
      <w:marRight w:val="0"/>
      <w:marTop w:val="0"/>
      <w:marBottom w:val="0"/>
      <w:divBdr>
        <w:top w:val="none" w:sz="0" w:space="0" w:color="auto"/>
        <w:left w:val="none" w:sz="0" w:space="0" w:color="auto"/>
        <w:bottom w:val="none" w:sz="0" w:space="0" w:color="auto"/>
        <w:right w:val="none" w:sz="0" w:space="0" w:color="auto"/>
      </w:divBdr>
    </w:div>
    <w:div w:id="397171841">
      <w:bodyDiv w:val="1"/>
      <w:marLeft w:val="0"/>
      <w:marRight w:val="0"/>
      <w:marTop w:val="0"/>
      <w:marBottom w:val="0"/>
      <w:divBdr>
        <w:top w:val="none" w:sz="0" w:space="0" w:color="auto"/>
        <w:left w:val="none" w:sz="0" w:space="0" w:color="auto"/>
        <w:bottom w:val="none" w:sz="0" w:space="0" w:color="auto"/>
        <w:right w:val="none" w:sz="0" w:space="0" w:color="auto"/>
      </w:divBdr>
    </w:div>
    <w:div w:id="558202156">
      <w:bodyDiv w:val="1"/>
      <w:marLeft w:val="0"/>
      <w:marRight w:val="0"/>
      <w:marTop w:val="0"/>
      <w:marBottom w:val="0"/>
      <w:divBdr>
        <w:top w:val="none" w:sz="0" w:space="0" w:color="auto"/>
        <w:left w:val="none" w:sz="0" w:space="0" w:color="auto"/>
        <w:bottom w:val="none" w:sz="0" w:space="0" w:color="auto"/>
        <w:right w:val="none" w:sz="0" w:space="0" w:color="auto"/>
      </w:divBdr>
    </w:div>
    <w:div w:id="632444374">
      <w:bodyDiv w:val="1"/>
      <w:marLeft w:val="0"/>
      <w:marRight w:val="0"/>
      <w:marTop w:val="0"/>
      <w:marBottom w:val="0"/>
      <w:divBdr>
        <w:top w:val="none" w:sz="0" w:space="0" w:color="auto"/>
        <w:left w:val="none" w:sz="0" w:space="0" w:color="auto"/>
        <w:bottom w:val="none" w:sz="0" w:space="0" w:color="auto"/>
        <w:right w:val="none" w:sz="0" w:space="0" w:color="auto"/>
      </w:divBdr>
    </w:div>
    <w:div w:id="698774727">
      <w:bodyDiv w:val="1"/>
      <w:marLeft w:val="0"/>
      <w:marRight w:val="0"/>
      <w:marTop w:val="0"/>
      <w:marBottom w:val="0"/>
      <w:divBdr>
        <w:top w:val="none" w:sz="0" w:space="0" w:color="auto"/>
        <w:left w:val="none" w:sz="0" w:space="0" w:color="auto"/>
        <w:bottom w:val="none" w:sz="0" w:space="0" w:color="auto"/>
        <w:right w:val="none" w:sz="0" w:space="0" w:color="auto"/>
      </w:divBdr>
    </w:div>
    <w:div w:id="759183737">
      <w:bodyDiv w:val="1"/>
      <w:marLeft w:val="0"/>
      <w:marRight w:val="0"/>
      <w:marTop w:val="0"/>
      <w:marBottom w:val="0"/>
      <w:divBdr>
        <w:top w:val="none" w:sz="0" w:space="0" w:color="auto"/>
        <w:left w:val="none" w:sz="0" w:space="0" w:color="auto"/>
        <w:bottom w:val="none" w:sz="0" w:space="0" w:color="auto"/>
        <w:right w:val="none" w:sz="0" w:space="0" w:color="auto"/>
      </w:divBdr>
    </w:div>
    <w:div w:id="775440646">
      <w:bodyDiv w:val="1"/>
      <w:marLeft w:val="0"/>
      <w:marRight w:val="0"/>
      <w:marTop w:val="0"/>
      <w:marBottom w:val="0"/>
      <w:divBdr>
        <w:top w:val="none" w:sz="0" w:space="0" w:color="auto"/>
        <w:left w:val="none" w:sz="0" w:space="0" w:color="auto"/>
        <w:bottom w:val="none" w:sz="0" w:space="0" w:color="auto"/>
        <w:right w:val="none" w:sz="0" w:space="0" w:color="auto"/>
      </w:divBdr>
    </w:div>
    <w:div w:id="796484069">
      <w:bodyDiv w:val="1"/>
      <w:marLeft w:val="0"/>
      <w:marRight w:val="0"/>
      <w:marTop w:val="0"/>
      <w:marBottom w:val="0"/>
      <w:divBdr>
        <w:top w:val="none" w:sz="0" w:space="0" w:color="auto"/>
        <w:left w:val="none" w:sz="0" w:space="0" w:color="auto"/>
        <w:bottom w:val="none" w:sz="0" w:space="0" w:color="auto"/>
        <w:right w:val="none" w:sz="0" w:space="0" w:color="auto"/>
      </w:divBdr>
    </w:div>
    <w:div w:id="823469496">
      <w:bodyDiv w:val="1"/>
      <w:marLeft w:val="0"/>
      <w:marRight w:val="0"/>
      <w:marTop w:val="0"/>
      <w:marBottom w:val="0"/>
      <w:divBdr>
        <w:top w:val="none" w:sz="0" w:space="0" w:color="auto"/>
        <w:left w:val="none" w:sz="0" w:space="0" w:color="auto"/>
        <w:bottom w:val="none" w:sz="0" w:space="0" w:color="auto"/>
        <w:right w:val="none" w:sz="0" w:space="0" w:color="auto"/>
      </w:divBdr>
    </w:div>
    <w:div w:id="828787323">
      <w:bodyDiv w:val="1"/>
      <w:marLeft w:val="0"/>
      <w:marRight w:val="0"/>
      <w:marTop w:val="0"/>
      <w:marBottom w:val="0"/>
      <w:divBdr>
        <w:top w:val="none" w:sz="0" w:space="0" w:color="auto"/>
        <w:left w:val="none" w:sz="0" w:space="0" w:color="auto"/>
        <w:bottom w:val="none" w:sz="0" w:space="0" w:color="auto"/>
        <w:right w:val="none" w:sz="0" w:space="0" w:color="auto"/>
      </w:divBdr>
    </w:div>
    <w:div w:id="837311916">
      <w:bodyDiv w:val="1"/>
      <w:marLeft w:val="0"/>
      <w:marRight w:val="0"/>
      <w:marTop w:val="0"/>
      <w:marBottom w:val="0"/>
      <w:divBdr>
        <w:top w:val="none" w:sz="0" w:space="0" w:color="auto"/>
        <w:left w:val="none" w:sz="0" w:space="0" w:color="auto"/>
        <w:bottom w:val="none" w:sz="0" w:space="0" w:color="auto"/>
        <w:right w:val="none" w:sz="0" w:space="0" w:color="auto"/>
      </w:divBdr>
    </w:div>
    <w:div w:id="871379177">
      <w:bodyDiv w:val="1"/>
      <w:marLeft w:val="0"/>
      <w:marRight w:val="0"/>
      <w:marTop w:val="0"/>
      <w:marBottom w:val="0"/>
      <w:divBdr>
        <w:top w:val="none" w:sz="0" w:space="0" w:color="auto"/>
        <w:left w:val="none" w:sz="0" w:space="0" w:color="auto"/>
        <w:bottom w:val="none" w:sz="0" w:space="0" w:color="auto"/>
        <w:right w:val="none" w:sz="0" w:space="0" w:color="auto"/>
      </w:divBdr>
    </w:div>
    <w:div w:id="891305528">
      <w:bodyDiv w:val="1"/>
      <w:marLeft w:val="0"/>
      <w:marRight w:val="0"/>
      <w:marTop w:val="0"/>
      <w:marBottom w:val="0"/>
      <w:divBdr>
        <w:top w:val="none" w:sz="0" w:space="0" w:color="auto"/>
        <w:left w:val="none" w:sz="0" w:space="0" w:color="auto"/>
        <w:bottom w:val="none" w:sz="0" w:space="0" w:color="auto"/>
        <w:right w:val="none" w:sz="0" w:space="0" w:color="auto"/>
      </w:divBdr>
    </w:div>
    <w:div w:id="937712595">
      <w:bodyDiv w:val="1"/>
      <w:marLeft w:val="0"/>
      <w:marRight w:val="0"/>
      <w:marTop w:val="0"/>
      <w:marBottom w:val="0"/>
      <w:divBdr>
        <w:top w:val="none" w:sz="0" w:space="0" w:color="auto"/>
        <w:left w:val="none" w:sz="0" w:space="0" w:color="auto"/>
        <w:bottom w:val="none" w:sz="0" w:space="0" w:color="auto"/>
        <w:right w:val="none" w:sz="0" w:space="0" w:color="auto"/>
      </w:divBdr>
    </w:div>
    <w:div w:id="949967795">
      <w:bodyDiv w:val="1"/>
      <w:marLeft w:val="0"/>
      <w:marRight w:val="0"/>
      <w:marTop w:val="0"/>
      <w:marBottom w:val="0"/>
      <w:divBdr>
        <w:top w:val="none" w:sz="0" w:space="0" w:color="auto"/>
        <w:left w:val="none" w:sz="0" w:space="0" w:color="auto"/>
        <w:bottom w:val="none" w:sz="0" w:space="0" w:color="auto"/>
        <w:right w:val="none" w:sz="0" w:space="0" w:color="auto"/>
      </w:divBdr>
    </w:div>
    <w:div w:id="988172452">
      <w:bodyDiv w:val="1"/>
      <w:marLeft w:val="0"/>
      <w:marRight w:val="0"/>
      <w:marTop w:val="0"/>
      <w:marBottom w:val="0"/>
      <w:divBdr>
        <w:top w:val="none" w:sz="0" w:space="0" w:color="auto"/>
        <w:left w:val="none" w:sz="0" w:space="0" w:color="auto"/>
        <w:bottom w:val="none" w:sz="0" w:space="0" w:color="auto"/>
        <w:right w:val="none" w:sz="0" w:space="0" w:color="auto"/>
      </w:divBdr>
    </w:div>
    <w:div w:id="997462776">
      <w:bodyDiv w:val="1"/>
      <w:marLeft w:val="0"/>
      <w:marRight w:val="0"/>
      <w:marTop w:val="0"/>
      <w:marBottom w:val="0"/>
      <w:divBdr>
        <w:top w:val="none" w:sz="0" w:space="0" w:color="auto"/>
        <w:left w:val="none" w:sz="0" w:space="0" w:color="auto"/>
        <w:bottom w:val="none" w:sz="0" w:space="0" w:color="auto"/>
        <w:right w:val="none" w:sz="0" w:space="0" w:color="auto"/>
      </w:divBdr>
    </w:div>
    <w:div w:id="1047291497">
      <w:bodyDiv w:val="1"/>
      <w:marLeft w:val="0"/>
      <w:marRight w:val="0"/>
      <w:marTop w:val="0"/>
      <w:marBottom w:val="0"/>
      <w:divBdr>
        <w:top w:val="none" w:sz="0" w:space="0" w:color="auto"/>
        <w:left w:val="none" w:sz="0" w:space="0" w:color="auto"/>
        <w:bottom w:val="none" w:sz="0" w:space="0" w:color="auto"/>
        <w:right w:val="none" w:sz="0" w:space="0" w:color="auto"/>
      </w:divBdr>
    </w:div>
    <w:div w:id="1056126498">
      <w:bodyDiv w:val="1"/>
      <w:marLeft w:val="0"/>
      <w:marRight w:val="0"/>
      <w:marTop w:val="0"/>
      <w:marBottom w:val="0"/>
      <w:divBdr>
        <w:top w:val="none" w:sz="0" w:space="0" w:color="auto"/>
        <w:left w:val="none" w:sz="0" w:space="0" w:color="auto"/>
        <w:bottom w:val="none" w:sz="0" w:space="0" w:color="auto"/>
        <w:right w:val="none" w:sz="0" w:space="0" w:color="auto"/>
      </w:divBdr>
    </w:div>
    <w:div w:id="1072705142">
      <w:bodyDiv w:val="1"/>
      <w:marLeft w:val="0"/>
      <w:marRight w:val="0"/>
      <w:marTop w:val="0"/>
      <w:marBottom w:val="0"/>
      <w:divBdr>
        <w:top w:val="none" w:sz="0" w:space="0" w:color="auto"/>
        <w:left w:val="none" w:sz="0" w:space="0" w:color="auto"/>
        <w:bottom w:val="none" w:sz="0" w:space="0" w:color="auto"/>
        <w:right w:val="none" w:sz="0" w:space="0" w:color="auto"/>
      </w:divBdr>
    </w:div>
    <w:div w:id="1077172976">
      <w:bodyDiv w:val="1"/>
      <w:marLeft w:val="0"/>
      <w:marRight w:val="0"/>
      <w:marTop w:val="0"/>
      <w:marBottom w:val="0"/>
      <w:divBdr>
        <w:top w:val="none" w:sz="0" w:space="0" w:color="auto"/>
        <w:left w:val="none" w:sz="0" w:space="0" w:color="auto"/>
        <w:bottom w:val="none" w:sz="0" w:space="0" w:color="auto"/>
        <w:right w:val="none" w:sz="0" w:space="0" w:color="auto"/>
      </w:divBdr>
    </w:div>
    <w:div w:id="1198271865">
      <w:bodyDiv w:val="1"/>
      <w:marLeft w:val="0"/>
      <w:marRight w:val="0"/>
      <w:marTop w:val="0"/>
      <w:marBottom w:val="0"/>
      <w:divBdr>
        <w:top w:val="none" w:sz="0" w:space="0" w:color="auto"/>
        <w:left w:val="none" w:sz="0" w:space="0" w:color="auto"/>
        <w:bottom w:val="none" w:sz="0" w:space="0" w:color="auto"/>
        <w:right w:val="none" w:sz="0" w:space="0" w:color="auto"/>
      </w:divBdr>
    </w:div>
    <w:div w:id="1245384238">
      <w:bodyDiv w:val="1"/>
      <w:marLeft w:val="0"/>
      <w:marRight w:val="0"/>
      <w:marTop w:val="0"/>
      <w:marBottom w:val="0"/>
      <w:divBdr>
        <w:top w:val="none" w:sz="0" w:space="0" w:color="auto"/>
        <w:left w:val="none" w:sz="0" w:space="0" w:color="auto"/>
        <w:bottom w:val="none" w:sz="0" w:space="0" w:color="auto"/>
        <w:right w:val="none" w:sz="0" w:space="0" w:color="auto"/>
      </w:divBdr>
    </w:div>
    <w:div w:id="1267806000">
      <w:bodyDiv w:val="1"/>
      <w:marLeft w:val="0"/>
      <w:marRight w:val="0"/>
      <w:marTop w:val="0"/>
      <w:marBottom w:val="0"/>
      <w:divBdr>
        <w:top w:val="none" w:sz="0" w:space="0" w:color="auto"/>
        <w:left w:val="none" w:sz="0" w:space="0" w:color="auto"/>
        <w:bottom w:val="none" w:sz="0" w:space="0" w:color="auto"/>
        <w:right w:val="none" w:sz="0" w:space="0" w:color="auto"/>
      </w:divBdr>
    </w:div>
    <w:div w:id="1287128039">
      <w:bodyDiv w:val="1"/>
      <w:marLeft w:val="0"/>
      <w:marRight w:val="0"/>
      <w:marTop w:val="0"/>
      <w:marBottom w:val="0"/>
      <w:divBdr>
        <w:top w:val="none" w:sz="0" w:space="0" w:color="auto"/>
        <w:left w:val="none" w:sz="0" w:space="0" w:color="auto"/>
        <w:bottom w:val="none" w:sz="0" w:space="0" w:color="auto"/>
        <w:right w:val="none" w:sz="0" w:space="0" w:color="auto"/>
      </w:divBdr>
    </w:div>
    <w:div w:id="1306013574">
      <w:bodyDiv w:val="1"/>
      <w:marLeft w:val="0"/>
      <w:marRight w:val="0"/>
      <w:marTop w:val="0"/>
      <w:marBottom w:val="0"/>
      <w:divBdr>
        <w:top w:val="none" w:sz="0" w:space="0" w:color="auto"/>
        <w:left w:val="none" w:sz="0" w:space="0" w:color="auto"/>
        <w:bottom w:val="none" w:sz="0" w:space="0" w:color="auto"/>
        <w:right w:val="none" w:sz="0" w:space="0" w:color="auto"/>
      </w:divBdr>
    </w:div>
    <w:div w:id="1336808406">
      <w:bodyDiv w:val="1"/>
      <w:marLeft w:val="0"/>
      <w:marRight w:val="0"/>
      <w:marTop w:val="0"/>
      <w:marBottom w:val="0"/>
      <w:divBdr>
        <w:top w:val="none" w:sz="0" w:space="0" w:color="auto"/>
        <w:left w:val="none" w:sz="0" w:space="0" w:color="auto"/>
        <w:bottom w:val="none" w:sz="0" w:space="0" w:color="auto"/>
        <w:right w:val="none" w:sz="0" w:space="0" w:color="auto"/>
      </w:divBdr>
    </w:div>
    <w:div w:id="1372419419">
      <w:bodyDiv w:val="1"/>
      <w:marLeft w:val="0"/>
      <w:marRight w:val="0"/>
      <w:marTop w:val="0"/>
      <w:marBottom w:val="0"/>
      <w:divBdr>
        <w:top w:val="none" w:sz="0" w:space="0" w:color="auto"/>
        <w:left w:val="none" w:sz="0" w:space="0" w:color="auto"/>
        <w:bottom w:val="none" w:sz="0" w:space="0" w:color="auto"/>
        <w:right w:val="none" w:sz="0" w:space="0" w:color="auto"/>
      </w:divBdr>
    </w:div>
    <w:div w:id="1374117845">
      <w:bodyDiv w:val="1"/>
      <w:marLeft w:val="0"/>
      <w:marRight w:val="0"/>
      <w:marTop w:val="0"/>
      <w:marBottom w:val="0"/>
      <w:divBdr>
        <w:top w:val="none" w:sz="0" w:space="0" w:color="auto"/>
        <w:left w:val="none" w:sz="0" w:space="0" w:color="auto"/>
        <w:bottom w:val="none" w:sz="0" w:space="0" w:color="auto"/>
        <w:right w:val="none" w:sz="0" w:space="0" w:color="auto"/>
      </w:divBdr>
    </w:div>
    <w:div w:id="1406150485">
      <w:bodyDiv w:val="1"/>
      <w:marLeft w:val="0"/>
      <w:marRight w:val="0"/>
      <w:marTop w:val="0"/>
      <w:marBottom w:val="0"/>
      <w:divBdr>
        <w:top w:val="none" w:sz="0" w:space="0" w:color="auto"/>
        <w:left w:val="none" w:sz="0" w:space="0" w:color="auto"/>
        <w:bottom w:val="none" w:sz="0" w:space="0" w:color="auto"/>
        <w:right w:val="none" w:sz="0" w:space="0" w:color="auto"/>
      </w:divBdr>
    </w:div>
    <w:div w:id="1489593733">
      <w:bodyDiv w:val="1"/>
      <w:marLeft w:val="0"/>
      <w:marRight w:val="0"/>
      <w:marTop w:val="0"/>
      <w:marBottom w:val="0"/>
      <w:divBdr>
        <w:top w:val="none" w:sz="0" w:space="0" w:color="auto"/>
        <w:left w:val="none" w:sz="0" w:space="0" w:color="auto"/>
        <w:bottom w:val="none" w:sz="0" w:space="0" w:color="auto"/>
        <w:right w:val="none" w:sz="0" w:space="0" w:color="auto"/>
      </w:divBdr>
    </w:div>
    <w:div w:id="1515344342">
      <w:bodyDiv w:val="1"/>
      <w:marLeft w:val="0"/>
      <w:marRight w:val="0"/>
      <w:marTop w:val="0"/>
      <w:marBottom w:val="0"/>
      <w:divBdr>
        <w:top w:val="none" w:sz="0" w:space="0" w:color="auto"/>
        <w:left w:val="none" w:sz="0" w:space="0" w:color="auto"/>
        <w:bottom w:val="none" w:sz="0" w:space="0" w:color="auto"/>
        <w:right w:val="none" w:sz="0" w:space="0" w:color="auto"/>
      </w:divBdr>
    </w:div>
    <w:div w:id="1517502758">
      <w:bodyDiv w:val="1"/>
      <w:marLeft w:val="0"/>
      <w:marRight w:val="0"/>
      <w:marTop w:val="0"/>
      <w:marBottom w:val="0"/>
      <w:divBdr>
        <w:top w:val="none" w:sz="0" w:space="0" w:color="auto"/>
        <w:left w:val="none" w:sz="0" w:space="0" w:color="auto"/>
        <w:bottom w:val="none" w:sz="0" w:space="0" w:color="auto"/>
        <w:right w:val="none" w:sz="0" w:space="0" w:color="auto"/>
      </w:divBdr>
    </w:div>
    <w:div w:id="1540050211">
      <w:bodyDiv w:val="1"/>
      <w:marLeft w:val="0"/>
      <w:marRight w:val="0"/>
      <w:marTop w:val="0"/>
      <w:marBottom w:val="0"/>
      <w:divBdr>
        <w:top w:val="none" w:sz="0" w:space="0" w:color="auto"/>
        <w:left w:val="none" w:sz="0" w:space="0" w:color="auto"/>
        <w:bottom w:val="none" w:sz="0" w:space="0" w:color="auto"/>
        <w:right w:val="none" w:sz="0" w:space="0" w:color="auto"/>
      </w:divBdr>
    </w:div>
    <w:div w:id="1646354407">
      <w:bodyDiv w:val="1"/>
      <w:marLeft w:val="0"/>
      <w:marRight w:val="0"/>
      <w:marTop w:val="0"/>
      <w:marBottom w:val="0"/>
      <w:divBdr>
        <w:top w:val="none" w:sz="0" w:space="0" w:color="auto"/>
        <w:left w:val="none" w:sz="0" w:space="0" w:color="auto"/>
        <w:bottom w:val="none" w:sz="0" w:space="0" w:color="auto"/>
        <w:right w:val="none" w:sz="0" w:space="0" w:color="auto"/>
      </w:divBdr>
    </w:div>
    <w:div w:id="1651788065">
      <w:bodyDiv w:val="1"/>
      <w:marLeft w:val="0"/>
      <w:marRight w:val="0"/>
      <w:marTop w:val="0"/>
      <w:marBottom w:val="0"/>
      <w:divBdr>
        <w:top w:val="none" w:sz="0" w:space="0" w:color="auto"/>
        <w:left w:val="none" w:sz="0" w:space="0" w:color="auto"/>
        <w:bottom w:val="none" w:sz="0" w:space="0" w:color="auto"/>
        <w:right w:val="none" w:sz="0" w:space="0" w:color="auto"/>
      </w:divBdr>
    </w:div>
    <w:div w:id="1653021029">
      <w:bodyDiv w:val="1"/>
      <w:marLeft w:val="0"/>
      <w:marRight w:val="0"/>
      <w:marTop w:val="0"/>
      <w:marBottom w:val="0"/>
      <w:divBdr>
        <w:top w:val="none" w:sz="0" w:space="0" w:color="auto"/>
        <w:left w:val="none" w:sz="0" w:space="0" w:color="auto"/>
        <w:bottom w:val="none" w:sz="0" w:space="0" w:color="auto"/>
        <w:right w:val="none" w:sz="0" w:space="0" w:color="auto"/>
      </w:divBdr>
    </w:div>
    <w:div w:id="1655598996">
      <w:bodyDiv w:val="1"/>
      <w:marLeft w:val="0"/>
      <w:marRight w:val="0"/>
      <w:marTop w:val="0"/>
      <w:marBottom w:val="0"/>
      <w:divBdr>
        <w:top w:val="none" w:sz="0" w:space="0" w:color="auto"/>
        <w:left w:val="none" w:sz="0" w:space="0" w:color="auto"/>
        <w:bottom w:val="none" w:sz="0" w:space="0" w:color="auto"/>
        <w:right w:val="none" w:sz="0" w:space="0" w:color="auto"/>
      </w:divBdr>
    </w:div>
    <w:div w:id="1668825500">
      <w:bodyDiv w:val="1"/>
      <w:marLeft w:val="0"/>
      <w:marRight w:val="0"/>
      <w:marTop w:val="0"/>
      <w:marBottom w:val="0"/>
      <w:divBdr>
        <w:top w:val="none" w:sz="0" w:space="0" w:color="auto"/>
        <w:left w:val="none" w:sz="0" w:space="0" w:color="auto"/>
        <w:bottom w:val="none" w:sz="0" w:space="0" w:color="auto"/>
        <w:right w:val="none" w:sz="0" w:space="0" w:color="auto"/>
      </w:divBdr>
    </w:div>
    <w:div w:id="1671369758">
      <w:bodyDiv w:val="1"/>
      <w:marLeft w:val="0"/>
      <w:marRight w:val="0"/>
      <w:marTop w:val="0"/>
      <w:marBottom w:val="0"/>
      <w:divBdr>
        <w:top w:val="none" w:sz="0" w:space="0" w:color="auto"/>
        <w:left w:val="none" w:sz="0" w:space="0" w:color="auto"/>
        <w:bottom w:val="none" w:sz="0" w:space="0" w:color="auto"/>
        <w:right w:val="none" w:sz="0" w:space="0" w:color="auto"/>
      </w:divBdr>
    </w:div>
    <w:div w:id="1792479735">
      <w:bodyDiv w:val="1"/>
      <w:marLeft w:val="0"/>
      <w:marRight w:val="0"/>
      <w:marTop w:val="0"/>
      <w:marBottom w:val="0"/>
      <w:divBdr>
        <w:top w:val="none" w:sz="0" w:space="0" w:color="auto"/>
        <w:left w:val="none" w:sz="0" w:space="0" w:color="auto"/>
        <w:bottom w:val="none" w:sz="0" w:space="0" w:color="auto"/>
        <w:right w:val="none" w:sz="0" w:space="0" w:color="auto"/>
      </w:divBdr>
    </w:div>
    <w:div w:id="1819881630">
      <w:bodyDiv w:val="1"/>
      <w:marLeft w:val="0"/>
      <w:marRight w:val="0"/>
      <w:marTop w:val="0"/>
      <w:marBottom w:val="0"/>
      <w:divBdr>
        <w:top w:val="none" w:sz="0" w:space="0" w:color="auto"/>
        <w:left w:val="none" w:sz="0" w:space="0" w:color="auto"/>
        <w:bottom w:val="none" w:sz="0" w:space="0" w:color="auto"/>
        <w:right w:val="none" w:sz="0" w:space="0" w:color="auto"/>
      </w:divBdr>
    </w:div>
    <w:div w:id="1821119031">
      <w:bodyDiv w:val="1"/>
      <w:marLeft w:val="0"/>
      <w:marRight w:val="0"/>
      <w:marTop w:val="0"/>
      <w:marBottom w:val="0"/>
      <w:divBdr>
        <w:top w:val="none" w:sz="0" w:space="0" w:color="auto"/>
        <w:left w:val="none" w:sz="0" w:space="0" w:color="auto"/>
        <w:bottom w:val="none" w:sz="0" w:space="0" w:color="auto"/>
        <w:right w:val="none" w:sz="0" w:space="0" w:color="auto"/>
      </w:divBdr>
    </w:div>
    <w:div w:id="1855729159">
      <w:bodyDiv w:val="1"/>
      <w:marLeft w:val="0"/>
      <w:marRight w:val="0"/>
      <w:marTop w:val="0"/>
      <w:marBottom w:val="0"/>
      <w:divBdr>
        <w:top w:val="none" w:sz="0" w:space="0" w:color="auto"/>
        <w:left w:val="none" w:sz="0" w:space="0" w:color="auto"/>
        <w:bottom w:val="none" w:sz="0" w:space="0" w:color="auto"/>
        <w:right w:val="none" w:sz="0" w:space="0" w:color="auto"/>
      </w:divBdr>
    </w:div>
    <w:div w:id="1899708221">
      <w:bodyDiv w:val="1"/>
      <w:marLeft w:val="0"/>
      <w:marRight w:val="0"/>
      <w:marTop w:val="0"/>
      <w:marBottom w:val="0"/>
      <w:divBdr>
        <w:top w:val="none" w:sz="0" w:space="0" w:color="auto"/>
        <w:left w:val="none" w:sz="0" w:space="0" w:color="auto"/>
        <w:bottom w:val="none" w:sz="0" w:space="0" w:color="auto"/>
        <w:right w:val="none" w:sz="0" w:space="0" w:color="auto"/>
      </w:divBdr>
    </w:div>
    <w:div w:id="20398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ed.ismail@bcm.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ECC7E45BCAE47AA8673B3D339B420" ma:contentTypeVersion="9" ma:contentTypeDescription="Create a new document." ma:contentTypeScope="" ma:versionID="d0ac587df178d1a381b936139e4479d3">
  <xsd:schema xmlns:xsd="http://www.w3.org/2001/XMLSchema" xmlns:xs="http://www.w3.org/2001/XMLSchema" xmlns:p="http://schemas.microsoft.com/office/2006/metadata/properties" xmlns:ns3="77022235-c8aa-4d97-bbc8-4f2c320f8ef6" targetNamespace="http://schemas.microsoft.com/office/2006/metadata/properties" ma:root="true" ma:fieldsID="6c359d50d46b2cfad9b764cfce9bbd7d" ns3:_="">
    <xsd:import namespace="77022235-c8aa-4d97-bbc8-4f2c320f8e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22235-c8aa-4d97-bbc8-4f2c320f8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50C4-F361-42B4-AAE4-B54BA39DC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20F02-8E6B-45F9-A7AD-B4E8C20BFE31}">
  <ds:schemaRefs>
    <ds:schemaRef ds:uri="http://schemas.microsoft.com/sharepoint/v3/contenttype/forms"/>
  </ds:schemaRefs>
</ds:datastoreItem>
</file>

<file path=customXml/itemProps3.xml><?xml version="1.0" encoding="utf-8"?>
<ds:datastoreItem xmlns:ds="http://schemas.openxmlformats.org/officeDocument/2006/customXml" ds:itemID="{83CEB4B6-AFCC-4AA6-82B0-0CBA6E2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22235-c8aa-4d97-bbc8-4f2c320f8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D7698-3AFD-A741-8163-12A67267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11083</Words>
  <Characters>63175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Mohamed Saleh Mohamed Ahmed</dc:creator>
  <cp:keywords/>
  <dc:description/>
  <cp:lastModifiedBy>Na Ma</cp:lastModifiedBy>
  <cp:revision>2</cp:revision>
  <cp:lastPrinted>2019-10-18T21:00:00Z</cp:lastPrinted>
  <dcterms:created xsi:type="dcterms:W3CDTF">2020-08-16T15:45:00Z</dcterms:created>
  <dcterms:modified xsi:type="dcterms:W3CDTF">2020-08-16T15:45:00Z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0x01010002BECC7E45BCAE47AA8673B3D339B420</vt:lpwstr>
  </property>
  <property fmtid="{D5CDD505-2E9C-101B-9397-08002B2CF9AE}" pid="3" name="Mendeley Document_1">
    <vt:lpwstr>True</vt:lpwstr>
  </property>
  <property fmtid="{D5CDD505-2E9C-101B-9397-08002B2CF9AE}" pid="4" name="Mendeley Unique User Id_1">
    <vt:lpwstr>15bb0329-d638-32cb-83e6-bb53511f97af</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