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E77F1" w14:textId="15D9277B" w:rsidR="00BE4127" w:rsidRPr="00661363" w:rsidRDefault="00BE4127" w:rsidP="00661363">
      <w:pPr>
        <w:adjustRightInd w:val="0"/>
        <w:snapToGrid w:val="0"/>
        <w:spacing w:line="360" w:lineRule="auto"/>
        <w:rPr>
          <w:rFonts w:ascii="Book Antiqua" w:hAnsi="Book Antiqua" w:cs="Arial"/>
          <w:b/>
          <w:color w:val="000000" w:themeColor="text1"/>
          <w:sz w:val="24"/>
          <w:szCs w:val="24"/>
          <w:shd w:val="clear" w:color="auto" w:fill="FFFFFF"/>
        </w:rPr>
      </w:pPr>
      <w:r w:rsidRPr="00661363">
        <w:rPr>
          <w:rFonts w:ascii="Book Antiqua" w:hAnsi="Book Antiqua" w:cs="Arial"/>
          <w:b/>
          <w:color w:val="000000" w:themeColor="text1"/>
          <w:sz w:val="24"/>
          <w:szCs w:val="24"/>
          <w:shd w:val="clear" w:color="auto" w:fill="FFFFFF"/>
        </w:rPr>
        <w:t xml:space="preserve">Name of Journal: </w:t>
      </w:r>
      <w:r w:rsidRPr="00661363">
        <w:rPr>
          <w:rFonts w:ascii="Book Antiqua" w:hAnsi="Book Antiqua" w:cs="Arial"/>
          <w:i/>
          <w:color w:val="000000" w:themeColor="text1"/>
          <w:sz w:val="24"/>
          <w:szCs w:val="24"/>
          <w:shd w:val="clear" w:color="auto" w:fill="FFFFFF"/>
        </w:rPr>
        <w:t>World Journal of Clinical Cases</w:t>
      </w:r>
    </w:p>
    <w:p w14:paraId="5FFC0D26" w14:textId="690EA76D" w:rsidR="00BE4127" w:rsidRPr="00661363" w:rsidRDefault="00BE4127" w:rsidP="00661363">
      <w:pPr>
        <w:adjustRightInd w:val="0"/>
        <w:snapToGrid w:val="0"/>
        <w:spacing w:line="360" w:lineRule="auto"/>
        <w:rPr>
          <w:rFonts w:ascii="Book Antiqua" w:hAnsi="Book Antiqua" w:cs="Arial"/>
          <w:b/>
          <w:color w:val="000000" w:themeColor="text1"/>
          <w:sz w:val="24"/>
          <w:szCs w:val="24"/>
          <w:shd w:val="clear" w:color="auto" w:fill="FFFFFF"/>
        </w:rPr>
      </w:pPr>
      <w:r w:rsidRPr="00661363">
        <w:rPr>
          <w:rFonts w:ascii="Book Antiqua" w:hAnsi="Book Antiqua" w:cs="Arial"/>
          <w:b/>
          <w:color w:val="000000" w:themeColor="text1"/>
          <w:sz w:val="24"/>
          <w:szCs w:val="24"/>
          <w:shd w:val="clear" w:color="auto" w:fill="FFFFFF"/>
        </w:rPr>
        <w:t xml:space="preserve">Manuscript NO: </w:t>
      </w:r>
      <w:r w:rsidRPr="00661363">
        <w:rPr>
          <w:rFonts w:ascii="Book Antiqua" w:hAnsi="Book Antiqua" w:cs="Arial"/>
          <w:color w:val="000000" w:themeColor="text1"/>
          <w:sz w:val="24"/>
          <w:szCs w:val="24"/>
          <w:shd w:val="clear" w:color="auto" w:fill="FFFFFF"/>
        </w:rPr>
        <w:t>55559</w:t>
      </w:r>
    </w:p>
    <w:p w14:paraId="63915846" w14:textId="727B338F" w:rsidR="00BE4127" w:rsidRPr="00661363" w:rsidRDefault="00BE4127" w:rsidP="00661363">
      <w:pPr>
        <w:adjustRightInd w:val="0"/>
        <w:snapToGrid w:val="0"/>
        <w:spacing w:line="360" w:lineRule="auto"/>
        <w:rPr>
          <w:rFonts w:ascii="Book Antiqua" w:eastAsia="幼圆" w:hAnsi="Book Antiqua"/>
          <w:color w:val="000000" w:themeColor="text1"/>
          <w:sz w:val="24"/>
          <w:szCs w:val="24"/>
        </w:rPr>
      </w:pPr>
      <w:bookmarkStart w:id="0" w:name="OLE_LINK3"/>
      <w:bookmarkStart w:id="1" w:name="OLE_LINK4"/>
      <w:r w:rsidRPr="00661363">
        <w:rPr>
          <w:rFonts w:ascii="Book Antiqua" w:hAnsi="Book Antiqua"/>
          <w:b/>
          <w:color w:val="000000" w:themeColor="text1"/>
          <w:sz w:val="24"/>
          <w:szCs w:val="24"/>
          <w:shd w:val="clear" w:color="auto" w:fill="FFFFFF"/>
        </w:rPr>
        <w:t>Manuscript Type</w:t>
      </w:r>
      <w:r w:rsidRPr="00661363">
        <w:rPr>
          <w:rFonts w:ascii="Book Antiqua" w:hAnsi="Book Antiqua"/>
          <w:b/>
          <w:color w:val="000000" w:themeColor="text1"/>
          <w:sz w:val="24"/>
          <w:szCs w:val="24"/>
        </w:rPr>
        <w:t>:</w:t>
      </w:r>
      <w:bookmarkEnd w:id="0"/>
      <w:bookmarkEnd w:id="1"/>
      <w:r w:rsidRPr="00661363">
        <w:rPr>
          <w:rFonts w:ascii="Book Antiqua" w:hAnsi="Book Antiqua" w:cs="Arial"/>
          <w:b/>
          <w:color w:val="000000" w:themeColor="text1"/>
          <w:sz w:val="24"/>
          <w:szCs w:val="24"/>
          <w:shd w:val="clear" w:color="auto" w:fill="FFFFFF"/>
        </w:rPr>
        <w:t xml:space="preserve"> </w:t>
      </w:r>
      <w:r w:rsidRPr="00661363">
        <w:rPr>
          <w:rFonts w:ascii="Book Antiqua" w:hAnsi="Book Antiqua"/>
          <w:color w:val="000000" w:themeColor="text1"/>
          <w:sz w:val="24"/>
          <w:szCs w:val="24"/>
        </w:rPr>
        <w:t>ORIGINAL ARTICLE</w:t>
      </w:r>
    </w:p>
    <w:p w14:paraId="59F45DBB" w14:textId="77777777" w:rsidR="00BE4127" w:rsidRPr="00661363" w:rsidRDefault="00BE4127" w:rsidP="00661363">
      <w:pPr>
        <w:adjustRightInd w:val="0"/>
        <w:snapToGrid w:val="0"/>
        <w:spacing w:line="360" w:lineRule="auto"/>
        <w:rPr>
          <w:rFonts w:ascii="Book Antiqua" w:eastAsia="幼圆" w:hAnsi="Book Antiqua"/>
          <w:b/>
          <w:i/>
          <w:color w:val="000000" w:themeColor="text1"/>
          <w:sz w:val="24"/>
          <w:szCs w:val="24"/>
        </w:rPr>
      </w:pPr>
    </w:p>
    <w:p w14:paraId="0EBCA2C8" w14:textId="77777777" w:rsidR="00BE4127" w:rsidRPr="00661363" w:rsidRDefault="00BE4127" w:rsidP="00661363">
      <w:pPr>
        <w:adjustRightInd w:val="0"/>
        <w:snapToGrid w:val="0"/>
        <w:spacing w:line="360" w:lineRule="auto"/>
        <w:rPr>
          <w:rFonts w:ascii="Book Antiqua" w:eastAsia="幼圆" w:hAnsi="Book Antiqua"/>
          <w:b/>
          <w:i/>
          <w:color w:val="000000" w:themeColor="text1"/>
          <w:sz w:val="24"/>
          <w:szCs w:val="24"/>
        </w:rPr>
      </w:pPr>
      <w:r w:rsidRPr="00661363">
        <w:rPr>
          <w:rFonts w:ascii="Book Antiqua" w:eastAsia="幼圆" w:hAnsi="Book Antiqua"/>
          <w:b/>
          <w:i/>
          <w:color w:val="000000" w:themeColor="text1"/>
          <w:sz w:val="24"/>
          <w:szCs w:val="24"/>
        </w:rPr>
        <w:t>Retrospective Study</w:t>
      </w:r>
    </w:p>
    <w:p w14:paraId="489C0EC3" w14:textId="1699BB06" w:rsidR="00AE7027" w:rsidRPr="00661363" w:rsidRDefault="00BE4127" w:rsidP="00661363">
      <w:pPr>
        <w:adjustRightInd w:val="0"/>
        <w:snapToGrid w:val="0"/>
        <w:spacing w:line="360" w:lineRule="auto"/>
        <w:rPr>
          <w:rFonts w:ascii="Book Antiqua" w:hAnsi="Book Antiqua" w:cs="Times New Roman"/>
          <w:b/>
          <w:color w:val="000000" w:themeColor="text1"/>
          <w:sz w:val="24"/>
          <w:szCs w:val="24"/>
        </w:rPr>
      </w:pPr>
      <w:bookmarkStart w:id="2" w:name="_Hlk15588286"/>
      <w:r w:rsidRPr="00661363">
        <w:rPr>
          <w:rFonts w:ascii="Book Antiqua" w:hAnsi="Book Antiqua" w:cs="Times New Roman"/>
          <w:b/>
          <w:color w:val="000000" w:themeColor="text1"/>
          <w:sz w:val="24"/>
          <w:szCs w:val="24"/>
        </w:rPr>
        <w:t xml:space="preserve">Significance </w:t>
      </w:r>
      <w:r w:rsidR="00C260A9" w:rsidRPr="00661363">
        <w:rPr>
          <w:rFonts w:ascii="Book Antiqua" w:hAnsi="Book Antiqua" w:cs="Times New Roman"/>
          <w:b/>
          <w:color w:val="000000" w:themeColor="text1"/>
          <w:sz w:val="24"/>
          <w:szCs w:val="24"/>
        </w:rPr>
        <w:t xml:space="preserve">of serum </w:t>
      </w:r>
      <w:bookmarkStart w:id="3" w:name="_Hlk40223746"/>
      <w:r w:rsidR="00046035" w:rsidRPr="00661363">
        <w:rPr>
          <w:rFonts w:ascii="Book Antiqua" w:hAnsi="Book Antiqua" w:cs="Times New Roman"/>
          <w:b/>
          <w:bCs/>
          <w:color w:val="000000" w:themeColor="text1"/>
          <w:kern w:val="0"/>
          <w:sz w:val="24"/>
          <w:szCs w:val="24"/>
        </w:rPr>
        <w:t>fibroblast growth factor</w:t>
      </w:r>
      <w:r w:rsidR="00C260A9" w:rsidRPr="00661363">
        <w:rPr>
          <w:rFonts w:ascii="Book Antiqua" w:hAnsi="Book Antiqua" w:cs="Times New Roman"/>
          <w:b/>
          <w:color w:val="000000" w:themeColor="text1"/>
          <w:sz w:val="24"/>
          <w:szCs w:val="24"/>
        </w:rPr>
        <w:t>-23 and miR-208b</w:t>
      </w:r>
      <w:bookmarkEnd w:id="3"/>
      <w:r w:rsidR="00C260A9" w:rsidRPr="00661363">
        <w:rPr>
          <w:rFonts w:ascii="Book Antiqua" w:hAnsi="Book Antiqua" w:cs="Times New Roman"/>
          <w:b/>
          <w:color w:val="000000" w:themeColor="text1"/>
          <w:sz w:val="24"/>
          <w:szCs w:val="24"/>
        </w:rPr>
        <w:t xml:space="preserve"> </w:t>
      </w:r>
      <w:bookmarkStart w:id="4" w:name="_Hlk40223772"/>
      <w:r w:rsidR="00C260A9" w:rsidRPr="00661363">
        <w:rPr>
          <w:rFonts w:ascii="Book Antiqua" w:hAnsi="Book Antiqua" w:cs="Times New Roman"/>
          <w:b/>
          <w:color w:val="000000" w:themeColor="text1"/>
          <w:sz w:val="24"/>
          <w:szCs w:val="24"/>
        </w:rPr>
        <w:t>in</w:t>
      </w:r>
      <w:r w:rsidR="006E7DE5">
        <w:rPr>
          <w:rFonts w:ascii="Book Antiqua" w:hAnsi="Book Antiqua" w:cs="Times New Roman"/>
          <w:b/>
          <w:color w:val="000000" w:themeColor="text1"/>
          <w:sz w:val="24"/>
          <w:szCs w:val="24"/>
        </w:rPr>
        <w:t xml:space="preserve"> </w:t>
      </w:r>
      <w:r w:rsidR="00C260A9" w:rsidRPr="00661363">
        <w:rPr>
          <w:rFonts w:ascii="Book Antiqua" w:hAnsi="Book Antiqua" w:cs="Times New Roman"/>
          <w:b/>
          <w:color w:val="000000" w:themeColor="text1"/>
          <w:sz w:val="24"/>
          <w:szCs w:val="24"/>
        </w:rPr>
        <w:t>pathogenesis of atrial fibrillation</w:t>
      </w:r>
      <w:bookmarkEnd w:id="4"/>
      <w:r w:rsidR="00C260A9" w:rsidRPr="00661363">
        <w:rPr>
          <w:rFonts w:ascii="Book Antiqua" w:hAnsi="Book Antiqua" w:cs="Times New Roman"/>
          <w:b/>
          <w:color w:val="000000" w:themeColor="text1"/>
          <w:sz w:val="24"/>
          <w:szCs w:val="24"/>
        </w:rPr>
        <w:t xml:space="preserve"> and their relationship with prognosis</w:t>
      </w:r>
    </w:p>
    <w:p w14:paraId="28BDA6C2" w14:textId="77777777" w:rsidR="00BE4127" w:rsidRPr="00661363" w:rsidRDefault="00BE4127" w:rsidP="00661363">
      <w:pPr>
        <w:adjustRightInd w:val="0"/>
        <w:snapToGrid w:val="0"/>
        <w:spacing w:line="360" w:lineRule="auto"/>
        <w:rPr>
          <w:rFonts w:ascii="Book Antiqua" w:hAnsi="Book Antiqua" w:cs="Times New Roman"/>
          <w:b/>
          <w:color w:val="000000" w:themeColor="text1"/>
          <w:sz w:val="24"/>
          <w:szCs w:val="24"/>
        </w:rPr>
      </w:pPr>
    </w:p>
    <w:bookmarkEnd w:id="2"/>
    <w:p w14:paraId="25EF2370" w14:textId="5424F9B9" w:rsidR="00AE7027" w:rsidRPr="00661363" w:rsidRDefault="00046035" w:rsidP="00661363">
      <w:pPr>
        <w:adjustRightInd w:val="0"/>
        <w:snapToGrid w:val="0"/>
        <w:spacing w:line="360" w:lineRule="auto"/>
        <w:rPr>
          <w:rFonts w:ascii="Book Antiqua" w:hAnsi="Book Antiqua"/>
          <w:color w:val="000000" w:themeColor="text1"/>
          <w:sz w:val="24"/>
          <w:szCs w:val="24"/>
        </w:rPr>
      </w:pPr>
      <w:r w:rsidRPr="00661363">
        <w:rPr>
          <w:rFonts w:ascii="Book Antiqua" w:eastAsia="等线" w:hAnsi="Book Antiqua" w:cs="Times New Roman"/>
          <w:iCs/>
          <w:color w:val="000000" w:themeColor="text1"/>
          <w:sz w:val="24"/>
          <w:szCs w:val="24"/>
        </w:rPr>
        <w:t>Chen JM</w:t>
      </w:r>
      <w:r w:rsidRPr="00661363">
        <w:rPr>
          <w:rFonts w:ascii="Book Antiqua" w:eastAsia="等线" w:hAnsi="Book Antiqua" w:cs="Times New Roman"/>
          <w:i/>
          <w:iCs/>
          <w:color w:val="000000" w:themeColor="text1"/>
          <w:sz w:val="24"/>
          <w:szCs w:val="24"/>
        </w:rPr>
        <w:t xml:space="preserve"> </w:t>
      </w:r>
      <w:r w:rsidR="00C260A9" w:rsidRPr="00661363">
        <w:rPr>
          <w:rFonts w:ascii="Book Antiqua" w:eastAsia="等线" w:hAnsi="Book Antiqua" w:cs="Times New Roman"/>
          <w:i/>
          <w:iCs/>
          <w:color w:val="000000" w:themeColor="text1"/>
          <w:sz w:val="24"/>
          <w:szCs w:val="24"/>
        </w:rPr>
        <w:t>et al</w:t>
      </w:r>
      <w:r w:rsidR="00C260A9" w:rsidRPr="00661363">
        <w:rPr>
          <w:rFonts w:ascii="Book Antiqua" w:eastAsia="等线" w:hAnsi="Book Antiqua" w:cs="Times New Roman"/>
          <w:color w:val="000000" w:themeColor="text1"/>
          <w:sz w:val="24"/>
          <w:szCs w:val="24"/>
        </w:rPr>
        <w:t>.</w:t>
      </w:r>
      <w:r w:rsidR="00D34EBC" w:rsidRPr="00661363">
        <w:rPr>
          <w:rFonts w:ascii="Book Antiqua" w:hAnsi="Book Antiqua" w:cs="Times New Roman"/>
          <w:bCs/>
          <w:color w:val="000000" w:themeColor="text1"/>
          <w:sz w:val="24"/>
          <w:szCs w:val="24"/>
        </w:rPr>
        <w:t xml:space="preserve"> </w:t>
      </w:r>
      <w:r w:rsidR="00D34EBC" w:rsidRPr="00661363">
        <w:rPr>
          <w:rFonts w:ascii="Book Antiqua" w:eastAsia="等线" w:hAnsi="Book Antiqua" w:cs="Times New Roman"/>
          <w:bCs/>
          <w:color w:val="000000" w:themeColor="text1"/>
          <w:sz w:val="24"/>
          <w:szCs w:val="24"/>
        </w:rPr>
        <w:t>FGF-23 and miR-208b in</w:t>
      </w:r>
      <w:r w:rsidR="006E7DE5">
        <w:rPr>
          <w:rFonts w:ascii="Book Antiqua" w:eastAsia="等线" w:hAnsi="Book Antiqua" w:cs="Times New Roman"/>
          <w:bCs/>
          <w:color w:val="000000" w:themeColor="text1"/>
          <w:sz w:val="24"/>
          <w:szCs w:val="24"/>
        </w:rPr>
        <w:t xml:space="preserve"> </w:t>
      </w:r>
      <w:r w:rsidR="00D34EBC" w:rsidRPr="00661363">
        <w:rPr>
          <w:rFonts w:ascii="Book Antiqua" w:eastAsia="等线" w:hAnsi="Book Antiqua" w:cs="Times New Roman"/>
          <w:bCs/>
          <w:color w:val="000000" w:themeColor="text1"/>
          <w:sz w:val="24"/>
          <w:szCs w:val="24"/>
        </w:rPr>
        <w:t>pathogenesis of atrial fibrillation</w:t>
      </w:r>
    </w:p>
    <w:p w14:paraId="622F35EF" w14:textId="77777777" w:rsidR="00AE7027" w:rsidRPr="00661363" w:rsidRDefault="00AE7027" w:rsidP="00661363">
      <w:pPr>
        <w:adjustRightInd w:val="0"/>
        <w:snapToGrid w:val="0"/>
        <w:spacing w:line="360" w:lineRule="auto"/>
        <w:rPr>
          <w:rFonts w:ascii="Book Antiqua" w:eastAsia="等线" w:hAnsi="Book Antiqua" w:cs="Times New Roman"/>
          <w:color w:val="000000" w:themeColor="text1"/>
          <w:sz w:val="24"/>
          <w:szCs w:val="24"/>
        </w:rPr>
      </w:pPr>
    </w:p>
    <w:p w14:paraId="4834FF25" w14:textId="1B0594AF" w:rsidR="00AE7027" w:rsidRPr="00661363" w:rsidRDefault="00C260A9" w:rsidP="00661363">
      <w:pPr>
        <w:adjustRightInd w:val="0"/>
        <w:snapToGrid w:val="0"/>
        <w:spacing w:line="360" w:lineRule="auto"/>
        <w:rPr>
          <w:rFonts w:ascii="Book Antiqua" w:eastAsia="等线" w:hAnsi="Book Antiqua" w:cs="Times New Roman"/>
          <w:color w:val="000000" w:themeColor="text1"/>
          <w:sz w:val="24"/>
          <w:szCs w:val="24"/>
        </w:rPr>
      </w:pPr>
      <w:bookmarkStart w:id="5" w:name="_Hlk35894758"/>
      <w:bookmarkStart w:id="6" w:name="OLE_LINK9"/>
      <w:r w:rsidRPr="00661363">
        <w:rPr>
          <w:rFonts w:ascii="Book Antiqua" w:eastAsia="等线" w:hAnsi="Book Antiqua" w:cs="Times New Roman"/>
          <w:color w:val="000000" w:themeColor="text1"/>
          <w:sz w:val="24"/>
          <w:szCs w:val="24"/>
        </w:rPr>
        <w:t>Jie-Min Chen</w:t>
      </w:r>
      <w:bookmarkEnd w:id="5"/>
      <w:r w:rsidRPr="00661363">
        <w:rPr>
          <w:rFonts w:ascii="Book Antiqua" w:eastAsia="等线" w:hAnsi="Book Antiqua" w:cs="Times New Roman"/>
          <w:color w:val="000000" w:themeColor="text1"/>
          <w:sz w:val="24"/>
          <w:szCs w:val="24"/>
        </w:rPr>
        <w:t>,</w:t>
      </w:r>
      <w:bookmarkStart w:id="7" w:name="_Hlk35894766"/>
      <w:r w:rsidR="004371C9" w:rsidRPr="00661363">
        <w:rPr>
          <w:rFonts w:ascii="Book Antiqua" w:eastAsia="等线" w:hAnsi="Book Antiqua" w:cs="Times New Roman"/>
          <w:color w:val="000000" w:themeColor="text1"/>
          <w:sz w:val="24"/>
          <w:szCs w:val="24"/>
        </w:rPr>
        <w:t xml:space="preserve"> </w:t>
      </w:r>
      <w:r w:rsidRPr="00661363">
        <w:rPr>
          <w:rFonts w:ascii="Book Antiqua" w:eastAsia="等线" w:hAnsi="Book Antiqua" w:cs="Times New Roman"/>
          <w:color w:val="000000" w:themeColor="text1"/>
          <w:sz w:val="24"/>
          <w:szCs w:val="24"/>
        </w:rPr>
        <w:t>Yao-Tang Zhong</w:t>
      </w:r>
      <w:bookmarkEnd w:id="7"/>
      <w:r w:rsidRPr="00661363">
        <w:rPr>
          <w:rFonts w:ascii="Book Antiqua" w:eastAsia="等线" w:hAnsi="Book Antiqua" w:cs="Times New Roman"/>
          <w:color w:val="000000" w:themeColor="text1"/>
          <w:sz w:val="24"/>
          <w:szCs w:val="24"/>
        </w:rPr>
        <w:t>,</w:t>
      </w:r>
      <w:bookmarkStart w:id="8" w:name="_Hlk35894773"/>
      <w:r w:rsidR="00CB0D6E" w:rsidRPr="00661363">
        <w:rPr>
          <w:rFonts w:ascii="Book Antiqua" w:eastAsia="等线" w:hAnsi="Book Antiqua" w:cs="Times New Roman"/>
          <w:color w:val="000000" w:themeColor="text1"/>
          <w:sz w:val="24"/>
          <w:szCs w:val="24"/>
        </w:rPr>
        <w:t xml:space="preserve"> </w:t>
      </w:r>
      <w:r w:rsidRPr="00661363">
        <w:rPr>
          <w:rFonts w:ascii="Book Antiqua" w:eastAsia="等线" w:hAnsi="Book Antiqua" w:cs="Times New Roman"/>
          <w:color w:val="000000" w:themeColor="text1"/>
          <w:sz w:val="24"/>
          <w:szCs w:val="24"/>
        </w:rPr>
        <w:t>Chang Tu</w:t>
      </w:r>
      <w:bookmarkEnd w:id="6"/>
      <w:bookmarkEnd w:id="8"/>
      <w:r w:rsidRPr="00661363">
        <w:rPr>
          <w:rFonts w:ascii="Book Antiqua" w:eastAsia="等线" w:hAnsi="Book Antiqua" w:cs="Times New Roman"/>
          <w:color w:val="000000" w:themeColor="text1"/>
          <w:sz w:val="24"/>
          <w:szCs w:val="24"/>
        </w:rPr>
        <w:t xml:space="preserve">, </w:t>
      </w:r>
      <w:bookmarkStart w:id="9" w:name="_Hlk35894782"/>
      <w:r w:rsidRPr="00661363">
        <w:rPr>
          <w:rFonts w:ascii="Book Antiqua" w:eastAsia="等线" w:hAnsi="Book Antiqua" w:cs="Times New Roman"/>
          <w:color w:val="000000" w:themeColor="text1"/>
          <w:sz w:val="24"/>
          <w:szCs w:val="24"/>
        </w:rPr>
        <w:t>Jun Lan</w:t>
      </w:r>
      <w:bookmarkEnd w:id="9"/>
    </w:p>
    <w:p w14:paraId="342D08CE" w14:textId="77777777" w:rsidR="00AE7027" w:rsidRPr="00661363" w:rsidRDefault="00AE7027" w:rsidP="00661363">
      <w:pPr>
        <w:adjustRightInd w:val="0"/>
        <w:snapToGrid w:val="0"/>
        <w:spacing w:line="360" w:lineRule="auto"/>
        <w:rPr>
          <w:rFonts w:ascii="Book Antiqua" w:eastAsia="等线" w:hAnsi="Book Antiqua" w:cs="Times New Roman"/>
          <w:color w:val="000000" w:themeColor="text1"/>
          <w:sz w:val="24"/>
          <w:szCs w:val="24"/>
        </w:rPr>
      </w:pPr>
    </w:p>
    <w:p w14:paraId="3EB7A2EC" w14:textId="5569DCD7" w:rsidR="00AE7027" w:rsidRPr="00661363" w:rsidRDefault="00C260A9" w:rsidP="00661363">
      <w:pPr>
        <w:adjustRightInd w:val="0"/>
        <w:snapToGrid w:val="0"/>
        <w:spacing w:line="360" w:lineRule="auto"/>
        <w:rPr>
          <w:rFonts w:ascii="Book Antiqua" w:eastAsia="等线" w:hAnsi="Book Antiqua" w:cs="Garamond"/>
          <w:color w:val="000000" w:themeColor="text1"/>
          <w:sz w:val="24"/>
          <w:szCs w:val="24"/>
        </w:rPr>
      </w:pPr>
      <w:r w:rsidRPr="00661363">
        <w:rPr>
          <w:rFonts w:ascii="Book Antiqua" w:eastAsia="等线" w:hAnsi="Book Antiqua" w:cs="Times New Roman"/>
          <w:b/>
          <w:color w:val="000000" w:themeColor="text1"/>
          <w:sz w:val="24"/>
          <w:szCs w:val="24"/>
        </w:rPr>
        <w:t>Jie-Min Chen, Yao-Tang Zhong, Chang Tu</w:t>
      </w:r>
      <w:r w:rsidRPr="00661363">
        <w:rPr>
          <w:rFonts w:ascii="Book Antiqua" w:eastAsia="等线" w:hAnsi="Book Antiqua" w:cs="Garamond"/>
          <w:b/>
          <w:color w:val="000000" w:themeColor="text1"/>
          <w:sz w:val="24"/>
          <w:szCs w:val="24"/>
        </w:rPr>
        <w:t xml:space="preserve">, Jun Lan, </w:t>
      </w:r>
      <w:r w:rsidRPr="00661363">
        <w:rPr>
          <w:rFonts w:ascii="Book Antiqua" w:eastAsia="等线" w:hAnsi="Book Antiqua" w:cs="Garamond"/>
          <w:color w:val="000000" w:themeColor="text1"/>
          <w:sz w:val="24"/>
          <w:szCs w:val="24"/>
        </w:rPr>
        <w:t xml:space="preserve">Department of </w:t>
      </w:r>
      <w:r w:rsidR="00CB0D6E" w:rsidRPr="00661363">
        <w:rPr>
          <w:rFonts w:ascii="Book Antiqua" w:eastAsia="等线" w:hAnsi="Book Antiqua" w:cs="Garamond"/>
          <w:color w:val="000000" w:themeColor="text1"/>
          <w:sz w:val="24"/>
          <w:szCs w:val="24"/>
        </w:rPr>
        <w:t xml:space="preserve">Cardiovascular </w:t>
      </w:r>
      <w:r w:rsidRPr="00661363">
        <w:rPr>
          <w:rFonts w:ascii="Book Antiqua" w:eastAsia="等线" w:hAnsi="Book Antiqua" w:cs="Garamond"/>
          <w:color w:val="000000" w:themeColor="text1"/>
          <w:sz w:val="24"/>
          <w:szCs w:val="24"/>
        </w:rPr>
        <w:t xml:space="preserve">Medicine, Dongguan Songshan Lake Central Hospital, Dongguan Institute of </w:t>
      </w:r>
      <w:r w:rsidR="00CB0D6E" w:rsidRPr="00661363">
        <w:rPr>
          <w:rFonts w:ascii="Book Antiqua" w:eastAsia="等线" w:hAnsi="Book Antiqua" w:cs="Garamond"/>
          <w:color w:val="000000" w:themeColor="text1"/>
          <w:sz w:val="24"/>
          <w:szCs w:val="24"/>
        </w:rPr>
        <w:t>Cardiovascular Disease</w:t>
      </w:r>
      <w:r w:rsidRPr="00661363">
        <w:rPr>
          <w:rFonts w:ascii="Book Antiqua" w:eastAsia="等线" w:hAnsi="Book Antiqua" w:cs="Garamond"/>
          <w:color w:val="000000" w:themeColor="text1"/>
          <w:sz w:val="24"/>
          <w:szCs w:val="24"/>
        </w:rPr>
        <w:t>, Dongguan</w:t>
      </w:r>
      <w:r w:rsidR="00CB0D6E" w:rsidRPr="00661363">
        <w:rPr>
          <w:rFonts w:ascii="Book Antiqua" w:eastAsia="等线" w:hAnsi="Book Antiqua" w:cs="Garamond"/>
          <w:color w:val="000000" w:themeColor="text1"/>
          <w:sz w:val="24"/>
          <w:szCs w:val="24"/>
        </w:rPr>
        <w:t xml:space="preserve"> 523326</w:t>
      </w:r>
      <w:r w:rsidRPr="00661363">
        <w:rPr>
          <w:rFonts w:ascii="Book Antiqua" w:eastAsia="等线" w:hAnsi="Book Antiqua" w:cs="Garamond"/>
          <w:color w:val="000000" w:themeColor="text1"/>
          <w:sz w:val="24"/>
          <w:szCs w:val="24"/>
        </w:rPr>
        <w:t>, Guangdong</w:t>
      </w:r>
      <w:r w:rsidR="00CB0D6E" w:rsidRPr="00661363">
        <w:rPr>
          <w:rFonts w:ascii="Book Antiqua" w:eastAsia="等线" w:hAnsi="Book Antiqua" w:cs="Garamond"/>
          <w:color w:val="000000" w:themeColor="text1"/>
          <w:sz w:val="24"/>
          <w:szCs w:val="24"/>
        </w:rPr>
        <w:t xml:space="preserve"> Province</w:t>
      </w:r>
      <w:r w:rsidRPr="00661363">
        <w:rPr>
          <w:rFonts w:ascii="Book Antiqua" w:eastAsia="等线" w:hAnsi="Book Antiqua" w:cs="Garamond"/>
          <w:color w:val="000000" w:themeColor="text1"/>
          <w:sz w:val="24"/>
          <w:szCs w:val="24"/>
        </w:rPr>
        <w:t>, China</w:t>
      </w:r>
    </w:p>
    <w:p w14:paraId="3D990D40" w14:textId="77777777" w:rsidR="00046035" w:rsidRPr="00661363" w:rsidRDefault="00046035" w:rsidP="00661363">
      <w:pPr>
        <w:adjustRightInd w:val="0"/>
        <w:snapToGrid w:val="0"/>
        <w:spacing w:line="360" w:lineRule="auto"/>
        <w:rPr>
          <w:rFonts w:ascii="Book Antiqua" w:eastAsia="等线" w:hAnsi="Book Antiqua" w:cs="Garamond"/>
          <w:color w:val="000000" w:themeColor="text1"/>
          <w:sz w:val="24"/>
          <w:szCs w:val="24"/>
        </w:rPr>
      </w:pPr>
    </w:p>
    <w:p w14:paraId="20DD5402" w14:textId="77777777" w:rsidR="00AE7027" w:rsidRPr="00661363" w:rsidRDefault="00C260A9" w:rsidP="00661363">
      <w:pPr>
        <w:adjustRightInd w:val="0"/>
        <w:snapToGrid w:val="0"/>
        <w:spacing w:line="360" w:lineRule="auto"/>
        <w:rPr>
          <w:rFonts w:ascii="Book Antiqua" w:eastAsia="等线" w:hAnsi="Book Antiqua" w:cs="Garamond"/>
          <w:color w:val="000000" w:themeColor="text1"/>
          <w:sz w:val="24"/>
          <w:szCs w:val="24"/>
        </w:rPr>
      </w:pPr>
      <w:r w:rsidRPr="00661363">
        <w:rPr>
          <w:rFonts w:ascii="Book Antiqua" w:eastAsia="等线" w:hAnsi="Book Antiqua" w:cs="Garamond"/>
          <w:b/>
          <w:color w:val="000000" w:themeColor="text1"/>
          <w:sz w:val="24"/>
          <w:szCs w:val="24"/>
        </w:rPr>
        <w:t>Author contributions:</w:t>
      </w:r>
      <w:r w:rsidRPr="00661363">
        <w:rPr>
          <w:rFonts w:ascii="Book Antiqua" w:eastAsia="等线" w:hAnsi="Book Antiqua" w:cs="Garamond"/>
          <w:color w:val="000000" w:themeColor="text1"/>
          <w:sz w:val="24"/>
          <w:szCs w:val="24"/>
        </w:rPr>
        <w:t xml:space="preserve"> </w:t>
      </w:r>
      <w:r w:rsidRPr="00661363">
        <w:rPr>
          <w:rFonts w:ascii="Book Antiqua" w:eastAsia="等线" w:hAnsi="Book Antiqua" w:cs="Times New Roman"/>
          <w:color w:val="000000" w:themeColor="text1"/>
          <w:sz w:val="24"/>
          <w:szCs w:val="24"/>
        </w:rPr>
        <w:t>Chen JM</w:t>
      </w:r>
      <w:r w:rsidRPr="00661363">
        <w:rPr>
          <w:rFonts w:ascii="Book Antiqua" w:eastAsia="等线" w:hAnsi="Book Antiqua" w:cs="Garamond"/>
          <w:color w:val="000000" w:themeColor="text1"/>
          <w:sz w:val="24"/>
          <w:szCs w:val="24"/>
        </w:rPr>
        <w:t xml:space="preserve"> and </w:t>
      </w:r>
      <w:r w:rsidRPr="00661363">
        <w:rPr>
          <w:rFonts w:ascii="Book Antiqua" w:eastAsia="等线" w:hAnsi="Book Antiqua" w:cs="Times New Roman"/>
          <w:color w:val="000000" w:themeColor="text1"/>
          <w:sz w:val="24"/>
          <w:szCs w:val="24"/>
        </w:rPr>
        <w:t>Zhong YT designed this retrospective study;</w:t>
      </w:r>
      <w:r w:rsidRPr="00661363">
        <w:rPr>
          <w:rFonts w:ascii="Book Antiqua" w:eastAsia="等线" w:hAnsi="Book Antiqua" w:cs="Garamond"/>
          <w:color w:val="000000" w:themeColor="text1"/>
          <w:sz w:val="24"/>
          <w:szCs w:val="24"/>
        </w:rPr>
        <w:t xml:space="preserve"> Chen JM</w:t>
      </w:r>
      <w:r w:rsidRPr="00661363">
        <w:rPr>
          <w:rFonts w:ascii="Book Antiqua" w:eastAsia="等线" w:hAnsi="Book Antiqua" w:cs="Times New Roman"/>
          <w:color w:val="000000" w:themeColor="text1"/>
          <w:sz w:val="24"/>
          <w:szCs w:val="24"/>
        </w:rPr>
        <w:t xml:space="preserve"> wrote this paper; Tu C was responsible for sorting the data.</w:t>
      </w:r>
    </w:p>
    <w:p w14:paraId="76C9CD02" w14:textId="77777777" w:rsidR="00725F55" w:rsidRPr="00661363" w:rsidRDefault="00725F55" w:rsidP="00661363">
      <w:pPr>
        <w:adjustRightInd w:val="0"/>
        <w:snapToGrid w:val="0"/>
        <w:spacing w:line="360" w:lineRule="auto"/>
        <w:rPr>
          <w:rFonts w:ascii="Book Antiqua" w:hAnsi="Book Antiqua"/>
          <w:b/>
          <w:color w:val="000000" w:themeColor="text1"/>
          <w:sz w:val="24"/>
          <w:szCs w:val="24"/>
        </w:rPr>
      </w:pPr>
    </w:p>
    <w:p w14:paraId="408D5D14" w14:textId="75E84B31" w:rsidR="00AE7027" w:rsidRPr="00661363" w:rsidRDefault="00B21AED" w:rsidP="00661363">
      <w:pPr>
        <w:adjustRightInd w:val="0"/>
        <w:snapToGrid w:val="0"/>
        <w:spacing w:line="360" w:lineRule="auto"/>
        <w:rPr>
          <w:rFonts w:ascii="Book Antiqua" w:eastAsia="等线" w:hAnsi="Book Antiqua" w:cs="Garamond"/>
          <w:color w:val="000000" w:themeColor="text1"/>
          <w:sz w:val="24"/>
          <w:szCs w:val="24"/>
        </w:rPr>
      </w:pPr>
      <w:bookmarkStart w:id="10" w:name="_Hlk35894294"/>
      <w:r w:rsidRPr="00661363">
        <w:rPr>
          <w:rFonts w:ascii="Book Antiqua" w:hAnsi="Book Antiqua"/>
          <w:b/>
          <w:color w:val="000000" w:themeColor="text1"/>
          <w:sz w:val="24"/>
          <w:szCs w:val="24"/>
        </w:rPr>
        <w:t xml:space="preserve">Corresponding author: </w:t>
      </w:r>
      <w:r w:rsidR="00C260A9" w:rsidRPr="00661363">
        <w:rPr>
          <w:rFonts w:ascii="Book Antiqua" w:eastAsia="等线" w:hAnsi="Book Antiqua" w:cs="Garamond"/>
          <w:b/>
          <w:color w:val="000000" w:themeColor="text1"/>
          <w:sz w:val="24"/>
          <w:szCs w:val="24"/>
        </w:rPr>
        <w:t>Jun Lan, M</w:t>
      </w:r>
      <w:r w:rsidR="00686901" w:rsidRPr="00661363">
        <w:rPr>
          <w:rFonts w:ascii="Book Antiqua" w:eastAsia="等线" w:hAnsi="Book Antiqua" w:cs="Garamond"/>
          <w:b/>
          <w:color w:val="000000" w:themeColor="text1"/>
          <w:sz w:val="24"/>
          <w:szCs w:val="24"/>
        </w:rPr>
        <w:t>D</w:t>
      </w:r>
      <w:r w:rsidR="00C260A9" w:rsidRPr="00661363">
        <w:rPr>
          <w:rFonts w:ascii="Book Antiqua" w:eastAsia="等线" w:hAnsi="Book Antiqua" w:cs="Garamond"/>
          <w:b/>
          <w:color w:val="000000" w:themeColor="text1"/>
          <w:sz w:val="24"/>
          <w:szCs w:val="24"/>
        </w:rPr>
        <w:t xml:space="preserve">, Chief </w:t>
      </w:r>
      <w:r w:rsidR="00686901" w:rsidRPr="00661363">
        <w:rPr>
          <w:rFonts w:ascii="Book Antiqua" w:eastAsia="等线" w:hAnsi="Book Antiqua" w:cs="Garamond"/>
          <w:b/>
          <w:color w:val="000000" w:themeColor="text1"/>
          <w:sz w:val="24"/>
          <w:szCs w:val="24"/>
        </w:rPr>
        <w:t>P</w:t>
      </w:r>
      <w:r w:rsidR="00C260A9" w:rsidRPr="00661363">
        <w:rPr>
          <w:rFonts w:ascii="Book Antiqua" w:eastAsia="等线" w:hAnsi="Book Antiqua" w:cs="Garamond"/>
          <w:b/>
          <w:color w:val="000000" w:themeColor="text1"/>
          <w:sz w:val="24"/>
          <w:szCs w:val="24"/>
        </w:rPr>
        <w:t>hysician,</w:t>
      </w:r>
      <w:r w:rsidR="00C260A9" w:rsidRPr="00661363">
        <w:rPr>
          <w:rFonts w:ascii="Book Antiqua" w:eastAsia="等线" w:hAnsi="Book Antiqua" w:cs="Garamond"/>
          <w:color w:val="000000" w:themeColor="text1"/>
          <w:sz w:val="24"/>
          <w:szCs w:val="24"/>
        </w:rPr>
        <w:t xml:space="preserve"> Department of </w:t>
      </w:r>
      <w:r w:rsidR="00725F55" w:rsidRPr="00661363">
        <w:rPr>
          <w:rFonts w:ascii="Book Antiqua" w:eastAsia="等线" w:hAnsi="Book Antiqua" w:cs="Garamond"/>
          <w:color w:val="000000" w:themeColor="text1"/>
          <w:sz w:val="24"/>
          <w:szCs w:val="24"/>
        </w:rPr>
        <w:t xml:space="preserve">Cardiovascular </w:t>
      </w:r>
      <w:r w:rsidR="00C260A9" w:rsidRPr="00661363">
        <w:rPr>
          <w:rFonts w:ascii="Book Antiqua" w:eastAsia="等线" w:hAnsi="Book Antiqua" w:cs="Garamond"/>
          <w:color w:val="000000" w:themeColor="text1"/>
          <w:sz w:val="24"/>
          <w:szCs w:val="24"/>
        </w:rPr>
        <w:t xml:space="preserve">Medicine, Dongguan Songshan Lake Central Hospital, Dongguan Institute of </w:t>
      </w:r>
      <w:r w:rsidR="00725F55" w:rsidRPr="00661363">
        <w:rPr>
          <w:rFonts w:ascii="Book Antiqua" w:eastAsia="等线" w:hAnsi="Book Antiqua" w:cs="Garamond"/>
          <w:color w:val="000000" w:themeColor="text1"/>
          <w:sz w:val="24"/>
          <w:szCs w:val="24"/>
        </w:rPr>
        <w:t>Cardiovascular Disease</w:t>
      </w:r>
      <w:r w:rsidR="00C260A9" w:rsidRPr="00661363">
        <w:rPr>
          <w:rFonts w:ascii="Book Antiqua" w:eastAsia="等线" w:hAnsi="Book Antiqua" w:cs="Garamond"/>
          <w:color w:val="000000" w:themeColor="text1"/>
          <w:sz w:val="24"/>
          <w:szCs w:val="24"/>
        </w:rPr>
        <w:t xml:space="preserve">, </w:t>
      </w:r>
      <w:r w:rsidR="00725F55" w:rsidRPr="00661363">
        <w:rPr>
          <w:rFonts w:ascii="Book Antiqua" w:eastAsia="等线" w:hAnsi="Book Antiqua" w:cs="Garamond"/>
          <w:color w:val="000000" w:themeColor="text1"/>
          <w:sz w:val="24"/>
          <w:szCs w:val="24"/>
        </w:rPr>
        <w:t xml:space="preserve">No. </w:t>
      </w:r>
      <w:r w:rsidR="00C260A9" w:rsidRPr="00661363">
        <w:rPr>
          <w:rFonts w:ascii="Book Antiqua" w:eastAsia="等线" w:hAnsi="Book Antiqua" w:cs="Garamond"/>
          <w:color w:val="000000" w:themeColor="text1"/>
          <w:sz w:val="24"/>
          <w:szCs w:val="24"/>
        </w:rPr>
        <w:t>1</w:t>
      </w:r>
      <w:r w:rsidR="00725F55" w:rsidRPr="00661363">
        <w:rPr>
          <w:rFonts w:ascii="Book Antiqua" w:eastAsia="等线" w:hAnsi="Book Antiqua" w:cs="Garamond"/>
          <w:color w:val="000000" w:themeColor="text1"/>
          <w:sz w:val="24"/>
          <w:szCs w:val="24"/>
        </w:rPr>
        <w:t>,</w:t>
      </w:r>
      <w:r w:rsidR="00C260A9" w:rsidRPr="00661363">
        <w:rPr>
          <w:rFonts w:ascii="Book Antiqua" w:eastAsia="等线" w:hAnsi="Book Antiqua" w:cs="Garamond"/>
          <w:color w:val="000000" w:themeColor="text1"/>
          <w:sz w:val="24"/>
          <w:szCs w:val="24"/>
        </w:rPr>
        <w:t xml:space="preserve"> Xianglong Road, Dongguan</w:t>
      </w:r>
      <w:r w:rsidR="00725F55" w:rsidRPr="00661363">
        <w:rPr>
          <w:rFonts w:ascii="Book Antiqua" w:eastAsia="等线" w:hAnsi="Book Antiqua" w:cs="Garamond"/>
          <w:color w:val="000000" w:themeColor="text1"/>
          <w:sz w:val="24"/>
          <w:szCs w:val="24"/>
        </w:rPr>
        <w:t xml:space="preserve"> 523326</w:t>
      </w:r>
      <w:r w:rsidR="00C260A9" w:rsidRPr="00661363">
        <w:rPr>
          <w:rFonts w:ascii="Book Antiqua" w:eastAsia="等线" w:hAnsi="Book Antiqua" w:cs="Garamond"/>
          <w:color w:val="000000" w:themeColor="text1"/>
          <w:sz w:val="24"/>
          <w:szCs w:val="24"/>
        </w:rPr>
        <w:t>, Guangdong</w:t>
      </w:r>
      <w:r w:rsidR="00725F55" w:rsidRPr="00661363">
        <w:rPr>
          <w:rFonts w:ascii="Book Antiqua" w:eastAsia="等线" w:hAnsi="Book Antiqua" w:cs="Garamond"/>
          <w:color w:val="000000" w:themeColor="text1"/>
          <w:sz w:val="24"/>
          <w:szCs w:val="24"/>
        </w:rPr>
        <w:t xml:space="preserve"> Province</w:t>
      </w:r>
      <w:r w:rsidR="00C260A9" w:rsidRPr="00661363">
        <w:rPr>
          <w:rFonts w:ascii="Book Antiqua" w:eastAsia="等线" w:hAnsi="Book Antiqua" w:cs="Garamond"/>
          <w:color w:val="000000" w:themeColor="text1"/>
          <w:sz w:val="24"/>
          <w:szCs w:val="24"/>
        </w:rPr>
        <w:t xml:space="preserve">, China. </w:t>
      </w:r>
      <w:hyperlink r:id="rId10" w:history="1">
        <w:r w:rsidR="00725F55" w:rsidRPr="00661363">
          <w:rPr>
            <w:rStyle w:val="a8"/>
            <w:rFonts w:ascii="Book Antiqua" w:eastAsia="等线" w:hAnsi="Book Antiqua" w:cs="Garamond"/>
            <w:color w:val="000000" w:themeColor="text1"/>
            <w:sz w:val="24"/>
            <w:szCs w:val="24"/>
          </w:rPr>
          <w:t>dglanjun@163.com</w:t>
        </w:r>
      </w:hyperlink>
    </w:p>
    <w:p w14:paraId="1C76C031" w14:textId="77777777" w:rsidR="005C2A40" w:rsidRPr="00661363" w:rsidRDefault="005C2A40" w:rsidP="00661363">
      <w:pPr>
        <w:widowControl/>
        <w:adjustRightInd w:val="0"/>
        <w:snapToGrid w:val="0"/>
        <w:spacing w:line="360" w:lineRule="auto"/>
        <w:rPr>
          <w:rFonts w:ascii="Book Antiqua" w:hAnsi="Book Antiqua"/>
          <w:b/>
          <w:color w:val="000000" w:themeColor="text1"/>
          <w:sz w:val="24"/>
          <w:szCs w:val="24"/>
        </w:rPr>
      </w:pPr>
    </w:p>
    <w:p w14:paraId="4DB79890" w14:textId="2FE1C84F" w:rsidR="005C2A40" w:rsidRPr="00661363" w:rsidRDefault="005C2A40" w:rsidP="00661363">
      <w:pPr>
        <w:widowControl/>
        <w:adjustRightInd w:val="0"/>
        <w:snapToGrid w:val="0"/>
        <w:spacing w:line="360" w:lineRule="auto"/>
        <w:rPr>
          <w:rFonts w:ascii="Book Antiqua" w:hAnsi="Book Antiqua"/>
          <w:b/>
          <w:color w:val="000000" w:themeColor="text1"/>
          <w:sz w:val="24"/>
          <w:szCs w:val="24"/>
        </w:rPr>
      </w:pPr>
      <w:r w:rsidRPr="00661363">
        <w:rPr>
          <w:rFonts w:ascii="Book Antiqua" w:hAnsi="Book Antiqua"/>
          <w:b/>
          <w:color w:val="000000" w:themeColor="text1"/>
          <w:sz w:val="24"/>
          <w:szCs w:val="24"/>
        </w:rPr>
        <w:t xml:space="preserve">Received: </w:t>
      </w:r>
      <w:r w:rsidRPr="00661363">
        <w:rPr>
          <w:rFonts w:ascii="Book Antiqua" w:hAnsi="Book Antiqua"/>
          <w:color w:val="000000" w:themeColor="text1"/>
          <w:sz w:val="24"/>
          <w:szCs w:val="24"/>
        </w:rPr>
        <w:t>April 9, 2020</w:t>
      </w:r>
    </w:p>
    <w:p w14:paraId="1764B717" w14:textId="0C5C12C4" w:rsidR="005C2A40" w:rsidRPr="00661363" w:rsidRDefault="005C2A40" w:rsidP="00661363">
      <w:pPr>
        <w:widowControl/>
        <w:adjustRightInd w:val="0"/>
        <w:snapToGrid w:val="0"/>
        <w:spacing w:line="360" w:lineRule="auto"/>
        <w:rPr>
          <w:rFonts w:ascii="Book Antiqua" w:hAnsi="Book Antiqua"/>
          <w:b/>
          <w:color w:val="000000" w:themeColor="text1"/>
          <w:sz w:val="24"/>
          <w:szCs w:val="24"/>
        </w:rPr>
      </w:pPr>
      <w:r w:rsidRPr="00661363">
        <w:rPr>
          <w:rFonts w:ascii="Book Antiqua" w:hAnsi="Book Antiqua"/>
          <w:b/>
          <w:color w:val="000000" w:themeColor="text1"/>
          <w:sz w:val="24"/>
          <w:szCs w:val="24"/>
        </w:rPr>
        <w:t xml:space="preserve">Revised: </w:t>
      </w:r>
      <w:r w:rsidR="002D786A" w:rsidRPr="00661363">
        <w:rPr>
          <w:rFonts w:ascii="Book Antiqua" w:hAnsi="Book Antiqua"/>
          <w:color w:val="000000" w:themeColor="text1"/>
          <w:sz w:val="24"/>
          <w:szCs w:val="24"/>
        </w:rPr>
        <w:t>May 12, 2020</w:t>
      </w:r>
    </w:p>
    <w:p w14:paraId="0DD09A9E" w14:textId="4CDF6765" w:rsidR="005C2A40" w:rsidRPr="00661363" w:rsidRDefault="005C2A40" w:rsidP="00661363">
      <w:pPr>
        <w:widowControl/>
        <w:adjustRightInd w:val="0"/>
        <w:snapToGrid w:val="0"/>
        <w:spacing w:line="360" w:lineRule="auto"/>
        <w:rPr>
          <w:rFonts w:ascii="Book Antiqua" w:hAnsi="Book Antiqua"/>
          <w:b/>
          <w:color w:val="000000" w:themeColor="text1"/>
          <w:sz w:val="24"/>
          <w:szCs w:val="24"/>
        </w:rPr>
      </w:pPr>
      <w:r w:rsidRPr="00661363">
        <w:rPr>
          <w:rFonts w:ascii="Book Antiqua" w:hAnsi="Book Antiqua"/>
          <w:b/>
          <w:color w:val="000000" w:themeColor="text1"/>
          <w:sz w:val="24"/>
          <w:szCs w:val="24"/>
        </w:rPr>
        <w:t>Accepted:</w:t>
      </w:r>
      <w:r w:rsidR="00EE007A" w:rsidRPr="00EE007A">
        <w:rPr>
          <w:bCs/>
        </w:rPr>
        <w:t xml:space="preserve"> </w:t>
      </w:r>
      <w:r w:rsidR="00EE007A" w:rsidRPr="00EE007A">
        <w:rPr>
          <w:rFonts w:ascii="Book Antiqua" w:hAnsi="Book Antiqua"/>
          <w:bCs/>
          <w:color w:val="000000" w:themeColor="text1"/>
          <w:sz w:val="24"/>
          <w:szCs w:val="24"/>
        </w:rPr>
        <w:t>July 14, 2020</w:t>
      </w:r>
      <w:r w:rsidRPr="00EE007A">
        <w:rPr>
          <w:rFonts w:ascii="Book Antiqua" w:hAnsi="Book Antiqua"/>
          <w:bCs/>
          <w:color w:val="000000" w:themeColor="text1"/>
          <w:sz w:val="24"/>
          <w:szCs w:val="24"/>
        </w:rPr>
        <w:t xml:space="preserve"> </w:t>
      </w:r>
    </w:p>
    <w:p w14:paraId="16C847CA" w14:textId="3CE42AE1" w:rsidR="005C2A40" w:rsidRPr="00661363" w:rsidRDefault="005C2A40" w:rsidP="00661363">
      <w:pPr>
        <w:widowControl/>
        <w:adjustRightInd w:val="0"/>
        <w:snapToGrid w:val="0"/>
        <w:spacing w:line="360" w:lineRule="auto"/>
        <w:rPr>
          <w:rFonts w:ascii="Book Antiqua" w:hAnsi="Book Antiqua"/>
          <w:b/>
          <w:color w:val="000000" w:themeColor="text1"/>
          <w:sz w:val="24"/>
          <w:szCs w:val="24"/>
        </w:rPr>
      </w:pPr>
      <w:r w:rsidRPr="00661363">
        <w:rPr>
          <w:rFonts w:ascii="Book Antiqua" w:hAnsi="Book Antiqua"/>
          <w:b/>
          <w:color w:val="000000" w:themeColor="text1"/>
          <w:sz w:val="24"/>
          <w:szCs w:val="24"/>
        </w:rPr>
        <w:t>Published online:</w:t>
      </w:r>
      <w:r w:rsidR="002A338B" w:rsidRPr="002A338B">
        <w:rPr>
          <w:rFonts w:ascii="Book Antiqua" w:hAnsi="Book Antiqua"/>
          <w:color w:val="000000"/>
        </w:rPr>
        <w:t xml:space="preserve"> </w:t>
      </w:r>
      <w:r w:rsidR="002A338B" w:rsidRPr="00DD3935">
        <w:rPr>
          <w:rFonts w:ascii="Book Antiqua" w:hAnsi="Book Antiqua"/>
          <w:color w:val="000000"/>
        </w:rPr>
        <w:t>August</w:t>
      </w:r>
      <w:r w:rsidR="002A338B" w:rsidRPr="00DD3935">
        <w:rPr>
          <w:rFonts w:ascii="Book Antiqua" w:hAnsi="Book Antiqua" w:hint="eastAsia"/>
          <w:color w:val="000000"/>
        </w:rPr>
        <w:t xml:space="preserve"> 26, 2020</w:t>
      </w:r>
    </w:p>
    <w:p w14:paraId="4F8B6BF7" w14:textId="77777777" w:rsidR="00725F55" w:rsidRPr="00661363" w:rsidRDefault="00725F55" w:rsidP="00661363">
      <w:pPr>
        <w:adjustRightInd w:val="0"/>
        <w:snapToGrid w:val="0"/>
        <w:spacing w:line="360" w:lineRule="auto"/>
        <w:rPr>
          <w:rFonts w:ascii="Book Antiqua" w:eastAsia="等线" w:hAnsi="Book Antiqua" w:cs="Garamond"/>
          <w:color w:val="000000" w:themeColor="text1"/>
          <w:sz w:val="24"/>
          <w:szCs w:val="24"/>
        </w:rPr>
      </w:pPr>
    </w:p>
    <w:bookmarkEnd w:id="10"/>
    <w:p w14:paraId="5A3E3CED" w14:textId="77777777" w:rsidR="005C2A40" w:rsidRPr="00661363" w:rsidRDefault="005C2A40" w:rsidP="00661363">
      <w:pPr>
        <w:widowControl/>
        <w:adjustRightInd w:val="0"/>
        <w:snapToGrid w:val="0"/>
        <w:spacing w:line="360" w:lineRule="auto"/>
        <w:rPr>
          <w:rFonts w:ascii="Book Antiqua" w:eastAsia="等线" w:hAnsi="Book Antiqua" w:cs="Garamond"/>
          <w:b/>
          <w:color w:val="000000" w:themeColor="text1"/>
          <w:sz w:val="24"/>
          <w:szCs w:val="24"/>
        </w:rPr>
      </w:pPr>
      <w:r w:rsidRPr="00661363">
        <w:rPr>
          <w:rFonts w:ascii="Book Antiqua" w:eastAsia="等线" w:hAnsi="Book Antiqua" w:cs="Garamond"/>
          <w:b/>
          <w:color w:val="000000" w:themeColor="text1"/>
          <w:sz w:val="24"/>
          <w:szCs w:val="24"/>
        </w:rPr>
        <w:br w:type="page"/>
      </w:r>
    </w:p>
    <w:p w14:paraId="6FA82B6F" w14:textId="5BEAD019" w:rsidR="00AE7027" w:rsidRPr="00661363" w:rsidRDefault="00C260A9" w:rsidP="00661363">
      <w:pPr>
        <w:adjustRightInd w:val="0"/>
        <w:snapToGrid w:val="0"/>
        <w:spacing w:line="360" w:lineRule="auto"/>
        <w:rPr>
          <w:rFonts w:ascii="Book Antiqua" w:hAnsi="Book Antiqua" w:cs="Times New Roman"/>
          <w:b/>
          <w:bCs/>
          <w:color w:val="000000" w:themeColor="text1"/>
          <w:kern w:val="0"/>
          <w:sz w:val="24"/>
          <w:szCs w:val="24"/>
        </w:rPr>
      </w:pPr>
      <w:r w:rsidRPr="00661363">
        <w:rPr>
          <w:rFonts w:ascii="Book Antiqua" w:hAnsi="Book Antiqua" w:cs="Times New Roman"/>
          <w:b/>
          <w:bCs/>
          <w:color w:val="000000" w:themeColor="text1"/>
          <w:kern w:val="0"/>
          <w:sz w:val="24"/>
          <w:szCs w:val="24"/>
        </w:rPr>
        <w:lastRenderedPageBreak/>
        <w:t>Abstract</w:t>
      </w:r>
    </w:p>
    <w:p w14:paraId="11FF47D5" w14:textId="77777777" w:rsidR="00BD2EDF" w:rsidRPr="00661363" w:rsidRDefault="00BD2EDF" w:rsidP="00661363">
      <w:pPr>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BACKGROUND</w:t>
      </w:r>
    </w:p>
    <w:p w14:paraId="30ECFDB3" w14:textId="47FFCE1B" w:rsidR="00183D66" w:rsidRPr="00661363" w:rsidRDefault="00183D66" w:rsidP="00661363">
      <w:pPr>
        <w:adjustRightInd w:val="0"/>
        <w:snapToGrid w:val="0"/>
        <w:spacing w:line="360" w:lineRule="auto"/>
        <w:rPr>
          <w:rFonts w:ascii="Book Antiqua" w:hAnsi="Book Antiqua" w:cs="Times New Roman"/>
          <w:bCs/>
          <w:color w:val="000000" w:themeColor="text1"/>
          <w:sz w:val="24"/>
          <w:szCs w:val="24"/>
        </w:rPr>
      </w:pPr>
      <w:r w:rsidRPr="00661363">
        <w:rPr>
          <w:rFonts w:ascii="Book Antiqua" w:hAnsi="Book Antiqua" w:cs="Times New Roman"/>
          <w:bCs/>
          <w:color w:val="000000" w:themeColor="text1"/>
          <w:sz w:val="24"/>
          <w:szCs w:val="24"/>
        </w:rPr>
        <w:t>The incidence and prevalence of atrial fibrillation are increasing each year, and this condition is one of the most common clinical arrhythmias.</w:t>
      </w:r>
    </w:p>
    <w:p w14:paraId="50357DC8" w14:textId="77777777" w:rsidR="00BD2EDF" w:rsidRPr="00661363" w:rsidRDefault="00BD2EDF" w:rsidP="00661363">
      <w:pPr>
        <w:adjustRightInd w:val="0"/>
        <w:snapToGrid w:val="0"/>
        <w:spacing w:line="360" w:lineRule="auto"/>
        <w:rPr>
          <w:rFonts w:ascii="Book Antiqua" w:hAnsi="Book Antiqua" w:cs="Times New Roman"/>
          <w:b/>
          <w:bCs/>
          <w:i/>
          <w:iCs/>
          <w:color w:val="000000" w:themeColor="text1"/>
          <w:kern w:val="0"/>
          <w:sz w:val="24"/>
          <w:szCs w:val="24"/>
        </w:rPr>
      </w:pPr>
    </w:p>
    <w:p w14:paraId="2F1D80CA" w14:textId="77777777" w:rsidR="00BD2EDF" w:rsidRPr="00661363" w:rsidRDefault="00BD2EDF" w:rsidP="00661363">
      <w:pPr>
        <w:adjustRightInd w:val="0"/>
        <w:snapToGrid w:val="0"/>
        <w:spacing w:line="360" w:lineRule="auto"/>
        <w:rPr>
          <w:rFonts w:ascii="Book Antiqua" w:hAnsi="Book Antiqua"/>
          <w:color w:val="000000" w:themeColor="text1"/>
          <w:sz w:val="24"/>
          <w:szCs w:val="24"/>
          <w:lang w:val="en"/>
        </w:rPr>
      </w:pPr>
      <w:r w:rsidRPr="00661363">
        <w:rPr>
          <w:rFonts w:ascii="Book Antiqua" w:hAnsi="Book Antiqua"/>
          <w:color w:val="000000" w:themeColor="text1"/>
          <w:sz w:val="24"/>
          <w:szCs w:val="24"/>
        </w:rPr>
        <w:t>AIM</w:t>
      </w:r>
    </w:p>
    <w:p w14:paraId="40584535" w14:textId="218DF2B9" w:rsidR="00AE7027" w:rsidRPr="00661363" w:rsidRDefault="00C260A9" w:rsidP="00661363">
      <w:pPr>
        <w:adjustRightInd w:val="0"/>
        <w:snapToGrid w:val="0"/>
        <w:spacing w:line="360" w:lineRule="auto"/>
        <w:rPr>
          <w:rFonts w:ascii="Book Antiqua" w:hAnsi="Book Antiqua" w:cs="Times New Roman"/>
          <w:bCs/>
          <w:color w:val="000000" w:themeColor="text1"/>
          <w:kern w:val="0"/>
          <w:sz w:val="24"/>
          <w:szCs w:val="24"/>
        </w:rPr>
      </w:pPr>
      <w:r w:rsidRPr="00661363">
        <w:rPr>
          <w:rFonts w:ascii="Book Antiqua" w:hAnsi="Book Antiqua" w:cs="Times New Roman"/>
          <w:bCs/>
          <w:color w:val="000000" w:themeColor="text1"/>
          <w:kern w:val="0"/>
          <w:sz w:val="24"/>
          <w:szCs w:val="24"/>
        </w:rPr>
        <w:t>To investigate the levels and significance of serum fibroblast growth factor 23 (FGF-23) and miR-208b in patients with atrial fibrillation and the</w:t>
      </w:r>
      <w:r w:rsidR="00BD2EDF" w:rsidRPr="00661363">
        <w:rPr>
          <w:rFonts w:ascii="Book Antiqua" w:hAnsi="Book Antiqua" w:cs="Times New Roman"/>
          <w:bCs/>
          <w:color w:val="000000" w:themeColor="text1"/>
          <w:kern w:val="0"/>
          <w:sz w:val="24"/>
          <w:szCs w:val="24"/>
        </w:rPr>
        <w:t>ir relationship with prognosis.</w:t>
      </w:r>
    </w:p>
    <w:p w14:paraId="5DA56F08" w14:textId="77777777" w:rsidR="00BD2EDF" w:rsidRPr="00661363" w:rsidRDefault="00BD2EDF" w:rsidP="00661363">
      <w:pPr>
        <w:adjustRightInd w:val="0"/>
        <w:snapToGrid w:val="0"/>
        <w:spacing w:line="360" w:lineRule="auto"/>
        <w:rPr>
          <w:rFonts w:ascii="Book Antiqua" w:hAnsi="Book Antiqua" w:cs="Times New Roman"/>
          <w:bCs/>
          <w:color w:val="000000" w:themeColor="text1"/>
          <w:kern w:val="0"/>
          <w:sz w:val="24"/>
          <w:szCs w:val="24"/>
        </w:rPr>
      </w:pPr>
    </w:p>
    <w:p w14:paraId="049A3DBF" w14:textId="77777777" w:rsidR="00BD2EDF" w:rsidRPr="00661363" w:rsidRDefault="00BD2EDF" w:rsidP="00661363">
      <w:pPr>
        <w:adjustRightInd w:val="0"/>
        <w:snapToGrid w:val="0"/>
        <w:spacing w:line="360" w:lineRule="auto"/>
        <w:rPr>
          <w:rFonts w:ascii="Book Antiqua" w:hAnsi="Book Antiqua"/>
          <w:color w:val="000000" w:themeColor="text1"/>
          <w:sz w:val="24"/>
          <w:szCs w:val="24"/>
          <w:lang w:val="en"/>
        </w:rPr>
      </w:pPr>
      <w:r w:rsidRPr="00661363">
        <w:rPr>
          <w:rFonts w:ascii="Book Antiqua" w:hAnsi="Book Antiqua"/>
          <w:color w:val="000000" w:themeColor="text1"/>
          <w:sz w:val="24"/>
          <w:szCs w:val="24"/>
        </w:rPr>
        <w:t>METHODS</w:t>
      </w:r>
    </w:p>
    <w:p w14:paraId="32ABFA24" w14:textId="26461A52" w:rsidR="00AE7027" w:rsidRPr="00661363" w:rsidRDefault="00C260A9" w:rsidP="00661363">
      <w:pPr>
        <w:adjustRightInd w:val="0"/>
        <w:snapToGrid w:val="0"/>
        <w:spacing w:line="360" w:lineRule="auto"/>
        <w:rPr>
          <w:rFonts w:ascii="Book Antiqua" w:hAnsi="Book Antiqua" w:cs="Times New Roman"/>
          <w:color w:val="000000" w:themeColor="text1"/>
          <w:kern w:val="0"/>
          <w:sz w:val="24"/>
          <w:szCs w:val="24"/>
        </w:rPr>
      </w:pPr>
      <w:r w:rsidRPr="00661363">
        <w:rPr>
          <w:rFonts w:ascii="Book Antiqua" w:hAnsi="Book Antiqua" w:cs="Times New Roman"/>
          <w:color w:val="000000" w:themeColor="text1"/>
          <w:kern w:val="0"/>
          <w:sz w:val="24"/>
          <w:szCs w:val="24"/>
        </w:rPr>
        <w:t xml:space="preserve">From May 2018 to October 2019, 240 patients with atrial fibrillation were selected as </w:t>
      </w:r>
      <w:r w:rsidR="006E7DE5">
        <w:rPr>
          <w:rFonts w:ascii="Book Antiqua" w:hAnsi="Book Antiqua" w:cs="Times New Roman"/>
          <w:color w:val="000000" w:themeColor="text1"/>
          <w:kern w:val="0"/>
          <w:sz w:val="24"/>
          <w:szCs w:val="24"/>
        </w:rPr>
        <w:t xml:space="preserve">an </w:t>
      </w:r>
      <w:r w:rsidRPr="00661363">
        <w:rPr>
          <w:rFonts w:ascii="Book Antiqua" w:hAnsi="Book Antiqua" w:cs="Times New Roman"/>
          <w:color w:val="000000" w:themeColor="text1"/>
          <w:kern w:val="0"/>
          <w:sz w:val="24"/>
          <w:szCs w:val="24"/>
        </w:rPr>
        <w:t xml:space="preserve">observation group, including 134 with paroxysmal atrial fibrillation and 106 with persistent atrial fibrillation; 150 patients with healthy sinus rhythm were selected as </w:t>
      </w:r>
      <w:r w:rsidR="006E7DE5">
        <w:rPr>
          <w:rFonts w:ascii="Book Antiqua" w:hAnsi="Book Antiqua" w:cs="Times New Roman"/>
          <w:color w:val="000000" w:themeColor="text1"/>
          <w:kern w:val="0"/>
          <w:sz w:val="24"/>
          <w:szCs w:val="24"/>
        </w:rPr>
        <w:t>a</w:t>
      </w:r>
      <w:r w:rsidR="006E7DE5" w:rsidRPr="00661363">
        <w:rPr>
          <w:rFonts w:ascii="Book Antiqua" w:hAnsi="Book Antiqua" w:cs="Times New Roman"/>
          <w:color w:val="000000" w:themeColor="text1"/>
          <w:kern w:val="0"/>
          <w:sz w:val="24"/>
          <w:szCs w:val="24"/>
        </w:rPr>
        <w:t xml:space="preserve"> </w:t>
      </w:r>
      <w:r w:rsidRPr="00661363">
        <w:rPr>
          <w:rFonts w:ascii="Book Antiqua" w:hAnsi="Book Antiqua" w:cs="Times New Roman"/>
          <w:color w:val="000000" w:themeColor="text1"/>
          <w:kern w:val="0"/>
          <w:sz w:val="24"/>
          <w:szCs w:val="24"/>
        </w:rPr>
        <w:t>control group</w:t>
      </w:r>
      <w:r w:rsidRPr="00661363">
        <w:rPr>
          <w:rFonts w:ascii="Book Antiqua" w:eastAsia="等线" w:hAnsi="Book Antiqua" w:cs="Times New Roman"/>
          <w:color w:val="000000" w:themeColor="text1"/>
          <w:kern w:val="0"/>
          <w:sz w:val="24"/>
          <w:szCs w:val="24"/>
        </w:rPr>
        <w:t>.</w:t>
      </w:r>
      <w:r w:rsidRPr="00661363">
        <w:rPr>
          <w:rFonts w:ascii="Book Antiqua" w:hAnsi="Book Antiqua" w:cs="Times New Roman"/>
          <w:color w:val="000000" w:themeColor="text1"/>
          <w:kern w:val="0"/>
          <w:sz w:val="24"/>
          <w:szCs w:val="24"/>
        </w:rPr>
        <w:t xml:space="preserve"> The serum levels of FGF-23 and miR-208b in the two groups were measured</w:t>
      </w:r>
      <w:r w:rsidRPr="00661363">
        <w:rPr>
          <w:rFonts w:ascii="Book Antiqua" w:eastAsia="等线" w:hAnsi="Book Antiqua" w:cs="Times New Roman"/>
          <w:color w:val="000000" w:themeColor="text1"/>
          <w:kern w:val="0"/>
          <w:sz w:val="24"/>
          <w:szCs w:val="24"/>
        </w:rPr>
        <w:t>.</w:t>
      </w:r>
      <w:r w:rsidRPr="00661363">
        <w:rPr>
          <w:rFonts w:ascii="Book Antiqua" w:hAnsi="Book Antiqua" w:cs="Times New Roman"/>
          <w:color w:val="000000" w:themeColor="text1"/>
          <w:kern w:val="0"/>
          <w:sz w:val="24"/>
          <w:szCs w:val="24"/>
        </w:rPr>
        <w:t xml:space="preserve"> In the observation group, cardiac parameters were determined by echocardiography. </w:t>
      </w:r>
    </w:p>
    <w:p w14:paraId="65A9A188" w14:textId="77777777" w:rsidR="00BD2EDF" w:rsidRPr="00661363" w:rsidRDefault="00BD2EDF" w:rsidP="00661363">
      <w:pPr>
        <w:adjustRightInd w:val="0"/>
        <w:snapToGrid w:val="0"/>
        <w:spacing w:line="360" w:lineRule="auto"/>
        <w:rPr>
          <w:rFonts w:ascii="Book Antiqua" w:hAnsi="Book Antiqua"/>
          <w:b/>
          <w:color w:val="000000" w:themeColor="text1"/>
          <w:kern w:val="0"/>
          <w:sz w:val="24"/>
          <w:szCs w:val="24"/>
        </w:rPr>
      </w:pPr>
      <w:bookmarkStart w:id="11" w:name="_Hlk40224068"/>
    </w:p>
    <w:p w14:paraId="37A6D2C5" w14:textId="77777777" w:rsidR="00BD2EDF" w:rsidRPr="00661363" w:rsidRDefault="00BD2EDF" w:rsidP="00661363">
      <w:pPr>
        <w:adjustRightInd w:val="0"/>
        <w:snapToGrid w:val="0"/>
        <w:spacing w:line="360" w:lineRule="auto"/>
        <w:rPr>
          <w:rFonts w:ascii="Book Antiqua" w:hAnsi="Book Antiqua"/>
          <w:color w:val="000000" w:themeColor="text1"/>
          <w:sz w:val="24"/>
          <w:szCs w:val="24"/>
          <w:lang w:val="en"/>
        </w:rPr>
      </w:pPr>
      <w:r w:rsidRPr="00661363">
        <w:rPr>
          <w:rFonts w:ascii="Book Antiqua" w:hAnsi="Book Antiqua"/>
          <w:color w:val="000000" w:themeColor="text1"/>
          <w:sz w:val="24"/>
          <w:szCs w:val="24"/>
        </w:rPr>
        <w:t>RESULTS</w:t>
      </w:r>
    </w:p>
    <w:p w14:paraId="6D363230" w14:textId="54AFDA67" w:rsidR="00AE7027" w:rsidRPr="00661363" w:rsidRDefault="006E7DE5" w:rsidP="00661363">
      <w:pPr>
        <w:adjustRightInd w:val="0"/>
        <w:snapToGrid w:val="0"/>
        <w:spacing w:line="360" w:lineRule="auto"/>
        <w:rPr>
          <w:rFonts w:ascii="Book Antiqua" w:hAnsi="Book Antiqua" w:cs="Times New Roman"/>
          <w:color w:val="000000" w:themeColor="text1"/>
          <w:kern w:val="0"/>
          <w:sz w:val="24"/>
          <w:szCs w:val="24"/>
        </w:rPr>
      </w:pPr>
      <w:r>
        <w:rPr>
          <w:rFonts w:ascii="Book Antiqua" w:hAnsi="Book Antiqua" w:cs="Times New Roman"/>
          <w:color w:val="000000" w:themeColor="text1"/>
          <w:kern w:val="0"/>
          <w:sz w:val="24"/>
          <w:szCs w:val="24"/>
        </w:rPr>
        <w:t>T</w:t>
      </w:r>
      <w:r w:rsidRPr="00661363">
        <w:rPr>
          <w:rFonts w:ascii="Book Antiqua" w:hAnsi="Book Antiqua" w:cs="Times New Roman"/>
          <w:color w:val="000000" w:themeColor="text1"/>
          <w:kern w:val="0"/>
          <w:sz w:val="24"/>
          <w:szCs w:val="24"/>
        </w:rPr>
        <w:t>he serum levels</w:t>
      </w:r>
      <w:r>
        <w:rPr>
          <w:rFonts w:ascii="Book Antiqua" w:hAnsi="Book Antiqua" w:cs="Times New Roman"/>
          <w:color w:val="000000" w:themeColor="text1"/>
          <w:kern w:val="0"/>
          <w:sz w:val="24"/>
          <w:szCs w:val="24"/>
        </w:rPr>
        <w:t xml:space="preserve"> of</w:t>
      </w:r>
      <w:r w:rsidRPr="00661363">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FGF-23</w:t>
      </w:r>
      <w:r>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and</w:t>
      </w:r>
      <w:r>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miR-208b</w:t>
      </w:r>
      <w:r w:rsidR="006F0905" w:rsidRPr="00661363">
        <w:rPr>
          <w:rFonts w:ascii="Book Antiqua" w:hAnsi="Book Antiqua" w:cs="Times New Roman"/>
          <w:color w:val="000000" w:themeColor="text1"/>
          <w:kern w:val="0"/>
          <w:sz w:val="24"/>
          <w:szCs w:val="24"/>
        </w:rPr>
        <w:t xml:space="preserve"> in the observation group were </w:t>
      </w:r>
      <w:r w:rsidR="00C260A9" w:rsidRPr="00661363">
        <w:rPr>
          <w:rFonts w:ascii="Book Antiqua" w:hAnsi="Book Antiqua" w:cs="Times New Roman"/>
          <w:color w:val="000000" w:themeColor="text1"/>
          <w:kern w:val="0"/>
          <w:sz w:val="24"/>
          <w:szCs w:val="24"/>
        </w:rPr>
        <w:t>210.20 ± 89.60 ng/m</w:t>
      </w:r>
      <w:r w:rsidR="006F0905" w:rsidRPr="00661363">
        <w:rPr>
          <w:rFonts w:ascii="Book Antiqua" w:hAnsi="Book Antiqua" w:cs="Times New Roman"/>
          <w:color w:val="000000" w:themeColor="text1"/>
          <w:kern w:val="0"/>
          <w:sz w:val="24"/>
          <w:szCs w:val="24"/>
        </w:rPr>
        <w:t xml:space="preserve">L and </w:t>
      </w:r>
      <w:r w:rsidR="00C260A9" w:rsidRPr="00661363">
        <w:rPr>
          <w:rFonts w:ascii="Book Antiqua" w:hAnsi="Book Antiqua" w:cs="Times New Roman"/>
          <w:color w:val="000000" w:themeColor="text1"/>
          <w:kern w:val="0"/>
          <w:sz w:val="24"/>
          <w:szCs w:val="24"/>
        </w:rPr>
        <w:t>5.30 ± 1.22</w:t>
      </w:r>
      <w:r w:rsidR="006F0905" w:rsidRPr="00661363">
        <w:rPr>
          <w:rFonts w:ascii="Book Antiqua" w:hAnsi="Book Antiqua" w:cs="Times New Roman"/>
          <w:color w:val="000000" w:themeColor="text1"/>
          <w:kern w:val="0"/>
          <w:sz w:val="24"/>
          <w:szCs w:val="24"/>
        </w:rPr>
        <w:t xml:space="preserve"> ng/mL</w:t>
      </w:r>
      <w:r w:rsidR="00C260A9" w:rsidRPr="00661363">
        <w:rPr>
          <w:rFonts w:ascii="Book Antiqua" w:hAnsi="Book Antiqua" w:cs="Times New Roman"/>
          <w:color w:val="000000" w:themeColor="text1"/>
          <w:kern w:val="0"/>
          <w:sz w:val="24"/>
          <w:szCs w:val="24"/>
        </w:rPr>
        <w:t>, which were significantly higher than the corresponding values in the control group (</w:t>
      </w:r>
      <w:r w:rsidR="00C260A9" w:rsidRPr="00661363">
        <w:rPr>
          <w:rFonts w:ascii="Book Antiqua" w:hAnsi="Book Antiqua" w:cs="Times New Roman"/>
          <w:i/>
          <w:color w:val="000000" w:themeColor="text1"/>
          <w:kern w:val="0"/>
          <w:sz w:val="24"/>
          <w:szCs w:val="24"/>
        </w:rPr>
        <w:t>P</w:t>
      </w:r>
      <w:r w:rsidR="00C260A9" w:rsidRPr="00661363">
        <w:rPr>
          <w:rFonts w:ascii="Book Antiqua" w:hAnsi="Book Antiqua" w:cs="Times New Roman"/>
          <w:color w:val="000000" w:themeColor="text1"/>
          <w:kern w:val="0"/>
          <w:sz w:val="24"/>
          <w:szCs w:val="24"/>
        </w:rPr>
        <w:t xml:space="preserve"> &lt; 0.05). In the observation group, the </w:t>
      </w:r>
      <w:r w:rsidRPr="00661363">
        <w:rPr>
          <w:rFonts w:ascii="Book Antiqua" w:hAnsi="Book Antiqua" w:cs="Times New Roman"/>
          <w:color w:val="000000" w:themeColor="text1"/>
          <w:kern w:val="0"/>
          <w:sz w:val="24"/>
          <w:szCs w:val="24"/>
        </w:rPr>
        <w:t xml:space="preserve">serum </w:t>
      </w:r>
      <w:r w:rsidR="00C260A9" w:rsidRPr="00661363">
        <w:rPr>
          <w:rFonts w:ascii="Book Antiqua" w:hAnsi="Book Antiqua" w:cs="Times New Roman"/>
          <w:color w:val="000000" w:themeColor="text1"/>
          <w:kern w:val="0"/>
          <w:sz w:val="24"/>
          <w:szCs w:val="24"/>
        </w:rPr>
        <w:t>levels of FGF-23 and</w:t>
      </w:r>
      <w:r>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miR-208b in patients with persi</w:t>
      </w:r>
      <w:r w:rsidR="006F0905" w:rsidRPr="00661363">
        <w:rPr>
          <w:rFonts w:ascii="Book Antiqua" w:hAnsi="Book Antiqua" w:cs="Times New Roman"/>
          <w:color w:val="000000" w:themeColor="text1"/>
          <w:kern w:val="0"/>
          <w:sz w:val="24"/>
          <w:szCs w:val="24"/>
        </w:rPr>
        <w:t xml:space="preserve">stent atrial fibrillation were </w:t>
      </w:r>
      <w:r w:rsidR="00C260A9" w:rsidRPr="00661363">
        <w:rPr>
          <w:rFonts w:ascii="Book Antiqua" w:hAnsi="Book Antiqua" w:cs="Times New Roman"/>
          <w:color w:val="000000" w:themeColor="text1"/>
          <w:kern w:val="0"/>
          <w:sz w:val="24"/>
          <w:szCs w:val="24"/>
        </w:rPr>
        <w:t>234.22 ± 70.05 ng/m</w:t>
      </w:r>
      <w:r w:rsidR="006F0905" w:rsidRPr="00661363">
        <w:rPr>
          <w:rFonts w:ascii="Book Antiqua" w:hAnsi="Book Antiqua" w:cs="Times New Roman"/>
          <w:color w:val="000000" w:themeColor="text1"/>
          <w:kern w:val="0"/>
          <w:sz w:val="24"/>
          <w:szCs w:val="24"/>
        </w:rPr>
        <w:t>L and 5.83 ± 1.00 ng/mL</w:t>
      </w:r>
      <w:r w:rsidR="00C260A9" w:rsidRPr="00661363">
        <w:rPr>
          <w:rFonts w:ascii="Book Antiqua" w:hAnsi="Book Antiqua" w:cs="Times New Roman"/>
          <w:color w:val="000000" w:themeColor="text1"/>
          <w:kern w:val="0"/>
          <w:sz w:val="24"/>
          <w:szCs w:val="24"/>
        </w:rPr>
        <w:t>, which were significantly higher than the corresponding values in patients with paroxysmal atrial fibrillation (</w:t>
      </w:r>
      <w:r w:rsidR="00BD2EDF" w:rsidRPr="00661363">
        <w:rPr>
          <w:rFonts w:ascii="Book Antiqua" w:hAnsi="Book Antiqua" w:cs="Times New Roman"/>
          <w:i/>
          <w:color w:val="000000" w:themeColor="text1"/>
          <w:kern w:val="0"/>
          <w:sz w:val="24"/>
          <w:szCs w:val="24"/>
        </w:rPr>
        <w:t>P</w:t>
      </w:r>
      <w:r w:rsidR="00BD2EDF" w:rsidRPr="00661363">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&lt; 0.05). The left atrial dimension (LAD) of patients with pers</w:t>
      </w:r>
      <w:r w:rsidR="006F0905" w:rsidRPr="00661363">
        <w:rPr>
          <w:rFonts w:ascii="Book Antiqua" w:hAnsi="Book Antiqua" w:cs="Times New Roman"/>
          <w:color w:val="000000" w:themeColor="text1"/>
          <w:kern w:val="0"/>
          <w:sz w:val="24"/>
          <w:szCs w:val="24"/>
        </w:rPr>
        <w:t xml:space="preserve">istent atrial fibrillation was </w:t>
      </w:r>
      <w:r w:rsidR="00C260A9" w:rsidRPr="00661363">
        <w:rPr>
          <w:rFonts w:ascii="Book Antiqua" w:hAnsi="Book Antiqua" w:cs="Times New Roman"/>
          <w:color w:val="000000" w:themeColor="text1"/>
          <w:kern w:val="0"/>
          <w:sz w:val="24"/>
          <w:szCs w:val="24"/>
        </w:rPr>
        <w:t>38.81 ± 5.11 mm, which was significantly higher than that of patients with paroxysmal atrial fibrillation (</w:t>
      </w:r>
      <w:r w:rsidR="00BD2EDF" w:rsidRPr="00661363">
        <w:rPr>
          <w:rFonts w:ascii="Book Antiqua" w:hAnsi="Book Antiqua" w:cs="Times New Roman"/>
          <w:i/>
          <w:color w:val="000000" w:themeColor="text1"/>
          <w:kern w:val="0"/>
          <w:sz w:val="24"/>
          <w:szCs w:val="24"/>
        </w:rPr>
        <w:t>P</w:t>
      </w:r>
      <w:r w:rsidR="00BD2EDF" w:rsidRPr="00661363">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 xml:space="preserve">&gt; 0.05). The </w:t>
      </w:r>
      <w:r>
        <w:rPr>
          <w:rFonts w:ascii="Book Antiqua" w:hAnsi="Book Antiqua" w:cs="Times New Roman"/>
          <w:color w:val="000000" w:themeColor="text1"/>
          <w:kern w:val="0"/>
          <w:sz w:val="24"/>
          <w:szCs w:val="24"/>
        </w:rPr>
        <w:t>serum</w:t>
      </w:r>
      <w:r w:rsidRPr="00661363">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levels of FGF-23 and miR-208b were positively correlated with the LAD (</w:t>
      </w:r>
      <w:r w:rsidR="00C260A9" w:rsidRPr="00661363">
        <w:rPr>
          <w:rFonts w:ascii="Book Antiqua" w:hAnsi="Book Antiqua" w:cs="Times New Roman"/>
          <w:i/>
          <w:color w:val="000000" w:themeColor="text1"/>
          <w:kern w:val="0"/>
          <w:sz w:val="24"/>
          <w:szCs w:val="24"/>
        </w:rPr>
        <w:t>r</w:t>
      </w:r>
      <w:r w:rsidR="00C260A9" w:rsidRPr="00661363">
        <w:rPr>
          <w:rFonts w:ascii="Book Antiqua" w:hAnsi="Book Antiqua" w:cs="Times New Roman"/>
          <w:color w:val="000000" w:themeColor="text1"/>
          <w:kern w:val="0"/>
          <w:sz w:val="24"/>
          <w:szCs w:val="24"/>
        </w:rPr>
        <w:t xml:space="preserve"> = 0.411 and 0.382, </w:t>
      </w:r>
      <w:r w:rsidR="00BD2EDF" w:rsidRPr="00661363">
        <w:rPr>
          <w:rFonts w:ascii="Book Antiqua" w:hAnsi="Book Antiqua" w:cs="Times New Roman"/>
          <w:i/>
          <w:color w:val="000000" w:themeColor="text1"/>
          <w:kern w:val="0"/>
          <w:sz w:val="24"/>
          <w:szCs w:val="24"/>
        </w:rPr>
        <w:t>P</w:t>
      </w:r>
      <w:r w:rsidR="00BD2EDF" w:rsidRPr="00661363">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&lt; 0.05). In the observation group, the serum levels of FGF-23 and miR-208b in patients with a major ca</w:t>
      </w:r>
      <w:r w:rsidR="006F0905" w:rsidRPr="00661363">
        <w:rPr>
          <w:rFonts w:ascii="Book Antiqua" w:hAnsi="Book Antiqua" w:cs="Times New Roman"/>
          <w:color w:val="000000" w:themeColor="text1"/>
          <w:kern w:val="0"/>
          <w:sz w:val="24"/>
          <w:szCs w:val="24"/>
        </w:rPr>
        <w:t xml:space="preserve">rdiovascular event (MACE) were </w:t>
      </w:r>
      <w:r w:rsidR="00C260A9" w:rsidRPr="00661363">
        <w:rPr>
          <w:rFonts w:ascii="Book Antiqua" w:hAnsi="Book Antiqua" w:cs="Times New Roman"/>
          <w:color w:val="000000" w:themeColor="text1"/>
          <w:kern w:val="0"/>
          <w:sz w:val="24"/>
          <w:szCs w:val="24"/>
        </w:rPr>
        <w:t>243.30 ± 72.29 ng/m</w:t>
      </w:r>
      <w:r w:rsidR="00BD2EDF" w:rsidRPr="00661363">
        <w:rPr>
          <w:rFonts w:ascii="Book Antiqua" w:hAnsi="Book Antiqua" w:cs="Times New Roman"/>
          <w:color w:val="000000" w:themeColor="text1"/>
          <w:kern w:val="0"/>
          <w:sz w:val="24"/>
          <w:szCs w:val="24"/>
        </w:rPr>
        <w:t>L</w:t>
      </w:r>
      <w:r w:rsidR="006F0905" w:rsidRPr="00661363">
        <w:rPr>
          <w:rFonts w:ascii="Book Antiqua" w:hAnsi="Book Antiqua" w:cs="Times New Roman"/>
          <w:color w:val="000000" w:themeColor="text1"/>
          <w:kern w:val="0"/>
          <w:sz w:val="24"/>
          <w:szCs w:val="24"/>
        </w:rPr>
        <w:t xml:space="preserve"> and </w:t>
      </w:r>
      <w:r w:rsidR="00C260A9" w:rsidRPr="00661363">
        <w:rPr>
          <w:rFonts w:ascii="Book Antiqua" w:hAnsi="Book Antiqua" w:cs="Times New Roman"/>
          <w:color w:val="000000" w:themeColor="text1"/>
          <w:kern w:val="0"/>
          <w:sz w:val="24"/>
          <w:szCs w:val="24"/>
        </w:rPr>
        <w:t>6.12 ± 1.12</w:t>
      </w:r>
      <w:r w:rsidR="006F0905" w:rsidRPr="00661363">
        <w:rPr>
          <w:rFonts w:ascii="Book Antiqua" w:hAnsi="Book Antiqua" w:cs="Times New Roman"/>
          <w:color w:val="000000" w:themeColor="text1"/>
          <w:kern w:val="0"/>
          <w:sz w:val="24"/>
          <w:szCs w:val="24"/>
        </w:rPr>
        <w:t xml:space="preserve"> ng/mL</w:t>
      </w:r>
      <w:r w:rsidR="00C260A9" w:rsidRPr="00661363">
        <w:rPr>
          <w:rFonts w:ascii="Book Antiqua" w:hAnsi="Book Antiqua" w:cs="Times New Roman"/>
          <w:color w:val="000000" w:themeColor="text1"/>
          <w:kern w:val="0"/>
          <w:sz w:val="24"/>
          <w:szCs w:val="24"/>
        </w:rPr>
        <w:t>, which were significantly higher than the corresponding values in patients without a MACE (</w:t>
      </w:r>
      <w:r w:rsidR="00BD2EDF" w:rsidRPr="00661363">
        <w:rPr>
          <w:rFonts w:ascii="Book Antiqua" w:hAnsi="Book Antiqua" w:cs="Times New Roman"/>
          <w:i/>
          <w:color w:val="000000" w:themeColor="text1"/>
          <w:kern w:val="0"/>
          <w:sz w:val="24"/>
          <w:szCs w:val="24"/>
        </w:rPr>
        <w:t>P</w:t>
      </w:r>
      <w:r w:rsidR="00BD2EDF" w:rsidRPr="00661363">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&lt; 0.05).</w:t>
      </w:r>
      <w:bookmarkEnd w:id="11"/>
    </w:p>
    <w:p w14:paraId="3B12ABEC" w14:textId="77777777" w:rsidR="00BD2EDF" w:rsidRPr="00661363" w:rsidRDefault="00BD2EDF" w:rsidP="00661363">
      <w:pPr>
        <w:adjustRightInd w:val="0"/>
        <w:snapToGrid w:val="0"/>
        <w:spacing w:line="360" w:lineRule="auto"/>
        <w:rPr>
          <w:rFonts w:ascii="Book Antiqua" w:hAnsi="Book Antiqua" w:cs="Times New Roman"/>
          <w:color w:val="000000" w:themeColor="text1"/>
          <w:kern w:val="0"/>
          <w:sz w:val="24"/>
          <w:szCs w:val="24"/>
        </w:rPr>
      </w:pPr>
    </w:p>
    <w:p w14:paraId="01226129" w14:textId="77777777" w:rsidR="00BD2EDF" w:rsidRPr="00661363" w:rsidRDefault="00BD2EDF" w:rsidP="00661363">
      <w:pPr>
        <w:adjustRightInd w:val="0"/>
        <w:snapToGrid w:val="0"/>
        <w:spacing w:line="360" w:lineRule="auto"/>
        <w:rPr>
          <w:rFonts w:ascii="Book Antiqua" w:hAnsi="Book Antiqua"/>
          <w:color w:val="000000" w:themeColor="text1"/>
          <w:sz w:val="24"/>
          <w:szCs w:val="24"/>
          <w:lang w:val="en"/>
        </w:rPr>
      </w:pPr>
      <w:r w:rsidRPr="00661363">
        <w:rPr>
          <w:rFonts w:ascii="Book Antiqua" w:hAnsi="Book Antiqua"/>
          <w:color w:val="000000" w:themeColor="text1"/>
          <w:sz w:val="24"/>
          <w:szCs w:val="24"/>
        </w:rPr>
        <w:t>CONCLUSION</w:t>
      </w:r>
      <w:r w:rsidRPr="00661363">
        <w:rPr>
          <w:rFonts w:ascii="Book Antiqua" w:hAnsi="Book Antiqua"/>
          <w:color w:val="000000" w:themeColor="text1"/>
          <w:sz w:val="24"/>
          <w:szCs w:val="24"/>
          <w:lang w:val="en"/>
        </w:rPr>
        <w:t xml:space="preserve"> </w:t>
      </w:r>
    </w:p>
    <w:p w14:paraId="2BD2E08A" w14:textId="0812306D" w:rsidR="00AE7027" w:rsidRPr="00661363" w:rsidRDefault="00C260A9" w:rsidP="00661363">
      <w:pPr>
        <w:adjustRightInd w:val="0"/>
        <w:snapToGrid w:val="0"/>
        <w:spacing w:line="360" w:lineRule="auto"/>
        <w:rPr>
          <w:rFonts w:ascii="Book Antiqua" w:hAnsi="Book Antiqua" w:cs="Times New Roman"/>
          <w:color w:val="000000" w:themeColor="text1"/>
          <w:kern w:val="0"/>
          <w:sz w:val="24"/>
          <w:szCs w:val="24"/>
        </w:rPr>
      </w:pPr>
      <w:r w:rsidRPr="00661363">
        <w:rPr>
          <w:rFonts w:ascii="Book Antiqua" w:hAnsi="Book Antiqua" w:cs="Times New Roman"/>
          <w:color w:val="000000" w:themeColor="text1"/>
          <w:kern w:val="0"/>
          <w:sz w:val="24"/>
          <w:szCs w:val="24"/>
        </w:rPr>
        <w:t>The serum levels of FGF-23 and miR-208b</w:t>
      </w:r>
      <w:r w:rsidRPr="00661363">
        <w:rPr>
          <w:rFonts w:ascii="Book Antiqua" w:hAnsi="Book Antiqua"/>
          <w:color w:val="000000" w:themeColor="text1"/>
          <w:sz w:val="24"/>
          <w:szCs w:val="24"/>
        </w:rPr>
        <w:t xml:space="preserve"> </w:t>
      </w:r>
      <w:r w:rsidRPr="00661363">
        <w:rPr>
          <w:rFonts w:ascii="Book Antiqua" w:hAnsi="Book Antiqua" w:cs="Times New Roman"/>
          <w:color w:val="000000" w:themeColor="text1"/>
          <w:kern w:val="0"/>
          <w:sz w:val="24"/>
          <w:szCs w:val="24"/>
        </w:rPr>
        <w:t xml:space="preserve">are </w:t>
      </w:r>
      <w:r w:rsidRPr="00661363">
        <w:rPr>
          <w:rFonts w:ascii="Book Antiqua" w:eastAsia="等线" w:hAnsi="Book Antiqua" w:cs="Times New Roman"/>
          <w:color w:val="000000" w:themeColor="text1"/>
          <w:kern w:val="0"/>
          <w:sz w:val="24"/>
          <w:szCs w:val="24"/>
        </w:rPr>
        <w:t>increased</w:t>
      </w:r>
      <w:r w:rsidRPr="00661363">
        <w:rPr>
          <w:rFonts w:ascii="Book Antiqua" w:hAnsi="Book Antiqua" w:cs="Times New Roman"/>
          <w:color w:val="000000" w:themeColor="text1"/>
          <w:kern w:val="0"/>
          <w:sz w:val="24"/>
          <w:szCs w:val="24"/>
        </w:rPr>
        <w:t xml:space="preserve"> in patients with atrial fibrillation</w:t>
      </w:r>
      <w:r w:rsidRPr="00661363">
        <w:rPr>
          <w:rFonts w:ascii="Book Antiqua" w:eastAsia="等线" w:hAnsi="Book Antiqua" w:cs="Times New Roman"/>
          <w:color w:val="000000" w:themeColor="text1"/>
          <w:kern w:val="0"/>
          <w:sz w:val="24"/>
          <w:szCs w:val="24"/>
        </w:rPr>
        <w:t xml:space="preserve"> and</w:t>
      </w:r>
      <w:r w:rsidRPr="00661363">
        <w:rPr>
          <w:rFonts w:ascii="Book Antiqua" w:hAnsi="Book Antiqua" w:cs="Times New Roman"/>
          <w:color w:val="000000" w:themeColor="text1"/>
          <w:kern w:val="0"/>
          <w:sz w:val="24"/>
          <w:szCs w:val="24"/>
        </w:rPr>
        <w:t xml:space="preserve"> are related to the type of disease, cardiac parameters</w:t>
      </w:r>
      <w:r w:rsidR="006E7DE5">
        <w:rPr>
          <w:rFonts w:ascii="Book Antiqua" w:hAnsi="Book Antiqua" w:cs="Times New Roman"/>
          <w:color w:val="000000" w:themeColor="text1"/>
          <w:kern w:val="0"/>
          <w:sz w:val="24"/>
          <w:szCs w:val="24"/>
        </w:rPr>
        <w:t>,</w:t>
      </w:r>
      <w:r w:rsidRPr="00661363">
        <w:rPr>
          <w:rFonts w:ascii="Book Antiqua" w:hAnsi="Book Antiqua" w:cs="Times New Roman"/>
          <w:color w:val="000000" w:themeColor="text1"/>
          <w:kern w:val="0"/>
          <w:sz w:val="24"/>
          <w:szCs w:val="24"/>
        </w:rPr>
        <w:t xml:space="preserve"> and prognosis.</w:t>
      </w:r>
    </w:p>
    <w:p w14:paraId="1EF601F7" w14:textId="77777777" w:rsidR="00BD2EDF" w:rsidRPr="00661363" w:rsidRDefault="00BD2EDF" w:rsidP="00661363">
      <w:pPr>
        <w:adjustRightInd w:val="0"/>
        <w:snapToGrid w:val="0"/>
        <w:spacing w:line="360" w:lineRule="auto"/>
        <w:rPr>
          <w:rFonts w:ascii="Book Antiqua" w:hAnsi="Book Antiqua" w:cs="Times New Roman"/>
          <w:color w:val="000000" w:themeColor="text1"/>
          <w:kern w:val="0"/>
          <w:sz w:val="24"/>
          <w:szCs w:val="24"/>
        </w:rPr>
      </w:pPr>
    </w:p>
    <w:p w14:paraId="53FCC79A" w14:textId="1A070D48" w:rsidR="00AE7027" w:rsidRPr="00661363" w:rsidRDefault="00BD2EDF" w:rsidP="00661363">
      <w:pPr>
        <w:adjustRightInd w:val="0"/>
        <w:snapToGrid w:val="0"/>
        <w:spacing w:line="360" w:lineRule="auto"/>
        <w:rPr>
          <w:rFonts w:ascii="Book Antiqua" w:hAnsi="Book Antiqua" w:cs="Times New Roman"/>
          <w:bCs/>
          <w:color w:val="000000" w:themeColor="text1"/>
          <w:sz w:val="24"/>
          <w:szCs w:val="24"/>
        </w:rPr>
      </w:pPr>
      <w:r w:rsidRPr="00661363">
        <w:rPr>
          <w:rFonts w:ascii="Book Antiqua" w:hAnsi="Book Antiqua"/>
          <w:b/>
          <w:color w:val="000000" w:themeColor="text1"/>
          <w:sz w:val="24"/>
          <w:szCs w:val="24"/>
        </w:rPr>
        <w:t xml:space="preserve">Key words: </w:t>
      </w:r>
      <w:r w:rsidR="00A46817">
        <w:rPr>
          <w:rFonts w:ascii="Book Antiqua" w:hAnsi="Book Antiqua" w:cs="Times New Roman"/>
          <w:bCs/>
          <w:color w:val="000000" w:themeColor="text1"/>
          <w:sz w:val="24"/>
          <w:szCs w:val="24"/>
        </w:rPr>
        <w:t>Fibroblast growth factor</w:t>
      </w:r>
      <w:r w:rsidR="00A46817">
        <w:rPr>
          <w:rFonts w:ascii="Book Antiqua" w:hAnsi="Book Antiqua" w:cs="Times New Roman" w:hint="eastAsia"/>
          <w:bCs/>
          <w:color w:val="000000" w:themeColor="text1"/>
          <w:sz w:val="24"/>
          <w:szCs w:val="24"/>
        </w:rPr>
        <w:t>-</w:t>
      </w:r>
      <w:r w:rsidR="00C260A9" w:rsidRPr="00661363">
        <w:rPr>
          <w:rFonts w:ascii="Book Antiqua" w:hAnsi="Book Antiqua" w:cs="Times New Roman"/>
          <w:bCs/>
          <w:color w:val="000000" w:themeColor="text1"/>
          <w:sz w:val="24"/>
          <w:szCs w:val="24"/>
        </w:rPr>
        <w:t xml:space="preserve">23; </w:t>
      </w:r>
      <w:r w:rsidRPr="00661363">
        <w:rPr>
          <w:rFonts w:ascii="Book Antiqua" w:hAnsi="Book Antiqua" w:cs="Times New Roman"/>
          <w:bCs/>
          <w:color w:val="000000" w:themeColor="text1"/>
          <w:sz w:val="24"/>
          <w:szCs w:val="24"/>
        </w:rPr>
        <w:t>M</w:t>
      </w:r>
      <w:r w:rsidR="00C260A9" w:rsidRPr="00661363">
        <w:rPr>
          <w:rFonts w:ascii="Book Antiqua" w:hAnsi="Book Antiqua" w:cs="Times New Roman"/>
          <w:bCs/>
          <w:color w:val="000000" w:themeColor="text1"/>
          <w:sz w:val="24"/>
          <w:szCs w:val="24"/>
        </w:rPr>
        <w:t xml:space="preserve">iR-208b; </w:t>
      </w:r>
      <w:r w:rsidRPr="00661363">
        <w:rPr>
          <w:rFonts w:ascii="Book Antiqua" w:hAnsi="Book Antiqua" w:cs="Times New Roman"/>
          <w:bCs/>
          <w:color w:val="000000" w:themeColor="text1"/>
          <w:sz w:val="24"/>
          <w:szCs w:val="24"/>
        </w:rPr>
        <w:t xml:space="preserve">Atrial </w:t>
      </w:r>
      <w:r w:rsidR="00C260A9" w:rsidRPr="00661363">
        <w:rPr>
          <w:rFonts w:ascii="Book Antiqua" w:hAnsi="Book Antiqua" w:cs="Times New Roman"/>
          <w:bCs/>
          <w:color w:val="000000" w:themeColor="text1"/>
          <w:sz w:val="24"/>
          <w:szCs w:val="24"/>
        </w:rPr>
        <w:t xml:space="preserve">fibrillation; </w:t>
      </w:r>
      <w:r w:rsidRPr="00661363">
        <w:rPr>
          <w:rFonts w:ascii="Book Antiqua" w:hAnsi="Book Antiqua" w:cs="Times New Roman"/>
          <w:bCs/>
          <w:color w:val="000000" w:themeColor="text1"/>
          <w:sz w:val="24"/>
          <w:szCs w:val="24"/>
        </w:rPr>
        <w:t>Prognosis</w:t>
      </w:r>
    </w:p>
    <w:p w14:paraId="38A41DE1" w14:textId="77777777" w:rsidR="004371C9" w:rsidRPr="00661363" w:rsidRDefault="004371C9" w:rsidP="00661363">
      <w:pPr>
        <w:adjustRightInd w:val="0"/>
        <w:snapToGrid w:val="0"/>
        <w:spacing w:line="360" w:lineRule="auto"/>
        <w:rPr>
          <w:rFonts w:ascii="Book Antiqua" w:eastAsia="等线" w:hAnsi="Book Antiqua" w:cs="Times New Roman"/>
          <w:color w:val="000000" w:themeColor="text1"/>
          <w:sz w:val="24"/>
          <w:szCs w:val="24"/>
        </w:rPr>
      </w:pPr>
    </w:p>
    <w:p w14:paraId="376BD931" w14:textId="637C052C" w:rsidR="0097458B" w:rsidRDefault="0097458B" w:rsidP="00661363">
      <w:pPr>
        <w:adjustRightInd w:val="0"/>
        <w:snapToGrid w:val="0"/>
        <w:spacing w:line="360" w:lineRule="auto"/>
        <w:rPr>
          <w:rFonts w:ascii="Book Antiqua" w:hAnsi="Book Antiqua" w:hint="eastAsia"/>
          <w:sz w:val="24"/>
        </w:rPr>
      </w:pPr>
      <w:r w:rsidRPr="0097458B">
        <w:rPr>
          <w:rFonts w:ascii="Book Antiqua" w:eastAsia="等线" w:hAnsi="Book Antiqua" w:cs="Times New Roman" w:hint="eastAsia"/>
          <w:b/>
          <w:color w:val="000000" w:themeColor="text1"/>
          <w:sz w:val="24"/>
          <w:szCs w:val="24"/>
        </w:rPr>
        <w:t xml:space="preserve">Citation: </w:t>
      </w:r>
      <w:r w:rsidR="004371C9" w:rsidRPr="00661363">
        <w:rPr>
          <w:rFonts w:ascii="Book Antiqua" w:eastAsia="等线" w:hAnsi="Book Antiqua" w:cs="Times New Roman"/>
          <w:color w:val="000000" w:themeColor="text1"/>
          <w:sz w:val="24"/>
          <w:szCs w:val="24"/>
        </w:rPr>
        <w:t>Chen</w:t>
      </w:r>
      <w:r w:rsidR="004371C9" w:rsidRPr="00661363">
        <w:rPr>
          <w:rFonts w:ascii="Book Antiqua" w:eastAsia="等线" w:hAnsi="Book Antiqua" w:cs="Times New Roman"/>
          <w:color w:val="000000" w:themeColor="text1"/>
          <w:sz w:val="24"/>
          <w:szCs w:val="24"/>
          <w:vertAlign w:val="superscript"/>
        </w:rPr>
        <w:t xml:space="preserve"> </w:t>
      </w:r>
      <w:r w:rsidR="004371C9" w:rsidRPr="00661363">
        <w:rPr>
          <w:rFonts w:ascii="Book Antiqua" w:eastAsia="等线" w:hAnsi="Book Antiqua" w:cs="Times New Roman"/>
          <w:color w:val="000000" w:themeColor="text1"/>
          <w:sz w:val="24"/>
          <w:szCs w:val="24"/>
        </w:rPr>
        <w:t xml:space="preserve">JM, Zhong YT, Tu C, Lan J. </w:t>
      </w:r>
      <w:r w:rsidR="004371C9" w:rsidRPr="00661363">
        <w:rPr>
          <w:rFonts w:ascii="Book Antiqua" w:hAnsi="Book Antiqua" w:cs="Times New Roman"/>
          <w:color w:val="000000" w:themeColor="text1"/>
          <w:sz w:val="24"/>
          <w:szCs w:val="24"/>
        </w:rPr>
        <w:t xml:space="preserve">Significance of serum </w:t>
      </w:r>
      <w:r w:rsidR="004371C9" w:rsidRPr="00661363">
        <w:rPr>
          <w:rFonts w:ascii="Book Antiqua" w:hAnsi="Book Antiqua" w:cs="Times New Roman"/>
          <w:bCs/>
          <w:color w:val="000000" w:themeColor="text1"/>
          <w:kern w:val="0"/>
          <w:sz w:val="24"/>
          <w:szCs w:val="24"/>
        </w:rPr>
        <w:t>fibroblast growth factor</w:t>
      </w:r>
      <w:r w:rsidR="004371C9" w:rsidRPr="00661363">
        <w:rPr>
          <w:rFonts w:ascii="Book Antiqua" w:hAnsi="Book Antiqua" w:cs="Times New Roman"/>
          <w:color w:val="000000" w:themeColor="text1"/>
          <w:sz w:val="24"/>
          <w:szCs w:val="24"/>
        </w:rPr>
        <w:t>-23 and miR-208b in the pathogenesis of atrial fibrillation and their relationship with prognosis.</w:t>
      </w:r>
      <w:r w:rsidR="004371C9" w:rsidRPr="00661363">
        <w:rPr>
          <w:rFonts w:ascii="Book Antiqua" w:eastAsia="宋体" w:hAnsi="Book Antiqua" w:cs="Times New Roman"/>
          <w:color w:val="000000" w:themeColor="text1"/>
          <w:kern w:val="0"/>
          <w:sz w:val="24"/>
          <w:szCs w:val="24"/>
        </w:rPr>
        <w:t xml:space="preserve"> </w:t>
      </w:r>
      <w:r w:rsidR="004371C9" w:rsidRPr="00661363">
        <w:rPr>
          <w:rFonts w:ascii="Book Antiqua" w:eastAsia="宋体" w:hAnsi="Book Antiqua" w:cs="Times New Roman"/>
          <w:i/>
          <w:color w:val="000000" w:themeColor="text1"/>
          <w:kern w:val="0"/>
          <w:sz w:val="24"/>
          <w:szCs w:val="24"/>
        </w:rPr>
        <w:t xml:space="preserve">World J Clin Cases </w:t>
      </w:r>
      <w:r w:rsidR="002A338B" w:rsidRPr="005D493F">
        <w:rPr>
          <w:rFonts w:ascii="Book Antiqua" w:hAnsi="Book Antiqua"/>
          <w:sz w:val="24"/>
        </w:rPr>
        <w:t>2020; 8(1</w:t>
      </w:r>
      <w:r w:rsidR="002A338B">
        <w:rPr>
          <w:rFonts w:ascii="Book Antiqua" w:hAnsi="Book Antiqua" w:hint="eastAsia"/>
          <w:sz w:val="24"/>
        </w:rPr>
        <w:t>6</w:t>
      </w:r>
      <w:r w:rsidR="002A338B" w:rsidRPr="005D493F">
        <w:rPr>
          <w:rFonts w:ascii="Book Antiqua" w:hAnsi="Book Antiqua"/>
          <w:sz w:val="24"/>
        </w:rPr>
        <w:t xml:space="preserve">): </w:t>
      </w:r>
      <w:r w:rsidR="00626113" w:rsidRPr="00626113">
        <w:rPr>
          <w:rFonts w:ascii="Book Antiqua" w:hAnsi="Book Antiqua"/>
          <w:sz w:val="24"/>
        </w:rPr>
        <w:t>3458-3464</w:t>
      </w:r>
      <w:r w:rsidR="002A338B" w:rsidRPr="005D493F">
        <w:rPr>
          <w:rFonts w:ascii="Book Antiqua" w:hAnsi="Book Antiqua"/>
          <w:sz w:val="24"/>
        </w:rPr>
        <w:t xml:space="preserve">  </w:t>
      </w:r>
    </w:p>
    <w:p w14:paraId="7864AD1D" w14:textId="77777777" w:rsidR="0097458B" w:rsidRDefault="002A338B" w:rsidP="00661363">
      <w:pPr>
        <w:adjustRightInd w:val="0"/>
        <w:snapToGrid w:val="0"/>
        <w:spacing w:line="360" w:lineRule="auto"/>
        <w:rPr>
          <w:rFonts w:ascii="Book Antiqua" w:hAnsi="Book Antiqua" w:hint="eastAsia"/>
          <w:sz w:val="24"/>
        </w:rPr>
      </w:pPr>
      <w:r w:rsidRPr="0097458B">
        <w:rPr>
          <w:rFonts w:ascii="Book Antiqua" w:hAnsi="Book Antiqua"/>
          <w:b/>
          <w:sz w:val="24"/>
        </w:rPr>
        <w:t>URL:</w:t>
      </w:r>
      <w:r w:rsidRPr="005D493F">
        <w:rPr>
          <w:rFonts w:ascii="Book Antiqua" w:hAnsi="Book Antiqua"/>
          <w:sz w:val="24"/>
        </w:rPr>
        <w:t xml:space="preserve"> https://www.wjgnet.com/2307-8960/full/v8/i1</w:t>
      </w:r>
      <w:r>
        <w:rPr>
          <w:rFonts w:ascii="Book Antiqua" w:hAnsi="Book Antiqua" w:hint="eastAsia"/>
          <w:sz w:val="24"/>
        </w:rPr>
        <w:t>6</w:t>
      </w:r>
      <w:r w:rsidRPr="005D493F">
        <w:rPr>
          <w:rFonts w:ascii="Book Antiqua" w:hAnsi="Book Antiqua"/>
          <w:sz w:val="24"/>
        </w:rPr>
        <w:t>/</w:t>
      </w:r>
      <w:r w:rsidR="00626113">
        <w:rPr>
          <w:rFonts w:ascii="Book Antiqua" w:hAnsi="Book Antiqua" w:hint="eastAsia"/>
          <w:sz w:val="24"/>
        </w:rPr>
        <w:t>3458</w:t>
      </w:r>
      <w:r w:rsidRPr="005D493F">
        <w:rPr>
          <w:rFonts w:ascii="Book Antiqua" w:hAnsi="Book Antiqua"/>
          <w:sz w:val="24"/>
        </w:rPr>
        <w:t xml:space="preserve">.htm  </w:t>
      </w:r>
    </w:p>
    <w:p w14:paraId="617AA1F5" w14:textId="49521D82" w:rsidR="004371C9" w:rsidRPr="00661363" w:rsidRDefault="002A338B" w:rsidP="00661363">
      <w:pPr>
        <w:adjustRightInd w:val="0"/>
        <w:snapToGrid w:val="0"/>
        <w:spacing w:line="360" w:lineRule="auto"/>
        <w:rPr>
          <w:rFonts w:ascii="Book Antiqua" w:hAnsi="Book Antiqua" w:cs="Times New Roman"/>
          <w:color w:val="000000" w:themeColor="text1"/>
          <w:sz w:val="24"/>
          <w:szCs w:val="24"/>
        </w:rPr>
      </w:pPr>
      <w:bookmarkStart w:id="12" w:name="_GoBack"/>
      <w:r w:rsidRPr="0097458B">
        <w:rPr>
          <w:rFonts w:ascii="Book Antiqua" w:hAnsi="Book Antiqua"/>
          <w:b/>
          <w:sz w:val="24"/>
        </w:rPr>
        <w:t>DOI:</w:t>
      </w:r>
      <w:bookmarkEnd w:id="12"/>
      <w:r w:rsidRPr="005D493F">
        <w:rPr>
          <w:rFonts w:ascii="Book Antiqua" w:hAnsi="Book Antiqua"/>
          <w:sz w:val="24"/>
        </w:rPr>
        <w:t xml:space="preserve"> https://dx.doi.org/10.12998/wjcc.v8.i1</w:t>
      </w:r>
      <w:r>
        <w:rPr>
          <w:rFonts w:ascii="Book Antiqua" w:hAnsi="Book Antiqua" w:hint="eastAsia"/>
          <w:sz w:val="24"/>
        </w:rPr>
        <w:t>6</w:t>
      </w:r>
      <w:r w:rsidRPr="005D493F">
        <w:rPr>
          <w:rFonts w:ascii="Book Antiqua" w:hAnsi="Book Antiqua"/>
          <w:sz w:val="24"/>
        </w:rPr>
        <w:t>.</w:t>
      </w:r>
      <w:r w:rsidR="00626113">
        <w:rPr>
          <w:rFonts w:ascii="Book Antiqua" w:hAnsi="Book Antiqua" w:hint="eastAsia"/>
          <w:sz w:val="24"/>
        </w:rPr>
        <w:t>3458</w:t>
      </w:r>
    </w:p>
    <w:p w14:paraId="5EB630AE" w14:textId="77777777" w:rsidR="00BD2EDF" w:rsidRPr="00661363" w:rsidRDefault="00BD2EDF" w:rsidP="00661363">
      <w:pPr>
        <w:adjustRightInd w:val="0"/>
        <w:snapToGrid w:val="0"/>
        <w:spacing w:line="360" w:lineRule="auto"/>
        <w:rPr>
          <w:rFonts w:ascii="Book Antiqua" w:hAnsi="Book Antiqua" w:cs="Times New Roman"/>
          <w:bCs/>
          <w:color w:val="000000" w:themeColor="text1"/>
          <w:sz w:val="24"/>
          <w:szCs w:val="24"/>
        </w:rPr>
      </w:pPr>
    </w:p>
    <w:p w14:paraId="23824500" w14:textId="6B087ED6" w:rsidR="00AE7027" w:rsidRPr="00661363" w:rsidRDefault="00923A0D" w:rsidP="00661363">
      <w:pPr>
        <w:adjustRightInd w:val="0"/>
        <w:snapToGrid w:val="0"/>
        <w:spacing w:line="360" w:lineRule="auto"/>
        <w:rPr>
          <w:rFonts w:ascii="Book Antiqua" w:hAnsi="Book Antiqua" w:cs="Times New Roman"/>
          <w:bCs/>
          <w:color w:val="000000" w:themeColor="text1"/>
          <w:sz w:val="24"/>
          <w:szCs w:val="24"/>
        </w:rPr>
      </w:pPr>
      <w:r w:rsidRPr="00661363">
        <w:rPr>
          <w:rFonts w:ascii="Book Antiqua" w:hAnsi="Book Antiqua"/>
          <w:b/>
          <w:color w:val="000000" w:themeColor="text1"/>
          <w:sz w:val="24"/>
          <w:szCs w:val="24"/>
        </w:rPr>
        <w:t>Core tip:</w:t>
      </w:r>
      <w:r w:rsidRPr="00661363">
        <w:rPr>
          <w:rFonts w:ascii="Book Antiqua" w:hAnsi="Book Antiqua"/>
          <w:color w:val="000000" w:themeColor="text1"/>
          <w:sz w:val="24"/>
          <w:szCs w:val="24"/>
        </w:rPr>
        <w:t xml:space="preserve"> </w:t>
      </w:r>
      <w:r w:rsidR="004371C9" w:rsidRPr="00661363">
        <w:rPr>
          <w:rFonts w:ascii="Book Antiqua" w:hAnsi="Book Antiqua"/>
          <w:color w:val="000000" w:themeColor="text1"/>
          <w:sz w:val="24"/>
          <w:szCs w:val="24"/>
        </w:rPr>
        <w:t xml:space="preserve">In this study, the authors </w:t>
      </w:r>
      <w:r w:rsidR="004371C9" w:rsidRPr="00661363">
        <w:rPr>
          <w:rFonts w:ascii="Book Antiqua" w:hAnsi="Book Antiqua" w:cs="Times New Roman"/>
          <w:bCs/>
          <w:color w:val="000000" w:themeColor="text1"/>
          <w:sz w:val="24"/>
          <w:szCs w:val="24"/>
        </w:rPr>
        <w:t xml:space="preserve">investigated </w:t>
      </w:r>
      <w:r w:rsidR="00D34EBC" w:rsidRPr="00661363">
        <w:rPr>
          <w:rFonts w:ascii="Book Antiqua" w:hAnsi="Book Antiqua" w:cs="Times New Roman"/>
          <w:bCs/>
          <w:color w:val="000000" w:themeColor="text1"/>
          <w:sz w:val="24"/>
          <w:szCs w:val="24"/>
        </w:rPr>
        <w:t>the levels and significance of serum fibroblast growth factor 23 and miR-208b in patients with atrial fibrillation and their relationship with prognosis.</w:t>
      </w:r>
    </w:p>
    <w:p w14:paraId="54E62BF3" w14:textId="77777777" w:rsidR="00D34EBC" w:rsidRPr="00661363" w:rsidRDefault="00D34EBC" w:rsidP="00661363">
      <w:pPr>
        <w:adjustRightInd w:val="0"/>
        <w:snapToGrid w:val="0"/>
        <w:spacing w:line="360" w:lineRule="auto"/>
        <w:rPr>
          <w:rFonts w:ascii="Book Antiqua" w:hAnsi="Book Antiqua" w:cs="Times New Roman"/>
          <w:b/>
          <w:color w:val="000000" w:themeColor="text1"/>
          <w:sz w:val="24"/>
          <w:szCs w:val="24"/>
        </w:rPr>
      </w:pPr>
    </w:p>
    <w:p w14:paraId="7BFE30A1" w14:textId="77777777" w:rsidR="00345913" w:rsidRPr="00661363" w:rsidRDefault="00345913" w:rsidP="00661363">
      <w:pPr>
        <w:widowControl/>
        <w:adjustRightInd w:val="0"/>
        <w:snapToGrid w:val="0"/>
        <w:spacing w:line="360" w:lineRule="auto"/>
        <w:rPr>
          <w:rFonts w:ascii="Book Antiqua" w:hAnsi="Book Antiqua" w:cs="Times New Roman"/>
          <w:b/>
          <w:color w:val="000000" w:themeColor="text1"/>
          <w:sz w:val="24"/>
          <w:szCs w:val="24"/>
        </w:rPr>
      </w:pPr>
      <w:r w:rsidRPr="00661363">
        <w:rPr>
          <w:rFonts w:ascii="Book Antiqua" w:hAnsi="Book Antiqua" w:cs="Times New Roman"/>
          <w:b/>
          <w:color w:val="000000" w:themeColor="text1"/>
          <w:sz w:val="24"/>
          <w:szCs w:val="24"/>
        </w:rPr>
        <w:br w:type="page"/>
      </w:r>
    </w:p>
    <w:p w14:paraId="579DD39C" w14:textId="74F9C76F" w:rsidR="00AE7027" w:rsidRPr="00661363" w:rsidRDefault="00345913" w:rsidP="00661363">
      <w:pPr>
        <w:adjustRightInd w:val="0"/>
        <w:snapToGrid w:val="0"/>
        <w:spacing w:line="360" w:lineRule="auto"/>
        <w:rPr>
          <w:rFonts w:ascii="Book Antiqua" w:hAnsi="Book Antiqua" w:cs="Times New Roman"/>
          <w:b/>
          <w:color w:val="000000" w:themeColor="text1"/>
          <w:sz w:val="24"/>
          <w:szCs w:val="24"/>
          <w:u w:val="single"/>
        </w:rPr>
      </w:pPr>
      <w:r w:rsidRPr="00661363">
        <w:rPr>
          <w:rFonts w:ascii="Book Antiqua" w:hAnsi="Book Antiqua" w:cs="Times New Roman"/>
          <w:b/>
          <w:color w:val="000000" w:themeColor="text1"/>
          <w:sz w:val="24"/>
          <w:szCs w:val="24"/>
          <w:u w:val="single"/>
        </w:rPr>
        <w:t>INTRODUCTION</w:t>
      </w:r>
    </w:p>
    <w:p w14:paraId="5CCBF3DE" w14:textId="195E0C72" w:rsidR="00AE7027" w:rsidRPr="00661363" w:rsidRDefault="00C260A9" w:rsidP="00661363">
      <w:pPr>
        <w:adjustRightInd w:val="0"/>
        <w:snapToGrid w:val="0"/>
        <w:spacing w:line="360" w:lineRule="auto"/>
        <w:rPr>
          <w:rFonts w:ascii="Book Antiqua" w:hAnsi="Book Antiqua"/>
          <w:color w:val="000000" w:themeColor="text1"/>
          <w:sz w:val="24"/>
          <w:szCs w:val="24"/>
        </w:rPr>
      </w:pPr>
      <w:bookmarkStart w:id="13" w:name="_Hlk40222439"/>
      <w:r w:rsidRPr="00661363">
        <w:rPr>
          <w:rFonts w:ascii="Book Antiqua" w:hAnsi="Book Antiqua" w:cs="Times New Roman"/>
          <w:bCs/>
          <w:color w:val="000000" w:themeColor="text1"/>
          <w:sz w:val="24"/>
          <w:szCs w:val="24"/>
        </w:rPr>
        <w:t>The incidence and prevalence of atrial fibrillation are increasing each year, and this condition is one of the most common clinical arrhythmias</w:t>
      </w:r>
      <w:bookmarkEnd w:id="13"/>
      <w:r w:rsidRPr="00661363">
        <w:rPr>
          <w:rFonts w:ascii="Book Antiqua" w:hAnsi="Book Antiqua" w:cs="Times New Roman"/>
          <w:bCs/>
          <w:color w:val="000000" w:themeColor="text1"/>
          <w:sz w:val="24"/>
          <w:szCs w:val="24"/>
          <w:vertAlign w:val="superscript"/>
        </w:rPr>
        <w:fldChar w:fldCharType="begin"/>
      </w:r>
      <w:r w:rsidRPr="00661363">
        <w:rPr>
          <w:rFonts w:ascii="Book Antiqua" w:hAnsi="Book Antiqua" w:cs="Times New Roman"/>
          <w:bCs/>
          <w:color w:val="000000" w:themeColor="text1"/>
          <w:sz w:val="24"/>
          <w:szCs w:val="24"/>
          <w:vertAlign w:val="superscript"/>
        </w:rPr>
        <w:instrText xml:space="preserve"> ADDIN EN.CITE &lt;EndNote&gt;&lt;Cite&gt;&lt;Author&gt;L&lt;/Author&gt;&lt;Year&gt;2019&lt;/Year&gt;&lt;RecNum&gt;117&lt;/RecNum&gt;&lt;DisplayText&gt;&lt;style face="superscript"&gt;[1, 2]&lt;/style&gt;&lt;/DisplayText&gt;&lt;record&gt;&lt;rec-number&gt;117&lt;/rec-number&gt;&lt;foreign-keys&gt;&lt;key app="EN" db-id="tw9rxda0pz59fred02ovf5pbvavsesxx20ax" timestamp="1583699600"&gt;117&lt;/key&gt;&lt;/foreign-keys&gt;&lt;ref-type name="Journal Article"&gt;17&lt;/ref-type&gt;&lt;contributors&gt;&lt;authors&gt;&lt;author&gt;Liu L&lt;/author&gt;&lt;author&gt;Zhang H&lt;/author&gt;&lt;author&gt;Mao H&lt;/author&gt;&lt;author&gt;Li X&lt;/author&gt;&lt;author&gt;Hu Y %J Artificial cells, nanomedicine,&lt;/author&gt;&lt;author&gt;biotechnology&lt;/author&gt;&lt;/authors&gt;&lt;/contributors&gt;&lt;titles&gt;&lt;title&gt;Exosomal miR-320d derived from adipose tissue-derived MSCs inhibits apoptosis in cardiomyocytes with atrial fibrillation (AF)&lt;/title&gt;&lt;/titles&gt;&lt;pages&gt;3976-3984&lt;/pages&gt;&lt;volume&gt;47&lt;/volume&gt;&lt;number&gt;1&lt;/number&gt;&lt;dates&gt;&lt;year&gt;2019&lt;/year&gt;&lt;/dates&gt;&lt;accession-num&gt;31591913&lt;/accession-num&gt;&lt;label&gt;4.462&lt;/label&gt;&lt;urls&gt;&lt;/urls&gt;&lt;electronic-resource-num&gt;10.1080/21691401.2019.1671432&lt;/electronic-resource-num&gt;&lt;/record&gt;&lt;/Cite&gt;&lt;Cite&gt;&lt;Author&gt;M&lt;/Author&gt;&lt;Year&gt;2020&lt;/Year&gt;&lt;RecNum&gt;137&lt;/RecNum&gt;&lt;record&gt;&lt;rec-number&gt;137&lt;/rec-number&gt;&lt;foreign-keys&gt;&lt;key app="EN" db-id="tw9rxda0pz59fred02ovf5pbvavsesxx20ax" timestamp="1583701691"&gt;137&lt;/key&gt;&lt;/foreign-keys&gt;&lt;ref-type name="Journal Article"&gt;17&lt;/ref-type&gt;&lt;contributors&gt;&lt;authors&gt;&lt;author&gt;Scardigli M&lt;/author&gt;&lt;author&gt;Cannazzaro S&lt;/author&gt;&lt;author&gt;Coppini R&lt;/author&gt;&lt;author&gt;Crocini C&lt;/author&gt;&lt;author&gt;Yan P&lt;/author&gt;&lt;author&gt;Loew LM&lt;/author&gt;&lt;author&gt;Sartiani L&lt;/author&gt;&lt;author&gt;Cerbai E&lt;/author&gt;&lt;author&gt;Pavone FS&lt;/author&gt;&lt;author&gt;Sacconi L&lt;/author&gt;&lt;author&gt;Ferrantini C %J Progress in biophysics&lt;/author&gt;&lt;author&gt;molecular biology&lt;/author&gt;&lt;/authors&gt;&lt;/contributors&gt;&lt;titles&gt;&lt;title&gt;Arrhythmia susceptibility in a rat model of acute atrial dilation&lt;/title&gt;&lt;/titles&gt;&lt;dates&gt;&lt;year&gt;2020&lt;/year&gt;&lt;/dates&gt;&lt;accession-num&gt;32063273&lt;/accession-num&gt;&lt;label&gt;2.703&lt;/label&gt;&lt;urls&gt;&lt;/urls&gt;&lt;electronic-resource-num&gt;10.1016/j.pbiomolbio.2019.08.012&lt;/electronic-resource-num&gt;&lt;/record&gt;&lt;/Cite&gt;&lt;/EndNote&gt;</w:instrText>
      </w:r>
      <w:r w:rsidRPr="00661363">
        <w:rPr>
          <w:rFonts w:ascii="Book Antiqua" w:hAnsi="Book Antiqua" w:cs="Times New Roman"/>
          <w:bCs/>
          <w:color w:val="000000" w:themeColor="text1"/>
          <w:sz w:val="24"/>
          <w:szCs w:val="24"/>
          <w:vertAlign w:val="superscript"/>
        </w:rPr>
        <w:fldChar w:fldCharType="separate"/>
      </w:r>
      <w:r w:rsidR="00345913" w:rsidRPr="00661363">
        <w:rPr>
          <w:rFonts w:ascii="Book Antiqua" w:hAnsi="Book Antiqua" w:cs="Times New Roman"/>
          <w:bCs/>
          <w:color w:val="000000" w:themeColor="text1"/>
          <w:sz w:val="24"/>
          <w:szCs w:val="24"/>
          <w:vertAlign w:val="superscript"/>
        </w:rPr>
        <w:t>[1,</w:t>
      </w:r>
      <w:r w:rsidRPr="00661363">
        <w:rPr>
          <w:rFonts w:ascii="Book Antiqua" w:hAnsi="Book Antiqua" w:cs="Times New Roman"/>
          <w:bCs/>
          <w:color w:val="000000" w:themeColor="text1"/>
          <w:sz w:val="24"/>
          <w:szCs w:val="24"/>
          <w:vertAlign w:val="superscript"/>
        </w:rPr>
        <w:t>2]</w:t>
      </w:r>
      <w:r w:rsidRPr="00661363">
        <w:rPr>
          <w:rFonts w:ascii="Book Antiqua" w:hAnsi="Book Antiqua" w:cs="Times New Roman"/>
          <w:bCs/>
          <w:color w:val="000000" w:themeColor="text1"/>
          <w:sz w:val="24"/>
          <w:szCs w:val="24"/>
          <w:vertAlign w:val="superscript"/>
        </w:rPr>
        <w:fldChar w:fldCharType="end"/>
      </w:r>
      <w:r w:rsidRPr="00661363">
        <w:rPr>
          <w:rFonts w:ascii="Book Antiqua" w:hAnsi="Book Antiqua" w:cs="Times New Roman"/>
          <w:bCs/>
          <w:color w:val="000000" w:themeColor="text1"/>
          <w:sz w:val="24"/>
          <w:szCs w:val="24"/>
        </w:rPr>
        <w:t>.</w:t>
      </w:r>
      <w:r w:rsidR="00345913" w:rsidRPr="00661363">
        <w:rPr>
          <w:rFonts w:ascii="Book Antiqua" w:hAnsi="Book Antiqua" w:cs="Times New Roman"/>
          <w:bCs/>
          <w:color w:val="000000" w:themeColor="text1"/>
          <w:sz w:val="24"/>
          <w:szCs w:val="24"/>
        </w:rPr>
        <w:t xml:space="preserve"> </w:t>
      </w:r>
      <w:r w:rsidRPr="00661363">
        <w:rPr>
          <w:rFonts w:ascii="Book Antiqua" w:hAnsi="Book Antiqua" w:cs="Times New Roman"/>
          <w:bCs/>
          <w:color w:val="000000" w:themeColor="text1"/>
          <w:sz w:val="24"/>
          <w:szCs w:val="24"/>
        </w:rPr>
        <w:t>Atrial fibrillation leads to stroke, thromboembolic events, heart failure, myocardial infarction</w:t>
      </w:r>
      <w:r w:rsidR="006E7DE5">
        <w:rPr>
          <w:rFonts w:ascii="Book Antiqua" w:hAnsi="Book Antiqua" w:cs="Times New Roman"/>
          <w:bCs/>
          <w:color w:val="000000" w:themeColor="text1"/>
          <w:sz w:val="24"/>
          <w:szCs w:val="24"/>
        </w:rPr>
        <w:t>,</w:t>
      </w:r>
      <w:r w:rsidRPr="00661363">
        <w:rPr>
          <w:rFonts w:ascii="Book Antiqua" w:hAnsi="Book Antiqua" w:cs="Times New Roman"/>
          <w:bCs/>
          <w:color w:val="000000" w:themeColor="text1"/>
          <w:sz w:val="24"/>
          <w:szCs w:val="24"/>
        </w:rPr>
        <w:t xml:space="preserve"> and cognitive decline, as well as </w:t>
      </w:r>
      <w:r w:rsidRPr="00661363">
        <w:rPr>
          <w:rFonts w:ascii="Book Antiqua" w:eastAsia="等线" w:hAnsi="Book Antiqua" w:cs="Times New Roman"/>
          <w:bCs/>
          <w:color w:val="000000" w:themeColor="text1"/>
          <w:sz w:val="24"/>
          <w:szCs w:val="24"/>
        </w:rPr>
        <w:t xml:space="preserve">an </w:t>
      </w:r>
      <w:r w:rsidRPr="00661363">
        <w:rPr>
          <w:rFonts w:ascii="Book Antiqua" w:hAnsi="Book Antiqua" w:cs="Times New Roman"/>
          <w:bCs/>
          <w:color w:val="000000" w:themeColor="text1"/>
          <w:sz w:val="24"/>
          <w:szCs w:val="24"/>
        </w:rPr>
        <w:t>increased risk of chronic kidney disease and other diseases</w:t>
      </w:r>
      <w:r w:rsidRPr="00661363">
        <w:rPr>
          <w:rFonts w:ascii="Book Antiqua" w:hAnsi="Book Antiqua" w:cs="Times New Roman"/>
          <w:bCs/>
          <w:color w:val="000000" w:themeColor="text1"/>
          <w:sz w:val="24"/>
          <w:szCs w:val="24"/>
          <w:vertAlign w:val="superscript"/>
        </w:rPr>
        <w:fldChar w:fldCharType="begin"/>
      </w:r>
      <w:r w:rsidRPr="00661363">
        <w:rPr>
          <w:rFonts w:ascii="Book Antiqua" w:hAnsi="Book Antiqua" w:cs="Times New Roman"/>
          <w:bCs/>
          <w:color w:val="000000" w:themeColor="text1"/>
          <w:sz w:val="24"/>
          <w:szCs w:val="24"/>
          <w:vertAlign w:val="superscript"/>
        </w:rPr>
        <w:instrText xml:space="preserve"> ADDIN EN.CITE &lt;EndNote&gt;&lt;Cite&gt;&lt;Author&gt;NJ&lt;/Author&gt;&lt;Year&gt;2018&lt;/Year&gt;&lt;RecNum&gt;118&lt;/RecNum&gt;&lt;DisplayText&gt;&lt;style face="superscript"&gt;[3]&lt;/style&gt;&lt;/DisplayText&gt;&lt;record&gt;&lt;rec-number&gt;118&lt;/rec-number&gt;&lt;foreign-keys&gt;&lt;key app="EN" db-id="tw9rxda0pz59fred02ovf5pbvavsesxx20ax" timestamp="1583699670"&gt;118&lt;/key&gt;&lt;/foreign-keys&gt;&lt;ref-type name="Journal Article"&gt;17&lt;/ref-type&gt;&lt;contributors&gt;&lt;authors&gt;&lt;author&gt;Sethi NJ&lt;/author&gt;&lt;author&gt;Nielsen EE&lt;/author&gt;&lt;author&gt;Safi S&lt;/author&gt;&lt;author&gt;Feinberg J&lt;/author&gt;&lt;author&gt;Gluud C&lt;/author&gt;&lt;author&gt;Jakobsen JC %J PloS one&lt;/author&gt;&lt;/authors&gt;&lt;/contributors&gt;&lt;titles&gt;&lt;title&gt;Digoxin for atrial fibrillation and atrial flutter: A systematic review with meta-analysis and trial sequential analysis of randomised clinical trials&lt;/title&gt;&lt;/titles&gt;&lt;pages&gt;e0193924&lt;/pages&gt;&lt;volume&gt;13&lt;/volume&gt;&lt;number&gt;3&lt;/number&gt;&lt;dates&gt;&lt;year&gt;2018&lt;/year&gt;&lt;/dates&gt;&lt;accession-num&gt;29518134&lt;/accession-num&gt;&lt;label&gt;2.776&lt;/label&gt;&lt;urls&gt;&lt;/urls&gt;&lt;electronic-resource-num&gt;10.1371/journal.pone.0193924&lt;/electronic-resource-num&gt;&lt;/record&gt;&lt;/Cite&gt;&lt;/EndNote&gt;</w:instrText>
      </w:r>
      <w:r w:rsidRPr="00661363">
        <w:rPr>
          <w:rFonts w:ascii="Book Antiqua" w:hAnsi="Book Antiqua" w:cs="Times New Roman"/>
          <w:bCs/>
          <w:color w:val="000000" w:themeColor="text1"/>
          <w:sz w:val="24"/>
          <w:szCs w:val="24"/>
          <w:vertAlign w:val="superscript"/>
        </w:rPr>
        <w:fldChar w:fldCharType="separate"/>
      </w:r>
      <w:r w:rsidRPr="00661363">
        <w:rPr>
          <w:rFonts w:ascii="Book Antiqua" w:hAnsi="Book Antiqua" w:cs="Times New Roman"/>
          <w:bCs/>
          <w:color w:val="000000" w:themeColor="text1"/>
          <w:sz w:val="24"/>
          <w:szCs w:val="24"/>
          <w:vertAlign w:val="superscript"/>
        </w:rPr>
        <w:t>[3]</w:t>
      </w:r>
      <w:r w:rsidRPr="00661363">
        <w:rPr>
          <w:rFonts w:ascii="Book Antiqua" w:hAnsi="Book Antiqua" w:cs="Times New Roman"/>
          <w:bCs/>
          <w:color w:val="000000" w:themeColor="text1"/>
          <w:sz w:val="24"/>
          <w:szCs w:val="24"/>
          <w:vertAlign w:val="superscript"/>
        </w:rPr>
        <w:fldChar w:fldCharType="end"/>
      </w:r>
      <w:r w:rsidRPr="00661363">
        <w:rPr>
          <w:rFonts w:ascii="Book Antiqua" w:hAnsi="Book Antiqua" w:cs="Times New Roman"/>
          <w:bCs/>
          <w:color w:val="000000" w:themeColor="text1"/>
          <w:sz w:val="24"/>
          <w:szCs w:val="24"/>
        </w:rPr>
        <w:t>.</w:t>
      </w:r>
      <w:r w:rsidR="00345913" w:rsidRPr="00661363">
        <w:rPr>
          <w:rFonts w:ascii="Book Antiqua" w:hAnsi="Book Antiqua" w:cs="Times New Roman"/>
          <w:bCs/>
          <w:color w:val="000000" w:themeColor="text1"/>
          <w:sz w:val="24"/>
          <w:szCs w:val="24"/>
        </w:rPr>
        <w:t xml:space="preserve"> </w:t>
      </w:r>
      <w:bookmarkStart w:id="14" w:name="_Hlk40223939"/>
      <w:r w:rsidRPr="00661363">
        <w:rPr>
          <w:rFonts w:ascii="Book Antiqua" w:eastAsia="等线" w:hAnsi="Book Antiqua" w:cs="Times New Roman"/>
          <w:bCs/>
          <w:color w:val="000000" w:themeColor="text1"/>
          <w:sz w:val="24"/>
          <w:szCs w:val="24"/>
        </w:rPr>
        <w:t>The identification of</w:t>
      </w:r>
      <w:r w:rsidRPr="00661363">
        <w:rPr>
          <w:rFonts w:ascii="Book Antiqua" w:hAnsi="Book Antiqua" w:cs="Times New Roman"/>
          <w:bCs/>
          <w:color w:val="000000" w:themeColor="text1"/>
          <w:sz w:val="24"/>
          <w:szCs w:val="24"/>
        </w:rPr>
        <w:t xml:space="preserve"> useful serological markers can provide guidance for </w:t>
      </w:r>
      <w:r w:rsidRPr="00661363">
        <w:rPr>
          <w:rFonts w:ascii="Book Antiqua" w:eastAsia="等线" w:hAnsi="Book Antiqua" w:cs="Times New Roman"/>
          <w:bCs/>
          <w:color w:val="000000" w:themeColor="text1"/>
          <w:sz w:val="24"/>
          <w:szCs w:val="24"/>
        </w:rPr>
        <w:t xml:space="preserve">the </w:t>
      </w:r>
      <w:r w:rsidRPr="00661363">
        <w:rPr>
          <w:rFonts w:ascii="Book Antiqua" w:hAnsi="Book Antiqua" w:cs="Times New Roman"/>
          <w:bCs/>
          <w:color w:val="000000" w:themeColor="text1"/>
          <w:sz w:val="24"/>
          <w:szCs w:val="24"/>
        </w:rPr>
        <w:t>primary prevention of atrial fibrillation and for monitoring and evaluating treatment efficacy and prognosis</w:t>
      </w:r>
      <w:bookmarkEnd w:id="14"/>
      <w:r w:rsidRPr="00661363">
        <w:rPr>
          <w:rFonts w:ascii="Book Antiqua" w:hAnsi="Book Antiqua" w:cs="Times New Roman"/>
          <w:bCs/>
          <w:color w:val="000000" w:themeColor="text1"/>
          <w:sz w:val="24"/>
          <w:szCs w:val="24"/>
          <w:vertAlign w:val="superscript"/>
        </w:rPr>
        <w:fldChar w:fldCharType="begin"/>
      </w:r>
      <w:r w:rsidRPr="00661363">
        <w:rPr>
          <w:rFonts w:ascii="Book Antiqua" w:hAnsi="Book Antiqua" w:cs="Times New Roman"/>
          <w:bCs/>
          <w:color w:val="000000" w:themeColor="text1"/>
          <w:sz w:val="24"/>
          <w:szCs w:val="24"/>
          <w:vertAlign w:val="superscript"/>
        </w:rPr>
        <w:instrText xml:space="preserve"> ADDIN EN.CITE &lt;EndNote&gt;&lt;Cite&gt;&lt;Author&gt;D&lt;/Author&gt;&lt;Year&gt;2018&lt;/Year&gt;&lt;RecNum&gt;119&lt;/RecNum&gt;&lt;DisplayText&gt;&lt;style face="superscript"&gt;[4]&lt;/style&gt;&lt;/DisplayText&gt;&lt;record&gt;&lt;rec-number&gt;119&lt;/rec-number&gt;&lt;foreign-keys&gt;&lt;key app="EN" db-id="tw9rxda0pz59fred02ovf5pbvavsesxx20ax" timestamp="1583699870"&gt;119&lt;/key&gt;&lt;/foreign-keys&gt;&lt;ref-type name="Journal Article"&gt;17&lt;/ref-type&gt;&lt;contributors&gt;&lt;authors&gt;&lt;author&gt;Pastori D&lt;/author&gt;&lt;author&gt;Lip GYH&lt;/author&gt;&lt;author&gt;Farcomeni A&lt;/author&gt;&lt;author&gt;Del Sole F&lt;/author&gt;&lt;author&gt;Sciacqua A&lt;/author&gt;&lt;author&gt;Perticone F&lt;/author&gt;&lt;author&gt;Marcucci R&lt;/author&gt;&lt;author&gt;Grifoni E&lt;/author&gt;&lt;author&gt;Pignatelli P&lt;/author&gt;&lt;author&gt;Violi F&lt;/author&gt;&lt;author&gt;%J International journal of cardiology&lt;/author&gt;&lt;/authors&gt;&lt;/contributors&gt;&lt;titles&gt;&lt;title&gt;Incidence of bleeding in patients with atrial fibrillation and advanced liver fibrosis on treatment with vitamin K or non-vitamin K antagonist oral anticoagulants&lt;/title&gt;&lt;/titles&gt;&lt;pages&gt;58-63&lt;/pages&gt;&lt;volume&gt;264&lt;/volume&gt;&lt;dates&gt;&lt;year&gt;2018&lt;/year&gt;&lt;/dates&gt;&lt;accession-num&gt;29776574&lt;/accession-num&gt;&lt;label&gt;3.471&lt;/label&gt;&lt;urls&gt;&lt;/urls&gt;&lt;electronic-resource-num&gt;10.1016/j.ijcard.2018.01.097&lt;/electronic-resource-num&gt;&lt;/record&gt;&lt;/Cite&gt;&lt;/EndNote&gt;</w:instrText>
      </w:r>
      <w:r w:rsidRPr="00661363">
        <w:rPr>
          <w:rFonts w:ascii="Book Antiqua" w:hAnsi="Book Antiqua" w:cs="Times New Roman"/>
          <w:bCs/>
          <w:color w:val="000000" w:themeColor="text1"/>
          <w:sz w:val="24"/>
          <w:szCs w:val="24"/>
          <w:vertAlign w:val="superscript"/>
        </w:rPr>
        <w:fldChar w:fldCharType="separate"/>
      </w:r>
      <w:r w:rsidRPr="00661363">
        <w:rPr>
          <w:rFonts w:ascii="Book Antiqua" w:hAnsi="Book Antiqua" w:cs="Times New Roman"/>
          <w:bCs/>
          <w:color w:val="000000" w:themeColor="text1"/>
          <w:sz w:val="24"/>
          <w:szCs w:val="24"/>
          <w:vertAlign w:val="superscript"/>
        </w:rPr>
        <w:t>[4]</w:t>
      </w:r>
      <w:r w:rsidRPr="00661363">
        <w:rPr>
          <w:rFonts w:ascii="Book Antiqua" w:hAnsi="Book Antiqua" w:cs="Times New Roman"/>
          <w:bCs/>
          <w:color w:val="000000" w:themeColor="text1"/>
          <w:sz w:val="24"/>
          <w:szCs w:val="24"/>
          <w:vertAlign w:val="superscript"/>
        </w:rPr>
        <w:fldChar w:fldCharType="end"/>
      </w:r>
      <w:r w:rsidRPr="00661363">
        <w:rPr>
          <w:rFonts w:ascii="Book Antiqua" w:hAnsi="Book Antiqua" w:cs="Times New Roman"/>
          <w:bCs/>
          <w:color w:val="000000" w:themeColor="text1"/>
          <w:sz w:val="24"/>
          <w:szCs w:val="24"/>
        </w:rPr>
        <w:t>.</w:t>
      </w:r>
      <w:r w:rsidR="00345913" w:rsidRPr="00661363">
        <w:rPr>
          <w:rFonts w:ascii="Book Antiqua" w:hAnsi="Book Antiqua" w:cs="Times New Roman"/>
          <w:bCs/>
          <w:color w:val="000000" w:themeColor="text1"/>
          <w:sz w:val="24"/>
          <w:szCs w:val="24"/>
        </w:rPr>
        <w:t xml:space="preserve"> </w:t>
      </w:r>
      <w:r w:rsidRPr="00661363">
        <w:rPr>
          <w:rFonts w:ascii="Book Antiqua" w:hAnsi="Book Antiqua" w:cs="Times New Roman"/>
          <w:bCs/>
          <w:color w:val="000000" w:themeColor="text1"/>
          <w:sz w:val="24"/>
          <w:szCs w:val="24"/>
        </w:rPr>
        <w:t>Fibroblast growth factor 23</w:t>
      </w:r>
      <w:r w:rsidRPr="00661363">
        <w:rPr>
          <w:rFonts w:ascii="Book Antiqua" w:eastAsia="等线" w:hAnsi="Book Antiqua" w:cs="Times New Roman"/>
          <w:bCs/>
          <w:color w:val="000000" w:themeColor="text1"/>
          <w:sz w:val="24"/>
          <w:szCs w:val="24"/>
        </w:rPr>
        <w:t xml:space="preserve"> </w:t>
      </w:r>
      <w:r w:rsidRPr="00661363">
        <w:rPr>
          <w:rFonts w:ascii="Book Antiqua" w:hAnsi="Book Antiqua" w:cs="Times New Roman"/>
          <w:bCs/>
          <w:color w:val="000000" w:themeColor="text1"/>
          <w:sz w:val="24"/>
          <w:szCs w:val="24"/>
        </w:rPr>
        <w:t>(FGF-23) is a member of the FGF superfamily and is closely related to the development of cardiovascular disease</w:t>
      </w:r>
      <w:r w:rsidRPr="00661363">
        <w:rPr>
          <w:rFonts w:ascii="Book Antiqua" w:hAnsi="Book Antiqua" w:cs="Times New Roman"/>
          <w:bCs/>
          <w:color w:val="000000" w:themeColor="text1"/>
          <w:sz w:val="24"/>
          <w:szCs w:val="24"/>
          <w:vertAlign w:val="superscript"/>
        </w:rPr>
        <w:fldChar w:fldCharType="begin"/>
      </w:r>
      <w:r w:rsidRPr="00661363">
        <w:rPr>
          <w:rFonts w:ascii="Book Antiqua" w:hAnsi="Book Antiqua" w:cs="Times New Roman"/>
          <w:bCs/>
          <w:color w:val="000000" w:themeColor="text1"/>
          <w:sz w:val="24"/>
          <w:szCs w:val="24"/>
          <w:vertAlign w:val="superscript"/>
        </w:rPr>
        <w:instrText xml:space="preserve"> ADDIN EN.CITE &lt;EndNote&gt;&lt;Cite&gt;&lt;Author&gt;YG&lt;/Author&gt;&lt;Year&gt;2018&lt;/Year&gt;&lt;RecNum&gt;120&lt;/RecNum&gt;&lt;DisplayText&gt;&lt;style face="superscript"&gt;[5]&lt;/style&gt;&lt;/DisplayText&gt;&lt;record&gt;&lt;rec-number&gt;120&lt;/rec-number&gt;&lt;foreign-keys&gt;&lt;key app="EN" db-id="tw9rxda0pz59fred02ovf5pbvavsesxx20ax" timestamp="1583699956"&gt;120&lt;/key&gt;&lt;/foreign-keys&gt;&lt;ref-type name="Journal Article"&gt;17&lt;/ref-type&gt;&lt;contributors&gt;&lt;authors&gt;&lt;author&gt;Li YG&lt;/author&gt;&lt;author&gt;Pastori D&lt;/author&gt;&lt;author&gt;Lip GYH %J Annals of medicine&lt;/author&gt;&lt;/authors&gt;&lt;/contributors&gt;&lt;titles&gt;&lt;title&gt;Fitting the right non-vitamin K antagonist oral anticoagulant to the right patient with non-valvular atrial fibrillation: an evidence-based choice&lt;/title&gt;&lt;/titles&gt;&lt;pages&gt;288-302&lt;/pages&gt;&lt;volume&gt;50&lt;/volume&gt;&lt;number&gt;4&lt;/number&gt;&lt;dates&gt;&lt;year&gt;2018&lt;/year&gt;&lt;/dates&gt;&lt;accession-num&gt;29608110&lt;/accession-num&gt;&lt;label&gt;3.049&lt;/label&gt;&lt;urls&gt;&lt;/urls&gt;&lt;electronic-resource-num&gt;10.1080/07853890.2018.1460489&lt;/electronic-resource-num&gt;&lt;/record&gt;&lt;/Cite&gt;&lt;/EndNote&gt;</w:instrText>
      </w:r>
      <w:r w:rsidRPr="00661363">
        <w:rPr>
          <w:rFonts w:ascii="Book Antiqua" w:hAnsi="Book Antiqua" w:cs="Times New Roman"/>
          <w:bCs/>
          <w:color w:val="000000" w:themeColor="text1"/>
          <w:sz w:val="24"/>
          <w:szCs w:val="24"/>
          <w:vertAlign w:val="superscript"/>
        </w:rPr>
        <w:fldChar w:fldCharType="separate"/>
      </w:r>
      <w:r w:rsidRPr="00661363">
        <w:rPr>
          <w:rFonts w:ascii="Book Antiqua" w:hAnsi="Book Antiqua" w:cs="Times New Roman"/>
          <w:bCs/>
          <w:color w:val="000000" w:themeColor="text1"/>
          <w:sz w:val="24"/>
          <w:szCs w:val="24"/>
          <w:vertAlign w:val="superscript"/>
        </w:rPr>
        <w:t>[5]</w:t>
      </w:r>
      <w:r w:rsidRPr="00661363">
        <w:rPr>
          <w:rFonts w:ascii="Book Antiqua" w:hAnsi="Book Antiqua" w:cs="Times New Roman"/>
          <w:bCs/>
          <w:color w:val="000000" w:themeColor="text1"/>
          <w:sz w:val="24"/>
          <w:szCs w:val="24"/>
          <w:vertAlign w:val="superscript"/>
        </w:rPr>
        <w:fldChar w:fldCharType="end"/>
      </w:r>
      <w:r w:rsidRPr="00661363">
        <w:rPr>
          <w:rFonts w:ascii="Book Antiqua" w:hAnsi="Book Antiqua" w:cs="Times New Roman"/>
          <w:bCs/>
          <w:color w:val="000000" w:themeColor="text1"/>
          <w:sz w:val="24"/>
          <w:szCs w:val="24"/>
        </w:rPr>
        <w:t>.</w:t>
      </w:r>
      <w:r w:rsidR="00345913" w:rsidRPr="00661363">
        <w:rPr>
          <w:rFonts w:ascii="Book Antiqua" w:hAnsi="Book Antiqua" w:cs="Times New Roman"/>
          <w:bCs/>
          <w:color w:val="000000" w:themeColor="text1"/>
          <w:sz w:val="24"/>
          <w:szCs w:val="24"/>
        </w:rPr>
        <w:t xml:space="preserve"> </w:t>
      </w:r>
      <w:r w:rsidRPr="00661363">
        <w:rPr>
          <w:rFonts w:ascii="Book Antiqua" w:hAnsi="Book Antiqua" w:cs="Times New Roman"/>
          <w:bCs/>
          <w:color w:val="000000" w:themeColor="text1"/>
          <w:sz w:val="24"/>
          <w:szCs w:val="24"/>
        </w:rPr>
        <w:t>Most mi</w:t>
      </w:r>
      <w:r w:rsidR="006E7DE5">
        <w:rPr>
          <w:rFonts w:ascii="Book Antiqua" w:hAnsi="Book Antiqua" w:cs="Times New Roman"/>
          <w:bCs/>
          <w:color w:val="000000" w:themeColor="text1"/>
          <w:sz w:val="24"/>
          <w:szCs w:val="24"/>
        </w:rPr>
        <w:t>cro</w:t>
      </w:r>
      <w:r w:rsidRPr="00661363">
        <w:rPr>
          <w:rFonts w:ascii="Book Antiqua" w:hAnsi="Book Antiqua" w:cs="Times New Roman"/>
          <w:bCs/>
          <w:color w:val="000000" w:themeColor="text1"/>
          <w:sz w:val="24"/>
          <w:szCs w:val="24"/>
        </w:rPr>
        <w:t xml:space="preserve">RNAs </w:t>
      </w:r>
      <w:r w:rsidR="006E7DE5">
        <w:rPr>
          <w:rFonts w:ascii="Book Antiqua" w:hAnsi="Book Antiqua" w:cs="Times New Roman"/>
          <w:bCs/>
          <w:color w:val="000000" w:themeColor="text1"/>
          <w:sz w:val="24"/>
          <w:szCs w:val="24"/>
        </w:rPr>
        <w:t xml:space="preserve">(miRNAs) </w:t>
      </w:r>
      <w:r w:rsidRPr="00661363">
        <w:rPr>
          <w:rFonts w:ascii="Book Antiqua" w:hAnsi="Book Antiqua" w:cs="Times New Roman"/>
          <w:bCs/>
          <w:color w:val="000000" w:themeColor="text1"/>
          <w:sz w:val="24"/>
          <w:szCs w:val="24"/>
        </w:rPr>
        <w:t>exhibit tissue specificity and are stable in serum, making them potential biomarkers for disease diagnosis</w:t>
      </w:r>
      <w:r w:rsidRPr="00661363">
        <w:rPr>
          <w:rFonts w:ascii="Book Antiqua" w:hAnsi="Book Antiqua" w:cs="Times New Roman"/>
          <w:bCs/>
          <w:color w:val="000000" w:themeColor="text1"/>
          <w:sz w:val="24"/>
          <w:szCs w:val="24"/>
          <w:vertAlign w:val="superscript"/>
        </w:rPr>
        <w:fldChar w:fldCharType="begin"/>
      </w:r>
      <w:r w:rsidRPr="00661363">
        <w:rPr>
          <w:rFonts w:ascii="Book Antiqua" w:hAnsi="Book Antiqua" w:cs="Times New Roman"/>
          <w:bCs/>
          <w:color w:val="000000" w:themeColor="text1"/>
          <w:sz w:val="24"/>
          <w:szCs w:val="24"/>
          <w:vertAlign w:val="superscript"/>
        </w:rPr>
        <w:instrText xml:space="preserve"> ADDIN EN.CITE &lt;EndNote&gt;&lt;Cite&gt;&lt;Author&gt;C&lt;/Author&gt;&lt;Year&gt;2018&lt;/Year&gt;&lt;RecNum&gt;121&lt;/RecNum&gt;&lt;DisplayText&gt;&lt;style face="superscript"&gt;[6]&lt;/style&gt;&lt;/DisplayText&gt;&lt;record&gt;&lt;rec-number&gt;121&lt;/rec-number&gt;&lt;foreign-keys&gt;&lt;key app="EN" db-id="tw9rxda0pz59fred02ovf5pbvavsesxx20ax" timestamp="1583700050"&gt;121&lt;/key&gt;&lt;/foreign-keys&gt;&lt;ref-type name="Journal Article"&gt;17&lt;/ref-type&gt;&lt;contributors&gt;&lt;authors&gt;&lt;author&gt;Chen C&lt;/author&gt;&lt;author&gt;Meng Z&lt;/author&gt;&lt;author&gt;Zheng Y&lt;/author&gt;&lt;author&gt;Hu B&lt;/author&gt;&lt;author&gt;Shen E %J Experimental&lt;/author&gt;&lt;author&gt;therapeutic medicine&lt;/author&gt;&lt;/authors&gt;&lt;/contributors&gt;&lt;titles&gt;&lt;title&gt;Fibroblast growth factor 21 inhibition aggravates cardiac dysfunction in diabetic cardiomyopathy by improving lipid accumulation&lt;/title&gt;&lt;/titles&gt;&lt;pages&gt;75-84&lt;/pages&gt;&lt;volume&gt;15&lt;/volume&gt;&lt;number&gt;1&lt;/number&gt;&lt;dates&gt;&lt;year&gt;2018&lt;/year&gt;&lt;/dates&gt;&lt;accession-num&gt;29375676&lt;/accession-num&gt;&lt;label&gt;1.448&lt;/label&gt;&lt;urls&gt;&lt;/urls&gt;&lt;electronic-resource-num&gt;10.3892/etm.2017.5375&lt;/electronic-resource-num&gt;&lt;/record&gt;&lt;/Cite&gt;&lt;/EndNote&gt;</w:instrText>
      </w:r>
      <w:r w:rsidRPr="00661363">
        <w:rPr>
          <w:rFonts w:ascii="Book Antiqua" w:hAnsi="Book Antiqua" w:cs="Times New Roman"/>
          <w:bCs/>
          <w:color w:val="000000" w:themeColor="text1"/>
          <w:sz w:val="24"/>
          <w:szCs w:val="24"/>
          <w:vertAlign w:val="superscript"/>
        </w:rPr>
        <w:fldChar w:fldCharType="separate"/>
      </w:r>
      <w:r w:rsidRPr="00661363">
        <w:rPr>
          <w:rFonts w:ascii="Book Antiqua" w:hAnsi="Book Antiqua" w:cs="Times New Roman"/>
          <w:bCs/>
          <w:color w:val="000000" w:themeColor="text1"/>
          <w:sz w:val="24"/>
          <w:szCs w:val="24"/>
          <w:vertAlign w:val="superscript"/>
        </w:rPr>
        <w:t>[6]</w:t>
      </w:r>
      <w:r w:rsidRPr="00661363">
        <w:rPr>
          <w:rFonts w:ascii="Book Antiqua" w:hAnsi="Book Antiqua" w:cs="Times New Roman"/>
          <w:bCs/>
          <w:color w:val="000000" w:themeColor="text1"/>
          <w:sz w:val="24"/>
          <w:szCs w:val="24"/>
          <w:vertAlign w:val="superscript"/>
        </w:rPr>
        <w:fldChar w:fldCharType="end"/>
      </w:r>
      <w:r w:rsidRPr="00661363">
        <w:rPr>
          <w:rFonts w:ascii="Book Antiqua" w:hAnsi="Book Antiqua" w:cs="Times New Roman"/>
          <w:bCs/>
          <w:color w:val="000000" w:themeColor="text1"/>
          <w:sz w:val="24"/>
          <w:szCs w:val="24"/>
        </w:rPr>
        <w:t>.</w:t>
      </w:r>
      <w:r w:rsidR="00345913" w:rsidRPr="00661363">
        <w:rPr>
          <w:rFonts w:ascii="Book Antiqua" w:hAnsi="Book Antiqua" w:cs="Times New Roman"/>
          <w:bCs/>
          <w:color w:val="000000" w:themeColor="text1"/>
          <w:sz w:val="24"/>
          <w:szCs w:val="24"/>
        </w:rPr>
        <w:t xml:space="preserve"> </w:t>
      </w:r>
      <w:r w:rsidR="006E7DE5">
        <w:rPr>
          <w:rFonts w:ascii="Book Antiqua" w:hAnsi="Book Antiqua" w:cs="Times New Roman"/>
          <w:bCs/>
          <w:color w:val="000000" w:themeColor="text1"/>
          <w:sz w:val="24"/>
          <w:szCs w:val="24"/>
        </w:rPr>
        <w:t>M</w:t>
      </w:r>
      <w:r w:rsidR="006E7DE5" w:rsidRPr="00661363">
        <w:rPr>
          <w:rFonts w:ascii="Book Antiqua" w:hAnsi="Book Antiqua" w:cs="Times New Roman"/>
          <w:bCs/>
          <w:color w:val="000000" w:themeColor="text1"/>
          <w:sz w:val="24"/>
          <w:szCs w:val="24"/>
        </w:rPr>
        <w:t>iR</w:t>
      </w:r>
      <w:r w:rsidRPr="00661363">
        <w:rPr>
          <w:rFonts w:ascii="Book Antiqua" w:hAnsi="Book Antiqua" w:cs="Times New Roman"/>
          <w:bCs/>
          <w:color w:val="000000" w:themeColor="text1"/>
          <w:sz w:val="24"/>
          <w:szCs w:val="24"/>
        </w:rPr>
        <w:t xml:space="preserve">-208b </w:t>
      </w:r>
      <w:r w:rsidR="006E7DE5">
        <w:rPr>
          <w:rFonts w:ascii="Book Antiqua" w:hAnsi="Book Antiqua" w:cs="Times New Roman"/>
          <w:bCs/>
          <w:color w:val="000000" w:themeColor="text1"/>
          <w:sz w:val="24"/>
          <w:szCs w:val="24"/>
        </w:rPr>
        <w:t>was</w:t>
      </w:r>
      <w:r w:rsidR="006E7DE5" w:rsidRPr="00661363">
        <w:rPr>
          <w:rFonts w:ascii="Book Antiqua" w:hAnsi="Book Antiqua" w:cs="Times New Roman"/>
          <w:bCs/>
          <w:color w:val="000000" w:themeColor="text1"/>
          <w:sz w:val="24"/>
          <w:szCs w:val="24"/>
        </w:rPr>
        <w:t xml:space="preserve"> </w:t>
      </w:r>
      <w:r w:rsidRPr="00661363">
        <w:rPr>
          <w:rFonts w:ascii="Book Antiqua" w:hAnsi="Book Antiqua" w:cs="Times New Roman"/>
          <w:bCs/>
          <w:color w:val="000000" w:themeColor="text1"/>
          <w:sz w:val="24"/>
          <w:szCs w:val="24"/>
        </w:rPr>
        <w:t xml:space="preserve">found in the plasma of patients with acute myocardial infarction, which indicates that heart-specific miR-208b can be released from damaged cardiomyocytes into </w:t>
      </w:r>
      <w:r w:rsidR="00183D66" w:rsidRPr="00661363">
        <w:rPr>
          <w:rFonts w:ascii="Book Antiqua" w:hAnsi="Book Antiqua" w:cs="Times New Roman"/>
          <w:bCs/>
          <w:color w:val="000000" w:themeColor="text1"/>
          <w:sz w:val="24"/>
          <w:szCs w:val="24"/>
        </w:rPr>
        <w:t xml:space="preserve">the </w:t>
      </w:r>
      <w:r w:rsidRPr="00661363">
        <w:rPr>
          <w:rFonts w:ascii="Book Antiqua" w:hAnsi="Book Antiqua" w:cs="Times New Roman"/>
          <w:bCs/>
          <w:color w:val="000000" w:themeColor="text1"/>
          <w:sz w:val="24"/>
          <w:szCs w:val="24"/>
        </w:rPr>
        <w:t>blood circulation</w:t>
      </w:r>
      <w:r w:rsidRPr="00661363">
        <w:rPr>
          <w:rFonts w:ascii="Book Antiqua" w:hAnsi="Book Antiqua" w:cs="Times New Roman"/>
          <w:bCs/>
          <w:color w:val="000000" w:themeColor="text1"/>
          <w:sz w:val="24"/>
          <w:szCs w:val="24"/>
          <w:vertAlign w:val="superscript"/>
        </w:rPr>
        <w:fldChar w:fldCharType="begin"/>
      </w:r>
      <w:r w:rsidRPr="00661363">
        <w:rPr>
          <w:rFonts w:ascii="Book Antiqua" w:hAnsi="Book Antiqua" w:cs="Times New Roman"/>
          <w:bCs/>
          <w:color w:val="000000" w:themeColor="text1"/>
          <w:sz w:val="24"/>
          <w:szCs w:val="24"/>
          <w:vertAlign w:val="superscript"/>
        </w:rPr>
        <w:instrText xml:space="preserve"> ADDIN EN.CITE &lt;EndNote&gt;&lt;Cite&gt;&lt;Author&gt;SC&lt;/Author&gt;&lt;Year&gt;2019&lt;/Year&gt;&lt;RecNum&gt;122&lt;/RecNum&gt;&lt;DisplayText&gt;&lt;style face="superscript"&gt;[7]&lt;/style&gt;&lt;/DisplayText&gt;&lt;record&gt;&lt;rec-number&gt;122&lt;/rec-number&gt;&lt;foreign-keys&gt;&lt;key app="EN" db-id="tw9rxda0pz59fred02ovf5pbvavsesxx20ax" timestamp="1583700132"&gt;122&lt;/key&gt;&lt;/foreign-keys&gt;&lt;ref-type name="Journal Article"&gt;17&lt;/ref-type&gt;&lt;contributors&gt;&lt;authors&gt;&lt;author&gt;Chen SC&lt;/author&gt;&lt;author&gt;Chung FP&lt;/author&gt;&lt;author&gt;Chao TF&lt;/author&gt;&lt;author&gt;Hu YF&lt;/author&gt;&lt;author&gt;Lin YJ&lt;/author&gt;&lt;author&gt;Chang SL&lt;/author&gt;&lt;author&gt;Lo LW&lt;/author&gt;&lt;author&gt;Tuan TC&lt;/author&gt;&lt;author&gt;Te ALD&lt;/author&gt;&lt;author&gt;Yamada S&lt;/author&gt;&lt;author&gt;Prabhu A&lt;/author&gt;&lt;author&gt;Chang TY&lt;/author&gt;&lt;author&gt;Lin CY&lt;/author&gt;&lt;author&gt;Chen SA %J Journal of the Chinese Medical Association : JCMA&lt;/author&gt;&lt;/authors&gt;&lt;/contributors&gt;&lt;titles&gt;&lt;title&gt;A link between bilirubin levels and atrial fibrillation recurrence after catheter ablation&lt;/title&gt;&lt;/titles&gt;&lt;pages&gt;175-178&lt;/pages&gt;&lt;volume&gt;82&lt;/volume&gt;&lt;number&gt;3&lt;/number&gt;&lt;dates&gt;&lt;year&gt;2019&lt;/year&gt;&lt;/dates&gt;&lt;accession-num&gt;30913114&lt;/accession-num&gt;&lt;label&gt;1.894&lt;/label&gt;&lt;urls&gt;&lt;/urls&gt;&lt;electronic-resource-num&gt;10.1097/jcma.0000000000000026&lt;/electronic-resource-num&gt;&lt;/record&gt;&lt;/Cite&gt;&lt;/EndNote&gt;</w:instrText>
      </w:r>
      <w:r w:rsidRPr="00661363">
        <w:rPr>
          <w:rFonts w:ascii="Book Antiqua" w:hAnsi="Book Antiqua" w:cs="Times New Roman"/>
          <w:bCs/>
          <w:color w:val="000000" w:themeColor="text1"/>
          <w:sz w:val="24"/>
          <w:szCs w:val="24"/>
          <w:vertAlign w:val="superscript"/>
        </w:rPr>
        <w:fldChar w:fldCharType="separate"/>
      </w:r>
      <w:r w:rsidRPr="00661363">
        <w:rPr>
          <w:rFonts w:ascii="Book Antiqua" w:hAnsi="Book Antiqua" w:cs="Times New Roman"/>
          <w:bCs/>
          <w:color w:val="000000" w:themeColor="text1"/>
          <w:sz w:val="24"/>
          <w:szCs w:val="24"/>
          <w:vertAlign w:val="superscript"/>
        </w:rPr>
        <w:t>[7]</w:t>
      </w:r>
      <w:r w:rsidRPr="00661363">
        <w:rPr>
          <w:rFonts w:ascii="Book Antiqua" w:hAnsi="Book Antiqua" w:cs="Times New Roman"/>
          <w:bCs/>
          <w:color w:val="000000" w:themeColor="text1"/>
          <w:sz w:val="24"/>
          <w:szCs w:val="24"/>
          <w:vertAlign w:val="superscript"/>
        </w:rPr>
        <w:fldChar w:fldCharType="end"/>
      </w:r>
      <w:r w:rsidRPr="00661363">
        <w:rPr>
          <w:rFonts w:ascii="Book Antiqua" w:hAnsi="Book Antiqua"/>
          <w:color w:val="000000" w:themeColor="text1"/>
          <w:sz w:val="24"/>
          <w:szCs w:val="24"/>
        </w:rPr>
        <w:t>.</w:t>
      </w:r>
      <w:r w:rsidR="00345913" w:rsidRPr="00661363">
        <w:rPr>
          <w:rFonts w:ascii="Book Antiqua" w:hAnsi="Book Antiqua"/>
          <w:color w:val="000000" w:themeColor="text1"/>
          <w:sz w:val="24"/>
          <w:szCs w:val="24"/>
        </w:rPr>
        <w:t xml:space="preserve"> </w:t>
      </w:r>
      <w:bookmarkStart w:id="15" w:name="_Hlk40223969"/>
      <w:r w:rsidR="006E7DE5" w:rsidRPr="00661363">
        <w:rPr>
          <w:rFonts w:ascii="Book Antiqua" w:hAnsi="Book Antiqua"/>
          <w:color w:val="000000" w:themeColor="text1"/>
          <w:sz w:val="24"/>
          <w:szCs w:val="24"/>
        </w:rPr>
        <w:t>T</w:t>
      </w:r>
      <w:r w:rsidR="006E7DE5">
        <w:rPr>
          <w:rFonts w:ascii="Book Antiqua" w:hAnsi="Book Antiqua"/>
          <w:color w:val="000000" w:themeColor="text1"/>
          <w:sz w:val="24"/>
          <w:szCs w:val="24"/>
        </w:rPr>
        <w:t>he present study aimed to</w:t>
      </w:r>
      <w:r w:rsidR="006E7DE5"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investigate the levels and significance of serum FGF-23</w:t>
      </w:r>
      <w:r w:rsidRPr="00661363">
        <w:rPr>
          <w:rFonts w:ascii="Book Antiqua" w:eastAsia="等线" w:hAnsi="Book Antiqua" w:cs="Times New Roman"/>
          <w:color w:val="000000" w:themeColor="text1"/>
          <w:sz w:val="24"/>
          <w:szCs w:val="24"/>
        </w:rPr>
        <w:t xml:space="preserve"> and</w:t>
      </w:r>
      <w:r w:rsidRPr="00661363">
        <w:rPr>
          <w:rFonts w:ascii="Book Antiqua" w:hAnsi="Book Antiqua"/>
          <w:color w:val="000000" w:themeColor="text1"/>
          <w:sz w:val="24"/>
          <w:szCs w:val="24"/>
        </w:rPr>
        <w:t xml:space="preserve"> miR-208b in </w:t>
      </w:r>
      <w:r w:rsidR="006E7DE5">
        <w:rPr>
          <w:rFonts w:ascii="Book Antiqua" w:hAnsi="Book Antiqua"/>
          <w:color w:val="000000" w:themeColor="text1"/>
          <w:sz w:val="24"/>
          <w:szCs w:val="24"/>
        </w:rPr>
        <w:t xml:space="preserve">patients with </w:t>
      </w:r>
      <w:r w:rsidRPr="00661363">
        <w:rPr>
          <w:rFonts w:ascii="Book Antiqua" w:hAnsi="Book Antiqua"/>
          <w:color w:val="000000" w:themeColor="text1"/>
          <w:sz w:val="24"/>
          <w:szCs w:val="24"/>
        </w:rPr>
        <w:t>atrial fibrillation and their relevance to patient prognosis</w:t>
      </w:r>
      <w:bookmarkStart w:id="16" w:name="_Hlk40223995"/>
      <w:bookmarkEnd w:id="15"/>
      <w:r w:rsidRPr="00661363">
        <w:rPr>
          <w:rFonts w:ascii="Book Antiqua" w:hAnsi="Book Antiqua"/>
          <w:color w:val="000000" w:themeColor="text1"/>
          <w:sz w:val="24"/>
          <w:szCs w:val="24"/>
        </w:rPr>
        <w:t>.</w:t>
      </w:r>
      <w:bookmarkEnd w:id="16"/>
    </w:p>
    <w:p w14:paraId="1958BCD7" w14:textId="77777777" w:rsidR="00AE7027" w:rsidRPr="00661363" w:rsidRDefault="00AE7027" w:rsidP="00661363">
      <w:pPr>
        <w:adjustRightInd w:val="0"/>
        <w:snapToGrid w:val="0"/>
        <w:spacing w:line="360" w:lineRule="auto"/>
        <w:rPr>
          <w:rFonts w:ascii="Book Antiqua" w:hAnsi="Book Antiqua" w:cs="Times New Roman"/>
          <w:bCs/>
          <w:color w:val="000000" w:themeColor="text1"/>
          <w:sz w:val="24"/>
          <w:szCs w:val="24"/>
        </w:rPr>
      </w:pPr>
    </w:p>
    <w:p w14:paraId="31B3B3D5" w14:textId="77777777" w:rsidR="00345913" w:rsidRPr="00661363" w:rsidRDefault="00345913" w:rsidP="00661363">
      <w:pPr>
        <w:adjustRightInd w:val="0"/>
        <w:snapToGrid w:val="0"/>
        <w:spacing w:line="360" w:lineRule="auto"/>
        <w:rPr>
          <w:rFonts w:ascii="Book Antiqua" w:hAnsi="Book Antiqua"/>
          <w:b/>
          <w:sz w:val="24"/>
          <w:szCs w:val="24"/>
          <w:u w:val="single"/>
        </w:rPr>
      </w:pPr>
      <w:r w:rsidRPr="00661363">
        <w:rPr>
          <w:rFonts w:ascii="Book Antiqua" w:hAnsi="Book Antiqua"/>
          <w:b/>
          <w:sz w:val="24"/>
          <w:szCs w:val="24"/>
          <w:u w:val="single"/>
        </w:rPr>
        <w:t>MATERIALS AND METHODS</w:t>
      </w:r>
    </w:p>
    <w:p w14:paraId="539FF75C" w14:textId="2FA17FF8" w:rsidR="00AE7027" w:rsidRPr="00661363" w:rsidRDefault="00C260A9"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General information</w:t>
      </w:r>
    </w:p>
    <w:p w14:paraId="3AE163F5" w14:textId="5F3E48F1" w:rsidR="00AE7027" w:rsidRPr="00661363" w:rsidRDefault="00C260A9"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 xml:space="preserve">In total, 240 patients with atrial fibrillation treated </w:t>
      </w:r>
      <w:r w:rsidR="006E7DE5">
        <w:rPr>
          <w:rFonts w:ascii="Book Antiqua" w:hAnsi="Book Antiqua"/>
          <w:bCs/>
          <w:color w:val="000000" w:themeColor="text1"/>
          <w:sz w:val="24"/>
          <w:szCs w:val="24"/>
        </w:rPr>
        <w:t>at</w:t>
      </w:r>
      <w:r w:rsidR="006E7DE5"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 xml:space="preserve">our hospital from May 2018 to October 2019 were selected as </w:t>
      </w:r>
      <w:r w:rsidR="004A7D34">
        <w:rPr>
          <w:rFonts w:ascii="Book Antiqua" w:hAnsi="Book Antiqua"/>
          <w:bCs/>
          <w:color w:val="000000" w:themeColor="text1"/>
          <w:sz w:val="24"/>
          <w:szCs w:val="24"/>
        </w:rPr>
        <w:t>an</w:t>
      </w:r>
      <w:r w:rsidR="004A7D34"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observation group, including 134 patients with paroxysmal atrial fibrillation and 106</w:t>
      </w:r>
      <w:r w:rsidR="004A7D34">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 xml:space="preserve">with persistent atrial fibrillation. The inclusion criteria were as follows: (1) </w:t>
      </w:r>
      <w:r w:rsidR="004A7D34">
        <w:rPr>
          <w:rFonts w:ascii="Book Antiqua" w:hAnsi="Book Antiqua"/>
          <w:bCs/>
          <w:color w:val="000000" w:themeColor="text1"/>
          <w:sz w:val="24"/>
          <w:szCs w:val="24"/>
        </w:rPr>
        <w:t>D</w:t>
      </w:r>
      <w:r w:rsidR="004A7D34" w:rsidRPr="00661363">
        <w:rPr>
          <w:rFonts w:ascii="Book Antiqua" w:hAnsi="Book Antiqua"/>
          <w:bCs/>
          <w:color w:val="000000" w:themeColor="text1"/>
          <w:sz w:val="24"/>
          <w:szCs w:val="24"/>
        </w:rPr>
        <w:t>iagnosis</w:t>
      </w:r>
      <w:r w:rsidR="004A7D34">
        <w:rPr>
          <w:rFonts w:ascii="Book Antiqua" w:hAnsi="Book Antiqua"/>
          <w:bCs/>
          <w:color w:val="000000" w:themeColor="text1"/>
          <w:sz w:val="24"/>
          <w:szCs w:val="24"/>
        </w:rPr>
        <w:t xml:space="preserve"> with </w:t>
      </w:r>
      <w:r w:rsidR="004A7D34" w:rsidRPr="00661363">
        <w:rPr>
          <w:rFonts w:ascii="Book Antiqua" w:hAnsi="Book Antiqua"/>
          <w:bCs/>
          <w:color w:val="000000" w:themeColor="text1"/>
          <w:sz w:val="24"/>
          <w:szCs w:val="24"/>
        </w:rPr>
        <w:t>atrial fibrillation</w:t>
      </w:r>
      <w:r w:rsidRPr="00661363">
        <w:rPr>
          <w:rFonts w:ascii="Book Antiqua" w:hAnsi="Book Antiqua"/>
          <w:bCs/>
          <w:color w:val="000000" w:themeColor="text1"/>
          <w:sz w:val="24"/>
          <w:szCs w:val="24"/>
        </w:rPr>
        <w:t xml:space="preserve"> according to the diagnostic criteria of the 2016 ESC </w:t>
      </w:r>
      <w:r w:rsidR="00D93509">
        <w:rPr>
          <w:rFonts w:ascii="Book Antiqua" w:hAnsi="Book Antiqua"/>
          <w:bCs/>
          <w:color w:val="000000" w:themeColor="text1"/>
          <w:sz w:val="24"/>
          <w:szCs w:val="24"/>
        </w:rPr>
        <w:t>atrial fibrillation</w:t>
      </w:r>
      <w:r w:rsidR="00D93509">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management guidelines; (2) cardiac function NYHA grade I-III; and (3) complete clinical follow-up data.</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 xml:space="preserve">The exclusion criteria were as follows: (1) </w:t>
      </w:r>
      <w:r w:rsidR="004A7D34">
        <w:rPr>
          <w:rFonts w:ascii="Book Antiqua" w:hAnsi="Book Antiqua"/>
          <w:bCs/>
          <w:color w:val="000000" w:themeColor="text1"/>
          <w:sz w:val="24"/>
          <w:szCs w:val="24"/>
        </w:rPr>
        <w:t>H</w:t>
      </w:r>
      <w:r w:rsidR="004A7D34" w:rsidRPr="00661363">
        <w:rPr>
          <w:rFonts w:ascii="Book Antiqua" w:hAnsi="Book Antiqua"/>
          <w:bCs/>
          <w:color w:val="000000" w:themeColor="text1"/>
          <w:sz w:val="24"/>
          <w:szCs w:val="24"/>
        </w:rPr>
        <w:t xml:space="preserve">eart </w:t>
      </w:r>
      <w:r w:rsidRPr="00661363">
        <w:rPr>
          <w:rFonts w:ascii="Book Antiqua" w:hAnsi="Book Antiqua"/>
          <w:bCs/>
          <w:color w:val="000000" w:themeColor="text1"/>
          <w:sz w:val="24"/>
          <w:szCs w:val="24"/>
        </w:rPr>
        <w:t>diseases such as valvular heart disease; (2) malignant tumors, immune system diseases, circulatory system diseases, and other diseases; and (3) history of infection within the past month.</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 xml:space="preserve">At the same time, 150 patients with normal sinus rhythm as determined by clinical examination were selected as </w:t>
      </w:r>
      <w:r w:rsidR="004A7D34">
        <w:rPr>
          <w:rFonts w:ascii="Book Antiqua" w:hAnsi="Book Antiqua"/>
          <w:bCs/>
          <w:color w:val="000000" w:themeColor="text1"/>
          <w:sz w:val="24"/>
          <w:szCs w:val="24"/>
        </w:rPr>
        <w:t>a</w:t>
      </w:r>
      <w:r w:rsidR="004A7D34"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control group, and general data for the observation group and control group are compared in Table 1.</w:t>
      </w:r>
    </w:p>
    <w:p w14:paraId="1127EAEB" w14:textId="77777777" w:rsidR="00AE7027" w:rsidRPr="00661363" w:rsidRDefault="00AE7027" w:rsidP="00661363">
      <w:pPr>
        <w:pStyle w:val="p16"/>
        <w:adjustRightInd w:val="0"/>
        <w:snapToGrid w:val="0"/>
        <w:spacing w:line="360" w:lineRule="auto"/>
        <w:rPr>
          <w:rFonts w:ascii="Book Antiqua" w:hAnsi="Book Antiqua"/>
          <w:bCs/>
          <w:color w:val="000000" w:themeColor="text1"/>
          <w:sz w:val="24"/>
          <w:szCs w:val="24"/>
        </w:rPr>
      </w:pPr>
    </w:p>
    <w:p w14:paraId="436BF790" w14:textId="202B5C54" w:rsidR="00AE7027" w:rsidRPr="00661363" w:rsidRDefault="00C260A9" w:rsidP="00661363">
      <w:pPr>
        <w:pStyle w:val="p16"/>
        <w:adjustRightInd w:val="0"/>
        <w:snapToGrid w:val="0"/>
        <w:spacing w:line="360" w:lineRule="auto"/>
        <w:rPr>
          <w:rFonts w:ascii="Book Antiqua" w:eastAsiaTheme="minorEastAsia" w:hAnsi="Book Antiqua"/>
          <w:b/>
          <w:bCs/>
          <w:i/>
          <w:color w:val="000000" w:themeColor="text1"/>
          <w:sz w:val="24"/>
          <w:szCs w:val="24"/>
        </w:rPr>
      </w:pPr>
      <w:r w:rsidRPr="00661363">
        <w:rPr>
          <w:rFonts w:ascii="Book Antiqua" w:eastAsiaTheme="minorEastAsia" w:hAnsi="Book Antiqua"/>
          <w:b/>
          <w:bCs/>
          <w:i/>
          <w:color w:val="000000" w:themeColor="text1"/>
          <w:sz w:val="24"/>
          <w:szCs w:val="24"/>
        </w:rPr>
        <w:t xml:space="preserve">Detection </w:t>
      </w:r>
      <w:r w:rsidR="00345913" w:rsidRPr="00661363">
        <w:rPr>
          <w:rFonts w:ascii="Book Antiqua" w:eastAsiaTheme="minorEastAsia" w:hAnsi="Book Antiqua"/>
          <w:b/>
          <w:bCs/>
          <w:i/>
          <w:color w:val="000000" w:themeColor="text1"/>
          <w:sz w:val="24"/>
          <w:szCs w:val="24"/>
        </w:rPr>
        <w:t>methods</w:t>
      </w:r>
    </w:p>
    <w:p w14:paraId="68EA865D" w14:textId="6AD55D0A" w:rsidR="00D34C03" w:rsidRPr="00661363" w:rsidRDefault="00C260A9" w:rsidP="00661363">
      <w:pPr>
        <w:pStyle w:val="p16"/>
        <w:adjustRightInd w:val="0"/>
        <w:snapToGrid w:val="0"/>
        <w:spacing w:line="360" w:lineRule="auto"/>
        <w:rPr>
          <w:rFonts w:ascii="Book Antiqua" w:eastAsiaTheme="minorEastAsia" w:hAnsi="Book Antiqua"/>
          <w:bCs/>
          <w:color w:val="000000" w:themeColor="text1"/>
          <w:sz w:val="24"/>
          <w:szCs w:val="24"/>
        </w:rPr>
      </w:pPr>
      <w:r w:rsidRPr="00661363">
        <w:rPr>
          <w:rFonts w:ascii="Book Antiqua" w:eastAsia="等线" w:hAnsi="Book Antiqua"/>
          <w:bCs/>
          <w:color w:val="000000" w:themeColor="text1"/>
          <w:sz w:val="24"/>
          <w:szCs w:val="24"/>
        </w:rPr>
        <w:t>Three milliliters</w:t>
      </w:r>
      <w:r w:rsidRPr="00661363">
        <w:rPr>
          <w:rFonts w:ascii="Book Antiqua" w:eastAsiaTheme="minorEastAsia" w:hAnsi="Book Antiqua"/>
          <w:bCs/>
          <w:color w:val="000000" w:themeColor="text1"/>
          <w:sz w:val="24"/>
          <w:szCs w:val="24"/>
        </w:rPr>
        <w:t xml:space="preserve"> of venous blood was taken at each time point, placed into an EDTA anticoagulant tube, and centrifuged at 2000 r/min at 4</w:t>
      </w:r>
      <w:r w:rsidR="003E2FC8">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°C for 20 min; then, the supernatant was removed and stored at -80</w:t>
      </w:r>
      <w:r w:rsidR="003E2FC8">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°C.</w:t>
      </w:r>
      <w:r w:rsidR="00345913"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Real</w:t>
      </w:r>
      <w:r w:rsidRPr="00661363">
        <w:rPr>
          <w:rFonts w:ascii="Book Antiqua" w:eastAsiaTheme="minorEastAsia" w:hAnsi="Book Antiqua"/>
          <w:bCs/>
          <w:color w:val="000000" w:themeColor="text1"/>
          <w:sz w:val="24"/>
          <w:szCs w:val="24"/>
        </w:rPr>
        <w:t xml:space="preserve">-time quantitative </w:t>
      </w:r>
      <w:r w:rsidRPr="00661363">
        <w:rPr>
          <w:rFonts w:ascii="Book Antiqua" w:eastAsia="等线" w:hAnsi="Book Antiqua"/>
          <w:bCs/>
          <w:color w:val="000000" w:themeColor="text1"/>
          <w:sz w:val="24"/>
          <w:szCs w:val="24"/>
        </w:rPr>
        <w:t>PCR</w:t>
      </w:r>
      <w:r w:rsidRPr="00661363">
        <w:rPr>
          <w:rFonts w:ascii="Book Antiqua" w:eastAsiaTheme="minorEastAsia" w:hAnsi="Book Antiqua"/>
          <w:bCs/>
          <w:color w:val="000000" w:themeColor="text1"/>
          <w:sz w:val="24"/>
          <w:szCs w:val="24"/>
        </w:rPr>
        <w:t xml:space="preserve"> (qRT-</w:t>
      </w:r>
      <w:r w:rsidRPr="00661363">
        <w:rPr>
          <w:rFonts w:ascii="Book Antiqua" w:eastAsia="等线" w:hAnsi="Book Antiqua"/>
          <w:bCs/>
          <w:color w:val="000000" w:themeColor="text1"/>
          <w:sz w:val="24"/>
          <w:szCs w:val="24"/>
        </w:rPr>
        <w:t>PCR</w:t>
      </w:r>
      <w:r w:rsidRPr="00661363">
        <w:rPr>
          <w:rFonts w:ascii="Book Antiqua" w:eastAsiaTheme="minorEastAsia" w:hAnsi="Book Antiqua"/>
          <w:bCs/>
          <w:color w:val="000000" w:themeColor="text1"/>
          <w:sz w:val="24"/>
          <w:szCs w:val="24"/>
        </w:rPr>
        <w:t>) was used to detect miR-208b in serum.</w:t>
      </w:r>
      <w:r w:rsidR="00345913" w:rsidRPr="00661363">
        <w:rPr>
          <w:rFonts w:ascii="Book Antiqua" w:eastAsiaTheme="minorEastAsia" w:hAnsi="Book Antiqua"/>
          <w:bCs/>
          <w:color w:val="000000" w:themeColor="text1"/>
          <w:sz w:val="24"/>
          <w:szCs w:val="24"/>
        </w:rPr>
        <w:t xml:space="preserve"> </w:t>
      </w:r>
      <w:r w:rsidR="004A7D34">
        <w:rPr>
          <w:rFonts w:ascii="Book Antiqua" w:eastAsiaTheme="minorEastAsia" w:hAnsi="Book Antiqua"/>
          <w:bCs/>
          <w:color w:val="000000" w:themeColor="text1"/>
          <w:sz w:val="24"/>
          <w:szCs w:val="24"/>
        </w:rPr>
        <w:t xml:space="preserve">For </w:t>
      </w:r>
      <w:r w:rsidR="004A7D34">
        <w:rPr>
          <w:rFonts w:ascii="Book Antiqua" w:eastAsia="等线" w:hAnsi="Book Antiqua"/>
          <w:bCs/>
          <w:color w:val="000000" w:themeColor="text1"/>
          <w:sz w:val="24"/>
          <w:szCs w:val="24"/>
        </w:rPr>
        <w:t>t</w:t>
      </w:r>
      <w:r w:rsidR="004A7D34" w:rsidRPr="00661363">
        <w:rPr>
          <w:rFonts w:ascii="Book Antiqua" w:eastAsia="等线" w:hAnsi="Book Antiqua"/>
          <w:bCs/>
          <w:color w:val="000000" w:themeColor="text1"/>
          <w:sz w:val="24"/>
          <w:szCs w:val="24"/>
        </w:rPr>
        <w:t xml:space="preserve">otal </w:t>
      </w:r>
      <w:r w:rsidRPr="00661363">
        <w:rPr>
          <w:rFonts w:ascii="Book Antiqua" w:eastAsia="等线" w:hAnsi="Book Antiqua"/>
          <w:bCs/>
          <w:color w:val="000000" w:themeColor="text1"/>
          <w:sz w:val="24"/>
          <w:szCs w:val="24"/>
        </w:rPr>
        <w:t>RNA</w:t>
      </w:r>
      <w:r w:rsidRPr="00661363">
        <w:rPr>
          <w:rFonts w:ascii="Book Antiqua" w:eastAsiaTheme="minorEastAsia" w:hAnsi="Book Antiqua"/>
          <w:bCs/>
          <w:color w:val="000000" w:themeColor="text1"/>
          <w:sz w:val="24"/>
          <w:szCs w:val="24"/>
        </w:rPr>
        <w:t xml:space="preserve"> extraction</w:t>
      </w:r>
      <w:r w:rsidR="004A7D34">
        <w:rPr>
          <w:rFonts w:ascii="Book Antiqua" w:eastAsiaTheme="minorEastAsia" w:hAnsi="Book Antiqua"/>
          <w:bCs/>
          <w:color w:val="000000" w:themeColor="text1"/>
          <w:sz w:val="24"/>
          <w:szCs w:val="24"/>
        </w:rPr>
        <w:t xml:space="preserve">, </w:t>
      </w:r>
      <w:r w:rsidR="004A7D34">
        <w:rPr>
          <w:rFonts w:ascii="Book Antiqua" w:eastAsia="等线" w:hAnsi="Book Antiqua"/>
          <w:bCs/>
          <w:color w:val="000000" w:themeColor="text1"/>
          <w:sz w:val="24"/>
          <w:szCs w:val="24"/>
        </w:rPr>
        <w:t>t</w:t>
      </w:r>
      <w:r w:rsidR="004A7D34" w:rsidRPr="00661363">
        <w:rPr>
          <w:rFonts w:ascii="Book Antiqua" w:eastAsia="等线" w:hAnsi="Book Antiqua"/>
          <w:bCs/>
          <w:color w:val="000000" w:themeColor="text1"/>
          <w:sz w:val="24"/>
          <w:szCs w:val="24"/>
        </w:rPr>
        <w:t>he</w:t>
      </w:r>
      <w:r w:rsidR="004A7D34" w:rsidRPr="00661363">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serum was placed in an RNase-free centrifuge tube, the lysis buffer was added, and the solution was mixed thoroughly to lyse the cells according to the kit instructions.</w:t>
      </w:r>
      <w:r w:rsidR="00345913"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The RNA</w:t>
      </w:r>
      <w:r w:rsidRPr="00661363">
        <w:rPr>
          <w:rFonts w:ascii="Book Antiqua" w:eastAsiaTheme="minorEastAsia" w:hAnsi="Book Antiqua"/>
          <w:bCs/>
          <w:color w:val="000000" w:themeColor="text1"/>
          <w:sz w:val="24"/>
          <w:szCs w:val="24"/>
        </w:rPr>
        <w:t xml:space="preserve"> concentration and purity were detected according to spectrophotometry.</w:t>
      </w:r>
      <w:r w:rsidR="00345913" w:rsidRPr="00661363">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RNA was then used for cDNA synthesis.</w:t>
      </w:r>
      <w:r w:rsidR="00345913"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Reverse</w:t>
      </w:r>
      <w:r w:rsidRPr="00661363">
        <w:rPr>
          <w:rFonts w:ascii="Book Antiqua" w:eastAsiaTheme="minorEastAsia" w:hAnsi="Book Antiqua"/>
          <w:bCs/>
          <w:color w:val="000000" w:themeColor="text1"/>
          <w:sz w:val="24"/>
          <w:szCs w:val="24"/>
        </w:rPr>
        <w:t xml:space="preserve"> transcription</w:t>
      </w:r>
      <w:r w:rsidR="004A7D34">
        <w:rPr>
          <w:rFonts w:ascii="Book Antiqua" w:eastAsiaTheme="minorEastAsia" w:hAnsi="Book Antiqua"/>
          <w:bCs/>
          <w:color w:val="000000" w:themeColor="text1"/>
          <w:sz w:val="24"/>
          <w:szCs w:val="24"/>
        </w:rPr>
        <w:t xml:space="preserve"> was performed in a reaction system containing </w:t>
      </w:r>
      <w:r w:rsidRPr="00661363">
        <w:rPr>
          <w:rFonts w:ascii="Book Antiqua" w:eastAsia="等线" w:hAnsi="Book Antiqua"/>
          <w:bCs/>
          <w:color w:val="000000" w:themeColor="text1"/>
          <w:sz w:val="24"/>
          <w:szCs w:val="24"/>
        </w:rPr>
        <w:t>2</w:t>
      </w:r>
      <w:r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μ</w:t>
      </w:r>
      <w:r w:rsidR="00345913" w:rsidRPr="00661363">
        <w:rPr>
          <w:rFonts w:ascii="Book Antiqua" w:eastAsia="等线" w:hAnsi="Book Antiqua"/>
          <w:bCs/>
          <w:color w:val="000000" w:themeColor="text1"/>
          <w:sz w:val="24"/>
          <w:szCs w:val="24"/>
        </w:rPr>
        <w:t>L</w:t>
      </w:r>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 xml:space="preserve">of </w:t>
      </w:r>
      <w:r w:rsidRPr="00661363">
        <w:rPr>
          <w:rFonts w:ascii="Book Antiqua" w:eastAsia="等线" w:hAnsi="Book Antiqua"/>
          <w:bCs/>
          <w:color w:val="000000" w:themeColor="text1"/>
          <w:sz w:val="24"/>
          <w:szCs w:val="24"/>
        </w:rPr>
        <w:t>RNA template</w:t>
      </w:r>
      <w:r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2</w:t>
      </w:r>
      <w:r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μ</w:t>
      </w:r>
      <w:r w:rsidR="00345913" w:rsidRPr="00661363">
        <w:rPr>
          <w:rFonts w:ascii="Book Antiqua" w:eastAsia="等线" w:hAnsi="Book Antiqua"/>
          <w:bCs/>
          <w:color w:val="000000" w:themeColor="text1"/>
          <w:sz w:val="24"/>
          <w:szCs w:val="24"/>
        </w:rPr>
        <w:t>L</w:t>
      </w:r>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of</w:t>
      </w:r>
      <w:r w:rsidR="004A7D34" w:rsidRPr="00661363">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RT primer</w:t>
      </w:r>
      <w:r w:rsidRPr="00661363">
        <w:rPr>
          <w:rFonts w:ascii="Book Antiqua" w:eastAsiaTheme="minorEastAsia" w:hAnsi="Book Antiqua"/>
          <w:bCs/>
          <w:color w:val="000000" w:themeColor="text1"/>
          <w:sz w:val="24"/>
          <w:szCs w:val="24"/>
        </w:rPr>
        <w:t>,</w:t>
      </w:r>
      <w:r w:rsidRPr="00661363">
        <w:rPr>
          <w:rFonts w:ascii="Book Antiqua" w:eastAsia="等线" w:hAnsi="Book Antiqua"/>
          <w:bCs/>
          <w:color w:val="000000" w:themeColor="text1"/>
          <w:sz w:val="24"/>
          <w:szCs w:val="24"/>
        </w:rPr>
        <w:t xml:space="preserve"> 5 µ</w:t>
      </w:r>
      <w:r w:rsidR="00345913" w:rsidRPr="00661363">
        <w:rPr>
          <w:rFonts w:ascii="Book Antiqua" w:eastAsia="等线" w:hAnsi="Book Antiqua"/>
          <w:bCs/>
          <w:color w:val="000000" w:themeColor="text1"/>
          <w:sz w:val="24"/>
          <w:szCs w:val="24"/>
        </w:rPr>
        <w:t>L</w:t>
      </w:r>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of</w:t>
      </w:r>
      <w:r w:rsidR="004A7D34" w:rsidRPr="00661363">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5</w:t>
      </w:r>
      <w:r w:rsidR="004A7D34">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 xml:space="preserve">× RT buffer, </w:t>
      </w:r>
      <w:r w:rsidRPr="00661363">
        <w:rPr>
          <w:rFonts w:ascii="Book Antiqua" w:eastAsia="等线" w:hAnsi="Book Antiqua"/>
          <w:bCs/>
          <w:color w:val="000000" w:themeColor="text1"/>
          <w:sz w:val="24"/>
          <w:szCs w:val="24"/>
        </w:rPr>
        <w:t>2</w:t>
      </w:r>
      <w:r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μ</w:t>
      </w:r>
      <w:r w:rsidR="00345913" w:rsidRPr="00661363">
        <w:rPr>
          <w:rFonts w:ascii="Book Antiqua" w:eastAsia="等线" w:hAnsi="Book Antiqua"/>
          <w:bCs/>
          <w:color w:val="000000" w:themeColor="text1"/>
          <w:sz w:val="24"/>
          <w:szCs w:val="24"/>
        </w:rPr>
        <w:t>L</w:t>
      </w:r>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of</w:t>
      </w:r>
      <w:r w:rsidR="004A7D34" w:rsidRPr="00661363">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dNTP (2.5 m</w:t>
      </w:r>
      <w:r w:rsidR="002915D9">
        <w:rPr>
          <w:rFonts w:ascii="Book Antiqua" w:eastAsia="等线" w:hAnsi="Book Antiqua"/>
          <w:bCs/>
          <w:color w:val="000000" w:themeColor="text1"/>
          <w:sz w:val="24"/>
          <w:szCs w:val="24"/>
        </w:rPr>
        <w:t>mol/L</w:t>
      </w:r>
      <w:r w:rsidRPr="00661363">
        <w:rPr>
          <w:rFonts w:ascii="Book Antiqua" w:eastAsia="等线" w:hAnsi="Book Antiqua"/>
          <w:bCs/>
          <w:color w:val="000000" w:themeColor="text1"/>
          <w:sz w:val="24"/>
          <w:szCs w:val="24"/>
        </w:rPr>
        <w:t>)</w:t>
      </w:r>
      <w:r w:rsidRPr="00661363">
        <w:rPr>
          <w:rFonts w:ascii="Book Antiqua" w:eastAsiaTheme="minorEastAsia" w:hAnsi="Book Antiqua"/>
          <w:bCs/>
          <w:color w:val="000000" w:themeColor="text1"/>
          <w:sz w:val="24"/>
          <w:szCs w:val="24"/>
        </w:rPr>
        <w:t>,</w:t>
      </w:r>
      <w:r w:rsidRPr="00661363">
        <w:rPr>
          <w:rFonts w:ascii="Book Antiqua" w:eastAsia="等线"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0.</w:t>
      </w:r>
      <w:r w:rsidRPr="00661363">
        <w:rPr>
          <w:rFonts w:ascii="Book Antiqua" w:eastAsia="等线" w:hAnsi="Book Antiqua"/>
          <w:bCs/>
          <w:color w:val="000000" w:themeColor="text1"/>
          <w:sz w:val="24"/>
          <w:szCs w:val="24"/>
        </w:rPr>
        <w:t>5</w:t>
      </w:r>
      <w:r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μ</w:t>
      </w:r>
      <w:r w:rsidR="00345913" w:rsidRPr="00661363">
        <w:rPr>
          <w:rFonts w:ascii="Book Antiqua" w:eastAsia="等线" w:hAnsi="Book Antiqua"/>
          <w:bCs/>
          <w:color w:val="000000" w:themeColor="text1"/>
          <w:sz w:val="24"/>
          <w:szCs w:val="24"/>
        </w:rPr>
        <w:t>L</w:t>
      </w:r>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of</w:t>
      </w:r>
      <w:r w:rsidR="004A7D34" w:rsidRPr="00661363">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RNase inhibitor (40 U/µ</w:t>
      </w:r>
      <w:r w:rsidR="00345913" w:rsidRPr="00661363">
        <w:rPr>
          <w:rFonts w:ascii="Book Antiqua" w:eastAsiaTheme="minorEastAsia" w:hAnsi="Book Antiqua"/>
          <w:bCs/>
          <w:color w:val="000000" w:themeColor="text1"/>
          <w:sz w:val="24"/>
          <w:szCs w:val="24"/>
        </w:rPr>
        <w:t>L</w:t>
      </w:r>
      <w:r w:rsidRPr="00661363">
        <w:rPr>
          <w:rFonts w:ascii="Book Antiqua" w:eastAsiaTheme="minorEastAsia" w:hAnsi="Book Antiqua"/>
          <w:bCs/>
          <w:color w:val="000000" w:themeColor="text1"/>
          <w:sz w:val="24"/>
          <w:szCs w:val="24"/>
        </w:rPr>
        <w:t>),</w:t>
      </w:r>
      <w:r w:rsidRPr="00661363">
        <w:rPr>
          <w:rFonts w:ascii="Book Antiqua" w:eastAsia="等线" w:hAnsi="Book Antiqua"/>
          <w:bCs/>
          <w:color w:val="000000" w:themeColor="text1"/>
          <w:sz w:val="24"/>
          <w:szCs w:val="24"/>
        </w:rPr>
        <w:t xml:space="preserve"> 0.5 µ</w:t>
      </w:r>
      <w:r w:rsidR="00345913" w:rsidRPr="00661363">
        <w:rPr>
          <w:rFonts w:ascii="Book Antiqua" w:eastAsia="等线" w:hAnsi="Book Antiqua"/>
          <w:bCs/>
          <w:color w:val="000000" w:themeColor="text1"/>
          <w:sz w:val="24"/>
          <w:szCs w:val="24"/>
        </w:rPr>
        <w:t>L</w:t>
      </w:r>
      <w:r w:rsidR="004A7D34" w:rsidRPr="004A7D34">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of</w:t>
      </w:r>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r</w:t>
      </w:r>
      <w:r w:rsidR="004A7D34" w:rsidRPr="00661363">
        <w:rPr>
          <w:rFonts w:ascii="Book Antiqua" w:eastAsia="等线" w:hAnsi="Book Antiqua"/>
          <w:bCs/>
          <w:color w:val="000000" w:themeColor="text1"/>
          <w:sz w:val="24"/>
          <w:szCs w:val="24"/>
        </w:rPr>
        <w:t>everse</w:t>
      </w:r>
      <w:r w:rsidR="004A7D34" w:rsidRPr="00661363">
        <w:rPr>
          <w:rFonts w:ascii="Book Antiqua" w:eastAsiaTheme="minorEastAsia" w:hAnsi="Book Antiqua"/>
          <w:bCs/>
          <w:color w:val="000000" w:themeColor="text1"/>
          <w:sz w:val="24"/>
          <w:szCs w:val="24"/>
        </w:rPr>
        <w:t xml:space="preserve"> transcript</w:t>
      </w:r>
      <w:r w:rsidR="004A7D34">
        <w:rPr>
          <w:rFonts w:ascii="Book Antiqua" w:eastAsiaTheme="minorEastAsia" w:hAnsi="Book Antiqua"/>
          <w:bCs/>
          <w:color w:val="000000" w:themeColor="text1"/>
          <w:sz w:val="24"/>
          <w:szCs w:val="24"/>
        </w:rPr>
        <w:t>ase</w:t>
      </w:r>
      <w:r w:rsidRPr="00661363">
        <w:rPr>
          <w:rFonts w:ascii="Book Antiqua" w:eastAsia="等线"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 xml:space="preserve">20 </w:t>
      </w:r>
      <w:r w:rsidR="004A7D34">
        <w:rPr>
          <w:rFonts w:ascii="Book Antiqua" w:eastAsiaTheme="minorEastAsia" w:hAnsi="Book Antiqua"/>
          <w:bCs/>
          <w:color w:val="000000" w:themeColor="text1"/>
          <w:sz w:val="24"/>
          <w:szCs w:val="24"/>
        </w:rPr>
        <w:t>U</w:t>
      </w:r>
      <w:r w:rsidRPr="00661363">
        <w:rPr>
          <w:rFonts w:ascii="Book Antiqua" w:eastAsiaTheme="minorEastAsia" w:hAnsi="Book Antiqua"/>
          <w:bCs/>
          <w:color w:val="000000" w:themeColor="text1"/>
          <w:sz w:val="24"/>
          <w:szCs w:val="24"/>
        </w:rPr>
        <w:t>/µ</w:t>
      </w:r>
      <w:r w:rsidR="00345913" w:rsidRPr="00661363">
        <w:rPr>
          <w:rFonts w:ascii="Book Antiqua" w:eastAsiaTheme="minorEastAsia" w:hAnsi="Book Antiqua"/>
          <w:bCs/>
          <w:color w:val="000000" w:themeColor="text1"/>
          <w:sz w:val="24"/>
          <w:szCs w:val="24"/>
        </w:rPr>
        <w:t>L</w:t>
      </w:r>
      <w:r w:rsidRPr="00661363">
        <w:rPr>
          <w:rFonts w:ascii="Book Antiqua" w:eastAsiaTheme="minorEastAsia" w:hAnsi="Book Antiqua"/>
          <w:bCs/>
          <w:color w:val="000000" w:themeColor="text1"/>
          <w:sz w:val="24"/>
          <w:szCs w:val="24"/>
        </w:rPr>
        <w:t>), and 24 µ</w:t>
      </w:r>
      <w:r w:rsidR="00345913" w:rsidRPr="00661363">
        <w:rPr>
          <w:rFonts w:ascii="Book Antiqua" w:eastAsiaTheme="minorEastAsia" w:hAnsi="Book Antiqua"/>
          <w:bCs/>
          <w:color w:val="000000" w:themeColor="text1"/>
          <w:sz w:val="24"/>
          <w:szCs w:val="24"/>
        </w:rPr>
        <w:t>L</w:t>
      </w:r>
      <w:r w:rsidRPr="00661363">
        <w:rPr>
          <w:rFonts w:ascii="Book Antiqua" w:eastAsiaTheme="minorEastAsia" w:hAnsi="Book Antiqua"/>
          <w:bCs/>
          <w:color w:val="000000" w:themeColor="text1"/>
          <w:sz w:val="24"/>
          <w:szCs w:val="24"/>
        </w:rPr>
        <w:t xml:space="preserve"> </w:t>
      </w:r>
      <w:r w:rsidR="004A7D34">
        <w:rPr>
          <w:rFonts w:ascii="Book Antiqua" w:eastAsiaTheme="minorEastAsia" w:hAnsi="Book Antiqua"/>
          <w:bCs/>
          <w:color w:val="000000" w:themeColor="text1"/>
          <w:sz w:val="24"/>
          <w:szCs w:val="24"/>
        </w:rPr>
        <w:t xml:space="preserve">of </w:t>
      </w:r>
      <w:r w:rsidRPr="00661363">
        <w:rPr>
          <w:rFonts w:ascii="Book Antiqua" w:eastAsiaTheme="minorEastAsia" w:hAnsi="Book Antiqua"/>
          <w:bCs/>
          <w:color w:val="000000" w:themeColor="text1"/>
          <w:sz w:val="24"/>
          <w:szCs w:val="24"/>
        </w:rPr>
        <w:t>ddH</w:t>
      </w:r>
      <w:r w:rsidRPr="00661363">
        <w:rPr>
          <w:rFonts w:ascii="Book Antiqua" w:eastAsiaTheme="minorEastAsia" w:hAnsi="Book Antiqua"/>
          <w:bCs/>
          <w:color w:val="000000" w:themeColor="text1"/>
          <w:sz w:val="24"/>
          <w:szCs w:val="24"/>
          <w:vertAlign w:val="subscript"/>
        </w:rPr>
        <w:t>2</w:t>
      </w:r>
      <w:r w:rsidRPr="00661363">
        <w:rPr>
          <w:rFonts w:ascii="Book Antiqua" w:eastAsiaTheme="minorEastAsia" w:hAnsi="Book Antiqua"/>
          <w:bCs/>
          <w:color w:val="000000" w:themeColor="text1"/>
          <w:sz w:val="24"/>
          <w:szCs w:val="24"/>
        </w:rPr>
        <w:t>O. cDNA was generated following the steps in the reverse transcription kit.</w:t>
      </w:r>
      <w:r w:rsidR="00345913" w:rsidRPr="00661363">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 xml:space="preserve">qRT-PCR </w:t>
      </w:r>
      <w:r w:rsidR="004A7D34">
        <w:rPr>
          <w:rFonts w:ascii="Book Antiqua" w:eastAsiaTheme="minorEastAsia" w:hAnsi="Book Antiqua"/>
          <w:bCs/>
          <w:color w:val="000000" w:themeColor="text1"/>
          <w:sz w:val="24"/>
          <w:szCs w:val="24"/>
        </w:rPr>
        <w:t>was then performed in a</w:t>
      </w:r>
      <w:r w:rsidR="00345913"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20-</w:t>
      </w:r>
      <w:r w:rsidR="004A7D34" w:rsidRPr="00661363">
        <w:rPr>
          <w:rFonts w:ascii="Book Antiqua" w:eastAsia="等线" w:hAnsi="Book Antiqua"/>
          <w:bCs/>
          <w:color w:val="000000" w:themeColor="text1"/>
          <w:sz w:val="24"/>
          <w:szCs w:val="24"/>
        </w:rPr>
        <w:t>μL</w:t>
      </w:r>
      <w:r w:rsidR="004A7D34" w:rsidRPr="00661363" w:rsidDel="004A7D34">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r</w:t>
      </w:r>
      <w:r w:rsidR="004A7D34" w:rsidRPr="00661363">
        <w:rPr>
          <w:rFonts w:ascii="Book Antiqua" w:eastAsia="等线" w:hAnsi="Book Antiqua"/>
          <w:bCs/>
          <w:color w:val="000000" w:themeColor="text1"/>
          <w:sz w:val="24"/>
          <w:szCs w:val="24"/>
        </w:rPr>
        <w:t>eaction</w:t>
      </w:r>
      <w:r w:rsidR="004A7D34" w:rsidRPr="00661363">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system</w:t>
      </w:r>
      <w:r w:rsidR="004A7D34">
        <w:rPr>
          <w:rFonts w:ascii="Book Antiqua" w:eastAsiaTheme="minorEastAsia" w:hAnsi="Book Antiqua"/>
          <w:bCs/>
          <w:color w:val="000000" w:themeColor="text1"/>
          <w:sz w:val="24"/>
          <w:szCs w:val="24"/>
        </w:rPr>
        <w:t xml:space="preserve"> containing</w:t>
      </w:r>
      <w:r w:rsidR="004A7D34"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2</w:t>
      </w:r>
      <w:r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μ</w:t>
      </w:r>
      <w:r w:rsidR="00345913" w:rsidRPr="00661363">
        <w:rPr>
          <w:rFonts w:ascii="Book Antiqua" w:eastAsia="等线" w:hAnsi="Book Antiqua"/>
          <w:bCs/>
          <w:color w:val="000000" w:themeColor="text1"/>
          <w:sz w:val="24"/>
          <w:szCs w:val="24"/>
        </w:rPr>
        <w:t>L</w:t>
      </w:r>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 xml:space="preserve">of </w:t>
      </w:r>
      <w:r w:rsidRPr="00661363">
        <w:rPr>
          <w:rFonts w:ascii="Book Antiqua" w:eastAsia="等线" w:hAnsi="Book Antiqua"/>
          <w:bCs/>
          <w:color w:val="000000" w:themeColor="text1"/>
          <w:sz w:val="24"/>
          <w:szCs w:val="24"/>
        </w:rPr>
        <w:t>cDNA</w:t>
      </w:r>
      <w:r w:rsidRPr="00661363">
        <w:rPr>
          <w:rFonts w:ascii="Book Antiqua" w:eastAsiaTheme="minorEastAsia" w:hAnsi="Book Antiqua"/>
          <w:bCs/>
          <w:color w:val="000000" w:themeColor="text1"/>
          <w:sz w:val="24"/>
          <w:szCs w:val="24"/>
        </w:rPr>
        <w:t>,</w:t>
      </w:r>
      <w:r w:rsidRPr="00661363">
        <w:rPr>
          <w:rFonts w:ascii="Book Antiqua" w:eastAsia="等线" w:hAnsi="Book Antiqua"/>
          <w:bCs/>
          <w:color w:val="000000" w:themeColor="text1"/>
          <w:sz w:val="24"/>
          <w:szCs w:val="24"/>
        </w:rPr>
        <w:t xml:space="preserve"> 10 µ</w:t>
      </w:r>
      <w:r w:rsidR="00345913" w:rsidRPr="00661363">
        <w:rPr>
          <w:rFonts w:ascii="Book Antiqua" w:eastAsia="等线" w:hAnsi="Book Antiqua"/>
          <w:bCs/>
          <w:color w:val="000000" w:themeColor="text1"/>
          <w:sz w:val="24"/>
          <w:szCs w:val="24"/>
        </w:rPr>
        <w:t>L</w:t>
      </w:r>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 xml:space="preserve">of </w:t>
      </w:r>
      <w:r w:rsidRPr="00661363">
        <w:rPr>
          <w:rFonts w:ascii="Book Antiqua" w:eastAsiaTheme="minorEastAsia" w:hAnsi="Book Antiqua"/>
          <w:bCs/>
          <w:color w:val="000000" w:themeColor="text1"/>
          <w:sz w:val="24"/>
          <w:szCs w:val="24"/>
        </w:rPr>
        <w:t>2</w:t>
      </w:r>
      <w:r w:rsidR="004A7D34">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 SYBR Green qPCR mixture, 1 µ</w:t>
      </w:r>
      <w:r w:rsidR="00345913" w:rsidRPr="00661363">
        <w:rPr>
          <w:rFonts w:ascii="Book Antiqua" w:eastAsiaTheme="minorEastAsia" w:hAnsi="Book Antiqua"/>
          <w:bCs/>
          <w:color w:val="000000" w:themeColor="text1"/>
          <w:sz w:val="24"/>
          <w:szCs w:val="24"/>
        </w:rPr>
        <w:t xml:space="preserve">L </w:t>
      </w:r>
      <w:r w:rsidR="004A7D34">
        <w:rPr>
          <w:rFonts w:ascii="Book Antiqua" w:eastAsiaTheme="minorEastAsia" w:hAnsi="Book Antiqua"/>
          <w:bCs/>
          <w:color w:val="000000" w:themeColor="text1"/>
          <w:sz w:val="24"/>
          <w:szCs w:val="24"/>
        </w:rPr>
        <w:t xml:space="preserve">of </w:t>
      </w:r>
      <w:r w:rsidRPr="00661363">
        <w:rPr>
          <w:rFonts w:ascii="Book Antiqua" w:eastAsiaTheme="minorEastAsia" w:hAnsi="Book Antiqua"/>
          <w:bCs/>
          <w:color w:val="000000" w:themeColor="text1"/>
          <w:sz w:val="24"/>
          <w:szCs w:val="24"/>
        </w:rPr>
        <w:t>forward primer, 1 µ</w:t>
      </w:r>
      <w:r w:rsidR="00345913" w:rsidRPr="00661363">
        <w:rPr>
          <w:rFonts w:ascii="Book Antiqua" w:eastAsiaTheme="minorEastAsia" w:hAnsi="Book Antiqua"/>
          <w:bCs/>
          <w:color w:val="000000" w:themeColor="text1"/>
          <w:sz w:val="24"/>
          <w:szCs w:val="24"/>
        </w:rPr>
        <w:t>L</w:t>
      </w:r>
      <w:r w:rsidRPr="00661363">
        <w:rPr>
          <w:rFonts w:ascii="Book Antiqua" w:eastAsiaTheme="minorEastAsia" w:hAnsi="Book Antiqua"/>
          <w:bCs/>
          <w:color w:val="000000" w:themeColor="text1"/>
          <w:sz w:val="24"/>
          <w:szCs w:val="24"/>
        </w:rPr>
        <w:t xml:space="preserve"> </w:t>
      </w:r>
      <w:r w:rsidR="004A7D34">
        <w:rPr>
          <w:rFonts w:ascii="Book Antiqua" w:eastAsiaTheme="minorEastAsia" w:hAnsi="Book Antiqua"/>
          <w:bCs/>
          <w:color w:val="000000" w:themeColor="text1"/>
          <w:sz w:val="24"/>
          <w:szCs w:val="24"/>
        </w:rPr>
        <w:t xml:space="preserve">of </w:t>
      </w:r>
      <w:r w:rsidRPr="00661363">
        <w:rPr>
          <w:rFonts w:ascii="Book Antiqua" w:eastAsiaTheme="minorEastAsia" w:hAnsi="Book Antiqua"/>
          <w:bCs/>
          <w:color w:val="000000" w:themeColor="text1"/>
          <w:sz w:val="24"/>
          <w:szCs w:val="24"/>
        </w:rPr>
        <w:t>reverse primer, and 6 µ</w:t>
      </w:r>
      <w:r w:rsidR="00D34C03" w:rsidRPr="00661363">
        <w:rPr>
          <w:rFonts w:ascii="Book Antiqua" w:eastAsiaTheme="minorEastAsia" w:hAnsi="Book Antiqua"/>
          <w:bCs/>
          <w:color w:val="000000" w:themeColor="text1"/>
          <w:sz w:val="24"/>
          <w:szCs w:val="24"/>
        </w:rPr>
        <w:t xml:space="preserve">L </w:t>
      </w:r>
      <w:r w:rsidR="004A7D34">
        <w:rPr>
          <w:rFonts w:ascii="Book Antiqua" w:eastAsiaTheme="minorEastAsia" w:hAnsi="Book Antiqua"/>
          <w:bCs/>
          <w:color w:val="000000" w:themeColor="text1"/>
          <w:sz w:val="24"/>
          <w:szCs w:val="24"/>
        </w:rPr>
        <w:t xml:space="preserve">of </w:t>
      </w:r>
      <w:r w:rsidRPr="00661363">
        <w:rPr>
          <w:rFonts w:ascii="Book Antiqua" w:eastAsiaTheme="minorEastAsia" w:hAnsi="Book Antiqua"/>
          <w:bCs/>
          <w:color w:val="000000" w:themeColor="text1"/>
          <w:sz w:val="24"/>
          <w:szCs w:val="24"/>
        </w:rPr>
        <w:t>diethylpyrocarbonate</w:t>
      </w:r>
      <w:r w:rsidRPr="00661363">
        <w:rPr>
          <w:rFonts w:ascii="Book Antiqua" w:eastAsia="等线" w:hAnsi="Book Antiqua"/>
          <w:bCs/>
          <w:color w:val="000000" w:themeColor="text1"/>
          <w:sz w:val="24"/>
          <w:szCs w:val="24"/>
        </w:rPr>
        <w:t xml:space="preserve">-treated </w:t>
      </w:r>
      <w:r w:rsidRPr="00661363">
        <w:rPr>
          <w:rFonts w:ascii="Book Antiqua" w:eastAsiaTheme="minorEastAsia" w:hAnsi="Book Antiqua"/>
          <w:bCs/>
          <w:color w:val="000000" w:themeColor="text1"/>
          <w:sz w:val="24"/>
          <w:szCs w:val="24"/>
        </w:rPr>
        <w:t>water.</w:t>
      </w:r>
      <w:r w:rsidR="00345913" w:rsidRPr="00661363">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Each target gene was analyzed in triplicate with the following cycling conditions</w:t>
      </w:r>
      <w:r w:rsidRPr="00661363">
        <w:rPr>
          <w:rFonts w:ascii="Book Antiqua" w:eastAsia="等线" w:hAnsi="Book Antiqua"/>
          <w:bCs/>
          <w:color w:val="000000" w:themeColor="text1"/>
          <w:sz w:val="24"/>
          <w:szCs w:val="24"/>
        </w:rPr>
        <w:t>: 95</w:t>
      </w:r>
      <w:r w:rsidR="00F919D2">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°C</w:t>
      </w:r>
      <w:r w:rsidRPr="00661363">
        <w:rPr>
          <w:rFonts w:ascii="Book Antiqua" w:eastAsiaTheme="minorEastAsia" w:hAnsi="Book Antiqua"/>
          <w:bCs/>
          <w:color w:val="000000" w:themeColor="text1"/>
          <w:sz w:val="24"/>
          <w:szCs w:val="24"/>
        </w:rPr>
        <w:t xml:space="preserve"> for 10 min, followed by</w:t>
      </w:r>
      <w:r w:rsidRPr="00661363">
        <w:rPr>
          <w:rFonts w:ascii="Book Antiqua" w:eastAsia="等线" w:hAnsi="Book Antiqua"/>
          <w:bCs/>
          <w:color w:val="000000" w:themeColor="text1"/>
          <w:sz w:val="24"/>
          <w:szCs w:val="24"/>
        </w:rPr>
        <w:t xml:space="preserve"> 40 cycles of 95</w:t>
      </w:r>
      <w:r w:rsidR="002915D9">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°C</w:t>
      </w:r>
      <w:r w:rsidRPr="00661363">
        <w:rPr>
          <w:rFonts w:ascii="Book Antiqua" w:eastAsiaTheme="minorEastAsia" w:hAnsi="Book Antiqua"/>
          <w:bCs/>
          <w:color w:val="000000" w:themeColor="text1"/>
          <w:sz w:val="24"/>
          <w:szCs w:val="24"/>
        </w:rPr>
        <w:t xml:space="preserve"> for 15 min, </w:t>
      </w:r>
      <w:r w:rsidRPr="00661363">
        <w:rPr>
          <w:rFonts w:ascii="Book Antiqua" w:eastAsia="等线" w:hAnsi="Book Antiqua"/>
          <w:bCs/>
          <w:color w:val="000000" w:themeColor="text1"/>
          <w:sz w:val="24"/>
          <w:szCs w:val="24"/>
        </w:rPr>
        <w:t>60</w:t>
      </w:r>
      <w:r w:rsidR="002915D9">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°C</w:t>
      </w:r>
      <w:r w:rsidRPr="00661363">
        <w:rPr>
          <w:rFonts w:ascii="Book Antiqua" w:eastAsiaTheme="minorEastAsia" w:hAnsi="Book Antiqua"/>
          <w:bCs/>
          <w:color w:val="000000" w:themeColor="text1"/>
          <w:sz w:val="24"/>
          <w:szCs w:val="24"/>
        </w:rPr>
        <w:t xml:space="preserve"> for 1 min, and </w:t>
      </w:r>
      <w:r w:rsidRPr="00661363">
        <w:rPr>
          <w:rFonts w:ascii="Book Antiqua" w:eastAsia="等线" w:hAnsi="Book Antiqua"/>
          <w:bCs/>
          <w:color w:val="000000" w:themeColor="text1"/>
          <w:sz w:val="24"/>
          <w:szCs w:val="24"/>
        </w:rPr>
        <w:t>72</w:t>
      </w:r>
      <w:r w:rsidR="002915D9">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°C</w:t>
      </w:r>
      <w:r w:rsidRPr="00661363">
        <w:rPr>
          <w:rFonts w:ascii="Book Antiqua" w:eastAsiaTheme="minorEastAsia" w:hAnsi="Book Antiqua"/>
          <w:bCs/>
          <w:color w:val="000000" w:themeColor="text1"/>
          <w:sz w:val="24"/>
          <w:szCs w:val="24"/>
        </w:rPr>
        <w:t xml:space="preserve"> for 30 s.</w:t>
      </w:r>
      <w:r w:rsidR="00345913"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The</w:t>
      </w:r>
      <w:r w:rsidRPr="00661363">
        <w:rPr>
          <w:rFonts w:ascii="Book Antiqua" w:eastAsiaTheme="minorEastAsia" w:hAnsi="Book Antiqua"/>
          <w:bCs/>
          <w:color w:val="000000" w:themeColor="text1"/>
          <w:sz w:val="24"/>
          <w:szCs w:val="24"/>
        </w:rPr>
        <w:t xml:space="preserve"> qRT-PCR instrument </w:t>
      </w:r>
      <w:r w:rsidRPr="00661363">
        <w:rPr>
          <w:rFonts w:ascii="Book Antiqua" w:eastAsia="等线" w:hAnsi="Book Antiqua"/>
          <w:bCs/>
          <w:color w:val="000000" w:themeColor="text1"/>
          <w:sz w:val="24"/>
          <w:szCs w:val="24"/>
        </w:rPr>
        <w:t xml:space="preserve">was programmed </w:t>
      </w:r>
      <w:r w:rsidRPr="00661363">
        <w:rPr>
          <w:rFonts w:ascii="Book Antiqua" w:eastAsiaTheme="minorEastAsia" w:hAnsi="Book Antiqua"/>
          <w:bCs/>
          <w:color w:val="000000" w:themeColor="text1"/>
          <w:sz w:val="24"/>
          <w:szCs w:val="24"/>
        </w:rPr>
        <w:t>for PCR amplification</w:t>
      </w:r>
      <w:r w:rsidRPr="00661363">
        <w:rPr>
          <w:rFonts w:ascii="Book Antiqua" w:eastAsia="等线" w:hAnsi="Book Antiqua"/>
          <w:bCs/>
          <w:color w:val="000000" w:themeColor="text1"/>
          <w:sz w:val="24"/>
          <w:szCs w:val="24"/>
        </w:rPr>
        <w:t>,</w:t>
      </w:r>
      <w:r w:rsidRPr="00661363">
        <w:rPr>
          <w:rFonts w:ascii="Book Antiqua" w:eastAsiaTheme="minorEastAsia" w:hAnsi="Book Antiqua"/>
          <w:bCs/>
          <w:color w:val="000000" w:themeColor="text1"/>
          <w:sz w:val="24"/>
          <w:szCs w:val="24"/>
        </w:rPr>
        <w:t xml:space="preserve"> and the 2</w:t>
      </w:r>
      <w:r w:rsidRPr="009D1590">
        <w:rPr>
          <w:rFonts w:ascii="Book Antiqua" w:eastAsiaTheme="minorEastAsia" w:hAnsi="Book Antiqua"/>
          <w:bCs/>
          <w:color w:val="000000" w:themeColor="text1"/>
          <w:sz w:val="24"/>
          <w:szCs w:val="24"/>
          <w:vertAlign w:val="superscript"/>
        </w:rPr>
        <w:t>-Δ</w:t>
      </w:r>
      <w:r w:rsidR="004A7D34" w:rsidRPr="009D1590">
        <w:rPr>
          <w:rFonts w:ascii="Book Antiqua" w:eastAsiaTheme="minorEastAsia" w:hAnsi="Book Antiqua"/>
          <w:bCs/>
          <w:color w:val="000000" w:themeColor="text1"/>
          <w:sz w:val="24"/>
          <w:szCs w:val="24"/>
          <w:vertAlign w:val="superscript"/>
        </w:rPr>
        <w:t>Δ</w:t>
      </w:r>
      <w:r w:rsidRPr="009D1590">
        <w:rPr>
          <w:rFonts w:ascii="Book Antiqua" w:eastAsiaTheme="minorEastAsia" w:hAnsi="Book Antiqua"/>
          <w:bCs/>
          <w:color w:val="000000" w:themeColor="text1"/>
          <w:sz w:val="24"/>
          <w:szCs w:val="24"/>
          <w:vertAlign w:val="superscript"/>
        </w:rPr>
        <w:t>CT</w:t>
      </w:r>
      <w:r w:rsidRPr="00661363">
        <w:rPr>
          <w:rFonts w:ascii="Book Antiqua" w:eastAsiaTheme="minorEastAsia" w:hAnsi="Book Antiqua"/>
          <w:bCs/>
          <w:color w:val="000000" w:themeColor="text1"/>
          <w:sz w:val="24"/>
          <w:szCs w:val="24"/>
        </w:rPr>
        <w:t xml:space="preserve"> method </w:t>
      </w:r>
      <w:r w:rsidRPr="00661363">
        <w:rPr>
          <w:rFonts w:ascii="Book Antiqua" w:eastAsia="等线" w:hAnsi="Book Antiqua"/>
          <w:bCs/>
          <w:color w:val="000000" w:themeColor="text1"/>
          <w:sz w:val="24"/>
          <w:szCs w:val="24"/>
        </w:rPr>
        <w:t xml:space="preserve">was used </w:t>
      </w:r>
      <w:r w:rsidRPr="00661363">
        <w:rPr>
          <w:rFonts w:ascii="Book Antiqua" w:eastAsiaTheme="minorEastAsia" w:hAnsi="Book Antiqua"/>
          <w:bCs/>
          <w:color w:val="000000" w:themeColor="text1"/>
          <w:sz w:val="24"/>
          <w:szCs w:val="24"/>
        </w:rPr>
        <w:t>to calculate the relative expression of miR-208b</w:t>
      </w:r>
      <w:r w:rsidR="004A7D34">
        <w:rPr>
          <w:rFonts w:ascii="Book Antiqua" w:eastAsiaTheme="minorEastAsia" w:hAnsi="Book Antiqua"/>
          <w:bCs/>
          <w:color w:val="000000" w:themeColor="text1"/>
          <w:sz w:val="24"/>
          <w:szCs w:val="24"/>
        </w:rPr>
        <w:t xml:space="preserve">. </w:t>
      </w:r>
      <w:r w:rsidR="004A7D34" w:rsidRPr="00661363">
        <w:rPr>
          <w:rFonts w:ascii="Book Antiqua" w:eastAsiaTheme="minorEastAsia" w:hAnsi="Book Antiqua"/>
          <w:bCs/>
          <w:color w:val="000000" w:themeColor="text1"/>
          <w:sz w:val="24"/>
          <w:szCs w:val="24"/>
        </w:rPr>
        <w:t>β-</w:t>
      </w:r>
      <w:r w:rsidR="004A7D34">
        <w:rPr>
          <w:rFonts w:ascii="Book Antiqua" w:eastAsiaTheme="minorEastAsia" w:hAnsi="Book Antiqua"/>
          <w:bCs/>
          <w:color w:val="000000" w:themeColor="text1"/>
          <w:sz w:val="24"/>
          <w:szCs w:val="24"/>
        </w:rPr>
        <w:t>a</w:t>
      </w:r>
      <w:r w:rsidR="004A7D34" w:rsidRPr="00661363">
        <w:rPr>
          <w:rFonts w:ascii="Book Antiqua" w:eastAsiaTheme="minorEastAsia" w:hAnsi="Book Antiqua"/>
          <w:bCs/>
          <w:color w:val="000000" w:themeColor="text1"/>
          <w:sz w:val="24"/>
          <w:szCs w:val="24"/>
        </w:rPr>
        <w:t>ctin was used as the internal reference gene</w:t>
      </w:r>
      <w:r w:rsidRPr="00661363">
        <w:rPr>
          <w:rFonts w:ascii="Book Antiqua" w:eastAsiaTheme="minorEastAsia" w:hAnsi="Book Antiqua"/>
          <w:bCs/>
          <w:color w:val="000000" w:themeColor="text1"/>
          <w:sz w:val="24"/>
          <w:szCs w:val="24"/>
        </w:rPr>
        <w:t>.</w:t>
      </w:r>
    </w:p>
    <w:p w14:paraId="2F520611" w14:textId="2C378F73" w:rsidR="0031118C" w:rsidRPr="00661363" w:rsidRDefault="00C260A9" w:rsidP="00661363">
      <w:pPr>
        <w:pStyle w:val="p16"/>
        <w:adjustRightInd w:val="0"/>
        <w:snapToGrid w:val="0"/>
        <w:spacing w:line="360" w:lineRule="auto"/>
        <w:ind w:firstLineChars="200" w:firstLine="480"/>
        <w:rPr>
          <w:rFonts w:ascii="Book Antiqua" w:eastAsiaTheme="minorEastAsia" w:hAnsi="Book Antiqua"/>
          <w:bCs/>
          <w:color w:val="000000" w:themeColor="text1"/>
          <w:sz w:val="24"/>
          <w:szCs w:val="24"/>
        </w:rPr>
      </w:pPr>
      <w:r w:rsidRPr="00661363">
        <w:rPr>
          <w:rFonts w:ascii="Book Antiqua" w:eastAsiaTheme="minorEastAsia" w:hAnsi="Book Antiqua"/>
          <w:bCs/>
          <w:color w:val="000000" w:themeColor="text1"/>
          <w:sz w:val="24"/>
          <w:szCs w:val="24"/>
        </w:rPr>
        <w:t>Five milliliters of venous blood was collected from the middle of the elbow</w:t>
      </w:r>
      <w:r w:rsidR="004A7D34">
        <w:rPr>
          <w:rFonts w:ascii="Book Antiqua" w:eastAsiaTheme="minorEastAsia" w:hAnsi="Book Antiqua"/>
          <w:bCs/>
          <w:color w:val="000000" w:themeColor="text1"/>
          <w:sz w:val="24"/>
          <w:szCs w:val="24"/>
        </w:rPr>
        <w:t xml:space="preserve"> vein</w:t>
      </w:r>
      <w:r w:rsidRPr="00661363">
        <w:rPr>
          <w:rFonts w:ascii="Book Antiqua" w:eastAsiaTheme="minorEastAsia" w:hAnsi="Book Antiqua"/>
          <w:bCs/>
          <w:color w:val="000000" w:themeColor="text1"/>
          <w:sz w:val="24"/>
          <w:szCs w:val="24"/>
        </w:rPr>
        <w:t xml:space="preserve"> of fasted patients on the morning after admission.</w:t>
      </w:r>
      <w:r w:rsidR="00345913"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After</w:t>
      </w:r>
      <w:r w:rsidRPr="00661363">
        <w:rPr>
          <w:rFonts w:ascii="Book Antiqua" w:eastAsiaTheme="minorEastAsia" w:hAnsi="Book Antiqua"/>
          <w:bCs/>
          <w:color w:val="000000" w:themeColor="text1"/>
          <w:sz w:val="24"/>
          <w:szCs w:val="24"/>
        </w:rPr>
        <w:t xml:space="preserve"> 20 min of natural condensation, serum was isolated within 2 h after blood collection by centrifugation at 3000 r/min for 10 min.</w:t>
      </w:r>
      <w:r w:rsidR="00345913"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The</w:t>
      </w:r>
      <w:r w:rsidRPr="00661363">
        <w:rPr>
          <w:rFonts w:ascii="Book Antiqua" w:eastAsiaTheme="minorEastAsia" w:hAnsi="Book Antiqua"/>
          <w:bCs/>
          <w:color w:val="000000" w:themeColor="text1"/>
          <w:sz w:val="24"/>
          <w:szCs w:val="24"/>
        </w:rPr>
        <w:t xml:space="preserve"> isolated supernatant was stored in </w:t>
      </w:r>
      <w:r w:rsidRPr="00661363">
        <w:rPr>
          <w:rFonts w:ascii="Book Antiqua" w:eastAsia="等线" w:hAnsi="Book Antiqua"/>
          <w:bCs/>
          <w:color w:val="000000" w:themeColor="text1"/>
          <w:sz w:val="24"/>
          <w:szCs w:val="24"/>
        </w:rPr>
        <w:t>an</w:t>
      </w:r>
      <w:r w:rsidRPr="00661363">
        <w:rPr>
          <w:rFonts w:ascii="Book Antiqua" w:eastAsiaTheme="minorEastAsia" w:hAnsi="Book Antiqua"/>
          <w:bCs/>
          <w:color w:val="000000" w:themeColor="text1"/>
          <w:sz w:val="24"/>
          <w:szCs w:val="24"/>
        </w:rPr>
        <w:t xml:space="preserve"> Eppendorf tube at -</w:t>
      </w:r>
      <w:r w:rsidRPr="00661363">
        <w:rPr>
          <w:rFonts w:ascii="Book Antiqua" w:eastAsia="等线" w:hAnsi="Book Antiqua"/>
          <w:bCs/>
          <w:color w:val="000000" w:themeColor="text1"/>
          <w:sz w:val="24"/>
          <w:szCs w:val="24"/>
        </w:rPr>
        <w:t>80</w:t>
      </w:r>
      <w:r w:rsidR="006138FE">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°C.</w:t>
      </w:r>
      <w:r w:rsidR="00345913" w:rsidRPr="00661363">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 xml:space="preserve">The </w:t>
      </w:r>
      <w:r w:rsidRPr="00661363">
        <w:rPr>
          <w:rFonts w:ascii="Book Antiqua" w:eastAsiaTheme="minorEastAsia" w:hAnsi="Book Antiqua"/>
          <w:bCs/>
          <w:color w:val="000000" w:themeColor="text1"/>
          <w:sz w:val="24"/>
          <w:szCs w:val="24"/>
        </w:rPr>
        <w:t>serum FGF-23 concentration was detected by enzyme-linked immunosorbent assay</w:t>
      </w:r>
      <w:r w:rsidRPr="00661363">
        <w:rPr>
          <w:rFonts w:ascii="Book Antiqua" w:eastAsia="等线" w:hAnsi="Book Antiqua"/>
          <w:bCs/>
          <w:color w:val="000000" w:themeColor="text1"/>
          <w:sz w:val="24"/>
          <w:szCs w:val="24"/>
        </w:rPr>
        <w:t>.</w:t>
      </w:r>
    </w:p>
    <w:p w14:paraId="2B3448B3" w14:textId="0B063614" w:rsidR="00AE7027" w:rsidRPr="00661363" w:rsidRDefault="00C260A9" w:rsidP="00661363">
      <w:pPr>
        <w:pStyle w:val="p16"/>
        <w:adjustRightInd w:val="0"/>
        <w:snapToGrid w:val="0"/>
        <w:spacing w:line="360" w:lineRule="auto"/>
        <w:ind w:firstLineChars="200" w:firstLine="480"/>
        <w:rPr>
          <w:rFonts w:ascii="Book Antiqua" w:eastAsiaTheme="minorEastAsia" w:hAnsi="Book Antiqua"/>
          <w:bCs/>
          <w:color w:val="000000" w:themeColor="text1"/>
          <w:sz w:val="24"/>
          <w:szCs w:val="24"/>
        </w:rPr>
      </w:pPr>
      <w:r w:rsidRPr="00661363">
        <w:rPr>
          <w:rFonts w:ascii="Book Antiqua" w:eastAsia="等线" w:hAnsi="Book Antiqua"/>
          <w:bCs/>
          <w:color w:val="000000" w:themeColor="text1"/>
          <w:sz w:val="24"/>
          <w:szCs w:val="24"/>
        </w:rPr>
        <w:t>Cardiac</w:t>
      </w:r>
      <w:r w:rsidRPr="00661363">
        <w:rPr>
          <w:rFonts w:ascii="Book Antiqua" w:eastAsiaTheme="minorEastAsia" w:hAnsi="Book Antiqua"/>
          <w:bCs/>
          <w:color w:val="000000" w:themeColor="text1"/>
          <w:sz w:val="24"/>
          <w:szCs w:val="24"/>
        </w:rPr>
        <w:t xml:space="preserve"> function and structural indexes were determined using a DW-CE540 color </w:t>
      </w:r>
      <w:r w:rsidRPr="00661363">
        <w:rPr>
          <w:rFonts w:ascii="Book Antiqua" w:eastAsia="等线" w:hAnsi="Book Antiqua"/>
          <w:bCs/>
          <w:color w:val="000000" w:themeColor="text1"/>
          <w:sz w:val="24"/>
          <w:szCs w:val="24"/>
        </w:rPr>
        <w:t>Doppler</w:t>
      </w:r>
      <w:r w:rsidRPr="00661363">
        <w:rPr>
          <w:rFonts w:ascii="Book Antiqua" w:eastAsiaTheme="minorEastAsia" w:hAnsi="Book Antiqua"/>
          <w:bCs/>
          <w:color w:val="000000" w:themeColor="text1"/>
          <w:sz w:val="24"/>
          <w:szCs w:val="24"/>
        </w:rPr>
        <w:t xml:space="preserve"> ultrasound instrument (</w:t>
      </w:r>
      <w:r w:rsidRPr="00661363">
        <w:rPr>
          <w:rFonts w:ascii="Book Antiqua" w:eastAsia="等线" w:hAnsi="Book Antiqua"/>
          <w:bCs/>
          <w:color w:val="000000" w:themeColor="text1"/>
          <w:sz w:val="24"/>
          <w:szCs w:val="24"/>
        </w:rPr>
        <w:t>Dawei Medical Co., Ltd.) and an</w:t>
      </w:r>
      <w:r w:rsidRPr="00661363">
        <w:rPr>
          <w:rFonts w:ascii="Book Antiqua" w:eastAsiaTheme="minorEastAsia" w:hAnsi="Book Antiqua"/>
          <w:bCs/>
          <w:color w:val="000000" w:themeColor="text1"/>
          <w:sz w:val="24"/>
          <w:szCs w:val="24"/>
        </w:rPr>
        <w:t xml:space="preserve"> S5-1 probe with a frequency of 2-5 </w:t>
      </w:r>
      <w:bookmarkStart w:id="17" w:name="_Hlk34295375"/>
      <w:r w:rsidRPr="00661363">
        <w:rPr>
          <w:rFonts w:ascii="Book Antiqua" w:eastAsia="等线" w:hAnsi="Book Antiqua"/>
          <w:bCs/>
          <w:color w:val="000000" w:themeColor="text1"/>
          <w:sz w:val="24"/>
          <w:szCs w:val="24"/>
        </w:rPr>
        <w:t>MHz.</w:t>
      </w:r>
      <w:r w:rsidR="00345913" w:rsidRPr="00661363">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The</w:t>
      </w:r>
      <w:r w:rsidRPr="00661363">
        <w:rPr>
          <w:rFonts w:ascii="Book Antiqua" w:eastAsiaTheme="minorEastAsia" w:hAnsi="Book Antiqua"/>
          <w:bCs/>
          <w:color w:val="000000" w:themeColor="text1"/>
          <w:sz w:val="24"/>
          <w:szCs w:val="24"/>
        </w:rPr>
        <w:t xml:space="preserve"> patient was placed in the left lateral position, with the left ventricle near the long axis of the sternum.</w:t>
      </w:r>
      <w:r w:rsidR="00345913" w:rsidRPr="00661363">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We measured the left ventricular systolic diameter, left ventricular end diastolic diameter (LVED</w:t>
      </w:r>
      <w:r w:rsidR="00D93509" w:rsidRPr="00661363">
        <w:rPr>
          <w:rFonts w:ascii="Book Antiqua" w:eastAsiaTheme="minorEastAsia" w:hAnsi="Book Antiqua"/>
          <w:bCs/>
          <w:color w:val="000000" w:themeColor="text1"/>
          <w:sz w:val="24"/>
          <w:szCs w:val="24"/>
        </w:rPr>
        <w:t>D</w:t>
      </w:r>
      <w:r w:rsidRPr="00661363">
        <w:rPr>
          <w:rFonts w:ascii="Book Antiqua" w:eastAsiaTheme="minorEastAsia" w:hAnsi="Book Antiqua"/>
          <w:bCs/>
          <w:color w:val="000000" w:themeColor="text1"/>
          <w:sz w:val="24"/>
          <w:szCs w:val="24"/>
        </w:rPr>
        <w:t>), left ventricular dysfunction, and the distance from the left posterior wall of the atrium to the front wall of the left atrium and the back of the aorta</w:t>
      </w:r>
      <w:bookmarkEnd w:id="17"/>
      <w:r w:rsidRPr="00661363">
        <w:rPr>
          <w:rFonts w:ascii="Book Antiqua" w:eastAsiaTheme="minorEastAsia" w:hAnsi="Book Antiqua"/>
          <w:bCs/>
          <w:color w:val="000000" w:themeColor="text1"/>
          <w:sz w:val="24"/>
          <w:szCs w:val="24"/>
        </w:rPr>
        <w:t>.</w:t>
      </w:r>
      <w:r w:rsidR="00345913"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The</w:t>
      </w:r>
      <w:r w:rsidRPr="00661363">
        <w:rPr>
          <w:rFonts w:ascii="Book Antiqua" w:eastAsiaTheme="minorEastAsia" w:hAnsi="Book Antiqua"/>
          <w:bCs/>
          <w:color w:val="000000" w:themeColor="text1"/>
          <w:sz w:val="24"/>
          <w:szCs w:val="24"/>
        </w:rPr>
        <w:t xml:space="preserve"> apical four-chamber and two-chamber heart sections were adopted, and </w:t>
      </w:r>
      <w:r w:rsidRPr="00661363">
        <w:rPr>
          <w:rFonts w:ascii="Book Antiqua" w:eastAsia="等线" w:hAnsi="Book Antiqua"/>
          <w:bCs/>
          <w:color w:val="000000" w:themeColor="text1"/>
          <w:sz w:val="24"/>
          <w:szCs w:val="24"/>
        </w:rPr>
        <w:t xml:space="preserve">the </w:t>
      </w:r>
      <w:r w:rsidRPr="00661363">
        <w:rPr>
          <w:rFonts w:ascii="Book Antiqua" w:eastAsiaTheme="minorEastAsia" w:hAnsi="Book Antiqua"/>
          <w:bCs/>
          <w:color w:val="000000" w:themeColor="text1"/>
          <w:sz w:val="24"/>
          <w:szCs w:val="24"/>
        </w:rPr>
        <w:t>left ventricular ejection fraction (LVEF) was calculated using Simpson’s method.</w:t>
      </w:r>
      <w:r w:rsidR="00345913" w:rsidRPr="00661363">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 xml:space="preserve">The values were </w:t>
      </w:r>
      <w:r w:rsidRPr="00661363">
        <w:rPr>
          <w:rFonts w:ascii="Book Antiqua" w:eastAsiaTheme="minorEastAsia" w:hAnsi="Book Antiqua"/>
          <w:bCs/>
          <w:color w:val="000000" w:themeColor="text1"/>
          <w:sz w:val="24"/>
          <w:szCs w:val="24"/>
        </w:rPr>
        <w:t>continuously evaluated for 5 to 7 cardiac cycles, and the average was recorded.</w:t>
      </w:r>
    </w:p>
    <w:p w14:paraId="0D981589" w14:textId="77777777" w:rsidR="00A60BD9" w:rsidRPr="00661363" w:rsidRDefault="00A60BD9" w:rsidP="00661363">
      <w:pPr>
        <w:pStyle w:val="p16"/>
        <w:adjustRightInd w:val="0"/>
        <w:snapToGrid w:val="0"/>
        <w:spacing w:line="360" w:lineRule="auto"/>
        <w:rPr>
          <w:rFonts w:ascii="Book Antiqua" w:eastAsiaTheme="minorEastAsia" w:hAnsi="Book Antiqua"/>
          <w:b/>
          <w:bCs/>
          <w:color w:val="000000" w:themeColor="text1"/>
          <w:sz w:val="24"/>
          <w:szCs w:val="24"/>
        </w:rPr>
      </w:pPr>
    </w:p>
    <w:p w14:paraId="4E6F7A6A" w14:textId="2F69EC39" w:rsidR="00AE7027" w:rsidRPr="00661363" w:rsidRDefault="00C260A9" w:rsidP="00661363">
      <w:pPr>
        <w:pStyle w:val="p16"/>
        <w:adjustRightInd w:val="0"/>
        <w:snapToGrid w:val="0"/>
        <w:spacing w:line="360" w:lineRule="auto"/>
        <w:rPr>
          <w:rFonts w:ascii="Book Antiqua" w:eastAsiaTheme="minorEastAsia" w:hAnsi="Book Antiqua"/>
          <w:b/>
          <w:bCs/>
          <w:i/>
          <w:color w:val="000000" w:themeColor="text1"/>
          <w:sz w:val="24"/>
          <w:szCs w:val="24"/>
        </w:rPr>
      </w:pPr>
      <w:r w:rsidRPr="00661363">
        <w:rPr>
          <w:rFonts w:ascii="Book Antiqua" w:eastAsiaTheme="minorEastAsia" w:hAnsi="Book Antiqua"/>
          <w:b/>
          <w:bCs/>
          <w:i/>
          <w:color w:val="000000" w:themeColor="text1"/>
          <w:sz w:val="24"/>
          <w:szCs w:val="24"/>
        </w:rPr>
        <w:t>Statistical analysis</w:t>
      </w:r>
    </w:p>
    <w:p w14:paraId="25B8055B" w14:textId="165F4517" w:rsidR="00AE7027" w:rsidRPr="00661363" w:rsidRDefault="00C260A9" w:rsidP="00661363">
      <w:pPr>
        <w:widowControl/>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The data were analyzed</w:t>
      </w:r>
      <w:r w:rsidR="001130EE">
        <w:rPr>
          <w:rFonts w:ascii="Book Antiqua" w:hAnsi="Book Antiqua"/>
          <w:color w:val="000000" w:themeColor="text1"/>
          <w:sz w:val="24"/>
          <w:szCs w:val="24"/>
        </w:rPr>
        <w:t xml:space="preserve"> with</w:t>
      </w:r>
      <w:r w:rsidRPr="00661363">
        <w:rPr>
          <w:rFonts w:ascii="Book Antiqua" w:hAnsi="Book Antiqua"/>
          <w:color w:val="000000" w:themeColor="text1"/>
          <w:sz w:val="24"/>
          <w:szCs w:val="24"/>
        </w:rPr>
        <w:t xml:space="preserve"> SPSS 22.0 software and </w:t>
      </w:r>
      <w:r w:rsidR="001130EE">
        <w:rPr>
          <w:rFonts w:ascii="Book Antiqua" w:hAnsi="Book Antiqua"/>
          <w:color w:val="000000" w:themeColor="text1"/>
          <w:sz w:val="24"/>
          <w:szCs w:val="24"/>
        </w:rPr>
        <w:t xml:space="preserve">are </w:t>
      </w:r>
      <w:r w:rsidRPr="00661363">
        <w:rPr>
          <w:rFonts w:ascii="Book Antiqua" w:hAnsi="Book Antiqua"/>
          <w:color w:val="000000" w:themeColor="text1"/>
          <w:sz w:val="24"/>
          <w:szCs w:val="24"/>
        </w:rPr>
        <w:t xml:space="preserve">reported as the mean </w:t>
      </w:r>
      <w:r w:rsidRPr="00661363">
        <w:rPr>
          <w:rFonts w:ascii="Book Antiqua" w:hAnsi="Book Antiqua" w:cs="Times New Roman"/>
          <w:color w:val="000000" w:themeColor="text1"/>
          <w:sz w:val="24"/>
          <w:szCs w:val="24"/>
        </w:rPr>
        <w:t>±</w:t>
      </w:r>
      <w:r w:rsidRPr="00661363">
        <w:rPr>
          <w:rFonts w:ascii="Book Antiqua" w:hAnsi="Book Antiqua"/>
          <w:color w:val="000000" w:themeColor="text1"/>
          <w:sz w:val="24"/>
          <w:szCs w:val="24"/>
        </w:rPr>
        <w:t xml:space="preserve"> SEM or </w:t>
      </w:r>
      <w:r w:rsidRPr="00661363">
        <w:rPr>
          <w:rFonts w:ascii="Book Antiqua" w:hAnsi="Book Antiqua"/>
          <w:i/>
          <w:color w:val="000000" w:themeColor="text1"/>
          <w:sz w:val="24"/>
          <w:szCs w:val="24"/>
        </w:rPr>
        <w:t>n</w:t>
      </w:r>
      <w:r w:rsidR="003E7F7D"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w:t>
      </w:r>
      <w:r w:rsidR="003E7F7D" w:rsidRPr="00661363">
        <w:rPr>
          <w:rFonts w:ascii="Book Antiqua" w:hAnsi="Book Antiqua"/>
          <w:color w:val="000000" w:themeColor="text1"/>
          <w:sz w:val="24"/>
          <w:szCs w:val="24"/>
        </w:rPr>
        <w:t>)</w:t>
      </w:r>
      <w:r w:rsidRPr="00661363">
        <w:rPr>
          <w:rFonts w:ascii="Book Antiqua" w:hAnsi="Book Antiqua"/>
          <w:color w:val="000000" w:themeColor="text1"/>
          <w:sz w:val="24"/>
          <w:szCs w:val="24"/>
        </w:rPr>
        <w:t>, as appropriate.</w:t>
      </w:r>
      <w:r w:rsidR="0034591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 xml:space="preserve">The </w:t>
      </w:r>
      <w:r w:rsidRPr="00661363">
        <w:rPr>
          <w:rFonts w:ascii="Book Antiqua" w:eastAsia="仿宋_GB2312" w:hAnsi="Book Antiqua" w:cs="Times New Roman"/>
          <w:i/>
          <w:color w:val="000000" w:themeColor="text1"/>
          <w:sz w:val="24"/>
          <w:szCs w:val="24"/>
        </w:rPr>
        <w:sym w:font="Symbol" w:char="F063"/>
      </w:r>
      <w:r w:rsidRPr="00661363">
        <w:rPr>
          <w:rFonts w:ascii="Book Antiqua" w:eastAsia="仿宋_GB2312" w:hAnsi="Book Antiqua" w:cs="Times New Roman"/>
          <w:bCs/>
          <w:color w:val="000000" w:themeColor="text1"/>
          <w:sz w:val="24"/>
          <w:szCs w:val="24"/>
          <w:vertAlign w:val="superscript"/>
        </w:rPr>
        <w:t>2</w:t>
      </w:r>
      <w:r w:rsidRPr="00661363">
        <w:rPr>
          <w:rFonts w:ascii="Book Antiqua" w:eastAsia="仿宋_GB2312" w:hAnsi="Book Antiqua" w:cs="Times New Roman"/>
          <w:bCs/>
          <w:color w:val="000000" w:themeColor="text1"/>
          <w:sz w:val="24"/>
          <w:szCs w:val="24"/>
        </w:rPr>
        <w:t xml:space="preserve"> </w:t>
      </w:r>
      <w:r w:rsidRPr="00661363">
        <w:rPr>
          <w:rFonts w:ascii="Book Antiqua" w:hAnsi="Book Antiqua"/>
          <w:color w:val="000000" w:themeColor="text1"/>
          <w:sz w:val="24"/>
          <w:szCs w:val="24"/>
        </w:rPr>
        <w:t>test and analysis of differences were used to compare groups, and Pearson’s correlation analysis was used to identify correlations.</w:t>
      </w:r>
      <w:r w:rsidR="0034591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 xml:space="preserve">Differences were considered statistically significant </w:t>
      </w:r>
      <w:r w:rsidRPr="00661363">
        <w:rPr>
          <w:rFonts w:ascii="Book Antiqua" w:eastAsia="等线" w:hAnsi="Book Antiqua" w:cs="Times New Roman"/>
          <w:color w:val="000000" w:themeColor="text1"/>
          <w:sz w:val="24"/>
          <w:szCs w:val="24"/>
        </w:rPr>
        <w:t>at</w:t>
      </w:r>
      <w:r w:rsidRPr="00661363">
        <w:rPr>
          <w:rFonts w:ascii="Book Antiqua" w:hAnsi="Book Antiqua"/>
          <w:color w:val="000000" w:themeColor="text1"/>
          <w:sz w:val="24"/>
          <w:szCs w:val="24"/>
        </w:rPr>
        <w:t xml:space="preserve"> </w:t>
      </w:r>
      <w:r w:rsidR="00A60BD9" w:rsidRPr="00661363">
        <w:rPr>
          <w:rFonts w:ascii="Book Antiqua" w:hAnsi="Book Antiqua"/>
          <w:i/>
          <w:color w:val="000000" w:themeColor="text1"/>
          <w:sz w:val="24"/>
          <w:szCs w:val="24"/>
        </w:rPr>
        <w:t>P</w:t>
      </w:r>
      <w:r w:rsidRPr="00661363">
        <w:rPr>
          <w:rFonts w:ascii="Book Antiqua" w:hAnsi="Book Antiqua"/>
          <w:color w:val="000000" w:themeColor="text1"/>
          <w:sz w:val="24"/>
          <w:szCs w:val="24"/>
        </w:rPr>
        <w:t xml:space="preserve"> &lt;</w:t>
      </w:r>
      <w:r w:rsidR="00A60BD9"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0.05.</w:t>
      </w:r>
    </w:p>
    <w:p w14:paraId="2D98E014" w14:textId="77777777" w:rsidR="00AE7027" w:rsidRPr="00661363" w:rsidRDefault="00AE7027" w:rsidP="00661363">
      <w:pPr>
        <w:pStyle w:val="p16"/>
        <w:adjustRightInd w:val="0"/>
        <w:snapToGrid w:val="0"/>
        <w:spacing w:line="360" w:lineRule="auto"/>
        <w:rPr>
          <w:rFonts w:ascii="Book Antiqua" w:eastAsiaTheme="minorEastAsia" w:hAnsi="Book Antiqua"/>
          <w:b/>
          <w:bCs/>
          <w:color w:val="000000" w:themeColor="text1"/>
          <w:sz w:val="24"/>
          <w:szCs w:val="24"/>
        </w:rPr>
      </w:pPr>
    </w:p>
    <w:p w14:paraId="5CD93CA0" w14:textId="17BF9458" w:rsidR="00AE7027" w:rsidRPr="00661363" w:rsidRDefault="00930983" w:rsidP="00661363">
      <w:pPr>
        <w:pStyle w:val="p16"/>
        <w:adjustRightInd w:val="0"/>
        <w:snapToGrid w:val="0"/>
        <w:spacing w:line="360" w:lineRule="auto"/>
        <w:rPr>
          <w:rFonts w:ascii="Book Antiqua" w:eastAsiaTheme="minorEastAsia" w:hAnsi="Book Antiqua"/>
          <w:b/>
          <w:bCs/>
          <w:color w:val="000000" w:themeColor="text1"/>
          <w:sz w:val="24"/>
          <w:szCs w:val="24"/>
          <w:u w:val="single"/>
        </w:rPr>
      </w:pPr>
      <w:r w:rsidRPr="00661363">
        <w:rPr>
          <w:rFonts w:ascii="Book Antiqua" w:eastAsiaTheme="minorEastAsia" w:hAnsi="Book Antiqua"/>
          <w:b/>
          <w:bCs/>
          <w:color w:val="000000" w:themeColor="text1"/>
          <w:sz w:val="24"/>
          <w:szCs w:val="24"/>
          <w:u w:val="single"/>
        </w:rPr>
        <w:t>RESULTS</w:t>
      </w:r>
    </w:p>
    <w:p w14:paraId="14F7AC68" w14:textId="5FEA51F4" w:rsidR="00AE7027" w:rsidRPr="00661363" w:rsidRDefault="00C260A9" w:rsidP="00661363">
      <w:pPr>
        <w:pStyle w:val="p16"/>
        <w:adjustRightInd w:val="0"/>
        <w:snapToGrid w:val="0"/>
        <w:spacing w:line="360" w:lineRule="auto"/>
        <w:rPr>
          <w:rFonts w:ascii="Book Antiqua" w:hAnsi="Book Antiqua"/>
          <w:b/>
          <w:bCs/>
          <w:i/>
          <w:color w:val="000000" w:themeColor="text1"/>
          <w:sz w:val="24"/>
          <w:szCs w:val="24"/>
        </w:rPr>
      </w:pPr>
      <w:bookmarkStart w:id="18" w:name="_Hlk30351765"/>
      <w:r w:rsidRPr="00661363">
        <w:rPr>
          <w:rFonts w:ascii="Book Antiqua" w:hAnsi="Book Antiqua"/>
          <w:b/>
          <w:bCs/>
          <w:i/>
          <w:color w:val="000000" w:themeColor="text1"/>
          <w:sz w:val="24"/>
          <w:szCs w:val="24"/>
        </w:rPr>
        <w:t xml:space="preserve">Comparison of serum FGF-23 and miR-208b levels in the </w:t>
      </w:r>
      <w:r w:rsidR="001130EE">
        <w:rPr>
          <w:rFonts w:ascii="Book Antiqua" w:hAnsi="Book Antiqua"/>
          <w:b/>
          <w:bCs/>
          <w:i/>
          <w:color w:val="000000" w:themeColor="text1"/>
          <w:sz w:val="24"/>
          <w:szCs w:val="24"/>
        </w:rPr>
        <w:t>two</w:t>
      </w:r>
      <w:r w:rsidRPr="00661363">
        <w:rPr>
          <w:rFonts w:ascii="Book Antiqua" w:hAnsi="Book Antiqua"/>
          <w:b/>
          <w:bCs/>
          <w:i/>
          <w:color w:val="000000" w:themeColor="text1"/>
          <w:sz w:val="24"/>
          <w:szCs w:val="24"/>
        </w:rPr>
        <w:t xml:space="preserve"> groups</w:t>
      </w:r>
    </w:p>
    <w:bookmarkEnd w:id="18"/>
    <w:p w14:paraId="7C9DC2EE" w14:textId="295CBEB3" w:rsidR="00AE7027" w:rsidRPr="00661363" w:rsidRDefault="00C260A9"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The relative levels of serum FGF-23 and miR-208b in the observation group were significantly higher than those in the control group (</w:t>
      </w:r>
      <w:r w:rsidR="00930983" w:rsidRPr="00661363">
        <w:rPr>
          <w:rFonts w:ascii="Book Antiqua" w:hAnsi="Book Antiqua"/>
          <w:i/>
          <w:color w:val="000000" w:themeColor="text1"/>
          <w:sz w:val="24"/>
          <w:szCs w:val="24"/>
        </w:rPr>
        <w:t>P</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&lt;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0.05</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Table 2).</w:t>
      </w:r>
    </w:p>
    <w:p w14:paraId="1D5B1110" w14:textId="77777777" w:rsidR="00AE7027" w:rsidRPr="00661363" w:rsidRDefault="00AE7027" w:rsidP="00661363">
      <w:pPr>
        <w:pStyle w:val="p16"/>
        <w:adjustRightInd w:val="0"/>
        <w:snapToGrid w:val="0"/>
        <w:spacing w:line="360" w:lineRule="auto"/>
        <w:rPr>
          <w:rFonts w:ascii="Book Antiqua" w:hAnsi="Book Antiqua"/>
          <w:color w:val="000000" w:themeColor="text1"/>
          <w:sz w:val="24"/>
          <w:szCs w:val="24"/>
        </w:rPr>
      </w:pPr>
    </w:p>
    <w:p w14:paraId="49AA5580" w14:textId="77777777" w:rsidR="00AE7027" w:rsidRPr="00661363" w:rsidRDefault="00C260A9"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Comparison of serum FGF-23 and miR-208b levels and cardiac parameters in different subgroups of the observation group</w:t>
      </w:r>
    </w:p>
    <w:p w14:paraId="269EDC4E" w14:textId="02FA8215" w:rsidR="00AE7027" w:rsidRPr="00661363" w:rsidRDefault="00C260A9"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In the observation group, the relative levels of serum FGF-23 and miR-208b in patients with persistent atrial fibrillation were significantly higher than those in patients with paroxysmal atrial fibrillation (</w:t>
      </w:r>
      <w:r w:rsidR="00930983" w:rsidRPr="00661363">
        <w:rPr>
          <w:rFonts w:ascii="Book Antiqua" w:hAnsi="Book Antiqua"/>
          <w:i/>
          <w:color w:val="000000" w:themeColor="text1"/>
          <w:sz w:val="24"/>
          <w:szCs w:val="24"/>
        </w:rPr>
        <w:t>P</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&lt;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0.05), and the LAD was significantly higher in patients with persistent atrial fibrillation than in patients with paroxysmal atrial fibrillation (</w:t>
      </w:r>
      <w:r w:rsidR="00930983" w:rsidRPr="00661363">
        <w:rPr>
          <w:rFonts w:ascii="Book Antiqua" w:hAnsi="Book Antiqua"/>
          <w:i/>
          <w:color w:val="000000" w:themeColor="text1"/>
          <w:sz w:val="24"/>
          <w:szCs w:val="24"/>
        </w:rPr>
        <w:t>P</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&gt;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0.05</w:t>
      </w:r>
      <w:r w:rsidR="005C43EE"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Table 3).</w:t>
      </w:r>
    </w:p>
    <w:p w14:paraId="2D4783E9" w14:textId="77777777" w:rsidR="00AE7027" w:rsidRPr="00661363" w:rsidRDefault="00AE7027" w:rsidP="00661363">
      <w:pPr>
        <w:pStyle w:val="p16"/>
        <w:adjustRightInd w:val="0"/>
        <w:snapToGrid w:val="0"/>
        <w:spacing w:line="360" w:lineRule="auto"/>
        <w:rPr>
          <w:rFonts w:ascii="Book Antiqua" w:hAnsi="Book Antiqua"/>
          <w:color w:val="000000" w:themeColor="text1"/>
          <w:sz w:val="24"/>
          <w:szCs w:val="24"/>
        </w:rPr>
      </w:pPr>
    </w:p>
    <w:p w14:paraId="2B9C465B" w14:textId="1F341858" w:rsidR="00AE7027" w:rsidRPr="00661363" w:rsidRDefault="00C260A9"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 xml:space="preserve">Correlation </w:t>
      </w:r>
      <w:r w:rsidR="00930983" w:rsidRPr="00661363">
        <w:rPr>
          <w:rFonts w:ascii="Book Antiqua" w:hAnsi="Book Antiqua"/>
          <w:b/>
          <w:bCs/>
          <w:i/>
          <w:color w:val="000000" w:themeColor="text1"/>
          <w:sz w:val="24"/>
          <w:szCs w:val="24"/>
        </w:rPr>
        <w:t>analysis</w:t>
      </w:r>
    </w:p>
    <w:p w14:paraId="2543DA31" w14:textId="0F36FEA9" w:rsidR="00AE7027" w:rsidRPr="00661363" w:rsidRDefault="00C260A9"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The relative levels of serum FGF-23 and miR-208b were analyzed for correlations with the LAD, and the results showed a positive correlation (</w:t>
      </w:r>
      <w:r w:rsidRPr="00661363">
        <w:rPr>
          <w:rFonts w:ascii="Book Antiqua" w:hAnsi="Book Antiqua"/>
          <w:i/>
          <w:color w:val="000000" w:themeColor="text1"/>
          <w:sz w:val="24"/>
          <w:szCs w:val="24"/>
        </w:rPr>
        <w:t>r</w:t>
      </w:r>
      <w:r w:rsidRPr="00661363">
        <w:rPr>
          <w:rFonts w:ascii="Book Antiqua" w:hAnsi="Book Antiqua"/>
          <w:color w:val="000000" w:themeColor="text1"/>
          <w:sz w:val="24"/>
          <w:szCs w:val="24"/>
        </w:rPr>
        <w:t xml:space="preserve"> =</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 xml:space="preserve">0.411 and </w:t>
      </w:r>
      <w:r w:rsidRPr="00661363">
        <w:rPr>
          <w:rFonts w:ascii="Book Antiqua" w:hAnsi="Book Antiqua"/>
          <w:i/>
          <w:color w:val="000000" w:themeColor="text1"/>
          <w:sz w:val="24"/>
          <w:szCs w:val="24"/>
        </w:rPr>
        <w:t>r</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 xml:space="preserve">0.382, </w:t>
      </w:r>
      <w:r w:rsidR="00930983" w:rsidRPr="00661363">
        <w:rPr>
          <w:rFonts w:ascii="Book Antiqua" w:hAnsi="Book Antiqua"/>
          <w:i/>
          <w:color w:val="000000" w:themeColor="text1"/>
          <w:sz w:val="24"/>
          <w:szCs w:val="24"/>
        </w:rPr>
        <w:t>P</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&lt;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0.05).</w:t>
      </w:r>
    </w:p>
    <w:p w14:paraId="2C96B4C6" w14:textId="77777777" w:rsidR="00930983" w:rsidRPr="00661363" w:rsidRDefault="00930983" w:rsidP="00661363">
      <w:pPr>
        <w:pStyle w:val="p16"/>
        <w:adjustRightInd w:val="0"/>
        <w:snapToGrid w:val="0"/>
        <w:spacing w:line="360" w:lineRule="auto"/>
        <w:rPr>
          <w:rFonts w:ascii="Book Antiqua" w:hAnsi="Book Antiqua"/>
          <w:color w:val="000000" w:themeColor="text1"/>
          <w:sz w:val="24"/>
          <w:szCs w:val="24"/>
        </w:rPr>
      </w:pPr>
    </w:p>
    <w:p w14:paraId="37164811" w14:textId="77777777" w:rsidR="00AE7027" w:rsidRPr="00661363" w:rsidRDefault="00C260A9"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Comparison of serum FGF-23 and miR-208b among patients in the observation group with different prognoses</w:t>
      </w:r>
    </w:p>
    <w:p w14:paraId="6CD78BD7" w14:textId="0F3C1831" w:rsidR="00AE7027" w:rsidRPr="00661363" w:rsidRDefault="00C260A9"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Patients were grouped based on the occurrence of a major cardiovascular event (MACE) (</w:t>
      </w:r>
      <w:r w:rsidRPr="00661363">
        <w:rPr>
          <w:rFonts w:ascii="Book Antiqua" w:hAnsi="Book Antiqua"/>
          <w:i/>
          <w:color w:val="000000" w:themeColor="text1"/>
          <w:sz w:val="24"/>
          <w:szCs w:val="24"/>
        </w:rPr>
        <w:t>n</w:t>
      </w:r>
      <w:r w:rsidRPr="00661363">
        <w:rPr>
          <w:rFonts w:ascii="Book Antiqua" w:hAnsi="Book Antiqua"/>
          <w:color w:val="000000" w:themeColor="text1"/>
          <w:sz w:val="24"/>
          <w:szCs w:val="24"/>
        </w:rPr>
        <w:t xml:space="preserve"> =</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58) or not (</w:t>
      </w:r>
      <w:r w:rsidR="00930983" w:rsidRPr="00661363">
        <w:rPr>
          <w:rFonts w:ascii="Book Antiqua" w:hAnsi="Book Antiqua"/>
          <w:i/>
          <w:color w:val="000000" w:themeColor="text1"/>
          <w:sz w:val="24"/>
          <w:szCs w:val="24"/>
        </w:rPr>
        <w:t>n</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182) during follow-up.</w:t>
      </w:r>
      <w:r w:rsidR="0034591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 xml:space="preserve">MACEs included cardiogenic death, nonfatal myocardial infarction, heart failure, readmission due to recurrence, </w:t>
      </w:r>
      <w:r w:rsidRPr="00661363">
        <w:rPr>
          <w:rFonts w:ascii="Book Antiqua" w:hAnsi="Book Antiqua"/>
          <w:i/>
          <w:color w:val="000000" w:themeColor="text1"/>
          <w:sz w:val="24"/>
          <w:szCs w:val="24"/>
        </w:rPr>
        <w:t>etc</w:t>
      </w:r>
      <w:r w:rsidRPr="00661363">
        <w:rPr>
          <w:rFonts w:ascii="Book Antiqua" w:hAnsi="Book Antiqua"/>
          <w:color w:val="000000" w:themeColor="text1"/>
          <w:sz w:val="24"/>
          <w:szCs w:val="24"/>
        </w:rPr>
        <w:t>.</w:t>
      </w:r>
      <w:r w:rsidR="0034591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The serum FGF-23 and miR-208b levels in the MACE group were 243.30</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72.29 ng/m</w:t>
      </w:r>
      <w:r w:rsidR="00930983" w:rsidRPr="00661363">
        <w:rPr>
          <w:rFonts w:ascii="Book Antiqua" w:hAnsi="Book Antiqua"/>
          <w:color w:val="000000" w:themeColor="text1"/>
          <w:sz w:val="24"/>
          <w:szCs w:val="24"/>
        </w:rPr>
        <w:t>L</w:t>
      </w:r>
      <w:r w:rsidRPr="00661363">
        <w:rPr>
          <w:rFonts w:ascii="Book Antiqua" w:hAnsi="Book Antiqua"/>
          <w:color w:val="000000" w:themeColor="text1"/>
          <w:sz w:val="24"/>
          <w:szCs w:val="24"/>
        </w:rPr>
        <w:t xml:space="preserve"> and 6.12</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1.12 ng/m</w:t>
      </w:r>
      <w:r w:rsidR="00930983" w:rsidRPr="00661363">
        <w:rPr>
          <w:rFonts w:ascii="Book Antiqua" w:hAnsi="Book Antiqua"/>
          <w:color w:val="000000" w:themeColor="text1"/>
          <w:sz w:val="24"/>
          <w:szCs w:val="24"/>
        </w:rPr>
        <w:t>L</w:t>
      </w:r>
      <w:r w:rsidRPr="00661363">
        <w:rPr>
          <w:rFonts w:ascii="Book Antiqua" w:hAnsi="Book Antiqua"/>
          <w:color w:val="000000" w:themeColor="text1"/>
          <w:sz w:val="24"/>
          <w:szCs w:val="24"/>
        </w:rPr>
        <w:t>, respectively, and these values were significantly higher than those in patients without a MACE (</w:t>
      </w:r>
      <w:r w:rsidR="00930983" w:rsidRPr="00661363">
        <w:rPr>
          <w:rFonts w:ascii="Book Antiqua" w:hAnsi="Book Antiqua"/>
          <w:i/>
          <w:color w:val="000000" w:themeColor="text1"/>
          <w:sz w:val="24"/>
          <w:szCs w:val="24"/>
        </w:rPr>
        <w:t>P</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&lt;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0.05</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Table 4).</w:t>
      </w:r>
    </w:p>
    <w:p w14:paraId="11621C99" w14:textId="77777777" w:rsidR="005C43EE" w:rsidRPr="00661363" w:rsidRDefault="005C43EE" w:rsidP="00661363">
      <w:pPr>
        <w:pStyle w:val="p16"/>
        <w:adjustRightInd w:val="0"/>
        <w:snapToGrid w:val="0"/>
        <w:spacing w:line="360" w:lineRule="auto"/>
        <w:rPr>
          <w:rFonts w:ascii="Book Antiqua" w:hAnsi="Book Antiqua"/>
          <w:b/>
          <w:bCs/>
          <w:color w:val="000000" w:themeColor="text1"/>
          <w:sz w:val="24"/>
          <w:szCs w:val="24"/>
        </w:rPr>
      </w:pPr>
    </w:p>
    <w:p w14:paraId="395287B0" w14:textId="39CE47CB" w:rsidR="00AE7027" w:rsidRPr="00661363" w:rsidRDefault="005C43EE" w:rsidP="00661363">
      <w:pPr>
        <w:pStyle w:val="p16"/>
        <w:adjustRightInd w:val="0"/>
        <w:snapToGrid w:val="0"/>
        <w:spacing w:line="360" w:lineRule="auto"/>
        <w:rPr>
          <w:rFonts w:ascii="Book Antiqua" w:hAnsi="Book Antiqua"/>
          <w:b/>
          <w:bCs/>
          <w:color w:val="000000" w:themeColor="text1"/>
          <w:sz w:val="24"/>
          <w:szCs w:val="24"/>
          <w:u w:val="single"/>
        </w:rPr>
      </w:pPr>
      <w:r w:rsidRPr="00661363">
        <w:rPr>
          <w:rFonts w:ascii="Book Antiqua" w:hAnsi="Book Antiqua"/>
          <w:b/>
          <w:bCs/>
          <w:color w:val="000000" w:themeColor="text1"/>
          <w:sz w:val="24"/>
          <w:szCs w:val="24"/>
          <w:u w:val="single"/>
        </w:rPr>
        <w:t>DISCUSSION</w:t>
      </w:r>
    </w:p>
    <w:p w14:paraId="7B568434" w14:textId="64161226" w:rsidR="005C43EE" w:rsidRPr="00661363" w:rsidRDefault="00C260A9"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cs="宋体"/>
          <w:bCs/>
          <w:color w:val="000000" w:themeColor="text1"/>
          <w:sz w:val="24"/>
          <w:szCs w:val="24"/>
        </w:rPr>
        <w:t>The mechanisms of atrial fibrillation occurrence and maintenance are complex.</w:t>
      </w:r>
      <w:r w:rsidR="00345913" w:rsidRPr="00661363">
        <w:rPr>
          <w:rFonts w:ascii="Book Antiqua" w:hAnsi="Book Antiqua" w:cs="宋体"/>
          <w:bCs/>
          <w:color w:val="000000" w:themeColor="text1"/>
          <w:sz w:val="24"/>
          <w:szCs w:val="24"/>
        </w:rPr>
        <w:t xml:space="preserve"> </w:t>
      </w:r>
      <w:r w:rsidRPr="00661363">
        <w:rPr>
          <w:rFonts w:ascii="Book Antiqua" w:hAnsi="Book Antiqua" w:cs="宋体"/>
          <w:bCs/>
          <w:color w:val="000000" w:themeColor="text1"/>
          <w:sz w:val="24"/>
          <w:szCs w:val="24"/>
        </w:rPr>
        <w:t>The electrical pulse from the pulmonary ectopic excitatory focus is considered an important mechanism of atrial fibrillation, and atrial fibrosis is considered an important factor in the difficulty of maintaining and sustaining atrial fibrillation</w:t>
      </w:r>
      <w:r w:rsidRPr="00661363">
        <w:rPr>
          <w:rFonts w:ascii="Book Antiqua" w:hAnsi="Book Antiqua"/>
          <w:bCs/>
          <w:color w:val="000000" w:themeColor="text1"/>
          <w:sz w:val="24"/>
          <w:szCs w:val="24"/>
          <w:vertAlign w:val="superscript"/>
        </w:rPr>
        <w:fldChar w:fldCharType="begin">
          <w:fldData xml:space="preserve">PEVuZE5vdGU+PENpdGU+PEF1dGhvcj5ZUTwvQXV0aG9yPjxZZWFyPjIwMTg8L1llYXI+PFJlY051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</w:fldData>
        </w:fldChar>
      </w:r>
      <w:r w:rsidRPr="00661363">
        <w:rPr>
          <w:rFonts w:ascii="Book Antiqua" w:hAnsi="Book Antiqua"/>
          <w:bCs/>
          <w:color w:val="000000" w:themeColor="text1"/>
          <w:sz w:val="24"/>
          <w:szCs w:val="24"/>
          <w:vertAlign w:val="superscript"/>
        </w:rPr>
        <w:instrText xml:space="preserve"> ADDIN EN.CITE </w:instrText>
      </w:r>
      <w:r w:rsidRPr="00661363">
        <w:rPr>
          <w:rFonts w:ascii="Book Antiqua" w:hAnsi="Book Antiqua"/>
          <w:bCs/>
          <w:color w:val="000000" w:themeColor="text1"/>
          <w:sz w:val="24"/>
          <w:szCs w:val="24"/>
          <w:vertAlign w:val="superscript"/>
        </w:rPr>
        <w:fldChar w:fldCharType="begin">
          <w:fldData xml:space="preserve">PEVuZE5vdGU+PENpdGU+PEF1dGhvcj5ZUTwvQXV0aG9yPjxZZWFyPjIwMTg8L1llYXI+PFJlY051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</w:fldData>
        </w:fldChar>
      </w:r>
      <w:r w:rsidRPr="00661363">
        <w:rPr>
          <w:rFonts w:ascii="Book Antiqua" w:hAnsi="Book Antiqua"/>
          <w:bCs/>
          <w:color w:val="000000" w:themeColor="text1"/>
          <w:sz w:val="24"/>
          <w:szCs w:val="24"/>
          <w:vertAlign w:val="superscript"/>
        </w:rPr>
        <w:instrText xml:space="preserve"> ADDIN EN.CITE.DATA </w:instrText>
      </w:r>
      <w:r w:rsidRPr="00661363">
        <w:rPr>
          <w:rFonts w:ascii="Book Antiqua" w:hAnsi="Book Antiqua"/>
          <w:bCs/>
          <w:color w:val="000000" w:themeColor="text1"/>
          <w:sz w:val="24"/>
          <w:szCs w:val="24"/>
          <w:vertAlign w:val="superscript"/>
        </w:rPr>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vertAlign w:val="superscript"/>
        </w:rPr>
      </w:r>
      <w:r w:rsidRPr="00661363">
        <w:rPr>
          <w:rFonts w:ascii="Book Antiqua" w:hAnsi="Book Antiqua"/>
          <w:bCs/>
          <w:color w:val="000000" w:themeColor="text1"/>
          <w:sz w:val="24"/>
          <w:szCs w:val="24"/>
          <w:vertAlign w:val="superscript"/>
        </w:rPr>
        <w:fldChar w:fldCharType="separate"/>
      </w:r>
      <w:r w:rsidRPr="00661363">
        <w:rPr>
          <w:rFonts w:ascii="Book Antiqua" w:hAnsi="Book Antiqua"/>
          <w:bCs/>
          <w:color w:val="000000" w:themeColor="text1"/>
          <w:sz w:val="24"/>
          <w:szCs w:val="24"/>
          <w:vertAlign w:val="superscript"/>
        </w:rPr>
        <w:t>[8-10]</w:t>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rPr>
        <w:t>.</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 xml:space="preserve">It is important to identify biomarkers with </w:t>
      </w:r>
      <w:r w:rsidR="00350F7C">
        <w:rPr>
          <w:rFonts w:ascii="Book Antiqua" w:hAnsi="Book Antiqua"/>
          <w:bCs/>
          <w:color w:val="000000" w:themeColor="text1"/>
          <w:sz w:val="24"/>
          <w:szCs w:val="24"/>
        </w:rPr>
        <w:t xml:space="preserve">a </w:t>
      </w:r>
      <w:r w:rsidRPr="00661363">
        <w:rPr>
          <w:rFonts w:ascii="Book Antiqua" w:hAnsi="Book Antiqua"/>
          <w:bCs/>
          <w:color w:val="000000" w:themeColor="text1"/>
          <w:sz w:val="24"/>
          <w:szCs w:val="24"/>
        </w:rPr>
        <w:t>high specificity and sensitivity.</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 xml:space="preserve">Cardiovascular diseases are usually accompanied by changes in miRNA levels in </w:t>
      </w:r>
      <w:r w:rsidR="00183D66" w:rsidRPr="00661363">
        <w:rPr>
          <w:rFonts w:ascii="Book Antiqua" w:hAnsi="Book Antiqua"/>
          <w:bCs/>
          <w:color w:val="000000" w:themeColor="text1"/>
          <w:sz w:val="24"/>
          <w:szCs w:val="24"/>
        </w:rPr>
        <w:t xml:space="preserve">the </w:t>
      </w:r>
      <w:r w:rsidRPr="00661363">
        <w:rPr>
          <w:rFonts w:ascii="Book Antiqua" w:hAnsi="Book Antiqua"/>
          <w:bCs/>
          <w:color w:val="000000" w:themeColor="text1"/>
          <w:sz w:val="24"/>
          <w:szCs w:val="24"/>
        </w:rPr>
        <w:t>peripheral circulation.</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Acute obstruction of the coronary artery disrupts blood flow, causing ischemia, death, heart failure</w:t>
      </w:r>
      <w:r w:rsidR="00350F7C">
        <w:rPr>
          <w:rFonts w:ascii="Book Antiqua" w:hAnsi="Book Antiqua"/>
          <w:bCs/>
          <w:color w:val="000000" w:themeColor="text1"/>
          <w:sz w:val="24"/>
          <w:szCs w:val="24"/>
        </w:rPr>
        <w:t>,</w:t>
      </w:r>
      <w:r w:rsidRPr="00661363">
        <w:rPr>
          <w:rFonts w:ascii="Book Antiqua" w:hAnsi="Book Antiqua"/>
          <w:bCs/>
          <w:color w:val="000000" w:themeColor="text1"/>
          <w:sz w:val="24"/>
          <w:szCs w:val="24"/>
        </w:rPr>
        <w:t xml:space="preserve"> and cardiomyocyte death; therefore, early diagnosis and effective treatment are vitally important to improve patient prognosis</w:t>
      </w:r>
      <w:r w:rsidRPr="00661363">
        <w:rPr>
          <w:rFonts w:ascii="Book Antiqua" w:hAnsi="Book Antiqua"/>
          <w:bCs/>
          <w:color w:val="000000" w:themeColor="text1"/>
          <w:sz w:val="24"/>
          <w:szCs w:val="24"/>
          <w:vertAlign w:val="superscript"/>
        </w:rPr>
        <w:fldChar w:fldCharType="begin"/>
      </w:r>
      <w:r w:rsidRPr="00661363">
        <w:rPr>
          <w:rFonts w:ascii="Book Antiqua" w:hAnsi="Book Antiqua"/>
          <w:bCs/>
          <w:color w:val="000000" w:themeColor="text1"/>
          <w:sz w:val="24"/>
          <w:szCs w:val="24"/>
          <w:vertAlign w:val="superscript"/>
        </w:rPr>
        <w:instrText xml:space="preserve"> ADDIN EN.CITE &lt;EndNote&gt;&lt;Cite&gt;&lt;Author&gt;HY&lt;/Author&gt;&lt;Year&gt;2018&lt;/Year&gt;&lt;RecNum&gt;126&lt;/RecNum&gt;&lt;DisplayText&gt;&lt;style face="superscript"&gt;[11, 12]&lt;/style&gt;&lt;/DisplayText&gt;&lt;record&gt;&lt;rec-number&gt;126&lt;/rec-number&gt;&lt;foreign-keys&gt;&lt;key app="EN" db-id="tw9rxda0pz59fred02ovf5pbvavsesxx20ax" timestamp="1583700467"&gt;126&lt;/key&gt;&lt;/foreign-keys&gt;&lt;ref-type name="Journal Article"&gt;17&lt;/ref-type&gt;&lt;contributors&gt;&lt;authors&gt;&lt;author&gt;Huang HY&lt;/author&gt;&lt;author&gt;Lin SY&lt;/author&gt;&lt;author&gt;Cheng SH&lt;/author&gt;&lt;author&gt;Wang CC %J Scientific reports&lt;/author&gt;&lt;/authors&gt;&lt;/contributors&gt;&lt;titles&gt;&lt;title&gt;Effectiveness and Safety of Different Rivaroxaban Dosage Regimens in Patients with Non-Valvular Atrial Fibrillation: A Nationwide, Population-Based Cohort Study&lt;/title&gt;&lt;/titles&gt;&lt;pages&gt;3451&lt;/pages&gt;&lt;volume&gt;8&lt;/volume&gt;&lt;number&gt;1&lt;/number&gt;&lt;dates&gt;&lt;year&gt;2018&lt;/year&gt;&lt;/dates&gt;&lt;accession-num&gt;29472623&lt;/accession-num&gt;&lt;label&gt;4.011&lt;/label&gt;&lt;urls&gt;&lt;/urls&gt;&lt;electronic-resource-num&gt;10.1038/s41598-018-21884-y&lt;/electronic-resource-num&gt;&lt;/record&gt;&lt;/Cite&gt;&lt;Cite&gt;&lt;Author&gt;NA&lt;/Author&gt;&lt;Year&gt;2019&lt;/Year&gt;&lt;RecNum&gt;127&lt;/RecNum&gt;&lt;record&gt;&lt;rec-number&gt;127&lt;/rec-number&gt;&lt;foreign-keys&gt;&lt;key app="EN" db-id="tw9rxda0pz59fred02ovf5pbvavsesxx20ax" timestamp="1583700552"&gt;127&lt;/key&gt;&lt;/foreign-keys&gt;&lt;ref-type name="Journal Article"&gt;17&lt;/ref-type&gt;&lt;contributors&gt;&lt;authors&gt;&lt;author&gt;Bosch NA&lt;/author&gt;&lt;author&gt;Cohen DM&lt;/author&gt;&lt;author&gt;Walkey AJ %J Critical care medicine&lt;/author&gt;&lt;/authors&gt;&lt;/contributors&gt;&lt;titles&gt;&lt;title&gt;Risk Factors for New-Onset Atrial Fibrillation in Patients With Sepsis: A Systematic Review and Meta-Analysis&lt;/title&gt;&lt;/titles&gt;&lt;pages&gt;280-287&lt;/pages&gt;&lt;volume&gt;47&lt;/volume&gt;&lt;number&gt;2&lt;/number&gt;&lt;dates&gt;&lt;year&gt;2019&lt;/year&gt;&lt;/dates&gt;&lt;accession-num&gt;30653473&lt;/accession-num&gt;&lt;label&gt;6.971&lt;/label&gt;&lt;urls&gt;&lt;/urls&gt;&lt;electronic-resource-num&gt;10.1097/ccm.0000000000003560&lt;/electronic-resource-num&gt;&lt;/record&gt;&lt;/Cite&gt;&lt;/EndNote&gt;</w:instrText>
      </w:r>
      <w:r w:rsidRPr="00661363">
        <w:rPr>
          <w:rFonts w:ascii="Book Antiqua" w:hAnsi="Book Antiqua"/>
          <w:bCs/>
          <w:color w:val="000000" w:themeColor="text1"/>
          <w:sz w:val="24"/>
          <w:szCs w:val="24"/>
          <w:vertAlign w:val="superscript"/>
        </w:rPr>
        <w:fldChar w:fldCharType="separate"/>
      </w:r>
      <w:r w:rsidR="005C43EE" w:rsidRPr="00661363">
        <w:rPr>
          <w:rFonts w:ascii="Book Antiqua" w:hAnsi="Book Antiqua"/>
          <w:bCs/>
          <w:color w:val="000000" w:themeColor="text1"/>
          <w:sz w:val="24"/>
          <w:szCs w:val="24"/>
          <w:vertAlign w:val="superscript"/>
        </w:rPr>
        <w:t>[11,</w:t>
      </w:r>
      <w:r w:rsidRPr="00661363">
        <w:rPr>
          <w:rFonts w:ascii="Book Antiqua" w:hAnsi="Book Antiqua"/>
          <w:bCs/>
          <w:color w:val="000000" w:themeColor="text1"/>
          <w:sz w:val="24"/>
          <w:szCs w:val="24"/>
          <w:vertAlign w:val="superscript"/>
        </w:rPr>
        <w:t>12]</w:t>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rPr>
        <w:t>.</w:t>
      </w:r>
    </w:p>
    <w:p w14:paraId="59960972" w14:textId="10B19789" w:rsidR="00E203F2" w:rsidRPr="00661363" w:rsidRDefault="00C260A9" w:rsidP="00661363">
      <w:pPr>
        <w:pStyle w:val="p16"/>
        <w:adjustRightInd w:val="0"/>
        <w:snapToGrid w:val="0"/>
        <w:spacing w:line="360" w:lineRule="auto"/>
        <w:ind w:firstLineChars="100" w:firstLine="240"/>
        <w:rPr>
          <w:rFonts w:ascii="Book Antiqua" w:hAnsi="Book Antiqua"/>
          <w:bCs/>
          <w:color w:val="000000" w:themeColor="text1"/>
          <w:sz w:val="24"/>
          <w:szCs w:val="24"/>
        </w:rPr>
      </w:pPr>
      <w:r w:rsidRPr="00661363">
        <w:rPr>
          <w:rFonts w:ascii="Book Antiqua" w:hAnsi="Book Antiqua"/>
          <w:bCs/>
          <w:color w:val="000000" w:themeColor="text1"/>
          <w:sz w:val="24"/>
          <w:szCs w:val="24"/>
        </w:rPr>
        <w:t>FGF-23 requires binding to FGF receptors to exert biological activity, and relies on the alpha-Klotho protein as a coreceptor</w:t>
      </w:r>
      <w:r w:rsidRPr="00661363">
        <w:rPr>
          <w:rFonts w:ascii="Book Antiqua" w:hAnsi="Book Antiqua"/>
          <w:bCs/>
          <w:color w:val="000000" w:themeColor="text1"/>
          <w:sz w:val="24"/>
          <w:szCs w:val="24"/>
          <w:vertAlign w:val="superscript"/>
        </w:rPr>
        <w:fldChar w:fldCharType="begin"/>
      </w:r>
      <w:r w:rsidRPr="00661363">
        <w:rPr>
          <w:rFonts w:ascii="Book Antiqua" w:hAnsi="Book Antiqua"/>
          <w:bCs/>
          <w:color w:val="000000" w:themeColor="text1"/>
          <w:sz w:val="24"/>
          <w:szCs w:val="24"/>
          <w:vertAlign w:val="superscript"/>
        </w:rPr>
        <w:instrText xml:space="preserve"> ADDIN EN.CITE &lt;EndNote&gt;&lt;Cite&gt;&lt;Author&gt;M&lt;/Author&gt;&lt;Year&gt;2018&lt;/Year&gt;&lt;RecNum&gt;128&lt;/RecNum&gt;&lt;DisplayText&gt;&lt;style face="superscript"&gt;[13]&lt;/style&gt;&lt;/DisplayText&gt;&lt;record&gt;&lt;rec-number&gt;128&lt;/rec-number&gt;&lt;foreign-keys&gt;&lt;key app="EN" db-id="tw9rxda0pz59fred02ovf5pbvavsesxx20ax" timestamp="1583700656"&gt;128&lt;/key&gt;&lt;/foreign-keys&gt;&lt;ref-type name="Journal Article"&gt;17&lt;/ref-type&gt;&lt;contributors&gt;&lt;authors&gt;&lt;author&gt;Nishimura M&lt;/author&gt;&lt;author&gt;Hsu JC %J The American journal of cardiology&lt;/author&gt;&lt;/authors&gt;&lt;/contributors&gt;&lt;titles&gt;&lt;title&gt;Non-Vitamin K Antagonist Oral Anticoagulants in Patients With Atrial Fibrillation and End-Stage Renal Disease&lt;/title&gt;&lt;/titles&gt;&lt;pages&gt;131-140&lt;/pages&gt;&lt;volume&gt;121&lt;/volume&gt;&lt;number&gt;1&lt;/number&gt;&lt;dates&gt;&lt;year&gt;2018&lt;/year&gt;&lt;/dates&gt;&lt;accession-num&gt;29132650&lt;/accession-num&gt;&lt;label&gt;2.843&lt;/label&gt;&lt;urls&gt;&lt;/urls&gt;&lt;electronic-resource-num&gt;10.1016/j.amjcard.2017.09.030&lt;/electronic-resource-num&gt;&lt;/record&gt;&lt;/Cite&gt;&lt;/EndNote&gt;</w:instrText>
      </w:r>
      <w:r w:rsidRPr="00661363">
        <w:rPr>
          <w:rFonts w:ascii="Book Antiqua" w:hAnsi="Book Antiqua"/>
          <w:bCs/>
          <w:color w:val="000000" w:themeColor="text1"/>
          <w:sz w:val="24"/>
          <w:szCs w:val="24"/>
          <w:vertAlign w:val="superscript"/>
        </w:rPr>
        <w:fldChar w:fldCharType="separate"/>
      </w:r>
      <w:r w:rsidRPr="00661363">
        <w:rPr>
          <w:rFonts w:ascii="Book Antiqua" w:hAnsi="Book Antiqua"/>
          <w:bCs/>
          <w:color w:val="000000" w:themeColor="text1"/>
          <w:sz w:val="24"/>
          <w:szCs w:val="24"/>
          <w:vertAlign w:val="superscript"/>
        </w:rPr>
        <w:t>[13]</w:t>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rPr>
        <w:t>.</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The alpha-Klotho protein shows tissue-specific expression with predominant distribution in the kidney and parathyroid glands.</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It is the main target organ of FGF-23</w:t>
      </w:r>
      <w:r w:rsidRPr="00661363">
        <w:rPr>
          <w:rFonts w:ascii="Book Antiqua" w:hAnsi="Book Antiqua"/>
          <w:bCs/>
          <w:color w:val="000000" w:themeColor="text1"/>
          <w:sz w:val="24"/>
          <w:szCs w:val="24"/>
          <w:vertAlign w:val="superscript"/>
        </w:rPr>
        <w:fldChar w:fldCharType="begin"/>
      </w:r>
      <w:r w:rsidRPr="00661363">
        <w:rPr>
          <w:rFonts w:ascii="Book Antiqua" w:hAnsi="Book Antiqua"/>
          <w:bCs/>
          <w:color w:val="000000" w:themeColor="text1"/>
          <w:sz w:val="24"/>
          <w:szCs w:val="24"/>
          <w:vertAlign w:val="superscript"/>
        </w:rPr>
        <w:instrText xml:space="preserve"> ADDIN EN.CITE &lt;EndNote&gt;&lt;Cite&gt;&lt;Author&gt;Heart&lt;/Author&gt;&lt;Year&gt;2018&lt;/Year&gt;&lt;RecNum&gt;129&lt;/RecNum&gt;&lt;DisplayText&gt;&lt;style face="superscript"&gt;[14]&lt;/style&gt;&lt;/DisplayText&gt;&lt;record&gt;&lt;rec-number&gt;129&lt;/rec-number&gt;&lt;foreign-keys&gt;&lt;key app="EN" db-id="tw9rxda0pz59fred02ovf5pbvavsesxx20ax" timestamp="1583700740"&gt;129&lt;/key&gt;&lt;/foreign-keys&gt;&lt;ref-type name="Journal Article"&gt;17&lt;/ref-type&gt;&lt;contributors&gt;&lt;authors&gt;&lt;author&gt;Patti G %J Heart&lt;/author&gt;&lt;/authors&gt;&lt;/contributors&gt;&lt;titles&gt;&lt;title&gt;Patients with atrial fibrillation and coronary events: are we any closer to coming out from the labyrinth of the various antithrombotic strategies?&lt;/title&gt;&lt;/titles&gt;&lt;pages&gt;878-879&lt;/pages&gt;&lt;volume&gt;104&lt;/volume&gt;&lt;number&gt;11&lt;/number&gt;&lt;dates&gt;&lt;year&gt;2018&lt;/year&gt;&lt;/dates&gt;&lt;accession-num&gt;29175977&lt;/accession-num&gt;&lt;label&gt;5.082&lt;/label&gt;&lt;urls&gt;&lt;/urls&gt;&lt;electronic-resource-num&gt;10.1136/heartjnl-2017-312576&lt;/electronic-resource-num&gt;&lt;/record&gt;&lt;/Cite&gt;&lt;/EndNote&gt;</w:instrText>
      </w:r>
      <w:r w:rsidRPr="00661363">
        <w:rPr>
          <w:rFonts w:ascii="Book Antiqua" w:hAnsi="Book Antiqua"/>
          <w:bCs/>
          <w:color w:val="000000" w:themeColor="text1"/>
          <w:sz w:val="24"/>
          <w:szCs w:val="24"/>
          <w:vertAlign w:val="superscript"/>
        </w:rPr>
        <w:fldChar w:fldCharType="separate"/>
      </w:r>
      <w:r w:rsidRPr="00661363">
        <w:rPr>
          <w:rFonts w:ascii="Book Antiqua" w:hAnsi="Book Antiqua"/>
          <w:bCs/>
          <w:color w:val="000000" w:themeColor="text1"/>
          <w:sz w:val="24"/>
          <w:szCs w:val="24"/>
          <w:vertAlign w:val="superscript"/>
        </w:rPr>
        <w:t>[14]</w:t>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rPr>
        <w:t>.</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FGF-23 is linked to the onset of many cardiovascular diseases, and current research has confirmed</w:t>
      </w:r>
      <w:r w:rsidRPr="00661363">
        <w:rPr>
          <w:rFonts w:ascii="Book Antiqua" w:hAnsi="Book Antiqua"/>
          <w:bCs/>
          <w:color w:val="000000" w:themeColor="text1"/>
          <w:sz w:val="24"/>
          <w:szCs w:val="24"/>
          <w:vertAlign w:val="superscript"/>
        </w:rPr>
        <w:fldChar w:fldCharType="begin"/>
      </w:r>
      <w:r w:rsidRPr="00661363">
        <w:rPr>
          <w:rFonts w:ascii="Book Antiqua" w:hAnsi="Book Antiqua"/>
          <w:bCs/>
          <w:color w:val="000000" w:themeColor="text1"/>
          <w:sz w:val="24"/>
          <w:szCs w:val="24"/>
          <w:vertAlign w:val="superscript"/>
        </w:rPr>
        <w:instrText xml:space="preserve"> ADDIN EN.CITE &lt;EndNote&gt;&lt;Cite&gt;&lt;Author&gt;M&lt;/Author&gt;&lt;Year&gt;2019&lt;/Year&gt;&lt;RecNum&gt;130&lt;/RecNum&gt;&lt;DisplayText&gt;&lt;style face="superscript"&gt;[15]&lt;/style&gt;&lt;/DisplayText&gt;&lt;record&gt;&lt;rec-number&gt;130&lt;/rec-number&gt;&lt;foreign-keys&gt;&lt;key app="EN" db-id="tw9rxda0pz59fred02ovf5pbvavsesxx20ax" timestamp="1583700803"&gt;130&lt;/key&gt;&lt;/foreign-keys&gt;&lt;ref-type name="Journal Article"&gt;17&lt;/ref-type&gt;&lt;contributors&gt;&lt;authors&gt;&lt;author&gt;Rakhshan M&lt;/author&gt;&lt;author&gt;Najafi H&lt;/author&gt;&lt;author&gt;Valizadeh GA %J Journal of caring sciences&lt;/author&gt;&lt;/authors&gt;&lt;/contributors&gt;&lt;titles&gt;&lt;title&gt;Lifestyle of Patients with Atrial Fibrillation Following Self-Management Interventions: a Randomized Clinical Trial&lt;/title&gt;&lt;/titles&gt;&lt;pages&gt;83-88&lt;/pages&gt;&lt;volume&gt;8&lt;/volume&gt;&lt;number&gt;2&lt;/number&gt;&lt;dates&gt;&lt;year&gt;2019&lt;/year&gt;&lt;/dates&gt;&lt;accession-num&gt;31249817&lt;/accession-num&gt;&lt;label&gt;0&lt;/label&gt;&lt;urls&gt;&lt;/urls&gt;&lt;electronic-resource-num&gt;10.15171/jcs.2019.012&lt;/electronic-resource-num&gt;&lt;/record&gt;&lt;/Cite&gt;&lt;/EndNote&gt;</w:instrText>
      </w:r>
      <w:r w:rsidRPr="00661363">
        <w:rPr>
          <w:rFonts w:ascii="Book Antiqua" w:hAnsi="Book Antiqua"/>
          <w:bCs/>
          <w:color w:val="000000" w:themeColor="text1"/>
          <w:sz w:val="24"/>
          <w:szCs w:val="24"/>
          <w:vertAlign w:val="superscript"/>
        </w:rPr>
        <w:fldChar w:fldCharType="separate"/>
      </w:r>
      <w:r w:rsidRPr="00661363">
        <w:rPr>
          <w:rFonts w:ascii="Book Antiqua" w:hAnsi="Book Antiqua"/>
          <w:bCs/>
          <w:color w:val="000000" w:themeColor="text1"/>
          <w:sz w:val="24"/>
          <w:szCs w:val="24"/>
          <w:vertAlign w:val="superscript"/>
        </w:rPr>
        <w:t>[15]</w:t>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rPr>
        <w:t xml:space="preserve"> that elevated levels of FGF-23 are significantly associated with left ventricular hypertrophy, hypertension, cardiogenic death</w:t>
      </w:r>
      <w:r w:rsidR="00350F7C">
        <w:rPr>
          <w:rFonts w:ascii="Book Antiqua" w:hAnsi="Book Antiqua"/>
          <w:bCs/>
          <w:color w:val="000000" w:themeColor="text1"/>
          <w:sz w:val="24"/>
          <w:szCs w:val="24"/>
        </w:rPr>
        <w:t>,</w:t>
      </w:r>
      <w:r w:rsidRPr="00661363">
        <w:rPr>
          <w:rFonts w:ascii="Book Antiqua" w:hAnsi="Book Antiqua"/>
          <w:bCs/>
          <w:color w:val="000000" w:themeColor="text1"/>
          <w:sz w:val="24"/>
          <w:szCs w:val="24"/>
        </w:rPr>
        <w:t xml:space="preserve"> and all-cause death.</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Research shows</w:t>
      </w:r>
      <w:r w:rsidRPr="00661363">
        <w:rPr>
          <w:rFonts w:ascii="Book Antiqua" w:hAnsi="Book Antiqua"/>
          <w:bCs/>
          <w:color w:val="000000" w:themeColor="text1"/>
          <w:sz w:val="24"/>
          <w:szCs w:val="24"/>
          <w:vertAlign w:val="superscript"/>
        </w:rPr>
        <w:fldChar w:fldCharType="begin"/>
      </w:r>
      <w:r w:rsidRPr="00661363">
        <w:rPr>
          <w:rFonts w:ascii="Book Antiqua" w:hAnsi="Book Antiqua"/>
          <w:bCs/>
          <w:color w:val="000000" w:themeColor="text1"/>
          <w:sz w:val="24"/>
          <w:szCs w:val="24"/>
          <w:vertAlign w:val="superscript"/>
        </w:rPr>
        <w:instrText xml:space="preserve"> ADDIN EN.CITE &lt;EndNote&gt;&lt;Cite&gt;&lt;Author&gt;L&lt;/Author&gt;&lt;Year&gt;2019&lt;/Year&gt;&lt;RecNum&gt;131&lt;/RecNum&gt;&lt;DisplayText&gt;&lt;style face="superscript"&gt;[16]&lt;/style&gt;&lt;/DisplayText&gt;&lt;record&gt;&lt;rec-number&gt;131&lt;/rec-number&gt;&lt;foreign-keys&gt;&lt;key app="EN" db-id="tw9rxda0pz59fred02ovf5pbvavsesxx20ax" timestamp="1583700856"&gt;131&lt;/key&gt;&lt;/foreign-keys&gt;&lt;ref-type name="Journal Article"&gt;17&lt;/ref-type&gt;&lt;contributors&gt;&lt;authors&gt;&lt;author&gt;Gao L&lt;/author&gt;&lt;author&gt;Moodie M %J BMJ open&lt;/author&gt;&lt;/authors&gt;&lt;/contributors&gt;&lt;titles&gt;&lt;title&gt;Modelling the lifetime cost-effectiveness of catheter ablation for atrial fibrillation with heart failure&lt;/title&gt;&lt;/titles&gt;&lt;pages&gt;e031033&lt;/pages&gt;&lt;volume&gt;9&lt;/volume&gt;&lt;number&gt;9&lt;/number&gt;&lt;dates&gt;&lt;year&gt;2019&lt;/year&gt;&lt;/dates&gt;&lt;accession-num&gt;31492790&lt;/accession-num&gt;&lt;label&gt;2.376&lt;/label&gt;&lt;urls&gt;&lt;/urls&gt;&lt;electronic-resource-num&gt;10.1136/bmjopen-2019-031033&lt;/electronic-resource-num&gt;&lt;/record&gt;&lt;/Cite&gt;&lt;/EndNote&gt;</w:instrText>
      </w:r>
      <w:r w:rsidRPr="00661363">
        <w:rPr>
          <w:rFonts w:ascii="Book Antiqua" w:hAnsi="Book Antiqua"/>
          <w:bCs/>
          <w:color w:val="000000" w:themeColor="text1"/>
          <w:sz w:val="24"/>
          <w:szCs w:val="24"/>
          <w:vertAlign w:val="superscript"/>
        </w:rPr>
        <w:fldChar w:fldCharType="separate"/>
      </w:r>
      <w:r w:rsidRPr="00661363">
        <w:rPr>
          <w:rFonts w:ascii="Book Antiqua" w:hAnsi="Book Antiqua"/>
          <w:bCs/>
          <w:color w:val="000000" w:themeColor="text1"/>
          <w:sz w:val="24"/>
          <w:szCs w:val="24"/>
          <w:vertAlign w:val="superscript"/>
        </w:rPr>
        <w:t>[16]</w:t>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rPr>
        <w:t xml:space="preserve"> that high levels of FGF-23 are an independent predictor of cardiovascular events.</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However, there are few reports on the relationship between FGF-23 levels and atrial fibrillation.</w:t>
      </w:r>
    </w:p>
    <w:p w14:paraId="26F09102" w14:textId="472B512B" w:rsidR="00E203F2" w:rsidRPr="00661363" w:rsidRDefault="00350F7C" w:rsidP="00661363">
      <w:pPr>
        <w:pStyle w:val="p16"/>
        <w:adjustRightInd w:val="0"/>
        <w:snapToGrid w:val="0"/>
        <w:spacing w:line="360" w:lineRule="auto"/>
        <w:ind w:firstLineChars="100" w:firstLine="240"/>
        <w:rPr>
          <w:rFonts w:ascii="Book Antiqua" w:hAnsi="Book Antiqua"/>
          <w:bCs/>
          <w:color w:val="000000" w:themeColor="text1"/>
          <w:sz w:val="24"/>
          <w:szCs w:val="24"/>
        </w:rPr>
      </w:pPr>
      <w:r>
        <w:rPr>
          <w:rFonts w:ascii="Book Antiqua" w:hAnsi="Book Antiqua"/>
          <w:bCs/>
          <w:color w:val="000000" w:themeColor="text1"/>
          <w:sz w:val="24"/>
          <w:szCs w:val="24"/>
        </w:rPr>
        <w:t>M</w:t>
      </w:r>
      <w:r w:rsidRPr="00661363">
        <w:rPr>
          <w:rFonts w:ascii="Book Antiqua" w:hAnsi="Book Antiqua"/>
          <w:bCs/>
          <w:color w:val="000000" w:themeColor="text1"/>
          <w:sz w:val="24"/>
          <w:szCs w:val="24"/>
        </w:rPr>
        <w:t xml:space="preserve">iRNA </w:t>
      </w:r>
      <w:r w:rsidR="00C260A9" w:rsidRPr="00661363">
        <w:rPr>
          <w:rFonts w:ascii="Book Antiqua" w:hAnsi="Book Antiqua"/>
          <w:bCs/>
          <w:color w:val="000000" w:themeColor="text1"/>
          <w:sz w:val="24"/>
          <w:szCs w:val="24"/>
        </w:rPr>
        <w:t xml:space="preserve">levels typically </w:t>
      </w:r>
      <w:r w:rsidR="00183D66" w:rsidRPr="00661363">
        <w:rPr>
          <w:rFonts w:ascii="Book Antiqua" w:hAnsi="Book Antiqua"/>
          <w:bCs/>
          <w:color w:val="000000" w:themeColor="text1"/>
          <w:sz w:val="24"/>
          <w:szCs w:val="24"/>
        </w:rPr>
        <w:t>change</w:t>
      </w:r>
      <w:r w:rsidR="00C260A9" w:rsidRPr="00661363">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in </w:t>
      </w:r>
      <w:r w:rsidR="00C260A9" w:rsidRPr="00661363">
        <w:rPr>
          <w:rFonts w:ascii="Book Antiqua" w:hAnsi="Book Antiqua"/>
          <w:bCs/>
          <w:color w:val="000000" w:themeColor="text1"/>
          <w:sz w:val="24"/>
          <w:szCs w:val="24"/>
        </w:rPr>
        <w:t>the peripheral circulation of patients with heart failure, myocardial infarction, coronary heart disease</w:t>
      </w:r>
      <w:r>
        <w:rPr>
          <w:rFonts w:ascii="Book Antiqua" w:hAnsi="Book Antiqua"/>
          <w:bCs/>
          <w:color w:val="000000" w:themeColor="text1"/>
          <w:sz w:val="24"/>
          <w:szCs w:val="24"/>
        </w:rPr>
        <w:t>,</w:t>
      </w:r>
      <w:r w:rsidR="00C260A9" w:rsidRPr="00661363">
        <w:rPr>
          <w:rFonts w:ascii="Book Antiqua" w:hAnsi="Book Antiqua"/>
          <w:bCs/>
          <w:color w:val="000000" w:themeColor="text1"/>
          <w:sz w:val="24"/>
          <w:szCs w:val="24"/>
        </w:rPr>
        <w:t xml:space="preserve"> and other cardiovascular diseases.</w:t>
      </w:r>
      <w:r w:rsidR="00345913" w:rsidRPr="00661363">
        <w:rPr>
          <w:rFonts w:ascii="Book Antiqua" w:hAnsi="Book Antiqua"/>
          <w:bCs/>
          <w:color w:val="000000" w:themeColor="text1"/>
          <w:sz w:val="24"/>
          <w:szCs w:val="24"/>
        </w:rPr>
        <w:t xml:space="preserve"> </w:t>
      </w:r>
      <w:r w:rsidR="00C260A9" w:rsidRPr="00661363">
        <w:rPr>
          <w:rFonts w:ascii="Book Antiqua" w:hAnsi="Book Antiqua"/>
          <w:bCs/>
          <w:color w:val="000000" w:themeColor="text1"/>
          <w:sz w:val="24"/>
          <w:szCs w:val="24"/>
        </w:rPr>
        <w:t>Both miR-208a and miR-208b are cardiac tissue-specific miRNAs</w:t>
      </w:r>
      <w:r w:rsidR="00C260A9" w:rsidRPr="00661363">
        <w:rPr>
          <w:rFonts w:ascii="Book Antiqua" w:hAnsi="Book Antiqua"/>
          <w:bCs/>
          <w:color w:val="000000" w:themeColor="text1"/>
          <w:sz w:val="24"/>
          <w:szCs w:val="24"/>
          <w:vertAlign w:val="superscript"/>
        </w:rPr>
        <w:fldChar w:fldCharType="begin"/>
      </w:r>
      <w:r w:rsidR="00C260A9" w:rsidRPr="00661363">
        <w:rPr>
          <w:rFonts w:ascii="Book Antiqua" w:hAnsi="Book Antiqua"/>
          <w:bCs/>
          <w:color w:val="000000" w:themeColor="text1"/>
          <w:sz w:val="24"/>
          <w:szCs w:val="24"/>
          <w:vertAlign w:val="superscript"/>
        </w:rPr>
        <w:instrText xml:space="preserve"> ADDIN EN.CITE &lt;EndNote&gt;&lt;Cite&gt;&lt;Author&gt;YJ&lt;/Author&gt;&lt;Year&gt;2019&lt;/Year&gt;&lt;RecNum&gt;132&lt;/RecNum&gt;&lt;DisplayText&gt;&lt;style face="superscript"&gt;[17]&lt;/style&gt;&lt;/DisplayText&gt;&lt;record&gt;&lt;rec-number&gt;132&lt;/rec-number&gt;&lt;foreign-keys&gt;&lt;key app="EN" db-id="tw9rxda0pz59fred02ovf5pbvavsesxx20ax" timestamp="1583700943"&gt;132&lt;/key&gt;&lt;/foreign-keys&gt;&lt;ref-type name="Journal Article"&gt;17&lt;/ref-type&gt;&lt;contributors&gt;&lt;authors&gt;&lt;author&gt;Sun YJ&lt;/author&gt;&lt;author&gt;Yin XM&lt;/author&gt;&lt;author&gt;Cong T&lt;/author&gt;&lt;author&gt;Gao LJ&lt;/author&gt;&lt;author&gt;Chang D&lt;/author&gt;&lt;author&gt;Xiao XJ&lt;/author&gt;&lt;author&gt;Sun QB&lt;/author&gt;&lt;author&gt;Zhang RF&lt;/author&gt;&lt;author&gt;Yu XH&lt;/author&gt;&lt;author&gt;Dong YX&lt;/author&gt;&lt;author&gt;Yang YZ&lt;/author&gt;&lt;author&gt;Xia YL %J Chinese medical journal&lt;/author&gt;&lt;/authors&gt;&lt;/contributors&gt;&lt;titles&gt;&lt;title&gt;Comparison of cryoballoon ablation for atrial fibrillation guided by real-time three-dimensional transesophageal echocardiography vs. contrast agent injection&lt;/title&gt;&lt;/titles&gt;&lt;pages&gt;285-293&lt;/pages&gt;&lt;volume&gt;132&lt;/volume&gt;&lt;number&gt;3&lt;/number&gt;&lt;dates&gt;&lt;year&gt;2019&lt;/year&gt;&lt;/dates&gt;&lt;accession-num&gt;30681494&lt;/accession-num&gt;&lt;label&gt;1.555&lt;/label&gt;&lt;urls&gt;&lt;/urls&gt;&lt;electronic-resource-num&gt;10.1097/cm9.0000000000000076&lt;/electronic-resource-num&gt;&lt;/record&gt;&lt;/Cite&gt;&lt;/EndNote&gt;</w:instrText>
      </w:r>
      <w:r w:rsidR="00C260A9" w:rsidRPr="00661363">
        <w:rPr>
          <w:rFonts w:ascii="Book Antiqua" w:hAnsi="Book Antiqua"/>
          <w:bCs/>
          <w:color w:val="000000" w:themeColor="text1"/>
          <w:sz w:val="24"/>
          <w:szCs w:val="24"/>
          <w:vertAlign w:val="superscript"/>
        </w:rPr>
        <w:fldChar w:fldCharType="separate"/>
      </w:r>
      <w:r w:rsidR="00C260A9" w:rsidRPr="00661363">
        <w:rPr>
          <w:rFonts w:ascii="Book Antiqua" w:hAnsi="Book Antiqua"/>
          <w:bCs/>
          <w:color w:val="000000" w:themeColor="text1"/>
          <w:sz w:val="24"/>
          <w:szCs w:val="24"/>
          <w:vertAlign w:val="superscript"/>
        </w:rPr>
        <w:t>[17]</w:t>
      </w:r>
      <w:r w:rsidR="00C260A9" w:rsidRPr="00661363">
        <w:rPr>
          <w:rFonts w:ascii="Book Antiqua" w:hAnsi="Book Antiqua"/>
          <w:bCs/>
          <w:color w:val="000000" w:themeColor="text1"/>
          <w:sz w:val="24"/>
          <w:szCs w:val="24"/>
          <w:vertAlign w:val="superscript"/>
        </w:rPr>
        <w:fldChar w:fldCharType="end"/>
      </w:r>
      <w:r w:rsidR="00C260A9" w:rsidRPr="00661363">
        <w:rPr>
          <w:rFonts w:ascii="Book Antiqua" w:hAnsi="Book Antiqua"/>
          <w:bCs/>
          <w:color w:val="000000" w:themeColor="text1"/>
          <w:sz w:val="24"/>
          <w:szCs w:val="24"/>
        </w:rPr>
        <w:t>.</w:t>
      </w:r>
      <w:r w:rsidR="00345913" w:rsidRPr="00661363">
        <w:rPr>
          <w:rFonts w:ascii="Book Antiqua" w:hAnsi="Book Antiqua"/>
          <w:bCs/>
          <w:color w:val="000000" w:themeColor="text1"/>
          <w:sz w:val="24"/>
          <w:szCs w:val="24"/>
        </w:rPr>
        <w:t xml:space="preserve"> </w:t>
      </w:r>
      <w:r w:rsidR="00C260A9" w:rsidRPr="00661363">
        <w:rPr>
          <w:rFonts w:ascii="Book Antiqua" w:hAnsi="Book Antiqua"/>
          <w:bCs/>
          <w:color w:val="000000" w:themeColor="text1"/>
          <w:sz w:val="24"/>
          <w:szCs w:val="24"/>
        </w:rPr>
        <w:t xml:space="preserve">The results of this study showed that the relative levels of serum FGF-23 and miR-208b were significantly higher in the observation group than in the control group; </w:t>
      </w:r>
      <w:r w:rsidR="00183D66" w:rsidRPr="00661363">
        <w:rPr>
          <w:rFonts w:ascii="Book Antiqua" w:hAnsi="Book Antiqua"/>
          <w:bCs/>
          <w:color w:val="000000" w:themeColor="text1"/>
          <w:sz w:val="24"/>
          <w:szCs w:val="24"/>
        </w:rPr>
        <w:t>besides</w:t>
      </w:r>
      <w:r w:rsidR="00C260A9" w:rsidRPr="00661363">
        <w:rPr>
          <w:rFonts w:ascii="Book Antiqua" w:hAnsi="Book Antiqua"/>
          <w:bCs/>
          <w:color w:val="000000" w:themeColor="text1"/>
          <w:sz w:val="24"/>
          <w:szCs w:val="24"/>
        </w:rPr>
        <w:t>, both levels were higher in patients with a MACE and changed significantly as the patient's condition deteriorated, suggesting that high FGF-23 levels in patients with atrial fibrillation are closely related to the maintenance of this condition.</w:t>
      </w:r>
      <w:r w:rsidR="00345913" w:rsidRPr="00661363">
        <w:rPr>
          <w:rFonts w:ascii="Book Antiqua" w:hAnsi="Book Antiqua"/>
          <w:bCs/>
          <w:color w:val="000000" w:themeColor="text1"/>
          <w:sz w:val="24"/>
          <w:szCs w:val="24"/>
        </w:rPr>
        <w:t xml:space="preserve"> </w:t>
      </w:r>
      <w:r w:rsidR="00C260A9" w:rsidRPr="00661363">
        <w:rPr>
          <w:rFonts w:ascii="Book Antiqua" w:hAnsi="Book Antiqua"/>
          <w:bCs/>
          <w:color w:val="000000" w:themeColor="text1"/>
          <w:sz w:val="24"/>
          <w:szCs w:val="24"/>
        </w:rPr>
        <w:t>The increases in FGF-23 and miR-208b may be associated with factors such as atrial overload, atrial systolic dysfunction, and decreased cardiac function.</w:t>
      </w:r>
      <w:r w:rsidR="00345913" w:rsidRPr="00661363">
        <w:rPr>
          <w:rFonts w:ascii="Book Antiqua" w:hAnsi="Book Antiqua"/>
          <w:bCs/>
          <w:color w:val="000000" w:themeColor="text1"/>
          <w:sz w:val="24"/>
          <w:szCs w:val="24"/>
        </w:rPr>
        <w:t xml:space="preserve"> </w:t>
      </w:r>
      <w:r w:rsidR="00C260A9" w:rsidRPr="00661363">
        <w:rPr>
          <w:rFonts w:ascii="Book Antiqua" w:hAnsi="Book Antiqua"/>
          <w:bCs/>
          <w:color w:val="000000" w:themeColor="text1"/>
          <w:sz w:val="24"/>
          <w:szCs w:val="24"/>
        </w:rPr>
        <w:t>Factors such as FGF-23 and miR-208b may act as independent predictors of adverse events in patients with atrial fibrillation.</w:t>
      </w:r>
      <w:r w:rsidR="00345913" w:rsidRPr="00661363">
        <w:rPr>
          <w:rFonts w:ascii="Book Antiqua" w:hAnsi="Book Antiqua"/>
          <w:color w:val="000000" w:themeColor="text1"/>
          <w:sz w:val="24"/>
          <w:szCs w:val="24"/>
        </w:rPr>
        <w:t xml:space="preserve"> </w:t>
      </w:r>
      <w:r w:rsidR="00C260A9" w:rsidRPr="00661363">
        <w:rPr>
          <w:rFonts w:ascii="Book Antiqua" w:hAnsi="Book Antiqua"/>
          <w:color w:val="000000" w:themeColor="text1"/>
          <w:sz w:val="24"/>
          <w:szCs w:val="24"/>
        </w:rPr>
        <w:t xml:space="preserve">The mechanism of FGF-23 involves increasing the sodium current in atrial myocytes by activating the protein kinase </w:t>
      </w:r>
      <w:r>
        <w:rPr>
          <w:rFonts w:ascii="Book Antiqua" w:hAnsi="Book Antiqua"/>
          <w:color w:val="000000" w:themeColor="text1"/>
          <w:sz w:val="24"/>
          <w:szCs w:val="24"/>
        </w:rPr>
        <w:t>C</w:t>
      </w:r>
      <w:r w:rsidRPr="00661363">
        <w:rPr>
          <w:rFonts w:ascii="Book Antiqua" w:hAnsi="Book Antiqua"/>
          <w:color w:val="000000" w:themeColor="text1"/>
          <w:sz w:val="24"/>
          <w:szCs w:val="24"/>
        </w:rPr>
        <w:t xml:space="preserve"> </w:t>
      </w:r>
      <w:r w:rsidR="00C260A9" w:rsidRPr="00661363">
        <w:rPr>
          <w:rFonts w:ascii="Book Antiqua" w:hAnsi="Book Antiqua"/>
          <w:color w:val="000000" w:themeColor="text1"/>
          <w:sz w:val="24"/>
          <w:szCs w:val="24"/>
        </w:rPr>
        <w:t>signal transduction pathway.</w:t>
      </w:r>
      <w:r w:rsidR="00345913" w:rsidRPr="00661363">
        <w:rPr>
          <w:rFonts w:ascii="Book Antiqua" w:hAnsi="Book Antiqua"/>
          <w:color w:val="000000" w:themeColor="text1"/>
          <w:sz w:val="24"/>
          <w:szCs w:val="24"/>
        </w:rPr>
        <w:t xml:space="preserve"> </w:t>
      </w:r>
      <w:r w:rsidR="00C260A9" w:rsidRPr="00661363">
        <w:rPr>
          <w:rFonts w:ascii="Book Antiqua" w:hAnsi="Book Antiqua"/>
          <w:color w:val="000000" w:themeColor="text1"/>
          <w:sz w:val="24"/>
          <w:szCs w:val="24"/>
        </w:rPr>
        <w:t>The L-type calcium current and calcium transients lead to calcium and sodium imbalance.</w:t>
      </w:r>
      <w:r w:rsidR="00345913" w:rsidRPr="00661363">
        <w:rPr>
          <w:rFonts w:ascii="Book Antiqua" w:hAnsi="Book Antiqua"/>
          <w:color w:val="000000" w:themeColor="text1"/>
          <w:sz w:val="24"/>
          <w:szCs w:val="24"/>
        </w:rPr>
        <w:t xml:space="preserve"> </w:t>
      </w:r>
      <w:r w:rsidR="00C260A9" w:rsidRPr="00661363">
        <w:rPr>
          <w:rFonts w:ascii="Book Antiqua" w:hAnsi="Book Antiqua"/>
          <w:color w:val="000000" w:themeColor="text1"/>
          <w:sz w:val="24"/>
          <w:szCs w:val="24"/>
        </w:rPr>
        <w:t>Through the oxidative stress pathway, there is excessive formation of mitochondrial reactive oxygen species in cardiomyocytes, which increases the incidence of arrhythmia originating in the pulmonary vein.</w:t>
      </w:r>
    </w:p>
    <w:p w14:paraId="4D7A4327" w14:textId="2D04EB32" w:rsidR="00EB2A9F" w:rsidRPr="00661363" w:rsidRDefault="00C260A9" w:rsidP="00661363">
      <w:pPr>
        <w:pStyle w:val="p16"/>
        <w:adjustRightInd w:val="0"/>
        <w:snapToGrid w:val="0"/>
        <w:spacing w:line="360" w:lineRule="auto"/>
        <w:ind w:firstLineChars="100" w:firstLine="240"/>
        <w:rPr>
          <w:rFonts w:ascii="Book Antiqua" w:hAnsi="Book Antiqua"/>
          <w:bCs/>
          <w:color w:val="000000" w:themeColor="text1"/>
          <w:sz w:val="24"/>
          <w:szCs w:val="24"/>
        </w:rPr>
      </w:pPr>
      <w:r w:rsidRPr="00661363">
        <w:rPr>
          <w:rFonts w:ascii="Book Antiqua" w:hAnsi="Book Antiqua"/>
          <w:color w:val="000000" w:themeColor="text1"/>
          <w:sz w:val="24"/>
          <w:szCs w:val="24"/>
        </w:rPr>
        <w:t xml:space="preserve">LAD, LVEDD, </w:t>
      </w:r>
      <w:r w:rsidR="0021192B" w:rsidRPr="00661363">
        <w:rPr>
          <w:rFonts w:ascii="Book Antiqua" w:hAnsi="Book Antiqua"/>
          <w:bCs/>
          <w:color w:val="000000" w:themeColor="text1"/>
          <w:sz w:val="24"/>
          <w:szCs w:val="24"/>
        </w:rPr>
        <w:t>left ventricular</w:t>
      </w:r>
      <w:r w:rsidR="0021192B" w:rsidRPr="0021192B">
        <w:rPr>
          <w:rFonts w:ascii="Book Antiqua" w:hAnsi="Book Antiqua"/>
          <w:color w:val="000000" w:themeColor="text1"/>
          <w:sz w:val="24"/>
          <w:szCs w:val="24"/>
        </w:rPr>
        <w:t xml:space="preserve"> end-systolic diameter</w:t>
      </w:r>
      <w:r w:rsidR="00350F7C">
        <w:rPr>
          <w:rFonts w:ascii="Book Antiqua" w:hAnsi="Book Antiqua"/>
          <w:color w:val="000000" w:themeColor="text1"/>
          <w:sz w:val="24"/>
          <w:szCs w:val="24"/>
        </w:rPr>
        <w:t>,</w:t>
      </w:r>
      <w:r w:rsidR="0021192B"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 xml:space="preserve">and LVEF may reflect the severity of </w:t>
      </w:r>
      <w:r w:rsidR="00D93509" w:rsidRPr="00D93509">
        <w:rPr>
          <w:rFonts w:ascii="Book Antiqua" w:hAnsi="Book Antiqua"/>
          <w:bCs/>
          <w:color w:val="000000" w:themeColor="text1"/>
          <w:sz w:val="24"/>
          <w:szCs w:val="24"/>
        </w:rPr>
        <w:t>atrial fibrillation</w:t>
      </w:r>
      <w:r w:rsidRPr="00661363">
        <w:rPr>
          <w:rFonts w:ascii="Book Antiqua" w:hAnsi="Book Antiqua"/>
          <w:bCs/>
          <w:color w:val="000000" w:themeColor="text1"/>
          <w:sz w:val="24"/>
          <w:szCs w:val="24"/>
          <w:vertAlign w:val="superscript"/>
        </w:rPr>
        <w:fldChar w:fldCharType="begin">
          <w:fldData xml:space="preserve">PEVuZE5vdGU+PENpdGU+PEF1dGhvcj5TQzwvQXV0aG9yPjxZZWFyPjIwMTk8L1llYXI+PFJlY051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</w:fldData>
        </w:fldChar>
      </w:r>
      <w:r w:rsidRPr="00661363">
        <w:rPr>
          <w:rFonts w:ascii="Book Antiqua" w:hAnsi="Book Antiqua"/>
          <w:bCs/>
          <w:color w:val="000000" w:themeColor="text1"/>
          <w:sz w:val="24"/>
          <w:szCs w:val="24"/>
          <w:vertAlign w:val="superscript"/>
        </w:rPr>
        <w:instrText xml:space="preserve"> ADDIN EN.CITE </w:instrText>
      </w:r>
      <w:r w:rsidRPr="00661363">
        <w:rPr>
          <w:rFonts w:ascii="Book Antiqua" w:hAnsi="Book Antiqua"/>
          <w:bCs/>
          <w:color w:val="000000" w:themeColor="text1"/>
          <w:sz w:val="24"/>
          <w:szCs w:val="24"/>
          <w:vertAlign w:val="superscript"/>
        </w:rPr>
        <w:fldChar w:fldCharType="begin">
          <w:fldData xml:space="preserve">PEVuZE5vdGU+PENpdGU+PEF1dGhvcj5TQzwvQXV0aG9yPjxZZWFyPjIwMTk8L1llYXI+PFJlY051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</w:fldData>
        </w:fldChar>
      </w:r>
      <w:r w:rsidRPr="00661363">
        <w:rPr>
          <w:rFonts w:ascii="Book Antiqua" w:hAnsi="Book Antiqua"/>
          <w:bCs/>
          <w:color w:val="000000" w:themeColor="text1"/>
          <w:sz w:val="24"/>
          <w:szCs w:val="24"/>
          <w:vertAlign w:val="superscript"/>
        </w:rPr>
        <w:instrText xml:space="preserve"> ADDIN EN.CITE.DATA </w:instrText>
      </w:r>
      <w:r w:rsidRPr="00661363">
        <w:rPr>
          <w:rFonts w:ascii="Book Antiqua" w:hAnsi="Book Antiqua"/>
          <w:bCs/>
          <w:color w:val="000000" w:themeColor="text1"/>
          <w:sz w:val="24"/>
          <w:szCs w:val="24"/>
          <w:vertAlign w:val="superscript"/>
        </w:rPr>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vertAlign w:val="superscript"/>
        </w:rPr>
      </w:r>
      <w:r w:rsidRPr="00661363">
        <w:rPr>
          <w:rFonts w:ascii="Book Antiqua" w:hAnsi="Book Antiqua"/>
          <w:bCs/>
          <w:color w:val="000000" w:themeColor="text1"/>
          <w:sz w:val="24"/>
          <w:szCs w:val="24"/>
          <w:vertAlign w:val="superscript"/>
        </w:rPr>
        <w:fldChar w:fldCharType="separate"/>
      </w:r>
      <w:r w:rsidR="00E203F2" w:rsidRPr="00661363">
        <w:rPr>
          <w:rFonts w:ascii="Book Antiqua" w:hAnsi="Book Antiqua"/>
          <w:bCs/>
          <w:color w:val="000000" w:themeColor="text1"/>
          <w:sz w:val="24"/>
          <w:szCs w:val="24"/>
          <w:vertAlign w:val="superscript"/>
        </w:rPr>
        <w:t>[7,</w:t>
      </w:r>
      <w:r w:rsidRPr="00661363">
        <w:rPr>
          <w:rFonts w:ascii="Book Antiqua" w:hAnsi="Book Antiqua"/>
          <w:bCs/>
          <w:color w:val="000000" w:themeColor="text1"/>
          <w:sz w:val="24"/>
          <w:szCs w:val="24"/>
          <w:vertAlign w:val="superscript"/>
        </w:rPr>
        <w:t>18]</w:t>
      </w:r>
      <w:r w:rsidRPr="00661363">
        <w:rPr>
          <w:rFonts w:ascii="Book Antiqua" w:hAnsi="Book Antiqua"/>
          <w:bCs/>
          <w:color w:val="000000" w:themeColor="text1"/>
          <w:sz w:val="24"/>
          <w:szCs w:val="24"/>
          <w:vertAlign w:val="superscript"/>
        </w:rPr>
        <w:fldChar w:fldCharType="end"/>
      </w:r>
      <w:r w:rsidRPr="00661363">
        <w:rPr>
          <w:rFonts w:ascii="Book Antiqua" w:hAnsi="Book Antiqua" w:cs="宋体"/>
          <w:color w:val="000000" w:themeColor="text1"/>
          <w:sz w:val="24"/>
          <w:szCs w:val="24"/>
        </w:rPr>
        <w:t>.</w:t>
      </w:r>
      <w:r w:rsidR="00345913" w:rsidRPr="00661363">
        <w:rPr>
          <w:rFonts w:ascii="Book Antiqua" w:hAnsi="Book Antiqua" w:cs="宋体"/>
          <w:color w:val="000000" w:themeColor="text1"/>
          <w:sz w:val="24"/>
          <w:szCs w:val="24"/>
        </w:rPr>
        <w:t xml:space="preserve"> </w:t>
      </w:r>
      <w:r w:rsidRPr="00661363">
        <w:rPr>
          <w:rFonts w:ascii="Book Antiqua" w:hAnsi="Book Antiqua" w:cs="宋体"/>
          <w:color w:val="000000" w:themeColor="text1"/>
          <w:sz w:val="24"/>
          <w:szCs w:val="24"/>
        </w:rPr>
        <w:t xml:space="preserve">The results of this study showed that patients with atrial fibrillation had an elevated LAD and a corresponding increase in the severity of atrial fibrillation, similar to the </w:t>
      </w:r>
      <w:r w:rsidR="00183D66" w:rsidRPr="00661363">
        <w:rPr>
          <w:rFonts w:ascii="Book Antiqua" w:hAnsi="Book Antiqua" w:cs="宋体"/>
          <w:color w:val="000000" w:themeColor="text1"/>
          <w:sz w:val="24"/>
          <w:szCs w:val="24"/>
        </w:rPr>
        <w:t xml:space="preserve">effects </w:t>
      </w:r>
      <w:r w:rsidRPr="00661363">
        <w:rPr>
          <w:rFonts w:ascii="Book Antiqua" w:hAnsi="Book Antiqua" w:cs="宋体"/>
          <w:color w:val="000000" w:themeColor="text1"/>
          <w:sz w:val="24"/>
          <w:szCs w:val="24"/>
        </w:rPr>
        <w:t>of previous studies, suggesting that the LAD may be a risk factor for the occurrence and severity of atrial fibrillation.</w:t>
      </w:r>
      <w:r w:rsidR="00345913" w:rsidRPr="00661363">
        <w:rPr>
          <w:rFonts w:ascii="Book Antiqua" w:hAnsi="Book Antiqua" w:cs="宋体"/>
          <w:color w:val="000000" w:themeColor="text1"/>
          <w:sz w:val="24"/>
          <w:szCs w:val="24"/>
        </w:rPr>
        <w:t xml:space="preserve"> </w:t>
      </w:r>
      <w:r w:rsidRPr="00661363">
        <w:rPr>
          <w:rFonts w:ascii="Book Antiqua" w:hAnsi="Book Antiqua" w:cs="宋体"/>
          <w:color w:val="000000" w:themeColor="text1"/>
          <w:sz w:val="24"/>
          <w:szCs w:val="24"/>
        </w:rPr>
        <w:t xml:space="preserve">Potential reasons for this association are that inflammatory-mediated atrial structural remodeling and electrical remodeling in patients with atrial fibrillation may be </w:t>
      </w:r>
      <w:r w:rsidR="00183D66" w:rsidRPr="00661363">
        <w:rPr>
          <w:rFonts w:ascii="Book Antiqua" w:hAnsi="Book Antiqua" w:cs="宋体"/>
          <w:color w:val="000000" w:themeColor="text1"/>
          <w:sz w:val="24"/>
          <w:szCs w:val="24"/>
        </w:rPr>
        <w:t xml:space="preserve">essential </w:t>
      </w:r>
      <w:r w:rsidRPr="00661363">
        <w:rPr>
          <w:rFonts w:ascii="Book Antiqua" w:hAnsi="Book Antiqua" w:cs="宋体"/>
          <w:color w:val="000000" w:themeColor="text1"/>
          <w:sz w:val="24"/>
          <w:szCs w:val="24"/>
        </w:rPr>
        <w:t>factors for the maintenance and development of atrial fibrillation.</w:t>
      </w:r>
      <w:r w:rsidR="00345913" w:rsidRPr="00661363">
        <w:rPr>
          <w:rFonts w:ascii="Book Antiqua" w:hAnsi="Book Antiqua" w:cs="宋体"/>
          <w:color w:val="000000" w:themeColor="text1"/>
          <w:sz w:val="24"/>
          <w:szCs w:val="24"/>
        </w:rPr>
        <w:t xml:space="preserve"> </w:t>
      </w:r>
      <w:r w:rsidRPr="00661363">
        <w:rPr>
          <w:rFonts w:ascii="Book Antiqua" w:hAnsi="Book Antiqua" w:cs="宋体"/>
          <w:color w:val="000000" w:themeColor="text1"/>
          <w:sz w:val="24"/>
          <w:szCs w:val="24"/>
        </w:rPr>
        <w:t>The extent of left atrial enlargement is closely related to the recurrence of atrial fibrillation and thrombosis.</w:t>
      </w:r>
      <w:r w:rsidR="00345913" w:rsidRPr="00661363">
        <w:rPr>
          <w:rFonts w:ascii="Book Antiqua" w:hAnsi="Book Antiqua" w:cs="宋体"/>
          <w:color w:val="000000" w:themeColor="text1"/>
          <w:sz w:val="24"/>
          <w:szCs w:val="24"/>
        </w:rPr>
        <w:t xml:space="preserve"> </w:t>
      </w:r>
      <w:r w:rsidR="00350F7C">
        <w:rPr>
          <w:rFonts w:ascii="Book Antiqua" w:hAnsi="Book Antiqua" w:cs="宋体"/>
          <w:color w:val="000000" w:themeColor="text1"/>
          <w:sz w:val="24"/>
          <w:szCs w:val="24"/>
        </w:rPr>
        <w:t xml:space="preserve">Studies </w:t>
      </w:r>
      <w:r w:rsidR="00EB2A9F" w:rsidRPr="00661363">
        <w:rPr>
          <w:rFonts w:ascii="Book Antiqua" w:hAnsi="Book Antiqua" w:cs="宋体"/>
          <w:color w:val="000000" w:themeColor="text1"/>
          <w:sz w:val="24"/>
          <w:szCs w:val="24"/>
        </w:rPr>
        <w:t>show</w:t>
      </w:r>
      <w:r w:rsidRPr="00661363">
        <w:rPr>
          <w:rFonts w:ascii="Book Antiqua" w:hAnsi="Book Antiqua"/>
          <w:bCs/>
          <w:color w:val="000000" w:themeColor="text1"/>
          <w:sz w:val="24"/>
          <w:szCs w:val="24"/>
          <w:vertAlign w:val="superscript"/>
        </w:rPr>
        <w:fldChar w:fldCharType="begin">
          <w:fldData xml:space="preserve">PEVuZE5vdGU+PENpdGU+PEF1dGhvcj5VTVI8L0F1dGhvcj48WWVhcj4yMDE4PC9ZZWFyPjxSZWNO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</w:fldData>
        </w:fldChar>
      </w:r>
      <w:r w:rsidRPr="00661363">
        <w:rPr>
          <w:rFonts w:ascii="Book Antiqua" w:hAnsi="Book Antiqua"/>
          <w:bCs/>
          <w:color w:val="000000" w:themeColor="text1"/>
          <w:sz w:val="24"/>
          <w:szCs w:val="24"/>
          <w:vertAlign w:val="superscript"/>
        </w:rPr>
        <w:instrText xml:space="preserve"> ADDIN EN.CITE </w:instrText>
      </w:r>
      <w:r w:rsidRPr="00661363">
        <w:rPr>
          <w:rFonts w:ascii="Book Antiqua" w:hAnsi="Book Antiqua"/>
          <w:bCs/>
          <w:color w:val="000000" w:themeColor="text1"/>
          <w:sz w:val="24"/>
          <w:szCs w:val="24"/>
          <w:vertAlign w:val="superscript"/>
        </w:rPr>
        <w:fldChar w:fldCharType="begin">
          <w:fldData xml:space="preserve">PEVuZE5vdGU+PENpdGU+PEF1dGhvcj5VTVI8L0F1dGhvcj48WWVhcj4yMDE4PC9ZZWFyPjxSZWNO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</w:fldData>
        </w:fldChar>
      </w:r>
      <w:r w:rsidRPr="00661363">
        <w:rPr>
          <w:rFonts w:ascii="Book Antiqua" w:hAnsi="Book Antiqua"/>
          <w:bCs/>
          <w:color w:val="000000" w:themeColor="text1"/>
          <w:sz w:val="24"/>
          <w:szCs w:val="24"/>
          <w:vertAlign w:val="superscript"/>
        </w:rPr>
        <w:instrText xml:space="preserve"> ADDIN EN.CITE.DATA </w:instrText>
      </w:r>
      <w:r w:rsidRPr="00661363">
        <w:rPr>
          <w:rFonts w:ascii="Book Antiqua" w:hAnsi="Book Antiqua"/>
          <w:bCs/>
          <w:color w:val="000000" w:themeColor="text1"/>
          <w:sz w:val="24"/>
          <w:szCs w:val="24"/>
          <w:vertAlign w:val="superscript"/>
        </w:rPr>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vertAlign w:val="superscript"/>
        </w:rPr>
      </w:r>
      <w:r w:rsidRPr="00661363">
        <w:rPr>
          <w:rFonts w:ascii="Book Antiqua" w:hAnsi="Book Antiqua"/>
          <w:bCs/>
          <w:color w:val="000000" w:themeColor="text1"/>
          <w:sz w:val="24"/>
          <w:szCs w:val="24"/>
          <w:vertAlign w:val="superscript"/>
        </w:rPr>
        <w:fldChar w:fldCharType="separate"/>
      </w:r>
      <w:r w:rsidR="00E203F2" w:rsidRPr="00661363">
        <w:rPr>
          <w:rFonts w:ascii="Book Antiqua" w:hAnsi="Book Antiqua"/>
          <w:bCs/>
          <w:color w:val="000000" w:themeColor="text1"/>
          <w:sz w:val="24"/>
          <w:szCs w:val="24"/>
          <w:vertAlign w:val="superscript"/>
        </w:rPr>
        <w:t>[19,</w:t>
      </w:r>
      <w:r w:rsidRPr="00661363">
        <w:rPr>
          <w:rFonts w:ascii="Book Antiqua" w:hAnsi="Book Antiqua"/>
          <w:bCs/>
          <w:color w:val="000000" w:themeColor="text1"/>
          <w:sz w:val="24"/>
          <w:szCs w:val="24"/>
          <w:vertAlign w:val="superscript"/>
        </w:rPr>
        <w:t>20]</w:t>
      </w:r>
      <w:r w:rsidRPr="00661363">
        <w:rPr>
          <w:rFonts w:ascii="Book Antiqua" w:hAnsi="Book Antiqua"/>
          <w:bCs/>
          <w:color w:val="000000" w:themeColor="text1"/>
          <w:sz w:val="24"/>
          <w:szCs w:val="24"/>
          <w:vertAlign w:val="superscript"/>
        </w:rPr>
        <w:fldChar w:fldCharType="end"/>
      </w:r>
      <w:r w:rsidRPr="00661363">
        <w:rPr>
          <w:rFonts w:ascii="Book Antiqua" w:hAnsi="Book Antiqua" w:cs="宋体"/>
          <w:color w:val="000000" w:themeColor="text1"/>
          <w:sz w:val="24"/>
          <w:szCs w:val="24"/>
        </w:rPr>
        <w:t xml:space="preserve"> that the occurrence and development of atrial fibrillation are influenced by many mechanisms and factors, especially those related to left atrial structural remodeling and electrophysiological modifications.</w:t>
      </w:r>
      <w:r w:rsidR="00345913" w:rsidRPr="00661363">
        <w:rPr>
          <w:rFonts w:ascii="Book Antiqua" w:hAnsi="Book Antiqua" w:cs="宋体"/>
          <w:color w:val="000000" w:themeColor="text1"/>
          <w:sz w:val="24"/>
          <w:szCs w:val="24"/>
        </w:rPr>
        <w:t xml:space="preserve"> </w:t>
      </w:r>
      <w:r w:rsidRPr="00661363">
        <w:rPr>
          <w:rFonts w:ascii="Book Antiqua" w:hAnsi="Book Antiqua" w:cs="宋体"/>
          <w:color w:val="000000" w:themeColor="text1"/>
          <w:sz w:val="24"/>
          <w:szCs w:val="24"/>
        </w:rPr>
        <w:t>This study not only examined the changes in cardiac parameters of the LAD but also compared the changes in serum FGF-23 and miR-208b in different patients; these factors were found to be related to the severity of atrial fibrillation, and our findings are helpful for the diagnosis, evaluation</w:t>
      </w:r>
      <w:r w:rsidR="00350F7C">
        <w:rPr>
          <w:rFonts w:ascii="Book Antiqua" w:hAnsi="Book Antiqua" w:cs="宋体"/>
          <w:color w:val="000000" w:themeColor="text1"/>
          <w:sz w:val="24"/>
          <w:szCs w:val="24"/>
        </w:rPr>
        <w:t>,</w:t>
      </w:r>
      <w:r w:rsidRPr="00661363">
        <w:rPr>
          <w:rFonts w:ascii="Book Antiqua" w:hAnsi="Book Antiqua" w:cs="宋体"/>
          <w:color w:val="000000" w:themeColor="text1"/>
          <w:sz w:val="24"/>
          <w:szCs w:val="24"/>
        </w:rPr>
        <w:t xml:space="preserve"> and prognosis of patients with atrial fibrillation.</w:t>
      </w:r>
      <w:r w:rsidR="00183D66" w:rsidRPr="00661363">
        <w:rPr>
          <w:rFonts w:ascii="Book Antiqua" w:hAnsi="Book Antiqua"/>
          <w:color w:val="000000" w:themeColor="text1"/>
          <w:sz w:val="24"/>
          <w:szCs w:val="24"/>
        </w:rPr>
        <w:t xml:space="preserve"> </w:t>
      </w:r>
      <w:r w:rsidR="00350F7C">
        <w:rPr>
          <w:rFonts w:ascii="Book Antiqua" w:hAnsi="Book Antiqua"/>
          <w:color w:val="000000" w:themeColor="text1"/>
          <w:sz w:val="24"/>
          <w:szCs w:val="24"/>
        </w:rPr>
        <w:t xml:space="preserve">However, </w:t>
      </w:r>
      <w:r w:rsidR="00350F7C">
        <w:rPr>
          <w:rFonts w:ascii="Book Antiqua" w:hAnsi="Book Antiqua" w:cs="宋体"/>
          <w:color w:val="000000" w:themeColor="text1"/>
          <w:sz w:val="24"/>
          <w:szCs w:val="24"/>
        </w:rPr>
        <w:t>t</w:t>
      </w:r>
      <w:r w:rsidR="00350F7C" w:rsidRPr="00661363">
        <w:rPr>
          <w:rFonts w:ascii="Book Antiqua" w:hAnsi="Book Antiqua" w:cs="宋体"/>
          <w:color w:val="000000" w:themeColor="text1"/>
          <w:sz w:val="24"/>
          <w:szCs w:val="24"/>
        </w:rPr>
        <w:t xml:space="preserve">his </w:t>
      </w:r>
      <w:r w:rsidR="00183D66" w:rsidRPr="00661363">
        <w:rPr>
          <w:rFonts w:ascii="Book Antiqua" w:hAnsi="Book Antiqua" w:cs="宋体"/>
          <w:color w:val="000000" w:themeColor="text1"/>
          <w:sz w:val="24"/>
          <w:szCs w:val="24"/>
        </w:rPr>
        <w:t>test also has some defects, such as failure to reveal the relationship between these factors and the linearity of atrial fibrillation or some other aspects. For this, we need to further</w:t>
      </w:r>
      <w:r w:rsidR="00705E2D">
        <w:rPr>
          <w:rFonts w:ascii="Book Antiqua" w:hAnsi="Book Antiqua" w:cs="宋体"/>
          <w:color w:val="000000" w:themeColor="text1"/>
          <w:sz w:val="24"/>
          <w:szCs w:val="24"/>
        </w:rPr>
        <w:t xml:space="preserve"> conduct</w:t>
      </w:r>
      <w:r w:rsidR="00183D66" w:rsidRPr="00661363">
        <w:rPr>
          <w:rFonts w:ascii="Book Antiqua" w:hAnsi="Book Antiqua" w:cs="宋体"/>
          <w:color w:val="000000" w:themeColor="text1"/>
          <w:sz w:val="24"/>
          <w:szCs w:val="24"/>
        </w:rPr>
        <w:t xml:space="preserve"> a large number of experiments</w:t>
      </w:r>
    </w:p>
    <w:p w14:paraId="3E080D86" w14:textId="45D3D36C" w:rsidR="00AE7027" w:rsidRPr="00661363" w:rsidRDefault="00C260A9" w:rsidP="00661363">
      <w:pPr>
        <w:pStyle w:val="p16"/>
        <w:adjustRightInd w:val="0"/>
        <w:snapToGrid w:val="0"/>
        <w:spacing w:line="360" w:lineRule="auto"/>
        <w:ind w:firstLineChars="100" w:firstLine="240"/>
        <w:rPr>
          <w:rFonts w:ascii="Book Antiqua" w:hAnsi="Book Antiqua"/>
          <w:bCs/>
          <w:color w:val="000000" w:themeColor="text1"/>
          <w:sz w:val="24"/>
          <w:szCs w:val="24"/>
        </w:rPr>
      </w:pPr>
      <w:r w:rsidRPr="00661363">
        <w:rPr>
          <w:rFonts w:ascii="Book Antiqua" w:hAnsi="Book Antiqua"/>
          <w:color w:val="000000" w:themeColor="text1"/>
          <w:sz w:val="24"/>
          <w:szCs w:val="24"/>
        </w:rPr>
        <w:t xml:space="preserve">In summary, </w:t>
      </w:r>
      <w:bookmarkStart w:id="19" w:name="_Hlk40224092"/>
      <w:r w:rsidRPr="00661363">
        <w:rPr>
          <w:rFonts w:ascii="Book Antiqua" w:hAnsi="Book Antiqua"/>
          <w:color w:val="000000" w:themeColor="text1"/>
          <w:sz w:val="24"/>
          <w:szCs w:val="24"/>
        </w:rPr>
        <w:t xml:space="preserve">serum FGF-23 and miR-208b levels </w:t>
      </w:r>
      <w:r w:rsidR="00705E2D">
        <w:rPr>
          <w:rFonts w:ascii="Book Antiqua" w:hAnsi="Book Antiqua"/>
          <w:color w:val="000000" w:themeColor="text1"/>
          <w:sz w:val="24"/>
          <w:szCs w:val="24"/>
        </w:rPr>
        <w:t>are</w:t>
      </w:r>
      <w:r w:rsidR="00705E2D"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elevated in patients with atrial fibrillation and correlate with disease type, cardiac parameters</w:t>
      </w:r>
      <w:r w:rsidR="00705E2D">
        <w:rPr>
          <w:rFonts w:ascii="Book Antiqua" w:hAnsi="Book Antiqua"/>
          <w:color w:val="000000" w:themeColor="text1"/>
          <w:sz w:val="24"/>
          <w:szCs w:val="24"/>
        </w:rPr>
        <w:t>,</w:t>
      </w:r>
      <w:r w:rsidRPr="00661363">
        <w:rPr>
          <w:rFonts w:ascii="Book Antiqua" w:hAnsi="Book Antiqua"/>
          <w:color w:val="000000" w:themeColor="text1"/>
          <w:sz w:val="24"/>
          <w:szCs w:val="24"/>
        </w:rPr>
        <w:t xml:space="preserve"> and prognosis.</w:t>
      </w:r>
      <w:bookmarkEnd w:id="19"/>
    </w:p>
    <w:p w14:paraId="79F15094" w14:textId="77777777" w:rsidR="00D34EBC" w:rsidRPr="00661363" w:rsidRDefault="00D34EBC" w:rsidP="00661363">
      <w:pPr>
        <w:pStyle w:val="p16"/>
        <w:adjustRightInd w:val="0"/>
        <w:snapToGrid w:val="0"/>
        <w:spacing w:line="360" w:lineRule="auto"/>
        <w:rPr>
          <w:rFonts w:ascii="Book Antiqua" w:hAnsi="Book Antiqua"/>
          <w:color w:val="000000" w:themeColor="text1"/>
          <w:sz w:val="24"/>
          <w:szCs w:val="24"/>
        </w:rPr>
      </w:pPr>
    </w:p>
    <w:p w14:paraId="13E4C03D" w14:textId="77777777" w:rsidR="00D34EBC" w:rsidRPr="00661363" w:rsidRDefault="00D34EBC" w:rsidP="00661363">
      <w:pPr>
        <w:pStyle w:val="p16"/>
        <w:adjustRightInd w:val="0"/>
        <w:snapToGrid w:val="0"/>
        <w:spacing w:line="360" w:lineRule="auto"/>
        <w:rPr>
          <w:rFonts w:ascii="Book Antiqua" w:hAnsi="Book Antiqua"/>
          <w:b/>
          <w:bCs/>
          <w:color w:val="000000" w:themeColor="text1"/>
          <w:sz w:val="24"/>
          <w:szCs w:val="24"/>
          <w:u w:val="single"/>
        </w:rPr>
      </w:pPr>
      <w:r w:rsidRPr="00661363">
        <w:rPr>
          <w:rFonts w:ascii="Book Antiqua" w:hAnsi="Book Antiqua"/>
          <w:b/>
          <w:bCs/>
          <w:color w:val="000000" w:themeColor="text1"/>
          <w:sz w:val="24"/>
          <w:szCs w:val="24"/>
          <w:u w:val="single"/>
        </w:rPr>
        <w:t>ARTICLE HIGHLIGHTS</w:t>
      </w:r>
    </w:p>
    <w:p w14:paraId="49AFA9EB" w14:textId="77777777" w:rsidR="00D34EBC" w:rsidRPr="00661363" w:rsidRDefault="00D34EBC"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Research background</w:t>
      </w:r>
    </w:p>
    <w:p w14:paraId="405FE02D" w14:textId="4443B586"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The incidence and prevalence of atrial fibrillation are increasing each year, and this condition is one of the most common clinical arrhythmias</w:t>
      </w:r>
    </w:p>
    <w:p w14:paraId="48B4D6F8" w14:textId="77777777" w:rsidR="006F0905" w:rsidRPr="00661363" w:rsidRDefault="006F0905" w:rsidP="00661363">
      <w:pPr>
        <w:pStyle w:val="p16"/>
        <w:adjustRightInd w:val="0"/>
        <w:snapToGrid w:val="0"/>
        <w:spacing w:line="360" w:lineRule="auto"/>
        <w:rPr>
          <w:rFonts w:ascii="Book Antiqua" w:hAnsi="Book Antiqua"/>
          <w:bCs/>
          <w:color w:val="000000" w:themeColor="text1"/>
          <w:sz w:val="24"/>
          <w:szCs w:val="24"/>
        </w:rPr>
      </w:pPr>
    </w:p>
    <w:p w14:paraId="3927FB56" w14:textId="77777777" w:rsidR="00D34EBC" w:rsidRPr="00661363" w:rsidRDefault="00D34EBC"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Research motivation</w:t>
      </w:r>
    </w:p>
    <w:p w14:paraId="6BCF39F8" w14:textId="11AFC5C4"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eastAsia="等线" w:hAnsi="Book Antiqua"/>
          <w:bCs/>
          <w:color w:val="000000" w:themeColor="text1"/>
          <w:sz w:val="24"/>
          <w:szCs w:val="24"/>
        </w:rPr>
        <w:t>The identification of</w:t>
      </w:r>
      <w:r w:rsidRPr="00661363">
        <w:rPr>
          <w:rFonts w:ascii="Book Antiqua" w:hAnsi="Book Antiqua"/>
          <w:bCs/>
          <w:color w:val="000000" w:themeColor="text1"/>
          <w:sz w:val="24"/>
          <w:szCs w:val="24"/>
        </w:rPr>
        <w:t xml:space="preserve"> useful serological markers can provide guidance for </w:t>
      </w:r>
      <w:r w:rsidRPr="00661363">
        <w:rPr>
          <w:rFonts w:ascii="Book Antiqua" w:eastAsia="等线" w:hAnsi="Book Antiqua"/>
          <w:bCs/>
          <w:color w:val="000000" w:themeColor="text1"/>
          <w:sz w:val="24"/>
          <w:szCs w:val="24"/>
        </w:rPr>
        <w:t xml:space="preserve">the </w:t>
      </w:r>
      <w:r w:rsidRPr="00661363">
        <w:rPr>
          <w:rFonts w:ascii="Book Antiqua" w:hAnsi="Book Antiqua"/>
          <w:bCs/>
          <w:color w:val="000000" w:themeColor="text1"/>
          <w:sz w:val="24"/>
          <w:szCs w:val="24"/>
        </w:rPr>
        <w:t>primary prevention of atrial fibrillation and for monitoring and evaluating treatment efficacy and prognosis</w:t>
      </w:r>
    </w:p>
    <w:p w14:paraId="1F42A960" w14:textId="77777777"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p>
    <w:p w14:paraId="07EFBD0F" w14:textId="7B54D8C9" w:rsidR="00D34EBC" w:rsidRPr="00661363" w:rsidRDefault="006A5570"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Research objectives</w:t>
      </w:r>
    </w:p>
    <w:p w14:paraId="13349389" w14:textId="6A62BBFC" w:rsidR="00D34EBC" w:rsidRPr="00661363" w:rsidRDefault="00C826E6" w:rsidP="00661363">
      <w:pPr>
        <w:pStyle w:val="p16"/>
        <w:adjustRightInd w:val="0"/>
        <w:snapToGrid w:val="0"/>
        <w:spacing w:line="360" w:lineRule="auto"/>
        <w:rPr>
          <w:rFonts w:ascii="Book Antiqua" w:hAnsi="Book Antiqua"/>
          <w:bCs/>
          <w:color w:val="000000" w:themeColor="text1"/>
          <w:sz w:val="24"/>
          <w:szCs w:val="24"/>
        </w:rPr>
      </w:pPr>
      <w:r>
        <w:rPr>
          <w:rFonts w:ascii="Book Antiqua" w:hAnsi="Book Antiqua"/>
          <w:color w:val="000000" w:themeColor="text1"/>
          <w:sz w:val="24"/>
          <w:szCs w:val="24"/>
        </w:rPr>
        <w:t>To i</w:t>
      </w:r>
      <w:r w:rsidRPr="00661363">
        <w:rPr>
          <w:rFonts w:ascii="Book Antiqua" w:hAnsi="Book Antiqua"/>
          <w:color w:val="000000" w:themeColor="text1"/>
          <w:sz w:val="24"/>
          <w:szCs w:val="24"/>
        </w:rPr>
        <w:t xml:space="preserve">nvestigate </w:t>
      </w:r>
      <w:r w:rsidR="00D34EBC" w:rsidRPr="00661363">
        <w:rPr>
          <w:rFonts w:ascii="Book Antiqua" w:hAnsi="Book Antiqua"/>
          <w:color w:val="000000" w:themeColor="text1"/>
          <w:sz w:val="24"/>
          <w:szCs w:val="24"/>
        </w:rPr>
        <w:t xml:space="preserve">the levels and significance of serum </w:t>
      </w:r>
      <w:r w:rsidR="006F0905" w:rsidRPr="00661363">
        <w:rPr>
          <w:rFonts w:ascii="Book Antiqua" w:hAnsi="Book Antiqua"/>
          <w:bCs/>
          <w:color w:val="000000" w:themeColor="text1"/>
          <w:sz w:val="24"/>
          <w:szCs w:val="24"/>
        </w:rPr>
        <w:t>fibroblast growth factor (</w:t>
      </w:r>
      <w:r w:rsidR="00D34EBC" w:rsidRPr="00661363">
        <w:rPr>
          <w:rFonts w:ascii="Book Antiqua" w:hAnsi="Book Antiqua"/>
          <w:color w:val="000000" w:themeColor="text1"/>
          <w:sz w:val="24"/>
          <w:szCs w:val="24"/>
        </w:rPr>
        <w:t>FGF</w:t>
      </w:r>
      <w:r w:rsidR="006F0905" w:rsidRPr="00661363">
        <w:rPr>
          <w:rFonts w:ascii="Book Antiqua" w:hAnsi="Book Antiqua"/>
          <w:color w:val="000000" w:themeColor="text1"/>
          <w:sz w:val="24"/>
          <w:szCs w:val="24"/>
        </w:rPr>
        <w:t>)</w:t>
      </w:r>
      <w:r w:rsidR="00D34EBC" w:rsidRPr="00661363">
        <w:rPr>
          <w:rFonts w:ascii="Book Antiqua" w:hAnsi="Book Antiqua"/>
          <w:color w:val="000000" w:themeColor="text1"/>
          <w:sz w:val="24"/>
          <w:szCs w:val="24"/>
        </w:rPr>
        <w:t>-23</w:t>
      </w:r>
      <w:r w:rsidR="00D34EBC" w:rsidRPr="00661363">
        <w:rPr>
          <w:rFonts w:ascii="Book Antiqua" w:eastAsia="等线" w:hAnsi="Book Antiqua"/>
          <w:color w:val="000000" w:themeColor="text1"/>
          <w:sz w:val="24"/>
          <w:szCs w:val="24"/>
        </w:rPr>
        <w:t xml:space="preserve"> and</w:t>
      </w:r>
      <w:r w:rsidR="00D34EBC" w:rsidRPr="00661363">
        <w:rPr>
          <w:rFonts w:ascii="Book Antiqua" w:hAnsi="Book Antiqua"/>
          <w:color w:val="000000" w:themeColor="text1"/>
          <w:sz w:val="24"/>
          <w:szCs w:val="24"/>
        </w:rPr>
        <w:t xml:space="preserve"> miR-208b in atrial fibrillation and their relevance to patient prognosis</w:t>
      </w:r>
    </w:p>
    <w:p w14:paraId="630CB341" w14:textId="77777777"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p>
    <w:p w14:paraId="79459F33" w14:textId="77777777" w:rsidR="00D34EBC" w:rsidRPr="00661363" w:rsidRDefault="00D34EBC"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Research methods</w:t>
      </w:r>
    </w:p>
    <w:p w14:paraId="3EC5BCDC" w14:textId="74379768" w:rsidR="00D34EBC" w:rsidRPr="00661363" w:rsidRDefault="00C826E6" w:rsidP="00661363">
      <w:pPr>
        <w:pStyle w:val="p16"/>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A total of</w:t>
      </w:r>
      <w:r w:rsidRPr="00661363">
        <w:rPr>
          <w:rFonts w:ascii="Book Antiqua" w:hAnsi="Book Antiqua"/>
          <w:color w:val="000000" w:themeColor="text1"/>
          <w:sz w:val="24"/>
          <w:szCs w:val="24"/>
        </w:rPr>
        <w:t xml:space="preserve"> </w:t>
      </w:r>
      <w:r w:rsidR="00D34EBC" w:rsidRPr="00661363">
        <w:rPr>
          <w:rFonts w:ascii="Book Antiqua" w:hAnsi="Book Antiqua"/>
          <w:color w:val="000000" w:themeColor="text1"/>
          <w:sz w:val="24"/>
          <w:szCs w:val="24"/>
        </w:rPr>
        <w:t xml:space="preserve">240 patients with atrial fibrillation treated </w:t>
      </w:r>
      <w:r>
        <w:rPr>
          <w:rFonts w:ascii="Book Antiqua" w:hAnsi="Book Antiqua"/>
          <w:color w:val="000000" w:themeColor="text1"/>
          <w:sz w:val="24"/>
          <w:szCs w:val="24"/>
        </w:rPr>
        <w:t>at</w:t>
      </w:r>
      <w:r w:rsidRPr="00661363">
        <w:rPr>
          <w:rFonts w:ascii="Book Antiqua" w:hAnsi="Book Antiqua"/>
          <w:color w:val="000000" w:themeColor="text1"/>
          <w:sz w:val="24"/>
          <w:szCs w:val="24"/>
        </w:rPr>
        <w:t xml:space="preserve"> </w:t>
      </w:r>
      <w:r w:rsidR="00D34EBC" w:rsidRPr="00661363">
        <w:rPr>
          <w:rFonts w:ascii="Book Antiqua" w:hAnsi="Book Antiqua"/>
          <w:color w:val="000000" w:themeColor="text1"/>
          <w:sz w:val="24"/>
          <w:szCs w:val="24"/>
        </w:rPr>
        <w:t>our hospital from May 2018 to October 2019</w:t>
      </w:r>
      <w:r>
        <w:rPr>
          <w:rFonts w:ascii="Book Antiqua" w:hAnsi="Book Antiqua"/>
          <w:color w:val="000000" w:themeColor="text1"/>
          <w:sz w:val="24"/>
          <w:szCs w:val="24"/>
        </w:rPr>
        <w:t xml:space="preserve"> were included</w:t>
      </w:r>
      <w:r w:rsidR="00D34EBC" w:rsidRPr="00661363">
        <w:rPr>
          <w:rFonts w:ascii="Book Antiqua" w:hAnsi="Book Antiqua"/>
          <w:color w:val="000000" w:themeColor="text1"/>
          <w:sz w:val="24"/>
          <w:szCs w:val="24"/>
        </w:rPr>
        <w:t>.</w:t>
      </w:r>
    </w:p>
    <w:p w14:paraId="3D0D9C8D" w14:textId="77777777"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p>
    <w:p w14:paraId="42EB15F8" w14:textId="77777777" w:rsidR="00D34EBC" w:rsidRPr="00661363" w:rsidRDefault="00D34EBC"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Research results</w:t>
      </w:r>
    </w:p>
    <w:p w14:paraId="2C49DD5A" w14:textId="469A1999" w:rsidR="00D34EBC" w:rsidRPr="00661363" w:rsidRDefault="00C826E6" w:rsidP="00661363">
      <w:pPr>
        <w:pStyle w:val="p16"/>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The serum levels of </w:t>
      </w:r>
      <w:r w:rsidR="00D34EBC" w:rsidRPr="00661363">
        <w:rPr>
          <w:rFonts w:ascii="Book Antiqua" w:hAnsi="Book Antiqua"/>
          <w:color w:val="000000" w:themeColor="text1"/>
          <w:sz w:val="24"/>
          <w:szCs w:val="24"/>
        </w:rPr>
        <w:t>FGF-23 and</w:t>
      </w:r>
      <w:r>
        <w:rPr>
          <w:rFonts w:ascii="Book Antiqua" w:hAnsi="Book Antiqua"/>
          <w:color w:val="000000" w:themeColor="text1"/>
          <w:sz w:val="24"/>
          <w:szCs w:val="24"/>
        </w:rPr>
        <w:t xml:space="preserve"> </w:t>
      </w:r>
      <w:r w:rsidR="00D34EBC" w:rsidRPr="00661363">
        <w:rPr>
          <w:rFonts w:ascii="Book Antiqua" w:hAnsi="Book Antiqua"/>
          <w:color w:val="000000" w:themeColor="text1"/>
          <w:sz w:val="24"/>
          <w:szCs w:val="24"/>
        </w:rPr>
        <w:t>miR-208b in the observ</w:t>
      </w:r>
      <w:r w:rsidR="006F0905" w:rsidRPr="00661363">
        <w:rPr>
          <w:rFonts w:ascii="Book Antiqua" w:hAnsi="Book Antiqua"/>
          <w:color w:val="000000" w:themeColor="text1"/>
          <w:sz w:val="24"/>
          <w:szCs w:val="24"/>
        </w:rPr>
        <w:t xml:space="preserve">ation group </w:t>
      </w:r>
      <w:r w:rsidR="00D34EBC" w:rsidRPr="00661363">
        <w:rPr>
          <w:rFonts w:ascii="Book Antiqua" w:hAnsi="Book Antiqua"/>
          <w:color w:val="000000" w:themeColor="text1"/>
          <w:sz w:val="24"/>
          <w:szCs w:val="24"/>
        </w:rPr>
        <w:t xml:space="preserve">were significantly higher than the corresponding values in the control group. In the observation group, the </w:t>
      </w:r>
      <w:r>
        <w:rPr>
          <w:rFonts w:ascii="Book Antiqua" w:hAnsi="Book Antiqua"/>
          <w:color w:val="000000" w:themeColor="text1"/>
          <w:sz w:val="24"/>
          <w:szCs w:val="24"/>
        </w:rPr>
        <w:t>serum</w:t>
      </w:r>
      <w:r w:rsidRPr="00661363">
        <w:rPr>
          <w:rFonts w:ascii="Book Antiqua" w:hAnsi="Book Antiqua"/>
          <w:color w:val="000000" w:themeColor="text1"/>
          <w:sz w:val="24"/>
          <w:szCs w:val="24"/>
        </w:rPr>
        <w:t xml:space="preserve"> </w:t>
      </w:r>
      <w:r w:rsidR="00D34EBC" w:rsidRPr="00661363">
        <w:rPr>
          <w:rFonts w:ascii="Book Antiqua" w:hAnsi="Book Antiqua"/>
          <w:color w:val="000000" w:themeColor="text1"/>
          <w:sz w:val="24"/>
          <w:szCs w:val="24"/>
        </w:rPr>
        <w:t>levels of FGF-23 and miR-208b in patients with persi</w:t>
      </w:r>
      <w:r w:rsidR="006F0905" w:rsidRPr="00661363">
        <w:rPr>
          <w:rFonts w:ascii="Book Antiqua" w:hAnsi="Book Antiqua"/>
          <w:color w:val="000000" w:themeColor="text1"/>
          <w:sz w:val="24"/>
          <w:szCs w:val="24"/>
        </w:rPr>
        <w:t>stent atrial fibrillation were</w:t>
      </w:r>
      <w:r w:rsidR="00D34EBC" w:rsidRPr="00661363">
        <w:rPr>
          <w:rFonts w:ascii="Book Antiqua" w:hAnsi="Book Antiqua"/>
          <w:color w:val="000000" w:themeColor="text1"/>
          <w:sz w:val="24"/>
          <w:szCs w:val="24"/>
        </w:rPr>
        <w:t xml:space="preserve"> significantly higher than </w:t>
      </w:r>
      <w:r>
        <w:rPr>
          <w:rFonts w:ascii="Book Antiqua" w:hAnsi="Book Antiqua"/>
          <w:color w:val="000000" w:themeColor="text1"/>
          <w:sz w:val="24"/>
          <w:szCs w:val="24"/>
        </w:rPr>
        <w:t>those</w:t>
      </w:r>
      <w:r w:rsidR="00D34EBC" w:rsidRPr="00661363">
        <w:rPr>
          <w:rFonts w:ascii="Book Antiqua" w:hAnsi="Book Antiqua"/>
          <w:color w:val="000000" w:themeColor="text1"/>
          <w:sz w:val="24"/>
          <w:szCs w:val="24"/>
        </w:rPr>
        <w:t xml:space="preserve"> in patients with paroxysmal atrial fibrillation. The left atrial dimension (LAD) of patients with pers</w:t>
      </w:r>
      <w:r w:rsidR="006F0905" w:rsidRPr="00661363">
        <w:rPr>
          <w:rFonts w:ascii="Book Antiqua" w:hAnsi="Book Antiqua"/>
          <w:color w:val="000000" w:themeColor="text1"/>
          <w:sz w:val="24"/>
          <w:szCs w:val="24"/>
        </w:rPr>
        <w:t xml:space="preserve">istent atrial fibrillation was </w:t>
      </w:r>
      <w:r w:rsidR="00D34EBC" w:rsidRPr="00661363">
        <w:rPr>
          <w:rFonts w:ascii="Book Antiqua" w:hAnsi="Book Antiqua"/>
          <w:color w:val="000000" w:themeColor="text1"/>
          <w:sz w:val="24"/>
          <w:szCs w:val="24"/>
        </w:rPr>
        <w:t xml:space="preserve">significantly higher than that of patients with </w:t>
      </w:r>
      <w:r w:rsidR="006F0905" w:rsidRPr="00661363">
        <w:rPr>
          <w:rFonts w:ascii="Book Antiqua" w:hAnsi="Book Antiqua"/>
          <w:color w:val="000000" w:themeColor="text1"/>
          <w:sz w:val="24"/>
          <w:szCs w:val="24"/>
        </w:rPr>
        <w:t>paroxysmal atrial fibrillation</w:t>
      </w:r>
      <w:r w:rsidR="00D34EBC" w:rsidRPr="00661363">
        <w:rPr>
          <w:rFonts w:ascii="Book Antiqua" w:hAnsi="Book Antiqua"/>
          <w:color w:val="000000" w:themeColor="text1"/>
          <w:sz w:val="24"/>
          <w:szCs w:val="24"/>
        </w:rPr>
        <w:t xml:space="preserve">. The </w:t>
      </w:r>
      <w:r>
        <w:rPr>
          <w:rFonts w:ascii="Book Antiqua" w:hAnsi="Book Antiqua"/>
          <w:color w:val="000000" w:themeColor="text1"/>
          <w:sz w:val="24"/>
          <w:szCs w:val="24"/>
        </w:rPr>
        <w:t>serum</w:t>
      </w:r>
      <w:r w:rsidRPr="00661363">
        <w:rPr>
          <w:rFonts w:ascii="Book Antiqua" w:hAnsi="Book Antiqua"/>
          <w:color w:val="000000" w:themeColor="text1"/>
          <w:sz w:val="24"/>
          <w:szCs w:val="24"/>
        </w:rPr>
        <w:t xml:space="preserve"> </w:t>
      </w:r>
      <w:r w:rsidR="00D34EBC" w:rsidRPr="00661363">
        <w:rPr>
          <w:rFonts w:ascii="Book Antiqua" w:hAnsi="Book Antiqua"/>
          <w:color w:val="000000" w:themeColor="text1"/>
          <w:sz w:val="24"/>
          <w:szCs w:val="24"/>
        </w:rPr>
        <w:t>levels of FGF-23 and miR-208b were positively correlated with the LAD. In the observation group, the serum levels of FGF-23 and miR-208b in patients with a major ca</w:t>
      </w:r>
      <w:r w:rsidR="006F0905" w:rsidRPr="00661363">
        <w:rPr>
          <w:rFonts w:ascii="Book Antiqua" w:hAnsi="Book Antiqua"/>
          <w:color w:val="000000" w:themeColor="text1"/>
          <w:sz w:val="24"/>
          <w:szCs w:val="24"/>
        </w:rPr>
        <w:t xml:space="preserve">rdiovascular event (MACE) </w:t>
      </w:r>
      <w:r w:rsidR="00D34EBC" w:rsidRPr="00661363">
        <w:rPr>
          <w:rFonts w:ascii="Book Antiqua" w:hAnsi="Book Antiqua"/>
          <w:color w:val="000000" w:themeColor="text1"/>
          <w:sz w:val="24"/>
          <w:szCs w:val="24"/>
        </w:rPr>
        <w:t>were significantly higher than the corresponding values in patients without a MACE.</w:t>
      </w:r>
    </w:p>
    <w:p w14:paraId="44BDEC90" w14:textId="77777777"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p>
    <w:p w14:paraId="28BD9353" w14:textId="77777777" w:rsidR="00D34EBC" w:rsidRPr="00661363" w:rsidRDefault="00D34EBC"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Research conclusions</w:t>
      </w:r>
    </w:p>
    <w:p w14:paraId="4A17B96F" w14:textId="208093C3"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color w:val="000000" w:themeColor="text1"/>
          <w:sz w:val="24"/>
          <w:szCs w:val="24"/>
        </w:rPr>
        <w:t xml:space="preserve">Serum FGF-23 and miR-208b levels </w:t>
      </w:r>
      <w:r w:rsidR="00C826E6">
        <w:rPr>
          <w:rFonts w:ascii="Book Antiqua" w:hAnsi="Book Antiqua"/>
          <w:color w:val="000000" w:themeColor="text1"/>
          <w:sz w:val="24"/>
          <w:szCs w:val="24"/>
        </w:rPr>
        <w:t>are</w:t>
      </w:r>
      <w:r w:rsidR="00C826E6"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elevated in patients with atrial fibrillation and correlate with disease type, cardiac parameters</w:t>
      </w:r>
      <w:r w:rsidR="00C826E6">
        <w:rPr>
          <w:rFonts w:ascii="Book Antiqua" w:hAnsi="Book Antiqua"/>
          <w:color w:val="000000" w:themeColor="text1"/>
          <w:sz w:val="24"/>
          <w:szCs w:val="24"/>
        </w:rPr>
        <w:t>,</w:t>
      </w:r>
      <w:r w:rsidRPr="00661363">
        <w:rPr>
          <w:rFonts w:ascii="Book Antiqua" w:hAnsi="Book Antiqua"/>
          <w:color w:val="000000" w:themeColor="text1"/>
          <w:sz w:val="24"/>
          <w:szCs w:val="24"/>
        </w:rPr>
        <w:t xml:space="preserve"> and prognosis.</w:t>
      </w:r>
    </w:p>
    <w:p w14:paraId="0B31A52E" w14:textId="77777777"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p>
    <w:p w14:paraId="0A9A7EA0" w14:textId="77777777" w:rsidR="00D34EBC" w:rsidRPr="00661363" w:rsidRDefault="00D34EBC"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Research perspectives</w:t>
      </w:r>
    </w:p>
    <w:p w14:paraId="55FBB0F5" w14:textId="7FB16D76" w:rsidR="00AE7027" w:rsidRPr="00661363" w:rsidRDefault="00C826E6" w:rsidP="00661363">
      <w:pPr>
        <w:pStyle w:val="p16"/>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Our findings may suggest a</w:t>
      </w:r>
      <w:r w:rsidRPr="00661363">
        <w:rPr>
          <w:rFonts w:ascii="Book Antiqua" w:hAnsi="Book Antiqua"/>
          <w:color w:val="000000" w:themeColor="text1"/>
          <w:sz w:val="24"/>
          <w:szCs w:val="24"/>
        </w:rPr>
        <w:t xml:space="preserve"> </w:t>
      </w:r>
      <w:r w:rsidR="00D34EBC" w:rsidRPr="00661363">
        <w:rPr>
          <w:rFonts w:ascii="Book Antiqua" w:hAnsi="Book Antiqua"/>
          <w:color w:val="000000" w:themeColor="text1"/>
          <w:sz w:val="24"/>
          <w:szCs w:val="24"/>
        </w:rPr>
        <w:t>new method for evaluating the condition of atrial fibrillation.</w:t>
      </w:r>
    </w:p>
    <w:p w14:paraId="6149429F" w14:textId="77777777" w:rsidR="006F0905" w:rsidRPr="00C826E6" w:rsidRDefault="006F0905" w:rsidP="00661363">
      <w:pPr>
        <w:pStyle w:val="p16"/>
        <w:adjustRightInd w:val="0"/>
        <w:snapToGrid w:val="0"/>
        <w:spacing w:line="360" w:lineRule="auto"/>
        <w:rPr>
          <w:rFonts w:ascii="Book Antiqua" w:hAnsi="Book Antiqua"/>
          <w:color w:val="000000" w:themeColor="text1"/>
          <w:sz w:val="24"/>
          <w:szCs w:val="24"/>
        </w:rPr>
      </w:pPr>
    </w:p>
    <w:p w14:paraId="321D2CE2" w14:textId="77777777" w:rsidR="006F0905" w:rsidRPr="00661363" w:rsidRDefault="006F0905" w:rsidP="00661363">
      <w:pPr>
        <w:pStyle w:val="p16"/>
        <w:adjustRightInd w:val="0"/>
        <w:snapToGrid w:val="0"/>
        <w:spacing w:line="360" w:lineRule="auto"/>
        <w:rPr>
          <w:rFonts w:ascii="Book Antiqua" w:hAnsi="Book Antiqua"/>
          <w:b/>
          <w:bCs/>
          <w:color w:val="000000" w:themeColor="text1"/>
          <w:sz w:val="24"/>
          <w:szCs w:val="24"/>
        </w:rPr>
      </w:pPr>
      <w:r w:rsidRPr="00661363">
        <w:rPr>
          <w:rFonts w:ascii="Book Antiqua" w:hAnsi="Book Antiqua"/>
          <w:b/>
          <w:bCs/>
          <w:color w:val="000000" w:themeColor="text1"/>
          <w:sz w:val="24"/>
          <w:szCs w:val="24"/>
        </w:rPr>
        <w:t>REFERENCES</w:t>
      </w:r>
    </w:p>
    <w:p w14:paraId="53FBE765"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 </w:t>
      </w:r>
      <w:r w:rsidRPr="00661363">
        <w:rPr>
          <w:rFonts w:ascii="Book Antiqua" w:hAnsi="Book Antiqua"/>
          <w:b/>
          <w:sz w:val="24"/>
          <w:szCs w:val="24"/>
        </w:rPr>
        <w:t>Liu L</w:t>
      </w:r>
      <w:r w:rsidRPr="00661363">
        <w:rPr>
          <w:rFonts w:ascii="Book Antiqua" w:hAnsi="Book Antiqua"/>
          <w:sz w:val="24"/>
          <w:szCs w:val="24"/>
        </w:rPr>
        <w:t xml:space="preserve">, Zhang H, Mao H, Li X, Hu Y. Exosomal miR-320d derived from adipose tissue-derived MSCs inhibits apoptosis in cardiomyocytes with atrial fibrillation (AF). </w:t>
      </w:r>
      <w:r w:rsidRPr="00661363">
        <w:rPr>
          <w:rFonts w:ascii="Book Antiqua" w:hAnsi="Book Antiqua"/>
          <w:i/>
          <w:sz w:val="24"/>
          <w:szCs w:val="24"/>
        </w:rPr>
        <w:t>Artif Cells Nanomed Biotechnol</w:t>
      </w:r>
      <w:r w:rsidRPr="00661363">
        <w:rPr>
          <w:rFonts w:ascii="Book Antiqua" w:hAnsi="Book Antiqua"/>
          <w:sz w:val="24"/>
          <w:szCs w:val="24"/>
        </w:rPr>
        <w:t xml:space="preserve"> 2019; </w:t>
      </w:r>
      <w:r w:rsidRPr="00661363">
        <w:rPr>
          <w:rFonts w:ascii="Book Antiqua" w:hAnsi="Book Antiqua"/>
          <w:b/>
          <w:sz w:val="24"/>
          <w:szCs w:val="24"/>
        </w:rPr>
        <w:t>47</w:t>
      </w:r>
      <w:r w:rsidRPr="00661363">
        <w:rPr>
          <w:rFonts w:ascii="Book Antiqua" w:hAnsi="Book Antiqua"/>
          <w:sz w:val="24"/>
          <w:szCs w:val="24"/>
        </w:rPr>
        <w:t>: 3976-3984 [PMID: 31591913 DOI: 10.1080/21691401.2019.1671432]</w:t>
      </w:r>
    </w:p>
    <w:p w14:paraId="01E8FB51"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2 </w:t>
      </w:r>
      <w:r w:rsidRPr="00661363">
        <w:rPr>
          <w:rFonts w:ascii="Book Antiqua" w:hAnsi="Book Antiqua"/>
          <w:b/>
          <w:sz w:val="24"/>
          <w:szCs w:val="24"/>
        </w:rPr>
        <w:t>Scardigli M</w:t>
      </w:r>
      <w:r w:rsidRPr="00661363">
        <w:rPr>
          <w:rFonts w:ascii="Book Antiqua" w:hAnsi="Book Antiqua"/>
          <w:sz w:val="24"/>
          <w:szCs w:val="24"/>
        </w:rPr>
        <w:t xml:space="preserve">, Cannazzaro S, Coppini R, Crocini C, Yan P, Loew LM, Sartiani L, Cerbai E, Pavone FS, Sacconi L, Ferrantini C. Arrhythmia susceptibility in a rat model of acute atrial dilation. </w:t>
      </w:r>
      <w:r w:rsidRPr="00661363">
        <w:rPr>
          <w:rFonts w:ascii="Book Antiqua" w:hAnsi="Book Antiqua"/>
          <w:i/>
          <w:sz w:val="24"/>
          <w:szCs w:val="24"/>
        </w:rPr>
        <w:t>Prog Biophys Mol Biol</w:t>
      </w:r>
      <w:r w:rsidRPr="00661363">
        <w:rPr>
          <w:rFonts w:ascii="Book Antiqua" w:hAnsi="Book Antiqua"/>
          <w:sz w:val="24"/>
          <w:szCs w:val="24"/>
        </w:rPr>
        <w:t xml:space="preserve"> 2020; </w:t>
      </w:r>
      <w:r w:rsidRPr="00661363">
        <w:rPr>
          <w:rFonts w:ascii="Book Antiqua" w:hAnsi="Book Antiqua"/>
          <w:b/>
          <w:sz w:val="24"/>
          <w:szCs w:val="24"/>
        </w:rPr>
        <w:t>154</w:t>
      </w:r>
      <w:r w:rsidRPr="00661363">
        <w:rPr>
          <w:rFonts w:ascii="Book Antiqua" w:hAnsi="Book Antiqua"/>
          <w:sz w:val="24"/>
          <w:szCs w:val="24"/>
        </w:rPr>
        <w:t>: 21-29 [PMID: 32063273 DOI: 10.1016/j.pbiomolbio.2019.08.012]</w:t>
      </w:r>
    </w:p>
    <w:p w14:paraId="61FDFBEF"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3 </w:t>
      </w:r>
      <w:r w:rsidRPr="00661363">
        <w:rPr>
          <w:rFonts w:ascii="Book Antiqua" w:hAnsi="Book Antiqua"/>
          <w:b/>
          <w:sz w:val="24"/>
          <w:szCs w:val="24"/>
        </w:rPr>
        <w:t>Sethi NJ</w:t>
      </w:r>
      <w:r w:rsidRPr="00661363">
        <w:rPr>
          <w:rFonts w:ascii="Book Antiqua" w:hAnsi="Book Antiqua"/>
          <w:sz w:val="24"/>
          <w:szCs w:val="24"/>
        </w:rPr>
        <w:t xml:space="preserve">, Nielsen EE, Safi S, Feinberg J, Gluud C, Jakobsen JC. Digoxin for atrial fibrillation and atrial flutter: A systematic review with meta-analysis and trial sequential analysis of randomised clinical trials. </w:t>
      </w:r>
      <w:r w:rsidRPr="00661363">
        <w:rPr>
          <w:rFonts w:ascii="Book Antiqua" w:hAnsi="Book Antiqua"/>
          <w:i/>
          <w:sz w:val="24"/>
          <w:szCs w:val="24"/>
        </w:rPr>
        <w:t>PLoS One</w:t>
      </w:r>
      <w:r w:rsidRPr="00661363">
        <w:rPr>
          <w:rFonts w:ascii="Book Antiqua" w:hAnsi="Book Antiqua"/>
          <w:sz w:val="24"/>
          <w:szCs w:val="24"/>
        </w:rPr>
        <w:t xml:space="preserve"> 2018; </w:t>
      </w:r>
      <w:r w:rsidRPr="00661363">
        <w:rPr>
          <w:rFonts w:ascii="Book Antiqua" w:hAnsi="Book Antiqua"/>
          <w:b/>
          <w:sz w:val="24"/>
          <w:szCs w:val="24"/>
        </w:rPr>
        <w:t>13</w:t>
      </w:r>
      <w:r w:rsidRPr="00661363">
        <w:rPr>
          <w:rFonts w:ascii="Book Antiqua" w:hAnsi="Book Antiqua"/>
          <w:sz w:val="24"/>
          <w:szCs w:val="24"/>
        </w:rPr>
        <w:t>: e0193924 [PMID: 29518134 DOI: 10.1371/journal.pone.0193924]</w:t>
      </w:r>
    </w:p>
    <w:p w14:paraId="67B6F1CA"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4 </w:t>
      </w:r>
      <w:r w:rsidRPr="00661363">
        <w:rPr>
          <w:rFonts w:ascii="Book Antiqua" w:hAnsi="Book Antiqua"/>
          <w:b/>
          <w:sz w:val="24"/>
          <w:szCs w:val="24"/>
        </w:rPr>
        <w:t>Pastori D</w:t>
      </w:r>
      <w:r w:rsidRPr="00661363">
        <w:rPr>
          <w:rFonts w:ascii="Book Antiqua" w:hAnsi="Book Antiqua"/>
          <w:sz w:val="24"/>
          <w:szCs w:val="24"/>
        </w:rPr>
        <w:t xml:space="preserve">, Lip GYH, Farcomeni A, Del Sole F, Sciacqua A, Perticone F, Marcucci R, Grifoni E, Pignatelli P, Violi F; ATHERO-AF study group. Incidence of bleeding in patients with atrial fibrillation and advanced liver fibrosis on treatment with vitamin K or non-vitamin K antagonist oral anticoagulants. </w:t>
      </w:r>
      <w:r w:rsidRPr="00661363">
        <w:rPr>
          <w:rFonts w:ascii="Book Antiqua" w:hAnsi="Book Antiqua"/>
          <w:i/>
          <w:sz w:val="24"/>
          <w:szCs w:val="24"/>
        </w:rPr>
        <w:t>Int J Cardiol</w:t>
      </w:r>
      <w:r w:rsidRPr="00661363">
        <w:rPr>
          <w:rFonts w:ascii="Book Antiqua" w:hAnsi="Book Antiqua"/>
          <w:sz w:val="24"/>
          <w:szCs w:val="24"/>
        </w:rPr>
        <w:t xml:space="preserve"> 2018; </w:t>
      </w:r>
      <w:r w:rsidRPr="00661363">
        <w:rPr>
          <w:rFonts w:ascii="Book Antiqua" w:hAnsi="Book Antiqua"/>
          <w:b/>
          <w:sz w:val="24"/>
          <w:szCs w:val="24"/>
        </w:rPr>
        <w:t>264</w:t>
      </w:r>
      <w:r w:rsidRPr="00661363">
        <w:rPr>
          <w:rFonts w:ascii="Book Antiqua" w:hAnsi="Book Antiqua"/>
          <w:sz w:val="24"/>
          <w:szCs w:val="24"/>
        </w:rPr>
        <w:t>: 58-63 [PMID: 29776574 DOI: 10.1016/j.ijcard.2018.01.097]</w:t>
      </w:r>
    </w:p>
    <w:p w14:paraId="7066CDC9"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5 </w:t>
      </w:r>
      <w:r w:rsidRPr="00661363">
        <w:rPr>
          <w:rFonts w:ascii="Book Antiqua" w:hAnsi="Book Antiqua"/>
          <w:b/>
          <w:sz w:val="24"/>
          <w:szCs w:val="24"/>
        </w:rPr>
        <w:t>Li YG</w:t>
      </w:r>
      <w:r w:rsidRPr="00661363">
        <w:rPr>
          <w:rFonts w:ascii="Book Antiqua" w:hAnsi="Book Antiqua"/>
          <w:sz w:val="24"/>
          <w:szCs w:val="24"/>
        </w:rPr>
        <w:t xml:space="preserve">, Pastori D, Lip GYH. Fitting the right non-vitamin K antagonist oral anticoagulant to the right patient with non-valvular atrial fibrillation: an evidence-based choice. </w:t>
      </w:r>
      <w:r w:rsidRPr="00661363">
        <w:rPr>
          <w:rFonts w:ascii="Book Antiqua" w:hAnsi="Book Antiqua"/>
          <w:i/>
          <w:sz w:val="24"/>
          <w:szCs w:val="24"/>
        </w:rPr>
        <w:t>Ann Med</w:t>
      </w:r>
      <w:r w:rsidRPr="00661363">
        <w:rPr>
          <w:rFonts w:ascii="Book Antiqua" w:hAnsi="Book Antiqua"/>
          <w:sz w:val="24"/>
          <w:szCs w:val="24"/>
        </w:rPr>
        <w:t xml:space="preserve"> 2018; </w:t>
      </w:r>
      <w:r w:rsidRPr="00661363">
        <w:rPr>
          <w:rFonts w:ascii="Book Antiqua" w:hAnsi="Book Antiqua"/>
          <w:b/>
          <w:sz w:val="24"/>
          <w:szCs w:val="24"/>
        </w:rPr>
        <w:t>50</w:t>
      </w:r>
      <w:r w:rsidRPr="00661363">
        <w:rPr>
          <w:rFonts w:ascii="Book Antiqua" w:hAnsi="Book Antiqua"/>
          <w:sz w:val="24"/>
          <w:szCs w:val="24"/>
        </w:rPr>
        <w:t>: 288-302 [PMID: 29608110 DOI: 10.1080/07853890.2018.1460489]</w:t>
      </w:r>
    </w:p>
    <w:p w14:paraId="32F19E71"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6 </w:t>
      </w:r>
      <w:r w:rsidRPr="00661363">
        <w:rPr>
          <w:rFonts w:ascii="Book Antiqua" w:hAnsi="Book Antiqua"/>
          <w:b/>
          <w:sz w:val="24"/>
          <w:szCs w:val="24"/>
        </w:rPr>
        <w:t>Chen C</w:t>
      </w:r>
      <w:r w:rsidRPr="00661363">
        <w:rPr>
          <w:rFonts w:ascii="Book Antiqua" w:hAnsi="Book Antiqua"/>
          <w:sz w:val="24"/>
          <w:szCs w:val="24"/>
        </w:rPr>
        <w:t xml:space="preserve">, Meng Z, Zheng Y, Hu B, Shen E. Fibroblast growth factor 21 inhibition aggravates cardiac dysfunction in diabetic cardiomyopathy by improving lipid accumulation. </w:t>
      </w:r>
      <w:r w:rsidRPr="00661363">
        <w:rPr>
          <w:rFonts w:ascii="Book Antiqua" w:hAnsi="Book Antiqua"/>
          <w:i/>
          <w:sz w:val="24"/>
          <w:szCs w:val="24"/>
        </w:rPr>
        <w:t>Exp Ther Med</w:t>
      </w:r>
      <w:r w:rsidRPr="00661363">
        <w:rPr>
          <w:rFonts w:ascii="Book Antiqua" w:hAnsi="Book Antiqua"/>
          <w:sz w:val="24"/>
          <w:szCs w:val="24"/>
        </w:rPr>
        <w:t xml:space="preserve"> 2018; </w:t>
      </w:r>
      <w:r w:rsidRPr="00661363">
        <w:rPr>
          <w:rFonts w:ascii="Book Antiqua" w:hAnsi="Book Antiqua"/>
          <w:b/>
          <w:sz w:val="24"/>
          <w:szCs w:val="24"/>
        </w:rPr>
        <w:t>15</w:t>
      </w:r>
      <w:r w:rsidRPr="00661363">
        <w:rPr>
          <w:rFonts w:ascii="Book Antiqua" w:hAnsi="Book Antiqua"/>
          <w:sz w:val="24"/>
          <w:szCs w:val="24"/>
        </w:rPr>
        <w:t>: 75-84 [PMID: 29375676 DOI: 10.3892/etm.2017.5375]</w:t>
      </w:r>
    </w:p>
    <w:p w14:paraId="7A5829CB" w14:textId="0947A6E3"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7 </w:t>
      </w:r>
      <w:r w:rsidRPr="00661363">
        <w:rPr>
          <w:rFonts w:ascii="Book Antiqua" w:hAnsi="Book Antiqua"/>
          <w:b/>
          <w:sz w:val="24"/>
          <w:szCs w:val="24"/>
        </w:rPr>
        <w:t>Chen SC</w:t>
      </w:r>
      <w:r w:rsidRPr="00661363">
        <w:rPr>
          <w:rFonts w:ascii="Book Antiqua" w:hAnsi="Book Antiqua"/>
          <w:sz w:val="24"/>
          <w:szCs w:val="24"/>
        </w:rPr>
        <w:t xml:space="preserve">, Chung FP, Chao TF, Hu YF, Lin YJ, Chang SL, Lo LW, Tuan TC, Te ALD, Yamada S, Prabhu A, Chang TY, Lin CY, Chen SA. A link between bilirubin levels and atrial fibrillation recurrence after catheter ablation. </w:t>
      </w:r>
      <w:r w:rsidRPr="00661363">
        <w:rPr>
          <w:rFonts w:ascii="Book Antiqua" w:hAnsi="Book Antiqua"/>
          <w:i/>
          <w:sz w:val="24"/>
          <w:szCs w:val="24"/>
        </w:rPr>
        <w:t>J Chin Med Assoc</w:t>
      </w:r>
      <w:r w:rsidRPr="00661363">
        <w:rPr>
          <w:rFonts w:ascii="Book Antiqua" w:hAnsi="Book Antiqua"/>
          <w:sz w:val="24"/>
          <w:szCs w:val="24"/>
        </w:rPr>
        <w:t xml:space="preserve"> 2019; </w:t>
      </w:r>
      <w:r w:rsidRPr="00661363">
        <w:rPr>
          <w:rFonts w:ascii="Book Antiqua" w:hAnsi="Book Antiqua"/>
          <w:b/>
          <w:sz w:val="24"/>
          <w:szCs w:val="24"/>
        </w:rPr>
        <w:t>82</w:t>
      </w:r>
      <w:r w:rsidRPr="00661363">
        <w:rPr>
          <w:rFonts w:ascii="Book Antiqua" w:hAnsi="Book Antiqua"/>
          <w:sz w:val="24"/>
          <w:szCs w:val="24"/>
        </w:rPr>
        <w:t>: 175-178 [PMID: 30913114 DOI: 10.1097/JCMA.0000000000000026]</w:t>
      </w:r>
    </w:p>
    <w:p w14:paraId="23483B4C"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8 </w:t>
      </w:r>
      <w:r w:rsidRPr="00661363">
        <w:rPr>
          <w:rFonts w:ascii="Book Antiqua" w:hAnsi="Book Antiqua"/>
          <w:b/>
          <w:sz w:val="24"/>
          <w:szCs w:val="24"/>
        </w:rPr>
        <w:t>Jiang YQ</w:t>
      </w:r>
      <w:r w:rsidRPr="00661363">
        <w:rPr>
          <w:rFonts w:ascii="Book Antiqua" w:hAnsi="Book Antiqua"/>
          <w:sz w:val="24"/>
          <w:szCs w:val="24"/>
        </w:rPr>
        <w:t xml:space="preserve">, Tian Y, Zeng LJ, He SN, Zheng ZT, Shi L, Wang YJ, Wang YX, Yin XD, Liu XQ, Yang XC, Liu XP. The safety and efficacy of hybrid ablation for the treatment of atrial fibrillation: A meta-analysis. </w:t>
      </w:r>
      <w:r w:rsidRPr="00661363">
        <w:rPr>
          <w:rFonts w:ascii="Book Antiqua" w:hAnsi="Book Antiqua"/>
          <w:i/>
          <w:sz w:val="24"/>
          <w:szCs w:val="24"/>
        </w:rPr>
        <w:t>PLoS One</w:t>
      </w:r>
      <w:r w:rsidRPr="00661363">
        <w:rPr>
          <w:rFonts w:ascii="Book Antiqua" w:hAnsi="Book Antiqua"/>
          <w:sz w:val="24"/>
          <w:szCs w:val="24"/>
        </w:rPr>
        <w:t xml:space="preserve"> 2018; </w:t>
      </w:r>
      <w:r w:rsidRPr="00661363">
        <w:rPr>
          <w:rFonts w:ascii="Book Antiqua" w:hAnsi="Book Antiqua"/>
          <w:b/>
          <w:sz w:val="24"/>
          <w:szCs w:val="24"/>
        </w:rPr>
        <w:t>13</w:t>
      </w:r>
      <w:r w:rsidRPr="00661363">
        <w:rPr>
          <w:rFonts w:ascii="Book Antiqua" w:hAnsi="Book Antiqua"/>
          <w:sz w:val="24"/>
          <w:szCs w:val="24"/>
        </w:rPr>
        <w:t>: e0190170 [PMID: 29298352 DOI: 10.1371/journal.pone.0190170]</w:t>
      </w:r>
    </w:p>
    <w:p w14:paraId="2517917A" w14:textId="5A1CA02E"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9 </w:t>
      </w:r>
      <w:r w:rsidRPr="00661363">
        <w:rPr>
          <w:rFonts w:ascii="Book Antiqua" w:hAnsi="Book Antiqua"/>
          <w:b/>
          <w:sz w:val="24"/>
          <w:szCs w:val="24"/>
        </w:rPr>
        <w:t>Zhou W</w:t>
      </w:r>
      <w:r w:rsidRPr="00661363">
        <w:rPr>
          <w:rFonts w:ascii="Book Antiqua" w:hAnsi="Book Antiqua"/>
          <w:sz w:val="24"/>
          <w:szCs w:val="24"/>
        </w:rPr>
        <w:t xml:space="preserve">, Wang T, Zhu LJ, Wen MH, Hu LH, Huang X, You CJ, Li JX, Wu YQ, Wu QH, Bao HH, Cheng XS. Peripheral leukocyte count and risk of bleeding in patients with non-valvular atrial fibrillation taking dabigatran: a real-world study. </w:t>
      </w:r>
      <w:r w:rsidRPr="00661363">
        <w:rPr>
          <w:rFonts w:ascii="Book Antiqua" w:hAnsi="Book Antiqua"/>
          <w:i/>
          <w:sz w:val="24"/>
          <w:szCs w:val="24"/>
        </w:rPr>
        <w:t>Chin Med J (Engl)</w:t>
      </w:r>
      <w:r w:rsidRPr="00661363">
        <w:rPr>
          <w:rFonts w:ascii="Book Antiqua" w:hAnsi="Book Antiqua"/>
          <w:sz w:val="24"/>
          <w:szCs w:val="24"/>
        </w:rPr>
        <w:t xml:space="preserve"> 2019; </w:t>
      </w:r>
      <w:r w:rsidRPr="00661363">
        <w:rPr>
          <w:rFonts w:ascii="Book Antiqua" w:hAnsi="Book Antiqua"/>
          <w:b/>
          <w:sz w:val="24"/>
          <w:szCs w:val="24"/>
        </w:rPr>
        <w:t>132</w:t>
      </w:r>
      <w:r w:rsidRPr="00661363">
        <w:rPr>
          <w:rFonts w:ascii="Book Antiqua" w:hAnsi="Book Antiqua"/>
          <w:sz w:val="24"/>
          <w:szCs w:val="24"/>
        </w:rPr>
        <w:t>: 2150-2156 [PMID: 31490268 DOI: 10.1097/CM9.0000000000000423]</w:t>
      </w:r>
    </w:p>
    <w:p w14:paraId="1434B802"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10 </w:t>
      </w:r>
      <w:r w:rsidRPr="00661363">
        <w:rPr>
          <w:rFonts w:ascii="Book Antiqua" w:hAnsi="Book Antiqua"/>
          <w:b/>
          <w:sz w:val="24"/>
          <w:szCs w:val="24"/>
        </w:rPr>
        <w:t>Macle L</w:t>
      </w:r>
      <w:r w:rsidRPr="00661363">
        <w:rPr>
          <w:rFonts w:ascii="Book Antiqua" w:hAnsi="Book Antiqua"/>
          <w:sz w:val="24"/>
          <w:szCs w:val="24"/>
        </w:rPr>
        <w:t xml:space="preserve">, Frame D, Gache LM, Monir G, Pollak SJ, Boo LM. Atrial fibrillation ablation with a spring sensor-irrigated contact force-sensing catheter compared with other ablation catheters: systematic literature review and meta-analysis. </w:t>
      </w:r>
      <w:r w:rsidRPr="00661363">
        <w:rPr>
          <w:rFonts w:ascii="Book Antiqua" w:hAnsi="Book Antiqua"/>
          <w:i/>
          <w:sz w:val="24"/>
          <w:szCs w:val="24"/>
        </w:rPr>
        <w:t>BMJ Open</w:t>
      </w:r>
      <w:r w:rsidRPr="00661363">
        <w:rPr>
          <w:rFonts w:ascii="Book Antiqua" w:hAnsi="Book Antiqua"/>
          <w:sz w:val="24"/>
          <w:szCs w:val="24"/>
        </w:rPr>
        <w:t xml:space="preserve"> 2019; </w:t>
      </w:r>
      <w:r w:rsidRPr="00661363">
        <w:rPr>
          <w:rFonts w:ascii="Book Antiqua" w:hAnsi="Book Antiqua"/>
          <w:b/>
          <w:sz w:val="24"/>
          <w:szCs w:val="24"/>
        </w:rPr>
        <w:t>9</w:t>
      </w:r>
      <w:r w:rsidRPr="00661363">
        <w:rPr>
          <w:rFonts w:ascii="Book Antiqua" w:hAnsi="Book Antiqua"/>
          <w:sz w:val="24"/>
          <w:szCs w:val="24"/>
        </w:rPr>
        <w:t>: e023775 [PMID: 31189669 DOI: 10.1136/bmjopen-2018-023775]</w:t>
      </w:r>
    </w:p>
    <w:p w14:paraId="4583F187"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11 </w:t>
      </w:r>
      <w:r w:rsidRPr="00661363">
        <w:rPr>
          <w:rFonts w:ascii="Book Antiqua" w:hAnsi="Book Antiqua"/>
          <w:b/>
          <w:sz w:val="24"/>
          <w:szCs w:val="24"/>
        </w:rPr>
        <w:t>Huang HY</w:t>
      </w:r>
      <w:r w:rsidRPr="00661363">
        <w:rPr>
          <w:rFonts w:ascii="Book Antiqua" w:hAnsi="Book Antiqua"/>
          <w:sz w:val="24"/>
          <w:szCs w:val="24"/>
        </w:rPr>
        <w:t xml:space="preserve">, Lin SY, Cheng SH, Wang CC. Effectiveness and Safety of Different Rivaroxaban Dosage Regimens in Patients with Non-Valvular Atrial Fibrillation: A Nationwide, Population-Based Cohort Study. </w:t>
      </w:r>
      <w:r w:rsidRPr="00661363">
        <w:rPr>
          <w:rFonts w:ascii="Book Antiqua" w:hAnsi="Book Antiqua"/>
          <w:i/>
          <w:sz w:val="24"/>
          <w:szCs w:val="24"/>
        </w:rPr>
        <w:t>Sci Rep</w:t>
      </w:r>
      <w:r w:rsidRPr="00661363">
        <w:rPr>
          <w:rFonts w:ascii="Book Antiqua" w:hAnsi="Book Antiqua"/>
          <w:sz w:val="24"/>
          <w:szCs w:val="24"/>
        </w:rPr>
        <w:t xml:space="preserve"> 2018; </w:t>
      </w:r>
      <w:r w:rsidRPr="00661363">
        <w:rPr>
          <w:rFonts w:ascii="Book Antiqua" w:hAnsi="Book Antiqua"/>
          <w:b/>
          <w:sz w:val="24"/>
          <w:szCs w:val="24"/>
        </w:rPr>
        <w:t>8</w:t>
      </w:r>
      <w:r w:rsidRPr="00661363">
        <w:rPr>
          <w:rFonts w:ascii="Book Antiqua" w:hAnsi="Book Antiqua"/>
          <w:sz w:val="24"/>
          <w:szCs w:val="24"/>
        </w:rPr>
        <w:t>: 3451 [PMID: 29472623 DOI: 10.1038/s41598-018-21884-y]</w:t>
      </w:r>
    </w:p>
    <w:p w14:paraId="71D5A8D9" w14:textId="59269779"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12 </w:t>
      </w:r>
      <w:r w:rsidRPr="00661363">
        <w:rPr>
          <w:rFonts w:ascii="Book Antiqua" w:hAnsi="Book Antiqua"/>
          <w:b/>
          <w:sz w:val="24"/>
          <w:szCs w:val="24"/>
        </w:rPr>
        <w:t>Bosch NA</w:t>
      </w:r>
      <w:r w:rsidRPr="00661363">
        <w:rPr>
          <w:rFonts w:ascii="Book Antiqua" w:hAnsi="Book Antiqua"/>
          <w:sz w:val="24"/>
          <w:szCs w:val="24"/>
        </w:rPr>
        <w:t xml:space="preserve">, Cohen DM, Walkey AJ. Risk Factors for New-Onset Atrial Fibrillation in Patients With Sepsis: A Systematic Review and Meta-Analysis. </w:t>
      </w:r>
      <w:r w:rsidRPr="00661363">
        <w:rPr>
          <w:rFonts w:ascii="Book Antiqua" w:hAnsi="Book Antiqua"/>
          <w:i/>
          <w:sz w:val="24"/>
          <w:szCs w:val="24"/>
        </w:rPr>
        <w:t>Crit Care Med</w:t>
      </w:r>
      <w:r w:rsidRPr="00661363">
        <w:rPr>
          <w:rFonts w:ascii="Book Antiqua" w:hAnsi="Book Antiqua"/>
          <w:sz w:val="24"/>
          <w:szCs w:val="24"/>
        </w:rPr>
        <w:t xml:space="preserve"> 2019; </w:t>
      </w:r>
      <w:r w:rsidRPr="00661363">
        <w:rPr>
          <w:rFonts w:ascii="Book Antiqua" w:hAnsi="Book Antiqua"/>
          <w:b/>
          <w:sz w:val="24"/>
          <w:szCs w:val="24"/>
        </w:rPr>
        <w:t>47</w:t>
      </w:r>
      <w:r w:rsidRPr="00661363">
        <w:rPr>
          <w:rFonts w:ascii="Book Antiqua" w:hAnsi="Book Antiqua"/>
          <w:sz w:val="24"/>
          <w:szCs w:val="24"/>
        </w:rPr>
        <w:t xml:space="preserve">: 280-287 [PMID: 30653473 DOI: </w:t>
      </w:r>
      <w:r w:rsidR="00A45BA1" w:rsidRPr="00A45BA1">
        <w:rPr>
          <w:rFonts w:ascii="Book Antiqua" w:hAnsi="Book Antiqua"/>
          <w:sz w:val="24"/>
          <w:szCs w:val="24"/>
        </w:rPr>
        <w:t>10.1097/CCM.0000000000003560</w:t>
      </w:r>
      <w:r w:rsidRPr="00661363">
        <w:rPr>
          <w:rFonts w:ascii="Book Antiqua" w:hAnsi="Book Antiqua"/>
          <w:sz w:val="24"/>
          <w:szCs w:val="24"/>
        </w:rPr>
        <w:t>]</w:t>
      </w:r>
    </w:p>
    <w:p w14:paraId="2CBB80BF"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13 </w:t>
      </w:r>
      <w:r w:rsidRPr="00661363">
        <w:rPr>
          <w:rFonts w:ascii="Book Antiqua" w:hAnsi="Book Antiqua"/>
          <w:b/>
          <w:sz w:val="24"/>
          <w:szCs w:val="24"/>
        </w:rPr>
        <w:t>Nishimura M</w:t>
      </w:r>
      <w:r w:rsidRPr="00661363">
        <w:rPr>
          <w:rFonts w:ascii="Book Antiqua" w:hAnsi="Book Antiqua"/>
          <w:sz w:val="24"/>
          <w:szCs w:val="24"/>
        </w:rPr>
        <w:t xml:space="preserve">, Hsu JC. Non-Vitamin K Antagonist Oral Anticoagulants in Patients With Atrial Fibrillation and End-Stage Renal Disease. </w:t>
      </w:r>
      <w:r w:rsidRPr="00661363">
        <w:rPr>
          <w:rFonts w:ascii="Book Antiqua" w:hAnsi="Book Antiqua"/>
          <w:i/>
          <w:sz w:val="24"/>
          <w:szCs w:val="24"/>
        </w:rPr>
        <w:t>Am J Cardiol</w:t>
      </w:r>
      <w:r w:rsidRPr="00661363">
        <w:rPr>
          <w:rFonts w:ascii="Book Antiqua" w:hAnsi="Book Antiqua"/>
          <w:sz w:val="24"/>
          <w:szCs w:val="24"/>
        </w:rPr>
        <w:t xml:space="preserve"> 2018; </w:t>
      </w:r>
      <w:r w:rsidRPr="00661363">
        <w:rPr>
          <w:rFonts w:ascii="Book Antiqua" w:hAnsi="Book Antiqua"/>
          <w:b/>
          <w:sz w:val="24"/>
          <w:szCs w:val="24"/>
        </w:rPr>
        <w:t>121</w:t>
      </w:r>
      <w:r w:rsidRPr="00661363">
        <w:rPr>
          <w:rFonts w:ascii="Book Antiqua" w:hAnsi="Book Antiqua"/>
          <w:sz w:val="24"/>
          <w:szCs w:val="24"/>
        </w:rPr>
        <w:t>: 131-140 [PMID: 29132650 DOI: 10.1016/j.amjcard.2017.09.030]</w:t>
      </w:r>
    </w:p>
    <w:p w14:paraId="3046F93A"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14 </w:t>
      </w:r>
      <w:r w:rsidRPr="00661363">
        <w:rPr>
          <w:rFonts w:ascii="Book Antiqua" w:hAnsi="Book Antiqua"/>
          <w:b/>
          <w:sz w:val="24"/>
          <w:szCs w:val="24"/>
        </w:rPr>
        <w:t>Patti G</w:t>
      </w:r>
      <w:r w:rsidRPr="00661363">
        <w:rPr>
          <w:rFonts w:ascii="Book Antiqua" w:hAnsi="Book Antiqua"/>
          <w:sz w:val="24"/>
          <w:szCs w:val="24"/>
        </w:rPr>
        <w:t xml:space="preserve">. Patients with atrial fibrillation and coronary events: are we any closer to coming out from the labyrinth of the various antithrombotic strategies? </w:t>
      </w:r>
      <w:r w:rsidRPr="00661363">
        <w:rPr>
          <w:rFonts w:ascii="Book Antiqua" w:hAnsi="Book Antiqua"/>
          <w:i/>
          <w:sz w:val="24"/>
          <w:szCs w:val="24"/>
        </w:rPr>
        <w:t>Heart</w:t>
      </w:r>
      <w:r w:rsidRPr="00661363">
        <w:rPr>
          <w:rFonts w:ascii="Book Antiqua" w:hAnsi="Book Antiqua"/>
          <w:sz w:val="24"/>
          <w:szCs w:val="24"/>
        </w:rPr>
        <w:t xml:space="preserve"> 2018; </w:t>
      </w:r>
      <w:r w:rsidRPr="00661363">
        <w:rPr>
          <w:rFonts w:ascii="Book Antiqua" w:hAnsi="Book Antiqua"/>
          <w:b/>
          <w:sz w:val="24"/>
          <w:szCs w:val="24"/>
        </w:rPr>
        <w:t>104</w:t>
      </w:r>
      <w:r w:rsidRPr="00661363">
        <w:rPr>
          <w:rFonts w:ascii="Book Antiqua" w:hAnsi="Book Antiqua"/>
          <w:sz w:val="24"/>
          <w:szCs w:val="24"/>
        </w:rPr>
        <w:t>: 878-879 [PMID: 29175977 DOI: 10.1136/heartjnl-2017-312576]</w:t>
      </w:r>
    </w:p>
    <w:p w14:paraId="2DD3F7BE"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15 </w:t>
      </w:r>
      <w:r w:rsidRPr="00661363">
        <w:rPr>
          <w:rFonts w:ascii="Book Antiqua" w:hAnsi="Book Antiqua"/>
          <w:b/>
          <w:sz w:val="24"/>
          <w:szCs w:val="24"/>
        </w:rPr>
        <w:t>Rakhshan M</w:t>
      </w:r>
      <w:r w:rsidRPr="00661363">
        <w:rPr>
          <w:rFonts w:ascii="Book Antiqua" w:hAnsi="Book Antiqua"/>
          <w:sz w:val="24"/>
          <w:szCs w:val="24"/>
        </w:rPr>
        <w:t xml:space="preserve">, Najafi H, Valizadeh GA. Lifestyle of Patients with Atrial Fibrillation Following Self-Management Interventions: a Randomized Clinical Trial. </w:t>
      </w:r>
      <w:r w:rsidRPr="00661363">
        <w:rPr>
          <w:rFonts w:ascii="Book Antiqua" w:hAnsi="Book Antiqua"/>
          <w:i/>
          <w:sz w:val="24"/>
          <w:szCs w:val="24"/>
        </w:rPr>
        <w:t>J Caring Sci</w:t>
      </w:r>
      <w:r w:rsidRPr="00661363">
        <w:rPr>
          <w:rFonts w:ascii="Book Antiqua" w:hAnsi="Book Antiqua"/>
          <w:sz w:val="24"/>
          <w:szCs w:val="24"/>
        </w:rPr>
        <w:t xml:space="preserve"> 2019; </w:t>
      </w:r>
      <w:r w:rsidRPr="00661363">
        <w:rPr>
          <w:rFonts w:ascii="Book Antiqua" w:hAnsi="Book Antiqua"/>
          <w:b/>
          <w:sz w:val="24"/>
          <w:szCs w:val="24"/>
        </w:rPr>
        <w:t>8</w:t>
      </w:r>
      <w:r w:rsidRPr="00661363">
        <w:rPr>
          <w:rFonts w:ascii="Book Antiqua" w:hAnsi="Book Antiqua"/>
          <w:sz w:val="24"/>
          <w:szCs w:val="24"/>
        </w:rPr>
        <w:t>: 83-88 [PMID: 31249817 DOI: 10.15171/jcs.2019.012]</w:t>
      </w:r>
    </w:p>
    <w:p w14:paraId="37D40D6A"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16 </w:t>
      </w:r>
      <w:r w:rsidRPr="00661363">
        <w:rPr>
          <w:rFonts w:ascii="Book Antiqua" w:hAnsi="Book Antiqua"/>
          <w:b/>
          <w:sz w:val="24"/>
          <w:szCs w:val="24"/>
        </w:rPr>
        <w:t>Gao L</w:t>
      </w:r>
      <w:r w:rsidRPr="00661363">
        <w:rPr>
          <w:rFonts w:ascii="Book Antiqua" w:hAnsi="Book Antiqua"/>
          <w:sz w:val="24"/>
          <w:szCs w:val="24"/>
        </w:rPr>
        <w:t xml:space="preserve">, Moodie M. Modelling the lifetime cost-effectiveness of catheter ablation for atrial fibrillation with heart failure. </w:t>
      </w:r>
      <w:r w:rsidRPr="00661363">
        <w:rPr>
          <w:rFonts w:ascii="Book Antiqua" w:hAnsi="Book Antiqua"/>
          <w:i/>
          <w:sz w:val="24"/>
          <w:szCs w:val="24"/>
        </w:rPr>
        <w:t>BMJ Open</w:t>
      </w:r>
      <w:r w:rsidRPr="00661363">
        <w:rPr>
          <w:rFonts w:ascii="Book Antiqua" w:hAnsi="Book Antiqua"/>
          <w:sz w:val="24"/>
          <w:szCs w:val="24"/>
        </w:rPr>
        <w:t xml:space="preserve"> 2019; </w:t>
      </w:r>
      <w:r w:rsidRPr="00661363">
        <w:rPr>
          <w:rFonts w:ascii="Book Antiqua" w:hAnsi="Book Antiqua"/>
          <w:b/>
          <w:sz w:val="24"/>
          <w:szCs w:val="24"/>
        </w:rPr>
        <w:t>9</w:t>
      </w:r>
      <w:r w:rsidRPr="00661363">
        <w:rPr>
          <w:rFonts w:ascii="Book Antiqua" w:hAnsi="Book Antiqua"/>
          <w:sz w:val="24"/>
          <w:szCs w:val="24"/>
        </w:rPr>
        <w:t>: e031033 [PMID: 31492790 DOI: 10.1136/bmjopen-2019-031033]</w:t>
      </w:r>
    </w:p>
    <w:p w14:paraId="5D1369BB" w14:textId="5385B248"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17 </w:t>
      </w:r>
      <w:r w:rsidRPr="00661363">
        <w:rPr>
          <w:rFonts w:ascii="Book Antiqua" w:hAnsi="Book Antiqua"/>
          <w:b/>
          <w:sz w:val="24"/>
          <w:szCs w:val="24"/>
        </w:rPr>
        <w:t>Sun YJ</w:t>
      </w:r>
      <w:r w:rsidRPr="00661363">
        <w:rPr>
          <w:rFonts w:ascii="Book Antiqua" w:hAnsi="Book Antiqua"/>
          <w:sz w:val="24"/>
          <w:szCs w:val="24"/>
        </w:rPr>
        <w:t xml:space="preserve">, Yin XM, Cong T, Gao LJ, Chang D, Xiao XJ, Sun QB, Zhang RF, Yu XH, Dong YX, Yang YZ, Xia YL. Comparison of cryoballoon ablation for atrial fibrillation guided by real-time three-dimensional transesophageal echocardiography vs. contrast agent injection. </w:t>
      </w:r>
      <w:r w:rsidRPr="00661363">
        <w:rPr>
          <w:rFonts w:ascii="Book Antiqua" w:hAnsi="Book Antiqua"/>
          <w:i/>
          <w:sz w:val="24"/>
          <w:szCs w:val="24"/>
        </w:rPr>
        <w:t>Chin Med J (Engl)</w:t>
      </w:r>
      <w:r w:rsidRPr="00661363">
        <w:rPr>
          <w:rFonts w:ascii="Book Antiqua" w:hAnsi="Book Antiqua"/>
          <w:sz w:val="24"/>
          <w:szCs w:val="24"/>
        </w:rPr>
        <w:t xml:space="preserve"> 2019; </w:t>
      </w:r>
      <w:r w:rsidRPr="00661363">
        <w:rPr>
          <w:rFonts w:ascii="Book Antiqua" w:hAnsi="Book Antiqua"/>
          <w:b/>
          <w:sz w:val="24"/>
          <w:szCs w:val="24"/>
        </w:rPr>
        <w:t>132</w:t>
      </w:r>
      <w:r w:rsidRPr="00661363">
        <w:rPr>
          <w:rFonts w:ascii="Book Antiqua" w:hAnsi="Book Antiqua"/>
          <w:sz w:val="24"/>
          <w:szCs w:val="24"/>
        </w:rPr>
        <w:t>: 285-293 [PMID: 30681494 DOI:</w:t>
      </w:r>
      <w:r w:rsidR="00B73FED" w:rsidRPr="00B73FED">
        <w:t xml:space="preserve"> </w:t>
      </w:r>
      <w:r w:rsidR="00B73FED" w:rsidRPr="00B73FED">
        <w:rPr>
          <w:rFonts w:ascii="Book Antiqua" w:hAnsi="Book Antiqua"/>
          <w:sz w:val="24"/>
          <w:szCs w:val="24"/>
        </w:rPr>
        <w:t>10.1097/CM9.0000000000000076</w:t>
      </w:r>
      <w:r w:rsidRPr="00661363">
        <w:rPr>
          <w:rFonts w:ascii="Book Antiqua" w:hAnsi="Book Antiqua"/>
          <w:sz w:val="24"/>
          <w:szCs w:val="24"/>
        </w:rPr>
        <w:t>]</w:t>
      </w:r>
    </w:p>
    <w:p w14:paraId="4CCC1D0D"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18 </w:t>
      </w:r>
      <w:r w:rsidRPr="00661363">
        <w:rPr>
          <w:rFonts w:ascii="Book Antiqua" w:hAnsi="Book Antiqua"/>
          <w:b/>
          <w:sz w:val="24"/>
          <w:szCs w:val="24"/>
        </w:rPr>
        <w:t>Qiu H</w:t>
      </w:r>
      <w:r w:rsidRPr="00661363">
        <w:rPr>
          <w:rFonts w:ascii="Book Antiqua" w:hAnsi="Book Antiqua"/>
          <w:sz w:val="24"/>
          <w:szCs w:val="24"/>
        </w:rPr>
        <w:t xml:space="preserve">, Ji C, Wu H, Zou C. Chronic kidney disease-induced atrial structural remodeling and atrial fibrillation: more studies on the pathological mechanism are encouraged. </w:t>
      </w:r>
      <w:r w:rsidRPr="00661363">
        <w:rPr>
          <w:rFonts w:ascii="Book Antiqua" w:hAnsi="Book Antiqua"/>
          <w:i/>
          <w:sz w:val="24"/>
          <w:szCs w:val="24"/>
        </w:rPr>
        <w:t>Naunyn Schmiedebergs Arch Pharmacol</w:t>
      </w:r>
      <w:r w:rsidRPr="00661363">
        <w:rPr>
          <w:rFonts w:ascii="Book Antiqua" w:hAnsi="Book Antiqua"/>
          <w:sz w:val="24"/>
          <w:szCs w:val="24"/>
        </w:rPr>
        <w:t xml:space="preserve"> 2018; </w:t>
      </w:r>
      <w:r w:rsidRPr="00661363">
        <w:rPr>
          <w:rFonts w:ascii="Book Antiqua" w:hAnsi="Book Antiqua"/>
          <w:b/>
          <w:sz w:val="24"/>
          <w:szCs w:val="24"/>
        </w:rPr>
        <w:t>391</w:t>
      </w:r>
      <w:r w:rsidRPr="00661363">
        <w:rPr>
          <w:rFonts w:ascii="Book Antiqua" w:hAnsi="Book Antiqua"/>
          <w:sz w:val="24"/>
          <w:szCs w:val="24"/>
        </w:rPr>
        <w:t>: 671-673 [PMID: 29744559 DOI: 10.1007/s00210-018-1494-4]</w:t>
      </w:r>
    </w:p>
    <w:p w14:paraId="4D8347B3" w14:textId="59C24F66"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19 </w:t>
      </w:r>
      <w:r w:rsidRPr="00661363">
        <w:rPr>
          <w:rFonts w:ascii="Book Antiqua" w:hAnsi="Book Antiqua"/>
          <w:b/>
          <w:sz w:val="24"/>
          <w:szCs w:val="24"/>
        </w:rPr>
        <w:t>Avula UMR</w:t>
      </w:r>
      <w:r w:rsidRPr="00661363">
        <w:rPr>
          <w:rFonts w:ascii="Book Antiqua" w:hAnsi="Book Antiqua"/>
          <w:sz w:val="24"/>
          <w:szCs w:val="24"/>
        </w:rPr>
        <w:t xml:space="preserve">, Hernandez JJ, Yamazaki M, Valdivia CR, Chu A, Rojas-Pena A, Kaur K, Ramos-Mondragón R, Anumonwo JM, Nattel S, Valdivia HH, Kalifa J. Atrial Infarction-Induced Spontaneous Focal Discharges and Atrial Fibrillation in Sheep: Role of Dantrolene-Sensitive Aberrant Ryanodine Receptor Calcium Release. </w:t>
      </w:r>
      <w:r w:rsidRPr="00661363">
        <w:rPr>
          <w:rFonts w:ascii="Book Antiqua" w:hAnsi="Book Antiqua"/>
          <w:i/>
          <w:sz w:val="24"/>
          <w:szCs w:val="24"/>
        </w:rPr>
        <w:t>Circ Arrhythm Electrophysiol</w:t>
      </w:r>
      <w:r w:rsidRPr="00661363">
        <w:rPr>
          <w:rFonts w:ascii="Book Antiqua" w:hAnsi="Book Antiqua"/>
          <w:sz w:val="24"/>
          <w:szCs w:val="24"/>
        </w:rPr>
        <w:t xml:space="preserve"> 2018; </w:t>
      </w:r>
      <w:r w:rsidRPr="00661363">
        <w:rPr>
          <w:rFonts w:ascii="Book Antiqua" w:hAnsi="Book Antiqua"/>
          <w:b/>
          <w:sz w:val="24"/>
          <w:szCs w:val="24"/>
        </w:rPr>
        <w:t>11</w:t>
      </w:r>
      <w:r w:rsidRPr="00661363">
        <w:rPr>
          <w:rFonts w:ascii="Book Antiqua" w:hAnsi="Book Antiqua"/>
          <w:sz w:val="24"/>
          <w:szCs w:val="24"/>
        </w:rPr>
        <w:t xml:space="preserve">: e005659 [PMID: 29540372 DOI: </w:t>
      </w:r>
      <w:r w:rsidR="00DD7065" w:rsidRPr="00DD7065">
        <w:rPr>
          <w:rFonts w:ascii="Book Antiqua" w:hAnsi="Book Antiqua"/>
          <w:sz w:val="24"/>
          <w:szCs w:val="24"/>
        </w:rPr>
        <w:t>10.1161/CIRCEP.117.005659</w:t>
      </w:r>
      <w:r w:rsidRPr="00661363">
        <w:rPr>
          <w:rFonts w:ascii="Book Antiqua" w:hAnsi="Book Antiqua"/>
          <w:sz w:val="24"/>
          <w:szCs w:val="24"/>
        </w:rPr>
        <w:t>]</w:t>
      </w:r>
    </w:p>
    <w:p w14:paraId="40627EE9" w14:textId="4D9B63B6"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20 </w:t>
      </w:r>
      <w:r w:rsidRPr="00661363">
        <w:rPr>
          <w:rFonts w:ascii="Book Antiqua" w:hAnsi="Book Antiqua"/>
          <w:b/>
          <w:sz w:val="24"/>
          <w:szCs w:val="24"/>
        </w:rPr>
        <w:t>Di Monaco A</w:t>
      </w:r>
      <w:r w:rsidRPr="00661363">
        <w:rPr>
          <w:rFonts w:ascii="Book Antiqua" w:hAnsi="Book Antiqua"/>
          <w:sz w:val="24"/>
          <w:szCs w:val="24"/>
        </w:rPr>
        <w:t xml:space="preserve">, Quadrini F, Troisi F, Vitulano N, Cecere G, Guida P, Langialonga T, Grimaldi M. Bilateral left lateral ridge ablation increases the long-term success of patients ablated for atrial fibrillation. </w:t>
      </w:r>
      <w:r w:rsidRPr="00661363">
        <w:rPr>
          <w:rFonts w:ascii="Book Antiqua" w:hAnsi="Book Antiqua"/>
          <w:i/>
          <w:sz w:val="24"/>
          <w:szCs w:val="24"/>
        </w:rPr>
        <w:t>J Cardiovasc Med (Hagerstown)</w:t>
      </w:r>
      <w:r w:rsidRPr="00661363">
        <w:rPr>
          <w:rFonts w:ascii="Book Antiqua" w:hAnsi="Book Antiqua"/>
          <w:sz w:val="24"/>
          <w:szCs w:val="24"/>
        </w:rPr>
        <w:t xml:space="preserve"> 2019; </w:t>
      </w:r>
      <w:r w:rsidRPr="00661363">
        <w:rPr>
          <w:rFonts w:ascii="Book Antiqua" w:hAnsi="Book Antiqua"/>
          <w:b/>
          <w:sz w:val="24"/>
          <w:szCs w:val="24"/>
        </w:rPr>
        <w:t>20</w:t>
      </w:r>
      <w:r w:rsidRPr="00661363">
        <w:rPr>
          <w:rFonts w:ascii="Book Antiqua" w:hAnsi="Book Antiqua"/>
          <w:sz w:val="24"/>
          <w:szCs w:val="24"/>
        </w:rPr>
        <w:t xml:space="preserve">: 186-191 [PMID: 30762661 DOI: </w:t>
      </w:r>
      <w:r w:rsidR="00DD7065" w:rsidRPr="00DD7065">
        <w:rPr>
          <w:rFonts w:ascii="Book Antiqua" w:hAnsi="Book Antiqua"/>
          <w:sz w:val="24"/>
          <w:szCs w:val="24"/>
        </w:rPr>
        <w:t>10.2459/JCM.0000000000000779</w:t>
      </w:r>
      <w:r w:rsidRPr="00661363">
        <w:rPr>
          <w:rFonts w:ascii="Book Antiqua" w:hAnsi="Book Antiqua"/>
          <w:sz w:val="24"/>
          <w:szCs w:val="24"/>
        </w:rPr>
        <w:t>]</w:t>
      </w:r>
    </w:p>
    <w:p w14:paraId="224EEBB2" w14:textId="77777777" w:rsidR="006F0905" w:rsidRPr="00661363" w:rsidRDefault="006F0905" w:rsidP="00661363">
      <w:pPr>
        <w:widowControl/>
        <w:adjustRightInd w:val="0"/>
        <w:snapToGrid w:val="0"/>
        <w:spacing w:line="360" w:lineRule="auto"/>
        <w:rPr>
          <w:rFonts w:ascii="Book Antiqua" w:eastAsia="宋体" w:hAnsi="Book Antiqua" w:cs="Times New Roman"/>
          <w:b/>
          <w:bCs/>
          <w:color w:val="000000" w:themeColor="text1"/>
          <w:kern w:val="0"/>
          <w:sz w:val="24"/>
          <w:szCs w:val="24"/>
        </w:rPr>
      </w:pPr>
      <w:r w:rsidRPr="00661363">
        <w:rPr>
          <w:rFonts w:ascii="Book Antiqua" w:hAnsi="Book Antiqua"/>
          <w:b/>
          <w:bCs/>
          <w:color w:val="000000" w:themeColor="text1"/>
          <w:sz w:val="24"/>
          <w:szCs w:val="24"/>
        </w:rPr>
        <w:br w:type="page"/>
      </w:r>
    </w:p>
    <w:p w14:paraId="7937E1BC" w14:textId="77777777" w:rsidR="00EC64E3" w:rsidRPr="00661363" w:rsidRDefault="00EC64E3" w:rsidP="00661363">
      <w:pPr>
        <w:adjustRightInd w:val="0"/>
        <w:snapToGrid w:val="0"/>
        <w:spacing w:line="360" w:lineRule="auto"/>
        <w:rPr>
          <w:rFonts w:ascii="Book Antiqua" w:hAnsi="Book Antiqua"/>
          <w:b/>
          <w:sz w:val="24"/>
          <w:szCs w:val="24"/>
        </w:rPr>
      </w:pPr>
      <w:r w:rsidRPr="00661363">
        <w:rPr>
          <w:rFonts w:ascii="Book Antiqua" w:hAnsi="Book Antiqua"/>
          <w:b/>
          <w:sz w:val="24"/>
          <w:szCs w:val="24"/>
        </w:rPr>
        <w:t>Footnotes</w:t>
      </w:r>
    </w:p>
    <w:p w14:paraId="1569E26F" w14:textId="77E54469" w:rsidR="00EC64E3" w:rsidRPr="00661363" w:rsidRDefault="00EC64E3" w:rsidP="00661363">
      <w:pPr>
        <w:adjustRightInd w:val="0"/>
        <w:snapToGrid w:val="0"/>
        <w:spacing w:line="360" w:lineRule="auto"/>
        <w:rPr>
          <w:rFonts w:ascii="Book Antiqua" w:hAnsi="Book Antiqua"/>
          <w:b/>
          <w:sz w:val="24"/>
          <w:szCs w:val="24"/>
        </w:rPr>
      </w:pPr>
      <w:r w:rsidRPr="00661363">
        <w:rPr>
          <w:rFonts w:ascii="Book Antiqua" w:hAnsi="Book Antiqua"/>
          <w:b/>
          <w:sz w:val="24"/>
          <w:szCs w:val="24"/>
        </w:rPr>
        <w:t>Institutional review board statement</w:t>
      </w:r>
      <w:r w:rsidRPr="00661363">
        <w:rPr>
          <w:rFonts w:ascii="Book Antiqua" w:hAnsi="Book Antiqua"/>
          <w:b/>
          <w:iCs/>
          <w:color w:val="000000"/>
          <w:kern w:val="0"/>
          <w:sz w:val="24"/>
          <w:szCs w:val="24"/>
        </w:rPr>
        <w:t>:</w:t>
      </w:r>
      <w:r w:rsidRPr="00661363">
        <w:rPr>
          <w:rFonts w:ascii="Book Antiqua" w:hAnsi="Book Antiqua"/>
          <w:sz w:val="24"/>
          <w:szCs w:val="24"/>
        </w:rPr>
        <w:t xml:space="preserve"> This study was reviewed and approved by the Ethics Committee of the </w:t>
      </w:r>
      <w:r w:rsidRPr="00661363">
        <w:rPr>
          <w:rFonts w:ascii="Book Antiqua" w:eastAsia="等线" w:hAnsi="Book Antiqua" w:cs="Garamond"/>
          <w:color w:val="000000" w:themeColor="text1"/>
          <w:sz w:val="24"/>
          <w:szCs w:val="24"/>
        </w:rPr>
        <w:t>Dongguan Songshan Lake Central Hospital</w:t>
      </w:r>
      <w:r w:rsidRPr="00661363">
        <w:rPr>
          <w:rFonts w:ascii="Book Antiqua" w:hAnsi="Book Antiqua"/>
          <w:sz w:val="24"/>
          <w:szCs w:val="24"/>
        </w:rPr>
        <w:t>.</w:t>
      </w:r>
    </w:p>
    <w:p w14:paraId="14728305" w14:textId="77777777" w:rsidR="00EC64E3" w:rsidRPr="00661363" w:rsidRDefault="00EC64E3" w:rsidP="00661363">
      <w:pPr>
        <w:pStyle w:val="p16"/>
        <w:adjustRightInd w:val="0"/>
        <w:snapToGrid w:val="0"/>
        <w:spacing w:line="360" w:lineRule="auto"/>
        <w:rPr>
          <w:rFonts w:ascii="Book Antiqua" w:eastAsia="等线" w:hAnsi="Book Antiqua" w:cs="Garamond"/>
          <w:b/>
          <w:color w:val="000000" w:themeColor="text1"/>
          <w:sz w:val="24"/>
          <w:szCs w:val="24"/>
        </w:rPr>
      </w:pPr>
    </w:p>
    <w:p w14:paraId="1AB39D3F" w14:textId="09A845EB" w:rsidR="00725F55" w:rsidRPr="00661363" w:rsidRDefault="00725F55" w:rsidP="00661363">
      <w:pPr>
        <w:pStyle w:val="p16"/>
        <w:adjustRightInd w:val="0"/>
        <w:snapToGrid w:val="0"/>
        <w:spacing w:line="360" w:lineRule="auto"/>
        <w:rPr>
          <w:rFonts w:ascii="Book Antiqua" w:hAnsi="Book Antiqua"/>
          <w:b/>
          <w:bCs/>
          <w:color w:val="000000" w:themeColor="text1"/>
          <w:sz w:val="24"/>
          <w:szCs w:val="24"/>
        </w:rPr>
      </w:pPr>
      <w:r w:rsidRPr="00661363">
        <w:rPr>
          <w:rFonts w:ascii="Book Antiqua" w:eastAsia="等线" w:hAnsi="Book Antiqua" w:cs="Garamond"/>
          <w:b/>
          <w:color w:val="000000" w:themeColor="text1"/>
          <w:sz w:val="24"/>
          <w:szCs w:val="24"/>
        </w:rPr>
        <w:t xml:space="preserve">Informed consent statement: </w:t>
      </w:r>
      <w:r w:rsidRPr="00661363">
        <w:rPr>
          <w:rFonts w:ascii="Book Antiqua" w:hAnsi="Book Antiqua"/>
          <w:color w:val="000000" w:themeColor="text1"/>
          <w:sz w:val="24"/>
          <w:szCs w:val="24"/>
        </w:rPr>
        <w:t>Informed consent was obtained from the patient</w:t>
      </w:r>
      <w:r w:rsidR="00C826E6">
        <w:rPr>
          <w:rFonts w:ascii="Book Antiqua" w:hAnsi="Book Antiqua"/>
          <w:color w:val="000000" w:themeColor="text1"/>
          <w:sz w:val="24"/>
          <w:szCs w:val="24"/>
        </w:rPr>
        <w:t>s</w:t>
      </w:r>
      <w:r w:rsidRPr="00661363">
        <w:rPr>
          <w:rFonts w:ascii="Book Antiqua" w:hAnsi="Book Antiqua"/>
          <w:color w:val="000000" w:themeColor="text1"/>
          <w:sz w:val="24"/>
          <w:szCs w:val="24"/>
        </w:rPr>
        <w:t>.</w:t>
      </w:r>
    </w:p>
    <w:p w14:paraId="77A4402B" w14:textId="77777777" w:rsidR="00725F55" w:rsidRPr="00C826E6" w:rsidRDefault="00725F55" w:rsidP="00661363">
      <w:pPr>
        <w:adjustRightInd w:val="0"/>
        <w:snapToGrid w:val="0"/>
        <w:spacing w:line="360" w:lineRule="auto"/>
        <w:rPr>
          <w:rFonts w:ascii="Book Antiqua" w:eastAsia="等线" w:hAnsi="Book Antiqua" w:cs="Garamond"/>
          <w:color w:val="000000" w:themeColor="text1"/>
          <w:sz w:val="24"/>
          <w:szCs w:val="24"/>
        </w:rPr>
      </w:pPr>
    </w:p>
    <w:p w14:paraId="733E99FE" w14:textId="16FF2064" w:rsidR="00725F55" w:rsidRPr="00661363" w:rsidRDefault="00725F55" w:rsidP="00661363">
      <w:pPr>
        <w:adjustRightInd w:val="0"/>
        <w:snapToGrid w:val="0"/>
        <w:spacing w:line="360" w:lineRule="auto"/>
        <w:rPr>
          <w:rFonts w:ascii="Book Antiqua" w:eastAsia="等线" w:hAnsi="Book Antiqua" w:cs="Garamond"/>
          <w:color w:val="000000" w:themeColor="text1"/>
          <w:sz w:val="24"/>
          <w:szCs w:val="24"/>
        </w:rPr>
      </w:pPr>
      <w:r w:rsidRPr="00661363">
        <w:rPr>
          <w:rFonts w:ascii="Book Antiqua" w:eastAsia="等线" w:hAnsi="Book Antiqua" w:cs="Garamond"/>
          <w:b/>
          <w:color w:val="000000" w:themeColor="text1"/>
          <w:sz w:val="24"/>
          <w:szCs w:val="24"/>
        </w:rPr>
        <w:t>Conflict-of-interest statement:</w:t>
      </w:r>
      <w:r w:rsidRPr="00661363">
        <w:rPr>
          <w:rFonts w:ascii="Book Antiqua" w:eastAsia="等线" w:hAnsi="Book Antiqua" w:cs="Garamond"/>
          <w:color w:val="000000" w:themeColor="text1"/>
          <w:sz w:val="24"/>
          <w:szCs w:val="24"/>
        </w:rPr>
        <w:t xml:space="preserve"> Dr. Lan </w:t>
      </w:r>
      <w:r w:rsidR="00A254E0" w:rsidRPr="00661363">
        <w:rPr>
          <w:rFonts w:ascii="Book Antiqua" w:eastAsia="等线" w:hAnsi="Book Antiqua" w:cs="Garamond"/>
          <w:color w:val="000000" w:themeColor="text1"/>
          <w:sz w:val="24"/>
          <w:szCs w:val="24"/>
        </w:rPr>
        <w:t xml:space="preserve">J </w:t>
      </w:r>
      <w:r w:rsidRPr="00661363">
        <w:rPr>
          <w:rFonts w:ascii="Book Antiqua" w:eastAsia="等线" w:hAnsi="Book Antiqua" w:cs="Garamond"/>
          <w:color w:val="000000" w:themeColor="text1"/>
          <w:sz w:val="24"/>
          <w:szCs w:val="24"/>
        </w:rPr>
        <w:t xml:space="preserve">reports </w:t>
      </w:r>
      <w:r w:rsidR="00DD3065">
        <w:rPr>
          <w:rFonts w:ascii="Book Antiqua" w:eastAsia="等线" w:hAnsi="Book Antiqua" w:cs="Garamond"/>
          <w:color w:val="000000" w:themeColor="text1"/>
          <w:sz w:val="24"/>
          <w:szCs w:val="24"/>
        </w:rPr>
        <w:t xml:space="preserve">a </w:t>
      </w:r>
      <w:r w:rsidRPr="00661363">
        <w:rPr>
          <w:rFonts w:ascii="Book Antiqua" w:eastAsia="等线" w:hAnsi="Book Antiqua" w:cs="Garamond"/>
          <w:color w:val="000000" w:themeColor="text1"/>
          <w:sz w:val="24"/>
          <w:szCs w:val="24"/>
        </w:rPr>
        <w:t xml:space="preserve">grant from Dongguan </w:t>
      </w:r>
      <w:r w:rsidR="00A254E0" w:rsidRPr="00661363">
        <w:rPr>
          <w:rFonts w:ascii="Book Antiqua" w:eastAsia="等线" w:hAnsi="Book Antiqua" w:cs="Garamond"/>
          <w:color w:val="000000" w:themeColor="text1"/>
          <w:sz w:val="24"/>
          <w:szCs w:val="24"/>
        </w:rPr>
        <w:t xml:space="preserve">Social Science </w:t>
      </w:r>
      <w:r w:rsidRPr="00661363">
        <w:rPr>
          <w:rFonts w:ascii="Book Antiqua" w:eastAsia="等线" w:hAnsi="Book Antiqua" w:cs="Garamond"/>
          <w:color w:val="000000" w:themeColor="text1"/>
          <w:sz w:val="24"/>
          <w:szCs w:val="24"/>
        </w:rPr>
        <w:t xml:space="preserve">and </w:t>
      </w:r>
      <w:r w:rsidR="00A254E0" w:rsidRPr="00661363">
        <w:rPr>
          <w:rFonts w:ascii="Book Antiqua" w:eastAsia="等线" w:hAnsi="Book Antiqua" w:cs="Garamond"/>
          <w:color w:val="000000" w:themeColor="text1"/>
          <w:sz w:val="24"/>
          <w:szCs w:val="24"/>
        </w:rPr>
        <w:t xml:space="preserve">Technology Development Project </w:t>
      </w:r>
      <w:r w:rsidRPr="00661363">
        <w:rPr>
          <w:rFonts w:ascii="Book Antiqua" w:eastAsia="等线" w:hAnsi="Book Antiqua" w:cs="Garamond"/>
          <w:color w:val="000000" w:themeColor="text1"/>
          <w:sz w:val="24"/>
          <w:szCs w:val="24"/>
        </w:rPr>
        <w:t>(</w:t>
      </w:r>
      <w:r w:rsidR="00C826E6" w:rsidRPr="00661363">
        <w:rPr>
          <w:rFonts w:ascii="Book Antiqua" w:eastAsia="等线" w:hAnsi="Book Antiqua" w:cs="Garamond"/>
          <w:color w:val="000000" w:themeColor="text1"/>
          <w:sz w:val="24"/>
          <w:szCs w:val="24"/>
        </w:rPr>
        <w:t>N</w:t>
      </w:r>
      <w:r w:rsidR="00C826E6">
        <w:rPr>
          <w:rFonts w:ascii="Book Antiqua" w:eastAsia="等线" w:hAnsi="Book Antiqua" w:cs="Garamond"/>
          <w:color w:val="000000" w:themeColor="text1"/>
          <w:sz w:val="24"/>
          <w:szCs w:val="24"/>
        </w:rPr>
        <w:t>o</w:t>
      </w:r>
      <w:r w:rsidRPr="00661363">
        <w:rPr>
          <w:rFonts w:ascii="Book Antiqua" w:eastAsia="等线" w:hAnsi="Book Antiqua" w:cs="Garamond"/>
          <w:color w:val="000000" w:themeColor="text1"/>
          <w:sz w:val="24"/>
          <w:szCs w:val="24"/>
        </w:rPr>
        <w:t>. 2015108101025) during the conduct of the study.</w:t>
      </w:r>
      <w:r w:rsidR="00A254E0" w:rsidRPr="00661363">
        <w:rPr>
          <w:rFonts w:ascii="Book Antiqua" w:eastAsia="等线" w:hAnsi="Book Antiqua" w:cs="Garamond"/>
          <w:color w:val="000000" w:themeColor="text1"/>
          <w:sz w:val="24"/>
          <w:szCs w:val="24"/>
        </w:rPr>
        <w:t xml:space="preserve"> Other authors have </w:t>
      </w:r>
      <w:r w:rsidR="00A254E0" w:rsidRPr="00661363">
        <w:rPr>
          <w:rFonts w:ascii="Book Antiqua" w:hAnsi="Book Antiqua" w:cs="TimesNewRomanPS-BoldItalicMT"/>
          <w:iCs/>
          <w:color w:val="000000"/>
          <w:kern w:val="0"/>
          <w:sz w:val="24"/>
          <w:szCs w:val="24"/>
        </w:rPr>
        <w:t>no financial relationships to disclose.</w:t>
      </w:r>
    </w:p>
    <w:p w14:paraId="740F143E" w14:textId="77777777" w:rsidR="00A254E0" w:rsidRPr="00661363" w:rsidRDefault="00A254E0" w:rsidP="00661363">
      <w:pPr>
        <w:adjustRightInd w:val="0"/>
        <w:snapToGrid w:val="0"/>
        <w:spacing w:line="360" w:lineRule="auto"/>
        <w:rPr>
          <w:rFonts w:ascii="Book Antiqua" w:hAnsi="Book Antiqua"/>
          <w:b/>
          <w:sz w:val="24"/>
          <w:szCs w:val="24"/>
        </w:rPr>
      </w:pPr>
    </w:p>
    <w:p w14:paraId="45128F45" w14:textId="77777777" w:rsidR="00A254E0" w:rsidRPr="00661363" w:rsidRDefault="00A254E0" w:rsidP="00661363">
      <w:pPr>
        <w:adjustRightInd w:val="0"/>
        <w:snapToGrid w:val="0"/>
        <w:spacing w:line="360" w:lineRule="auto"/>
        <w:rPr>
          <w:rFonts w:ascii="Book Antiqua" w:hAnsi="Book Antiqua"/>
          <w:b/>
          <w:sz w:val="24"/>
          <w:szCs w:val="24"/>
        </w:rPr>
      </w:pPr>
      <w:r w:rsidRPr="00661363">
        <w:rPr>
          <w:rFonts w:ascii="Book Antiqua" w:hAnsi="Book Antiqua"/>
          <w:b/>
          <w:sz w:val="24"/>
          <w:szCs w:val="24"/>
        </w:rPr>
        <w:t>Data sharing statement</w:t>
      </w:r>
      <w:r w:rsidRPr="00661363">
        <w:rPr>
          <w:rFonts w:ascii="Book Antiqua" w:hAnsi="Book Antiqua" w:cs="TimesNewRomanPS-BoldItalicMT"/>
          <w:b/>
          <w:iCs/>
          <w:color w:val="000000"/>
          <w:sz w:val="24"/>
          <w:szCs w:val="24"/>
        </w:rPr>
        <w:t>:</w:t>
      </w:r>
      <w:r w:rsidRPr="00661363">
        <w:rPr>
          <w:rFonts w:ascii="Book Antiqua" w:hAnsi="Book Antiqua"/>
          <w:b/>
          <w:sz w:val="24"/>
          <w:szCs w:val="24"/>
        </w:rPr>
        <w:t xml:space="preserve"> </w:t>
      </w:r>
      <w:r w:rsidRPr="00661363">
        <w:rPr>
          <w:rFonts w:ascii="Book Antiqua" w:hAnsi="Book Antiqua"/>
          <w:sz w:val="24"/>
          <w:szCs w:val="24"/>
        </w:rPr>
        <w:t>No additional data are available.</w:t>
      </w:r>
    </w:p>
    <w:p w14:paraId="43A6A686" w14:textId="77777777" w:rsidR="00725F55" w:rsidRPr="00661363" w:rsidRDefault="00725F55" w:rsidP="00661363">
      <w:pPr>
        <w:adjustRightInd w:val="0"/>
        <w:snapToGrid w:val="0"/>
        <w:spacing w:line="360" w:lineRule="auto"/>
        <w:rPr>
          <w:rFonts w:ascii="Book Antiqua" w:hAnsi="Book Antiqua"/>
          <w:b/>
          <w:bCs/>
          <w:color w:val="000000" w:themeColor="text1"/>
          <w:sz w:val="24"/>
          <w:szCs w:val="24"/>
        </w:rPr>
      </w:pPr>
    </w:p>
    <w:p w14:paraId="6D667E16" w14:textId="77777777" w:rsidR="00A254E0" w:rsidRPr="00661363" w:rsidRDefault="00A254E0" w:rsidP="00661363">
      <w:pPr>
        <w:widowControl/>
        <w:adjustRightInd w:val="0"/>
        <w:snapToGrid w:val="0"/>
        <w:spacing w:line="360" w:lineRule="auto"/>
        <w:rPr>
          <w:rFonts w:ascii="Book Antiqua" w:hAnsi="Book Antiqua" w:cs="宋体"/>
          <w:kern w:val="0"/>
          <w:sz w:val="24"/>
          <w:szCs w:val="24"/>
        </w:rPr>
      </w:pPr>
      <w:r w:rsidRPr="00661363">
        <w:rPr>
          <w:rFonts w:ascii="Book Antiqua" w:hAnsi="Book Antiqua"/>
          <w:b/>
          <w:color w:val="000000"/>
          <w:sz w:val="24"/>
          <w:szCs w:val="24"/>
        </w:rPr>
        <w:t>Open-Access:</w:t>
      </w:r>
      <w:r w:rsidRPr="00661363">
        <w:rPr>
          <w:rFonts w:ascii="Book Antiqua" w:hAnsi="Book Antiqua"/>
          <w:color w:val="000000"/>
          <w:sz w:val="24"/>
          <w:szCs w:val="24"/>
        </w:rPr>
        <w:t xml:space="preserve"> This article is an open-access </w:t>
      </w:r>
      <w:r w:rsidRPr="00661363">
        <w:rPr>
          <w:rFonts w:ascii="Book Antiqua" w:hAnsi="Book Antiqua"/>
          <w:sz w:val="24"/>
          <w:szCs w:val="24"/>
        </w:rPr>
        <w:t xml:space="preserve">article that was selected </w:t>
      </w:r>
      <w:r w:rsidRPr="00661363">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000430" w14:textId="77777777" w:rsidR="00A254E0" w:rsidRPr="00661363" w:rsidRDefault="00A254E0" w:rsidP="00661363">
      <w:pPr>
        <w:widowControl/>
        <w:adjustRightInd w:val="0"/>
        <w:snapToGrid w:val="0"/>
        <w:spacing w:line="360" w:lineRule="auto"/>
        <w:rPr>
          <w:rFonts w:ascii="Book Antiqua" w:hAnsi="Book Antiqua"/>
          <w:sz w:val="24"/>
          <w:szCs w:val="24"/>
        </w:rPr>
      </w:pPr>
    </w:p>
    <w:p w14:paraId="6BAD5204" w14:textId="77777777" w:rsidR="00A254E0" w:rsidRPr="00661363" w:rsidRDefault="00A254E0" w:rsidP="00661363">
      <w:pPr>
        <w:adjustRightInd w:val="0"/>
        <w:snapToGrid w:val="0"/>
        <w:spacing w:line="360" w:lineRule="auto"/>
        <w:rPr>
          <w:rFonts w:ascii="Book Antiqua" w:hAnsi="Book Antiqua"/>
          <w:bCs/>
          <w:color w:val="000000"/>
          <w:sz w:val="24"/>
          <w:szCs w:val="24"/>
        </w:rPr>
      </w:pPr>
      <w:r w:rsidRPr="00661363">
        <w:rPr>
          <w:rFonts w:ascii="Book Antiqua" w:hAnsi="Book Antiqua"/>
          <w:b/>
          <w:color w:val="000000"/>
          <w:sz w:val="24"/>
          <w:szCs w:val="24"/>
          <w:lang w:eastAsia="pl-PL"/>
        </w:rPr>
        <w:t>Manuscript source:</w:t>
      </w:r>
      <w:r w:rsidRPr="00661363">
        <w:rPr>
          <w:rFonts w:ascii="Book Antiqua" w:hAnsi="Book Antiqua"/>
          <w:b/>
          <w:color w:val="000000"/>
          <w:sz w:val="24"/>
          <w:szCs w:val="24"/>
        </w:rPr>
        <w:t xml:space="preserve"> </w:t>
      </w:r>
      <w:r w:rsidRPr="00661363">
        <w:rPr>
          <w:rFonts w:ascii="Book Antiqua" w:hAnsi="Book Antiqua"/>
          <w:color w:val="000000"/>
          <w:sz w:val="24"/>
          <w:szCs w:val="24"/>
          <w:lang w:eastAsia="pl-PL"/>
        </w:rPr>
        <w:t>Unsolicited manuscript</w:t>
      </w:r>
    </w:p>
    <w:p w14:paraId="6F7DB554" w14:textId="77777777" w:rsidR="00A254E0" w:rsidRPr="00661363" w:rsidRDefault="00A254E0" w:rsidP="00661363">
      <w:pPr>
        <w:adjustRightInd w:val="0"/>
        <w:snapToGrid w:val="0"/>
        <w:spacing w:line="360" w:lineRule="auto"/>
        <w:rPr>
          <w:rFonts w:ascii="Book Antiqua" w:hAnsi="Book Antiqua"/>
          <w:b/>
          <w:sz w:val="24"/>
          <w:szCs w:val="24"/>
        </w:rPr>
      </w:pPr>
    </w:p>
    <w:p w14:paraId="44A25971" w14:textId="0B996433" w:rsidR="00A254E0" w:rsidRPr="00661363" w:rsidRDefault="00A254E0" w:rsidP="00661363">
      <w:pPr>
        <w:widowControl/>
        <w:adjustRightInd w:val="0"/>
        <w:snapToGrid w:val="0"/>
        <w:spacing w:line="360" w:lineRule="auto"/>
        <w:rPr>
          <w:rFonts w:ascii="Book Antiqua" w:hAnsi="Book Antiqua"/>
          <w:b/>
          <w:sz w:val="24"/>
          <w:szCs w:val="24"/>
        </w:rPr>
      </w:pPr>
      <w:r w:rsidRPr="00661363">
        <w:rPr>
          <w:rFonts w:ascii="Book Antiqua" w:hAnsi="Book Antiqua"/>
          <w:b/>
          <w:sz w:val="24"/>
          <w:szCs w:val="24"/>
        </w:rPr>
        <w:t xml:space="preserve">Peer-review started: </w:t>
      </w:r>
      <w:r w:rsidRPr="00661363">
        <w:rPr>
          <w:rFonts w:ascii="Book Antiqua" w:hAnsi="Book Antiqua"/>
          <w:sz w:val="24"/>
          <w:szCs w:val="24"/>
        </w:rPr>
        <w:t>April 9, 2020</w:t>
      </w:r>
    </w:p>
    <w:p w14:paraId="234E1CB1" w14:textId="6C046C8C" w:rsidR="00A254E0" w:rsidRPr="00661363" w:rsidRDefault="00A254E0" w:rsidP="00661363">
      <w:pPr>
        <w:widowControl/>
        <w:adjustRightInd w:val="0"/>
        <w:snapToGrid w:val="0"/>
        <w:spacing w:line="360" w:lineRule="auto"/>
        <w:rPr>
          <w:rFonts w:ascii="Book Antiqua" w:hAnsi="Book Antiqua"/>
          <w:b/>
          <w:sz w:val="24"/>
          <w:szCs w:val="24"/>
        </w:rPr>
      </w:pPr>
      <w:r w:rsidRPr="00661363">
        <w:rPr>
          <w:rFonts w:ascii="Book Antiqua" w:hAnsi="Book Antiqua"/>
          <w:b/>
          <w:sz w:val="24"/>
          <w:szCs w:val="24"/>
        </w:rPr>
        <w:t xml:space="preserve">First decision: </w:t>
      </w:r>
      <w:r w:rsidRPr="00661363">
        <w:rPr>
          <w:rFonts w:ascii="Book Antiqua" w:hAnsi="Book Antiqua"/>
          <w:sz w:val="24"/>
          <w:szCs w:val="24"/>
        </w:rPr>
        <w:t>April 29, 2020</w:t>
      </w:r>
    </w:p>
    <w:p w14:paraId="06AF8793" w14:textId="4437CE97" w:rsidR="00A254E0" w:rsidRPr="00661363" w:rsidRDefault="00A254E0" w:rsidP="00661363">
      <w:pPr>
        <w:widowControl/>
        <w:adjustRightInd w:val="0"/>
        <w:snapToGrid w:val="0"/>
        <w:spacing w:line="360" w:lineRule="auto"/>
        <w:rPr>
          <w:rFonts w:ascii="Book Antiqua" w:hAnsi="Book Antiqua"/>
          <w:b/>
          <w:sz w:val="24"/>
          <w:szCs w:val="24"/>
        </w:rPr>
      </w:pPr>
      <w:r w:rsidRPr="00661363">
        <w:rPr>
          <w:rFonts w:ascii="Book Antiqua" w:hAnsi="Book Antiqua"/>
          <w:b/>
          <w:sz w:val="24"/>
          <w:szCs w:val="24"/>
        </w:rPr>
        <w:t>Article in press:</w:t>
      </w:r>
      <w:r w:rsidR="00DF2267" w:rsidRPr="00DF2267">
        <w:rPr>
          <w:rFonts w:ascii="Book Antiqua" w:hAnsi="Book Antiqua"/>
          <w:bCs/>
          <w:color w:val="000000" w:themeColor="text1"/>
          <w:sz w:val="24"/>
          <w:szCs w:val="24"/>
        </w:rPr>
        <w:t xml:space="preserve"> </w:t>
      </w:r>
      <w:r w:rsidR="00DF2267" w:rsidRPr="00EE007A">
        <w:rPr>
          <w:rFonts w:ascii="Book Antiqua" w:hAnsi="Book Antiqua"/>
          <w:bCs/>
          <w:color w:val="000000" w:themeColor="text1"/>
          <w:sz w:val="24"/>
          <w:szCs w:val="24"/>
        </w:rPr>
        <w:t>July 14, 2020</w:t>
      </w:r>
    </w:p>
    <w:p w14:paraId="16F0BAA4" w14:textId="77777777" w:rsidR="00A254E0" w:rsidRPr="00661363" w:rsidRDefault="00A254E0" w:rsidP="00661363">
      <w:pPr>
        <w:widowControl/>
        <w:adjustRightInd w:val="0"/>
        <w:snapToGrid w:val="0"/>
        <w:spacing w:line="360" w:lineRule="auto"/>
        <w:rPr>
          <w:rFonts w:ascii="Book Antiqua" w:hAnsi="Book Antiqua"/>
          <w:sz w:val="24"/>
          <w:szCs w:val="24"/>
        </w:rPr>
      </w:pPr>
    </w:p>
    <w:p w14:paraId="2C34EDCF" w14:textId="030D6B83" w:rsidR="00A254E0" w:rsidRPr="00661363" w:rsidRDefault="00A254E0" w:rsidP="00661363">
      <w:pPr>
        <w:adjustRightInd w:val="0"/>
        <w:snapToGrid w:val="0"/>
        <w:spacing w:line="360" w:lineRule="auto"/>
        <w:rPr>
          <w:rFonts w:ascii="Book Antiqua" w:eastAsia="微软雅黑" w:hAnsi="Book Antiqua" w:cs="宋体"/>
          <w:sz w:val="24"/>
          <w:szCs w:val="24"/>
        </w:rPr>
      </w:pPr>
      <w:r w:rsidRPr="00661363">
        <w:rPr>
          <w:rFonts w:ascii="Book Antiqua" w:hAnsi="Book Antiqua" w:cs="宋体"/>
          <w:b/>
          <w:sz w:val="24"/>
          <w:szCs w:val="24"/>
        </w:rPr>
        <w:t xml:space="preserve">Specialty type: </w:t>
      </w:r>
      <w:r w:rsidRPr="00661363">
        <w:rPr>
          <w:rFonts w:ascii="Book Antiqua" w:eastAsia="微软雅黑" w:hAnsi="Book Antiqua" w:cs="宋体"/>
          <w:kern w:val="0"/>
          <w:sz w:val="24"/>
          <w:szCs w:val="24"/>
        </w:rPr>
        <w:t>Medicine, research and experimental</w:t>
      </w:r>
    </w:p>
    <w:p w14:paraId="0593FBF0" w14:textId="0007DA5E" w:rsidR="00A254E0" w:rsidRPr="00661363" w:rsidRDefault="00A254E0" w:rsidP="00661363">
      <w:pPr>
        <w:adjustRightInd w:val="0"/>
        <w:snapToGrid w:val="0"/>
        <w:spacing w:line="360" w:lineRule="auto"/>
        <w:rPr>
          <w:rFonts w:ascii="Book Antiqua" w:hAnsi="Book Antiqua" w:cs="宋体"/>
          <w:sz w:val="24"/>
          <w:szCs w:val="24"/>
        </w:rPr>
      </w:pPr>
      <w:r w:rsidRPr="00661363">
        <w:rPr>
          <w:rFonts w:ascii="Book Antiqua" w:hAnsi="Book Antiqua" w:cs="宋体"/>
          <w:b/>
          <w:sz w:val="24"/>
          <w:szCs w:val="24"/>
        </w:rPr>
        <w:t xml:space="preserve">Country/Territory of origin: </w:t>
      </w:r>
      <w:r w:rsidRPr="00661363">
        <w:rPr>
          <w:rFonts w:ascii="Book Antiqua" w:hAnsi="Book Antiqua" w:cs="宋体"/>
          <w:sz w:val="24"/>
          <w:szCs w:val="24"/>
        </w:rPr>
        <w:t>China</w:t>
      </w:r>
    </w:p>
    <w:p w14:paraId="1934E295" w14:textId="77777777" w:rsidR="00A254E0" w:rsidRPr="00661363" w:rsidRDefault="00A254E0" w:rsidP="00661363">
      <w:pPr>
        <w:adjustRightInd w:val="0"/>
        <w:snapToGrid w:val="0"/>
        <w:spacing w:line="360" w:lineRule="auto"/>
        <w:rPr>
          <w:rFonts w:ascii="Book Antiqua" w:hAnsi="Book Antiqua" w:cs="宋体"/>
          <w:b/>
          <w:sz w:val="24"/>
          <w:szCs w:val="24"/>
        </w:rPr>
      </w:pPr>
      <w:r w:rsidRPr="00661363">
        <w:rPr>
          <w:rFonts w:ascii="Book Antiqua" w:hAnsi="Book Antiqua" w:cs="宋体"/>
          <w:b/>
          <w:sz w:val="24"/>
          <w:szCs w:val="24"/>
        </w:rPr>
        <w:t>Peer-review report’s scientific quality classification</w:t>
      </w:r>
    </w:p>
    <w:p w14:paraId="1CE5310B" w14:textId="60BCE9CC" w:rsidR="00A254E0" w:rsidRPr="00661363" w:rsidRDefault="00A254E0" w:rsidP="00661363">
      <w:pPr>
        <w:adjustRightInd w:val="0"/>
        <w:snapToGrid w:val="0"/>
        <w:spacing w:line="360" w:lineRule="auto"/>
        <w:rPr>
          <w:rFonts w:ascii="Book Antiqua" w:hAnsi="Book Antiqua" w:cs="宋体"/>
          <w:sz w:val="24"/>
          <w:szCs w:val="24"/>
        </w:rPr>
      </w:pPr>
      <w:r w:rsidRPr="00661363">
        <w:rPr>
          <w:rFonts w:ascii="Book Antiqua" w:hAnsi="Book Antiqua" w:cs="宋体"/>
          <w:sz w:val="24"/>
          <w:szCs w:val="24"/>
        </w:rPr>
        <w:t>Grade A (Excellent): 0</w:t>
      </w:r>
    </w:p>
    <w:p w14:paraId="1F972E57" w14:textId="43FE3F71" w:rsidR="00A254E0" w:rsidRPr="00661363" w:rsidRDefault="00A254E0" w:rsidP="00661363">
      <w:pPr>
        <w:adjustRightInd w:val="0"/>
        <w:snapToGrid w:val="0"/>
        <w:spacing w:line="360" w:lineRule="auto"/>
        <w:rPr>
          <w:rFonts w:ascii="Book Antiqua" w:hAnsi="Book Antiqua" w:cs="宋体"/>
          <w:sz w:val="24"/>
          <w:szCs w:val="24"/>
        </w:rPr>
      </w:pPr>
      <w:r w:rsidRPr="00661363">
        <w:rPr>
          <w:rFonts w:ascii="Book Antiqua" w:hAnsi="Book Antiqua" w:cs="宋体"/>
          <w:sz w:val="24"/>
          <w:szCs w:val="24"/>
        </w:rPr>
        <w:t>Grade B (Very good): B, B</w:t>
      </w:r>
    </w:p>
    <w:p w14:paraId="05D9940E" w14:textId="2A3C986D" w:rsidR="00A254E0" w:rsidRPr="00661363" w:rsidRDefault="00A254E0" w:rsidP="00661363">
      <w:pPr>
        <w:adjustRightInd w:val="0"/>
        <w:snapToGrid w:val="0"/>
        <w:spacing w:line="360" w:lineRule="auto"/>
        <w:rPr>
          <w:rFonts w:ascii="Book Antiqua" w:hAnsi="Book Antiqua" w:cs="宋体"/>
          <w:sz w:val="24"/>
          <w:szCs w:val="24"/>
        </w:rPr>
      </w:pPr>
      <w:r w:rsidRPr="00661363">
        <w:rPr>
          <w:rFonts w:ascii="Book Antiqua" w:hAnsi="Book Antiqua" w:cs="宋体"/>
          <w:sz w:val="24"/>
          <w:szCs w:val="24"/>
        </w:rPr>
        <w:t>Grade C (Good): 0</w:t>
      </w:r>
    </w:p>
    <w:p w14:paraId="07118567" w14:textId="77777777" w:rsidR="00A254E0" w:rsidRPr="00661363" w:rsidRDefault="00A254E0" w:rsidP="00661363">
      <w:pPr>
        <w:adjustRightInd w:val="0"/>
        <w:snapToGrid w:val="0"/>
        <w:spacing w:line="360" w:lineRule="auto"/>
        <w:rPr>
          <w:rFonts w:ascii="Book Antiqua" w:hAnsi="Book Antiqua" w:cs="宋体"/>
          <w:sz w:val="24"/>
          <w:szCs w:val="24"/>
        </w:rPr>
      </w:pPr>
      <w:r w:rsidRPr="00661363">
        <w:rPr>
          <w:rFonts w:ascii="Book Antiqua" w:hAnsi="Book Antiqua" w:cs="宋体"/>
          <w:sz w:val="24"/>
          <w:szCs w:val="24"/>
        </w:rPr>
        <w:t>Grade D (Fair): 0</w:t>
      </w:r>
    </w:p>
    <w:p w14:paraId="46376941" w14:textId="77777777" w:rsidR="00A254E0" w:rsidRPr="00661363" w:rsidRDefault="00A254E0" w:rsidP="00661363">
      <w:pPr>
        <w:adjustRightInd w:val="0"/>
        <w:snapToGrid w:val="0"/>
        <w:spacing w:line="360" w:lineRule="auto"/>
        <w:rPr>
          <w:rFonts w:ascii="Book Antiqua" w:eastAsia="等线" w:hAnsi="Book Antiqua"/>
          <w:sz w:val="24"/>
          <w:szCs w:val="24"/>
          <w:lang w:val="hu-HU"/>
        </w:rPr>
      </w:pPr>
      <w:r w:rsidRPr="00661363">
        <w:rPr>
          <w:rFonts w:ascii="Book Antiqua" w:hAnsi="Book Antiqua" w:cs="宋体"/>
          <w:sz w:val="24"/>
          <w:szCs w:val="24"/>
        </w:rPr>
        <w:t>Grade E (Poor): 0</w:t>
      </w:r>
    </w:p>
    <w:p w14:paraId="56CDBC3A" w14:textId="77777777" w:rsidR="00A254E0" w:rsidRPr="00661363" w:rsidRDefault="00A254E0" w:rsidP="00661363">
      <w:pPr>
        <w:adjustRightInd w:val="0"/>
        <w:snapToGrid w:val="0"/>
        <w:spacing w:line="360" w:lineRule="auto"/>
        <w:rPr>
          <w:rFonts w:ascii="Book Antiqua" w:hAnsi="Book Antiqua"/>
          <w:b/>
          <w:bCs/>
          <w:sz w:val="24"/>
          <w:szCs w:val="24"/>
          <w:lang w:val="hu-HU"/>
        </w:rPr>
      </w:pPr>
    </w:p>
    <w:p w14:paraId="2DBAE034" w14:textId="6FC47E81" w:rsidR="00A254E0" w:rsidRPr="00661363" w:rsidRDefault="00A254E0" w:rsidP="00661363">
      <w:pPr>
        <w:adjustRightInd w:val="0"/>
        <w:snapToGrid w:val="0"/>
        <w:spacing w:line="360" w:lineRule="auto"/>
        <w:rPr>
          <w:rFonts w:ascii="Book Antiqua" w:hAnsi="Book Antiqua"/>
          <w:b/>
          <w:bCs/>
          <w:sz w:val="24"/>
          <w:szCs w:val="24"/>
        </w:rPr>
      </w:pPr>
      <w:r w:rsidRPr="00661363">
        <w:rPr>
          <w:rFonts w:ascii="Book Antiqua" w:hAnsi="Book Antiqua"/>
          <w:b/>
          <w:sz w:val="24"/>
          <w:szCs w:val="24"/>
        </w:rPr>
        <w:t xml:space="preserve">P-Reviewer: </w:t>
      </w:r>
      <w:r w:rsidRPr="00661363">
        <w:rPr>
          <w:rFonts w:ascii="Book Antiqua" w:hAnsi="Book Antiqua"/>
          <w:sz w:val="24"/>
          <w:szCs w:val="24"/>
        </w:rPr>
        <w:t>Avalos-Gonzalez J, McHenry H</w:t>
      </w:r>
      <w:r w:rsidRPr="00661363">
        <w:rPr>
          <w:rFonts w:ascii="Book Antiqua" w:hAnsi="Book Antiqua"/>
          <w:b/>
          <w:sz w:val="24"/>
          <w:szCs w:val="24"/>
        </w:rPr>
        <w:t xml:space="preserve"> S-Editor:</w:t>
      </w:r>
      <w:r w:rsidRPr="00661363">
        <w:rPr>
          <w:rFonts w:ascii="Book Antiqua" w:hAnsi="Book Antiqua"/>
          <w:sz w:val="24"/>
          <w:szCs w:val="24"/>
        </w:rPr>
        <w:t xml:space="preserve"> Wang JL </w:t>
      </w:r>
      <w:r w:rsidRPr="00661363">
        <w:rPr>
          <w:rFonts w:ascii="Book Antiqua" w:hAnsi="Book Antiqua"/>
          <w:b/>
          <w:sz w:val="24"/>
          <w:szCs w:val="24"/>
        </w:rPr>
        <w:t>L-Editor:</w:t>
      </w:r>
      <w:r w:rsidRPr="00661363">
        <w:rPr>
          <w:rFonts w:ascii="Book Antiqua" w:hAnsi="Book Antiqua"/>
          <w:sz w:val="24"/>
          <w:szCs w:val="24"/>
        </w:rPr>
        <w:t xml:space="preserve"> </w:t>
      </w:r>
      <w:r w:rsidR="00C826E6">
        <w:rPr>
          <w:rFonts w:ascii="Book Antiqua" w:hAnsi="Book Antiqua"/>
          <w:sz w:val="24"/>
          <w:szCs w:val="24"/>
        </w:rPr>
        <w:t xml:space="preserve">Wang TQ </w:t>
      </w:r>
      <w:r w:rsidRPr="00661363">
        <w:rPr>
          <w:rFonts w:ascii="Book Antiqua" w:hAnsi="Book Antiqua"/>
          <w:b/>
          <w:sz w:val="24"/>
          <w:szCs w:val="24"/>
        </w:rPr>
        <w:t>E-Editor:</w:t>
      </w:r>
      <w:r w:rsidR="00DF2267" w:rsidRPr="00DF2267">
        <w:rPr>
          <w:rFonts w:ascii="Book Antiqua" w:hAnsi="Book Antiqua" w:hint="eastAsia"/>
          <w:sz w:val="24"/>
          <w:szCs w:val="24"/>
        </w:rPr>
        <w:t xml:space="preserve"> Liu JH</w:t>
      </w:r>
    </w:p>
    <w:p w14:paraId="59BB4F5E" w14:textId="77777777" w:rsidR="00A254E0" w:rsidRPr="00661363" w:rsidRDefault="00A254E0" w:rsidP="00661363">
      <w:pPr>
        <w:adjustRightInd w:val="0"/>
        <w:snapToGrid w:val="0"/>
        <w:spacing w:line="360" w:lineRule="auto"/>
        <w:rPr>
          <w:rFonts w:ascii="Book Antiqua" w:hAnsi="Book Antiqua"/>
          <w:b/>
          <w:sz w:val="24"/>
          <w:szCs w:val="24"/>
        </w:rPr>
      </w:pPr>
    </w:p>
    <w:p w14:paraId="1C605C3F" w14:textId="548A5AD1"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BA5BF2">
        <w:rPr>
          <w:rFonts w:ascii="Book Antiqua" w:hAnsi="Book Antiqua"/>
          <w:b/>
          <w:bCs/>
          <w:color w:val="000000" w:themeColor="text1"/>
          <w:sz w:val="24"/>
          <w:szCs w:val="24"/>
        </w:rPr>
        <w:t xml:space="preserve">Table 1 Comparison of general data between </w:t>
      </w:r>
      <w:r w:rsidR="00C826E6">
        <w:rPr>
          <w:rFonts w:ascii="Book Antiqua" w:hAnsi="Book Antiqua"/>
          <w:b/>
          <w:bCs/>
          <w:color w:val="000000" w:themeColor="text1"/>
          <w:sz w:val="24"/>
          <w:szCs w:val="24"/>
        </w:rPr>
        <w:t>the two</w:t>
      </w:r>
      <w:r w:rsidRPr="00BA5BF2">
        <w:rPr>
          <w:rFonts w:ascii="Book Antiqua" w:hAnsi="Book Antiqua"/>
          <w:b/>
          <w:bCs/>
          <w:color w:val="000000" w:themeColor="text1"/>
          <w:sz w:val="24"/>
          <w:szCs w:val="24"/>
        </w:rPr>
        <w:t xml:space="preserve"> groups</w:t>
      </w:r>
      <w:r w:rsidR="008F37D6">
        <w:rPr>
          <w:rFonts w:ascii="Book Antiqua" w:hAnsi="Book Antiqua" w:hint="eastAsia"/>
          <w:b/>
          <w:bCs/>
          <w:color w:val="000000" w:themeColor="text1"/>
          <w:sz w:val="24"/>
          <w:szCs w:val="24"/>
        </w:rPr>
        <w:t xml:space="preserve">, </w:t>
      </w:r>
      <w:r w:rsidR="008F37D6" w:rsidRPr="008F37D6">
        <w:rPr>
          <w:rFonts w:ascii="Book Antiqua" w:hAnsi="Book Antiqua" w:hint="eastAsia"/>
          <w:b/>
          <w:bCs/>
          <w:i/>
          <w:color w:val="000000" w:themeColor="text1"/>
          <w:sz w:val="24"/>
          <w:szCs w:val="24"/>
        </w:rPr>
        <w:t>n</w:t>
      </w:r>
      <w:r w:rsidR="008F37D6">
        <w:rPr>
          <w:rFonts w:ascii="Book Antiqua" w:hAnsi="Book Antiqua" w:hint="eastAsia"/>
          <w:b/>
          <w:bCs/>
          <w:color w:val="000000" w:themeColor="text1"/>
          <w:sz w:val="24"/>
          <w:szCs w:val="24"/>
        </w:rPr>
        <w:t xml:space="preserve"> (%)</w:t>
      </w:r>
    </w:p>
    <w:tbl>
      <w:tblPr>
        <w:tblW w:w="5303" w:type="pct"/>
        <w:jc w:val="center"/>
        <w:tblBorders>
          <w:top w:val="single" w:sz="4" w:space="0" w:color="auto"/>
          <w:bottom w:val="single" w:sz="4" w:space="0" w:color="auto"/>
        </w:tblBorders>
        <w:tblLayout w:type="fixed"/>
        <w:tblLook w:val="04A0" w:firstRow="1" w:lastRow="0" w:firstColumn="1" w:lastColumn="0" w:noHBand="0" w:noVBand="1"/>
      </w:tblPr>
      <w:tblGrid>
        <w:gridCol w:w="1668"/>
        <w:gridCol w:w="893"/>
        <w:gridCol w:w="1166"/>
        <w:gridCol w:w="1300"/>
        <w:gridCol w:w="1195"/>
        <w:gridCol w:w="1374"/>
        <w:gridCol w:w="1442"/>
      </w:tblGrid>
      <w:tr w:rsidR="008F37D6" w:rsidRPr="00661363" w14:paraId="16A9AC0A" w14:textId="77777777" w:rsidTr="008F37D6">
        <w:trPr>
          <w:trHeight w:val="610"/>
          <w:jc w:val="center"/>
        </w:trPr>
        <w:tc>
          <w:tcPr>
            <w:tcW w:w="923" w:type="pct"/>
            <w:tcBorders>
              <w:top w:val="single" w:sz="4" w:space="0" w:color="auto"/>
              <w:bottom w:val="single" w:sz="4" w:space="0" w:color="auto"/>
            </w:tcBorders>
            <w:noWrap/>
            <w:vAlign w:val="center"/>
          </w:tcPr>
          <w:p w14:paraId="37BFB0CF" w14:textId="77777777" w:rsidR="00183D66" w:rsidRPr="008F37D6" w:rsidRDefault="00183D66" w:rsidP="00661363">
            <w:pPr>
              <w:pStyle w:val="p16"/>
              <w:adjustRightInd w:val="0"/>
              <w:snapToGrid w:val="0"/>
              <w:spacing w:line="360" w:lineRule="auto"/>
              <w:rPr>
                <w:rFonts w:ascii="Book Antiqua" w:hAnsi="Book Antiqua"/>
                <w:b/>
                <w:bCs/>
                <w:color w:val="000000" w:themeColor="text1"/>
                <w:sz w:val="24"/>
                <w:szCs w:val="24"/>
              </w:rPr>
            </w:pPr>
            <w:r w:rsidRPr="008F37D6">
              <w:rPr>
                <w:rFonts w:ascii="Book Antiqua" w:hAnsi="Book Antiqua"/>
                <w:b/>
                <w:bCs/>
                <w:color w:val="000000" w:themeColor="text1"/>
                <w:sz w:val="24"/>
                <w:szCs w:val="24"/>
              </w:rPr>
              <w:t>Group</w:t>
            </w:r>
          </w:p>
        </w:tc>
        <w:tc>
          <w:tcPr>
            <w:tcW w:w="494" w:type="pct"/>
            <w:tcBorders>
              <w:top w:val="single" w:sz="4" w:space="0" w:color="auto"/>
              <w:bottom w:val="single" w:sz="4" w:space="0" w:color="auto"/>
            </w:tcBorders>
            <w:noWrap/>
            <w:vAlign w:val="center"/>
          </w:tcPr>
          <w:p w14:paraId="4FEEB975" w14:textId="56F7C98A" w:rsidR="00183D66" w:rsidRPr="008F37D6" w:rsidRDefault="008F37D6" w:rsidP="00661363">
            <w:pPr>
              <w:pStyle w:val="p16"/>
              <w:adjustRightInd w:val="0"/>
              <w:snapToGrid w:val="0"/>
              <w:spacing w:line="360" w:lineRule="auto"/>
              <w:rPr>
                <w:rFonts w:ascii="Book Antiqua" w:hAnsi="Book Antiqua"/>
                <w:b/>
                <w:bCs/>
                <w:i/>
                <w:color w:val="000000" w:themeColor="text1"/>
                <w:sz w:val="24"/>
                <w:szCs w:val="24"/>
              </w:rPr>
            </w:pPr>
            <w:r w:rsidRPr="008F37D6">
              <w:rPr>
                <w:rFonts w:ascii="Book Antiqua" w:hAnsi="Book Antiqua"/>
                <w:b/>
                <w:bCs/>
                <w:i/>
                <w:color w:val="000000" w:themeColor="text1"/>
                <w:sz w:val="24"/>
                <w:szCs w:val="24"/>
              </w:rPr>
              <w:t>n</w:t>
            </w:r>
          </w:p>
        </w:tc>
        <w:tc>
          <w:tcPr>
            <w:tcW w:w="645" w:type="pct"/>
            <w:tcBorders>
              <w:top w:val="single" w:sz="4" w:space="0" w:color="auto"/>
              <w:bottom w:val="single" w:sz="4" w:space="0" w:color="auto"/>
            </w:tcBorders>
            <w:noWrap/>
            <w:vAlign w:val="center"/>
          </w:tcPr>
          <w:p w14:paraId="144DA98E" w14:textId="315799B0" w:rsidR="00183D66" w:rsidRPr="008F37D6" w:rsidRDefault="00183D66" w:rsidP="008F37D6">
            <w:pPr>
              <w:pStyle w:val="p16"/>
              <w:adjustRightInd w:val="0"/>
              <w:snapToGrid w:val="0"/>
              <w:spacing w:line="360" w:lineRule="auto"/>
              <w:rPr>
                <w:rFonts w:ascii="Book Antiqua" w:hAnsi="Book Antiqua"/>
                <w:b/>
                <w:bCs/>
                <w:color w:val="000000" w:themeColor="text1"/>
                <w:sz w:val="24"/>
                <w:szCs w:val="24"/>
              </w:rPr>
            </w:pPr>
            <w:r w:rsidRPr="008F37D6">
              <w:rPr>
                <w:rFonts w:ascii="Book Antiqua" w:hAnsi="Book Antiqua"/>
                <w:b/>
                <w:bCs/>
                <w:color w:val="000000" w:themeColor="text1"/>
                <w:sz w:val="24"/>
                <w:szCs w:val="24"/>
              </w:rPr>
              <w:t>Male</w:t>
            </w:r>
          </w:p>
        </w:tc>
        <w:tc>
          <w:tcPr>
            <w:tcW w:w="719" w:type="pct"/>
            <w:tcBorders>
              <w:top w:val="single" w:sz="4" w:space="0" w:color="auto"/>
              <w:bottom w:val="single" w:sz="4" w:space="0" w:color="auto"/>
            </w:tcBorders>
            <w:noWrap/>
            <w:vAlign w:val="center"/>
          </w:tcPr>
          <w:p w14:paraId="026E5D38" w14:textId="749A57DD" w:rsidR="00183D66" w:rsidRPr="008F37D6" w:rsidRDefault="00183D66" w:rsidP="008F37D6">
            <w:pPr>
              <w:pStyle w:val="p16"/>
              <w:adjustRightInd w:val="0"/>
              <w:snapToGrid w:val="0"/>
              <w:spacing w:line="360" w:lineRule="auto"/>
              <w:rPr>
                <w:rFonts w:ascii="Book Antiqua" w:hAnsi="Book Antiqua"/>
                <w:b/>
                <w:bCs/>
                <w:color w:val="000000" w:themeColor="text1"/>
                <w:sz w:val="24"/>
                <w:szCs w:val="24"/>
              </w:rPr>
            </w:pPr>
            <w:r w:rsidRPr="008F37D6">
              <w:rPr>
                <w:rFonts w:ascii="Book Antiqua" w:hAnsi="Book Antiqua"/>
                <w:b/>
                <w:bCs/>
                <w:color w:val="000000" w:themeColor="text1"/>
                <w:sz w:val="24"/>
                <w:szCs w:val="24"/>
              </w:rPr>
              <w:t>Age (</w:t>
            </w:r>
            <w:r w:rsidR="008F37D6">
              <w:rPr>
                <w:rFonts w:ascii="Book Antiqua" w:hAnsi="Book Antiqua"/>
                <w:b/>
                <w:bCs/>
                <w:color w:val="000000" w:themeColor="text1"/>
                <w:sz w:val="24"/>
                <w:szCs w:val="24"/>
              </w:rPr>
              <w:t>yr</w:t>
            </w:r>
            <w:r w:rsidRPr="008F37D6">
              <w:rPr>
                <w:rFonts w:ascii="Book Antiqua" w:hAnsi="Book Antiqua"/>
                <w:b/>
                <w:bCs/>
                <w:color w:val="000000" w:themeColor="text1"/>
                <w:sz w:val="24"/>
                <w:szCs w:val="24"/>
              </w:rPr>
              <w:t>)</w:t>
            </w:r>
          </w:p>
        </w:tc>
        <w:tc>
          <w:tcPr>
            <w:tcW w:w="661" w:type="pct"/>
            <w:tcBorders>
              <w:top w:val="single" w:sz="4" w:space="0" w:color="auto"/>
              <w:bottom w:val="single" w:sz="4" w:space="0" w:color="auto"/>
            </w:tcBorders>
            <w:vAlign w:val="center"/>
          </w:tcPr>
          <w:p w14:paraId="5EFADC66" w14:textId="7D9D4D39" w:rsidR="00183D66" w:rsidRPr="008F37D6" w:rsidRDefault="008F37D6" w:rsidP="00661363">
            <w:pPr>
              <w:pStyle w:val="p16"/>
              <w:adjustRightInd w:val="0"/>
              <w:snapToGrid w:val="0"/>
              <w:spacing w:line="360" w:lineRule="auto"/>
              <w:rPr>
                <w:rFonts w:ascii="Book Antiqua" w:hAnsi="Book Antiqua"/>
                <w:b/>
                <w:bCs/>
                <w:color w:val="000000" w:themeColor="text1"/>
                <w:sz w:val="24"/>
                <w:szCs w:val="24"/>
              </w:rPr>
            </w:pPr>
            <w:r>
              <w:rPr>
                <w:rFonts w:ascii="Book Antiqua" w:hAnsi="Book Antiqua" w:hint="eastAsia"/>
                <w:b/>
                <w:bCs/>
                <w:color w:val="000000" w:themeColor="text1"/>
                <w:sz w:val="24"/>
                <w:szCs w:val="24"/>
              </w:rPr>
              <w:t>BMI</w:t>
            </w:r>
            <w:r w:rsidR="00183D66" w:rsidRPr="008F37D6">
              <w:rPr>
                <w:rFonts w:ascii="Book Antiqua" w:hAnsi="Book Antiqua"/>
                <w:b/>
                <w:bCs/>
                <w:color w:val="000000" w:themeColor="text1"/>
                <w:sz w:val="24"/>
                <w:szCs w:val="24"/>
              </w:rPr>
              <w:t xml:space="preserve"> (kg/m</w:t>
            </w:r>
            <w:r w:rsidR="00183D66" w:rsidRPr="008F37D6">
              <w:rPr>
                <w:rFonts w:ascii="Book Antiqua" w:hAnsi="Book Antiqua"/>
                <w:b/>
                <w:bCs/>
                <w:color w:val="000000" w:themeColor="text1"/>
                <w:sz w:val="24"/>
                <w:szCs w:val="24"/>
                <w:vertAlign w:val="superscript"/>
              </w:rPr>
              <w:t>2</w:t>
            </w:r>
            <w:r w:rsidR="00183D66" w:rsidRPr="008F37D6">
              <w:rPr>
                <w:rFonts w:ascii="Book Antiqua" w:hAnsi="Book Antiqua"/>
                <w:b/>
                <w:bCs/>
                <w:color w:val="000000" w:themeColor="text1"/>
                <w:sz w:val="24"/>
                <w:szCs w:val="24"/>
              </w:rPr>
              <w:t>)</w:t>
            </w:r>
          </w:p>
        </w:tc>
        <w:tc>
          <w:tcPr>
            <w:tcW w:w="760" w:type="pct"/>
            <w:tcBorders>
              <w:top w:val="single" w:sz="4" w:space="0" w:color="auto"/>
              <w:bottom w:val="single" w:sz="4" w:space="0" w:color="auto"/>
            </w:tcBorders>
            <w:vAlign w:val="center"/>
          </w:tcPr>
          <w:p w14:paraId="58E61198" w14:textId="51A7FA26" w:rsidR="00183D66" w:rsidRPr="008F37D6" w:rsidRDefault="008F37D6" w:rsidP="008F37D6">
            <w:pPr>
              <w:pStyle w:val="p16"/>
              <w:adjustRightInd w:val="0"/>
              <w:snapToGrid w:val="0"/>
              <w:spacing w:line="360" w:lineRule="auto"/>
              <w:rPr>
                <w:rFonts w:ascii="Book Antiqua" w:hAnsi="Book Antiqua"/>
                <w:b/>
                <w:bCs/>
                <w:color w:val="000000" w:themeColor="text1"/>
                <w:sz w:val="24"/>
                <w:szCs w:val="24"/>
              </w:rPr>
            </w:pPr>
            <w:r>
              <w:rPr>
                <w:rFonts w:ascii="Book Antiqua" w:hAnsi="Book Antiqua"/>
                <w:b/>
                <w:bCs/>
                <w:color w:val="000000" w:themeColor="text1"/>
                <w:sz w:val="24"/>
                <w:szCs w:val="24"/>
              </w:rPr>
              <w:t>Smoking</w:t>
            </w:r>
          </w:p>
        </w:tc>
        <w:tc>
          <w:tcPr>
            <w:tcW w:w="798" w:type="pct"/>
            <w:tcBorders>
              <w:top w:val="single" w:sz="4" w:space="0" w:color="auto"/>
              <w:bottom w:val="single" w:sz="4" w:space="0" w:color="auto"/>
            </w:tcBorders>
            <w:vAlign w:val="center"/>
          </w:tcPr>
          <w:p w14:paraId="0D3DCB37" w14:textId="44126A33" w:rsidR="00183D66" w:rsidRPr="008F37D6" w:rsidRDefault="008F37D6" w:rsidP="008F37D6">
            <w:pPr>
              <w:pStyle w:val="p16"/>
              <w:adjustRightInd w:val="0"/>
              <w:snapToGrid w:val="0"/>
              <w:spacing w:line="360" w:lineRule="auto"/>
              <w:rPr>
                <w:rFonts w:ascii="Book Antiqua" w:hAnsi="Book Antiqua"/>
                <w:b/>
                <w:bCs/>
                <w:color w:val="000000" w:themeColor="text1"/>
                <w:sz w:val="24"/>
                <w:szCs w:val="24"/>
              </w:rPr>
            </w:pPr>
            <w:r>
              <w:rPr>
                <w:rFonts w:ascii="Book Antiqua" w:hAnsi="Book Antiqua"/>
                <w:b/>
                <w:bCs/>
                <w:color w:val="000000" w:themeColor="text1"/>
                <w:sz w:val="24"/>
                <w:szCs w:val="24"/>
              </w:rPr>
              <w:t>Drinking</w:t>
            </w:r>
          </w:p>
        </w:tc>
      </w:tr>
      <w:tr w:rsidR="008F37D6" w:rsidRPr="00661363" w14:paraId="0701137B" w14:textId="77777777" w:rsidTr="008F37D6">
        <w:trPr>
          <w:trHeight w:val="560"/>
          <w:jc w:val="center"/>
        </w:trPr>
        <w:tc>
          <w:tcPr>
            <w:tcW w:w="923" w:type="pct"/>
            <w:tcBorders>
              <w:top w:val="single" w:sz="4" w:space="0" w:color="auto"/>
            </w:tcBorders>
            <w:noWrap/>
            <w:vAlign w:val="center"/>
          </w:tcPr>
          <w:p w14:paraId="0639B1CF" w14:textId="5ACAF07F" w:rsidR="00183D66" w:rsidRPr="00661363" w:rsidRDefault="008F37D6">
            <w:pPr>
              <w:pStyle w:val="p16"/>
              <w:adjustRightInd w:val="0"/>
              <w:snapToGrid w:val="0"/>
              <w:spacing w:line="360" w:lineRule="auto"/>
              <w:rPr>
                <w:rFonts w:ascii="Book Antiqua" w:hAnsi="Book Antiqua"/>
                <w:bCs/>
                <w:color w:val="000000" w:themeColor="text1"/>
                <w:sz w:val="24"/>
                <w:szCs w:val="24"/>
              </w:rPr>
            </w:pPr>
            <w:r>
              <w:rPr>
                <w:rFonts w:ascii="Book Antiqua" w:hAnsi="Book Antiqua"/>
                <w:bCs/>
                <w:color w:val="000000" w:themeColor="text1"/>
                <w:sz w:val="24"/>
                <w:szCs w:val="24"/>
              </w:rPr>
              <w:t>Observat</w:t>
            </w:r>
            <w:r w:rsidR="00183D66" w:rsidRPr="00661363">
              <w:rPr>
                <w:rFonts w:ascii="Book Antiqua" w:hAnsi="Book Antiqua"/>
                <w:bCs/>
                <w:color w:val="000000" w:themeColor="text1"/>
                <w:sz w:val="24"/>
                <w:szCs w:val="24"/>
              </w:rPr>
              <w:t>ion</w:t>
            </w:r>
          </w:p>
        </w:tc>
        <w:tc>
          <w:tcPr>
            <w:tcW w:w="494" w:type="pct"/>
            <w:tcBorders>
              <w:top w:val="single" w:sz="4" w:space="0" w:color="auto"/>
            </w:tcBorders>
            <w:vAlign w:val="center"/>
          </w:tcPr>
          <w:p w14:paraId="6E67122F"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240</w:t>
            </w:r>
          </w:p>
        </w:tc>
        <w:tc>
          <w:tcPr>
            <w:tcW w:w="645" w:type="pct"/>
            <w:tcBorders>
              <w:top w:val="single" w:sz="4" w:space="0" w:color="auto"/>
            </w:tcBorders>
            <w:vAlign w:val="center"/>
          </w:tcPr>
          <w:p w14:paraId="033199ED" w14:textId="4D7C5B43"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168</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(70.00)</w:t>
            </w:r>
          </w:p>
        </w:tc>
        <w:tc>
          <w:tcPr>
            <w:tcW w:w="719" w:type="pct"/>
            <w:tcBorders>
              <w:top w:val="single" w:sz="4" w:space="0" w:color="auto"/>
            </w:tcBorders>
            <w:vAlign w:val="center"/>
          </w:tcPr>
          <w:p w14:paraId="20EACE86" w14:textId="6134B2B8"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60.50</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9.28</w:t>
            </w:r>
          </w:p>
        </w:tc>
        <w:tc>
          <w:tcPr>
            <w:tcW w:w="661" w:type="pct"/>
            <w:tcBorders>
              <w:top w:val="single" w:sz="4" w:space="0" w:color="auto"/>
            </w:tcBorders>
            <w:vAlign w:val="center"/>
          </w:tcPr>
          <w:p w14:paraId="6B01B1B6"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23.30±5.44</w:t>
            </w:r>
          </w:p>
        </w:tc>
        <w:tc>
          <w:tcPr>
            <w:tcW w:w="760" w:type="pct"/>
            <w:tcBorders>
              <w:top w:val="single" w:sz="4" w:space="0" w:color="auto"/>
            </w:tcBorders>
            <w:vAlign w:val="center"/>
          </w:tcPr>
          <w:p w14:paraId="3B0B8B74" w14:textId="1180ED56"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103</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(42.92)</w:t>
            </w:r>
          </w:p>
        </w:tc>
        <w:tc>
          <w:tcPr>
            <w:tcW w:w="798" w:type="pct"/>
            <w:tcBorders>
              <w:top w:val="single" w:sz="4" w:space="0" w:color="auto"/>
            </w:tcBorders>
            <w:vAlign w:val="center"/>
          </w:tcPr>
          <w:p w14:paraId="44F1B031" w14:textId="1A1DC8AC"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63</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(26.25)</w:t>
            </w:r>
          </w:p>
        </w:tc>
      </w:tr>
      <w:tr w:rsidR="008F37D6" w:rsidRPr="00661363" w14:paraId="5B91A4C6" w14:textId="77777777" w:rsidTr="008F37D6">
        <w:trPr>
          <w:trHeight w:val="840"/>
          <w:jc w:val="center"/>
        </w:trPr>
        <w:tc>
          <w:tcPr>
            <w:tcW w:w="923" w:type="pct"/>
            <w:noWrap/>
            <w:vAlign w:val="center"/>
          </w:tcPr>
          <w:p w14:paraId="4F551AB1" w14:textId="3679198B" w:rsidR="00183D66" w:rsidRPr="00661363" w:rsidRDefault="00183D66">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Control</w:t>
            </w:r>
          </w:p>
        </w:tc>
        <w:tc>
          <w:tcPr>
            <w:tcW w:w="494" w:type="pct"/>
            <w:vAlign w:val="center"/>
          </w:tcPr>
          <w:p w14:paraId="0EEDDD4F"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150</w:t>
            </w:r>
          </w:p>
        </w:tc>
        <w:tc>
          <w:tcPr>
            <w:tcW w:w="645" w:type="pct"/>
            <w:vAlign w:val="center"/>
          </w:tcPr>
          <w:p w14:paraId="564FCD7B" w14:textId="3DB93208"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98</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(65.33)</w:t>
            </w:r>
          </w:p>
        </w:tc>
        <w:tc>
          <w:tcPr>
            <w:tcW w:w="719" w:type="pct"/>
            <w:vAlign w:val="center"/>
          </w:tcPr>
          <w:p w14:paraId="4E8AC0D9" w14:textId="11A7792A"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59.22</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10.11</w:t>
            </w:r>
          </w:p>
        </w:tc>
        <w:tc>
          <w:tcPr>
            <w:tcW w:w="661" w:type="pct"/>
            <w:vAlign w:val="center"/>
          </w:tcPr>
          <w:p w14:paraId="3C152484" w14:textId="0A1D8A6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22.83</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6.50</w:t>
            </w:r>
          </w:p>
        </w:tc>
        <w:tc>
          <w:tcPr>
            <w:tcW w:w="760" w:type="pct"/>
            <w:vAlign w:val="center"/>
          </w:tcPr>
          <w:p w14:paraId="1226B412" w14:textId="65BE19EE"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56</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(37.33)</w:t>
            </w:r>
          </w:p>
        </w:tc>
        <w:tc>
          <w:tcPr>
            <w:tcW w:w="798" w:type="pct"/>
            <w:vAlign w:val="center"/>
          </w:tcPr>
          <w:p w14:paraId="71D6E164" w14:textId="03A82C74"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34</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(22.67)</w:t>
            </w:r>
          </w:p>
        </w:tc>
      </w:tr>
      <w:tr w:rsidR="008F37D6" w:rsidRPr="00661363" w14:paraId="3BEA6C9E" w14:textId="77777777" w:rsidTr="008F37D6">
        <w:trPr>
          <w:trHeight w:val="320"/>
          <w:jc w:val="center"/>
        </w:trPr>
        <w:tc>
          <w:tcPr>
            <w:tcW w:w="923" w:type="pct"/>
            <w:noWrap/>
            <w:vAlign w:val="center"/>
          </w:tcPr>
          <w:p w14:paraId="7D6B2C0C" w14:textId="4A77031F"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9D1590">
              <w:rPr>
                <w:rFonts w:ascii="Book Antiqua" w:hAnsi="Book Antiqua"/>
                <w:bCs/>
                <w:i/>
                <w:color w:val="000000" w:themeColor="text1"/>
                <w:sz w:val="24"/>
                <w:szCs w:val="24"/>
              </w:rPr>
              <w:t>t</w:t>
            </w:r>
            <w:r w:rsidRPr="00661363">
              <w:rPr>
                <w:rFonts w:ascii="Book Antiqua" w:hAnsi="Book Antiqua"/>
                <w:bCs/>
                <w:color w:val="000000" w:themeColor="text1"/>
                <w:sz w:val="24"/>
                <w:szCs w:val="24"/>
              </w:rPr>
              <w:t>/</w:t>
            </w:r>
            <w:r w:rsidR="00C826E6" w:rsidRPr="00661363">
              <w:rPr>
                <w:rFonts w:ascii="Book Antiqua" w:eastAsia="仿宋_GB2312" w:hAnsi="Book Antiqua"/>
                <w:i/>
                <w:color w:val="000000" w:themeColor="text1"/>
                <w:sz w:val="24"/>
                <w:szCs w:val="24"/>
              </w:rPr>
              <w:sym w:font="Symbol" w:char="F063"/>
            </w:r>
            <w:r w:rsidR="00C826E6" w:rsidRPr="00661363">
              <w:rPr>
                <w:rFonts w:ascii="Book Antiqua" w:eastAsia="仿宋_GB2312" w:hAnsi="Book Antiqua"/>
                <w:bCs/>
                <w:color w:val="000000" w:themeColor="text1"/>
                <w:sz w:val="24"/>
                <w:szCs w:val="24"/>
                <w:vertAlign w:val="superscript"/>
              </w:rPr>
              <w:t>2</w:t>
            </w:r>
          </w:p>
        </w:tc>
        <w:tc>
          <w:tcPr>
            <w:tcW w:w="494" w:type="pct"/>
            <w:vAlign w:val="center"/>
          </w:tcPr>
          <w:p w14:paraId="1385CCB0"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p>
        </w:tc>
        <w:tc>
          <w:tcPr>
            <w:tcW w:w="645" w:type="pct"/>
            <w:vAlign w:val="center"/>
          </w:tcPr>
          <w:p w14:paraId="0F0A2706"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0.927</w:t>
            </w:r>
          </w:p>
        </w:tc>
        <w:tc>
          <w:tcPr>
            <w:tcW w:w="719" w:type="pct"/>
            <w:vAlign w:val="center"/>
          </w:tcPr>
          <w:p w14:paraId="1387D5AB" w14:textId="5C14A4A6" w:rsidR="00183D66" w:rsidRPr="00661363" w:rsidRDefault="008F37D6" w:rsidP="00661363">
            <w:pPr>
              <w:pStyle w:val="p16"/>
              <w:adjustRightInd w:val="0"/>
              <w:snapToGrid w:val="0"/>
              <w:spacing w:line="360" w:lineRule="auto"/>
              <w:rPr>
                <w:rFonts w:ascii="Book Antiqua" w:hAnsi="Book Antiqua"/>
                <w:bCs/>
                <w:color w:val="000000" w:themeColor="text1"/>
                <w:sz w:val="24"/>
                <w:szCs w:val="24"/>
              </w:rPr>
            </w:pPr>
            <w:r>
              <w:rPr>
                <w:rFonts w:ascii="Book Antiqua" w:hAnsi="Book Antiqua"/>
                <w:bCs/>
                <w:color w:val="000000" w:themeColor="text1"/>
                <w:sz w:val="24"/>
                <w:szCs w:val="24"/>
              </w:rPr>
              <w:t xml:space="preserve"> 1.280</w:t>
            </w:r>
          </w:p>
        </w:tc>
        <w:tc>
          <w:tcPr>
            <w:tcW w:w="661" w:type="pct"/>
            <w:vAlign w:val="center"/>
          </w:tcPr>
          <w:p w14:paraId="5D1CB558" w14:textId="167BF1CC" w:rsidR="00183D66" w:rsidRPr="00661363" w:rsidRDefault="008F37D6" w:rsidP="00661363">
            <w:pPr>
              <w:pStyle w:val="p16"/>
              <w:adjustRightInd w:val="0"/>
              <w:snapToGrid w:val="0"/>
              <w:spacing w:line="360" w:lineRule="auto"/>
              <w:rPr>
                <w:rFonts w:ascii="Book Antiqua" w:hAnsi="Book Antiqua"/>
                <w:bCs/>
                <w:color w:val="000000" w:themeColor="text1"/>
                <w:sz w:val="24"/>
                <w:szCs w:val="24"/>
              </w:rPr>
            </w:pPr>
            <w:r>
              <w:rPr>
                <w:rFonts w:ascii="Book Antiqua" w:hAnsi="Book Antiqua"/>
                <w:bCs/>
                <w:color w:val="000000" w:themeColor="text1"/>
                <w:sz w:val="24"/>
                <w:szCs w:val="24"/>
              </w:rPr>
              <w:t xml:space="preserve"> 0.769</w:t>
            </w:r>
          </w:p>
        </w:tc>
        <w:tc>
          <w:tcPr>
            <w:tcW w:w="760" w:type="pct"/>
            <w:vAlign w:val="center"/>
          </w:tcPr>
          <w:p w14:paraId="3165E1F6"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1.192</w:t>
            </w:r>
          </w:p>
        </w:tc>
        <w:tc>
          <w:tcPr>
            <w:tcW w:w="798" w:type="pct"/>
            <w:vAlign w:val="center"/>
          </w:tcPr>
          <w:p w14:paraId="2C9A70E9"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0.634</w:t>
            </w:r>
          </w:p>
        </w:tc>
      </w:tr>
      <w:tr w:rsidR="008F37D6" w:rsidRPr="00661363" w14:paraId="73C865A2" w14:textId="77777777" w:rsidTr="008F37D6">
        <w:trPr>
          <w:trHeight w:val="280"/>
          <w:jc w:val="center"/>
        </w:trPr>
        <w:tc>
          <w:tcPr>
            <w:tcW w:w="923" w:type="pct"/>
            <w:noWrap/>
            <w:vAlign w:val="center"/>
          </w:tcPr>
          <w:p w14:paraId="2B55B84D" w14:textId="1A306416" w:rsidR="00183D66" w:rsidRPr="00661363" w:rsidRDefault="008F37D6" w:rsidP="00661363">
            <w:pPr>
              <w:pStyle w:val="p16"/>
              <w:adjustRightInd w:val="0"/>
              <w:snapToGrid w:val="0"/>
              <w:spacing w:line="360" w:lineRule="auto"/>
              <w:rPr>
                <w:rFonts w:ascii="Book Antiqua" w:hAnsi="Book Antiqua"/>
                <w:bCs/>
                <w:color w:val="000000" w:themeColor="text1"/>
                <w:sz w:val="24"/>
                <w:szCs w:val="24"/>
              </w:rPr>
            </w:pPr>
            <w:r w:rsidRPr="008F37D6">
              <w:rPr>
                <w:rFonts w:ascii="Book Antiqua" w:hAnsi="Book Antiqua"/>
                <w:bCs/>
                <w:i/>
                <w:color w:val="000000" w:themeColor="text1"/>
                <w:sz w:val="24"/>
                <w:szCs w:val="24"/>
              </w:rPr>
              <w:t>P</w:t>
            </w:r>
            <w:r>
              <w:rPr>
                <w:rFonts w:ascii="Book Antiqua" w:hAnsi="Book Antiqua" w:hint="eastAsia"/>
                <w:bCs/>
                <w:color w:val="000000" w:themeColor="text1"/>
                <w:sz w:val="24"/>
                <w:szCs w:val="24"/>
              </w:rPr>
              <w:t xml:space="preserve"> value</w:t>
            </w:r>
          </w:p>
        </w:tc>
        <w:tc>
          <w:tcPr>
            <w:tcW w:w="494" w:type="pct"/>
            <w:vAlign w:val="center"/>
          </w:tcPr>
          <w:p w14:paraId="128C1FB7"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 xml:space="preserve"> </w:t>
            </w:r>
          </w:p>
        </w:tc>
        <w:tc>
          <w:tcPr>
            <w:tcW w:w="645" w:type="pct"/>
            <w:vAlign w:val="center"/>
          </w:tcPr>
          <w:p w14:paraId="24A97CBC"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0.336</w:t>
            </w:r>
          </w:p>
        </w:tc>
        <w:tc>
          <w:tcPr>
            <w:tcW w:w="719" w:type="pct"/>
            <w:vAlign w:val="center"/>
          </w:tcPr>
          <w:p w14:paraId="1522F631" w14:textId="76C871D1" w:rsidR="00183D66" w:rsidRPr="00661363" w:rsidRDefault="008F37D6" w:rsidP="00661363">
            <w:pPr>
              <w:pStyle w:val="p16"/>
              <w:adjustRightInd w:val="0"/>
              <w:snapToGrid w:val="0"/>
              <w:spacing w:line="360" w:lineRule="auto"/>
              <w:rPr>
                <w:rFonts w:ascii="Book Antiqua" w:hAnsi="Book Antiqua"/>
                <w:bCs/>
                <w:color w:val="000000" w:themeColor="text1"/>
                <w:sz w:val="24"/>
                <w:szCs w:val="24"/>
              </w:rPr>
            </w:pPr>
            <w:r>
              <w:rPr>
                <w:rFonts w:ascii="Book Antiqua" w:hAnsi="Book Antiqua"/>
                <w:bCs/>
                <w:color w:val="000000" w:themeColor="text1"/>
                <w:sz w:val="24"/>
                <w:szCs w:val="24"/>
              </w:rPr>
              <w:t xml:space="preserve"> 0.201</w:t>
            </w:r>
          </w:p>
        </w:tc>
        <w:tc>
          <w:tcPr>
            <w:tcW w:w="661" w:type="pct"/>
            <w:vAlign w:val="center"/>
          </w:tcPr>
          <w:p w14:paraId="794B6A9F" w14:textId="1BA6CC6E" w:rsidR="00183D66" w:rsidRPr="00661363" w:rsidRDefault="008F37D6" w:rsidP="00661363">
            <w:pPr>
              <w:pStyle w:val="p16"/>
              <w:adjustRightInd w:val="0"/>
              <w:snapToGrid w:val="0"/>
              <w:spacing w:line="360" w:lineRule="auto"/>
              <w:rPr>
                <w:rFonts w:ascii="Book Antiqua" w:hAnsi="Book Antiqua"/>
                <w:bCs/>
                <w:color w:val="000000" w:themeColor="text1"/>
                <w:sz w:val="24"/>
                <w:szCs w:val="24"/>
              </w:rPr>
            </w:pPr>
            <w:r>
              <w:rPr>
                <w:rFonts w:ascii="Book Antiqua" w:hAnsi="Book Antiqua"/>
                <w:bCs/>
                <w:color w:val="000000" w:themeColor="text1"/>
                <w:sz w:val="24"/>
                <w:szCs w:val="24"/>
              </w:rPr>
              <w:t xml:space="preserve"> 0.442</w:t>
            </w:r>
          </w:p>
        </w:tc>
        <w:tc>
          <w:tcPr>
            <w:tcW w:w="760" w:type="pct"/>
            <w:vAlign w:val="center"/>
          </w:tcPr>
          <w:p w14:paraId="5D465823"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0.275</w:t>
            </w:r>
          </w:p>
        </w:tc>
        <w:tc>
          <w:tcPr>
            <w:tcW w:w="798" w:type="pct"/>
            <w:vAlign w:val="center"/>
          </w:tcPr>
          <w:p w14:paraId="6EB012A6"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0.426</w:t>
            </w:r>
          </w:p>
        </w:tc>
      </w:tr>
    </w:tbl>
    <w:p w14:paraId="3C912ABA" w14:textId="77777777" w:rsidR="008F37D6" w:rsidRDefault="008F37D6" w:rsidP="008F37D6">
      <w:pPr>
        <w:adjustRightInd w:val="0"/>
        <w:snapToGrid w:val="0"/>
        <w:spacing w:line="360" w:lineRule="auto"/>
        <w:rPr>
          <w:rFonts w:ascii="Book Antiqua" w:hAnsi="Book Antiqua"/>
          <w:bCs/>
          <w:color w:val="000000" w:themeColor="text1"/>
          <w:sz w:val="24"/>
          <w:szCs w:val="24"/>
        </w:rPr>
      </w:pPr>
      <w:r w:rsidRPr="008F37D6">
        <w:rPr>
          <w:rFonts w:ascii="Book Antiqua" w:hAnsi="Book Antiqua" w:hint="eastAsia"/>
          <w:bCs/>
          <w:color w:val="000000" w:themeColor="text1"/>
          <w:sz w:val="24"/>
          <w:szCs w:val="24"/>
        </w:rPr>
        <w:t xml:space="preserve">BMI: </w:t>
      </w:r>
      <w:r w:rsidRPr="008F37D6">
        <w:rPr>
          <w:rFonts w:ascii="Book Antiqua" w:hAnsi="Book Antiqua"/>
          <w:bCs/>
          <w:color w:val="000000" w:themeColor="text1"/>
          <w:sz w:val="24"/>
          <w:szCs w:val="24"/>
        </w:rPr>
        <w:t>Body mass index</w:t>
      </w:r>
      <w:r w:rsidRPr="008F37D6">
        <w:rPr>
          <w:rFonts w:ascii="Book Antiqua" w:hAnsi="Book Antiqua" w:hint="eastAsia"/>
          <w:bCs/>
          <w:color w:val="000000" w:themeColor="text1"/>
          <w:sz w:val="24"/>
          <w:szCs w:val="24"/>
        </w:rPr>
        <w:t>.</w:t>
      </w:r>
    </w:p>
    <w:p w14:paraId="084674B0" w14:textId="52BF89F6" w:rsidR="00183D66" w:rsidRPr="008F37D6" w:rsidRDefault="00183D66" w:rsidP="008F37D6">
      <w:pPr>
        <w:adjustRightInd w:val="0"/>
        <w:snapToGrid w:val="0"/>
        <w:spacing w:line="360" w:lineRule="auto"/>
        <w:rPr>
          <w:rFonts w:ascii="Book Antiqua" w:hAnsi="Book Antiqua"/>
          <w:bCs/>
          <w:color w:val="000000" w:themeColor="text1"/>
          <w:sz w:val="24"/>
          <w:szCs w:val="24"/>
        </w:rPr>
      </w:pPr>
      <w:r w:rsidRPr="008F37D6">
        <w:rPr>
          <w:rFonts w:ascii="Book Antiqua" w:hAnsi="Book Antiqua"/>
          <w:b/>
          <w:color w:val="000000" w:themeColor="text1"/>
          <w:sz w:val="24"/>
          <w:szCs w:val="24"/>
        </w:rPr>
        <w:t xml:space="preserve">Table 2 Comparison of serum </w:t>
      </w:r>
      <w:r w:rsidR="008F37D6" w:rsidRPr="008F37D6">
        <w:rPr>
          <w:rFonts w:ascii="Book Antiqua" w:hAnsi="Book Antiqua" w:cs="Times New Roman"/>
          <w:b/>
          <w:bCs/>
          <w:color w:val="000000" w:themeColor="text1"/>
          <w:kern w:val="0"/>
          <w:sz w:val="24"/>
          <w:szCs w:val="24"/>
        </w:rPr>
        <w:t>fibroblast growth factor</w:t>
      </w:r>
      <w:r w:rsidRPr="008F37D6">
        <w:rPr>
          <w:rFonts w:ascii="Book Antiqua" w:hAnsi="Book Antiqua"/>
          <w:b/>
          <w:color w:val="000000" w:themeColor="text1"/>
          <w:sz w:val="24"/>
          <w:szCs w:val="24"/>
        </w:rPr>
        <w:t xml:space="preserve">-23 and miR-208b levels in the </w:t>
      </w:r>
      <w:r w:rsidR="00C826E6">
        <w:rPr>
          <w:rFonts w:ascii="Book Antiqua" w:hAnsi="Book Antiqua"/>
          <w:b/>
          <w:color w:val="000000" w:themeColor="text1"/>
          <w:sz w:val="24"/>
          <w:szCs w:val="24"/>
        </w:rPr>
        <w:t xml:space="preserve">two </w:t>
      </w:r>
      <w:r w:rsidRPr="008F37D6">
        <w:rPr>
          <w:rFonts w:ascii="Book Antiqua" w:hAnsi="Book Antiqua"/>
          <w:b/>
          <w:color w:val="000000" w:themeColor="text1"/>
          <w:sz w:val="24"/>
          <w:szCs w:val="24"/>
        </w:rPr>
        <w:t>groups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82"/>
        <w:gridCol w:w="1304"/>
        <w:gridCol w:w="2245"/>
        <w:gridCol w:w="3191"/>
      </w:tblGrid>
      <w:tr w:rsidR="00345913" w:rsidRPr="00661363" w14:paraId="5A02A766" w14:textId="77777777" w:rsidTr="008F37D6">
        <w:trPr>
          <w:trHeight w:val="560"/>
          <w:jc w:val="center"/>
        </w:trPr>
        <w:tc>
          <w:tcPr>
            <w:tcW w:w="1046" w:type="pct"/>
            <w:tcBorders>
              <w:top w:val="single" w:sz="4" w:space="0" w:color="auto"/>
              <w:bottom w:val="single" w:sz="4" w:space="0" w:color="auto"/>
            </w:tcBorders>
            <w:noWrap/>
            <w:vAlign w:val="center"/>
          </w:tcPr>
          <w:p w14:paraId="11F72A74" w14:textId="77777777" w:rsidR="00183D66" w:rsidRPr="008F37D6" w:rsidRDefault="00183D66" w:rsidP="00661363">
            <w:pPr>
              <w:pStyle w:val="p16"/>
              <w:adjustRightInd w:val="0"/>
              <w:snapToGrid w:val="0"/>
              <w:spacing w:line="360" w:lineRule="auto"/>
              <w:rPr>
                <w:rFonts w:ascii="Book Antiqua" w:hAnsi="Book Antiqua"/>
                <w:b/>
                <w:color w:val="000000" w:themeColor="text1"/>
                <w:sz w:val="24"/>
                <w:szCs w:val="24"/>
              </w:rPr>
            </w:pPr>
            <w:r w:rsidRPr="008F37D6">
              <w:rPr>
                <w:rFonts w:ascii="Book Antiqua" w:hAnsi="Book Antiqua"/>
                <w:b/>
                <w:color w:val="000000" w:themeColor="text1"/>
                <w:sz w:val="24"/>
                <w:szCs w:val="24"/>
              </w:rPr>
              <w:t>Group</w:t>
            </w:r>
          </w:p>
        </w:tc>
        <w:tc>
          <w:tcPr>
            <w:tcW w:w="765" w:type="pct"/>
            <w:tcBorders>
              <w:top w:val="single" w:sz="4" w:space="0" w:color="auto"/>
              <w:bottom w:val="single" w:sz="4" w:space="0" w:color="auto"/>
            </w:tcBorders>
            <w:noWrap/>
            <w:vAlign w:val="center"/>
          </w:tcPr>
          <w:p w14:paraId="5224658D" w14:textId="78889A37" w:rsidR="00183D66" w:rsidRPr="008F37D6" w:rsidRDefault="008F37D6" w:rsidP="00661363">
            <w:pPr>
              <w:pStyle w:val="p16"/>
              <w:adjustRightInd w:val="0"/>
              <w:snapToGrid w:val="0"/>
              <w:spacing w:line="360" w:lineRule="auto"/>
              <w:rPr>
                <w:rFonts w:ascii="Book Antiqua" w:hAnsi="Book Antiqua"/>
                <w:b/>
                <w:i/>
                <w:color w:val="000000" w:themeColor="text1"/>
                <w:sz w:val="24"/>
                <w:szCs w:val="24"/>
              </w:rPr>
            </w:pPr>
            <w:r w:rsidRPr="008F37D6">
              <w:rPr>
                <w:rFonts w:ascii="Book Antiqua" w:hAnsi="Book Antiqua" w:hint="eastAsia"/>
                <w:b/>
                <w:i/>
                <w:color w:val="000000" w:themeColor="text1"/>
                <w:sz w:val="24"/>
                <w:szCs w:val="24"/>
              </w:rPr>
              <w:t>n</w:t>
            </w:r>
          </w:p>
        </w:tc>
        <w:tc>
          <w:tcPr>
            <w:tcW w:w="1317" w:type="pct"/>
            <w:tcBorders>
              <w:top w:val="single" w:sz="4" w:space="0" w:color="auto"/>
              <w:bottom w:val="single" w:sz="4" w:space="0" w:color="auto"/>
            </w:tcBorders>
            <w:noWrap/>
            <w:vAlign w:val="center"/>
          </w:tcPr>
          <w:p w14:paraId="5958C204" w14:textId="255D79AD" w:rsidR="00183D66" w:rsidRPr="008F37D6" w:rsidRDefault="00183D66" w:rsidP="00661363">
            <w:pPr>
              <w:pStyle w:val="p16"/>
              <w:adjustRightInd w:val="0"/>
              <w:snapToGrid w:val="0"/>
              <w:spacing w:line="360" w:lineRule="auto"/>
              <w:rPr>
                <w:rFonts w:ascii="Book Antiqua" w:hAnsi="Book Antiqua"/>
                <w:b/>
                <w:color w:val="000000" w:themeColor="text1"/>
                <w:sz w:val="24"/>
                <w:szCs w:val="24"/>
              </w:rPr>
            </w:pPr>
            <w:r w:rsidRPr="008F37D6">
              <w:rPr>
                <w:rFonts w:ascii="Book Antiqua" w:hAnsi="Book Antiqua"/>
                <w:b/>
                <w:color w:val="000000" w:themeColor="text1"/>
                <w:sz w:val="24"/>
                <w:szCs w:val="24"/>
              </w:rPr>
              <w:t>FGF-23</w:t>
            </w:r>
            <w:r w:rsidR="008F37D6">
              <w:rPr>
                <w:rFonts w:ascii="Book Antiqua" w:hAnsi="Book Antiqua" w:hint="eastAsia"/>
                <w:b/>
                <w:color w:val="000000" w:themeColor="text1"/>
                <w:sz w:val="24"/>
                <w:szCs w:val="24"/>
              </w:rPr>
              <w:t xml:space="preserve"> </w:t>
            </w:r>
            <w:r w:rsidRPr="008F37D6">
              <w:rPr>
                <w:rFonts w:ascii="Book Antiqua" w:hAnsi="Book Antiqua"/>
                <w:b/>
                <w:color w:val="000000" w:themeColor="text1"/>
                <w:sz w:val="24"/>
                <w:szCs w:val="24"/>
              </w:rPr>
              <w:t>(ng/m</w:t>
            </w:r>
            <w:r w:rsidR="008F37D6" w:rsidRPr="008F37D6">
              <w:rPr>
                <w:rFonts w:ascii="Book Antiqua" w:hAnsi="Book Antiqua"/>
                <w:b/>
                <w:color w:val="000000" w:themeColor="text1"/>
                <w:sz w:val="24"/>
                <w:szCs w:val="24"/>
              </w:rPr>
              <w:t>L</w:t>
            </w:r>
            <w:r w:rsidRPr="008F37D6">
              <w:rPr>
                <w:rFonts w:ascii="Book Antiqua" w:hAnsi="Book Antiqua"/>
                <w:b/>
                <w:color w:val="000000" w:themeColor="text1"/>
                <w:sz w:val="24"/>
                <w:szCs w:val="24"/>
              </w:rPr>
              <w:t>)</w:t>
            </w:r>
          </w:p>
        </w:tc>
        <w:tc>
          <w:tcPr>
            <w:tcW w:w="1872" w:type="pct"/>
            <w:tcBorders>
              <w:top w:val="single" w:sz="4" w:space="0" w:color="auto"/>
              <w:bottom w:val="single" w:sz="4" w:space="0" w:color="auto"/>
            </w:tcBorders>
            <w:vAlign w:val="center"/>
          </w:tcPr>
          <w:p w14:paraId="3D17ED98" w14:textId="77777777" w:rsidR="00183D66" w:rsidRPr="008F37D6" w:rsidRDefault="00183D66" w:rsidP="00661363">
            <w:pPr>
              <w:pStyle w:val="p16"/>
              <w:adjustRightInd w:val="0"/>
              <w:snapToGrid w:val="0"/>
              <w:spacing w:line="360" w:lineRule="auto"/>
              <w:rPr>
                <w:rFonts w:ascii="Book Antiqua" w:hAnsi="Book Antiqua"/>
                <w:b/>
                <w:color w:val="000000" w:themeColor="text1"/>
                <w:sz w:val="24"/>
                <w:szCs w:val="24"/>
              </w:rPr>
            </w:pPr>
            <w:r w:rsidRPr="008F37D6">
              <w:rPr>
                <w:rFonts w:ascii="Book Antiqua" w:hAnsi="Book Antiqua"/>
                <w:b/>
                <w:color w:val="000000" w:themeColor="text1"/>
                <w:sz w:val="24"/>
                <w:szCs w:val="24"/>
              </w:rPr>
              <w:t>Relative expression of miR-208b</w:t>
            </w:r>
          </w:p>
        </w:tc>
      </w:tr>
      <w:tr w:rsidR="00345913" w:rsidRPr="00661363" w14:paraId="0C402531" w14:textId="77777777" w:rsidTr="008F37D6">
        <w:trPr>
          <w:trHeight w:val="280"/>
          <w:jc w:val="center"/>
        </w:trPr>
        <w:tc>
          <w:tcPr>
            <w:tcW w:w="1046" w:type="pct"/>
            <w:tcBorders>
              <w:top w:val="single" w:sz="4" w:space="0" w:color="auto"/>
            </w:tcBorders>
            <w:noWrap/>
            <w:vAlign w:val="center"/>
          </w:tcPr>
          <w:p w14:paraId="32DCE353" w14:textId="191C8A12" w:rsidR="00183D66" w:rsidRPr="00661363" w:rsidRDefault="00183D66">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Observation</w:t>
            </w:r>
          </w:p>
        </w:tc>
        <w:tc>
          <w:tcPr>
            <w:tcW w:w="765" w:type="pct"/>
            <w:tcBorders>
              <w:top w:val="single" w:sz="4" w:space="0" w:color="auto"/>
            </w:tcBorders>
            <w:vAlign w:val="center"/>
          </w:tcPr>
          <w:p w14:paraId="5F09B6E0"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240</w:t>
            </w:r>
          </w:p>
        </w:tc>
        <w:tc>
          <w:tcPr>
            <w:tcW w:w="1317" w:type="pct"/>
            <w:tcBorders>
              <w:top w:val="single" w:sz="4" w:space="0" w:color="auto"/>
            </w:tcBorders>
            <w:noWrap/>
            <w:vAlign w:val="center"/>
          </w:tcPr>
          <w:p w14:paraId="12B99368" w14:textId="7CEC61A4"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210.20</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89.60</w:t>
            </w:r>
          </w:p>
        </w:tc>
        <w:tc>
          <w:tcPr>
            <w:tcW w:w="1872" w:type="pct"/>
            <w:tcBorders>
              <w:top w:val="single" w:sz="4" w:space="0" w:color="auto"/>
            </w:tcBorders>
            <w:vAlign w:val="center"/>
          </w:tcPr>
          <w:p w14:paraId="7458C310" w14:textId="05A953E6"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5.30</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1.22</w:t>
            </w:r>
          </w:p>
        </w:tc>
      </w:tr>
      <w:tr w:rsidR="00345913" w:rsidRPr="00661363" w14:paraId="75F7FCB2" w14:textId="77777777" w:rsidTr="008F37D6">
        <w:trPr>
          <w:trHeight w:val="280"/>
          <w:jc w:val="center"/>
        </w:trPr>
        <w:tc>
          <w:tcPr>
            <w:tcW w:w="1046" w:type="pct"/>
            <w:noWrap/>
            <w:vAlign w:val="center"/>
          </w:tcPr>
          <w:p w14:paraId="13DF7D54" w14:textId="76E996FF" w:rsidR="00183D66" w:rsidRPr="00661363" w:rsidRDefault="00183D66">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Control</w:t>
            </w:r>
          </w:p>
        </w:tc>
        <w:tc>
          <w:tcPr>
            <w:tcW w:w="765" w:type="pct"/>
            <w:vAlign w:val="center"/>
          </w:tcPr>
          <w:p w14:paraId="7FD7BFA7"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150</w:t>
            </w:r>
          </w:p>
        </w:tc>
        <w:tc>
          <w:tcPr>
            <w:tcW w:w="1317" w:type="pct"/>
            <w:noWrap/>
            <w:vAlign w:val="bottom"/>
          </w:tcPr>
          <w:p w14:paraId="12E05618" w14:textId="03E0FA18"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110.04</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32.29</w:t>
            </w:r>
          </w:p>
        </w:tc>
        <w:tc>
          <w:tcPr>
            <w:tcW w:w="1872" w:type="pct"/>
            <w:vAlign w:val="bottom"/>
          </w:tcPr>
          <w:p w14:paraId="435383E7" w14:textId="5EF6959E"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2.90</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0.88</w:t>
            </w:r>
          </w:p>
        </w:tc>
      </w:tr>
      <w:tr w:rsidR="00345913" w:rsidRPr="00661363" w14:paraId="63BB6A5B" w14:textId="77777777" w:rsidTr="008F37D6">
        <w:trPr>
          <w:trHeight w:val="280"/>
          <w:jc w:val="center"/>
        </w:trPr>
        <w:tc>
          <w:tcPr>
            <w:tcW w:w="1046" w:type="pct"/>
            <w:noWrap/>
            <w:vAlign w:val="bottom"/>
          </w:tcPr>
          <w:p w14:paraId="45A63951" w14:textId="77777777" w:rsidR="00183D66" w:rsidRPr="008F37D6" w:rsidRDefault="00183D66" w:rsidP="00661363">
            <w:pPr>
              <w:pStyle w:val="p16"/>
              <w:adjustRightInd w:val="0"/>
              <w:snapToGrid w:val="0"/>
              <w:spacing w:line="360" w:lineRule="auto"/>
              <w:rPr>
                <w:rFonts w:ascii="Book Antiqua" w:hAnsi="Book Antiqua"/>
                <w:i/>
                <w:color w:val="000000" w:themeColor="text1"/>
                <w:sz w:val="24"/>
                <w:szCs w:val="24"/>
              </w:rPr>
            </w:pPr>
            <w:r w:rsidRPr="008F37D6">
              <w:rPr>
                <w:rFonts w:ascii="Book Antiqua" w:hAnsi="Book Antiqua"/>
                <w:i/>
                <w:color w:val="000000" w:themeColor="text1"/>
                <w:sz w:val="24"/>
                <w:szCs w:val="24"/>
              </w:rPr>
              <w:t>t</w:t>
            </w:r>
          </w:p>
        </w:tc>
        <w:tc>
          <w:tcPr>
            <w:tcW w:w="765" w:type="pct"/>
            <w:noWrap/>
            <w:vAlign w:val="bottom"/>
          </w:tcPr>
          <w:p w14:paraId="14F1AD9F"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p>
        </w:tc>
        <w:tc>
          <w:tcPr>
            <w:tcW w:w="1317" w:type="pct"/>
            <w:noWrap/>
            <w:vAlign w:val="bottom"/>
          </w:tcPr>
          <w:p w14:paraId="169E7465"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13.162 </w:t>
            </w:r>
          </w:p>
        </w:tc>
        <w:tc>
          <w:tcPr>
            <w:tcW w:w="1872" w:type="pct"/>
            <w:vAlign w:val="bottom"/>
          </w:tcPr>
          <w:p w14:paraId="57E4130B"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20.926 </w:t>
            </w:r>
          </w:p>
        </w:tc>
      </w:tr>
      <w:tr w:rsidR="00345913" w:rsidRPr="00661363" w14:paraId="579999B9" w14:textId="77777777" w:rsidTr="008F37D6">
        <w:trPr>
          <w:trHeight w:val="280"/>
          <w:jc w:val="center"/>
        </w:trPr>
        <w:tc>
          <w:tcPr>
            <w:tcW w:w="1046" w:type="pct"/>
            <w:noWrap/>
            <w:vAlign w:val="bottom"/>
          </w:tcPr>
          <w:p w14:paraId="27EC0B56" w14:textId="3D489A8A" w:rsidR="00183D66" w:rsidRPr="008F37D6" w:rsidRDefault="008F37D6" w:rsidP="00661363">
            <w:pPr>
              <w:pStyle w:val="p16"/>
              <w:adjustRightInd w:val="0"/>
              <w:snapToGrid w:val="0"/>
              <w:spacing w:line="360" w:lineRule="auto"/>
              <w:rPr>
                <w:rFonts w:ascii="Book Antiqua" w:hAnsi="Book Antiqua"/>
                <w:i/>
                <w:color w:val="000000" w:themeColor="text1"/>
                <w:sz w:val="24"/>
                <w:szCs w:val="24"/>
              </w:rPr>
            </w:pPr>
            <w:r w:rsidRPr="008F37D6">
              <w:rPr>
                <w:rFonts w:ascii="Book Antiqua" w:hAnsi="Book Antiqua"/>
                <w:i/>
                <w:color w:val="000000" w:themeColor="text1"/>
                <w:sz w:val="24"/>
                <w:szCs w:val="24"/>
              </w:rPr>
              <w:t>P</w:t>
            </w:r>
            <w:r>
              <w:rPr>
                <w:rFonts w:ascii="Book Antiqua" w:hAnsi="Book Antiqua" w:hint="eastAsia"/>
                <w:i/>
                <w:color w:val="000000" w:themeColor="text1"/>
                <w:sz w:val="24"/>
                <w:szCs w:val="24"/>
              </w:rPr>
              <w:t xml:space="preserve"> </w:t>
            </w:r>
            <w:r w:rsidRPr="008F37D6">
              <w:rPr>
                <w:rFonts w:ascii="Book Antiqua" w:hAnsi="Book Antiqua" w:hint="eastAsia"/>
                <w:color w:val="000000" w:themeColor="text1"/>
                <w:sz w:val="24"/>
                <w:szCs w:val="24"/>
              </w:rPr>
              <w:t>value</w:t>
            </w:r>
          </w:p>
        </w:tc>
        <w:tc>
          <w:tcPr>
            <w:tcW w:w="765" w:type="pct"/>
            <w:noWrap/>
            <w:vAlign w:val="bottom"/>
          </w:tcPr>
          <w:p w14:paraId="257BB9C3"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w:t>
            </w:r>
          </w:p>
        </w:tc>
        <w:tc>
          <w:tcPr>
            <w:tcW w:w="1317" w:type="pct"/>
            <w:noWrap/>
            <w:vAlign w:val="bottom"/>
          </w:tcPr>
          <w:p w14:paraId="16922750"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0.000 </w:t>
            </w:r>
          </w:p>
        </w:tc>
        <w:tc>
          <w:tcPr>
            <w:tcW w:w="1872" w:type="pct"/>
            <w:vAlign w:val="bottom"/>
          </w:tcPr>
          <w:p w14:paraId="7FFAE7BF"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0.000 </w:t>
            </w:r>
          </w:p>
        </w:tc>
      </w:tr>
    </w:tbl>
    <w:p w14:paraId="48A707A3" w14:textId="38CF28E3" w:rsidR="00183D66" w:rsidRPr="008F37D6" w:rsidRDefault="008F37D6" w:rsidP="00661363">
      <w:pPr>
        <w:adjustRightInd w:val="0"/>
        <w:snapToGrid w:val="0"/>
        <w:spacing w:line="360" w:lineRule="auto"/>
        <w:rPr>
          <w:rFonts w:ascii="Book Antiqua" w:hAnsi="Book Antiqua" w:cs="Times New Roman"/>
          <w:bCs/>
          <w:color w:val="000000" w:themeColor="text1"/>
          <w:kern w:val="0"/>
          <w:sz w:val="24"/>
          <w:szCs w:val="24"/>
        </w:rPr>
      </w:pPr>
      <w:r w:rsidRPr="008F37D6">
        <w:rPr>
          <w:rFonts w:ascii="Book Antiqua" w:hAnsi="Book Antiqua"/>
          <w:color w:val="000000" w:themeColor="text1"/>
          <w:sz w:val="24"/>
          <w:szCs w:val="24"/>
        </w:rPr>
        <w:t>FGF</w:t>
      </w:r>
      <w:r w:rsidRPr="008F37D6">
        <w:rPr>
          <w:rFonts w:ascii="Book Antiqua" w:hAnsi="Book Antiqua" w:cs="Times New Roman" w:hint="eastAsia"/>
          <w:bCs/>
          <w:color w:val="000000" w:themeColor="text1"/>
          <w:kern w:val="0"/>
          <w:sz w:val="24"/>
          <w:szCs w:val="24"/>
        </w:rPr>
        <w:t xml:space="preserve">: </w:t>
      </w:r>
      <w:r w:rsidRPr="008F37D6">
        <w:rPr>
          <w:rFonts w:ascii="Book Antiqua" w:hAnsi="Book Antiqua" w:cs="Times New Roman"/>
          <w:bCs/>
          <w:color w:val="000000" w:themeColor="text1"/>
          <w:kern w:val="0"/>
          <w:sz w:val="24"/>
          <w:szCs w:val="24"/>
        </w:rPr>
        <w:t>Fibroblast growth factor</w:t>
      </w:r>
      <w:r w:rsidRPr="008F37D6">
        <w:rPr>
          <w:rFonts w:ascii="Book Antiqua" w:hAnsi="Book Antiqua" w:cs="Times New Roman" w:hint="eastAsia"/>
          <w:bCs/>
          <w:color w:val="000000" w:themeColor="text1"/>
          <w:kern w:val="0"/>
          <w:sz w:val="24"/>
          <w:szCs w:val="24"/>
        </w:rPr>
        <w:t>.</w:t>
      </w:r>
    </w:p>
    <w:p w14:paraId="52DECBF4" w14:textId="77777777" w:rsidR="009E2613" w:rsidRDefault="009E2613" w:rsidP="00661363">
      <w:pPr>
        <w:adjustRightInd w:val="0"/>
        <w:snapToGrid w:val="0"/>
        <w:spacing w:line="360" w:lineRule="auto"/>
        <w:rPr>
          <w:rFonts w:ascii="Book Antiqua" w:hAnsi="Book Antiqua"/>
          <w:color w:val="000000" w:themeColor="text1"/>
          <w:sz w:val="24"/>
          <w:szCs w:val="24"/>
        </w:rPr>
        <w:sectPr w:rsidR="009E2613">
          <w:footerReference w:type="default" r:id="rId11"/>
          <w:pgSz w:w="11906" w:h="16838"/>
          <w:pgMar w:top="1440" w:right="1800" w:bottom="1440" w:left="1800" w:header="851" w:footer="992" w:gutter="0"/>
          <w:cols w:space="425"/>
          <w:docGrid w:type="lines" w:linePitch="312"/>
        </w:sectPr>
      </w:pPr>
    </w:p>
    <w:p w14:paraId="763BBA06" w14:textId="218971FC" w:rsidR="00183D66" w:rsidRPr="008F37D6" w:rsidRDefault="00183D66" w:rsidP="00661363">
      <w:pPr>
        <w:pStyle w:val="p16"/>
        <w:adjustRightInd w:val="0"/>
        <w:snapToGrid w:val="0"/>
        <w:spacing w:line="360" w:lineRule="auto"/>
        <w:rPr>
          <w:rFonts w:ascii="Book Antiqua" w:hAnsi="Book Antiqua"/>
          <w:b/>
          <w:color w:val="000000" w:themeColor="text1"/>
          <w:sz w:val="24"/>
          <w:szCs w:val="24"/>
        </w:rPr>
      </w:pPr>
      <w:r w:rsidRPr="008F37D6">
        <w:rPr>
          <w:rFonts w:ascii="Book Antiqua" w:hAnsi="Book Antiqua"/>
          <w:b/>
          <w:color w:val="000000" w:themeColor="text1"/>
          <w:sz w:val="24"/>
          <w:szCs w:val="24"/>
        </w:rPr>
        <w:t xml:space="preserve">Table 3 Comparison of </w:t>
      </w:r>
      <w:r w:rsidR="008F37D6" w:rsidRPr="008F37D6">
        <w:rPr>
          <w:rFonts w:ascii="Book Antiqua" w:hAnsi="Book Antiqua"/>
          <w:b/>
          <w:color w:val="000000" w:themeColor="text1"/>
          <w:sz w:val="24"/>
          <w:szCs w:val="24"/>
        </w:rPr>
        <w:t xml:space="preserve">serum </w:t>
      </w:r>
      <w:r w:rsidR="008F37D6" w:rsidRPr="008F37D6">
        <w:rPr>
          <w:rFonts w:ascii="Book Antiqua" w:hAnsi="Book Antiqua"/>
          <w:b/>
          <w:bCs/>
          <w:color w:val="000000" w:themeColor="text1"/>
          <w:sz w:val="24"/>
          <w:szCs w:val="24"/>
        </w:rPr>
        <w:t>fibroblast growth factor</w:t>
      </w:r>
      <w:r w:rsidRPr="008F37D6">
        <w:rPr>
          <w:rFonts w:ascii="Book Antiqua" w:hAnsi="Book Antiqua"/>
          <w:b/>
          <w:color w:val="000000" w:themeColor="text1"/>
          <w:sz w:val="24"/>
          <w:szCs w:val="24"/>
        </w:rPr>
        <w:t>-23 and miR-208b in different subgroups of observation group</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517"/>
        <w:gridCol w:w="886"/>
        <w:gridCol w:w="1256"/>
        <w:gridCol w:w="1272"/>
        <w:gridCol w:w="1378"/>
        <w:gridCol w:w="1240"/>
        <w:gridCol w:w="1169"/>
        <w:gridCol w:w="1169"/>
        <w:gridCol w:w="1169"/>
        <w:gridCol w:w="1166"/>
      </w:tblGrid>
      <w:tr w:rsidR="009E2613" w:rsidRPr="00661363" w14:paraId="260DC14B" w14:textId="3484BCB8" w:rsidTr="002E608F">
        <w:trPr>
          <w:trHeight w:val="786"/>
        </w:trPr>
        <w:tc>
          <w:tcPr>
            <w:tcW w:w="952" w:type="pct"/>
            <w:tcBorders>
              <w:top w:val="single" w:sz="4" w:space="0" w:color="auto"/>
              <w:bottom w:val="single" w:sz="4" w:space="0" w:color="auto"/>
            </w:tcBorders>
            <w:noWrap/>
            <w:vAlign w:val="center"/>
          </w:tcPr>
          <w:p w14:paraId="6C5C7B9A" w14:textId="529A064C" w:rsidR="009E2613" w:rsidRPr="00D93509" w:rsidRDefault="009E2613" w:rsidP="00661363">
            <w:pPr>
              <w:pStyle w:val="p16"/>
              <w:adjustRightInd w:val="0"/>
              <w:snapToGrid w:val="0"/>
              <w:spacing w:line="360" w:lineRule="auto"/>
              <w:rPr>
                <w:rFonts w:ascii="Book Antiqua" w:hAnsi="Book Antiqua"/>
                <w:b/>
                <w:color w:val="000000" w:themeColor="text1"/>
                <w:sz w:val="24"/>
                <w:szCs w:val="24"/>
              </w:rPr>
            </w:pPr>
            <w:r w:rsidRPr="00D93509">
              <w:rPr>
                <w:rFonts w:ascii="Book Antiqua" w:hAnsi="Book Antiqua"/>
                <w:b/>
                <w:color w:val="000000" w:themeColor="text1"/>
                <w:sz w:val="24"/>
                <w:szCs w:val="24"/>
              </w:rPr>
              <w:t>Group</w:t>
            </w:r>
          </w:p>
        </w:tc>
        <w:tc>
          <w:tcPr>
            <w:tcW w:w="335" w:type="pct"/>
            <w:tcBorders>
              <w:top w:val="single" w:sz="4" w:space="0" w:color="auto"/>
              <w:bottom w:val="single" w:sz="4" w:space="0" w:color="auto"/>
            </w:tcBorders>
            <w:noWrap/>
            <w:vAlign w:val="center"/>
          </w:tcPr>
          <w:p w14:paraId="32FEB3DD" w14:textId="0EB03F57" w:rsidR="009E2613" w:rsidRPr="00D93509" w:rsidRDefault="00D93509" w:rsidP="00661363">
            <w:pPr>
              <w:pStyle w:val="p16"/>
              <w:adjustRightInd w:val="0"/>
              <w:snapToGrid w:val="0"/>
              <w:spacing w:line="360" w:lineRule="auto"/>
              <w:rPr>
                <w:rFonts w:ascii="Book Antiqua" w:hAnsi="Book Antiqua"/>
                <w:b/>
                <w:i/>
                <w:color w:val="000000" w:themeColor="text1"/>
                <w:sz w:val="24"/>
                <w:szCs w:val="24"/>
              </w:rPr>
            </w:pPr>
            <w:r w:rsidRPr="00D93509">
              <w:rPr>
                <w:rFonts w:ascii="Book Antiqua" w:hAnsi="Book Antiqua" w:hint="eastAsia"/>
                <w:b/>
                <w:i/>
                <w:color w:val="000000" w:themeColor="text1"/>
                <w:sz w:val="24"/>
                <w:szCs w:val="24"/>
              </w:rPr>
              <w:t>n</w:t>
            </w:r>
          </w:p>
        </w:tc>
        <w:tc>
          <w:tcPr>
            <w:tcW w:w="475" w:type="pct"/>
            <w:tcBorders>
              <w:top w:val="single" w:sz="4" w:space="0" w:color="auto"/>
              <w:bottom w:val="single" w:sz="4" w:space="0" w:color="auto"/>
            </w:tcBorders>
            <w:noWrap/>
            <w:vAlign w:val="center"/>
          </w:tcPr>
          <w:p w14:paraId="7046F4EE" w14:textId="69E69CB6" w:rsidR="009E2613" w:rsidRPr="00D93509" w:rsidRDefault="00D93509" w:rsidP="00661363">
            <w:pPr>
              <w:pStyle w:val="p16"/>
              <w:adjustRightInd w:val="0"/>
              <w:snapToGrid w:val="0"/>
              <w:spacing w:line="360" w:lineRule="auto"/>
              <w:rPr>
                <w:rFonts w:ascii="Book Antiqua" w:hAnsi="Book Antiqua"/>
                <w:b/>
                <w:color w:val="000000" w:themeColor="text1"/>
                <w:sz w:val="24"/>
                <w:szCs w:val="24"/>
              </w:rPr>
            </w:pPr>
            <w:r w:rsidRPr="00D93509">
              <w:rPr>
                <w:rFonts w:ascii="Book Antiqua" w:hAnsi="Book Antiqua"/>
                <w:b/>
                <w:color w:val="000000" w:themeColor="text1"/>
                <w:sz w:val="24"/>
                <w:szCs w:val="24"/>
              </w:rPr>
              <w:t>Man</w:t>
            </w:r>
            <w:r w:rsidRPr="00D93509">
              <w:rPr>
                <w:rFonts w:ascii="Book Antiqua" w:hAnsi="Book Antiqua" w:hint="eastAsia"/>
                <w:b/>
                <w:color w:val="000000" w:themeColor="text1"/>
                <w:sz w:val="24"/>
                <w:szCs w:val="24"/>
              </w:rPr>
              <w:t xml:space="preserve">, </w:t>
            </w:r>
            <w:r w:rsidRPr="00D93509">
              <w:rPr>
                <w:rFonts w:ascii="Book Antiqua" w:hAnsi="Book Antiqua" w:hint="eastAsia"/>
                <w:b/>
                <w:i/>
                <w:color w:val="000000" w:themeColor="text1"/>
                <w:sz w:val="24"/>
                <w:szCs w:val="24"/>
              </w:rPr>
              <w:t>n</w:t>
            </w:r>
            <w:r w:rsidRPr="00D93509">
              <w:rPr>
                <w:rFonts w:ascii="Book Antiqua" w:hAnsi="Book Antiqua" w:hint="eastAsia"/>
                <w:b/>
                <w:color w:val="000000" w:themeColor="text1"/>
                <w:sz w:val="24"/>
                <w:szCs w:val="24"/>
              </w:rPr>
              <w:t xml:space="preserve"> (</w:t>
            </w:r>
            <w:r w:rsidR="009E2613" w:rsidRPr="00D93509">
              <w:rPr>
                <w:rFonts w:ascii="Book Antiqua" w:hAnsi="Book Antiqua"/>
                <w:b/>
                <w:color w:val="000000" w:themeColor="text1"/>
                <w:sz w:val="24"/>
                <w:szCs w:val="24"/>
              </w:rPr>
              <w:t>%)</w:t>
            </w:r>
          </w:p>
        </w:tc>
        <w:tc>
          <w:tcPr>
            <w:tcW w:w="481" w:type="pct"/>
            <w:tcBorders>
              <w:top w:val="single" w:sz="4" w:space="0" w:color="auto"/>
              <w:bottom w:val="single" w:sz="4" w:space="0" w:color="auto"/>
            </w:tcBorders>
            <w:vAlign w:val="center"/>
          </w:tcPr>
          <w:p w14:paraId="6D2F51E2" w14:textId="11D999D1" w:rsidR="009E2613" w:rsidRPr="00D93509" w:rsidRDefault="009E2613" w:rsidP="00D93509">
            <w:pPr>
              <w:pStyle w:val="p16"/>
              <w:adjustRightInd w:val="0"/>
              <w:snapToGrid w:val="0"/>
              <w:spacing w:line="360" w:lineRule="auto"/>
              <w:rPr>
                <w:rFonts w:ascii="Book Antiqua" w:hAnsi="Book Antiqua"/>
                <w:b/>
                <w:color w:val="000000" w:themeColor="text1"/>
                <w:sz w:val="24"/>
                <w:szCs w:val="24"/>
              </w:rPr>
            </w:pPr>
            <w:r w:rsidRPr="00D93509">
              <w:rPr>
                <w:rFonts w:ascii="Book Antiqua" w:hAnsi="Book Antiqua"/>
                <w:b/>
                <w:color w:val="000000" w:themeColor="text1"/>
                <w:sz w:val="24"/>
                <w:szCs w:val="24"/>
              </w:rPr>
              <w:t>Age (</w:t>
            </w:r>
            <w:r w:rsidR="00D93509" w:rsidRPr="00D93509">
              <w:rPr>
                <w:rFonts w:ascii="Book Antiqua" w:hAnsi="Book Antiqua" w:hint="eastAsia"/>
                <w:b/>
                <w:color w:val="000000" w:themeColor="text1"/>
                <w:sz w:val="24"/>
                <w:szCs w:val="24"/>
              </w:rPr>
              <w:t>yr</w:t>
            </w:r>
            <w:r w:rsidRPr="00D93509">
              <w:rPr>
                <w:rFonts w:ascii="Book Antiqua" w:hAnsi="Book Antiqua"/>
                <w:b/>
                <w:color w:val="000000" w:themeColor="text1"/>
                <w:sz w:val="24"/>
                <w:szCs w:val="24"/>
              </w:rPr>
              <w:t>)</w:t>
            </w:r>
          </w:p>
        </w:tc>
        <w:tc>
          <w:tcPr>
            <w:tcW w:w="521" w:type="pct"/>
            <w:tcBorders>
              <w:top w:val="single" w:sz="4" w:space="0" w:color="auto"/>
              <w:bottom w:val="single" w:sz="4" w:space="0" w:color="auto"/>
            </w:tcBorders>
            <w:vAlign w:val="center"/>
          </w:tcPr>
          <w:p w14:paraId="4B653C05" w14:textId="45DA6EB5" w:rsidR="009E2613" w:rsidRPr="00D93509" w:rsidRDefault="009E2613" w:rsidP="00661363">
            <w:pPr>
              <w:pStyle w:val="p16"/>
              <w:adjustRightInd w:val="0"/>
              <w:snapToGrid w:val="0"/>
              <w:spacing w:line="360" w:lineRule="auto"/>
              <w:rPr>
                <w:rFonts w:ascii="Book Antiqua" w:hAnsi="Book Antiqua"/>
                <w:b/>
                <w:color w:val="000000" w:themeColor="text1"/>
                <w:sz w:val="24"/>
                <w:szCs w:val="24"/>
              </w:rPr>
            </w:pPr>
            <w:r w:rsidRPr="00D93509">
              <w:rPr>
                <w:rFonts w:ascii="Book Antiqua" w:hAnsi="Book Antiqua"/>
                <w:b/>
                <w:color w:val="000000" w:themeColor="text1"/>
                <w:sz w:val="24"/>
                <w:szCs w:val="24"/>
              </w:rPr>
              <w:t>FGF-23</w:t>
            </w:r>
            <w:r w:rsidR="00D93509" w:rsidRPr="00D93509">
              <w:rPr>
                <w:rFonts w:ascii="Book Antiqua" w:hAnsi="Book Antiqua" w:hint="eastAsia"/>
                <w:b/>
                <w:color w:val="000000" w:themeColor="text1"/>
                <w:sz w:val="24"/>
                <w:szCs w:val="24"/>
              </w:rPr>
              <w:t xml:space="preserve"> </w:t>
            </w:r>
            <w:r w:rsidRPr="00D93509">
              <w:rPr>
                <w:rFonts w:ascii="Book Antiqua" w:hAnsi="Book Antiqua"/>
                <w:b/>
                <w:color w:val="000000" w:themeColor="text1"/>
                <w:sz w:val="24"/>
                <w:szCs w:val="24"/>
              </w:rPr>
              <w:t>(ng/m</w:t>
            </w:r>
            <w:r w:rsidR="00D93509" w:rsidRPr="00D93509">
              <w:rPr>
                <w:rFonts w:ascii="Book Antiqua" w:hAnsi="Book Antiqua"/>
                <w:b/>
                <w:color w:val="000000" w:themeColor="text1"/>
                <w:sz w:val="24"/>
                <w:szCs w:val="24"/>
              </w:rPr>
              <w:t>L</w:t>
            </w:r>
            <w:r w:rsidRPr="00D93509">
              <w:rPr>
                <w:rFonts w:ascii="Book Antiqua" w:hAnsi="Book Antiqua"/>
                <w:b/>
                <w:color w:val="000000" w:themeColor="text1"/>
                <w:sz w:val="24"/>
                <w:szCs w:val="24"/>
              </w:rPr>
              <w:t>)</w:t>
            </w:r>
          </w:p>
        </w:tc>
        <w:tc>
          <w:tcPr>
            <w:tcW w:w="469" w:type="pct"/>
            <w:tcBorders>
              <w:top w:val="single" w:sz="4" w:space="0" w:color="auto"/>
              <w:bottom w:val="single" w:sz="4" w:space="0" w:color="auto"/>
            </w:tcBorders>
            <w:vAlign w:val="center"/>
          </w:tcPr>
          <w:p w14:paraId="05BC5B78" w14:textId="77777777" w:rsidR="009E2613" w:rsidRPr="00D93509" w:rsidRDefault="009E2613" w:rsidP="00661363">
            <w:pPr>
              <w:pStyle w:val="p16"/>
              <w:adjustRightInd w:val="0"/>
              <w:snapToGrid w:val="0"/>
              <w:spacing w:line="360" w:lineRule="auto"/>
              <w:rPr>
                <w:rFonts w:ascii="Book Antiqua" w:hAnsi="Book Antiqua"/>
                <w:b/>
                <w:color w:val="000000" w:themeColor="text1"/>
                <w:sz w:val="24"/>
                <w:szCs w:val="24"/>
              </w:rPr>
            </w:pPr>
            <w:r w:rsidRPr="00D93509">
              <w:rPr>
                <w:rFonts w:ascii="Book Antiqua" w:hAnsi="Book Antiqua"/>
                <w:b/>
                <w:color w:val="000000" w:themeColor="text1"/>
                <w:sz w:val="24"/>
                <w:szCs w:val="24"/>
              </w:rPr>
              <w:t>Relative expression of miR-208b</w:t>
            </w:r>
          </w:p>
        </w:tc>
        <w:tc>
          <w:tcPr>
            <w:tcW w:w="442" w:type="pct"/>
            <w:tcBorders>
              <w:top w:val="single" w:sz="4" w:space="0" w:color="auto"/>
              <w:bottom w:val="single" w:sz="4" w:space="0" w:color="auto"/>
            </w:tcBorders>
            <w:vAlign w:val="center"/>
          </w:tcPr>
          <w:p w14:paraId="27BFBC98" w14:textId="55516A31" w:rsidR="009E2613" w:rsidRPr="00D93509" w:rsidRDefault="009E2613">
            <w:pPr>
              <w:widowControl/>
              <w:jc w:val="left"/>
              <w:rPr>
                <w:rFonts w:ascii="Book Antiqua" w:hAnsi="Book Antiqua"/>
                <w:b/>
                <w:color w:val="000000" w:themeColor="text1"/>
                <w:sz w:val="24"/>
                <w:szCs w:val="24"/>
              </w:rPr>
            </w:pPr>
            <w:r w:rsidRPr="00D93509">
              <w:rPr>
                <w:rFonts w:ascii="Book Antiqua" w:hAnsi="Book Antiqua"/>
                <w:b/>
                <w:color w:val="000000" w:themeColor="text1"/>
                <w:sz w:val="24"/>
                <w:szCs w:val="24"/>
              </w:rPr>
              <w:t>L</w:t>
            </w:r>
            <w:r w:rsidR="00D93509" w:rsidRPr="00D93509">
              <w:rPr>
                <w:rFonts w:ascii="Book Antiqua" w:hAnsi="Book Antiqua"/>
                <w:b/>
                <w:color w:val="000000" w:themeColor="text1"/>
                <w:sz w:val="24"/>
                <w:szCs w:val="24"/>
              </w:rPr>
              <w:t>AD</w:t>
            </w:r>
            <w:r w:rsidRPr="00D93509">
              <w:rPr>
                <w:rFonts w:ascii="Book Antiqua" w:hAnsi="Book Antiqua"/>
                <w:b/>
                <w:color w:val="000000" w:themeColor="text1"/>
                <w:sz w:val="24"/>
                <w:szCs w:val="24"/>
              </w:rPr>
              <w:t xml:space="preserve"> (mm)</w:t>
            </w:r>
          </w:p>
        </w:tc>
        <w:tc>
          <w:tcPr>
            <w:tcW w:w="442" w:type="pct"/>
            <w:tcBorders>
              <w:top w:val="single" w:sz="4" w:space="0" w:color="auto"/>
              <w:bottom w:val="single" w:sz="4" w:space="0" w:color="auto"/>
            </w:tcBorders>
            <w:vAlign w:val="center"/>
          </w:tcPr>
          <w:p w14:paraId="01B2E69E" w14:textId="6F3EFFAD" w:rsidR="009E2613" w:rsidRPr="00D93509" w:rsidRDefault="009E2613">
            <w:pPr>
              <w:widowControl/>
              <w:jc w:val="left"/>
              <w:rPr>
                <w:rFonts w:ascii="Book Antiqua" w:hAnsi="Book Antiqua"/>
                <w:b/>
                <w:color w:val="000000" w:themeColor="text1"/>
                <w:sz w:val="24"/>
                <w:szCs w:val="24"/>
              </w:rPr>
            </w:pPr>
            <w:r w:rsidRPr="00D93509">
              <w:rPr>
                <w:rFonts w:ascii="Book Antiqua" w:hAnsi="Book Antiqua"/>
                <w:b/>
                <w:color w:val="000000" w:themeColor="text1"/>
                <w:sz w:val="24"/>
                <w:szCs w:val="24"/>
              </w:rPr>
              <w:t>LVEDD (mm)</w:t>
            </w:r>
          </w:p>
        </w:tc>
        <w:tc>
          <w:tcPr>
            <w:tcW w:w="442" w:type="pct"/>
            <w:tcBorders>
              <w:top w:val="single" w:sz="4" w:space="0" w:color="auto"/>
              <w:bottom w:val="single" w:sz="4" w:space="0" w:color="auto"/>
            </w:tcBorders>
            <w:vAlign w:val="center"/>
          </w:tcPr>
          <w:p w14:paraId="4745F53E" w14:textId="5EE36F88" w:rsidR="009E2613" w:rsidRPr="00D93509" w:rsidRDefault="009E2613">
            <w:pPr>
              <w:widowControl/>
              <w:jc w:val="left"/>
              <w:rPr>
                <w:rFonts w:ascii="Book Antiqua" w:hAnsi="Book Antiqua"/>
                <w:b/>
                <w:color w:val="000000" w:themeColor="text1"/>
                <w:sz w:val="24"/>
                <w:szCs w:val="24"/>
              </w:rPr>
            </w:pPr>
            <w:r w:rsidRPr="00D93509">
              <w:rPr>
                <w:rFonts w:ascii="Book Antiqua" w:hAnsi="Book Antiqua"/>
                <w:b/>
                <w:color w:val="000000" w:themeColor="text1"/>
                <w:sz w:val="24"/>
                <w:szCs w:val="24"/>
              </w:rPr>
              <w:t>LVESD (mm)</w:t>
            </w:r>
          </w:p>
        </w:tc>
        <w:tc>
          <w:tcPr>
            <w:tcW w:w="441" w:type="pct"/>
            <w:tcBorders>
              <w:top w:val="single" w:sz="4" w:space="0" w:color="auto"/>
              <w:bottom w:val="single" w:sz="4" w:space="0" w:color="auto"/>
            </w:tcBorders>
            <w:vAlign w:val="center"/>
          </w:tcPr>
          <w:p w14:paraId="61DE2E0E" w14:textId="563A8C99" w:rsidR="009E2613" w:rsidRPr="00D93509" w:rsidRDefault="009E2613">
            <w:pPr>
              <w:widowControl/>
              <w:jc w:val="left"/>
              <w:rPr>
                <w:rFonts w:ascii="Book Antiqua" w:hAnsi="Book Antiqua"/>
                <w:b/>
                <w:color w:val="000000" w:themeColor="text1"/>
                <w:sz w:val="24"/>
                <w:szCs w:val="24"/>
              </w:rPr>
            </w:pPr>
            <w:r w:rsidRPr="00D93509">
              <w:rPr>
                <w:rFonts w:ascii="Book Antiqua" w:hAnsi="Book Antiqua"/>
                <w:b/>
                <w:color w:val="000000" w:themeColor="text1"/>
                <w:sz w:val="24"/>
                <w:szCs w:val="24"/>
              </w:rPr>
              <w:t>LVEF (%)</w:t>
            </w:r>
          </w:p>
        </w:tc>
      </w:tr>
      <w:tr w:rsidR="009E2613" w:rsidRPr="00661363" w14:paraId="3D5A5E94" w14:textId="1F309B68" w:rsidTr="002E608F">
        <w:trPr>
          <w:trHeight w:val="524"/>
        </w:trPr>
        <w:tc>
          <w:tcPr>
            <w:tcW w:w="952" w:type="pct"/>
            <w:tcBorders>
              <w:top w:val="single" w:sz="4" w:space="0" w:color="auto"/>
            </w:tcBorders>
            <w:noWrap/>
            <w:vAlign w:val="center"/>
          </w:tcPr>
          <w:p w14:paraId="78BD24A6" w14:textId="2DE1EB28"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Paroxysmal </w:t>
            </w:r>
            <w:r w:rsidR="00D93509" w:rsidRPr="00D93509">
              <w:rPr>
                <w:rFonts w:ascii="Book Antiqua" w:hAnsi="Book Antiqua"/>
                <w:bCs/>
                <w:color w:val="000000" w:themeColor="text1"/>
                <w:sz w:val="24"/>
                <w:szCs w:val="24"/>
              </w:rPr>
              <w:t>atrial fibrillation</w:t>
            </w:r>
          </w:p>
        </w:tc>
        <w:tc>
          <w:tcPr>
            <w:tcW w:w="335" w:type="pct"/>
            <w:tcBorders>
              <w:top w:val="single" w:sz="4" w:space="0" w:color="auto"/>
            </w:tcBorders>
            <w:vAlign w:val="center"/>
          </w:tcPr>
          <w:p w14:paraId="0B33DC4F"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134</w:t>
            </w:r>
          </w:p>
        </w:tc>
        <w:tc>
          <w:tcPr>
            <w:tcW w:w="475" w:type="pct"/>
            <w:tcBorders>
              <w:top w:val="single" w:sz="4" w:space="0" w:color="auto"/>
            </w:tcBorders>
            <w:vAlign w:val="center"/>
          </w:tcPr>
          <w:p w14:paraId="5F977AAB" w14:textId="08555444"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98</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(73.13)</w:t>
            </w:r>
          </w:p>
        </w:tc>
        <w:tc>
          <w:tcPr>
            <w:tcW w:w="481" w:type="pct"/>
            <w:tcBorders>
              <w:top w:val="single" w:sz="4" w:space="0" w:color="auto"/>
            </w:tcBorders>
            <w:vAlign w:val="center"/>
          </w:tcPr>
          <w:p w14:paraId="5149E642" w14:textId="3688F8D8"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61.02</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10.11</w:t>
            </w:r>
          </w:p>
        </w:tc>
        <w:tc>
          <w:tcPr>
            <w:tcW w:w="521" w:type="pct"/>
            <w:tcBorders>
              <w:top w:val="single" w:sz="4" w:space="0" w:color="auto"/>
            </w:tcBorders>
            <w:vAlign w:val="center"/>
          </w:tcPr>
          <w:p w14:paraId="1B1360A6" w14:textId="71BB2E60"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191.20</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65.59</w:t>
            </w:r>
          </w:p>
        </w:tc>
        <w:tc>
          <w:tcPr>
            <w:tcW w:w="469" w:type="pct"/>
            <w:tcBorders>
              <w:top w:val="single" w:sz="4" w:space="0" w:color="auto"/>
            </w:tcBorders>
            <w:vAlign w:val="center"/>
          </w:tcPr>
          <w:p w14:paraId="516F7EA5" w14:textId="75183A80"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4.88</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1.02</w:t>
            </w:r>
          </w:p>
        </w:tc>
        <w:tc>
          <w:tcPr>
            <w:tcW w:w="442" w:type="pct"/>
            <w:tcBorders>
              <w:top w:val="single" w:sz="4" w:space="0" w:color="auto"/>
            </w:tcBorders>
            <w:vAlign w:val="bottom"/>
          </w:tcPr>
          <w:p w14:paraId="52EB4703" w14:textId="211AC05A"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34.03</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4.02</w:t>
            </w:r>
          </w:p>
        </w:tc>
        <w:tc>
          <w:tcPr>
            <w:tcW w:w="442" w:type="pct"/>
            <w:tcBorders>
              <w:top w:val="single" w:sz="4" w:space="0" w:color="auto"/>
            </w:tcBorders>
            <w:vAlign w:val="bottom"/>
          </w:tcPr>
          <w:p w14:paraId="27102964" w14:textId="0344B0FB"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50.03</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6.03</w:t>
            </w:r>
          </w:p>
        </w:tc>
        <w:tc>
          <w:tcPr>
            <w:tcW w:w="442" w:type="pct"/>
            <w:tcBorders>
              <w:top w:val="single" w:sz="4" w:space="0" w:color="auto"/>
            </w:tcBorders>
            <w:vAlign w:val="bottom"/>
          </w:tcPr>
          <w:p w14:paraId="32109900" w14:textId="0ACC8957"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32.10</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5.58</w:t>
            </w:r>
          </w:p>
        </w:tc>
        <w:tc>
          <w:tcPr>
            <w:tcW w:w="441" w:type="pct"/>
            <w:tcBorders>
              <w:top w:val="single" w:sz="4" w:space="0" w:color="auto"/>
            </w:tcBorders>
            <w:vAlign w:val="bottom"/>
          </w:tcPr>
          <w:p w14:paraId="41CA6D44" w14:textId="480AFDF9"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53.30</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7.81</w:t>
            </w:r>
          </w:p>
        </w:tc>
      </w:tr>
      <w:tr w:rsidR="009E2613" w:rsidRPr="00661363" w14:paraId="73F97DF6" w14:textId="46834297" w:rsidTr="002E608F">
        <w:trPr>
          <w:trHeight w:val="524"/>
        </w:trPr>
        <w:tc>
          <w:tcPr>
            <w:tcW w:w="952" w:type="pct"/>
            <w:noWrap/>
            <w:vAlign w:val="center"/>
          </w:tcPr>
          <w:p w14:paraId="4EEB170D"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Persistent atrial fibrillation</w:t>
            </w:r>
          </w:p>
        </w:tc>
        <w:tc>
          <w:tcPr>
            <w:tcW w:w="335" w:type="pct"/>
            <w:vAlign w:val="center"/>
          </w:tcPr>
          <w:p w14:paraId="2BE02BE9"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106</w:t>
            </w:r>
          </w:p>
        </w:tc>
        <w:tc>
          <w:tcPr>
            <w:tcW w:w="475" w:type="pct"/>
            <w:vAlign w:val="center"/>
          </w:tcPr>
          <w:p w14:paraId="5201497C" w14:textId="4C8E749E"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70</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(66.04)</w:t>
            </w:r>
          </w:p>
        </w:tc>
        <w:tc>
          <w:tcPr>
            <w:tcW w:w="481" w:type="pct"/>
            <w:vAlign w:val="center"/>
          </w:tcPr>
          <w:p w14:paraId="166CEA99" w14:textId="258D8582"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59.89</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9.92</w:t>
            </w:r>
          </w:p>
        </w:tc>
        <w:tc>
          <w:tcPr>
            <w:tcW w:w="521" w:type="pct"/>
            <w:vAlign w:val="center"/>
          </w:tcPr>
          <w:p w14:paraId="6B70AD2C" w14:textId="51BC1BF1"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234.22</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70.05</w:t>
            </w:r>
          </w:p>
        </w:tc>
        <w:tc>
          <w:tcPr>
            <w:tcW w:w="469" w:type="pct"/>
            <w:vAlign w:val="center"/>
          </w:tcPr>
          <w:p w14:paraId="5CB056A9" w14:textId="56786012"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5.83</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1.00</w:t>
            </w:r>
          </w:p>
        </w:tc>
        <w:tc>
          <w:tcPr>
            <w:tcW w:w="442" w:type="pct"/>
            <w:vAlign w:val="bottom"/>
          </w:tcPr>
          <w:p w14:paraId="60B7AF1C" w14:textId="593D42B1"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38.81</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5.11</w:t>
            </w:r>
          </w:p>
        </w:tc>
        <w:tc>
          <w:tcPr>
            <w:tcW w:w="442" w:type="pct"/>
            <w:vAlign w:val="bottom"/>
          </w:tcPr>
          <w:p w14:paraId="01C5A0D0" w14:textId="5B5E72A2"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49.81</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5.82</w:t>
            </w:r>
          </w:p>
        </w:tc>
        <w:tc>
          <w:tcPr>
            <w:tcW w:w="442" w:type="pct"/>
            <w:vAlign w:val="bottom"/>
          </w:tcPr>
          <w:p w14:paraId="15B704A9" w14:textId="78F7A881"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32.01</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6.02</w:t>
            </w:r>
          </w:p>
        </w:tc>
        <w:tc>
          <w:tcPr>
            <w:tcW w:w="441" w:type="pct"/>
            <w:vAlign w:val="bottom"/>
          </w:tcPr>
          <w:p w14:paraId="293A8A9C" w14:textId="6A157BDF"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52.83</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8.10</w:t>
            </w:r>
          </w:p>
        </w:tc>
      </w:tr>
      <w:tr w:rsidR="009E2613" w:rsidRPr="00661363" w14:paraId="5CCC5C1A" w14:textId="1C9D2842" w:rsidTr="002E608F">
        <w:trPr>
          <w:trHeight w:val="262"/>
        </w:trPr>
        <w:tc>
          <w:tcPr>
            <w:tcW w:w="952" w:type="pct"/>
            <w:noWrap/>
            <w:vAlign w:val="center"/>
          </w:tcPr>
          <w:p w14:paraId="45624E23" w14:textId="77777777" w:rsidR="009E2613" w:rsidRPr="00D93509" w:rsidRDefault="009E2613" w:rsidP="00661363">
            <w:pPr>
              <w:pStyle w:val="p16"/>
              <w:adjustRightInd w:val="0"/>
              <w:snapToGrid w:val="0"/>
              <w:spacing w:line="360" w:lineRule="auto"/>
              <w:rPr>
                <w:rFonts w:ascii="Book Antiqua" w:hAnsi="Book Antiqua"/>
                <w:i/>
                <w:color w:val="000000" w:themeColor="text1"/>
                <w:sz w:val="24"/>
                <w:szCs w:val="24"/>
              </w:rPr>
            </w:pPr>
            <w:r w:rsidRPr="00D93509">
              <w:rPr>
                <w:rFonts w:ascii="Book Antiqua" w:hAnsi="Book Antiqua"/>
                <w:i/>
                <w:color w:val="000000" w:themeColor="text1"/>
                <w:sz w:val="24"/>
                <w:szCs w:val="24"/>
              </w:rPr>
              <w:t>t</w:t>
            </w:r>
          </w:p>
        </w:tc>
        <w:tc>
          <w:tcPr>
            <w:tcW w:w="335" w:type="pct"/>
            <w:noWrap/>
            <w:vAlign w:val="center"/>
          </w:tcPr>
          <w:p w14:paraId="675C73A6"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p>
        </w:tc>
        <w:tc>
          <w:tcPr>
            <w:tcW w:w="475" w:type="pct"/>
            <w:vAlign w:val="center"/>
          </w:tcPr>
          <w:p w14:paraId="60CD8676"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1.419</w:t>
            </w:r>
          </w:p>
        </w:tc>
        <w:tc>
          <w:tcPr>
            <w:tcW w:w="481" w:type="pct"/>
            <w:vAlign w:val="center"/>
          </w:tcPr>
          <w:p w14:paraId="47AC50EE"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0.867 </w:t>
            </w:r>
          </w:p>
        </w:tc>
        <w:tc>
          <w:tcPr>
            <w:tcW w:w="521" w:type="pct"/>
            <w:vAlign w:val="center"/>
          </w:tcPr>
          <w:p w14:paraId="38A9A22A"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-4.896 </w:t>
            </w:r>
          </w:p>
        </w:tc>
        <w:tc>
          <w:tcPr>
            <w:tcW w:w="469" w:type="pct"/>
            <w:vAlign w:val="center"/>
          </w:tcPr>
          <w:p w14:paraId="5EBEE7B8"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-7.227 </w:t>
            </w:r>
          </w:p>
        </w:tc>
        <w:tc>
          <w:tcPr>
            <w:tcW w:w="442" w:type="pct"/>
            <w:vAlign w:val="bottom"/>
          </w:tcPr>
          <w:p w14:paraId="47CB9E33" w14:textId="7F0EAADA"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-8.112 </w:t>
            </w:r>
          </w:p>
        </w:tc>
        <w:tc>
          <w:tcPr>
            <w:tcW w:w="442" w:type="pct"/>
            <w:vAlign w:val="bottom"/>
          </w:tcPr>
          <w:p w14:paraId="6980F825" w14:textId="70BD6753"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0.285 </w:t>
            </w:r>
          </w:p>
        </w:tc>
        <w:tc>
          <w:tcPr>
            <w:tcW w:w="442" w:type="pct"/>
            <w:vAlign w:val="bottom"/>
          </w:tcPr>
          <w:p w14:paraId="13BC99AE" w14:textId="2D31DE5A"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0.120 </w:t>
            </w:r>
          </w:p>
        </w:tc>
        <w:tc>
          <w:tcPr>
            <w:tcW w:w="441" w:type="pct"/>
            <w:vAlign w:val="bottom"/>
          </w:tcPr>
          <w:p w14:paraId="456073D0" w14:textId="6D2BFEA1"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0.455 </w:t>
            </w:r>
          </w:p>
        </w:tc>
      </w:tr>
      <w:tr w:rsidR="009E2613" w:rsidRPr="00661363" w14:paraId="30DF3A3A" w14:textId="4BD461D2" w:rsidTr="002E608F">
        <w:trPr>
          <w:trHeight w:val="262"/>
        </w:trPr>
        <w:tc>
          <w:tcPr>
            <w:tcW w:w="952" w:type="pct"/>
            <w:noWrap/>
            <w:vAlign w:val="center"/>
          </w:tcPr>
          <w:p w14:paraId="26F63E9E" w14:textId="35B697FA" w:rsidR="009E2613" w:rsidRPr="00661363" w:rsidRDefault="00D93509" w:rsidP="00661363">
            <w:pPr>
              <w:pStyle w:val="p16"/>
              <w:adjustRightInd w:val="0"/>
              <w:snapToGrid w:val="0"/>
              <w:spacing w:line="360" w:lineRule="auto"/>
              <w:rPr>
                <w:rFonts w:ascii="Book Antiqua" w:hAnsi="Book Antiqua"/>
                <w:color w:val="000000" w:themeColor="text1"/>
                <w:sz w:val="24"/>
                <w:szCs w:val="24"/>
              </w:rPr>
            </w:pPr>
            <w:r w:rsidRPr="00D93509">
              <w:rPr>
                <w:rFonts w:ascii="Book Antiqua" w:hAnsi="Book Antiqua"/>
                <w:i/>
                <w:color w:val="000000" w:themeColor="text1"/>
                <w:sz w:val="24"/>
                <w:szCs w:val="24"/>
              </w:rPr>
              <w:t>P</w:t>
            </w:r>
            <w:r>
              <w:rPr>
                <w:rFonts w:ascii="Book Antiqua" w:hAnsi="Book Antiqua" w:hint="eastAsia"/>
                <w:color w:val="000000" w:themeColor="text1"/>
                <w:sz w:val="24"/>
                <w:szCs w:val="24"/>
              </w:rPr>
              <w:t xml:space="preserve"> value</w:t>
            </w:r>
          </w:p>
        </w:tc>
        <w:tc>
          <w:tcPr>
            <w:tcW w:w="335" w:type="pct"/>
            <w:noWrap/>
            <w:vAlign w:val="center"/>
          </w:tcPr>
          <w:p w14:paraId="4FCCFFD3"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w:t>
            </w:r>
          </w:p>
        </w:tc>
        <w:tc>
          <w:tcPr>
            <w:tcW w:w="475" w:type="pct"/>
            <w:vAlign w:val="center"/>
          </w:tcPr>
          <w:p w14:paraId="067F25FC"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0.234</w:t>
            </w:r>
          </w:p>
        </w:tc>
        <w:tc>
          <w:tcPr>
            <w:tcW w:w="481" w:type="pct"/>
            <w:vAlign w:val="center"/>
          </w:tcPr>
          <w:p w14:paraId="56E0F057"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0.387 </w:t>
            </w:r>
          </w:p>
        </w:tc>
        <w:tc>
          <w:tcPr>
            <w:tcW w:w="521" w:type="pct"/>
            <w:vAlign w:val="center"/>
          </w:tcPr>
          <w:p w14:paraId="0E711180"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0.000 </w:t>
            </w:r>
          </w:p>
        </w:tc>
        <w:tc>
          <w:tcPr>
            <w:tcW w:w="469" w:type="pct"/>
            <w:vAlign w:val="center"/>
          </w:tcPr>
          <w:p w14:paraId="22B91173"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0.000 </w:t>
            </w:r>
          </w:p>
        </w:tc>
        <w:tc>
          <w:tcPr>
            <w:tcW w:w="442" w:type="pct"/>
            <w:vAlign w:val="bottom"/>
          </w:tcPr>
          <w:p w14:paraId="379CFBA9" w14:textId="1BA04594"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0.000 </w:t>
            </w:r>
          </w:p>
        </w:tc>
        <w:tc>
          <w:tcPr>
            <w:tcW w:w="442" w:type="pct"/>
            <w:vAlign w:val="bottom"/>
          </w:tcPr>
          <w:p w14:paraId="1C6F4DA0" w14:textId="6E9A0C64"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0.776 </w:t>
            </w:r>
          </w:p>
        </w:tc>
        <w:tc>
          <w:tcPr>
            <w:tcW w:w="442" w:type="pct"/>
            <w:vAlign w:val="bottom"/>
          </w:tcPr>
          <w:p w14:paraId="7501B4AF" w14:textId="26DA3910"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0.905 </w:t>
            </w:r>
          </w:p>
        </w:tc>
        <w:tc>
          <w:tcPr>
            <w:tcW w:w="441" w:type="pct"/>
            <w:vAlign w:val="bottom"/>
          </w:tcPr>
          <w:p w14:paraId="5D7D9B4D" w14:textId="1CCBE179"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0.649 </w:t>
            </w:r>
          </w:p>
        </w:tc>
      </w:tr>
    </w:tbl>
    <w:p w14:paraId="16E4F9EB" w14:textId="5EDE134A" w:rsidR="00D93509" w:rsidRDefault="00D93509" w:rsidP="00D93509">
      <w:pPr>
        <w:adjustRightInd w:val="0"/>
        <w:snapToGrid w:val="0"/>
        <w:spacing w:line="360" w:lineRule="auto"/>
        <w:rPr>
          <w:rFonts w:ascii="Book Antiqua" w:hAnsi="Book Antiqua"/>
          <w:color w:val="000000" w:themeColor="text1"/>
          <w:sz w:val="24"/>
          <w:szCs w:val="24"/>
        </w:rPr>
      </w:pPr>
      <w:r w:rsidRPr="008F37D6">
        <w:rPr>
          <w:rFonts w:ascii="Book Antiqua" w:hAnsi="Book Antiqua"/>
          <w:color w:val="000000" w:themeColor="text1"/>
          <w:sz w:val="24"/>
          <w:szCs w:val="24"/>
        </w:rPr>
        <w:t>FGF</w:t>
      </w:r>
      <w:r w:rsidRPr="008F37D6">
        <w:rPr>
          <w:rFonts w:ascii="Book Antiqua" w:hAnsi="Book Antiqua" w:cs="Times New Roman" w:hint="eastAsia"/>
          <w:bCs/>
          <w:color w:val="000000" w:themeColor="text1"/>
          <w:kern w:val="0"/>
          <w:sz w:val="24"/>
          <w:szCs w:val="24"/>
        </w:rPr>
        <w:t xml:space="preserve">: </w:t>
      </w:r>
      <w:r w:rsidRPr="008F37D6">
        <w:rPr>
          <w:rFonts w:ascii="Book Antiqua" w:hAnsi="Book Antiqua" w:cs="Times New Roman"/>
          <w:bCs/>
          <w:color w:val="000000" w:themeColor="text1"/>
          <w:kern w:val="0"/>
          <w:sz w:val="24"/>
          <w:szCs w:val="24"/>
        </w:rPr>
        <w:t>Fibroblast growth factor</w:t>
      </w:r>
      <w:r w:rsidR="002E608F">
        <w:rPr>
          <w:rFonts w:ascii="Book Antiqua" w:hAnsi="Book Antiqua" w:cs="Times New Roman" w:hint="eastAsia"/>
          <w:bCs/>
          <w:color w:val="000000" w:themeColor="text1"/>
          <w:kern w:val="0"/>
          <w:sz w:val="24"/>
          <w:szCs w:val="24"/>
        </w:rPr>
        <w:t>;</w:t>
      </w:r>
      <w:r w:rsidRPr="00D93509">
        <w:rPr>
          <w:rFonts w:ascii="Book Antiqua" w:hAnsi="Book Antiqua" w:cs="Times New Roman"/>
          <w:color w:val="000000" w:themeColor="text1"/>
          <w:kern w:val="0"/>
          <w:sz w:val="24"/>
          <w:szCs w:val="24"/>
        </w:rPr>
        <w:t xml:space="preserve"> </w:t>
      </w:r>
      <w:r w:rsidRPr="00661363">
        <w:rPr>
          <w:rFonts w:ascii="Book Antiqua" w:hAnsi="Book Antiqua" w:cs="Times New Roman"/>
          <w:color w:val="000000" w:themeColor="text1"/>
          <w:kern w:val="0"/>
          <w:sz w:val="24"/>
          <w:szCs w:val="24"/>
        </w:rPr>
        <w:t>LAD</w:t>
      </w:r>
      <w:r>
        <w:rPr>
          <w:rFonts w:ascii="Book Antiqua" w:hAnsi="Book Antiqua" w:cs="Times New Roman" w:hint="eastAsia"/>
          <w:color w:val="000000" w:themeColor="text1"/>
          <w:kern w:val="0"/>
          <w:sz w:val="24"/>
          <w:szCs w:val="24"/>
        </w:rPr>
        <w:t xml:space="preserve">: </w:t>
      </w:r>
      <w:r w:rsidRPr="00661363">
        <w:rPr>
          <w:rFonts w:ascii="Book Antiqua" w:hAnsi="Book Antiqua" w:cs="Times New Roman"/>
          <w:color w:val="000000" w:themeColor="text1"/>
          <w:kern w:val="0"/>
          <w:sz w:val="24"/>
          <w:szCs w:val="24"/>
        </w:rPr>
        <w:t>Left atrial dimension</w:t>
      </w:r>
      <w:r>
        <w:rPr>
          <w:rFonts w:ascii="Book Antiqua" w:hAnsi="Book Antiqua" w:cs="Times New Roman" w:hint="eastAsia"/>
          <w:color w:val="000000" w:themeColor="text1"/>
          <w:kern w:val="0"/>
          <w:sz w:val="24"/>
          <w:szCs w:val="24"/>
        </w:rPr>
        <w:t xml:space="preserve">; </w:t>
      </w:r>
      <w:r w:rsidRPr="00661363">
        <w:rPr>
          <w:rFonts w:ascii="Book Antiqua" w:hAnsi="Book Antiqua"/>
          <w:bCs/>
          <w:color w:val="000000" w:themeColor="text1"/>
          <w:sz w:val="24"/>
          <w:szCs w:val="24"/>
        </w:rPr>
        <w:t>LVEDD</w:t>
      </w:r>
      <w:r>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Left ventricular end diastolic diameter</w:t>
      </w:r>
      <w:r>
        <w:rPr>
          <w:rFonts w:ascii="Book Antiqua" w:hAnsi="Book Antiqua" w:hint="eastAsia"/>
          <w:bCs/>
          <w:color w:val="000000" w:themeColor="text1"/>
          <w:sz w:val="24"/>
          <w:szCs w:val="24"/>
        </w:rPr>
        <w:t xml:space="preserve">; </w:t>
      </w:r>
      <w:r w:rsidR="0021192B" w:rsidRPr="00661363">
        <w:rPr>
          <w:rFonts w:ascii="Book Antiqua" w:hAnsi="Book Antiqua"/>
          <w:bCs/>
          <w:color w:val="000000" w:themeColor="text1"/>
          <w:sz w:val="24"/>
          <w:szCs w:val="24"/>
        </w:rPr>
        <w:t>LVEF</w:t>
      </w:r>
      <w:r w:rsidR="0021192B">
        <w:rPr>
          <w:rFonts w:ascii="Book Antiqua" w:hAnsi="Book Antiqua" w:hint="eastAsia"/>
          <w:bCs/>
          <w:color w:val="000000" w:themeColor="text1"/>
          <w:sz w:val="24"/>
          <w:szCs w:val="24"/>
        </w:rPr>
        <w:t xml:space="preserve">: </w:t>
      </w:r>
      <w:r w:rsidR="0021192B" w:rsidRPr="00661363">
        <w:rPr>
          <w:rFonts w:ascii="Book Antiqua" w:hAnsi="Book Antiqua"/>
          <w:bCs/>
          <w:color w:val="000000" w:themeColor="text1"/>
          <w:sz w:val="24"/>
          <w:szCs w:val="24"/>
        </w:rPr>
        <w:t>Left ventricular ejection fraction</w:t>
      </w:r>
      <w:r w:rsidR="0021192B">
        <w:rPr>
          <w:rFonts w:ascii="Book Antiqua" w:hAnsi="Book Antiqua" w:hint="eastAsia"/>
          <w:bCs/>
          <w:color w:val="000000" w:themeColor="text1"/>
          <w:sz w:val="24"/>
          <w:szCs w:val="24"/>
        </w:rPr>
        <w:t xml:space="preserve">; </w:t>
      </w:r>
      <w:r w:rsidR="0021192B" w:rsidRPr="0021192B">
        <w:rPr>
          <w:rFonts w:ascii="Book Antiqua" w:hAnsi="Book Antiqua"/>
          <w:color w:val="000000" w:themeColor="text1"/>
          <w:sz w:val="24"/>
          <w:szCs w:val="24"/>
        </w:rPr>
        <w:t>LVESD</w:t>
      </w:r>
      <w:r w:rsidR="0021192B">
        <w:rPr>
          <w:rFonts w:ascii="Book Antiqua" w:hAnsi="Book Antiqua" w:hint="eastAsia"/>
          <w:color w:val="000000" w:themeColor="text1"/>
          <w:sz w:val="24"/>
          <w:szCs w:val="24"/>
        </w:rPr>
        <w:t>:</w:t>
      </w:r>
      <w:r w:rsidR="0021192B" w:rsidRPr="0021192B">
        <w:rPr>
          <w:rFonts w:ascii="Book Antiqua" w:hAnsi="Book Antiqua"/>
          <w:bCs/>
          <w:color w:val="000000" w:themeColor="text1"/>
          <w:sz w:val="24"/>
          <w:szCs w:val="24"/>
        </w:rPr>
        <w:t xml:space="preserve"> </w:t>
      </w:r>
      <w:r w:rsidR="0021192B" w:rsidRPr="00661363">
        <w:rPr>
          <w:rFonts w:ascii="Book Antiqua" w:hAnsi="Book Antiqua"/>
          <w:bCs/>
          <w:color w:val="000000" w:themeColor="text1"/>
          <w:sz w:val="24"/>
          <w:szCs w:val="24"/>
        </w:rPr>
        <w:t>Left ventricular</w:t>
      </w:r>
      <w:r w:rsidR="0021192B" w:rsidRPr="0021192B">
        <w:rPr>
          <w:rFonts w:ascii="Book Antiqua" w:hAnsi="Book Antiqua"/>
          <w:color w:val="000000" w:themeColor="text1"/>
          <w:sz w:val="24"/>
          <w:szCs w:val="24"/>
        </w:rPr>
        <w:t xml:space="preserve"> end-systolic diameter</w:t>
      </w:r>
      <w:r w:rsidR="0021192B">
        <w:rPr>
          <w:rFonts w:ascii="Book Antiqua" w:hAnsi="Book Antiqua" w:hint="eastAsia"/>
          <w:color w:val="000000" w:themeColor="text1"/>
          <w:sz w:val="24"/>
          <w:szCs w:val="24"/>
        </w:rPr>
        <w:t>.</w:t>
      </w:r>
    </w:p>
    <w:p w14:paraId="33523CA0" w14:textId="77777777" w:rsidR="0021192B" w:rsidRPr="00D93509" w:rsidRDefault="0021192B" w:rsidP="00D93509">
      <w:pPr>
        <w:adjustRightInd w:val="0"/>
        <w:snapToGrid w:val="0"/>
        <w:spacing w:line="360" w:lineRule="auto"/>
        <w:rPr>
          <w:rFonts w:ascii="Book Antiqua" w:hAnsi="Book Antiqua" w:cs="Times New Roman"/>
          <w:bCs/>
          <w:color w:val="000000" w:themeColor="text1"/>
          <w:kern w:val="0"/>
          <w:sz w:val="24"/>
          <w:szCs w:val="24"/>
        </w:rPr>
      </w:pPr>
    </w:p>
    <w:p w14:paraId="15AB70B5" w14:textId="6EED2070" w:rsidR="00183D66" w:rsidRPr="002E608F" w:rsidRDefault="00183D66" w:rsidP="00661363">
      <w:pPr>
        <w:pStyle w:val="p16"/>
        <w:adjustRightInd w:val="0"/>
        <w:snapToGrid w:val="0"/>
        <w:spacing w:line="360" w:lineRule="auto"/>
        <w:rPr>
          <w:rFonts w:ascii="Book Antiqua" w:hAnsi="Book Antiqua"/>
          <w:b/>
          <w:color w:val="000000" w:themeColor="text1"/>
          <w:sz w:val="24"/>
          <w:szCs w:val="24"/>
        </w:rPr>
      </w:pPr>
      <w:r w:rsidRPr="002E608F">
        <w:rPr>
          <w:rFonts w:ascii="Book Antiqua" w:hAnsi="Book Antiqua"/>
          <w:b/>
          <w:color w:val="000000" w:themeColor="text1"/>
          <w:sz w:val="24"/>
          <w:szCs w:val="24"/>
        </w:rPr>
        <w:t xml:space="preserve">Table 4 Comparison of serum </w:t>
      </w:r>
      <w:r w:rsidR="002E608F" w:rsidRPr="002E608F">
        <w:rPr>
          <w:rFonts w:ascii="Book Antiqua" w:hAnsi="Book Antiqua"/>
          <w:b/>
          <w:color w:val="000000" w:themeColor="text1"/>
          <w:sz w:val="24"/>
          <w:szCs w:val="24"/>
        </w:rPr>
        <w:t>f</w:t>
      </w:r>
      <w:r w:rsidR="002E608F" w:rsidRPr="002E608F">
        <w:rPr>
          <w:rFonts w:ascii="Book Antiqua" w:hAnsi="Book Antiqua"/>
          <w:b/>
          <w:bCs/>
          <w:color w:val="000000" w:themeColor="text1"/>
          <w:sz w:val="24"/>
          <w:szCs w:val="24"/>
        </w:rPr>
        <w:t>ibroblast growth factor</w:t>
      </w:r>
      <w:r w:rsidRPr="002E608F">
        <w:rPr>
          <w:rFonts w:ascii="Book Antiqua" w:hAnsi="Book Antiqua"/>
          <w:b/>
          <w:color w:val="000000" w:themeColor="text1"/>
          <w:sz w:val="24"/>
          <w:szCs w:val="24"/>
        </w:rPr>
        <w:t>-23 and miR-208b in</w:t>
      </w:r>
      <w:r w:rsidR="00C826E6" w:rsidRPr="00C826E6">
        <w:rPr>
          <w:rFonts w:ascii="Book Antiqua" w:hAnsi="Book Antiqua"/>
          <w:b/>
          <w:color w:val="000000" w:themeColor="text1"/>
          <w:sz w:val="24"/>
          <w:szCs w:val="24"/>
        </w:rPr>
        <w:t xml:space="preserve"> </w:t>
      </w:r>
      <w:r w:rsidR="00C826E6" w:rsidRPr="002E608F">
        <w:rPr>
          <w:rFonts w:ascii="Book Antiqua" w:hAnsi="Book Antiqua"/>
          <w:b/>
          <w:color w:val="000000" w:themeColor="text1"/>
          <w:sz w:val="24"/>
          <w:szCs w:val="24"/>
        </w:rPr>
        <w:t>patients</w:t>
      </w:r>
      <w:r w:rsidR="00C826E6">
        <w:rPr>
          <w:rFonts w:ascii="Book Antiqua" w:hAnsi="Book Antiqua"/>
          <w:b/>
          <w:color w:val="000000" w:themeColor="text1"/>
          <w:sz w:val="24"/>
          <w:szCs w:val="24"/>
        </w:rPr>
        <w:t xml:space="preserve"> with and without a</w:t>
      </w:r>
      <w:r w:rsidRPr="002E608F">
        <w:rPr>
          <w:rFonts w:ascii="Book Antiqua" w:hAnsi="Book Antiqua"/>
          <w:b/>
          <w:color w:val="000000" w:themeColor="text1"/>
          <w:sz w:val="24"/>
          <w:szCs w:val="24"/>
        </w:rPr>
        <w:t xml:space="preserve"> </w:t>
      </w:r>
      <w:r w:rsidR="002E608F" w:rsidRPr="002E608F">
        <w:rPr>
          <w:rFonts w:ascii="Book Antiqua" w:hAnsi="Book Antiqua"/>
          <w:b/>
          <w:color w:val="000000" w:themeColor="text1"/>
          <w:sz w:val="24"/>
          <w:szCs w:val="24"/>
        </w:rPr>
        <w:t xml:space="preserve">major cardiovascular event </w:t>
      </w:r>
    </w:p>
    <w:tbl>
      <w:tblPr>
        <w:tblW w:w="5000" w:type="pct"/>
        <w:jc w:val="center"/>
        <w:tblLook w:val="04A0" w:firstRow="1" w:lastRow="0" w:firstColumn="1" w:lastColumn="0" w:noHBand="0" w:noVBand="1"/>
      </w:tblPr>
      <w:tblGrid>
        <w:gridCol w:w="1962"/>
        <w:gridCol w:w="1811"/>
        <w:gridCol w:w="2100"/>
        <w:gridCol w:w="2335"/>
        <w:gridCol w:w="2861"/>
        <w:gridCol w:w="2153"/>
      </w:tblGrid>
      <w:tr w:rsidR="00345913" w:rsidRPr="002E608F" w14:paraId="7B388D5E" w14:textId="77777777" w:rsidTr="002E608F">
        <w:trPr>
          <w:trHeight w:val="560"/>
          <w:jc w:val="center"/>
        </w:trPr>
        <w:tc>
          <w:tcPr>
            <w:tcW w:w="742" w:type="pct"/>
            <w:tcBorders>
              <w:top w:val="single" w:sz="4" w:space="0" w:color="auto"/>
              <w:left w:val="nil"/>
              <w:bottom w:val="single" w:sz="4" w:space="0" w:color="auto"/>
              <w:right w:val="nil"/>
            </w:tcBorders>
            <w:noWrap/>
            <w:vAlign w:val="center"/>
          </w:tcPr>
          <w:p w14:paraId="6D0F8DB8" w14:textId="1A026E36" w:rsidR="00183D66" w:rsidRPr="002E608F" w:rsidRDefault="00183D66">
            <w:pPr>
              <w:pStyle w:val="p16"/>
              <w:adjustRightInd w:val="0"/>
              <w:snapToGrid w:val="0"/>
              <w:spacing w:line="360" w:lineRule="auto"/>
              <w:rPr>
                <w:rFonts w:ascii="Book Antiqua" w:hAnsi="Book Antiqua"/>
                <w:b/>
                <w:color w:val="000000" w:themeColor="text1"/>
                <w:sz w:val="24"/>
                <w:szCs w:val="24"/>
              </w:rPr>
            </w:pPr>
            <w:r w:rsidRPr="002E608F">
              <w:rPr>
                <w:rFonts w:ascii="Book Antiqua" w:hAnsi="Book Antiqua"/>
                <w:b/>
                <w:color w:val="000000" w:themeColor="text1"/>
                <w:sz w:val="24"/>
                <w:szCs w:val="24"/>
              </w:rPr>
              <w:t>Group</w:t>
            </w:r>
          </w:p>
        </w:tc>
        <w:tc>
          <w:tcPr>
            <w:tcW w:w="685" w:type="pct"/>
            <w:tcBorders>
              <w:top w:val="single" w:sz="4" w:space="0" w:color="auto"/>
              <w:left w:val="nil"/>
              <w:bottom w:val="single" w:sz="4" w:space="0" w:color="auto"/>
              <w:right w:val="nil"/>
            </w:tcBorders>
            <w:noWrap/>
            <w:vAlign w:val="center"/>
          </w:tcPr>
          <w:p w14:paraId="08BCAE01" w14:textId="798689A7" w:rsidR="00183D66" w:rsidRPr="002E608F" w:rsidRDefault="002E608F" w:rsidP="00661363">
            <w:pPr>
              <w:pStyle w:val="p16"/>
              <w:adjustRightInd w:val="0"/>
              <w:snapToGrid w:val="0"/>
              <w:spacing w:line="360" w:lineRule="auto"/>
              <w:rPr>
                <w:rFonts w:ascii="Book Antiqua" w:hAnsi="Book Antiqua"/>
                <w:b/>
                <w:i/>
                <w:color w:val="000000" w:themeColor="text1"/>
                <w:sz w:val="24"/>
                <w:szCs w:val="24"/>
              </w:rPr>
            </w:pPr>
            <w:r w:rsidRPr="002E608F">
              <w:rPr>
                <w:rFonts w:ascii="Book Antiqua" w:hAnsi="Book Antiqua"/>
                <w:b/>
                <w:i/>
                <w:color w:val="000000" w:themeColor="text1"/>
                <w:sz w:val="24"/>
                <w:szCs w:val="24"/>
              </w:rPr>
              <w:t>n</w:t>
            </w:r>
          </w:p>
        </w:tc>
        <w:tc>
          <w:tcPr>
            <w:tcW w:w="794" w:type="pct"/>
            <w:tcBorders>
              <w:top w:val="single" w:sz="4" w:space="0" w:color="auto"/>
              <w:left w:val="nil"/>
              <w:bottom w:val="single" w:sz="4" w:space="0" w:color="auto"/>
              <w:right w:val="nil"/>
            </w:tcBorders>
            <w:noWrap/>
            <w:vAlign w:val="center"/>
          </w:tcPr>
          <w:p w14:paraId="496C0E0A" w14:textId="52A06634" w:rsidR="00183D66" w:rsidRPr="002E608F" w:rsidRDefault="00183D66" w:rsidP="00661363">
            <w:pPr>
              <w:pStyle w:val="p16"/>
              <w:adjustRightInd w:val="0"/>
              <w:snapToGrid w:val="0"/>
              <w:spacing w:line="360" w:lineRule="auto"/>
              <w:rPr>
                <w:rFonts w:ascii="Book Antiqua" w:hAnsi="Book Antiqua"/>
                <w:b/>
                <w:color w:val="000000" w:themeColor="text1"/>
                <w:sz w:val="24"/>
                <w:szCs w:val="24"/>
              </w:rPr>
            </w:pPr>
            <w:r w:rsidRPr="002E608F">
              <w:rPr>
                <w:rFonts w:ascii="Book Antiqua" w:hAnsi="Book Antiqua"/>
                <w:b/>
                <w:color w:val="000000" w:themeColor="text1"/>
                <w:sz w:val="24"/>
                <w:szCs w:val="24"/>
              </w:rPr>
              <w:t>Man</w:t>
            </w:r>
            <w:r w:rsidR="002E608F" w:rsidRPr="00D93509">
              <w:rPr>
                <w:rFonts w:ascii="Book Antiqua" w:hAnsi="Book Antiqua" w:hint="eastAsia"/>
                <w:b/>
                <w:color w:val="000000" w:themeColor="text1"/>
                <w:sz w:val="24"/>
                <w:szCs w:val="24"/>
              </w:rPr>
              <w:t xml:space="preserve">, </w:t>
            </w:r>
            <w:r w:rsidR="002E608F" w:rsidRPr="00D93509">
              <w:rPr>
                <w:rFonts w:ascii="Book Antiqua" w:hAnsi="Book Antiqua" w:hint="eastAsia"/>
                <w:b/>
                <w:i/>
                <w:color w:val="000000" w:themeColor="text1"/>
                <w:sz w:val="24"/>
                <w:szCs w:val="24"/>
              </w:rPr>
              <w:t>n</w:t>
            </w:r>
            <w:r w:rsidR="002E608F" w:rsidRPr="00D93509">
              <w:rPr>
                <w:rFonts w:ascii="Book Antiqua" w:hAnsi="Book Antiqua" w:hint="eastAsia"/>
                <w:b/>
                <w:color w:val="000000" w:themeColor="text1"/>
                <w:sz w:val="24"/>
                <w:szCs w:val="24"/>
              </w:rPr>
              <w:t xml:space="preserve"> (</w:t>
            </w:r>
            <w:r w:rsidR="002E608F" w:rsidRPr="00D93509">
              <w:rPr>
                <w:rFonts w:ascii="Book Antiqua" w:hAnsi="Book Antiqua"/>
                <w:b/>
                <w:color w:val="000000" w:themeColor="text1"/>
                <w:sz w:val="24"/>
                <w:szCs w:val="24"/>
              </w:rPr>
              <w:t>%)</w:t>
            </w:r>
          </w:p>
        </w:tc>
        <w:tc>
          <w:tcPr>
            <w:tcW w:w="883" w:type="pct"/>
            <w:tcBorders>
              <w:top w:val="single" w:sz="4" w:space="0" w:color="auto"/>
              <w:left w:val="nil"/>
              <w:bottom w:val="single" w:sz="4" w:space="0" w:color="auto"/>
              <w:right w:val="nil"/>
            </w:tcBorders>
            <w:vAlign w:val="center"/>
          </w:tcPr>
          <w:p w14:paraId="51637FE1" w14:textId="65B1A5FD" w:rsidR="00183D66" w:rsidRPr="002E608F" w:rsidRDefault="00183D66" w:rsidP="002E608F">
            <w:pPr>
              <w:pStyle w:val="p16"/>
              <w:adjustRightInd w:val="0"/>
              <w:snapToGrid w:val="0"/>
              <w:spacing w:line="360" w:lineRule="auto"/>
              <w:rPr>
                <w:rFonts w:ascii="Book Antiqua" w:hAnsi="Book Antiqua"/>
                <w:b/>
                <w:color w:val="000000" w:themeColor="text1"/>
                <w:sz w:val="24"/>
                <w:szCs w:val="24"/>
              </w:rPr>
            </w:pPr>
            <w:r w:rsidRPr="002E608F">
              <w:rPr>
                <w:rFonts w:ascii="Book Antiqua" w:hAnsi="Book Antiqua"/>
                <w:b/>
                <w:color w:val="000000" w:themeColor="text1"/>
                <w:sz w:val="24"/>
                <w:szCs w:val="24"/>
              </w:rPr>
              <w:t>Age (</w:t>
            </w:r>
            <w:r w:rsidR="002E608F" w:rsidRPr="002E608F">
              <w:rPr>
                <w:rFonts w:ascii="Book Antiqua" w:hAnsi="Book Antiqua"/>
                <w:b/>
                <w:color w:val="000000" w:themeColor="text1"/>
                <w:sz w:val="24"/>
                <w:szCs w:val="24"/>
              </w:rPr>
              <w:t>yr</w:t>
            </w:r>
            <w:r w:rsidRPr="002E608F">
              <w:rPr>
                <w:rFonts w:ascii="Book Antiqua" w:hAnsi="Book Antiqua"/>
                <w:b/>
                <w:color w:val="000000" w:themeColor="text1"/>
                <w:sz w:val="24"/>
                <w:szCs w:val="24"/>
              </w:rPr>
              <w:t>)</w:t>
            </w:r>
          </w:p>
        </w:tc>
        <w:tc>
          <w:tcPr>
            <w:tcW w:w="1082" w:type="pct"/>
            <w:tcBorders>
              <w:top w:val="single" w:sz="4" w:space="0" w:color="auto"/>
              <w:left w:val="nil"/>
              <w:bottom w:val="single" w:sz="4" w:space="0" w:color="auto"/>
              <w:right w:val="nil"/>
            </w:tcBorders>
            <w:vAlign w:val="center"/>
          </w:tcPr>
          <w:p w14:paraId="712DCA4E" w14:textId="1CD5421A" w:rsidR="00183D66" w:rsidRPr="002E608F" w:rsidRDefault="00183D66" w:rsidP="00661363">
            <w:pPr>
              <w:pStyle w:val="p16"/>
              <w:adjustRightInd w:val="0"/>
              <w:snapToGrid w:val="0"/>
              <w:spacing w:line="360" w:lineRule="auto"/>
              <w:rPr>
                <w:rFonts w:ascii="Book Antiqua" w:hAnsi="Book Antiqua"/>
                <w:b/>
                <w:color w:val="000000" w:themeColor="text1"/>
                <w:sz w:val="24"/>
                <w:szCs w:val="24"/>
              </w:rPr>
            </w:pPr>
            <w:r w:rsidRPr="002E608F">
              <w:rPr>
                <w:rFonts w:ascii="Book Antiqua" w:hAnsi="Book Antiqua"/>
                <w:b/>
                <w:color w:val="000000" w:themeColor="text1"/>
                <w:sz w:val="24"/>
                <w:szCs w:val="24"/>
              </w:rPr>
              <w:t>FGF-23</w:t>
            </w:r>
            <w:r w:rsidR="002E608F">
              <w:rPr>
                <w:rFonts w:ascii="Book Antiqua" w:hAnsi="Book Antiqua" w:hint="eastAsia"/>
                <w:b/>
                <w:color w:val="000000" w:themeColor="text1"/>
                <w:sz w:val="24"/>
                <w:szCs w:val="24"/>
              </w:rPr>
              <w:t xml:space="preserve"> </w:t>
            </w:r>
            <w:r w:rsidRPr="002E608F">
              <w:rPr>
                <w:rFonts w:ascii="Book Antiqua" w:hAnsi="Book Antiqua"/>
                <w:b/>
                <w:color w:val="000000" w:themeColor="text1"/>
                <w:sz w:val="24"/>
                <w:szCs w:val="24"/>
              </w:rPr>
              <w:t>(ng/m</w:t>
            </w:r>
            <w:r w:rsidR="002E608F" w:rsidRPr="002E608F">
              <w:rPr>
                <w:rFonts w:ascii="Book Antiqua" w:hAnsi="Book Antiqua"/>
                <w:b/>
                <w:color w:val="000000" w:themeColor="text1"/>
                <w:sz w:val="24"/>
                <w:szCs w:val="24"/>
              </w:rPr>
              <w:t>L</w:t>
            </w:r>
            <w:r w:rsidRPr="002E608F">
              <w:rPr>
                <w:rFonts w:ascii="Book Antiqua" w:hAnsi="Book Antiqua"/>
                <w:b/>
                <w:color w:val="000000" w:themeColor="text1"/>
                <w:sz w:val="24"/>
                <w:szCs w:val="24"/>
              </w:rPr>
              <w:t>)</w:t>
            </w:r>
          </w:p>
        </w:tc>
        <w:tc>
          <w:tcPr>
            <w:tcW w:w="814" w:type="pct"/>
            <w:tcBorders>
              <w:top w:val="single" w:sz="4" w:space="0" w:color="auto"/>
              <w:left w:val="nil"/>
              <w:bottom w:val="single" w:sz="4" w:space="0" w:color="auto"/>
              <w:right w:val="nil"/>
            </w:tcBorders>
            <w:vAlign w:val="center"/>
          </w:tcPr>
          <w:p w14:paraId="04B6FDF0" w14:textId="77777777" w:rsidR="00183D66" w:rsidRPr="002E608F" w:rsidRDefault="00183D66" w:rsidP="00661363">
            <w:pPr>
              <w:pStyle w:val="p16"/>
              <w:adjustRightInd w:val="0"/>
              <w:snapToGrid w:val="0"/>
              <w:spacing w:line="360" w:lineRule="auto"/>
              <w:rPr>
                <w:rFonts w:ascii="Book Antiqua" w:hAnsi="Book Antiqua"/>
                <w:b/>
                <w:color w:val="000000" w:themeColor="text1"/>
                <w:sz w:val="24"/>
                <w:szCs w:val="24"/>
              </w:rPr>
            </w:pPr>
            <w:r w:rsidRPr="002E608F">
              <w:rPr>
                <w:rFonts w:ascii="Book Antiqua" w:hAnsi="Book Antiqua"/>
                <w:b/>
                <w:color w:val="000000" w:themeColor="text1"/>
                <w:sz w:val="24"/>
                <w:szCs w:val="24"/>
              </w:rPr>
              <w:t>Relative expression of miR-208b</w:t>
            </w:r>
          </w:p>
        </w:tc>
      </w:tr>
      <w:tr w:rsidR="00345913" w:rsidRPr="00661363" w14:paraId="69CD889F" w14:textId="77777777" w:rsidTr="002E608F">
        <w:trPr>
          <w:trHeight w:val="560"/>
          <w:jc w:val="center"/>
        </w:trPr>
        <w:tc>
          <w:tcPr>
            <w:tcW w:w="742" w:type="pct"/>
            <w:noWrap/>
            <w:vAlign w:val="center"/>
          </w:tcPr>
          <w:p w14:paraId="43943D4B"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MACE</w:t>
            </w:r>
          </w:p>
        </w:tc>
        <w:tc>
          <w:tcPr>
            <w:tcW w:w="685" w:type="pct"/>
            <w:vAlign w:val="center"/>
          </w:tcPr>
          <w:p w14:paraId="290040B0"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58</w:t>
            </w:r>
          </w:p>
        </w:tc>
        <w:tc>
          <w:tcPr>
            <w:tcW w:w="794" w:type="pct"/>
            <w:vAlign w:val="center"/>
          </w:tcPr>
          <w:p w14:paraId="09BE5CA2" w14:textId="1A19015D"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43</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(74.14)</w:t>
            </w:r>
          </w:p>
        </w:tc>
        <w:tc>
          <w:tcPr>
            <w:tcW w:w="883" w:type="pct"/>
            <w:vAlign w:val="center"/>
          </w:tcPr>
          <w:p w14:paraId="66F46B45" w14:textId="69D683BB"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61.19</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10.54</w:t>
            </w:r>
          </w:p>
        </w:tc>
        <w:tc>
          <w:tcPr>
            <w:tcW w:w="1082" w:type="pct"/>
            <w:vAlign w:val="center"/>
          </w:tcPr>
          <w:p w14:paraId="49C42DA7" w14:textId="0872D7E5"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243.30</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72.29</w:t>
            </w:r>
          </w:p>
        </w:tc>
        <w:tc>
          <w:tcPr>
            <w:tcW w:w="814" w:type="pct"/>
            <w:vAlign w:val="center"/>
          </w:tcPr>
          <w:p w14:paraId="0618359D" w14:textId="474BD0BA"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6.12</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1.12</w:t>
            </w:r>
          </w:p>
        </w:tc>
      </w:tr>
      <w:tr w:rsidR="00345913" w:rsidRPr="00661363" w14:paraId="4D88106E" w14:textId="77777777" w:rsidTr="002E608F">
        <w:trPr>
          <w:trHeight w:val="560"/>
          <w:jc w:val="center"/>
        </w:trPr>
        <w:tc>
          <w:tcPr>
            <w:tcW w:w="742" w:type="pct"/>
            <w:noWrap/>
            <w:vAlign w:val="center"/>
          </w:tcPr>
          <w:p w14:paraId="3439A099" w14:textId="76858BB8" w:rsidR="00183D66" w:rsidRPr="00661363" w:rsidRDefault="00183D66" w:rsidP="002E608F">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Non-MACE</w:t>
            </w:r>
          </w:p>
        </w:tc>
        <w:tc>
          <w:tcPr>
            <w:tcW w:w="685" w:type="pct"/>
            <w:vAlign w:val="center"/>
          </w:tcPr>
          <w:p w14:paraId="21D2D0A5"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182</w:t>
            </w:r>
          </w:p>
        </w:tc>
        <w:tc>
          <w:tcPr>
            <w:tcW w:w="794" w:type="pct"/>
            <w:vAlign w:val="center"/>
          </w:tcPr>
          <w:p w14:paraId="2F9B1339" w14:textId="4C5602A8"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125</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(68.68)</w:t>
            </w:r>
          </w:p>
        </w:tc>
        <w:tc>
          <w:tcPr>
            <w:tcW w:w="883" w:type="pct"/>
            <w:vAlign w:val="center"/>
          </w:tcPr>
          <w:p w14:paraId="6B3D3DE8" w14:textId="40440FF6"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62.28</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9.89</w:t>
            </w:r>
          </w:p>
        </w:tc>
        <w:tc>
          <w:tcPr>
            <w:tcW w:w="1082" w:type="pct"/>
            <w:vAlign w:val="center"/>
          </w:tcPr>
          <w:p w14:paraId="277CE312" w14:textId="44A86FB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199.65</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71.43</w:t>
            </w:r>
          </w:p>
        </w:tc>
        <w:tc>
          <w:tcPr>
            <w:tcW w:w="814" w:type="pct"/>
            <w:vAlign w:val="center"/>
          </w:tcPr>
          <w:p w14:paraId="7D1FF1B1" w14:textId="288DC625"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5.04</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1.07</w:t>
            </w:r>
          </w:p>
        </w:tc>
      </w:tr>
      <w:tr w:rsidR="00345913" w:rsidRPr="00661363" w14:paraId="1B89F310" w14:textId="77777777" w:rsidTr="002E608F">
        <w:trPr>
          <w:trHeight w:val="280"/>
          <w:jc w:val="center"/>
        </w:trPr>
        <w:tc>
          <w:tcPr>
            <w:tcW w:w="742" w:type="pct"/>
            <w:noWrap/>
            <w:vAlign w:val="center"/>
          </w:tcPr>
          <w:p w14:paraId="77EB32FC" w14:textId="77777777" w:rsidR="00183D66" w:rsidRPr="002E608F" w:rsidRDefault="00183D66" w:rsidP="00661363">
            <w:pPr>
              <w:pStyle w:val="p16"/>
              <w:adjustRightInd w:val="0"/>
              <w:snapToGrid w:val="0"/>
              <w:spacing w:line="360" w:lineRule="auto"/>
              <w:rPr>
                <w:rFonts w:ascii="Book Antiqua" w:hAnsi="Book Antiqua"/>
                <w:i/>
                <w:color w:val="000000" w:themeColor="text1"/>
                <w:sz w:val="24"/>
                <w:szCs w:val="24"/>
              </w:rPr>
            </w:pPr>
            <w:r w:rsidRPr="002E608F">
              <w:rPr>
                <w:rFonts w:ascii="Book Antiqua" w:hAnsi="Book Antiqua"/>
                <w:i/>
                <w:color w:val="000000" w:themeColor="text1"/>
                <w:sz w:val="24"/>
                <w:szCs w:val="24"/>
              </w:rPr>
              <w:t>t</w:t>
            </w:r>
          </w:p>
        </w:tc>
        <w:tc>
          <w:tcPr>
            <w:tcW w:w="685" w:type="pct"/>
            <w:noWrap/>
            <w:vAlign w:val="center"/>
          </w:tcPr>
          <w:p w14:paraId="150FE463"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p>
        </w:tc>
        <w:tc>
          <w:tcPr>
            <w:tcW w:w="794" w:type="pct"/>
            <w:vAlign w:val="center"/>
          </w:tcPr>
          <w:p w14:paraId="1DB960BD"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0.624</w:t>
            </w:r>
          </w:p>
        </w:tc>
        <w:tc>
          <w:tcPr>
            <w:tcW w:w="883" w:type="pct"/>
            <w:vAlign w:val="center"/>
          </w:tcPr>
          <w:p w14:paraId="6BC10408"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-0.719 </w:t>
            </w:r>
          </w:p>
        </w:tc>
        <w:tc>
          <w:tcPr>
            <w:tcW w:w="1082" w:type="pct"/>
            <w:vAlign w:val="center"/>
          </w:tcPr>
          <w:p w14:paraId="66C48AC9"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4.041 </w:t>
            </w:r>
          </w:p>
        </w:tc>
        <w:tc>
          <w:tcPr>
            <w:tcW w:w="814" w:type="pct"/>
            <w:vAlign w:val="center"/>
          </w:tcPr>
          <w:p w14:paraId="1D0D1FCE"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6.619 </w:t>
            </w:r>
          </w:p>
        </w:tc>
      </w:tr>
      <w:tr w:rsidR="00345913" w:rsidRPr="00661363" w14:paraId="07ADD7A6" w14:textId="77777777" w:rsidTr="002E608F">
        <w:trPr>
          <w:trHeight w:val="280"/>
          <w:jc w:val="center"/>
        </w:trPr>
        <w:tc>
          <w:tcPr>
            <w:tcW w:w="742" w:type="pct"/>
            <w:tcBorders>
              <w:top w:val="nil"/>
              <w:left w:val="nil"/>
              <w:bottom w:val="single" w:sz="4" w:space="0" w:color="auto"/>
              <w:right w:val="nil"/>
            </w:tcBorders>
            <w:noWrap/>
            <w:vAlign w:val="center"/>
          </w:tcPr>
          <w:p w14:paraId="163E5C65" w14:textId="31070CDF" w:rsidR="00183D66" w:rsidRPr="00661363" w:rsidRDefault="002E608F" w:rsidP="00661363">
            <w:pPr>
              <w:pStyle w:val="p16"/>
              <w:adjustRightInd w:val="0"/>
              <w:snapToGrid w:val="0"/>
              <w:spacing w:line="360" w:lineRule="auto"/>
              <w:rPr>
                <w:rFonts w:ascii="Book Antiqua" w:hAnsi="Book Antiqua"/>
                <w:color w:val="000000" w:themeColor="text1"/>
                <w:sz w:val="24"/>
                <w:szCs w:val="24"/>
              </w:rPr>
            </w:pPr>
            <w:r w:rsidRPr="00D93509">
              <w:rPr>
                <w:rFonts w:ascii="Book Antiqua" w:hAnsi="Book Antiqua"/>
                <w:i/>
                <w:color w:val="000000" w:themeColor="text1"/>
                <w:sz w:val="24"/>
                <w:szCs w:val="24"/>
              </w:rPr>
              <w:t>P</w:t>
            </w:r>
            <w:r>
              <w:rPr>
                <w:rFonts w:ascii="Book Antiqua" w:hAnsi="Book Antiqua" w:hint="eastAsia"/>
                <w:color w:val="000000" w:themeColor="text1"/>
                <w:sz w:val="24"/>
                <w:szCs w:val="24"/>
              </w:rPr>
              <w:t xml:space="preserve"> value</w:t>
            </w:r>
          </w:p>
        </w:tc>
        <w:tc>
          <w:tcPr>
            <w:tcW w:w="685" w:type="pct"/>
            <w:tcBorders>
              <w:top w:val="nil"/>
              <w:left w:val="nil"/>
              <w:bottom w:val="single" w:sz="4" w:space="0" w:color="auto"/>
              <w:right w:val="nil"/>
            </w:tcBorders>
            <w:noWrap/>
            <w:vAlign w:val="center"/>
          </w:tcPr>
          <w:p w14:paraId="716B4F47"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w:t>
            </w:r>
          </w:p>
        </w:tc>
        <w:tc>
          <w:tcPr>
            <w:tcW w:w="794" w:type="pct"/>
            <w:tcBorders>
              <w:top w:val="nil"/>
              <w:left w:val="nil"/>
              <w:bottom w:val="single" w:sz="4" w:space="0" w:color="auto"/>
              <w:right w:val="nil"/>
            </w:tcBorders>
            <w:vAlign w:val="center"/>
          </w:tcPr>
          <w:p w14:paraId="3CCD46A9"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0.43</w:t>
            </w:r>
          </w:p>
        </w:tc>
        <w:tc>
          <w:tcPr>
            <w:tcW w:w="883" w:type="pct"/>
            <w:tcBorders>
              <w:top w:val="nil"/>
              <w:left w:val="nil"/>
              <w:bottom w:val="single" w:sz="4" w:space="0" w:color="auto"/>
              <w:right w:val="nil"/>
            </w:tcBorders>
            <w:vAlign w:val="center"/>
          </w:tcPr>
          <w:p w14:paraId="2A1CA294" w14:textId="5C142D4A"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0.473</w:t>
            </w:r>
            <w:r w:rsidR="00345913" w:rsidRPr="00661363">
              <w:rPr>
                <w:rFonts w:ascii="Book Antiqua" w:hAnsi="Book Antiqua"/>
                <w:color w:val="000000" w:themeColor="text1"/>
                <w:sz w:val="24"/>
                <w:szCs w:val="24"/>
              </w:rPr>
              <w:t xml:space="preserve"> </w:t>
            </w:r>
          </w:p>
        </w:tc>
        <w:tc>
          <w:tcPr>
            <w:tcW w:w="1082" w:type="pct"/>
            <w:tcBorders>
              <w:top w:val="nil"/>
              <w:left w:val="nil"/>
              <w:bottom w:val="single" w:sz="4" w:space="0" w:color="auto"/>
              <w:right w:val="nil"/>
            </w:tcBorders>
            <w:vAlign w:val="center"/>
          </w:tcPr>
          <w:p w14:paraId="2795D1CC"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0.000 </w:t>
            </w:r>
          </w:p>
        </w:tc>
        <w:tc>
          <w:tcPr>
            <w:tcW w:w="814" w:type="pct"/>
            <w:tcBorders>
              <w:top w:val="nil"/>
              <w:left w:val="nil"/>
              <w:bottom w:val="single" w:sz="4" w:space="0" w:color="auto"/>
              <w:right w:val="nil"/>
            </w:tcBorders>
            <w:vAlign w:val="center"/>
          </w:tcPr>
          <w:p w14:paraId="399E4445"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0.000 </w:t>
            </w:r>
          </w:p>
        </w:tc>
      </w:tr>
    </w:tbl>
    <w:p w14:paraId="37B43E97" w14:textId="4DBE56E9" w:rsidR="00183D66" w:rsidRPr="002E608F" w:rsidRDefault="002E608F" w:rsidP="002E608F">
      <w:pPr>
        <w:pStyle w:val="p16"/>
        <w:adjustRightInd w:val="0"/>
        <w:snapToGrid w:val="0"/>
        <w:spacing w:line="360" w:lineRule="auto"/>
        <w:rPr>
          <w:rFonts w:ascii="Book Antiqua" w:hAnsi="Book Antiqua"/>
          <w:bCs/>
          <w:color w:val="000000" w:themeColor="text1"/>
          <w:sz w:val="24"/>
          <w:szCs w:val="24"/>
        </w:rPr>
      </w:pPr>
      <w:r w:rsidRPr="002E608F">
        <w:rPr>
          <w:rFonts w:ascii="Book Antiqua" w:hAnsi="Book Antiqua"/>
          <w:color w:val="000000" w:themeColor="text1"/>
          <w:sz w:val="24"/>
          <w:szCs w:val="24"/>
        </w:rPr>
        <w:t>FGF</w:t>
      </w:r>
      <w:r w:rsidRPr="002E608F">
        <w:rPr>
          <w:rFonts w:ascii="Book Antiqua" w:hAnsi="Book Antiqua" w:hint="eastAsia"/>
          <w:bCs/>
          <w:color w:val="000000" w:themeColor="text1"/>
          <w:sz w:val="24"/>
          <w:szCs w:val="24"/>
        </w:rPr>
        <w:t xml:space="preserve">: </w:t>
      </w:r>
      <w:r w:rsidRPr="002E608F">
        <w:rPr>
          <w:rFonts w:ascii="Book Antiqua" w:hAnsi="Book Antiqua"/>
          <w:bCs/>
          <w:color w:val="000000" w:themeColor="text1"/>
          <w:sz w:val="24"/>
          <w:szCs w:val="24"/>
        </w:rPr>
        <w:t>Fibroblast growth factor</w:t>
      </w:r>
      <w:r w:rsidRPr="002E608F">
        <w:rPr>
          <w:rFonts w:ascii="Book Antiqua" w:hAnsi="Book Antiqua" w:hint="eastAsia"/>
          <w:bCs/>
          <w:color w:val="000000" w:themeColor="text1"/>
          <w:sz w:val="24"/>
          <w:szCs w:val="24"/>
        </w:rPr>
        <w:t>;</w:t>
      </w:r>
      <w:r w:rsidRPr="002E608F">
        <w:rPr>
          <w:rFonts w:ascii="Book Antiqua" w:hAnsi="Book Antiqua"/>
          <w:color w:val="000000" w:themeColor="text1"/>
          <w:sz w:val="24"/>
          <w:szCs w:val="24"/>
        </w:rPr>
        <w:t xml:space="preserve"> </w:t>
      </w:r>
      <w:r w:rsidRPr="002E608F">
        <w:rPr>
          <w:rFonts w:ascii="Book Antiqua" w:hAnsi="Book Antiqua" w:hint="eastAsia"/>
          <w:color w:val="000000" w:themeColor="text1"/>
          <w:sz w:val="24"/>
          <w:szCs w:val="24"/>
        </w:rPr>
        <w:t xml:space="preserve">MACE: </w:t>
      </w:r>
      <w:r w:rsidRPr="002E608F">
        <w:rPr>
          <w:rFonts w:ascii="Book Antiqua" w:hAnsi="Book Antiqua"/>
          <w:color w:val="000000" w:themeColor="text1"/>
          <w:sz w:val="24"/>
          <w:szCs w:val="24"/>
        </w:rPr>
        <w:t>Major cardiovascular event</w:t>
      </w:r>
      <w:r w:rsidRPr="002E608F">
        <w:rPr>
          <w:rFonts w:ascii="Book Antiqua" w:hAnsi="Book Antiqua" w:hint="eastAsia"/>
          <w:color w:val="000000" w:themeColor="text1"/>
          <w:sz w:val="24"/>
          <w:szCs w:val="24"/>
        </w:rPr>
        <w:t>.</w:t>
      </w:r>
    </w:p>
    <w:sectPr w:rsidR="00183D66" w:rsidRPr="002E608F" w:rsidSect="00D93509">
      <w:pgSz w:w="17010" w:h="16840" w:orient="landscape"/>
      <w:pgMar w:top="1440" w:right="2002" w:bottom="1440" w:left="2002"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4E09F" w14:textId="77777777" w:rsidR="00F000D7" w:rsidRDefault="00F000D7" w:rsidP="00686901">
      <w:r>
        <w:separator/>
      </w:r>
    </w:p>
  </w:endnote>
  <w:endnote w:type="continuationSeparator" w:id="0">
    <w:p w14:paraId="108DA5EB" w14:textId="77777777" w:rsidR="00F000D7" w:rsidRDefault="00F000D7" w:rsidP="0068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13171"/>
      <w:docPartObj>
        <w:docPartGallery w:val="Page Numbers (Bottom of Page)"/>
        <w:docPartUnique/>
      </w:docPartObj>
    </w:sdtPr>
    <w:sdtEndPr/>
    <w:sdtContent>
      <w:sdt>
        <w:sdtPr>
          <w:id w:val="860082579"/>
          <w:docPartObj>
            <w:docPartGallery w:val="Page Numbers (Top of Page)"/>
            <w:docPartUnique/>
          </w:docPartObj>
        </w:sdtPr>
        <w:sdtEndPr/>
        <w:sdtContent>
          <w:p w14:paraId="36A93734" w14:textId="60B19A8C" w:rsidR="00B23DBA" w:rsidRDefault="00B23DBA">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F000D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000D7">
              <w:rPr>
                <w:b/>
                <w:bCs/>
                <w:noProof/>
              </w:rPr>
              <w:t>1</w:t>
            </w:r>
            <w:r>
              <w:rPr>
                <w:b/>
                <w:bCs/>
                <w:sz w:val="24"/>
                <w:szCs w:val="24"/>
              </w:rPr>
              <w:fldChar w:fldCharType="end"/>
            </w:r>
          </w:p>
        </w:sdtContent>
      </w:sdt>
    </w:sdtContent>
  </w:sdt>
  <w:p w14:paraId="6D731C20" w14:textId="77777777" w:rsidR="00B23DBA" w:rsidRDefault="00B23D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1A08" w14:textId="77777777" w:rsidR="00F000D7" w:rsidRDefault="00F000D7" w:rsidP="00686901">
      <w:r>
        <w:separator/>
      </w:r>
    </w:p>
  </w:footnote>
  <w:footnote w:type="continuationSeparator" w:id="0">
    <w:p w14:paraId="6A0EDB14" w14:textId="77777777" w:rsidR="00F000D7" w:rsidRDefault="00F000D7" w:rsidP="00686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4278E"/>
    <w:multiLevelType w:val="hybridMultilevel"/>
    <w:tmpl w:val="7D303B20"/>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zNjEzNTc0tDQ1MbZU0lEKTi0uzszPAykwqQUA17l2wywAAAA="/>
    <w:docVar w:name="EN.InstantFormat" w:val="&lt;ENInstantFormat&gt;&lt;Enabled&gt;1&lt;/Enabled&gt;&lt;ScanUnformatted&gt;1&lt;/ScanUnformatted&gt;&lt;ScanChanges&gt;1&lt;/ScanChanges&gt;&lt;Suspended&gt;0&lt;/Suspended&gt;&lt;/ENInstantFormat&gt;"/>
    <w:docVar w:name="EN.Layout" w:val="&lt;ENLayout&gt;&lt;Style&gt;WJCC&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9rxda0pz59fred02ovf5pbvavsesxx20ax&quot;&gt;我的EndNote库&lt;record-ids&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record-ids&gt;&lt;/item&gt;&lt;/Libraries&gt;"/>
    <w:docVar w:name="KY_MEDREF_DOCUID" w:val="{65495C27-710A-4C39-BAFD-66A9C833AADB}"/>
    <w:docVar w:name="KY_MEDREF_VERSION" w:val="3"/>
    <w:docVar w:name="MachineID" w:val="207|207|197|186|207|197|203|188|197|204|201|197|204|203|197|190|206|"/>
    <w:docVar w:name="Username" w:val="Editor"/>
  </w:docVars>
  <w:rsids>
    <w:rsidRoot w:val="00DD762C"/>
    <w:rsid w:val="00046035"/>
    <w:rsid w:val="0008080E"/>
    <w:rsid w:val="00094E62"/>
    <w:rsid w:val="000D3B85"/>
    <w:rsid w:val="001130EE"/>
    <w:rsid w:val="001351BC"/>
    <w:rsid w:val="00143B08"/>
    <w:rsid w:val="00174602"/>
    <w:rsid w:val="00183D66"/>
    <w:rsid w:val="00196AFC"/>
    <w:rsid w:val="00202F84"/>
    <w:rsid w:val="002077C8"/>
    <w:rsid w:val="0021192B"/>
    <w:rsid w:val="002532B9"/>
    <w:rsid w:val="002915D9"/>
    <w:rsid w:val="002A338B"/>
    <w:rsid w:val="002B0CD8"/>
    <w:rsid w:val="002D786A"/>
    <w:rsid w:val="002E608F"/>
    <w:rsid w:val="002F10CF"/>
    <w:rsid w:val="0031118C"/>
    <w:rsid w:val="00345913"/>
    <w:rsid w:val="00350F7C"/>
    <w:rsid w:val="003E1768"/>
    <w:rsid w:val="003E2FC8"/>
    <w:rsid w:val="003E7F7D"/>
    <w:rsid w:val="004371C9"/>
    <w:rsid w:val="004940CA"/>
    <w:rsid w:val="004A0ACE"/>
    <w:rsid w:val="004A4E4B"/>
    <w:rsid w:val="004A7D34"/>
    <w:rsid w:val="004E0A14"/>
    <w:rsid w:val="004F6BFB"/>
    <w:rsid w:val="005C175D"/>
    <w:rsid w:val="005C2A40"/>
    <w:rsid w:val="005C43EE"/>
    <w:rsid w:val="005F37F2"/>
    <w:rsid w:val="006138FE"/>
    <w:rsid w:val="00626113"/>
    <w:rsid w:val="006548B6"/>
    <w:rsid w:val="00661363"/>
    <w:rsid w:val="00686901"/>
    <w:rsid w:val="006926CC"/>
    <w:rsid w:val="006930AB"/>
    <w:rsid w:val="006A5570"/>
    <w:rsid w:val="006E7DE5"/>
    <w:rsid w:val="006F0905"/>
    <w:rsid w:val="007047A6"/>
    <w:rsid w:val="00705E2D"/>
    <w:rsid w:val="00725F55"/>
    <w:rsid w:val="00776B1B"/>
    <w:rsid w:val="007C171B"/>
    <w:rsid w:val="0087705E"/>
    <w:rsid w:val="00886509"/>
    <w:rsid w:val="008F37D6"/>
    <w:rsid w:val="00923A0D"/>
    <w:rsid w:val="00930983"/>
    <w:rsid w:val="00933BCC"/>
    <w:rsid w:val="00944CBA"/>
    <w:rsid w:val="00965F2B"/>
    <w:rsid w:val="0097458B"/>
    <w:rsid w:val="0097683D"/>
    <w:rsid w:val="00981530"/>
    <w:rsid w:val="00991A42"/>
    <w:rsid w:val="009D1590"/>
    <w:rsid w:val="009E2613"/>
    <w:rsid w:val="00A121C6"/>
    <w:rsid w:val="00A254E0"/>
    <w:rsid w:val="00A45BA1"/>
    <w:rsid w:val="00A46817"/>
    <w:rsid w:val="00A60BD9"/>
    <w:rsid w:val="00AA1CCD"/>
    <w:rsid w:val="00AA6F32"/>
    <w:rsid w:val="00AC400A"/>
    <w:rsid w:val="00AE7027"/>
    <w:rsid w:val="00B21AED"/>
    <w:rsid w:val="00B23DBA"/>
    <w:rsid w:val="00B372BB"/>
    <w:rsid w:val="00B73FED"/>
    <w:rsid w:val="00BA5BF2"/>
    <w:rsid w:val="00BD2EDF"/>
    <w:rsid w:val="00BE1B2D"/>
    <w:rsid w:val="00BE4127"/>
    <w:rsid w:val="00BF6972"/>
    <w:rsid w:val="00C260A9"/>
    <w:rsid w:val="00C826E6"/>
    <w:rsid w:val="00CB0D6E"/>
    <w:rsid w:val="00CC0FA7"/>
    <w:rsid w:val="00D06C89"/>
    <w:rsid w:val="00D223A9"/>
    <w:rsid w:val="00D34C03"/>
    <w:rsid w:val="00D34EBC"/>
    <w:rsid w:val="00D44284"/>
    <w:rsid w:val="00D82075"/>
    <w:rsid w:val="00D93509"/>
    <w:rsid w:val="00DC39E1"/>
    <w:rsid w:val="00DC68AE"/>
    <w:rsid w:val="00DD3065"/>
    <w:rsid w:val="00DD7065"/>
    <w:rsid w:val="00DD762C"/>
    <w:rsid w:val="00DF2267"/>
    <w:rsid w:val="00E203F2"/>
    <w:rsid w:val="00E25C71"/>
    <w:rsid w:val="00E72326"/>
    <w:rsid w:val="00E74053"/>
    <w:rsid w:val="00E744A8"/>
    <w:rsid w:val="00EB2A9F"/>
    <w:rsid w:val="00EC64E3"/>
    <w:rsid w:val="00EE007A"/>
    <w:rsid w:val="00EE4082"/>
    <w:rsid w:val="00F000D7"/>
    <w:rsid w:val="00F919D2"/>
    <w:rsid w:val="00FE7E8F"/>
    <w:rsid w:val="093A58AF"/>
    <w:rsid w:val="390F6CA3"/>
    <w:rsid w:val="6DDD7908"/>
    <w:rsid w:val="767F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D6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rFonts w:ascii="Tahoma" w:hAnsi="Tahoma" w:cs="Tahoma"/>
      <w:sz w:val="16"/>
      <w:szCs w:val="20"/>
    </w:rPr>
  </w:style>
  <w:style w:type="paragraph" w:styleId="a4">
    <w:name w:val="Balloon Text"/>
    <w:basedOn w:val="a"/>
    <w:link w:val="Char0"/>
    <w:uiPriority w:val="99"/>
    <w:semiHidden/>
    <w:unhideWhenUsed/>
    <w:rPr>
      <w:rFonts w:ascii="Segoe UI" w:hAnsi="Segoe UI" w:cs="Segoe UI"/>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rFonts w:asciiTheme="minorHAnsi" w:hAnsiTheme="minorHAnsi" w:cstheme="minorBidi"/>
      <w:b/>
      <w:bCs/>
      <w:sz w:val="20"/>
    </w:rPr>
  </w:style>
  <w:style w:type="character" w:styleId="a8">
    <w:name w:val="Hyperlink"/>
    <w:basedOn w:val="a0"/>
    <w:qFormat/>
    <w:rPr>
      <w:u w:val="single"/>
    </w:rPr>
  </w:style>
  <w:style w:type="character" w:styleId="a9">
    <w:name w:val="annotation reference"/>
    <w:basedOn w:val="a0"/>
    <w:uiPriority w:val="99"/>
    <w:semiHidden/>
    <w:unhideWhenUsed/>
    <w:qFormat/>
    <w:rPr>
      <w:rFonts w:ascii="Tahoma" w:hAnsi="Tahoma" w:cs="Tahoma"/>
      <w:sz w:val="16"/>
      <w:szCs w:val="16"/>
      <w:u w:val="non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p16">
    <w:name w:val="p16"/>
    <w:basedOn w:val="a"/>
    <w:qFormat/>
    <w:pPr>
      <w:widowControl/>
    </w:pPr>
    <w:rPr>
      <w:rFonts w:ascii="Times New Roman" w:eastAsia="宋体" w:hAnsi="Times New Roman" w:cs="Times New Roman"/>
      <w:kern w:val="0"/>
      <w:szCs w:val="21"/>
    </w:rPr>
  </w:style>
  <w:style w:type="character" w:customStyle="1" w:styleId="Char0">
    <w:name w:val="批注框文本 Char"/>
    <w:basedOn w:val="a0"/>
    <w:link w:val="a4"/>
    <w:uiPriority w:val="99"/>
    <w:semiHidden/>
    <w:qFormat/>
    <w:rPr>
      <w:rFonts w:ascii="Segoe UI" w:hAnsi="Segoe UI" w:cs="Segoe UI"/>
      <w:sz w:val="18"/>
      <w:szCs w:val="18"/>
    </w:rPr>
  </w:style>
  <w:style w:type="character" w:customStyle="1" w:styleId="Char">
    <w:name w:val="批注文字 Char"/>
    <w:basedOn w:val="a0"/>
    <w:link w:val="a3"/>
    <w:uiPriority w:val="99"/>
    <w:semiHidden/>
    <w:qFormat/>
    <w:rPr>
      <w:rFonts w:ascii="Tahoma" w:hAnsi="Tahoma" w:cs="Tahoma"/>
      <w:sz w:val="16"/>
      <w:szCs w:val="20"/>
    </w:rPr>
  </w:style>
  <w:style w:type="character" w:customStyle="1" w:styleId="Char3">
    <w:name w:val="批注主题 Char"/>
    <w:basedOn w:val="Char"/>
    <w:link w:val="a7"/>
    <w:uiPriority w:val="99"/>
    <w:semiHidden/>
    <w:qFormat/>
    <w:rPr>
      <w:rFonts w:ascii="Tahoma" w:hAnsi="Tahoma" w:cs="Tahoma"/>
      <w:b/>
      <w:bCs/>
      <w:sz w:val="20"/>
      <w:szCs w:val="20"/>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EndNoteBibliographyTitle">
    <w:name w:val="EndNote Bibliography Title"/>
    <w:basedOn w:val="a"/>
    <w:link w:val="EndNoteBibliographyTitle0"/>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sz w:val="20"/>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D6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rFonts w:ascii="Tahoma" w:hAnsi="Tahoma" w:cs="Tahoma"/>
      <w:sz w:val="16"/>
      <w:szCs w:val="20"/>
    </w:rPr>
  </w:style>
  <w:style w:type="paragraph" w:styleId="a4">
    <w:name w:val="Balloon Text"/>
    <w:basedOn w:val="a"/>
    <w:link w:val="Char0"/>
    <w:uiPriority w:val="99"/>
    <w:semiHidden/>
    <w:unhideWhenUsed/>
    <w:rPr>
      <w:rFonts w:ascii="Segoe UI" w:hAnsi="Segoe UI" w:cs="Segoe UI"/>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rFonts w:asciiTheme="minorHAnsi" w:hAnsiTheme="minorHAnsi" w:cstheme="minorBidi"/>
      <w:b/>
      <w:bCs/>
      <w:sz w:val="20"/>
    </w:rPr>
  </w:style>
  <w:style w:type="character" w:styleId="a8">
    <w:name w:val="Hyperlink"/>
    <w:basedOn w:val="a0"/>
    <w:qFormat/>
    <w:rPr>
      <w:u w:val="single"/>
    </w:rPr>
  </w:style>
  <w:style w:type="character" w:styleId="a9">
    <w:name w:val="annotation reference"/>
    <w:basedOn w:val="a0"/>
    <w:uiPriority w:val="99"/>
    <w:semiHidden/>
    <w:unhideWhenUsed/>
    <w:qFormat/>
    <w:rPr>
      <w:rFonts w:ascii="Tahoma" w:hAnsi="Tahoma" w:cs="Tahoma"/>
      <w:sz w:val="16"/>
      <w:szCs w:val="16"/>
      <w:u w:val="non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p16">
    <w:name w:val="p16"/>
    <w:basedOn w:val="a"/>
    <w:qFormat/>
    <w:pPr>
      <w:widowControl/>
    </w:pPr>
    <w:rPr>
      <w:rFonts w:ascii="Times New Roman" w:eastAsia="宋体" w:hAnsi="Times New Roman" w:cs="Times New Roman"/>
      <w:kern w:val="0"/>
      <w:szCs w:val="21"/>
    </w:rPr>
  </w:style>
  <w:style w:type="character" w:customStyle="1" w:styleId="Char0">
    <w:name w:val="批注框文本 Char"/>
    <w:basedOn w:val="a0"/>
    <w:link w:val="a4"/>
    <w:uiPriority w:val="99"/>
    <w:semiHidden/>
    <w:qFormat/>
    <w:rPr>
      <w:rFonts w:ascii="Segoe UI" w:hAnsi="Segoe UI" w:cs="Segoe UI"/>
      <w:sz w:val="18"/>
      <w:szCs w:val="18"/>
    </w:rPr>
  </w:style>
  <w:style w:type="character" w:customStyle="1" w:styleId="Char">
    <w:name w:val="批注文字 Char"/>
    <w:basedOn w:val="a0"/>
    <w:link w:val="a3"/>
    <w:uiPriority w:val="99"/>
    <w:semiHidden/>
    <w:qFormat/>
    <w:rPr>
      <w:rFonts w:ascii="Tahoma" w:hAnsi="Tahoma" w:cs="Tahoma"/>
      <w:sz w:val="16"/>
      <w:szCs w:val="20"/>
    </w:rPr>
  </w:style>
  <w:style w:type="character" w:customStyle="1" w:styleId="Char3">
    <w:name w:val="批注主题 Char"/>
    <w:basedOn w:val="Char"/>
    <w:link w:val="a7"/>
    <w:uiPriority w:val="99"/>
    <w:semiHidden/>
    <w:qFormat/>
    <w:rPr>
      <w:rFonts w:ascii="Tahoma" w:hAnsi="Tahoma" w:cs="Tahoma"/>
      <w:b/>
      <w:bCs/>
      <w:sz w:val="20"/>
      <w:szCs w:val="20"/>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EndNoteBibliographyTitle">
    <w:name w:val="EndNote Bibliography Title"/>
    <w:basedOn w:val="a"/>
    <w:link w:val="EndNoteBibliographyTitle0"/>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sz w:val="20"/>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18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dglanjun@163.com"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D9EBC5-C9AF-42F1-9DEC-F316A97D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6012</Words>
  <Characters>34273</Characters>
  <Application>Microsoft Office Word</Application>
  <DocSecurity>0</DocSecurity>
  <Lines>285</Lines>
  <Paragraphs>80</Paragraphs>
  <ScaleCrop>false</ScaleCrop>
  <Company/>
  <LinksUpToDate>false</LinksUpToDate>
  <CharactersWithSpaces>40205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dc:creator>
  <cp:lastModifiedBy>liujihong2008@qq.con</cp:lastModifiedBy>
  <cp:revision>8</cp:revision>
  <dcterms:created xsi:type="dcterms:W3CDTF">2020-07-28T03:03:00Z</dcterms:created>
  <dcterms:modified xsi:type="dcterms:W3CDTF">2020-08-21T10:27:00Z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43895.4555902778</vt:r8>
  </property>
  <property fmtid="{D5CDD505-2E9C-101B-9397-08002B2CF9AE}" pid="4" name="EditTimer">
    <vt:i4>3795</vt:i4>
  </property>
  <property fmtid="{D5CDD505-2E9C-101B-9397-08002B2CF9AE}" pid="5" name="KSOProductBuildVer">
    <vt:lpwstr>2052-11.1.0.9513</vt:lpwstr>
  </property>
</Properties>
</file>