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"/>
      <w:r>
        <w:rPr>
          <w:rFonts w:ascii="Book Antiqua" w:eastAsia="Book Antiqua" w:hAnsi="Book Antiqua" w:cs="Book Antiqua"/>
          <w:i/>
          <w:color w:val="000000"/>
        </w:rPr>
        <w:t>World</w:t>
      </w:r>
      <w:r w:rsidR="004B3F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B3F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B3F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4B3F9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  <w:bookmarkEnd w:id="0"/>
    </w:p>
    <w:p w:rsidR="00694D53" w:rsidRDefault="00694D53">
      <w:pPr>
        <w:spacing w:line="360" w:lineRule="auto"/>
        <w:jc w:val="both"/>
      </w:pPr>
      <w:bookmarkStart w:id="1" w:name="OLE_LINK3"/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55717</w:t>
      </w:r>
    </w:p>
    <w:bookmarkEnd w:id="1"/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hepatotoxicity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—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quantitative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measurement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iodine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density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dual-energy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tomography: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reports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Lv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Hai-Juan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Hong-Wei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Hai-Juan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Lv,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Hong-Wei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Jiaxing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Jiaxing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314000,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Science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Technology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Bureau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Jiaxing,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Zhejiang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Province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China,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2017BY18018.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2"/>
      <w:r>
        <w:rPr>
          <w:rFonts w:ascii="Book Antiqua" w:eastAsia="Book Antiqua" w:hAnsi="Book Antiqua" w:cs="Book Antiqua"/>
          <w:b/>
          <w:bCs/>
          <w:color w:val="000000"/>
        </w:rPr>
        <w:t>Hong-Wei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2"/>
      <w:r>
        <w:rPr>
          <w:rFonts w:ascii="Book Antiqua" w:eastAsia="Book Antiqua" w:hAnsi="Book Antiqua" w:cs="Book Antiqua"/>
          <w:color w:val="000000"/>
        </w:rPr>
        <w:t>Department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Jiaxing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No.1518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</w:t>
      </w:r>
      <w:r w:rsidR="00AA08C2">
        <w:rPr>
          <w:rFonts w:ascii="Book Antiqua" w:eastAsia="Book Antiqua" w:hAnsi="Book Antiqua" w:cs="Book Antiqua"/>
          <w:color w:val="000000"/>
        </w:rPr>
        <w:t>cheng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Jiaxing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314000,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Zhejiang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zhw0314@hotmail.com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694D53" w:rsidRPr="001E352C" w:rsidRDefault="00694D53" w:rsidP="001E352C">
      <w:pPr>
        <w:snapToGrid w:val="0"/>
        <w:spacing w:line="360" w:lineRule="auto"/>
        <w:rPr>
          <w:rFonts w:ascii="Book Antiqua" w:hAnsi="Book Antiqua" w:cs="Arial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352C" w:rsidRPr="001E352C">
        <w:rPr>
          <w:rFonts w:ascii="Book Antiqua" w:hAnsi="Book Antiqua" w:cs="Arial"/>
          <w:color w:val="000000"/>
          <w:shd w:val="clear" w:color="auto" w:fill="FFFFFF"/>
        </w:rPr>
        <w:t>September</w:t>
      </w:r>
      <w:r w:rsidR="004B3F9C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1E352C" w:rsidRPr="001E352C">
        <w:rPr>
          <w:rFonts w:ascii="Book Antiqua" w:hAnsi="Book Antiqua" w:cs="Arial"/>
          <w:color w:val="000000"/>
          <w:shd w:val="clear" w:color="auto" w:fill="FFFFFF"/>
        </w:rPr>
        <w:t>10,</w:t>
      </w:r>
      <w:r w:rsidR="004B3F9C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1E352C" w:rsidRPr="001E352C">
        <w:rPr>
          <w:rFonts w:ascii="Book Antiqua" w:hAnsi="Book Antiqua" w:cs="Arial"/>
          <w:color w:val="000000"/>
          <w:shd w:val="clear" w:color="auto" w:fill="FFFFFF"/>
        </w:rPr>
        <w:t>2020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4448">
        <w:rPr>
          <w:rFonts w:ascii="Book Antiqua" w:hAnsi="Book Antiqua" w:cs="Arial" w:hint="eastAsia"/>
          <w:color w:val="000000"/>
          <w:shd w:val="clear" w:color="auto" w:fill="FFFFFF"/>
          <w:lang w:eastAsia="zh-CN"/>
        </w:rPr>
        <w:t>October</w:t>
      </w:r>
      <w:r w:rsidR="004B3F9C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0E4448">
        <w:rPr>
          <w:rFonts w:ascii="Book Antiqua" w:hAnsi="Book Antiqua" w:cs="Arial" w:hint="eastAsia"/>
          <w:color w:val="000000"/>
          <w:shd w:val="clear" w:color="auto" w:fill="FFFFFF"/>
          <w:lang w:eastAsia="zh-CN"/>
        </w:rPr>
        <w:t>26</w:t>
      </w:r>
      <w:r w:rsidR="000E4448" w:rsidRPr="001E352C">
        <w:rPr>
          <w:rFonts w:ascii="Book Antiqua" w:hAnsi="Book Antiqua" w:cs="Arial"/>
          <w:color w:val="000000"/>
          <w:shd w:val="clear" w:color="auto" w:fill="FFFFFF"/>
        </w:rPr>
        <w:t>,</w:t>
      </w:r>
      <w:r w:rsidR="004B3F9C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0E4448" w:rsidRPr="001E352C">
        <w:rPr>
          <w:rFonts w:ascii="Book Antiqua" w:hAnsi="Book Antiqua" w:cs="Arial"/>
          <w:color w:val="000000"/>
          <w:shd w:val="clear" w:color="auto" w:fill="FFFFFF"/>
        </w:rPr>
        <w:t>2020</w:t>
      </w:r>
    </w:p>
    <w:p w:rsidR="00694D53" w:rsidRDefault="00694D53">
      <w:pPr>
        <w:spacing w:line="360" w:lineRule="auto"/>
        <w:jc w:val="both"/>
        <w:sectPr w:rsidR="00694D5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(DECT).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:rsidR="00694D53" w:rsidRDefault="00694D5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We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report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clinical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iodine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density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using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DECT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three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amiodarone-induced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hepatotoxicity.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enzymes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were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these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three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patients,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abdominal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without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contrast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medium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showed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highly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attenuation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liver.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Furthermore,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iodine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concentration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was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increased.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f</w:t>
      </w:r>
      <w:r>
        <w:rPr>
          <w:rFonts w:ascii="Book Antiqua" w:hAnsi="Book Antiqua"/>
        </w:rPr>
        <w:t>irst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amiodarone-induced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reversible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hepatotoxicity,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showed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reversible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course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function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decrease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values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after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discontinuation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amiodarone.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long-term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amiodarone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had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iodine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concentration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damage,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4B3F9C">
        <w:rPr>
          <w:rFonts w:ascii="Book Antiqua" w:hAnsi="Book Antiqua"/>
        </w:rPr>
        <w:t xml:space="preserve"> </w:t>
      </w:r>
      <w:r w:rsidR="00C879A1">
        <w:rPr>
          <w:rFonts w:ascii="Book Antiqua" w:hAnsi="Book Antiqua"/>
        </w:rPr>
        <w:t>eventually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developed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rapidly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progressive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pneumonia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multiple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organ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failure.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third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patient,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showed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increased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iodine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concentration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elevated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enzymes</w:t>
      </w:r>
      <w:r w:rsidR="001F00E9">
        <w:rPr>
          <w:rFonts w:ascii="Book Antiqua" w:hAnsi="Book Antiqua"/>
        </w:rPr>
        <w:t>.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H</w:t>
      </w:r>
      <w:r>
        <w:rPr>
          <w:rFonts w:ascii="Book Antiqua" w:hAnsi="Book Antiqua"/>
        </w:rPr>
        <w:t>owever,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refused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radiofrequency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ablation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atrial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fibrillation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continued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amiodarone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control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atrial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fibrillation,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and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routine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liver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function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test</w:t>
      </w:r>
      <w:r w:rsidR="001F00E9">
        <w:rPr>
          <w:rFonts w:ascii="Book Antiqua" w:hAnsi="Book Antiqua"/>
        </w:rPr>
        <w:t>s</w:t>
      </w:r>
      <w:r w:rsidR="004B3F9C">
        <w:rPr>
          <w:rFonts w:ascii="Book Antiqua" w:hAnsi="Book Antiqua"/>
        </w:rPr>
        <w:t xml:space="preserve"> </w:t>
      </w:r>
      <w:r w:rsidR="001F00E9">
        <w:rPr>
          <w:rFonts w:ascii="Book Antiqua" w:hAnsi="Book Antiqua"/>
        </w:rPr>
        <w:t>were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required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every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3-6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this</w:t>
      </w:r>
      <w:r w:rsidR="004B3F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patient.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1F00E9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1F00E9"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</w:p>
    <w:p w:rsidR="00694D53" w:rsidRDefault="00694D53">
      <w:pPr>
        <w:spacing w:line="360" w:lineRule="auto"/>
        <w:jc w:val="both"/>
      </w:pPr>
    </w:p>
    <w:p w:rsidR="00A2522E" w:rsidRDefault="00A2522E">
      <w:pPr>
        <w:spacing w:line="360" w:lineRule="auto"/>
        <w:jc w:val="both"/>
        <w:rPr>
          <w:rFonts w:ascii="Book Antiqua" w:eastAsiaTheme="minorEastAsia" w:hAnsi="Book Antiqua" w:cs="Book Antiqua" w:hint="eastAsia"/>
          <w:color w:val="000000"/>
          <w:lang w:eastAsia="zh-CN"/>
        </w:rPr>
      </w:pPr>
      <w:r w:rsidRPr="00A2522E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Citation: </w:t>
      </w:r>
      <w:r w:rsidR="00694D53">
        <w:rPr>
          <w:rFonts w:ascii="Book Antiqua" w:eastAsia="Book Antiqua" w:hAnsi="Book Antiqua" w:cs="Book Antiqua"/>
          <w:color w:val="000000"/>
        </w:rPr>
        <w:t>Lv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HJ,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Zhao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HW.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hepatotoxicity</w:t>
      </w:r>
      <w:bookmarkStart w:id="3" w:name="_Hlk50466498"/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—</w:t>
      </w:r>
      <w:bookmarkEnd w:id="3"/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quantitative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measurement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using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dual-energy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tomography: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Three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reports.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29"/>
      <w:bookmarkStart w:id="5" w:name="OLE_LINK30"/>
      <w:r w:rsidR="00694D53">
        <w:rPr>
          <w:rFonts w:ascii="Book Antiqua" w:eastAsia="Book Antiqua" w:hAnsi="Book Antiqua" w:cs="Book Antiqua"/>
          <w:color w:val="000000"/>
        </w:rPr>
        <w:t>2020;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0275D2" w:rsidRPr="000275D2">
        <w:rPr>
          <w:rFonts w:ascii="Book Antiqua" w:eastAsia="Book Antiqua" w:hAnsi="Book Antiqua" w:cs="Book Antiqua"/>
          <w:color w:val="000000"/>
        </w:rPr>
        <w:t>8(20):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230A6A" w:rsidRPr="00230A6A">
        <w:rPr>
          <w:rFonts w:ascii="Book Antiqua" w:eastAsia="Book Antiqua" w:hAnsi="Book Antiqua" w:cs="Book Antiqua"/>
          <w:color w:val="000000"/>
        </w:rPr>
        <w:t>4958-</w:t>
      </w:r>
      <w:bookmarkStart w:id="6" w:name="_GoBack"/>
      <w:r w:rsidR="00230A6A" w:rsidRPr="00230A6A">
        <w:rPr>
          <w:rFonts w:ascii="Book Antiqua" w:eastAsia="Book Antiqua" w:hAnsi="Book Antiqua" w:cs="Book Antiqua"/>
          <w:color w:val="000000"/>
        </w:rPr>
        <w:t>4965</w:t>
      </w:r>
      <w:bookmarkEnd w:id="6"/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bookmarkEnd w:id="4"/>
      <w:bookmarkEnd w:id="5"/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A2522E" w:rsidRDefault="000275D2">
      <w:pPr>
        <w:spacing w:line="360" w:lineRule="auto"/>
        <w:jc w:val="both"/>
        <w:rPr>
          <w:rFonts w:ascii="Book Antiqua" w:eastAsiaTheme="minorEastAsia" w:hAnsi="Book Antiqua" w:cs="Book Antiqua" w:hint="eastAsia"/>
          <w:color w:val="000000"/>
          <w:lang w:eastAsia="zh-CN"/>
        </w:rPr>
      </w:pPr>
      <w:r w:rsidRPr="00FD4F0D">
        <w:rPr>
          <w:rFonts w:ascii="Book Antiqua" w:eastAsia="Book Antiqua" w:hAnsi="Book Antiqua" w:cs="Book Antiqua"/>
          <w:b/>
          <w:color w:val="000000"/>
        </w:rPr>
        <w:t>URL: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31"/>
      <w:bookmarkStart w:id="8" w:name="OLE_LINK32"/>
      <w:r w:rsidRPr="000275D2">
        <w:rPr>
          <w:rFonts w:ascii="Book Antiqua" w:eastAsia="Book Antiqua" w:hAnsi="Book Antiqua" w:cs="Book Antiqua"/>
          <w:color w:val="000000"/>
        </w:rPr>
        <w:t>https://www.wjgnet.com/2307-8960/full/v8/i20/</w:t>
      </w:r>
      <w:r w:rsidR="00230A6A">
        <w:rPr>
          <w:rFonts w:ascii="Book Antiqua" w:eastAsiaTheme="minorEastAsia" w:hAnsi="Book Antiqua" w:cs="Book Antiqua" w:hint="eastAsia"/>
          <w:color w:val="000000"/>
          <w:lang w:eastAsia="zh-CN"/>
        </w:rPr>
        <w:t>4958</w:t>
      </w:r>
      <w:r w:rsidRPr="000275D2">
        <w:rPr>
          <w:rFonts w:ascii="Book Antiqua" w:eastAsia="Book Antiqua" w:hAnsi="Book Antiqua" w:cs="Book Antiqua"/>
          <w:color w:val="000000"/>
        </w:rPr>
        <w:t>.htm</w:t>
      </w:r>
      <w:bookmarkEnd w:id="7"/>
      <w:bookmarkEnd w:id="8"/>
      <w:r w:rsidR="004B3F9C">
        <w:rPr>
          <w:rFonts w:ascii="Book Antiqua" w:eastAsia="Book Antiqua" w:hAnsi="Book Antiqua" w:cs="Book Antiqua"/>
          <w:color w:val="000000"/>
        </w:rPr>
        <w:t xml:space="preserve">  </w:t>
      </w:r>
    </w:p>
    <w:p w:rsidR="00694D53" w:rsidRPr="00C85CDB" w:rsidRDefault="000275D2">
      <w:pPr>
        <w:spacing w:line="360" w:lineRule="auto"/>
        <w:jc w:val="both"/>
        <w:rPr>
          <w:rFonts w:eastAsiaTheme="minorEastAsia" w:hint="eastAsia"/>
          <w:lang w:eastAsia="zh-CN"/>
        </w:rPr>
      </w:pPr>
      <w:r w:rsidRPr="00FD4F0D">
        <w:rPr>
          <w:rFonts w:ascii="Book Antiqua" w:eastAsia="Book Antiqua" w:hAnsi="Book Antiqua" w:cs="Book Antiqua"/>
          <w:b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33"/>
      <w:bookmarkStart w:id="10" w:name="OLE_LINK34"/>
      <w:r w:rsidRPr="000275D2">
        <w:rPr>
          <w:rFonts w:ascii="Book Antiqua" w:eastAsia="Book Antiqua" w:hAnsi="Book Antiqua" w:cs="Book Antiqua"/>
          <w:color w:val="000000"/>
        </w:rPr>
        <w:t>https://dx.doi.org/10.12998/wjcc.v8.i20.</w:t>
      </w:r>
      <w:r w:rsidR="00C85CDB">
        <w:rPr>
          <w:rFonts w:ascii="Book Antiqua" w:eastAsiaTheme="minorEastAsia" w:hAnsi="Book Antiqua" w:cs="Book Antiqua" w:hint="eastAsia"/>
          <w:color w:val="000000"/>
          <w:lang w:eastAsia="zh-CN"/>
        </w:rPr>
        <w:t>4958</w:t>
      </w:r>
      <w:bookmarkEnd w:id="9"/>
      <w:bookmarkEnd w:id="10"/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065E" w:rsidRPr="00E97A88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ip: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1F00E9">
        <w:rPr>
          <w:rFonts w:ascii="Book Antiqua" w:eastAsia="Book Antiqua" w:hAnsi="Book Antiqua" w:cs="Book Antiqua"/>
          <w:color w:val="000000"/>
        </w:rPr>
        <w:t>study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1F00E9">
        <w:rPr>
          <w:rFonts w:ascii="Book Antiqua" w:eastAsia="Book Antiqua" w:hAnsi="Book Antiqua" w:cs="Book Antiqua"/>
          <w:color w:val="000000"/>
        </w:rPr>
        <w:t>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1F00E9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1F00E9"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</w:p>
    <w:p w:rsidR="00694D53" w:rsidRDefault="00694D53">
      <w:pPr>
        <w:spacing w:line="360" w:lineRule="auto"/>
        <w:jc w:val="both"/>
      </w:pPr>
      <w: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(DECT)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B3F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66-year-old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2-wk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85-year-old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4-wk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71-year-old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37C0" w:rsidRPr="002318A1">
        <w:rPr>
          <w:rFonts w:ascii="Book Antiqua" w:eastAsia="Book Antiqua" w:hAnsi="Book Antiqua" w:cs="Book Antiqua"/>
          <w:bCs/>
          <w:color w:val="000000"/>
        </w:rPr>
        <w:t>The</w:t>
      </w:r>
      <w:r w:rsidR="004B3F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737C0" w:rsidRPr="002318A1">
        <w:rPr>
          <w:rFonts w:ascii="Book Antiqua" w:eastAsia="Book Antiqua" w:hAnsi="Book Antiqua" w:cs="Book Antiqua"/>
          <w:bCs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2-wk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abrupt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abating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 w:rsidRPr="002318A1">
        <w:rPr>
          <w:rFonts w:ascii="Book Antiqua" w:eastAsia="Book Antiqua" w:hAnsi="Book Antiqua" w:cs="Book Antiqua"/>
          <w:color w:val="000000"/>
        </w:rPr>
        <w:t>T</w:t>
      </w:r>
      <w:r w:rsidR="008737C0"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4-wk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737C0"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8737C0">
        <w:rPr>
          <w:rFonts w:ascii="Book Antiqua" w:eastAsia="Book Antiqua" w:hAnsi="Book Antiqua" w:cs="Book Antiqua"/>
          <w:color w:val="000000"/>
        </w:rPr>
        <w:t>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previous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1: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mg/d)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smoking-related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patient’s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diuretic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antiarrhythmic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3: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patient’s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bibasilar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inspiratory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crackles.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145/88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737C0">
        <w:rPr>
          <w:rFonts w:ascii="Book Antiqua" w:eastAsia="Book Antiqua" w:hAnsi="Book Antiqua" w:cs="Book Antiqua"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Holter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γ-glutamyl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</w:t>
      </w:r>
      <w:r w:rsidR="008737C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dase,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10-60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minotransferase,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9-50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γ-glutamyl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120-250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8737C0">
        <w:rPr>
          <w:rFonts w:ascii="Book Antiqua" w:eastAsia="Book Antiqua" w:hAnsi="Book Antiqua" w:cs="Book Antiqua"/>
          <w:color w:val="000000"/>
        </w:rPr>
        <w:t>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γ-glutamyl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</w:t>
      </w:r>
      <w:r w:rsidR="008737C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dase,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10-60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9-50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8737C0">
        <w:rPr>
          <w:rFonts w:ascii="Book Antiqua" w:eastAsia="Book Antiqua" w:hAnsi="Book Antiqua" w:cs="Book Antiqua"/>
          <w:color w:val="000000"/>
        </w:rPr>
        <w:t>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3:</w:t>
      </w:r>
      <w:r w:rsidR="004B3F9C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Direct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μmol/L);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γ-glutamyl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</w:t>
      </w:r>
      <w:r w:rsidR="008737C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dase,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10-60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9-50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IU/L).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B3F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1: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performed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737C0"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Hounsfield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(HU)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127F4B">
        <w:rPr>
          <w:rFonts w:ascii="Book Antiqua" w:eastAsia="Book Antiqua" w:hAnsi="Book Antiqua" w:cs="Book Antiqua"/>
          <w:color w:val="000000"/>
        </w:rPr>
        <w:t>four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04577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HU).</w:t>
      </w:r>
    </w:p>
    <w:p w:rsidR="00694D53" w:rsidRDefault="00694D5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</w:t>
      </w:r>
      <w:r w:rsidR="00B12C0F">
        <w:rPr>
          <w:rFonts w:ascii="Book Antiqua" w:eastAsia="Book Antiqua" w:hAnsi="Book Antiqua" w:cs="Book Antiqua"/>
          <w:color w:val="000000"/>
        </w:rPr>
        <w:t>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VNC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compatible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2: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2A-C).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entire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3: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color-coded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B3F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Paroxysmal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Severe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3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Paroxysmal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Treatment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3</w:t>
      </w:r>
    </w:p>
    <w:p w:rsidR="00694D53" w:rsidRDefault="00B12C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B3F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refused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radiofrequency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ablation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fibrillation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94D53"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treating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physician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decided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continue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control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atrial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fibrillation.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also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informed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potential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hazard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liver;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routine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function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test</w:t>
      </w:r>
      <w:r>
        <w:rPr>
          <w:rFonts w:ascii="Book Antiqua" w:eastAsia="Book Antiqua" w:hAnsi="Book Antiqua" w:cs="Book Antiqua"/>
          <w:color w:val="000000"/>
        </w:rPr>
        <w:t>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required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every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3-6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mo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patient.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B3F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B3F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non-enhanced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1D).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Case</w:t>
      </w:r>
      <w:r w:rsidR="004B3F9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3</w:t>
      </w:r>
    </w:p>
    <w:p w:rsidR="00694D53" w:rsidRDefault="00B12C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discharged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further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cardiology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hepatology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follow-up,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but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refused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abdominal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694D53">
        <w:rPr>
          <w:rFonts w:ascii="Book Antiqua" w:eastAsia="Book Antiqua" w:hAnsi="Book Antiqua" w:cs="Book Antiqua"/>
          <w:color w:val="000000"/>
        </w:rPr>
        <w:t>follow-up.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antiarrhythmic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Kim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B12C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enhanced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</w:t>
      </w:r>
      <w:r w:rsidR="00B12C0F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toms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function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test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822033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a</w:t>
      </w:r>
      <w:r w:rsidR="00822033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</w:t>
      </w:r>
      <w:r w:rsidR="00B12C0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hyper-density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B12C0F">
        <w:rPr>
          <w:rFonts w:ascii="Book Antiqua" w:eastAsia="Book Antiqua" w:hAnsi="Book Antiqua" w:cs="Book Antiqua"/>
          <w:color w:val="000000"/>
        </w:rPr>
        <w:t>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37.3%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metabolized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desethylamiodarone.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B12C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enhanced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desethylamiodarone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B12C0F">
        <w:rPr>
          <w:rFonts w:ascii="Book Antiqua" w:eastAsia="Book Antiqua" w:hAnsi="Book Antiqua" w:cs="Book Antiqua"/>
          <w:color w:val="000000"/>
        </w:rPr>
        <w:t>shown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B3655">
        <w:rPr>
          <w:rFonts w:ascii="Book Antiqua" w:eastAsia="Book Antiqua" w:hAnsi="Book Antiqua" w:cs="Book Antiqua"/>
          <w:color w:val="000000"/>
        </w:rPr>
        <w:t>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nonalcoholic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hardening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artifacts,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Traditionally,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underrecognized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CB3655"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iodine-specific,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three-tissue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decomposition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DECT-derived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3655">
        <w:rPr>
          <w:rFonts w:ascii="Book Antiqua" w:eastAsia="Book Antiqua" w:hAnsi="Book Antiqua" w:cs="Book Antiqua"/>
          <w:color w:val="000000"/>
        </w:rPr>
        <w:t>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these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desethylamiodarone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[7,13]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500-fold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175-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500-fold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37.3%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inorganic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0.47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1.4-2.9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will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determine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exposure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operability.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phospholipidosis,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</w:p>
    <w:p w:rsidR="00694D53" w:rsidRDefault="00694D5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:rsidR="00694D53" w:rsidRDefault="00694D53">
      <w:pPr>
        <w:spacing w:line="360" w:lineRule="auto"/>
        <w:ind w:firstLine="240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B3655"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822033"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C879A1">
        <w:rPr>
          <w:rFonts w:ascii="Book Antiqua" w:eastAsia="Book Antiqua" w:hAnsi="Book Antiqua" w:cs="Book Antiqua"/>
          <w:color w:val="000000"/>
        </w:rPr>
        <w:t>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879A1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hemochromatosis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hemosiderosis.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Epstein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AE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Olshansky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Naccarelli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Goldschlager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129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468-475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26497904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10.1016/j.amjmed.2015.08.039]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Gayam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Khalid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Garlapati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Mansour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62-63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29511409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10.14740/gr911w]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BB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172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494-495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24485640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10.1016/j.ijcard.2014.01.020]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Goldschlager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Naccarelli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Olshansky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Subcommittee,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160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1741-1748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10871966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10.1001/archinte.160.12.1741]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Atiq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Lamps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Gastrointestin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233-235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19565059]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Puli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SR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Fraley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Kuperman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Alpert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330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257-261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16284489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10.1097/00000441-200511000-00012]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746-753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25378973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10.3904/kjim.2014.29.6.746]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Markos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Veronese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Nicholson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Shevland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89-92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4014047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10.1016/0002-9149(85)90572-7]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Tsuda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Tada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Nishida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Yoshida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Sawada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Sakata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Hayashi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Kawashiri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Oyama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Kurose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Yamagishi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Amiodarone-induced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29653592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10.1186/s13256-018-1629-8]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Snir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Riesenberg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Yanai-Inbar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Zirkin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Schlaeffer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265-266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7797846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10.1097/00004836-199504000-00027]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Fischer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Raptis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Goetti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Clavien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Alkadhi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CT-added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dual-energy.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1727-1732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21472472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10.1007/s00330-011-2119-1]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Pelgrim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GJ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Hamersvelt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Willemink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Flohr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Schilham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Oudkerk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Leiner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Vliegenthart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3904-3912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28168368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10.1007/s00330-017-4752-9]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Hirakawa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Ayabe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[Analysis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therapy].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Igaku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Hoshasen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Gakkai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Zasshi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221-224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12822447]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Brien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Jimmo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Brennan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Armstrong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desethylamiodarone,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1987;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360-364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3580958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10.1139/y87-062]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Goldman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Winkler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Keung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Goldberg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phospholipidosis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Roentgenol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541-546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3871563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10.2214/ajr.144.3.541]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Patrick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amiodarone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B3F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1984;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573-576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6733404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10.1259/0007-1285-57-679-573]</w:t>
      </w:r>
    </w:p>
    <w:p w:rsidR="00694D53" w:rsidRDefault="00694D53">
      <w:pPr>
        <w:spacing w:line="360" w:lineRule="auto"/>
        <w:jc w:val="both"/>
        <w:sectPr w:rsidR="00694D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Jiaxing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C879A1">
        <w:rPr>
          <w:rFonts w:ascii="Book Antiqua" w:eastAsia="Book Antiqua" w:hAnsi="Book Antiqua" w:cs="Book Antiqua"/>
          <w:color w:val="000000"/>
        </w:rPr>
        <w:t>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879A1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ree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authors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declare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that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they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have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no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conflicts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of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interest.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authors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have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read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CARE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Checklist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(2016),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manuscript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prepared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and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revised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according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to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CARE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Checklist</w:t>
      </w:r>
      <w:r w:rsidR="004B3F9C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(2016).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065E" w:rsidRPr="001E352C">
        <w:rPr>
          <w:rFonts w:ascii="Book Antiqua" w:hAnsi="Book Antiqua" w:cs="Arial"/>
          <w:color w:val="000000"/>
          <w:shd w:val="clear" w:color="auto" w:fill="FFFFFF"/>
        </w:rPr>
        <w:t>September</w:t>
      </w:r>
      <w:r w:rsidR="004B3F9C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F9065E" w:rsidRPr="001E352C">
        <w:rPr>
          <w:rFonts w:ascii="Book Antiqua" w:hAnsi="Book Antiqua" w:cs="Arial"/>
          <w:color w:val="000000"/>
          <w:shd w:val="clear" w:color="auto" w:fill="FFFFFF"/>
        </w:rPr>
        <w:t>10,</w:t>
      </w:r>
      <w:r w:rsidR="004B3F9C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F9065E" w:rsidRPr="001E352C">
        <w:rPr>
          <w:rFonts w:ascii="Book Antiqua" w:hAnsi="Book Antiqua" w:cs="Arial"/>
          <w:color w:val="000000"/>
          <w:shd w:val="clear" w:color="auto" w:fill="FFFFFF"/>
        </w:rPr>
        <w:t>2020</w:t>
      </w:r>
    </w:p>
    <w:p w:rsidR="00694D53" w:rsidRDefault="00694D53">
      <w:pPr>
        <w:spacing w:line="360" w:lineRule="auto"/>
        <w:jc w:val="both"/>
      </w:pP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微软雅黑" w:hAnsi="Book Antiqua" w:cs="宋体"/>
        </w:rPr>
        <w:t>Medicine,</w:t>
      </w:r>
      <w:r w:rsidR="004B3F9C">
        <w:rPr>
          <w:rFonts w:ascii="Book Antiqua" w:eastAsia="微软雅黑" w:hAnsi="Book Antiqua" w:cs="宋体"/>
        </w:rPr>
        <w:t xml:space="preserve"> </w:t>
      </w:r>
      <w:r>
        <w:rPr>
          <w:rFonts w:ascii="Book Antiqua" w:eastAsia="微软雅黑" w:hAnsi="Book Antiqua" w:cs="宋体"/>
        </w:rPr>
        <w:t>research</w:t>
      </w:r>
      <w:r w:rsidR="004B3F9C">
        <w:rPr>
          <w:rFonts w:ascii="Book Antiqua" w:eastAsia="微软雅黑" w:hAnsi="Book Antiqua" w:cs="宋体"/>
        </w:rPr>
        <w:t xml:space="preserve"> </w:t>
      </w:r>
      <w:r>
        <w:rPr>
          <w:rFonts w:ascii="Book Antiqua" w:eastAsia="微软雅黑" w:hAnsi="Book Antiqua" w:cs="宋体"/>
        </w:rPr>
        <w:t>and</w:t>
      </w:r>
      <w:r w:rsidR="004B3F9C">
        <w:rPr>
          <w:rFonts w:ascii="Book Antiqua" w:eastAsia="微软雅黑" w:hAnsi="Book Antiqua" w:cs="宋体"/>
        </w:rPr>
        <w:t xml:space="preserve"> </w:t>
      </w:r>
      <w:r>
        <w:rPr>
          <w:rFonts w:ascii="Book Antiqua" w:eastAsia="微软雅黑" w:hAnsi="Book Antiqua" w:cs="宋体"/>
        </w:rPr>
        <w:t>experimental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694D53" w:rsidRDefault="00694D53">
      <w:pPr>
        <w:spacing w:line="360" w:lineRule="auto"/>
        <w:jc w:val="both"/>
      </w:pPr>
    </w:p>
    <w:p w:rsidR="00694D53" w:rsidRPr="00E97A88" w:rsidRDefault="00694D53">
      <w:pPr>
        <w:spacing w:line="360" w:lineRule="auto"/>
        <w:jc w:val="both"/>
        <w:rPr>
          <w:lang w:eastAsia="zh-CN"/>
        </w:rPr>
        <w:sectPr w:rsidR="00694D53" w:rsidRPr="00E97A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C879A1">
        <w:rPr>
          <w:rFonts w:ascii="Book Antiqua" w:eastAsia="Book Antiqua" w:hAnsi="Book Antiqua" w:cs="Book Antiqua"/>
          <w:color w:val="000000"/>
        </w:rPr>
        <w:t>Webster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 w:rsidR="00C879A1">
        <w:rPr>
          <w:rFonts w:ascii="Book Antiqua" w:eastAsia="Book Antiqua" w:hAnsi="Book Antiqua" w:cs="Book Antiqua"/>
          <w:color w:val="000000"/>
        </w:rPr>
        <w:t>JR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065E" w:rsidRPr="00E97A88">
        <w:rPr>
          <w:rFonts w:ascii="Book Antiqua" w:hAnsi="Book Antiqua" w:cs="Book Antiqua" w:hint="eastAsia"/>
          <w:color w:val="000000"/>
          <w:lang w:eastAsia="zh-CN"/>
        </w:rPr>
        <w:t>Li</w:t>
      </w:r>
      <w:r w:rsidR="004B3F9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065E" w:rsidRPr="00E97A88">
        <w:rPr>
          <w:rFonts w:ascii="Book Antiqua" w:hAnsi="Book Antiqua" w:cs="Book Antiqua" w:hint="eastAsia"/>
          <w:color w:val="000000"/>
          <w:lang w:eastAsia="zh-CN"/>
        </w:rPr>
        <w:t>JH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4B3F9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:rsidR="00694D53" w:rsidRDefault="000A5D75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>
            <wp:extent cx="2752725" cy="2200275"/>
            <wp:effectExtent l="0" t="0" r="952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A</w:t>
      </w:r>
    </w:p>
    <w:p w:rsidR="00694D53" w:rsidRDefault="000A5D75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771775" cy="2219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B</w:t>
      </w:r>
    </w:p>
    <w:p w:rsidR="00694D53" w:rsidRDefault="000A5D75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847975" cy="2276475"/>
            <wp:effectExtent l="0" t="0" r="952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lang w:eastAsia="zh-CN"/>
        </w:rPr>
      </w:pPr>
      <w:r>
        <w:rPr>
          <w:lang w:eastAsia="zh-CN"/>
        </w:rPr>
        <w:t>C</w:t>
      </w:r>
    </w:p>
    <w:p w:rsidR="00694D53" w:rsidRDefault="000A5D75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3143250" cy="2514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lang w:eastAsia="zh-CN"/>
        </w:rPr>
      </w:pPr>
      <w:r>
        <w:rPr>
          <w:rFonts w:hint="eastAsia"/>
          <w:lang w:eastAsia="zh-CN"/>
        </w:rPr>
        <w:t>D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Dual-energy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1" w:name="_Hlk50468688"/>
      <w:r>
        <w:rPr>
          <w:rFonts w:ascii="Book Antiqua" w:eastAsia="Book Antiqua" w:hAnsi="Book Antiqua" w:cs="Book Antiqua"/>
          <w:b/>
          <w:bCs/>
          <w:color w:val="000000"/>
          <w:szCs w:val="21"/>
        </w:rPr>
        <w:t>computed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tomography</w:t>
      </w:r>
      <w:bookmarkEnd w:id="11"/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images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and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fused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imaging.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images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obtained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66-year-old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male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dysfunction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amiodarone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years.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regions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(ROIs)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measurements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obtained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same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level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879A1">
        <w:rPr>
          <w:rFonts w:ascii="Book Antiqua" w:eastAsia="Book Antiqua" w:hAnsi="Book Antiqua" w:cs="Book Antiqua"/>
          <w:color w:val="000000"/>
          <w:szCs w:val="21"/>
        </w:rPr>
        <w:t>for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calculat</w:t>
      </w:r>
      <w:r w:rsidR="00C879A1">
        <w:rPr>
          <w:rFonts w:ascii="Book Antiqua" w:eastAsia="Book Antiqua" w:hAnsi="Book Antiqua" w:cs="Book Antiqua"/>
          <w:color w:val="000000"/>
          <w:szCs w:val="21"/>
        </w:rPr>
        <w:t>ions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case,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144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Hounsfield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(HU)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104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879A1"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879A1">
        <w:rPr>
          <w:rFonts w:ascii="Book Antiqua" w:eastAsia="Book Antiqua" w:hAnsi="Book Antiqua" w:cs="Book Antiqua"/>
          <w:color w:val="000000"/>
          <w:szCs w:val="21"/>
        </w:rPr>
        <w:t>c</w:t>
      </w:r>
      <w:r>
        <w:rPr>
          <w:rFonts w:ascii="Book Antiqua" w:eastAsia="Book Antiqua" w:hAnsi="Book Antiqua" w:cs="Book Antiqua"/>
          <w:color w:val="000000"/>
          <w:szCs w:val="21"/>
        </w:rPr>
        <w:t>olor-coded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reveals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depositions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liver;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concentration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2.9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mg/mL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(C,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ROI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attenuation;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image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attenuation;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density;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Chest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non-enhance</w:t>
      </w:r>
      <w:r w:rsidR="00C879A1">
        <w:rPr>
          <w:rFonts w:ascii="Book Antiqua" w:eastAsia="Book Antiqua" w:hAnsi="Book Antiqua" w:cs="Book Antiqua"/>
          <w:color w:val="000000"/>
          <w:szCs w:val="21"/>
        </w:rPr>
        <w:t>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computed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tomography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</w:t>
      </w:r>
      <w:r w:rsidR="00C879A1"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120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69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year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later.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SD: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deviation.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color w:val="000000"/>
          <w:szCs w:val="21"/>
        </w:rPr>
        <w:br w:type="page"/>
      </w:r>
      <w:r w:rsidR="000A5D75">
        <w:rPr>
          <w:rFonts w:ascii="Book Antiqua" w:eastAsia="Book Antiqua" w:hAnsi="Book Antiqua" w:cs="Book Antiqua"/>
          <w:noProof/>
          <w:color w:val="000000"/>
          <w:szCs w:val="21"/>
          <w:lang w:eastAsia="zh-CN"/>
        </w:rPr>
        <w:drawing>
          <wp:inline distT="0" distB="0" distL="0" distR="0">
            <wp:extent cx="2952750" cy="236220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r>
        <w:rPr>
          <w:rFonts w:ascii="Book Antiqua" w:hAnsi="Book Antiqua" w:cs="Book Antiqua" w:hint="eastAsia"/>
          <w:color w:val="000000"/>
          <w:szCs w:val="21"/>
          <w:lang w:eastAsia="zh-CN"/>
        </w:rPr>
        <w:t>A</w:t>
      </w:r>
    </w:p>
    <w:p w:rsidR="00694D53" w:rsidRDefault="000A5D75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r>
        <w:rPr>
          <w:rFonts w:ascii="Book Antiqua" w:hAnsi="Book Antiqua" w:cs="Book Antiqua"/>
          <w:noProof/>
          <w:color w:val="000000"/>
          <w:szCs w:val="21"/>
          <w:lang w:eastAsia="zh-CN"/>
        </w:rPr>
        <w:drawing>
          <wp:inline distT="0" distB="0" distL="0" distR="0">
            <wp:extent cx="2933700" cy="234315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r>
        <w:rPr>
          <w:rFonts w:ascii="Book Antiqua" w:hAnsi="Book Antiqua" w:cs="Book Antiqua" w:hint="eastAsia"/>
          <w:color w:val="000000"/>
          <w:szCs w:val="21"/>
          <w:lang w:eastAsia="zh-CN"/>
        </w:rPr>
        <w:t>B</w:t>
      </w:r>
    </w:p>
    <w:p w:rsidR="00694D53" w:rsidRDefault="000A5D75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r>
        <w:rPr>
          <w:rFonts w:ascii="Book Antiqua" w:hAnsi="Book Antiqua" w:cs="Book Antiqua"/>
          <w:noProof/>
          <w:color w:val="000000"/>
          <w:szCs w:val="21"/>
          <w:lang w:eastAsia="zh-CN"/>
        </w:rPr>
        <w:drawing>
          <wp:inline distT="0" distB="0" distL="0" distR="0">
            <wp:extent cx="2971800" cy="2381250"/>
            <wp:effectExtent l="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  <w:rPr>
          <w:rFonts w:ascii="Book Antiqua" w:hAnsi="Book Antiqua" w:cs="Book Antiqua"/>
          <w:color w:val="000000"/>
          <w:szCs w:val="21"/>
          <w:lang w:eastAsia="zh-CN"/>
        </w:rPr>
      </w:pPr>
      <w:r>
        <w:rPr>
          <w:rFonts w:ascii="Book Antiqua" w:hAnsi="Book Antiqua" w:cs="Book Antiqua" w:hint="eastAsia"/>
          <w:color w:val="000000"/>
          <w:szCs w:val="21"/>
          <w:lang w:eastAsia="zh-CN"/>
        </w:rPr>
        <w:t>C</w:t>
      </w:r>
    </w:p>
    <w:p w:rsidR="00694D53" w:rsidRDefault="00694D5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2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olor-coded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map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obtained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85-year-old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male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treated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with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amiodarone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for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6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yr.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116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Hounsfield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(HU);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83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HU;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color-coded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density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2.3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mg/mL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(region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2),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116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83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SD: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Standard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deviation.</w:t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br w:type="page"/>
      </w:r>
      <w:r w:rsidR="000A5D75">
        <w:rPr>
          <w:rFonts w:ascii="Book Antiqua" w:eastAsia="Book Antiqua" w:hAnsi="Book Antiqua" w:cs="Book Antiqua"/>
          <w:noProof/>
          <w:color w:val="000000"/>
          <w:szCs w:val="21"/>
          <w:lang w:eastAsia="zh-CN"/>
        </w:rPr>
        <w:drawing>
          <wp:inline distT="0" distB="0" distL="0" distR="0">
            <wp:extent cx="3171825" cy="254317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53" w:rsidRDefault="00694D5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3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olor-coded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map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obtained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73-year-old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female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treated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with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amiodarone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for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6</w:t>
      </w:r>
      <w:r w:rsidR="004B3F9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yr.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color-coded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density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1.4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mg/mL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(region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9),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attenuation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100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110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Hounsfield</w:t>
      </w:r>
      <w:r w:rsidR="004B3F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(HU)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140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kVp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86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HU.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Iodine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map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also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showed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4B3F9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cirrhosis.</w:t>
      </w:r>
    </w:p>
    <w:sectPr w:rsidR="0069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FF" w:rsidRDefault="00BB2EFF">
      <w:r>
        <w:separator/>
      </w:r>
    </w:p>
  </w:endnote>
  <w:endnote w:type="continuationSeparator" w:id="0">
    <w:p w:rsidR="00BB2EFF" w:rsidRDefault="00BB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53" w:rsidRDefault="00694D53">
    <w:pPr>
      <w:pStyle w:val="a5"/>
      <w:jc w:val="right"/>
      <w:rPr>
        <w:rFonts w:ascii="Book Antiqua" w:hAnsi="Book Antiqua"/>
        <w:sz w:val="24"/>
        <w:szCs w:val="24"/>
      </w:rPr>
    </w:pPr>
    <w:r>
      <w:rPr>
        <w:lang w:val="zh-CN" w:eastAsia="zh-CN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PAGE</w:instrText>
    </w:r>
    <w:r>
      <w:rPr>
        <w:rFonts w:ascii="Book Antiqua" w:hAnsi="Book Antiqua"/>
        <w:sz w:val="24"/>
        <w:szCs w:val="24"/>
      </w:rPr>
      <w:fldChar w:fldCharType="separate"/>
    </w:r>
    <w:r w:rsidR="00BB2EFF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NUMPAGES</w:instrText>
    </w:r>
    <w:r>
      <w:rPr>
        <w:rFonts w:ascii="Book Antiqua" w:hAnsi="Book Antiqua"/>
        <w:sz w:val="24"/>
        <w:szCs w:val="24"/>
      </w:rPr>
      <w:fldChar w:fldCharType="separate"/>
    </w:r>
    <w:r w:rsidR="00BB2EFF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</w:p>
  <w:p w:rsidR="00694D53" w:rsidRDefault="00694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FF" w:rsidRDefault="00BB2EFF">
      <w:r>
        <w:separator/>
      </w:r>
    </w:p>
  </w:footnote>
  <w:footnote w:type="continuationSeparator" w:id="0">
    <w:p w:rsidR="00BB2EFF" w:rsidRDefault="00BB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5D2"/>
    <w:rsid w:val="00033BED"/>
    <w:rsid w:val="00045778"/>
    <w:rsid w:val="00050B2C"/>
    <w:rsid w:val="00074A4F"/>
    <w:rsid w:val="00080684"/>
    <w:rsid w:val="00084BB0"/>
    <w:rsid w:val="000A4B3B"/>
    <w:rsid w:val="000A5D75"/>
    <w:rsid w:val="000D0254"/>
    <w:rsid w:val="000D6306"/>
    <w:rsid w:val="000E4448"/>
    <w:rsid w:val="00113767"/>
    <w:rsid w:val="00127F4B"/>
    <w:rsid w:val="001E352C"/>
    <w:rsid w:val="001F00E9"/>
    <w:rsid w:val="00230A6A"/>
    <w:rsid w:val="002318A1"/>
    <w:rsid w:val="0025086B"/>
    <w:rsid w:val="00270C77"/>
    <w:rsid w:val="00346EA8"/>
    <w:rsid w:val="0035042A"/>
    <w:rsid w:val="00445B9A"/>
    <w:rsid w:val="00456B49"/>
    <w:rsid w:val="004B3F9C"/>
    <w:rsid w:val="00537EF0"/>
    <w:rsid w:val="005B1760"/>
    <w:rsid w:val="005F6D79"/>
    <w:rsid w:val="0066508F"/>
    <w:rsid w:val="00694D53"/>
    <w:rsid w:val="00696E08"/>
    <w:rsid w:val="006D5670"/>
    <w:rsid w:val="006D671F"/>
    <w:rsid w:val="006F607D"/>
    <w:rsid w:val="007170D5"/>
    <w:rsid w:val="007A05E2"/>
    <w:rsid w:val="007F23E5"/>
    <w:rsid w:val="00822033"/>
    <w:rsid w:val="008737C0"/>
    <w:rsid w:val="008E346F"/>
    <w:rsid w:val="00971CCA"/>
    <w:rsid w:val="00A01014"/>
    <w:rsid w:val="00A2522E"/>
    <w:rsid w:val="00A32CD3"/>
    <w:rsid w:val="00A74A36"/>
    <w:rsid w:val="00A77B3E"/>
    <w:rsid w:val="00AA08C2"/>
    <w:rsid w:val="00AA0C6C"/>
    <w:rsid w:val="00AA5B8E"/>
    <w:rsid w:val="00AC5535"/>
    <w:rsid w:val="00B12C0F"/>
    <w:rsid w:val="00BB2A7A"/>
    <w:rsid w:val="00BB2EFF"/>
    <w:rsid w:val="00BC6B25"/>
    <w:rsid w:val="00C4282D"/>
    <w:rsid w:val="00C85CDB"/>
    <w:rsid w:val="00C879A1"/>
    <w:rsid w:val="00CA2A55"/>
    <w:rsid w:val="00CB3655"/>
    <w:rsid w:val="00D65A89"/>
    <w:rsid w:val="00D83934"/>
    <w:rsid w:val="00D96D07"/>
    <w:rsid w:val="00DF7A9E"/>
    <w:rsid w:val="00E12B25"/>
    <w:rsid w:val="00E61C61"/>
    <w:rsid w:val="00E6610C"/>
    <w:rsid w:val="00E81F04"/>
    <w:rsid w:val="00E97A88"/>
    <w:rsid w:val="00EB1F99"/>
    <w:rsid w:val="00F03C8A"/>
    <w:rsid w:val="00F9065E"/>
    <w:rsid w:val="00F95866"/>
    <w:rsid w:val="00FB650F"/>
    <w:rsid w:val="00FB7F65"/>
    <w:rsid w:val="00FD4F0D"/>
    <w:rsid w:val="1AE741C8"/>
    <w:rsid w:val="1BF768C4"/>
    <w:rsid w:val="2769725C"/>
    <w:rsid w:val="2B80162A"/>
    <w:rsid w:val="2FF8373B"/>
    <w:rsid w:val="30041818"/>
    <w:rsid w:val="49C070CE"/>
    <w:rsid w:val="643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qFormat/>
    <w:rPr>
      <w:sz w:val="18"/>
      <w:szCs w:val="18"/>
    </w:rPr>
  </w:style>
  <w:style w:type="character" w:customStyle="1" w:styleId="Char0">
    <w:name w:val="页眉 Char"/>
    <w:link w:val="a4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Char2"/>
    <w:unhideWhenUsed/>
    <w:qFormat/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7">
    <w:name w:val="annotation reference"/>
    <w:semiHidden/>
    <w:unhideWhenUsed/>
    <w:rsid w:val="00B12C0F"/>
    <w:rPr>
      <w:sz w:val="16"/>
      <w:szCs w:val="16"/>
    </w:rPr>
  </w:style>
  <w:style w:type="paragraph" w:styleId="a8">
    <w:name w:val="annotation subject"/>
    <w:basedOn w:val="a6"/>
    <w:next w:val="a6"/>
    <w:link w:val="Char3"/>
    <w:semiHidden/>
    <w:unhideWhenUsed/>
    <w:rsid w:val="00B12C0F"/>
    <w:rPr>
      <w:b/>
      <w:bCs/>
      <w:sz w:val="20"/>
      <w:szCs w:val="20"/>
    </w:rPr>
  </w:style>
  <w:style w:type="character" w:customStyle="1" w:styleId="Char2">
    <w:name w:val="批注文字 Char"/>
    <w:link w:val="a6"/>
    <w:rsid w:val="00B12C0F"/>
    <w:rPr>
      <w:sz w:val="24"/>
      <w:szCs w:val="24"/>
      <w:lang w:val="en-US" w:eastAsia="en-US"/>
    </w:rPr>
  </w:style>
  <w:style w:type="character" w:customStyle="1" w:styleId="Char3">
    <w:name w:val="批注主题 Char"/>
    <w:link w:val="a8"/>
    <w:semiHidden/>
    <w:rsid w:val="00B12C0F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qFormat="1"/>
    <w:lsdException w:name="footer" w:semiHidden="0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qFormat/>
    <w:rPr>
      <w:sz w:val="18"/>
      <w:szCs w:val="18"/>
    </w:rPr>
  </w:style>
  <w:style w:type="character" w:customStyle="1" w:styleId="Char0">
    <w:name w:val="页眉 Char"/>
    <w:link w:val="a4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text"/>
    <w:basedOn w:val="a"/>
    <w:link w:val="Char2"/>
    <w:unhideWhenUsed/>
    <w:qFormat/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7">
    <w:name w:val="annotation reference"/>
    <w:semiHidden/>
    <w:unhideWhenUsed/>
    <w:rsid w:val="00B12C0F"/>
    <w:rPr>
      <w:sz w:val="16"/>
      <w:szCs w:val="16"/>
    </w:rPr>
  </w:style>
  <w:style w:type="paragraph" w:styleId="a8">
    <w:name w:val="annotation subject"/>
    <w:basedOn w:val="a6"/>
    <w:next w:val="a6"/>
    <w:link w:val="Char3"/>
    <w:semiHidden/>
    <w:unhideWhenUsed/>
    <w:rsid w:val="00B12C0F"/>
    <w:rPr>
      <w:b/>
      <w:bCs/>
      <w:sz w:val="20"/>
      <w:szCs w:val="20"/>
    </w:rPr>
  </w:style>
  <w:style w:type="character" w:customStyle="1" w:styleId="Char2">
    <w:name w:val="批注文字 Char"/>
    <w:link w:val="a6"/>
    <w:rsid w:val="00B12C0F"/>
    <w:rPr>
      <w:sz w:val="24"/>
      <w:szCs w:val="24"/>
      <w:lang w:val="en-US" w:eastAsia="en-US"/>
    </w:rPr>
  </w:style>
  <w:style w:type="character" w:customStyle="1" w:styleId="Char3">
    <w:name w:val="批注主题 Char"/>
    <w:link w:val="a8"/>
    <w:semiHidden/>
    <w:rsid w:val="00B12C0F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liujihong2008@qq.con</cp:lastModifiedBy>
  <cp:revision>8</cp:revision>
  <dcterms:created xsi:type="dcterms:W3CDTF">2020-10-22T05:19:00Z</dcterms:created>
  <dcterms:modified xsi:type="dcterms:W3CDTF">2020-10-22T08:25:00Z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