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17A9" w14:textId="7E144403" w:rsidR="006E3234" w:rsidRPr="00C10A48" w:rsidRDefault="006E3234" w:rsidP="00F227A9">
      <w:pPr>
        <w:snapToGrid w:val="0"/>
        <w:spacing w:after="0" w:line="360" w:lineRule="auto"/>
        <w:jc w:val="both"/>
        <w:rPr>
          <w:rStyle w:val="fontstyle01"/>
          <w:rFonts w:ascii="Book Antiqua" w:hAnsi="Book Antiqua"/>
          <w:iCs/>
          <w:noProof/>
          <w:color w:val="auto"/>
          <w:sz w:val="24"/>
          <w:szCs w:val="24"/>
          <w:shd w:val="clear" w:color="auto" w:fill="FFFFFF"/>
          <w:lang w:val="en-US"/>
        </w:rPr>
      </w:pPr>
      <w:r w:rsidRPr="00C10A48">
        <w:rPr>
          <w:rStyle w:val="fontstyle01"/>
          <w:rFonts w:ascii="Book Antiqua" w:hAnsi="Book Antiqua"/>
          <w:b/>
          <w:noProof/>
          <w:color w:val="auto"/>
          <w:sz w:val="24"/>
          <w:szCs w:val="24"/>
          <w:lang w:val="en-US"/>
        </w:rPr>
        <w:t>Name of Journal</w:t>
      </w:r>
      <w:r w:rsidRPr="00C10A48">
        <w:rPr>
          <w:rStyle w:val="fontstyle01"/>
          <w:rFonts w:ascii="Book Antiqua" w:hAnsi="Book Antiqua"/>
          <w:noProof/>
          <w:color w:val="auto"/>
          <w:sz w:val="24"/>
          <w:szCs w:val="24"/>
          <w:lang w:val="en-US"/>
        </w:rPr>
        <w:t xml:space="preserve">: </w:t>
      </w:r>
      <w:r w:rsidRPr="00C10A48">
        <w:rPr>
          <w:rStyle w:val="Emphasis"/>
          <w:rFonts w:ascii="Book Antiqua" w:hAnsi="Book Antiqua"/>
          <w:noProof/>
          <w:sz w:val="24"/>
          <w:szCs w:val="24"/>
          <w:shd w:val="clear" w:color="auto" w:fill="FFFFFF"/>
          <w:lang w:val="en-US"/>
        </w:rPr>
        <w:t>World Journal of Gastro</w:t>
      </w:r>
      <w:r w:rsidR="00412179" w:rsidRPr="00C10A48">
        <w:rPr>
          <w:rStyle w:val="Emphasis"/>
          <w:rFonts w:ascii="Book Antiqua" w:hAnsi="Book Antiqua"/>
          <w:noProof/>
          <w:sz w:val="24"/>
          <w:szCs w:val="24"/>
          <w:shd w:val="clear" w:color="auto" w:fill="FFFFFF"/>
          <w:lang w:val="en-US"/>
        </w:rPr>
        <w:t>intestinal Endoscopy</w:t>
      </w:r>
    </w:p>
    <w:p w14:paraId="79004E24" w14:textId="062B8111" w:rsidR="00041085" w:rsidRPr="00C10A48" w:rsidRDefault="00041085" w:rsidP="00F227A9">
      <w:pPr>
        <w:snapToGrid w:val="0"/>
        <w:spacing w:after="0" w:line="360" w:lineRule="auto"/>
        <w:jc w:val="both"/>
        <w:rPr>
          <w:rStyle w:val="fontstyle31"/>
          <w:noProof/>
          <w:color w:val="auto"/>
          <w:lang w:val="en-US"/>
        </w:rPr>
      </w:pPr>
      <w:r w:rsidRPr="00C10A48">
        <w:rPr>
          <w:rStyle w:val="fontstyle01"/>
          <w:rFonts w:ascii="Book Antiqua" w:hAnsi="Book Antiqua"/>
          <w:b/>
          <w:noProof/>
          <w:color w:val="auto"/>
          <w:sz w:val="24"/>
          <w:szCs w:val="24"/>
          <w:lang w:val="en-US"/>
        </w:rPr>
        <w:t xml:space="preserve">Manuscript </w:t>
      </w:r>
      <w:r w:rsidR="00181D92" w:rsidRPr="00C10A48">
        <w:rPr>
          <w:rStyle w:val="fontstyle01"/>
          <w:rFonts w:ascii="Book Antiqua" w:hAnsi="Book Antiqua"/>
          <w:b/>
          <w:noProof/>
          <w:color w:val="auto"/>
          <w:sz w:val="24"/>
          <w:szCs w:val="24"/>
          <w:lang w:val="en-US"/>
        </w:rPr>
        <w:t>NO</w:t>
      </w:r>
      <w:r w:rsidRPr="00C10A48">
        <w:rPr>
          <w:rStyle w:val="fontstyle01"/>
          <w:rFonts w:ascii="Book Antiqua" w:hAnsi="Book Antiqua"/>
          <w:b/>
          <w:noProof/>
          <w:color w:val="auto"/>
          <w:sz w:val="24"/>
          <w:szCs w:val="24"/>
          <w:lang w:val="en-US"/>
        </w:rPr>
        <w:t>:</w:t>
      </w:r>
      <w:r w:rsidR="00F61431" w:rsidRPr="00C10A48">
        <w:rPr>
          <w:rStyle w:val="fontstyle01"/>
          <w:rFonts w:ascii="Book Antiqua" w:hAnsi="Book Antiqua"/>
          <w:b/>
          <w:noProof/>
          <w:color w:val="auto"/>
          <w:sz w:val="24"/>
          <w:szCs w:val="24"/>
          <w:lang w:val="en-US"/>
        </w:rPr>
        <w:t xml:space="preserve"> </w:t>
      </w:r>
      <w:r w:rsidR="00F61431" w:rsidRPr="00C10A48">
        <w:rPr>
          <w:rStyle w:val="fontstyle01"/>
          <w:rFonts w:ascii="Book Antiqua" w:hAnsi="Book Antiqua"/>
          <w:noProof/>
          <w:color w:val="auto"/>
          <w:sz w:val="24"/>
          <w:szCs w:val="24"/>
          <w:lang w:val="en-US"/>
        </w:rPr>
        <w:t>55729</w:t>
      </w:r>
    </w:p>
    <w:p w14:paraId="4FA85DA4" w14:textId="77777777" w:rsidR="00A758CE" w:rsidRPr="00C10A48" w:rsidRDefault="00A758CE" w:rsidP="00F227A9">
      <w:pPr>
        <w:snapToGrid w:val="0"/>
        <w:spacing w:after="0" w:line="360" w:lineRule="auto"/>
        <w:jc w:val="both"/>
        <w:rPr>
          <w:rStyle w:val="fontstyle31"/>
          <w:noProof/>
          <w:color w:val="auto"/>
          <w:lang w:val="en-US"/>
        </w:rPr>
      </w:pPr>
      <w:r w:rsidRPr="00C10A48">
        <w:rPr>
          <w:rStyle w:val="fontstyle01"/>
          <w:rFonts w:ascii="Book Antiqua" w:hAnsi="Book Antiqua"/>
          <w:b/>
          <w:noProof/>
          <w:color w:val="auto"/>
          <w:sz w:val="24"/>
          <w:szCs w:val="24"/>
          <w:lang w:val="en-US"/>
        </w:rPr>
        <w:t>Manuscript Type:</w:t>
      </w:r>
      <w:r w:rsidRPr="00C10A48">
        <w:rPr>
          <w:rStyle w:val="fontstyle01"/>
          <w:rFonts w:ascii="Book Antiqua" w:hAnsi="Book Antiqua"/>
          <w:noProof/>
          <w:color w:val="auto"/>
          <w:sz w:val="24"/>
          <w:szCs w:val="24"/>
          <w:lang w:val="en-US"/>
        </w:rPr>
        <w:t xml:space="preserve"> </w:t>
      </w:r>
      <w:r w:rsidRPr="00C10A48">
        <w:rPr>
          <w:rStyle w:val="fontstyle31"/>
          <w:caps/>
          <w:noProof/>
          <w:color w:val="auto"/>
          <w:lang w:val="en-US"/>
        </w:rPr>
        <w:t>Meta-analysis</w:t>
      </w:r>
    </w:p>
    <w:p w14:paraId="7B273685" w14:textId="77777777" w:rsidR="006E3234" w:rsidRPr="00C10A48" w:rsidRDefault="006E3234" w:rsidP="00F227A9">
      <w:pPr>
        <w:snapToGrid w:val="0"/>
        <w:spacing w:after="0" w:line="360" w:lineRule="auto"/>
        <w:jc w:val="both"/>
        <w:rPr>
          <w:rStyle w:val="fontstyle31"/>
          <w:noProof/>
          <w:color w:val="auto"/>
          <w:lang w:val="en-US"/>
        </w:rPr>
      </w:pPr>
    </w:p>
    <w:p w14:paraId="48B6749E" w14:textId="7FF6A648" w:rsidR="006E3234" w:rsidRPr="00C10A48" w:rsidRDefault="00412179" w:rsidP="00F227A9">
      <w:pPr>
        <w:snapToGrid w:val="0"/>
        <w:spacing w:after="0" w:line="360" w:lineRule="auto"/>
        <w:jc w:val="both"/>
        <w:rPr>
          <w:rFonts w:ascii="Book Antiqua" w:hAnsi="Book Antiqua"/>
          <w:b/>
          <w:noProof/>
          <w:sz w:val="24"/>
          <w:szCs w:val="24"/>
          <w:lang w:val="en-US"/>
        </w:rPr>
      </w:pPr>
      <w:bookmarkStart w:id="0" w:name="OLE_LINK28"/>
      <w:bookmarkStart w:id="1" w:name="OLE_LINK29"/>
      <w:r w:rsidRPr="00C10A48">
        <w:rPr>
          <w:rFonts w:ascii="Book Antiqua" w:hAnsi="Book Antiqua"/>
          <w:b/>
          <w:noProof/>
          <w:sz w:val="24"/>
          <w:szCs w:val="24"/>
          <w:lang w:val="en-US"/>
        </w:rPr>
        <w:t xml:space="preserve">Propofol </w:t>
      </w:r>
      <w:r w:rsidR="00B37A99" w:rsidRPr="00B37A99">
        <w:rPr>
          <w:rFonts w:ascii="Book Antiqua" w:hAnsi="Book Antiqua"/>
          <w:b/>
          <w:i/>
          <w:noProof/>
          <w:sz w:val="24"/>
          <w:szCs w:val="24"/>
          <w:lang w:val="en-US"/>
        </w:rPr>
        <w:t>vs</w:t>
      </w:r>
      <w:r w:rsidR="00B37A99">
        <w:rPr>
          <w:rFonts w:ascii="Book Antiqua" w:hAnsi="Book Antiqua"/>
          <w:b/>
          <w:noProof/>
          <w:sz w:val="24"/>
          <w:szCs w:val="24"/>
          <w:lang w:val="en-US"/>
        </w:rPr>
        <w:t xml:space="preserve"> </w:t>
      </w:r>
      <w:r w:rsidRPr="00C10A48">
        <w:rPr>
          <w:rFonts w:ascii="Book Antiqua" w:hAnsi="Book Antiqua"/>
          <w:b/>
          <w:noProof/>
          <w:sz w:val="24"/>
          <w:szCs w:val="24"/>
          <w:lang w:val="en-US"/>
        </w:rPr>
        <w:t>midazolam sedation for elective endoscopy in patients with cirrhosis</w:t>
      </w:r>
      <w:r w:rsidR="00F2263B" w:rsidRPr="00C10A48">
        <w:rPr>
          <w:rFonts w:ascii="Book Antiqua" w:hAnsi="Book Antiqua"/>
          <w:b/>
          <w:noProof/>
          <w:sz w:val="24"/>
          <w:szCs w:val="24"/>
          <w:lang w:val="en-US"/>
        </w:rPr>
        <w:t>:</w:t>
      </w:r>
      <w:r w:rsidRPr="00C10A48">
        <w:rPr>
          <w:rFonts w:ascii="Book Antiqua" w:hAnsi="Book Antiqua"/>
          <w:b/>
          <w:noProof/>
          <w:sz w:val="24"/>
          <w:szCs w:val="24"/>
          <w:lang w:val="en-US"/>
        </w:rPr>
        <w:t xml:space="preserve"> A systematic review and meta-analysis of randomized controlled trials</w:t>
      </w:r>
    </w:p>
    <w:bookmarkEnd w:id="0"/>
    <w:bookmarkEnd w:id="1"/>
    <w:p w14:paraId="1693624E" w14:textId="77777777" w:rsidR="00412179" w:rsidRPr="00C10A48" w:rsidRDefault="00412179" w:rsidP="00F227A9">
      <w:pPr>
        <w:snapToGrid w:val="0"/>
        <w:spacing w:after="0" w:line="360" w:lineRule="auto"/>
        <w:jc w:val="both"/>
        <w:rPr>
          <w:rFonts w:ascii="Book Antiqua" w:hAnsi="Book Antiqua"/>
          <w:noProof/>
          <w:sz w:val="24"/>
          <w:szCs w:val="24"/>
          <w:lang w:val="en-US"/>
        </w:rPr>
      </w:pPr>
    </w:p>
    <w:p w14:paraId="1AA4A612" w14:textId="712E5288" w:rsidR="006E3234" w:rsidRPr="00C10A48" w:rsidRDefault="00A758CE" w:rsidP="00F227A9">
      <w:pPr>
        <w:snapToGrid w:val="0"/>
        <w:spacing w:after="0" w:line="360" w:lineRule="auto"/>
        <w:jc w:val="both"/>
        <w:rPr>
          <w:rFonts w:ascii="Book Antiqua" w:hAnsi="Book Antiqua"/>
          <w:noProof/>
          <w:sz w:val="24"/>
          <w:szCs w:val="24"/>
          <w:lang w:val="en-US"/>
        </w:rPr>
      </w:pPr>
      <w:r w:rsidRPr="00C10A48">
        <w:rPr>
          <w:rStyle w:val="fontstyle31"/>
          <w:noProof/>
          <w:color w:val="auto"/>
          <w:lang w:val="en-US"/>
        </w:rPr>
        <w:t xml:space="preserve">Guacho JAL </w:t>
      </w:r>
      <w:r w:rsidRPr="00C10A48">
        <w:rPr>
          <w:rStyle w:val="fontstyle31"/>
          <w:i/>
          <w:noProof/>
          <w:color w:val="auto"/>
          <w:lang w:val="en-US"/>
        </w:rPr>
        <w:t>et al</w:t>
      </w:r>
      <w:r w:rsidRPr="00C10A48">
        <w:rPr>
          <w:rStyle w:val="fontstyle31"/>
          <w:noProof/>
          <w:color w:val="auto"/>
          <w:lang w:val="en-US"/>
        </w:rPr>
        <w:t>.</w:t>
      </w:r>
      <w:r w:rsidRPr="00C10A48">
        <w:rPr>
          <w:rFonts w:ascii="Book Antiqua" w:hAnsi="Book Antiqua"/>
          <w:noProof/>
          <w:sz w:val="24"/>
          <w:szCs w:val="24"/>
          <w:lang w:val="en-US"/>
        </w:rPr>
        <w:t xml:space="preserve"> </w:t>
      </w:r>
      <w:r w:rsidR="00412179" w:rsidRPr="00C10A48">
        <w:rPr>
          <w:rFonts w:ascii="Book Antiqua" w:hAnsi="Book Antiqua"/>
          <w:noProof/>
          <w:sz w:val="24"/>
          <w:szCs w:val="24"/>
          <w:lang w:val="en-US"/>
        </w:rPr>
        <w:t xml:space="preserve">Propofol </w:t>
      </w:r>
      <w:r w:rsidR="00B37A99" w:rsidRPr="0071191D">
        <w:rPr>
          <w:rFonts w:ascii="Book Antiqua" w:hAnsi="Book Antiqua"/>
          <w:i/>
          <w:noProof/>
          <w:sz w:val="24"/>
          <w:szCs w:val="24"/>
          <w:lang w:val="en-US"/>
        </w:rPr>
        <w:t>vs</w:t>
      </w:r>
      <w:r w:rsidR="00B37A99" w:rsidRPr="0071191D">
        <w:rPr>
          <w:rFonts w:ascii="Book Antiqua" w:hAnsi="Book Antiqua"/>
          <w:noProof/>
          <w:sz w:val="24"/>
          <w:szCs w:val="24"/>
          <w:lang w:val="en-US"/>
        </w:rPr>
        <w:t xml:space="preserve"> </w:t>
      </w:r>
      <w:r w:rsidR="00412179" w:rsidRPr="00C10A48">
        <w:rPr>
          <w:rFonts w:ascii="Book Antiqua" w:hAnsi="Book Antiqua"/>
          <w:noProof/>
          <w:sz w:val="24"/>
          <w:szCs w:val="24"/>
          <w:lang w:val="en-US"/>
        </w:rPr>
        <w:t>midazolam sedation for elective endoscopy in patients with cirrhosis</w:t>
      </w:r>
    </w:p>
    <w:p w14:paraId="3983BDC2" w14:textId="77777777" w:rsidR="006E3234" w:rsidRPr="00C10A48" w:rsidRDefault="006E3234" w:rsidP="00F227A9">
      <w:pPr>
        <w:snapToGrid w:val="0"/>
        <w:spacing w:after="0" w:line="360" w:lineRule="auto"/>
        <w:jc w:val="both"/>
        <w:rPr>
          <w:rFonts w:ascii="Book Antiqua" w:hAnsi="Book Antiqua"/>
          <w:noProof/>
          <w:sz w:val="24"/>
          <w:szCs w:val="24"/>
          <w:lang w:val="en-US"/>
        </w:rPr>
      </w:pPr>
    </w:p>
    <w:p w14:paraId="0E137E51" w14:textId="0D56A437" w:rsidR="006E3234" w:rsidRPr="00C10A48" w:rsidRDefault="00412179" w:rsidP="00F227A9">
      <w:pPr>
        <w:snapToGrid w:val="0"/>
        <w:spacing w:after="0" w:line="360" w:lineRule="auto"/>
        <w:jc w:val="both"/>
        <w:rPr>
          <w:rFonts w:ascii="Book Antiqua" w:hAnsi="Book Antiqua"/>
          <w:noProof/>
          <w:sz w:val="24"/>
          <w:szCs w:val="24"/>
        </w:rPr>
      </w:pPr>
      <w:r w:rsidRPr="00C10A48">
        <w:rPr>
          <w:rFonts w:ascii="Book Antiqua" w:hAnsi="Book Antiqua"/>
          <w:noProof/>
          <w:sz w:val="24"/>
          <w:szCs w:val="24"/>
        </w:rPr>
        <w:t xml:space="preserve">John Alexander Lata Guacho, Diogo Turiani Hourneaux de Moura, </w:t>
      </w:r>
      <w:r w:rsidR="00E20772" w:rsidRPr="00C10A48">
        <w:rPr>
          <w:rFonts w:ascii="Book Antiqua" w:hAnsi="Book Antiqua"/>
          <w:noProof/>
          <w:sz w:val="24"/>
          <w:szCs w:val="24"/>
        </w:rPr>
        <w:t xml:space="preserve">Igor Braga Ribeiro, </w:t>
      </w:r>
      <w:r w:rsidRPr="00C10A48">
        <w:rPr>
          <w:rFonts w:ascii="Book Antiqua" w:hAnsi="Book Antiqua"/>
          <w:noProof/>
          <w:sz w:val="24"/>
          <w:szCs w:val="24"/>
        </w:rPr>
        <w:t>Alberto Machado da Ponte Neto</w:t>
      </w:r>
      <w:r w:rsidR="00E20772" w:rsidRPr="00C10A48">
        <w:rPr>
          <w:rFonts w:ascii="Book Antiqua" w:hAnsi="Book Antiqua"/>
          <w:noProof/>
          <w:sz w:val="24"/>
          <w:szCs w:val="24"/>
        </w:rPr>
        <w:t>, Shailendra Singh</w:t>
      </w:r>
      <w:r w:rsidR="006E3234" w:rsidRPr="00C10A48">
        <w:rPr>
          <w:rFonts w:ascii="Book Antiqua" w:hAnsi="Book Antiqua"/>
          <w:noProof/>
          <w:sz w:val="24"/>
          <w:szCs w:val="24"/>
        </w:rPr>
        <w:t xml:space="preserve">, </w:t>
      </w:r>
      <w:r w:rsidRPr="00C10A48">
        <w:rPr>
          <w:rFonts w:ascii="Book Antiqua" w:hAnsi="Book Antiqua"/>
          <w:noProof/>
          <w:sz w:val="24"/>
          <w:szCs w:val="24"/>
        </w:rPr>
        <w:t xml:space="preserve">Marina </w:t>
      </w:r>
      <w:r w:rsidR="00967F47" w:rsidRPr="00C10A48">
        <w:rPr>
          <w:rFonts w:ascii="Book Antiqua" w:hAnsi="Book Antiqua"/>
          <w:noProof/>
          <w:sz w:val="24"/>
          <w:szCs w:val="24"/>
        </w:rPr>
        <w:t xml:space="preserve">Gammaro Baldavira </w:t>
      </w:r>
      <w:r w:rsidRPr="00C10A48">
        <w:rPr>
          <w:rFonts w:ascii="Book Antiqua" w:hAnsi="Book Antiqua"/>
          <w:noProof/>
          <w:sz w:val="24"/>
          <w:szCs w:val="24"/>
        </w:rPr>
        <w:t>Tucci</w:t>
      </w:r>
      <w:r w:rsidR="006E3234" w:rsidRPr="00C10A48">
        <w:rPr>
          <w:rFonts w:ascii="Book Antiqua" w:hAnsi="Book Antiqua"/>
          <w:noProof/>
          <w:sz w:val="24"/>
          <w:szCs w:val="24"/>
        </w:rPr>
        <w:t>, Wanderley Marques Bernardo, Eduardo Guimarães Hourneaux de Moura</w:t>
      </w:r>
    </w:p>
    <w:p w14:paraId="1CE19DCE" w14:textId="77777777" w:rsidR="006E3234" w:rsidRPr="00C10A48" w:rsidRDefault="006E3234" w:rsidP="00F227A9">
      <w:pPr>
        <w:snapToGrid w:val="0"/>
        <w:spacing w:after="0" w:line="360" w:lineRule="auto"/>
        <w:jc w:val="both"/>
        <w:rPr>
          <w:rFonts w:ascii="Book Antiqua" w:hAnsi="Book Antiqua"/>
          <w:b/>
          <w:noProof/>
          <w:sz w:val="24"/>
          <w:szCs w:val="24"/>
        </w:rPr>
      </w:pPr>
    </w:p>
    <w:p w14:paraId="7722868B" w14:textId="5877B249" w:rsidR="006E3234" w:rsidRPr="00C10A48" w:rsidRDefault="00823782" w:rsidP="00F227A9">
      <w:pPr>
        <w:snapToGrid w:val="0"/>
        <w:spacing w:after="0" w:line="360" w:lineRule="auto"/>
        <w:jc w:val="both"/>
        <w:rPr>
          <w:rFonts w:ascii="Book Antiqua" w:hAnsi="Book Antiqua"/>
          <w:noProof/>
          <w:sz w:val="24"/>
          <w:szCs w:val="24"/>
        </w:rPr>
      </w:pPr>
      <w:r w:rsidRPr="00C10A48">
        <w:rPr>
          <w:rFonts w:ascii="Book Antiqua" w:hAnsi="Book Antiqua"/>
          <w:b/>
          <w:noProof/>
          <w:sz w:val="24"/>
          <w:szCs w:val="24"/>
        </w:rPr>
        <w:t>John Alexander Lata Guacho, Diogo Turiani Hourneaux de Moura, Igor Braga Ribeiro, Alberto Machado da Ponte Neto, Marina Gammaro Baldavira Tucci, Wanderley Marques Bernardo, Eduardo Guimarães Hourneaux de Moura</w:t>
      </w:r>
      <w:r w:rsidRPr="00C10A48">
        <w:rPr>
          <w:rFonts w:ascii="Book Antiqua" w:hAnsi="Book Antiqua" w:cs="Arial"/>
          <w:b/>
          <w:noProof/>
          <w:sz w:val="24"/>
          <w:szCs w:val="24"/>
        </w:rPr>
        <w:t xml:space="preserve">, </w:t>
      </w:r>
      <w:r w:rsidR="004156FB" w:rsidRPr="00C10A48">
        <w:rPr>
          <w:rFonts w:ascii="Book Antiqua" w:hAnsi="Book Antiqua"/>
          <w:noProof/>
          <w:sz w:val="24"/>
          <w:szCs w:val="24"/>
        </w:rPr>
        <w:t>Gastrointestinal Endoscopy Unit,</w:t>
      </w:r>
      <w:r w:rsidR="0071169E" w:rsidRPr="00C10A48">
        <w:rPr>
          <w:rFonts w:ascii="Book Antiqua" w:hAnsi="Book Antiqua"/>
          <w:noProof/>
          <w:sz w:val="24"/>
          <w:szCs w:val="24"/>
        </w:rPr>
        <w:t xml:space="preserve"> </w:t>
      </w:r>
      <w:r w:rsidR="006E3234" w:rsidRPr="00C10A48">
        <w:rPr>
          <w:rFonts w:ascii="Book Antiqua" w:hAnsi="Book Antiqua" w:cs="Arial"/>
          <w:noProof/>
          <w:sz w:val="24"/>
          <w:szCs w:val="24"/>
        </w:rPr>
        <w:t>Hospital das Clínicas da Faculdade de Medicina da Universidade de São Paulo,</w:t>
      </w:r>
      <w:r w:rsidR="000050C2" w:rsidRPr="00C10A48">
        <w:rPr>
          <w:rFonts w:ascii="Book Antiqua" w:hAnsi="Book Antiqua"/>
          <w:noProof/>
          <w:sz w:val="24"/>
          <w:szCs w:val="24"/>
        </w:rPr>
        <w:t xml:space="preserve"> </w:t>
      </w:r>
      <w:r w:rsidR="00041085" w:rsidRPr="00C10A48">
        <w:rPr>
          <w:rFonts w:ascii="Book Antiqua" w:hAnsi="Book Antiqua"/>
          <w:noProof/>
          <w:sz w:val="24"/>
          <w:szCs w:val="24"/>
        </w:rPr>
        <w:t>São Paulo</w:t>
      </w:r>
      <w:r w:rsidR="000050C2" w:rsidRPr="00C10A48">
        <w:rPr>
          <w:rFonts w:ascii="Book Antiqua" w:hAnsi="Book Antiqua"/>
          <w:noProof/>
          <w:sz w:val="24"/>
          <w:szCs w:val="24"/>
        </w:rPr>
        <w:t xml:space="preserve"> 05403-010</w:t>
      </w:r>
      <w:r w:rsidR="00041085" w:rsidRPr="00C10A48">
        <w:rPr>
          <w:rFonts w:ascii="Book Antiqua" w:hAnsi="Book Antiqua"/>
          <w:noProof/>
          <w:sz w:val="24"/>
          <w:szCs w:val="24"/>
        </w:rPr>
        <w:t xml:space="preserve">, </w:t>
      </w:r>
      <w:r w:rsidR="001061E6" w:rsidRPr="001061E6">
        <w:rPr>
          <w:rFonts w:ascii="Book Antiqua" w:hAnsi="Book Antiqua"/>
          <w:noProof/>
          <w:sz w:val="24"/>
          <w:szCs w:val="24"/>
        </w:rPr>
        <w:t>Brazil</w:t>
      </w:r>
    </w:p>
    <w:p w14:paraId="6980A76C" w14:textId="77777777" w:rsidR="00823782" w:rsidRPr="00C10A48" w:rsidRDefault="00823782" w:rsidP="00F227A9">
      <w:pPr>
        <w:snapToGrid w:val="0"/>
        <w:spacing w:after="0" w:line="360" w:lineRule="auto"/>
        <w:jc w:val="both"/>
        <w:rPr>
          <w:rFonts w:ascii="Book Antiqua" w:hAnsi="Book Antiqua"/>
          <w:noProof/>
          <w:sz w:val="24"/>
          <w:szCs w:val="24"/>
          <w:lang w:val="en-US"/>
        </w:rPr>
      </w:pPr>
    </w:p>
    <w:p w14:paraId="4B391023" w14:textId="606D2AAB" w:rsidR="009A5926" w:rsidRPr="00C10A48" w:rsidRDefault="00823782" w:rsidP="00F227A9">
      <w:pPr>
        <w:snapToGrid w:val="0"/>
        <w:spacing w:after="0" w:line="360" w:lineRule="auto"/>
        <w:jc w:val="both"/>
        <w:rPr>
          <w:rFonts w:ascii="Book Antiqua" w:hAnsi="Book Antiqua"/>
          <w:b/>
          <w:noProof/>
          <w:sz w:val="24"/>
          <w:szCs w:val="24"/>
        </w:rPr>
      </w:pPr>
      <w:r w:rsidRPr="00C10A48">
        <w:rPr>
          <w:rFonts w:ascii="Book Antiqua" w:hAnsi="Book Antiqua"/>
          <w:b/>
          <w:noProof/>
          <w:sz w:val="24"/>
          <w:szCs w:val="24"/>
        </w:rPr>
        <w:t>Shailendra Singh,</w:t>
      </w:r>
      <w:r w:rsidR="009A5926" w:rsidRPr="00C10A48">
        <w:rPr>
          <w:rFonts w:ascii="Book Antiqua" w:hAnsi="Book Antiqua"/>
          <w:b/>
          <w:noProof/>
          <w:sz w:val="24"/>
          <w:szCs w:val="24"/>
        </w:rPr>
        <w:t xml:space="preserve"> </w:t>
      </w:r>
      <w:r w:rsidR="009A5926" w:rsidRPr="00C10A48">
        <w:rPr>
          <w:rFonts w:ascii="Book Antiqua" w:hAnsi="Book Antiqua"/>
          <w:noProof/>
          <w:sz w:val="24"/>
          <w:szCs w:val="24"/>
        </w:rPr>
        <w:t>Division of Gastroenterology, Department of Internal Medicine, West Virginia University, Charleston, WV</w:t>
      </w:r>
      <w:r w:rsidR="00876752" w:rsidRPr="00C10A48">
        <w:rPr>
          <w:rFonts w:ascii="Book Antiqua" w:hAnsi="Book Antiqua"/>
          <w:noProof/>
          <w:sz w:val="24"/>
          <w:szCs w:val="24"/>
        </w:rPr>
        <w:t xml:space="preserve"> 25304</w:t>
      </w:r>
      <w:r w:rsidR="009A5926" w:rsidRPr="00C10A48">
        <w:rPr>
          <w:rFonts w:ascii="Book Antiqua" w:hAnsi="Book Antiqua"/>
          <w:noProof/>
          <w:sz w:val="24"/>
          <w:szCs w:val="24"/>
        </w:rPr>
        <w:t>, United States</w:t>
      </w:r>
    </w:p>
    <w:p w14:paraId="2A55EC88" w14:textId="77777777" w:rsidR="006E3234" w:rsidRPr="00C10A48" w:rsidRDefault="006E3234" w:rsidP="00F227A9">
      <w:pPr>
        <w:snapToGrid w:val="0"/>
        <w:spacing w:after="0" w:line="360" w:lineRule="auto"/>
        <w:jc w:val="both"/>
        <w:rPr>
          <w:rFonts w:ascii="Book Antiqua" w:hAnsi="Book Antiqua"/>
          <w:noProof/>
          <w:sz w:val="24"/>
          <w:szCs w:val="24"/>
        </w:rPr>
      </w:pPr>
    </w:p>
    <w:p w14:paraId="3D5FF167" w14:textId="760979D3" w:rsidR="006E3234" w:rsidRPr="00C10A48" w:rsidRDefault="006E3234" w:rsidP="00F227A9">
      <w:pPr>
        <w:shd w:val="clear" w:color="auto" w:fill="FFFFFF"/>
        <w:snapToGrid w:val="0"/>
        <w:spacing w:after="0" w:line="360" w:lineRule="auto"/>
        <w:jc w:val="both"/>
        <w:rPr>
          <w:rStyle w:val="fontstyle31"/>
          <w:noProof/>
          <w:color w:val="auto"/>
          <w:lang w:val="en-US"/>
        </w:rPr>
      </w:pPr>
      <w:r w:rsidRPr="00C10A48">
        <w:rPr>
          <w:rFonts w:ascii="Book Antiqua" w:hAnsi="Book Antiqua" w:cs="Arial"/>
          <w:b/>
          <w:noProof/>
          <w:sz w:val="24"/>
          <w:szCs w:val="24"/>
          <w:lang w:val="en-US"/>
        </w:rPr>
        <w:t>Author contributions</w:t>
      </w:r>
      <w:r w:rsidRPr="00C10A48">
        <w:rPr>
          <w:rFonts w:ascii="Book Antiqua" w:hAnsi="Book Antiqua" w:cs="Arial"/>
          <w:noProof/>
          <w:sz w:val="24"/>
          <w:szCs w:val="24"/>
          <w:lang w:val="en-US"/>
        </w:rPr>
        <w:t xml:space="preserve">: </w:t>
      </w:r>
      <w:r w:rsidR="00C07842" w:rsidRPr="00C10A48">
        <w:rPr>
          <w:rStyle w:val="fontstyle31"/>
          <w:noProof/>
          <w:color w:val="auto"/>
          <w:lang w:val="en-US"/>
        </w:rPr>
        <w:t>Guacho</w:t>
      </w:r>
      <w:r w:rsidR="00092110" w:rsidRPr="00C10A48">
        <w:rPr>
          <w:rStyle w:val="fontstyle31"/>
          <w:noProof/>
          <w:color w:val="auto"/>
          <w:lang w:val="en-US"/>
        </w:rPr>
        <w:t xml:space="preserve"> </w:t>
      </w:r>
      <w:r w:rsidR="00C07842" w:rsidRPr="00C10A48">
        <w:rPr>
          <w:rStyle w:val="fontstyle31"/>
          <w:noProof/>
          <w:color w:val="auto"/>
          <w:lang w:val="en-US"/>
        </w:rPr>
        <w:t>JAL</w:t>
      </w:r>
      <w:r w:rsidR="00092110" w:rsidRPr="00C10A48">
        <w:rPr>
          <w:rStyle w:val="fontstyle31"/>
          <w:noProof/>
          <w:color w:val="auto"/>
          <w:lang w:val="en-US"/>
        </w:rPr>
        <w:t xml:space="preserve"> and de Moura DTH contribut</w:t>
      </w:r>
      <w:r w:rsidR="00A32E89" w:rsidRPr="00C10A48">
        <w:rPr>
          <w:rStyle w:val="fontstyle31"/>
          <w:noProof/>
          <w:color w:val="auto"/>
          <w:lang w:val="en-US"/>
        </w:rPr>
        <w:t xml:space="preserve">ed </w:t>
      </w:r>
      <w:r w:rsidR="00092110" w:rsidRPr="00C10A48">
        <w:rPr>
          <w:rStyle w:val="fontstyle31"/>
          <w:noProof/>
          <w:color w:val="auto"/>
          <w:lang w:val="en-US"/>
        </w:rPr>
        <w:t xml:space="preserve">to </w:t>
      </w:r>
      <w:r w:rsidRPr="00C10A48">
        <w:rPr>
          <w:rStyle w:val="fontstyle31"/>
          <w:noProof/>
          <w:color w:val="auto"/>
          <w:lang w:val="en-US"/>
        </w:rPr>
        <w:t>acquisition of data, analysis, interpretation of data, drafting the article, revising the article, final approval; Ribeiro</w:t>
      </w:r>
      <w:r w:rsidR="00A32E89" w:rsidRPr="00C10A48">
        <w:rPr>
          <w:rStyle w:val="fontstyle31"/>
          <w:noProof/>
          <w:color w:val="auto"/>
          <w:lang w:val="en-US"/>
        </w:rPr>
        <w:t xml:space="preserve"> </w:t>
      </w:r>
      <w:r w:rsidRPr="00C10A48">
        <w:rPr>
          <w:rStyle w:val="fontstyle31"/>
          <w:noProof/>
          <w:color w:val="auto"/>
          <w:lang w:val="en-US"/>
        </w:rPr>
        <w:t>IB</w:t>
      </w:r>
      <w:r w:rsidR="00A32E89" w:rsidRPr="00C10A48">
        <w:rPr>
          <w:rStyle w:val="fontstyle31"/>
          <w:noProof/>
          <w:color w:val="auto"/>
          <w:lang w:val="en-US"/>
        </w:rPr>
        <w:t xml:space="preserve">, </w:t>
      </w:r>
      <w:r w:rsidRPr="00C10A48">
        <w:rPr>
          <w:rStyle w:val="fontstyle31"/>
          <w:noProof/>
          <w:color w:val="auto"/>
          <w:lang w:val="en-US"/>
        </w:rPr>
        <w:t xml:space="preserve"> </w:t>
      </w:r>
      <w:r w:rsidR="00A32E89" w:rsidRPr="00C10A48">
        <w:rPr>
          <w:rStyle w:val="fontstyle31"/>
          <w:noProof/>
          <w:color w:val="auto"/>
          <w:lang w:val="en-US"/>
        </w:rPr>
        <w:t xml:space="preserve">da Ponte Neto AM and Singh S contributed to </w:t>
      </w:r>
      <w:r w:rsidRPr="00C10A48">
        <w:rPr>
          <w:rStyle w:val="fontstyle31"/>
          <w:noProof/>
          <w:color w:val="auto"/>
          <w:lang w:val="en-US"/>
        </w:rPr>
        <w:t xml:space="preserve">analysis and interpretation of data, revising the article; </w:t>
      </w:r>
      <w:r w:rsidR="00C07842" w:rsidRPr="00C10A48">
        <w:rPr>
          <w:rStyle w:val="fontstyle31"/>
          <w:noProof/>
          <w:color w:val="auto"/>
          <w:lang w:val="en-US"/>
        </w:rPr>
        <w:t>Tucci</w:t>
      </w:r>
      <w:r w:rsidR="00A32E89" w:rsidRPr="00C10A48">
        <w:rPr>
          <w:rStyle w:val="fontstyle31"/>
          <w:noProof/>
          <w:color w:val="auto"/>
          <w:lang w:val="en-US"/>
        </w:rPr>
        <w:t xml:space="preserve"> </w:t>
      </w:r>
      <w:r w:rsidRPr="00C10A48">
        <w:rPr>
          <w:rStyle w:val="fontstyle31"/>
          <w:noProof/>
          <w:color w:val="auto"/>
          <w:lang w:val="en-US"/>
        </w:rPr>
        <w:t>M</w:t>
      </w:r>
      <w:r w:rsidR="00A32E89" w:rsidRPr="00C10A48">
        <w:rPr>
          <w:rStyle w:val="fontstyle31"/>
          <w:noProof/>
          <w:color w:val="auto"/>
          <w:lang w:val="en-US"/>
        </w:rPr>
        <w:t xml:space="preserve"> contributed to </w:t>
      </w:r>
      <w:r w:rsidRPr="00C10A48">
        <w:rPr>
          <w:rStyle w:val="fontstyle31"/>
          <w:noProof/>
          <w:color w:val="auto"/>
          <w:lang w:val="en-US"/>
        </w:rPr>
        <w:t>acquisition of data drafting the article, final approval; Bernardo</w:t>
      </w:r>
      <w:r w:rsidR="00A32E89" w:rsidRPr="00C10A48">
        <w:rPr>
          <w:rStyle w:val="fontstyle31"/>
          <w:noProof/>
          <w:color w:val="auto"/>
          <w:lang w:val="en-US"/>
        </w:rPr>
        <w:t xml:space="preserve"> </w:t>
      </w:r>
      <w:r w:rsidRPr="00C10A48">
        <w:rPr>
          <w:rStyle w:val="fontstyle31"/>
          <w:noProof/>
          <w:color w:val="auto"/>
          <w:lang w:val="en-US"/>
        </w:rPr>
        <w:t>WM</w:t>
      </w:r>
      <w:r w:rsidR="00A32E89" w:rsidRPr="00C10A48">
        <w:rPr>
          <w:rStyle w:val="fontstyle31"/>
          <w:noProof/>
          <w:color w:val="auto"/>
          <w:lang w:val="en-US"/>
        </w:rPr>
        <w:t xml:space="preserve"> contributed to </w:t>
      </w:r>
      <w:r w:rsidRPr="00C10A48">
        <w:rPr>
          <w:rStyle w:val="fontstyle31"/>
          <w:noProof/>
          <w:color w:val="auto"/>
          <w:lang w:val="en-US"/>
        </w:rPr>
        <w:t xml:space="preserve">analysis and interpretation of data, drafting the article, final </w:t>
      </w:r>
      <w:r w:rsidRPr="00C10A48">
        <w:rPr>
          <w:rStyle w:val="fontstyle31"/>
          <w:noProof/>
          <w:color w:val="auto"/>
          <w:lang w:val="en-US"/>
        </w:rPr>
        <w:lastRenderedPageBreak/>
        <w:t>approval; de Moura</w:t>
      </w:r>
      <w:r w:rsidR="00A32E89" w:rsidRPr="00C10A48">
        <w:rPr>
          <w:rStyle w:val="fontstyle31"/>
          <w:noProof/>
          <w:color w:val="auto"/>
          <w:lang w:val="en-US"/>
        </w:rPr>
        <w:t xml:space="preserve"> </w:t>
      </w:r>
      <w:r w:rsidRPr="00C10A48">
        <w:rPr>
          <w:rStyle w:val="fontstyle31"/>
          <w:noProof/>
          <w:color w:val="auto"/>
          <w:lang w:val="en-US"/>
        </w:rPr>
        <w:t>EGH</w:t>
      </w:r>
      <w:r w:rsidR="00A32E89" w:rsidRPr="00C10A48">
        <w:rPr>
          <w:rStyle w:val="fontstyle31"/>
          <w:noProof/>
          <w:color w:val="auto"/>
          <w:lang w:val="en-US"/>
        </w:rPr>
        <w:t xml:space="preserve"> contributed to </w:t>
      </w:r>
      <w:r w:rsidRPr="00C10A48">
        <w:rPr>
          <w:rStyle w:val="fontstyle31"/>
          <w:noProof/>
          <w:color w:val="auto"/>
          <w:lang w:val="en-US"/>
        </w:rPr>
        <w:t>analysis and interpretation of data, drafting the article, revising the article, final approval.</w:t>
      </w:r>
    </w:p>
    <w:p w14:paraId="270AA522" w14:textId="4E6091B1" w:rsidR="006E3234" w:rsidRPr="00C10A48" w:rsidRDefault="006E3234" w:rsidP="00F227A9">
      <w:pPr>
        <w:snapToGrid w:val="0"/>
        <w:spacing w:after="0" w:line="360" w:lineRule="auto"/>
        <w:jc w:val="both"/>
        <w:rPr>
          <w:rFonts w:ascii="Book Antiqua" w:hAnsi="Book Antiqua"/>
          <w:b/>
          <w:noProof/>
          <w:sz w:val="24"/>
          <w:szCs w:val="24"/>
          <w:lang w:val="en-US"/>
        </w:rPr>
      </w:pPr>
    </w:p>
    <w:p w14:paraId="7B9CE281" w14:textId="41F3BA94" w:rsidR="006E3234" w:rsidRPr="00C10A48" w:rsidRDefault="006E3234" w:rsidP="00F227A9">
      <w:pPr>
        <w:snapToGrid w:val="0"/>
        <w:spacing w:after="0" w:line="360" w:lineRule="auto"/>
        <w:jc w:val="both"/>
        <w:rPr>
          <w:rFonts w:ascii="Book Antiqua" w:hAnsi="Book Antiqua"/>
          <w:b/>
          <w:noProof/>
          <w:sz w:val="24"/>
          <w:szCs w:val="24"/>
          <w:lang w:val="en-US"/>
        </w:rPr>
      </w:pPr>
      <w:r w:rsidRPr="00C10A48">
        <w:rPr>
          <w:rFonts w:ascii="Book Antiqua" w:hAnsi="Book Antiqua"/>
          <w:b/>
          <w:noProof/>
          <w:sz w:val="24"/>
          <w:szCs w:val="24"/>
          <w:lang w:val="en-US"/>
        </w:rPr>
        <w:t xml:space="preserve">Corresponding </w:t>
      </w:r>
      <w:r w:rsidR="00984B5F" w:rsidRPr="00C10A48">
        <w:rPr>
          <w:rFonts w:ascii="Book Antiqua" w:hAnsi="Book Antiqua"/>
          <w:b/>
          <w:noProof/>
          <w:sz w:val="24"/>
          <w:szCs w:val="24"/>
          <w:lang w:val="en-US"/>
        </w:rPr>
        <w:t>a</w:t>
      </w:r>
      <w:r w:rsidRPr="00C10A48">
        <w:rPr>
          <w:rFonts w:ascii="Book Antiqua" w:hAnsi="Book Antiqua"/>
          <w:b/>
          <w:noProof/>
          <w:sz w:val="24"/>
          <w:szCs w:val="24"/>
          <w:lang w:val="en-US"/>
        </w:rPr>
        <w:t>uthor:</w:t>
      </w:r>
      <w:r w:rsidR="00984B5F" w:rsidRPr="00C10A48">
        <w:rPr>
          <w:rFonts w:ascii="Book Antiqua" w:hAnsi="Book Antiqua" w:hint="eastAsia"/>
          <w:b/>
          <w:noProof/>
          <w:sz w:val="24"/>
          <w:szCs w:val="24"/>
          <w:lang w:val="en-US" w:eastAsia="zh-CN"/>
        </w:rPr>
        <w:t xml:space="preserve"> </w:t>
      </w:r>
      <w:bookmarkStart w:id="2" w:name="OLE_LINK30"/>
      <w:bookmarkStart w:id="3" w:name="OLE_LINK31"/>
      <w:r w:rsidR="00984B5F" w:rsidRPr="00C10A48">
        <w:rPr>
          <w:rFonts w:ascii="Book Antiqua" w:hAnsi="Book Antiqua"/>
          <w:b/>
          <w:noProof/>
          <w:sz w:val="24"/>
          <w:szCs w:val="24"/>
        </w:rPr>
        <w:t xml:space="preserve">Igor Braga Ribeiro, MD, </w:t>
      </w:r>
      <w:r w:rsidR="00543F67" w:rsidRPr="00C10A48">
        <w:rPr>
          <w:rFonts w:ascii="Book Antiqua" w:hAnsi="Book Antiqua"/>
          <w:b/>
          <w:noProof/>
          <w:sz w:val="24"/>
          <w:szCs w:val="24"/>
        </w:rPr>
        <w:t xml:space="preserve">Research Fellow, Surgeon, </w:t>
      </w:r>
      <w:r w:rsidR="00092110" w:rsidRPr="00C10A48">
        <w:rPr>
          <w:rFonts w:ascii="Book Antiqua" w:hAnsi="Book Antiqua"/>
          <w:noProof/>
          <w:sz w:val="24"/>
          <w:szCs w:val="24"/>
        </w:rPr>
        <w:t>Gastrointestinal Endoscopy Unit</w:t>
      </w:r>
      <w:bookmarkEnd w:id="2"/>
      <w:bookmarkEnd w:id="3"/>
      <w:r w:rsidR="00092110" w:rsidRPr="00C10A48">
        <w:rPr>
          <w:rFonts w:ascii="Book Antiqua" w:hAnsi="Book Antiqua"/>
          <w:noProof/>
          <w:sz w:val="24"/>
          <w:szCs w:val="24"/>
        </w:rPr>
        <w:t xml:space="preserve">, Hospital das Clínicas da Faculdade de Medicina da Universidade de São Paulo, </w:t>
      </w:r>
      <w:r w:rsidRPr="00C10A48">
        <w:rPr>
          <w:rFonts w:ascii="Book Antiqua" w:hAnsi="Book Antiqua"/>
          <w:noProof/>
          <w:sz w:val="24"/>
          <w:szCs w:val="24"/>
        </w:rPr>
        <w:t>Av. Dr Enéas de Carvalho Aguiar, 225, 6</w:t>
      </w:r>
      <w:r w:rsidRPr="00C10A48">
        <w:rPr>
          <w:rFonts w:ascii="Book Antiqua" w:hAnsi="Book Antiqua"/>
          <w:noProof/>
          <w:sz w:val="24"/>
          <w:szCs w:val="24"/>
          <w:vertAlign w:val="superscript"/>
        </w:rPr>
        <w:t>o</w:t>
      </w:r>
      <w:r w:rsidRPr="00C10A48">
        <w:rPr>
          <w:rFonts w:ascii="Book Antiqua" w:hAnsi="Book Antiqua"/>
          <w:noProof/>
          <w:sz w:val="24"/>
          <w:szCs w:val="24"/>
        </w:rPr>
        <w:t xml:space="preserve"> andar, bloco 3, Cerqueira Cesar</w:t>
      </w:r>
      <w:r w:rsidR="00092110" w:rsidRPr="00C10A48">
        <w:rPr>
          <w:rFonts w:ascii="Book Antiqua" w:hAnsi="Book Antiqua"/>
          <w:noProof/>
          <w:sz w:val="24"/>
          <w:szCs w:val="24"/>
        </w:rPr>
        <w:t xml:space="preserve">, </w:t>
      </w:r>
      <w:r w:rsidRPr="00C10A48">
        <w:rPr>
          <w:rFonts w:ascii="Book Antiqua" w:hAnsi="Book Antiqua"/>
          <w:noProof/>
          <w:sz w:val="24"/>
          <w:szCs w:val="24"/>
        </w:rPr>
        <w:t>São Paulo</w:t>
      </w:r>
      <w:r w:rsidR="00092110" w:rsidRPr="00C10A48">
        <w:rPr>
          <w:rFonts w:ascii="Book Antiqua" w:hAnsi="Book Antiqua"/>
          <w:noProof/>
          <w:sz w:val="24"/>
          <w:szCs w:val="24"/>
        </w:rPr>
        <w:t xml:space="preserve"> 05403-010</w:t>
      </w:r>
      <w:r w:rsidRPr="00C10A48">
        <w:rPr>
          <w:rFonts w:ascii="Book Antiqua" w:hAnsi="Book Antiqua"/>
          <w:noProof/>
          <w:sz w:val="24"/>
          <w:szCs w:val="24"/>
        </w:rPr>
        <w:t>,</w:t>
      </w:r>
      <w:r w:rsidR="001061E6">
        <w:rPr>
          <w:rFonts w:ascii="Book Antiqua" w:hAnsi="Book Antiqua"/>
          <w:noProof/>
          <w:sz w:val="24"/>
          <w:szCs w:val="24"/>
        </w:rPr>
        <w:t xml:space="preserve"> </w:t>
      </w:r>
      <w:r w:rsidR="00B35717" w:rsidRPr="00B35717">
        <w:rPr>
          <w:rFonts w:ascii="Book Antiqua" w:hAnsi="Book Antiqua"/>
          <w:noProof/>
          <w:sz w:val="24"/>
          <w:szCs w:val="24"/>
        </w:rPr>
        <w:t>Brazil</w:t>
      </w:r>
      <w:r w:rsidR="001C5D16" w:rsidRPr="00C10A48">
        <w:rPr>
          <w:rFonts w:ascii="Book Antiqua" w:hAnsi="Book Antiqua" w:hint="eastAsia"/>
          <w:noProof/>
          <w:sz w:val="24"/>
          <w:szCs w:val="24"/>
          <w:lang w:val="en-US" w:eastAsia="zh-CN"/>
        </w:rPr>
        <w:t>.</w:t>
      </w:r>
      <w:r w:rsidR="001C5D16" w:rsidRPr="00C10A48">
        <w:rPr>
          <w:rFonts w:ascii="Book Antiqua" w:hAnsi="Book Antiqua"/>
          <w:noProof/>
          <w:sz w:val="24"/>
          <w:szCs w:val="24"/>
          <w:lang w:val="en-US" w:eastAsia="zh-CN"/>
        </w:rPr>
        <w:t xml:space="preserve"> </w:t>
      </w:r>
      <w:r w:rsidRPr="00867B21">
        <w:rPr>
          <w:rFonts w:ascii="Book Antiqua" w:hAnsi="Book Antiqua"/>
          <w:noProof/>
          <w:sz w:val="24"/>
          <w:szCs w:val="24"/>
          <w:lang w:val="en-US"/>
        </w:rPr>
        <w:t>igorbraga1@gmail.com</w:t>
      </w:r>
    </w:p>
    <w:p w14:paraId="3F20AB9E" w14:textId="77777777" w:rsidR="006E3234" w:rsidRPr="00C10A48" w:rsidRDefault="006E3234" w:rsidP="00F227A9">
      <w:pPr>
        <w:snapToGrid w:val="0"/>
        <w:spacing w:after="0" w:line="360" w:lineRule="auto"/>
        <w:jc w:val="both"/>
        <w:rPr>
          <w:rFonts w:ascii="Book Antiqua" w:hAnsi="Book Antiqua"/>
          <w:b/>
          <w:noProof/>
          <w:sz w:val="24"/>
          <w:szCs w:val="24"/>
          <w:lang w:val="en-US"/>
        </w:rPr>
      </w:pPr>
    </w:p>
    <w:p w14:paraId="46A0299E" w14:textId="5CE8B5A1"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 xml:space="preserve">Received: </w:t>
      </w:r>
      <w:r w:rsidRPr="00C10A48">
        <w:rPr>
          <w:rFonts w:ascii="Book Antiqua" w:hAnsi="Book Antiqua" w:cs="Times New Roman"/>
          <w:sz w:val="24"/>
          <w:szCs w:val="24"/>
          <w:lang w:val="en-US" w:eastAsia="zh-CN"/>
        </w:rPr>
        <w:t>March 31, 2020</w:t>
      </w:r>
    </w:p>
    <w:p w14:paraId="09695B75" w14:textId="46844574"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 xml:space="preserve">Revised: </w:t>
      </w:r>
      <w:r w:rsidRPr="00C10A48">
        <w:rPr>
          <w:rFonts w:ascii="Book Antiqua" w:hAnsi="Book Antiqua" w:cs="Times New Roman"/>
          <w:sz w:val="24"/>
          <w:szCs w:val="24"/>
          <w:lang w:val="en-US" w:eastAsia="zh-CN"/>
        </w:rPr>
        <w:t>June 12, 2020</w:t>
      </w:r>
    </w:p>
    <w:p w14:paraId="29E64ECD" w14:textId="22AAC07B"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Accepted:</w:t>
      </w:r>
      <w:r w:rsidR="00A57EBD">
        <w:rPr>
          <w:rFonts w:ascii="Book Antiqua" w:hAnsi="Book Antiqua" w:cs="Times New Roman"/>
          <w:b/>
          <w:sz w:val="24"/>
          <w:szCs w:val="24"/>
          <w:lang w:val="en-US" w:eastAsia="zh-CN"/>
        </w:rPr>
        <w:t xml:space="preserve"> </w:t>
      </w:r>
      <w:r w:rsidR="00A57EBD" w:rsidRPr="00A57EBD">
        <w:rPr>
          <w:rFonts w:ascii="Book Antiqua" w:hAnsi="Book Antiqua" w:cs="Times New Roman"/>
          <w:sz w:val="24"/>
          <w:szCs w:val="24"/>
          <w:lang w:val="en-US" w:eastAsia="zh-CN"/>
        </w:rPr>
        <w:t>July 18, 2020</w:t>
      </w:r>
    </w:p>
    <w:p w14:paraId="0369EA44" w14:textId="77777777"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Published online:</w:t>
      </w:r>
    </w:p>
    <w:p w14:paraId="739FB226" w14:textId="77777777" w:rsidR="005067E8" w:rsidRPr="00C10A48" w:rsidRDefault="005067E8" w:rsidP="00F227A9">
      <w:pPr>
        <w:snapToGrid w:val="0"/>
        <w:spacing w:after="0" w:line="360" w:lineRule="auto"/>
        <w:jc w:val="both"/>
        <w:rPr>
          <w:rFonts w:ascii="Book Antiqua" w:hAnsi="Book Antiqua"/>
          <w:b/>
          <w:noProof/>
          <w:sz w:val="24"/>
          <w:szCs w:val="24"/>
          <w:lang w:val="en-US"/>
        </w:rPr>
      </w:pPr>
    </w:p>
    <w:p w14:paraId="45B66DCD" w14:textId="77777777" w:rsidR="00805459" w:rsidRPr="00C10A48" w:rsidRDefault="00805459" w:rsidP="00F227A9">
      <w:pPr>
        <w:snapToGrid w:val="0"/>
        <w:spacing w:after="0" w:line="360" w:lineRule="auto"/>
        <w:rPr>
          <w:rFonts w:ascii="Book Antiqua" w:hAnsi="Book Antiqua"/>
          <w:b/>
          <w:noProof/>
          <w:sz w:val="24"/>
          <w:szCs w:val="24"/>
          <w:lang w:val="en-US"/>
        </w:rPr>
      </w:pPr>
      <w:r w:rsidRPr="00C10A48">
        <w:rPr>
          <w:rFonts w:ascii="Book Antiqua" w:hAnsi="Book Antiqua"/>
          <w:b/>
          <w:noProof/>
          <w:sz w:val="24"/>
          <w:szCs w:val="24"/>
          <w:lang w:val="en-US"/>
        </w:rPr>
        <w:br w:type="page"/>
      </w:r>
    </w:p>
    <w:p w14:paraId="032BDAE9" w14:textId="2CFD4861" w:rsidR="006E3234" w:rsidRPr="00C10A48" w:rsidRDefault="006E3234" w:rsidP="00F227A9">
      <w:pPr>
        <w:snapToGrid w:val="0"/>
        <w:spacing w:after="0" w:line="360" w:lineRule="auto"/>
        <w:jc w:val="both"/>
        <w:rPr>
          <w:rFonts w:ascii="Book Antiqua" w:hAnsi="Book Antiqua"/>
          <w:b/>
          <w:noProof/>
          <w:sz w:val="24"/>
          <w:szCs w:val="24"/>
          <w:lang w:val="en-US"/>
        </w:rPr>
      </w:pPr>
      <w:r w:rsidRPr="00C10A48">
        <w:rPr>
          <w:rFonts w:ascii="Book Antiqua" w:hAnsi="Book Antiqua"/>
          <w:b/>
          <w:noProof/>
          <w:sz w:val="24"/>
          <w:szCs w:val="24"/>
          <w:lang w:val="en-US"/>
        </w:rPr>
        <w:lastRenderedPageBreak/>
        <w:t>A</w:t>
      </w:r>
      <w:r w:rsidR="00805459" w:rsidRPr="00C10A48">
        <w:rPr>
          <w:rFonts w:ascii="Book Antiqua" w:hAnsi="Book Antiqua"/>
          <w:b/>
          <w:noProof/>
          <w:sz w:val="24"/>
          <w:szCs w:val="24"/>
          <w:lang w:val="en-US"/>
        </w:rPr>
        <w:t>bstract</w:t>
      </w:r>
    </w:p>
    <w:p w14:paraId="08A72166" w14:textId="77777777" w:rsidR="00805459" w:rsidRPr="00C10A48" w:rsidRDefault="006E3234" w:rsidP="00F227A9">
      <w:pPr>
        <w:snapToGrid w:val="0"/>
        <w:spacing w:after="0" w:line="360" w:lineRule="auto"/>
        <w:jc w:val="both"/>
        <w:rPr>
          <w:rFonts w:ascii="Book Antiqua" w:hAnsi="Book Antiqua"/>
          <w:noProof/>
          <w:sz w:val="24"/>
          <w:szCs w:val="24"/>
          <w:lang w:val="en-US"/>
        </w:rPr>
      </w:pPr>
      <w:r w:rsidRPr="00C10A48">
        <w:rPr>
          <w:rFonts w:ascii="Book Antiqua" w:hAnsi="Book Antiqua"/>
          <w:noProof/>
          <w:sz w:val="24"/>
          <w:szCs w:val="24"/>
          <w:lang w:val="en-US"/>
        </w:rPr>
        <w:t>BACKGROUND</w:t>
      </w:r>
    </w:p>
    <w:p w14:paraId="6B0CF3C6" w14:textId="3B9193E0" w:rsidR="00805459" w:rsidRPr="00C10A48" w:rsidRDefault="00805459" w:rsidP="00F227A9">
      <w:pPr>
        <w:snapToGrid w:val="0"/>
        <w:spacing w:after="0" w:line="360" w:lineRule="auto"/>
        <w:jc w:val="both"/>
        <w:rPr>
          <w:rFonts w:ascii="Book Antiqua" w:hAnsi="Book Antiqua"/>
          <w:b/>
          <w:noProof/>
          <w:sz w:val="24"/>
          <w:szCs w:val="24"/>
          <w:lang w:val="en-US"/>
        </w:rPr>
      </w:pPr>
      <w:r w:rsidRPr="00C10A48">
        <w:rPr>
          <w:rFonts w:ascii="Book Antiqua" w:hAnsi="Book Antiqua"/>
          <w:noProof/>
          <w:sz w:val="24"/>
          <w:szCs w:val="24"/>
          <w:lang w:val="en-US"/>
        </w:rPr>
        <w:t xml:space="preserve">Patients with cirrhosis frequently require sedation for elective endoscopic procedures. Several sedation protocols are available, </w:t>
      </w:r>
      <w:bookmarkStart w:id="4" w:name="_Hlk32333581"/>
      <w:r w:rsidRPr="00C10A48">
        <w:rPr>
          <w:rFonts w:ascii="Book Antiqua" w:hAnsi="Book Antiqua"/>
          <w:noProof/>
          <w:sz w:val="24"/>
          <w:szCs w:val="24"/>
          <w:lang w:val="en-US"/>
        </w:rPr>
        <w:t>but choosing an appropriate sedative in patients with cirrhosis is challenging</w:t>
      </w:r>
      <w:bookmarkEnd w:id="4"/>
      <w:r w:rsidRPr="00C10A48">
        <w:rPr>
          <w:rFonts w:ascii="Book Antiqua" w:hAnsi="Book Antiqua"/>
          <w:noProof/>
          <w:sz w:val="24"/>
          <w:szCs w:val="24"/>
          <w:lang w:val="en-US"/>
        </w:rPr>
        <w:t>.</w:t>
      </w:r>
    </w:p>
    <w:p w14:paraId="15CD15F1" w14:textId="77777777" w:rsidR="00805459" w:rsidRPr="00C10A48" w:rsidRDefault="00805459" w:rsidP="00F227A9">
      <w:pPr>
        <w:snapToGrid w:val="0"/>
        <w:spacing w:after="0" w:line="360" w:lineRule="auto"/>
        <w:jc w:val="both"/>
        <w:rPr>
          <w:rFonts w:ascii="Book Antiqua" w:hAnsi="Book Antiqua"/>
          <w:b/>
          <w:noProof/>
          <w:sz w:val="24"/>
          <w:szCs w:val="24"/>
          <w:lang w:val="en-US"/>
        </w:rPr>
      </w:pPr>
    </w:p>
    <w:p w14:paraId="18B7D3FD" w14:textId="0398BE67" w:rsidR="000A0724" w:rsidRPr="00F227A9" w:rsidRDefault="00DA499C" w:rsidP="00F227A9">
      <w:pPr>
        <w:snapToGrid w:val="0"/>
        <w:spacing w:after="0" w:line="360" w:lineRule="auto"/>
        <w:jc w:val="both"/>
        <w:rPr>
          <w:rFonts w:ascii="Book Antiqua" w:hAnsi="Book Antiqua"/>
          <w:noProof/>
          <w:sz w:val="24"/>
          <w:szCs w:val="24"/>
          <w:lang w:val="en-US"/>
        </w:rPr>
      </w:pPr>
      <w:r w:rsidRPr="00F227A9">
        <w:rPr>
          <w:rFonts w:ascii="Book Antiqua" w:hAnsi="Book Antiqua"/>
          <w:noProof/>
          <w:sz w:val="24"/>
          <w:szCs w:val="24"/>
          <w:lang w:val="en-US"/>
        </w:rPr>
        <w:t>AIM</w:t>
      </w:r>
    </w:p>
    <w:p w14:paraId="75FC2DFC" w14:textId="77CF6B94" w:rsidR="000A0724" w:rsidRPr="00C10A48" w:rsidRDefault="000A0724" w:rsidP="00F227A9">
      <w:pPr>
        <w:snapToGrid w:val="0"/>
        <w:spacing w:after="0" w:line="360" w:lineRule="auto"/>
        <w:jc w:val="both"/>
        <w:rPr>
          <w:rFonts w:ascii="Book Antiqua" w:hAnsi="Book Antiqua"/>
          <w:b/>
          <w:noProof/>
          <w:sz w:val="24"/>
          <w:szCs w:val="24"/>
          <w:lang w:val="en-US"/>
        </w:rPr>
      </w:pPr>
      <w:r w:rsidRPr="00C10A48">
        <w:rPr>
          <w:rFonts w:ascii="Book Antiqua" w:hAnsi="Book Antiqua"/>
          <w:caps/>
          <w:noProof/>
          <w:sz w:val="24"/>
          <w:szCs w:val="24"/>
          <w:lang w:val="en-US"/>
        </w:rPr>
        <w:t>t</w:t>
      </w:r>
      <w:r w:rsidRPr="00C10A48">
        <w:rPr>
          <w:rFonts w:ascii="Book Antiqua" w:hAnsi="Book Antiqua"/>
          <w:noProof/>
          <w:sz w:val="24"/>
          <w:szCs w:val="24"/>
          <w:lang w:val="en-US"/>
        </w:rPr>
        <w:t>o conduct a systematic review and meta-analysis to compare propofol and midazolam for sedation in patients with cirrhosis during elective endoscopic procedures in an attempt to understand the best approach.</w:t>
      </w:r>
      <w:r w:rsidRPr="00C10A48">
        <w:rPr>
          <w:rFonts w:ascii="Book Antiqua" w:hAnsi="Book Antiqua"/>
          <w:b/>
          <w:noProof/>
          <w:sz w:val="24"/>
          <w:szCs w:val="24"/>
          <w:lang w:val="en-US"/>
        </w:rPr>
        <w:t xml:space="preserve"> </w:t>
      </w:r>
    </w:p>
    <w:p w14:paraId="66ED58B4" w14:textId="77777777" w:rsidR="000A0724" w:rsidRPr="00C10A48" w:rsidRDefault="000A0724" w:rsidP="00F227A9">
      <w:pPr>
        <w:snapToGrid w:val="0"/>
        <w:spacing w:after="0" w:line="360" w:lineRule="auto"/>
        <w:jc w:val="both"/>
        <w:rPr>
          <w:rFonts w:ascii="Book Antiqua" w:hAnsi="Book Antiqua"/>
          <w:b/>
          <w:noProof/>
          <w:sz w:val="24"/>
          <w:szCs w:val="24"/>
          <w:lang w:val="en-US"/>
        </w:rPr>
      </w:pPr>
    </w:p>
    <w:p w14:paraId="671BED0B" w14:textId="5F3CE935" w:rsidR="005930A0" w:rsidRPr="00F227A9" w:rsidRDefault="00823782" w:rsidP="00F227A9">
      <w:pPr>
        <w:snapToGrid w:val="0"/>
        <w:spacing w:after="0" w:line="360" w:lineRule="auto"/>
        <w:jc w:val="both"/>
        <w:rPr>
          <w:rFonts w:ascii="Book Antiqua" w:hAnsi="Book Antiqua"/>
          <w:noProof/>
          <w:sz w:val="24"/>
          <w:szCs w:val="24"/>
          <w:lang w:val="en-US"/>
        </w:rPr>
      </w:pPr>
      <w:r w:rsidRPr="00F227A9">
        <w:rPr>
          <w:rFonts w:ascii="Book Antiqua" w:hAnsi="Book Antiqua"/>
          <w:noProof/>
          <w:sz w:val="24"/>
          <w:szCs w:val="24"/>
          <w:lang w:val="en-US"/>
        </w:rPr>
        <w:t>METHODS</w:t>
      </w:r>
    </w:p>
    <w:p w14:paraId="5CB2BC85" w14:textId="756556F1" w:rsidR="006E3234" w:rsidRPr="00C10A48" w:rsidRDefault="00C17E11" w:rsidP="00F227A9">
      <w:pPr>
        <w:snapToGrid w:val="0"/>
        <w:spacing w:after="0" w:line="360" w:lineRule="auto"/>
        <w:jc w:val="both"/>
        <w:rPr>
          <w:rFonts w:ascii="Book Antiqua" w:hAnsi="Book Antiqua"/>
          <w:noProof/>
          <w:sz w:val="24"/>
          <w:szCs w:val="24"/>
          <w:lang w:val="en-US"/>
        </w:rPr>
      </w:pPr>
      <w:bookmarkStart w:id="5" w:name="_Hlk42797819"/>
      <w:r w:rsidRPr="00C10A48">
        <w:rPr>
          <w:rFonts w:ascii="Book Antiqua" w:hAnsi="Book Antiqua"/>
          <w:noProof/>
          <w:sz w:val="24"/>
          <w:szCs w:val="24"/>
          <w:lang w:val="en-US"/>
        </w:rPr>
        <w:t>This systematic review and meta-analysis was conducted using the PRISMA guideline</w:t>
      </w:r>
      <w:r w:rsidR="00EE672D" w:rsidRPr="00C10A48">
        <w:rPr>
          <w:rFonts w:ascii="Book Antiqua" w:hAnsi="Book Antiqua"/>
          <w:noProof/>
          <w:sz w:val="24"/>
          <w:szCs w:val="24"/>
          <w:lang w:val="en-US"/>
        </w:rPr>
        <w:t>s</w:t>
      </w:r>
      <w:r w:rsidRPr="00C10A48">
        <w:rPr>
          <w:rFonts w:ascii="Book Antiqua" w:hAnsi="Book Antiqua"/>
          <w:noProof/>
          <w:sz w:val="24"/>
          <w:szCs w:val="24"/>
          <w:lang w:val="en-US"/>
        </w:rPr>
        <w:t xml:space="preserve">. </w:t>
      </w:r>
      <w:r w:rsidR="000A0724" w:rsidRPr="00C10A48">
        <w:rPr>
          <w:rFonts w:ascii="Book Antiqua" w:hAnsi="Book Antiqua"/>
          <w:noProof/>
          <w:sz w:val="24"/>
          <w:szCs w:val="24"/>
          <w:lang w:val="en-US"/>
        </w:rPr>
        <w:t>Electronic searches were performed using</w:t>
      </w:r>
      <w:r w:rsidRPr="00C10A48">
        <w:rPr>
          <w:rFonts w:ascii="Book Antiqua" w:hAnsi="Book Antiqua"/>
          <w:noProof/>
          <w:sz w:val="24"/>
          <w:szCs w:val="24"/>
          <w:lang w:val="en-US"/>
        </w:rPr>
        <w:t xml:space="preserve"> MEDLINE</w:t>
      </w:r>
      <w:r w:rsidR="000A0724" w:rsidRPr="00C10A48">
        <w:rPr>
          <w:rFonts w:ascii="Book Antiqua" w:hAnsi="Book Antiqua"/>
          <w:noProof/>
          <w:sz w:val="24"/>
          <w:szCs w:val="24"/>
          <w:lang w:val="en-US"/>
        </w:rPr>
        <w:t xml:space="preserve">, </w:t>
      </w:r>
      <w:r w:rsidRPr="00C10A48">
        <w:rPr>
          <w:rFonts w:ascii="Book Antiqua" w:hAnsi="Book Antiqua"/>
          <w:noProof/>
          <w:sz w:val="24"/>
          <w:szCs w:val="24"/>
          <w:lang w:val="en-US"/>
        </w:rPr>
        <w:t>EMBASE</w:t>
      </w:r>
      <w:r w:rsidR="000A0724" w:rsidRPr="00C10A48">
        <w:rPr>
          <w:rFonts w:ascii="Book Antiqua" w:hAnsi="Book Antiqua"/>
          <w:noProof/>
          <w:sz w:val="24"/>
          <w:szCs w:val="24"/>
          <w:lang w:val="en-US"/>
        </w:rPr>
        <w:t>,</w:t>
      </w:r>
      <w:r w:rsidRPr="00C10A48">
        <w:rPr>
          <w:rFonts w:ascii="Book Antiqua" w:hAnsi="Book Antiqua"/>
          <w:noProof/>
          <w:sz w:val="24"/>
          <w:szCs w:val="24"/>
          <w:lang w:val="en-US"/>
        </w:rPr>
        <w:t xml:space="preserve"> Central Cochrane, LILACS databases. Only randomized control trials (RCTs) were included. The outcomes </w:t>
      </w:r>
      <w:r w:rsidR="00611A3D" w:rsidRPr="00C10A48">
        <w:rPr>
          <w:rFonts w:ascii="Book Antiqua" w:hAnsi="Book Antiqua"/>
          <w:noProof/>
          <w:sz w:val="24"/>
          <w:szCs w:val="24"/>
          <w:lang w:val="en-US"/>
        </w:rPr>
        <w:t xml:space="preserve">studied were </w:t>
      </w:r>
      <w:r w:rsidRPr="00C10A48">
        <w:rPr>
          <w:rFonts w:ascii="Book Antiqua" w:hAnsi="Book Antiqua"/>
          <w:noProof/>
          <w:sz w:val="24"/>
          <w:szCs w:val="24"/>
          <w:lang w:val="en-US"/>
        </w:rPr>
        <w:t>procedure time, recovery time, discharge time, and adverse events</w:t>
      </w:r>
      <w:r w:rsidR="00EE672D" w:rsidRPr="00C10A48">
        <w:rPr>
          <w:rFonts w:ascii="Book Antiqua" w:hAnsi="Book Antiqua"/>
          <w:noProof/>
          <w:sz w:val="24"/>
          <w:szCs w:val="24"/>
          <w:lang w:val="en-US"/>
        </w:rPr>
        <w:t xml:space="preserve"> (</w:t>
      </w:r>
      <w:r w:rsidRPr="00C10A48">
        <w:rPr>
          <w:rFonts w:ascii="Book Antiqua" w:hAnsi="Book Antiqua"/>
          <w:noProof/>
          <w:sz w:val="24"/>
          <w:szCs w:val="24"/>
          <w:lang w:val="en-US"/>
        </w:rPr>
        <w:t>bradycardia, hypotension, and hypoxemia</w:t>
      </w:r>
      <w:r w:rsidR="00EE672D" w:rsidRPr="00C10A48">
        <w:rPr>
          <w:rFonts w:ascii="Book Antiqua" w:hAnsi="Book Antiqua"/>
          <w:noProof/>
          <w:sz w:val="24"/>
          <w:szCs w:val="24"/>
          <w:lang w:val="en-US"/>
        </w:rPr>
        <w:t>)</w:t>
      </w:r>
      <w:r w:rsidRPr="00C10A48">
        <w:rPr>
          <w:rFonts w:ascii="Book Antiqua" w:hAnsi="Book Antiqua"/>
          <w:noProof/>
          <w:sz w:val="24"/>
          <w:szCs w:val="24"/>
          <w:lang w:val="en-US"/>
        </w:rPr>
        <w:t>. The risk of bias assessment was performed using the Revised Cochrane Risk-of-Bias tool for randomized trials (RoB-2). Quality of evidence was evaluated by GRADEpro. The meta-analysis was performed using Review Manager.</w:t>
      </w:r>
    </w:p>
    <w:bookmarkEnd w:id="5"/>
    <w:p w14:paraId="7B31C475" w14:textId="77777777" w:rsidR="00A211BD" w:rsidRPr="00C10A48" w:rsidRDefault="00A211BD" w:rsidP="00F227A9">
      <w:pPr>
        <w:snapToGrid w:val="0"/>
        <w:spacing w:after="0" w:line="360" w:lineRule="auto"/>
        <w:jc w:val="both"/>
        <w:rPr>
          <w:rFonts w:ascii="Book Antiqua" w:hAnsi="Book Antiqua"/>
          <w:noProof/>
          <w:sz w:val="24"/>
          <w:szCs w:val="24"/>
          <w:lang w:val="en-US"/>
        </w:rPr>
      </w:pPr>
    </w:p>
    <w:p w14:paraId="25C2D2C8" w14:textId="6466B1C3" w:rsidR="00A211BD" w:rsidRPr="00F227A9" w:rsidRDefault="00823782" w:rsidP="00F227A9">
      <w:pPr>
        <w:snapToGrid w:val="0"/>
        <w:spacing w:after="0" w:line="360" w:lineRule="auto"/>
        <w:ind w:right="97"/>
        <w:jc w:val="both"/>
        <w:rPr>
          <w:rFonts w:ascii="Book Antiqua" w:hAnsi="Book Antiqua"/>
          <w:noProof/>
          <w:sz w:val="24"/>
          <w:szCs w:val="24"/>
          <w:lang w:val="en-US"/>
        </w:rPr>
      </w:pPr>
      <w:r w:rsidRPr="00F227A9">
        <w:rPr>
          <w:rFonts w:ascii="Book Antiqua" w:hAnsi="Book Antiqua"/>
          <w:noProof/>
          <w:sz w:val="24"/>
          <w:szCs w:val="24"/>
          <w:lang w:val="en-US"/>
        </w:rPr>
        <w:t>RESULTS</w:t>
      </w:r>
    </w:p>
    <w:p w14:paraId="29B13DCA" w14:textId="578D8A57" w:rsidR="00863A69" w:rsidRPr="00C10A48" w:rsidRDefault="00C17E11" w:rsidP="00F227A9">
      <w:pPr>
        <w:snapToGrid w:val="0"/>
        <w:spacing w:after="0" w:line="360" w:lineRule="auto"/>
        <w:ind w:right="97"/>
        <w:jc w:val="both"/>
        <w:rPr>
          <w:rFonts w:ascii="Book Antiqua" w:hAnsi="Book Antiqua"/>
          <w:noProof/>
          <w:sz w:val="24"/>
          <w:szCs w:val="24"/>
          <w:lang w:val="en-US"/>
        </w:rPr>
      </w:pPr>
      <w:r w:rsidRPr="00C10A48">
        <w:rPr>
          <w:rFonts w:ascii="Book Antiqua" w:hAnsi="Book Antiqua"/>
          <w:noProof/>
          <w:sz w:val="24"/>
          <w:szCs w:val="24"/>
          <w:lang w:val="en-US"/>
        </w:rPr>
        <w:t xml:space="preserve">The search yielded 3,576 records. Out of these, 8 RCTs with a total of 596 patients (302 in the propofol group and 294 in the midazolam group) were included for the final analysis. </w:t>
      </w:r>
      <w:bookmarkStart w:id="6" w:name="_Hlk42797900"/>
      <w:r w:rsidRPr="00C10A48">
        <w:rPr>
          <w:rFonts w:ascii="Book Antiqua" w:hAnsi="Book Antiqua"/>
          <w:noProof/>
          <w:sz w:val="24"/>
          <w:szCs w:val="24"/>
          <w:lang w:val="en-US"/>
        </w:rPr>
        <w:t>Procedure time was similar between midazolam and propofol groups (MD: 0.25</w:t>
      </w:r>
      <w:r w:rsidR="00D053DC" w:rsidRPr="00C10A48">
        <w:rPr>
          <w:rFonts w:ascii="Book Antiqua" w:hAnsi="Book Antiqua"/>
          <w:noProof/>
          <w:sz w:val="24"/>
          <w:szCs w:val="24"/>
          <w:lang w:val="en-US"/>
        </w:rPr>
        <w:t xml:space="preserve">, </w:t>
      </w:r>
      <w:r w:rsidRPr="00C10A48">
        <w:rPr>
          <w:rFonts w:ascii="Book Antiqua" w:hAnsi="Book Antiqua"/>
          <w:noProof/>
          <w:sz w:val="24"/>
          <w:szCs w:val="24"/>
          <w:lang w:val="en-US"/>
        </w:rPr>
        <w:t>9</w:t>
      </w:r>
      <w:r w:rsidR="00D053DC" w:rsidRPr="00C10A48">
        <w:rPr>
          <w:rFonts w:ascii="Book Antiqua" w:hAnsi="Book Antiqua"/>
          <w:noProof/>
          <w:sz w:val="24"/>
          <w:szCs w:val="24"/>
          <w:lang w:val="en-US"/>
        </w:rPr>
        <w:t>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 xml:space="preserve">: </w:t>
      </w:r>
      <w:r w:rsidR="00D053DC" w:rsidRPr="00C10A48">
        <w:rPr>
          <w:rFonts w:ascii="Book Antiqua" w:hAnsi="Book Antiqua"/>
          <w:noProof/>
          <w:sz w:val="24"/>
          <w:szCs w:val="24"/>
          <w:lang w:val="en-US"/>
        </w:rPr>
        <w:t>-0.64 to 1.13</w:t>
      </w:r>
      <w:r w:rsidRPr="00C10A48">
        <w:rPr>
          <w:rFonts w:ascii="Book Antiqua" w:hAnsi="Book Antiqua"/>
          <w:noProof/>
          <w:sz w:val="24"/>
          <w:szCs w:val="24"/>
          <w:lang w:val="en-US"/>
        </w:rPr>
        <w:t xml:space="preserve">, </w:t>
      </w:r>
      <w:r w:rsidR="00D053DC" w:rsidRPr="00C10A48">
        <w:rPr>
          <w:rFonts w:ascii="Book Antiqua" w:hAnsi="Book Antiqua"/>
          <w:i/>
          <w:caps/>
          <w:noProof/>
          <w:sz w:val="24"/>
          <w:szCs w:val="24"/>
          <w:lang w:val="en-US"/>
        </w:rPr>
        <w:t>p</w:t>
      </w:r>
      <w:r w:rsidR="00D053DC" w:rsidRPr="00C10A48">
        <w:rPr>
          <w:rFonts w:ascii="Book Antiqua" w:hAnsi="Book Antiqua"/>
          <w:noProof/>
          <w:sz w:val="24"/>
          <w:szCs w:val="24"/>
          <w:lang w:val="en-US"/>
        </w:rPr>
        <w:t xml:space="preserve"> </w:t>
      </w:r>
      <w:r w:rsidR="00AD5090" w:rsidRPr="00C10A48">
        <w:rPr>
          <w:rFonts w:ascii="Book Antiqua" w:hAnsi="Book Antiqua"/>
          <w:noProof/>
          <w:sz w:val="24"/>
          <w:szCs w:val="24"/>
          <w:lang w:val="en-US"/>
        </w:rPr>
        <w:t>=</w:t>
      </w:r>
      <w:r w:rsidR="007945BC" w:rsidRPr="00C10A48">
        <w:rPr>
          <w:rFonts w:ascii="Book Antiqua" w:hAnsi="Book Antiqua"/>
          <w:noProof/>
          <w:sz w:val="24"/>
          <w:szCs w:val="24"/>
          <w:lang w:val="en-US"/>
        </w:rPr>
        <w:t xml:space="preserve"> </w:t>
      </w:r>
      <w:r w:rsidRPr="00C10A48">
        <w:rPr>
          <w:rFonts w:ascii="Book Antiqua" w:hAnsi="Book Antiqua"/>
          <w:noProof/>
          <w:sz w:val="24"/>
          <w:szCs w:val="24"/>
          <w:lang w:val="en-US"/>
        </w:rPr>
        <w:t>0.59). Recovery time (MD: -8.19</w:t>
      </w:r>
      <w:r w:rsidR="003C79DC"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-10.59 </w:t>
      </w:r>
      <w:r w:rsidR="003C79DC" w:rsidRPr="00C10A48">
        <w:rPr>
          <w:rFonts w:ascii="Book Antiqua" w:hAnsi="Book Antiqua"/>
          <w:noProof/>
          <w:sz w:val="24"/>
          <w:szCs w:val="24"/>
          <w:lang w:val="en-US"/>
        </w:rPr>
        <w:t>to -5.79</w:t>
      </w:r>
      <w:r w:rsidRPr="00C10A48">
        <w:rPr>
          <w:rFonts w:ascii="Book Antiqua" w:hAnsi="Book Antiqua"/>
          <w:noProof/>
          <w:sz w:val="24"/>
          <w:szCs w:val="24"/>
          <w:lang w:val="en-US"/>
        </w:rPr>
        <w:t xml:space="preserve">, </w:t>
      </w:r>
      <w:r w:rsidRPr="00C10A48">
        <w:rPr>
          <w:rFonts w:ascii="Book Antiqua" w:hAnsi="Book Antiqua"/>
          <w:i/>
          <w:caps/>
          <w:noProof/>
          <w:sz w:val="24"/>
          <w:szCs w:val="24"/>
          <w:lang w:val="en-US"/>
        </w:rPr>
        <w:t>p</w:t>
      </w:r>
      <w:r w:rsidR="00D053DC" w:rsidRPr="00C10A48">
        <w:rPr>
          <w:rFonts w:ascii="Book Antiqua" w:hAnsi="Book Antiqua"/>
          <w:noProof/>
          <w:sz w:val="24"/>
          <w:szCs w:val="24"/>
          <w:lang w:val="en-US"/>
        </w:rPr>
        <w:t xml:space="preserve"> </w:t>
      </w:r>
      <w:r w:rsidRPr="00C10A48">
        <w:rPr>
          <w:rFonts w:ascii="Book Antiqua" w:hAnsi="Book Antiqua"/>
          <w:noProof/>
          <w:sz w:val="24"/>
          <w:szCs w:val="24"/>
          <w:lang w:val="en-US"/>
        </w:rPr>
        <w:t>&lt;</w:t>
      </w:r>
      <w:r w:rsidR="00D053DC" w:rsidRPr="00C10A48">
        <w:rPr>
          <w:rFonts w:ascii="Book Antiqua" w:hAnsi="Book Antiqua"/>
          <w:noProof/>
          <w:sz w:val="24"/>
          <w:szCs w:val="24"/>
          <w:lang w:val="en-US"/>
        </w:rPr>
        <w:t xml:space="preserve"> </w:t>
      </w:r>
      <w:r w:rsidRPr="00C10A48">
        <w:rPr>
          <w:rFonts w:ascii="Book Antiqua" w:hAnsi="Book Antiqua"/>
          <w:noProof/>
          <w:sz w:val="24"/>
          <w:szCs w:val="24"/>
          <w:lang w:val="en-US"/>
        </w:rPr>
        <w:t xml:space="preserve">0.00001). </w:t>
      </w:r>
      <w:r w:rsidR="00EE672D" w:rsidRPr="00C10A48">
        <w:rPr>
          <w:rFonts w:ascii="Book Antiqua" w:hAnsi="Book Antiqua"/>
          <w:noProof/>
          <w:sz w:val="24"/>
          <w:szCs w:val="24"/>
          <w:lang w:val="en-US"/>
        </w:rPr>
        <w:t xml:space="preserve">and </w:t>
      </w:r>
      <w:r w:rsidRPr="00C10A48">
        <w:rPr>
          <w:rFonts w:ascii="Book Antiqua" w:hAnsi="Book Antiqua"/>
          <w:noProof/>
          <w:sz w:val="24"/>
          <w:szCs w:val="24"/>
          <w:lang w:val="en-US"/>
        </w:rPr>
        <w:t xml:space="preserve"> discharge time w</w:t>
      </w:r>
      <w:r w:rsidR="00EE672D" w:rsidRPr="00C10A48">
        <w:rPr>
          <w:rFonts w:ascii="Book Antiqua" w:hAnsi="Book Antiqua"/>
          <w:noProof/>
          <w:sz w:val="24"/>
          <w:szCs w:val="24"/>
          <w:lang w:val="en-US"/>
        </w:rPr>
        <w:t>ere</w:t>
      </w:r>
      <w:r w:rsidRPr="00C10A48">
        <w:rPr>
          <w:rFonts w:ascii="Book Antiqua" w:hAnsi="Book Antiqua"/>
          <w:noProof/>
          <w:sz w:val="24"/>
          <w:szCs w:val="24"/>
          <w:lang w:val="en-US"/>
        </w:rPr>
        <w:t xml:space="preserve"> significantly less in the p</w:t>
      </w:r>
      <w:r w:rsidR="007D5732" w:rsidRPr="00C10A48">
        <w:rPr>
          <w:rFonts w:ascii="Book Antiqua" w:hAnsi="Book Antiqua"/>
          <w:noProof/>
          <w:sz w:val="24"/>
          <w:szCs w:val="24"/>
          <w:lang w:val="en-US"/>
        </w:rPr>
        <w:t>ropofol group (MD: -12.98,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-18.46 </w:t>
      </w:r>
      <w:r w:rsidR="007D5732" w:rsidRPr="00C10A48">
        <w:rPr>
          <w:rFonts w:ascii="Book Antiqua" w:hAnsi="Book Antiqua"/>
          <w:noProof/>
          <w:sz w:val="24"/>
          <w:szCs w:val="24"/>
          <w:lang w:val="en-US"/>
        </w:rPr>
        <w:t xml:space="preserve">to </w:t>
      </w:r>
      <w:r w:rsidR="006A48AF" w:rsidRPr="00C10A48">
        <w:rPr>
          <w:rFonts w:ascii="Book Antiqua" w:hAnsi="Book Antiqua"/>
          <w:noProof/>
          <w:sz w:val="24"/>
          <w:szCs w:val="24"/>
          <w:lang w:val="en-US"/>
        </w:rPr>
        <w:t>-6.50</w:t>
      </w:r>
      <w:r w:rsidRPr="00C10A48">
        <w:rPr>
          <w:rFonts w:ascii="Book Antiqua" w:hAnsi="Book Antiqua"/>
          <w:noProof/>
          <w:sz w:val="24"/>
          <w:szCs w:val="24"/>
          <w:lang w:val="en-US"/>
        </w:rPr>
        <w:t xml:space="preserve">, </w:t>
      </w:r>
      <w:r w:rsidR="007D5732" w:rsidRPr="00C10A48">
        <w:rPr>
          <w:rFonts w:ascii="Book Antiqua" w:hAnsi="Book Antiqua"/>
          <w:i/>
          <w:caps/>
          <w:noProof/>
          <w:sz w:val="24"/>
          <w:szCs w:val="24"/>
          <w:lang w:val="en-US"/>
        </w:rPr>
        <w:t>p</w:t>
      </w:r>
      <w:r w:rsidR="007D5732" w:rsidRPr="00C10A48">
        <w:rPr>
          <w:rFonts w:ascii="Book Antiqua" w:hAnsi="Book Antiqua"/>
          <w:noProof/>
          <w:sz w:val="24"/>
          <w:szCs w:val="24"/>
          <w:lang w:val="en-US"/>
        </w:rPr>
        <w:t xml:space="preserve"> &lt; </w:t>
      </w:r>
      <w:r w:rsidRPr="00C10A48">
        <w:rPr>
          <w:rFonts w:ascii="Book Antiqua" w:hAnsi="Book Antiqua"/>
          <w:noProof/>
          <w:sz w:val="24"/>
          <w:szCs w:val="24"/>
          <w:lang w:val="en-US"/>
        </w:rPr>
        <w:t>0.00001). Adverse events were similar in both groups (RD: 0.02</w:t>
      </w:r>
      <w:r w:rsidR="006605FF"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w:t>
      </w:r>
      <w:r w:rsidR="006605FF" w:rsidRPr="00C10A48">
        <w:rPr>
          <w:rFonts w:ascii="Book Antiqua" w:hAnsi="Book Antiqua"/>
          <w:noProof/>
          <w:sz w:val="24"/>
          <w:szCs w:val="24"/>
          <w:lang w:val="en-US"/>
        </w:rPr>
        <w:t>-0.04</w:t>
      </w:r>
      <w:r w:rsidRPr="00C10A48">
        <w:rPr>
          <w:rFonts w:ascii="Book Antiqua" w:hAnsi="Book Antiqua"/>
          <w:noProof/>
          <w:sz w:val="24"/>
          <w:szCs w:val="24"/>
          <w:lang w:val="en-US"/>
        </w:rPr>
        <w:t xml:space="preserve">, </w:t>
      </w:r>
      <w:r w:rsidR="006605FF" w:rsidRPr="00C10A48">
        <w:rPr>
          <w:rFonts w:ascii="Book Antiqua" w:hAnsi="Book Antiqua"/>
          <w:i/>
          <w:caps/>
          <w:noProof/>
          <w:sz w:val="24"/>
          <w:szCs w:val="24"/>
          <w:lang w:val="en-US"/>
        </w:rPr>
        <w:t>p</w:t>
      </w:r>
      <w:r w:rsidR="006605FF"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6605FF" w:rsidRPr="00C10A48">
        <w:rPr>
          <w:rFonts w:ascii="Book Antiqua" w:hAnsi="Book Antiqua"/>
          <w:noProof/>
          <w:sz w:val="24"/>
          <w:szCs w:val="24"/>
          <w:lang w:val="en-US"/>
        </w:rPr>
        <w:t xml:space="preserve"> </w:t>
      </w:r>
      <w:r w:rsidRPr="00C10A48">
        <w:rPr>
          <w:rFonts w:ascii="Book Antiqua" w:hAnsi="Book Antiqua"/>
          <w:noProof/>
          <w:sz w:val="24"/>
          <w:szCs w:val="24"/>
          <w:lang w:val="en-US"/>
        </w:rPr>
        <w:t>0.58). Moreover, no significant difference was found for bradycardia (RD: 0.03</w:t>
      </w:r>
      <w:r w:rsidR="007576C9"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-0.01 </w:t>
      </w:r>
      <w:r w:rsidR="007576C9" w:rsidRPr="00C10A48">
        <w:rPr>
          <w:rFonts w:ascii="Book Antiqua" w:hAnsi="Book Antiqua"/>
          <w:noProof/>
          <w:sz w:val="24"/>
          <w:szCs w:val="24"/>
          <w:lang w:val="en-US"/>
        </w:rPr>
        <w:t>to 0.07</w:t>
      </w:r>
      <w:r w:rsidRPr="00C10A48">
        <w:rPr>
          <w:rFonts w:ascii="Book Antiqua" w:hAnsi="Book Antiqua"/>
          <w:noProof/>
          <w:sz w:val="24"/>
          <w:szCs w:val="24"/>
          <w:lang w:val="en-US"/>
        </w:rPr>
        <w:t xml:space="preserve">, </w:t>
      </w:r>
      <w:r w:rsidR="007576C9" w:rsidRPr="00C10A48">
        <w:rPr>
          <w:rFonts w:ascii="Book Antiqua" w:hAnsi="Book Antiqua"/>
          <w:i/>
          <w:caps/>
          <w:noProof/>
          <w:sz w:val="24"/>
          <w:szCs w:val="24"/>
          <w:lang w:val="en-US"/>
        </w:rPr>
        <w:t>p</w:t>
      </w:r>
      <w:r w:rsidR="007576C9"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7576C9" w:rsidRPr="00C10A48">
        <w:rPr>
          <w:rFonts w:ascii="Book Antiqua" w:hAnsi="Book Antiqua"/>
          <w:noProof/>
          <w:sz w:val="24"/>
          <w:szCs w:val="24"/>
          <w:lang w:val="en-US"/>
        </w:rPr>
        <w:t xml:space="preserve"> </w:t>
      </w:r>
      <w:r w:rsidR="00964AB1" w:rsidRPr="00C10A48">
        <w:rPr>
          <w:rFonts w:ascii="Book Antiqua" w:hAnsi="Book Antiqua"/>
          <w:noProof/>
          <w:sz w:val="24"/>
          <w:szCs w:val="24"/>
          <w:lang w:val="en-US"/>
        </w:rPr>
        <w:t>0.16), hypotension (RD: 0.03,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-0.01 </w:t>
      </w:r>
      <w:r w:rsidR="00964AB1" w:rsidRPr="00C10A48">
        <w:rPr>
          <w:rFonts w:ascii="Book Antiqua" w:hAnsi="Book Antiqua"/>
          <w:noProof/>
          <w:sz w:val="24"/>
          <w:szCs w:val="24"/>
          <w:lang w:val="en-US"/>
        </w:rPr>
        <w:t xml:space="preserve">to </w:t>
      </w:r>
      <w:r w:rsidR="008956A9" w:rsidRPr="00C10A48">
        <w:rPr>
          <w:rFonts w:ascii="Book Antiqua" w:hAnsi="Book Antiqua"/>
          <w:noProof/>
          <w:sz w:val="24"/>
          <w:szCs w:val="24"/>
          <w:lang w:val="en-US"/>
        </w:rPr>
        <w:t>0.07</w:t>
      </w:r>
      <w:r w:rsidRPr="00C10A48">
        <w:rPr>
          <w:rFonts w:ascii="Book Antiqua" w:hAnsi="Book Antiqua"/>
          <w:noProof/>
          <w:sz w:val="24"/>
          <w:szCs w:val="24"/>
          <w:lang w:val="en-US"/>
        </w:rPr>
        <w:t>,</w:t>
      </w:r>
      <w:r w:rsidR="008956A9" w:rsidRPr="00C10A48">
        <w:rPr>
          <w:rFonts w:ascii="Book Antiqua" w:hAnsi="Book Antiqua"/>
          <w:noProof/>
          <w:sz w:val="24"/>
          <w:szCs w:val="24"/>
          <w:lang w:val="en-US"/>
        </w:rPr>
        <w:t xml:space="preserve"> </w:t>
      </w:r>
      <w:r w:rsidR="00964AB1" w:rsidRPr="00C10A48">
        <w:rPr>
          <w:rFonts w:ascii="Book Antiqua" w:hAnsi="Book Antiqua"/>
          <w:i/>
          <w:caps/>
          <w:noProof/>
          <w:sz w:val="24"/>
          <w:szCs w:val="24"/>
          <w:lang w:val="en-US"/>
        </w:rPr>
        <w:lastRenderedPageBreak/>
        <w:t>p</w:t>
      </w:r>
      <w:r w:rsidR="00964AB1"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964AB1" w:rsidRPr="00C10A48">
        <w:rPr>
          <w:rFonts w:ascii="Book Antiqua" w:hAnsi="Book Antiqua"/>
          <w:noProof/>
          <w:sz w:val="24"/>
          <w:szCs w:val="24"/>
          <w:lang w:val="en-US"/>
        </w:rPr>
        <w:t xml:space="preserve"> </w:t>
      </w:r>
      <w:r w:rsidRPr="00C10A48">
        <w:rPr>
          <w:rFonts w:ascii="Book Antiqua" w:hAnsi="Book Antiqua"/>
          <w:noProof/>
          <w:sz w:val="24"/>
          <w:szCs w:val="24"/>
          <w:lang w:val="en-US"/>
        </w:rPr>
        <w:t>0.17), and hypoxemia (RD: 0.00</w:t>
      </w:r>
      <w:r w:rsidR="002977AD"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-0.04 </w:t>
      </w:r>
      <w:r w:rsidR="002977AD" w:rsidRPr="00C10A48">
        <w:rPr>
          <w:rFonts w:ascii="Book Antiqua" w:hAnsi="Book Antiqua"/>
          <w:noProof/>
          <w:sz w:val="24"/>
          <w:szCs w:val="24"/>
          <w:lang w:val="en-US"/>
        </w:rPr>
        <w:t>to 0.04</w:t>
      </w:r>
      <w:r w:rsidRPr="00C10A48">
        <w:rPr>
          <w:rFonts w:ascii="Book Antiqua" w:hAnsi="Book Antiqua"/>
          <w:noProof/>
          <w:sz w:val="24"/>
          <w:szCs w:val="24"/>
          <w:lang w:val="en-US"/>
        </w:rPr>
        <w:t xml:space="preserve">, </w:t>
      </w:r>
      <w:r w:rsidR="002977AD" w:rsidRPr="00C10A48">
        <w:rPr>
          <w:rFonts w:ascii="Book Antiqua" w:hAnsi="Book Antiqua"/>
          <w:i/>
          <w:caps/>
          <w:noProof/>
          <w:sz w:val="24"/>
          <w:szCs w:val="24"/>
          <w:lang w:val="en-US"/>
        </w:rPr>
        <w:t>p</w:t>
      </w:r>
      <w:r w:rsidR="002977AD"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2977AD" w:rsidRPr="00C10A48">
        <w:rPr>
          <w:rFonts w:ascii="Book Antiqua" w:hAnsi="Book Antiqua"/>
          <w:noProof/>
          <w:sz w:val="24"/>
          <w:szCs w:val="24"/>
          <w:lang w:val="en-US"/>
        </w:rPr>
        <w:t xml:space="preserve"> </w:t>
      </w:r>
      <w:r w:rsidRPr="00C10A48">
        <w:rPr>
          <w:rFonts w:ascii="Book Antiqua" w:hAnsi="Book Antiqua"/>
          <w:noProof/>
          <w:sz w:val="24"/>
          <w:szCs w:val="24"/>
          <w:lang w:val="en-US"/>
        </w:rPr>
        <w:t xml:space="preserve">0.93). </w:t>
      </w:r>
      <w:bookmarkEnd w:id="6"/>
      <w:r w:rsidRPr="00C10A48">
        <w:rPr>
          <w:rFonts w:ascii="Book Antiqua" w:hAnsi="Book Antiqua"/>
          <w:noProof/>
          <w:sz w:val="24"/>
          <w:szCs w:val="24"/>
          <w:lang w:val="en-US"/>
        </w:rPr>
        <w:t>Five studies had low risk of bias, two demonstrated some concerns, and one presented high risk. The quality of the evidence was very low for procedure time, recovery time, and adverse events; while low for discharge time.</w:t>
      </w:r>
    </w:p>
    <w:p w14:paraId="2170FA30" w14:textId="77777777" w:rsidR="000A0724" w:rsidRPr="00C10A48" w:rsidRDefault="000A0724" w:rsidP="00F227A9">
      <w:pPr>
        <w:snapToGrid w:val="0"/>
        <w:spacing w:after="0" w:line="360" w:lineRule="auto"/>
        <w:ind w:right="97"/>
        <w:jc w:val="both"/>
        <w:rPr>
          <w:rFonts w:ascii="Book Antiqua" w:hAnsi="Book Antiqua"/>
          <w:noProof/>
          <w:sz w:val="24"/>
          <w:szCs w:val="24"/>
          <w:lang w:val="en-US"/>
        </w:rPr>
      </w:pPr>
    </w:p>
    <w:p w14:paraId="73C3F43D" w14:textId="0BC50E26" w:rsidR="00F85F24" w:rsidRPr="00F227A9" w:rsidRDefault="00823782" w:rsidP="00F227A9">
      <w:pPr>
        <w:snapToGrid w:val="0"/>
        <w:spacing w:after="0" w:line="360" w:lineRule="auto"/>
        <w:ind w:right="97"/>
        <w:jc w:val="both"/>
        <w:rPr>
          <w:rFonts w:ascii="Book Antiqua" w:hAnsi="Book Antiqua"/>
          <w:noProof/>
          <w:sz w:val="24"/>
          <w:szCs w:val="24"/>
          <w:lang w:val="en-US"/>
        </w:rPr>
      </w:pPr>
      <w:r w:rsidRPr="00F227A9">
        <w:rPr>
          <w:rFonts w:ascii="Book Antiqua" w:hAnsi="Book Antiqua"/>
          <w:noProof/>
          <w:sz w:val="24"/>
          <w:szCs w:val="24"/>
          <w:lang w:val="en-US"/>
        </w:rPr>
        <w:t>CONCLUSION</w:t>
      </w:r>
    </w:p>
    <w:p w14:paraId="73C2F189" w14:textId="335F8D7E" w:rsidR="006E3234" w:rsidRPr="00C10A48" w:rsidRDefault="000A0724" w:rsidP="00F227A9">
      <w:pPr>
        <w:snapToGrid w:val="0"/>
        <w:spacing w:after="0" w:line="360" w:lineRule="auto"/>
        <w:ind w:right="97"/>
        <w:jc w:val="both"/>
        <w:rPr>
          <w:rFonts w:ascii="Book Antiqua" w:hAnsi="Book Antiqua"/>
          <w:b/>
          <w:noProof/>
          <w:sz w:val="24"/>
          <w:szCs w:val="24"/>
          <w:lang w:val="en-US"/>
        </w:rPr>
      </w:pPr>
      <w:bookmarkStart w:id="7" w:name="_Hlk42798004"/>
      <w:r w:rsidRPr="00C10A48">
        <w:rPr>
          <w:rFonts w:ascii="Book Antiqua" w:hAnsi="Book Antiqua"/>
          <w:noProof/>
          <w:sz w:val="24"/>
          <w:szCs w:val="24"/>
          <w:lang w:val="en-US"/>
        </w:rPr>
        <w:t xml:space="preserve">This systematic review and meta-analysis based on RCTs show </w:t>
      </w:r>
      <w:bookmarkStart w:id="8" w:name="_Hlk32333770"/>
      <w:r w:rsidRPr="00C10A48">
        <w:rPr>
          <w:rFonts w:ascii="Book Antiqua" w:hAnsi="Book Antiqua"/>
          <w:noProof/>
          <w:sz w:val="24"/>
          <w:szCs w:val="24"/>
          <w:lang w:val="en-US"/>
        </w:rPr>
        <w:t>that propofol has shorter recovery and patient discharge time as compared to midazolam</w:t>
      </w:r>
      <w:r w:rsidR="00721E44" w:rsidRPr="00C10A48">
        <w:rPr>
          <w:rFonts w:ascii="Book Antiqua" w:hAnsi="Book Antiqua"/>
          <w:noProof/>
          <w:sz w:val="24"/>
          <w:szCs w:val="24"/>
          <w:lang w:val="en-US"/>
        </w:rPr>
        <w:t xml:space="preserve"> with </w:t>
      </w:r>
      <w:r w:rsidR="001961B6" w:rsidRPr="00C10A48">
        <w:rPr>
          <w:rFonts w:ascii="Book Antiqua" w:hAnsi="Book Antiqua"/>
          <w:noProof/>
          <w:sz w:val="24"/>
          <w:szCs w:val="24"/>
          <w:lang w:val="en-US"/>
        </w:rPr>
        <w:t xml:space="preserve">a </w:t>
      </w:r>
      <w:r w:rsidR="00721E44" w:rsidRPr="00C10A48">
        <w:rPr>
          <w:rFonts w:ascii="Book Antiqua" w:hAnsi="Book Antiqua"/>
          <w:noProof/>
          <w:sz w:val="24"/>
          <w:szCs w:val="24"/>
          <w:lang w:val="en-US"/>
        </w:rPr>
        <w:t xml:space="preserve">similar rate of </w:t>
      </w:r>
      <w:r w:rsidRPr="00C10A48">
        <w:rPr>
          <w:rFonts w:ascii="Book Antiqua" w:hAnsi="Book Antiqua"/>
          <w:noProof/>
          <w:sz w:val="24"/>
          <w:szCs w:val="24"/>
          <w:lang w:val="en-US"/>
        </w:rPr>
        <w:t>adverse events.</w:t>
      </w:r>
      <w:r w:rsidR="00721E44" w:rsidRPr="00C10A48">
        <w:rPr>
          <w:rFonts w:ascii="Book Antiqua" w:hAnsi="Book Antiqua"/>
          <w:noProof/>
          <w:sz w:val="24"/>
          <w:szCs w:val="24"/>
          <w:lang w:val="en-US"/>
        </w:rPr>
        <w:t xml:space="preserve"> These results suggest that propofol should be the preferred </w:t>
      </w:r>
      <w:r w:rsidR="00611A3D" w:rsidRPr="00C10A48">
        <w:rPr>
          <w:rFonts w:ascii="Book Antiqua" w:hAnsi="Book Antiqua"/>
          <w:noProof/>
          <w:sz w:val="24"/>
          <w:szCs w:val="24"/>
          <w:lang w:val="en-US"/>
        </w:rPr>
        <w:t>agent</w:t>
      </w:r>
      <w:r w:rsidR="00721E44" w:rsidRPr="00C10A48">
        <w:rPr>
          <w:rFonts w:ascii="Book Antiqua" w:hAnsi="Book Antiqua"/>
          <w:noProof/>
          <w:sz w:val="24"/>
          <w:szCs w:val="24"/>
          <w:lang w:val="en-US"/>
        </w:rPr>
        <w:t xml:space="preserve"> for sedation in patients</w:t>
      </w:r>
      <w:r w:rsidR="001961B6" w:rsidRPr="00C10A48">
        <w:rPr>
          <w:rFonts w:ascii="Book Antiqua" w:hAnsi="Book Antiqua"/>
          <w:noProof/>
          <w:sz w:val="24"/>
          <w:szCs w:val="24"/>
          <w:lang w:val="en-US"/>
        </w:rPr>
        <w:t xml:space="preserve"> with cirrhosis</w:t>
      </w:r>
      <w:r w:rsidR="00721E44" w:rsidRPr="00C10A48">
        <w:rPr>
          <w:rFonts w:ascii="Book Antiqua" w:hAnsi="Book Antiqua"/>
          <w:noProof/>
          <w:sz w:val="24"/>
          <w:szCs w:val="24"/>
          <w:lang w:val="en-US"/>
        </w:rPr>
        <w:t>.</w:t>
      </w:r>
    </w:p>
    <w:bookmarkEnd w:id="7"/>
    <w:bookmarkEnd w:id="8"/>
    <w:p w14:paraId="18B90A8F" w14:textId="77777777" w:rsidR="006E3234" w:rsidRPr="00C10A48" w:rsidRDefault="006E3234" w:rsidP="00F227A9">
      <w:pPr>
        <w:snapToGrid w:val="0"/>
        <w:spacing w:after="0" w:line="360" w:lineRule="auto"/>
        <w:ind w:right="97"/>
        <w:jc w:val="both"/>
        <w:rPr>
          <w:rFonts w:ascii="Book Antiqua" w:hAnsi="Book Antiqua"/>
          <w:b/>
          <w:noProof/>
          <w:sz w:val="24"/>
          <w:szCs w:val="24"/>
          <w:lang w:val="en-US"/>
        </w:rPr>
      </w:pPr>
    </w:p>
    <w:p w14:paraId="0DD6D81C" w14:textId="23D1D908" w:rsidR="006E3234" w:rsidRPr="00C10A48" w:rsidRDefault="006E3234" w:rsidP="00F227A9">
      <w:pPr>
        <w:snapToGrid w:val="0"/>
        <w:spacing w:after="0" w:line="360" w:lineRule="auto"/>
        <w:ind w:right="97"/>
        <w:jc w:val="both"/>
        <w:rPr>
          <w:rFonts w:ascii="Book Antiqua" w:hAnsi="Book Antiqua"/>
          <w:noProof/>
          <w:sz w:val="24"/>
          <w:szCs w:val="24"/>
          <w:lang w:val="en-US"/>
        </w:rPr>
      </w:pPr>
      <w:r w:rsidRPr="00C10A48">
        <w:rPr>
          <w:rFonts w:ascii="Book Antiqua" w:hAnsi="Book Antiqua"/>
          <w:b/>
          <w:noProof/>
          <w:sz w:val="24"/>
          <w:szCs w:val="24"/>
          <w:lang w:val="en-US"/>
        </w:rPr>
        <w:t>Key</w:t>
      </w:r>
      <w:r w:rsidR="00270262" w:rsidRPr="00C10A48">
        <w:rPr>
          <w:rFonts w:ascii="Book Antiqua" w:hAnsi="Book Antiqua"/>
          <w:b/>
          <w:noProof/>
          <w:sz w:val="24"/>
          <w:szCs w:val="24"/>
          <w:lang w:val="en-US"/>
        </w:rPr>
        <w:t xml:space="preserve"> </w:t>
      </w:r>
      <w:r w:rsidRPr="00C10A48">
        <w:rPr>
          <w:rFonts w:ascii="Book Antiqua" w:hAnsi="Book Antiqua"/>
          <w:b/>
          <w:noProof/>
          <w:sz w:val="24"/>
          <w:szCs w:val="24"/>
          <w:lang w:val="en-US"/>
        </w:rPr>
        <w:t>words:</w:t>
      </w:r>
      <w:r w:rsidRPr="00C10A48">
        <w:rPr>
          <w:rFonts w:ascii="Book Antiqua" w:hAnsi="Book Antiqua"/>
          <w:noProof/>
          <w:sz w:val="24"/>
          <w:szCs w:val="24"/>
          <w:lang w:val="en-US"/>
        </w:rPr>
        <w:t xml:space="preserve"> </w:t>
      </w:r>
      <w:r w:rsidR="00C17E11" w:rsidRPr="00C10A48">
        <w:rPr>
          <w:rFonts w:ascii="Book Antiqua" w:hAnsi="Book Antiqua"/>
          <w:noProof/>
          <w:sz w:val="24"/>
          <w:szCs w:val="24"/>
          <w:lang w:val="en-US"/>
        </w:rPr>
        <w:t>Sedation; Midazolam; Propofol; Cirrhosis; Endos</w:t>
      </w:r>
      <w:r w:rsidR="00270262" w:rsidRPr="00C10A48">
        <w:rPr>
          <w:rFonts w:ascii="Book Antiqua" w:hAnsi="Book Antiqua"/>
          <w:noProof/>
          <w:sz w:val="24"/>
          <w:szCs w:val="24"/>
          <w:lang w:val="en-US"/>
        </w:rPr>
        <w:t>copic; Endoscopy; Meta-analysis</w:t>
      </w:r>
    </w:p>
    <w:p w14:paraId="3768F9D7" w14:textId="77777777" w:rsidR="00F67FFB" w:rsidRPr="00C10A48" w:rsidRDefault="00F67FFB" w:rsidP="00F227A9">
      <w:pPr>
        <w:snapToGrid w:val="0"/>
        <w:spacing w:after="0" w:line="360" w:lineRule="auto"/>
        <w:jc w:val="both"/>
        <w:rPr>
          <w:rFonts w:ascii="Book Antiqua" w:hAnsi="Book Antiqua"/>
          <w:noProof/>
          <w:sz w:val="24"/>
          <w:szCs w:val="24"/>
          <w:lang w:val="en-US"/>
        </w:rPr>
      </w:pPr>
    </w:p>
    <w:p w14:paraId="194791AB" w14:textId="024C0730" w:rsidR="00F67FFB" w:rsidRPr="00C10A48" w:rsidRDefault="00F67FFB" w:rsidP="00F227A9">
      <w:pPr>
        <w:snapToGrid w:val="0"/>
        <w:spacing w:after="0" w:line="360" w:lineRule="auto"/>
        <w:jc w:val="both"/>
        <w:rPr>
          <w:rFonts w:ascii="Book Antiqua" w:hAnsi="Book Antiqua"/>
          <w:b/>
          <w:noProof/>
          <w:sz w:val="24"/>
          <w:szCs w:val="24"/>
          <w:lang w:val="en-US"/>
        </w:rPr>
      </w:pPr>
      <w:r w:rsidRPr="00C10A48">
        <w:rPr>
          <w:rFonts w:ascii="Book Antiqua" w:hAnsi="Book Antiqua"/>
          <w:noProof/>
          <w:sz w:val="24"/>
          <w:szCs w:val="24"/>
        </w:rPr>
        <w:t>Guacho JAL, de Moura DTH, Ribeiro IB, da Ponte Neto AM, Singh S, Tucci MGB, Bernardo WM, de Moura EGH</w:t>
      </w:r>
      <w:r>
        <w:rPr>
          <w:rFonts w:ascii="Book Antiqua" w:hAnsi="Book Antiqua"/>
          <w:noProof/>
          <w:sz w:val="24"/>
          <w:szCs w:val="24"/>
        </w:rPr>
        <w:t xml:space="preserve">. </w:t>
      </w:r>
      <w:r w:rsidRPr="00F67FFB">
        <w:rPr>
          <w:rFonts w:ascii="Book Antiqua" w:hAnsi="Book Antiqua"/>
          <w:noProof/>
          <w:sz w:val="24"/>
          <w:szCs w:val="24"/>
          <w:lang w:val="en-US"/>
        </w:rPr>
        <w:t xml:space="preserve">Propofol </w:t>
      </w:r>
      <w:r w:rsidRPr="00F67FFB">
        <w:rPr>
          <w:rFonts w:ascii="Book Antiqua" w:hAnsi="Book Antiqua"/>
          <w:i/>
          <w:noProof/>
          <w:sz w:val="24"/>
          <w:szCs w:val="24"/>
          <w:lang w:val="en-US"/>
        </w:rPr>
        <w:t>vs</w:t>
      </w:r>
      <w:r w:rsidRPr="00F67FFB">
        <w:rPr>
          <w:rFonts w:ascii="Book Antiqua" w:hAnsi="Book Antiqua"/>
          <w:noProof/>
          <w:sz w:val="24"/>
          <w:szCs w:val="24"/>
          <w:lang w:val="en-US"/>
        </w:rPr>
        <w:t xml:space="preserve"> midazolam sedation for elective endoscopy in patients with cirrhosis: A systematic review and meta-analysis of randomized controlled trials</w:t>
      </w:r>
      <w:r>
        <w:rPr>
          <w:rFonts w:ascii="Book Antiqua" w:hAnsi="Book Antiqua"/>
          <w:noProof/>
          <w:sz w:val="24"/>
          <w:szCs w:val="24"/>
          <w:lang w:val="en-US"/>
        </w:rPr>
        <w:t xml:space="preserve">. </w:t>
      </w:r>
      <w:r w:rsidRPr="00F67FFB">
        <w:rPr>
          <w:rFonts w:ascii="Book Antiqua" w:hAnsi="Book Antiqua" w:cs="Times New Roman"/>
          <w:i/>
          <w:sz w:val="24"/>
          <w:szCs w:val="24"/>
        </w:rPr>
        <w:t xml:space="preserve">World J </w:t>
      </w:r>
      <w:proofErr w:type="spellStart"/>
      <w:r w:rsidRPr="00F67FFB">
        <w:rPr>
          <w:rFonts w:ascii="Book Antiqua" w:hAnsi="Book Antiqua" w:cs="Times New Roman"/>
          <w:i/>
          <w:sz w:val="24"/>
          <w:szCs w:val="24"/>
        </w:rPr>
        <w:t>Gastrointest</w:t>
      </w:r>
      <w:proofErr w:type="spellEnd"/>
      <w:r w:rsidRPr="00F67FFB">
        <w:rPr>
          <w:rFonts w:ascii="Book Antiqua" w:hAnsi="Book Antiqua" w:cs="Times New Roman"/>
          <w:i/>
          <w:sz w:val="24"/>
          <w:szCs w:val="24"/>
        </w:rPr>
        <w:t xml:space="preserve"> </w:t>
      </w:r>
      <w:proofErr w:type="spellStart"/>
      <w:r w:rsidRPr="00F67FFB">
        <w:rPr>
          <w:rFonts w:ascii="Book Antiqua" w:hAnsi="Book Antiqua" w:cs="Times New Roman"/>
          <w:i/>
          <w:sz w:val="24"/>
          <w:szCs w:val="24"/>
        </w:rPr>
        <w:t>Endosc</w:t>
      </w:r>
      <w:proofErr w:type="spellEnd"/>
      <w:r w:rsidRPr="00F67FFB">
        <w:rPr>
          <w:rFonts w:ascii="Book Antiqua" w:hAnsi="Book Antiqua" w:cs="Times New Roman"/>
          <w:i/>
          <w:sz w:val="24"/>
          <w:szCs w:val="24"/>
        </w:rPr>
        <w:t xml:space="preserve"> </w:t>
      </w:r>
      <w:r>
        <w:rPr>
          <w:rFonts w:ascii="Book Antiqua" w:hAnsi="Book Antiqua" w:cs="Times New Roman"/>
          <w:sz w:val="24"/>
          <w:szCs w:val="24"/>
        </w:rPr>
        <w:t>2020; In</w:t>
      </w:r>
      <w:r w:rsidR="00A57EBD">
        <w:rPr>
          <w:rFonts w:ascii="Book Antiqua" w:hAnsi="Book Antiqua" w:cs="Times New Roman"/>
          <w:sz w:val="24"/>
          <w:szCs w:val="24"/>
        </w:rPr>
        <w:t xml:space="preserve"> </w:t>
      </w:r>
      <w:proofErr w:type="spellStart"/>
      <w:r>
        <w:rPr>
          <w:rFonts w:ascii="Book Antiqua" w:hAnsi="Book Antiqua" w:cs="Times New Roman"/>
          <w:sz w:val="24"/>
          <w:szCs w:val="24"/>
        </w:rPr>
        <w:t>press</w:t>
      </w:r>
      <w:proofErr w:type="spellEnd"/>
    </w:p>
    <w:p w14:paraId="2ACAE085" w14:textId="77777777" w:rsidR="00F67FFB" w:rsidRPr="00F67FFB" w:rsidRDefault="00F67FFB" w:rsidP="00F227A9">
      <w:pPr>
        <w:snapToGrid w:val="0"/>
        <w:spacing w:after="0" w:line="360" w:lineRule="auto"/>
        <w:ind w:right="97"/>
        <w:jc w:val="both"/>
        <w:rPr>
          <w:rFonts w:ascii="Book Antiqua" w:hAnsi="Book Antiqua"/>
          <w:noProof/>
          <w:sz w:val="24"/>
          <w:szCs w:val="24"/>
        </w:rPr>
      </w:pPr>
    </w:p>
    <w:p w14:paraId="401DA28C" w14:textId="447FD2FC" w:rsidR="00721E44" w:rsidRPr="00C10A48" w:rsidRDefault="006E3234" w:rsidP="00F227A9">
      <w:pPr>
        <w:snapToGrid w:val="0"/>
        <w:spacing w:after="0" w:line="360" w:lineRule="auto"/>
        <w:ind w:right="97"/>
        <w:jc w:val="both"/>
        <w:rPr>
          <w:rFonts w:ascii="Book Antiqua" w:hAnsi="Book Antiqua"/>
          <w:b/>
          <w:noProof/>
          <w:sz w:val="24"/>
          <w:szCs w:val="24"/>
          <w:lang w:val="en-US"/>
        </w:rPr>
      </w:pPr>
      <w:r w:rsidRPr="00C10A48">
        <w:rPr>
          <w:rFonts w:ascii="Book Antiqua" w:hAnsi="Book Antiqua"/>
          <w:b/>
          <w:noProof/>
          <w:sz w:val="24"/>
          <w:szCs w:val="24"/>
          <w:lang w:val="en-US"/>
        </w:rPr>
        <w:t xml:space="preserve">Core tip: </w:t>
      </w:r>
      <w:r w:rsidR="00AE089F" w:rsidRPr="00C10A48">
        <w:rPr>
          <w:rFonts w:ascii="Book Antiqua" w:hAnsi="Book Antiqua"/>
          <w:noProof/>
          <w:sz w:val="24"/>
          <w:szCs w:val="24"/>
          <w:lang w:val="en-US"/>
        </w:rPr>
        <w:t>Patients with cirrhosis often require elective endoscopic procedures</w:t>
      </w:r>
      <w:r w:rsidR="000A0724" w:rsidRPr="00C10A48">
        <w:rPr>
          <w:rFonts w:ascii="Book Antiqua" w:hAnsi="Book Antiqua"/>
          <w:noProof/>
          <w:sz w:val="24"/>
          <w:szCs w:val="24"/>
          <w:lang w:val="en-US"/>
        </w:rPr>
        <w:t>,</w:t>
      </w:r>
      <w:r w:rsidR="00AE089F" w:rsidRPr="00C10A48">
        <w:rPr>
          <w:rFonts w:ascii="Book Antiqua" w:hAnsi="Book Antiqua"/>
          <w:noProof/>
          <w:sz w:val="24"/>
          <w:szCs w:val="24"/>
          <w:lang w:val="en-US"/>
        </w:rPr>
        <w:t xml:space="preserve"> </w:t>
      </w:r>
      <w:r w:rsidR="000A0724" w:rsidRPr="00C10A48">
        <w:rPr>
          <w:rFonts w:ascii="Book Antiqua" w:hAnsi="Book Antiqua"/>
          <w:noProof/>
          <w:sz w:val="24"/>
          <w:szCs w:val="24"/>
          <w:lang w:val="en-US"/>
        </w:rPr>
        <w:t xml:space="preserve">but choosing an appropriate sedative is challenging. </w:t>
      </w:r>
      <w:r w:rsidR="00AE089F" w:rsidRPr="00C10A48">
        <w:rPr>
          <w:rFonts w:ascii="Book Antiqua" w:hAnsi="Book Antiqua"/>
          <w:noProof/>
          <w:sz w:val="24"/>
          <w:szCs w:val="24"/>
          <w:lang w:val="en-US"/>
        </w:rPr>
        <w:t xml:space="preserve">We </w:t>
      </w:r>
      <w:r w:rsidR="000A0724" w:rsidRPr="00C10A48">
        <w:rPr>
          <w:rFonts w:ascii="Book Antiqua" w:hAnsi="Book Antiqua"/>
          <w:noProof/>
          <w:sz w:val="24"/>
          <w:szCs w:val="24"/>
          <w:lang w:val="en-US"/>
        </w:rPr>
        <w:t xml:space="preserve">performed </w:t>
      </w:r>
      <w:r w:rsidR="00AE089F" w:rsidRPr="00C10A48">
        <w:rPr>
          <w:rFonts w:ascii="Book Antiqua" w:hAnsi="Book Antiqua"/>
          <w:noProof/>
          <w:sz w:val="24"/>
          <w:szCs w:val="24"/>
          <w:lang w:val="en-US"/>
        </w:rPr>
        <w:t xml:space="preserve">a systematic review </w:t>
      </w:r>
      <w:r w:rsidR="000A0724" w:rsidRPr="00C10A48">
        <w:rPr>
          <w:rFonts w:ascii="Book Antiqua" w:hAnsi="Book Antiqua"/>
          <w:noProof/>
          <w:sz w:val="24"/>
          <w:szCs w:val="24"/>
          <w:lang w:val="en-US"/>
        </w:rPr>
        <w:t xml:space="preserve">and </w:t>
      </w:r>
      <w:r w:rsidR="00AE089F" w:rsidRPr="00C10A48">
        <w:rPr>
          <w:rFonts w:ascii="Book Antiqua" w:hAnsi="Book Antiqua"/>
          <w:noProof/>
          <w:sz w:val="24"/>
          <w:szCs w:val="24"/>
          <w:lang w:val="en-US"/>
        </w:rPr>
        <w:t>meta-analysis</w:t>
      </w:r>
      <w:r w:rsidR="000A0724" w:rsidRPr="00C10A48">
        <w:rPr>
          <w:rFonts w:ascii="Book Antiqua" w:hAnsi="Book Antiqua"/>
          <w:noProof/>
          <w:sz w:val="24"/>
          <w:szCs w:val="24"/>
          <w:lang w:val="en-US"/>
        </w:rPr>
        <w:t xml:space="preserve"> of</w:t>
      </w:r>
      <w:r w:rsidR="00AE089F" w:rsidRPr="00C10A48">
        <w:rPr>
          <w:rFonts w:ascii="Book Antiqua" w:hAnsi="Book Antiqua"/>
          <w:noProof/>
          <w:sz w:val="24"/>
          <w:szCs w:val="24"/>
          <w:lang w:val="en-US"/>
        </w:rPr>
        <w:t xml:space="preserve"> </w:t>
      </w:r>
      <w:r w:rsidR="000A0724" w:rsidRPr="00C10A48">
        <w:rPr>
          <w:rFonts w:ascii="Book Antiqua" w:hAnsi="Book Antiqua"/>
          <w:noProof/>
          <w:sz w:val="24"/>
          <w:szCs w:val="24"/>
          <w:lang w:val="en-US"/>
        </w:rPr>
        <w:t xml:space="preserve">randomized controlled trials to </w:t>
      </w:r>
      <w:r w:rsidR="00AE089F" w:rsidRPr="00C10A48">
        <w:rPr>
          <w:rFonts w:ascii="Book Antiqua" w:hAnsi="Book Antiqua"/>
          <w:noProof/>
          <w:sz w:val="24"/>
          <w:szCs w:val="24"/>
          <w:lang w:val="en-US"/>
        </w:rPr>
        <w:t>compare propofol and midazolam for sedation in patients with cirrhosis during elective endoscopic procedures</w:t>
      </w:r>
      <w:r w:rsidR="000A0724" w:rsidRPr="00C10A48">
        <w:rPr>
          <w:rFonts w:ascii="Book Antiqua" w:hAnsi="Book Antiqua"/>
          <w:noProof/>
          <w:sz w:val="24"/>
          <w:szCs w:val="24"/>
          <w:lang w:val="en-US"/>
        </w:rPr>
        <w:t>. We concluded</w:t>
      </w:r>
      <w:r w:rsidR="00AE089F" w:rsidRPr="00C10A48">
        <w:rPr>
          <w:rFonts w:ascii="Book Antiqua" w:hAnsi="Book Antiqua"/>
          <w:noProof/>
          <w:sz w:val="24"/>
          <w:szCs w:val="24"/>
          <w:lang w:val="en-US"/>
        </w:rPr>
        <w:t xml:space="preserve"> </w:t>
      </w:r>
      <w:r w:rsidR="00721E44" w:rsidRPr="00C10A48">
        <w:rPr>
          <w:rFonts w:ascii="Book Antiqua" w:hAnsi="Book Antiqua"/>
          <w:noProof/>
          <w:sz w:val="24"/>
          <w:szCs w:val="24"/>
          <w:lang w:val="en-US"/>
        </w:rPr>
        <w:t xml:space="preserve">propofol has shorter recovery and patient discharge time as compared to midazolam with </w:t>
      </w:r>
      <w:r w:rsidR="001961B6" w:rsidRPr="00C10A48">
        <w:rPr>
          <w:rFonts w:ascii="Book Antiqua" w:hAnsi="Book Antiqua"/>
          <w:noProof/>
          <w:sz w:val="24"/>
          <w:szCs w:val="24"/>
          <w:lang w:val="en-US"/>
        </w:rPr>
        <w:t xml:space="preserve">a </w:t>
      </w:r>
      <w:r w:rsidR="00721E44" w:rsidRPr="00C10A48">
        <w:rPr>
          <w:rFonts w:ascii="Book Antiqua" w:hAnsi="Book Antiqua"/>
          <w:noProof/>
          <w:sz w:val="24"/>
          <w:szCs w:val="24"/>
          <w:lang w:val="en-US"/>
        </w:rPr>
        <w:t>similar rate of adverse events, suggesting</w:t>
      </w:r>
      <w:r w:rsidR="001961B6" w:rsidRPr="00C10A48">
        <w:rPr>
          <w:rFonts w:ascii="Book Antiqua" w:hAnsi="Book Antiqua"/>
          <w:noProof/>
          <w:sz w:val="24"/>
          <w:szCs w:val="24"/>
          <w:lang w:val="en-US"/>
        </w:rPr>
        <w:t xml:space="preserve"> </w:t>
      </w:r>
      <w:r w:rsidR="00721E44" w:rsidRPr="00C10A48">
        <w:rPr>
          <w:rFonts w:ascii="Book Antiqua" w:hAnsi="Book Antiqua"/>
          <w:noProof/>
          <w:sz w:val="24"/>
          <w:szCs w:val="24"/>
          <w:lang w:val="en-US"/>
        </w:rPr>
        <w:t xml:space="preserve">that propofol should be the preferred </w:t>
      </w:r>
      <w:r w:rsidR="00611A3D" w:rsidRPr="00C10A48">
        <w:rPr>
          <w:rFonts w:ascii="Book Antiqua" w:hAnsi="Book Antiqua"/>
          <w:noProof/>
          <w:sz w:val="24"/>
          <w:szCs w:val="24"/>
          <w:lang w:val="en-US"/>
        </w:rPr>
        <w:t>agent</w:t>
      </w:r>
      <w:r w:rsidR="00721E44" w:rsidRPr="00C10A48">
        <w:rPr>
          <w:rFonts w:ascii="Book Antiqua" w:hAnsi="Book Antiqua"/>
          <w:noProof/>
          <w:sz w:val="24"/>
          <w:szCs w:val="24"/>
          <w:lang w:val="en-US"/>
        </w:rPr>
        <w:t xml:space="preserve"> for sedation in patients</w:t>
      </w:r>
      <w:r w:rsidR="001961B6" w:rsidRPr="00C10A48">
        <w:rPr>
          <w:rFonts w:ascii="Book Antiqua" w:hAnsi="Book Antiqua"/>
          <w:noProof/>
          <w:sz w:val="24"/>
          <w:szCs w:val="24"/>
          <w:lang w:val="en-US"/>
        </w:rPr>
        <w:t xml:space="preserve"> with cirrhosis</w:t>
      </w:r>
      <w:r w:rsidR="00721E44" w:rsidRPr="00C10A48">
        <w:rPr>
          <w:rFonts w:ascii="Book Antiqua" w:hAnsi="Book Antiqua"/>
          <w:noProof/>
          <w:sz w:val="24"/>
          <w:szCs w:val="24"/>
          <w:lang w:val="en-US"/>
        </w:rPr>
        <w:t>.</w:t>
      </w:r>
    </w:p>
    <w:p w14:paraId="5E56534C" w14:textId="4BF1AD80" w:rsidR="000A0724" w:rsidRPr="00C10A48" w:rsidRDefault="000A0724" w:rsidP="00F227A9">
      <w:pPr>
        <w:snapToGrid w:val="0"/>
        <w:spacing w:after="0" w:line="360" w:lineRule="auto"/>
        <w:ind w:right="97"/>
        <w:jc w:val="both"/>
        <w:rPr>
          <w:rFonts w:ascii="Book Antiqua" w:hAnsi="Book Antiqua"/>
          <w:b/>
          <w:noProof/>
          <w:sz w:val="24"/>
          <w:szCs w:val="24"/>
          <w:lang w:val="en-US"/>
        </w:rPr>
      </w:pPr>
    </w:p>
    <w:p w14:paraId="73A8DE78" w14:textId="6FE08AFC" w:rsidR="0018055D" w:rsidRPr="00C10A48" w:rsidRDefault="0018055D" w:rsidP="00F227A9">
      <w:pPr>
        <w:snapToGrid w:val="0"/>
        <w:spacing w:after="0" w:line="360" w:lineRule="auto"/>
        <w:rPr>
          <w:rFonts w:ascii="Book Antiqua" w:hAnsi="Book Antiqua"/>
          <w:noProof/>
          <w:sz w:val="24"/>
          <w:szCs w:val="24"/>
          <w:lang w:val="en-US"/>
        </w:rPr>
      </w:pPr>
      <w:r w:rsidRPr="00C10A48">
        <w:rPr>
          <w:rFonts w:ascii="Book Antiqua" w:hAnsi="Book Antiqua"/>
          <w:noProof/>
          <w:sz w:val="24"/>
          <w:szCs w:val="24"/>
          <w:lang w:val="en-US"/>
        </w:rPr>
        <w:br w:type="page"/>
      </w:r>
    </w:p>
    <w:p w14:paraId="1B1E3CF3" w14:textId="59F5456D" w:rsidR="00017EAD" w:rsidRPr="00C10A48" w:rsidRDefault="00017EAD" w:rsidP="00F227A9">
      <w:pPr>
        <w:snapToGrid w:val="0"/>
        <w:spacing w:after="0" w:line="360" w:lineRule="auto"/>
        <w:jc w:val="both"/>
        <w:rPr>
          <w:rFonts w:ascii="Book Antiqua" w:hAnsi="Book Antiqua"/>
          <w:b/>
          <w:sz w:val="24"/>
          <w:szCs w:val="24"/>
          <w:u w:val="single"/>
          <w:lang w:val="en-US"/>
        </w:rPr>
      </w:pPr>
      <w:r w:rsidRPr="00C10A48">
        <w:rPr>
          <w:rFonts w:ascii="Book Antiqua" w:hAnsi="Book Antiqua"/>
          <w:b/>
          <w:sz w:val="24"/>
          <w:szCs w:val="24"/>
          <w:u w:val="single"/>
          <w:lang w:val="en-US"/>
        </w:rPr>
        <w:lastRenderedPageBreak/>
        <w:t>INTRODUCTION</w:t>
      </w:r>
    </w:p>
    <w:p w14:paraId="31A8A041" w14:textId="12DDAF3F" w:rsidR="002E6770" w:rsidRPr="00C10A48" w:rsidRDefault="002E6770" w:rsidP="00F227A9">
      <w:pPr>
        <w:snapToGrid w:val="0"/>
        <w:spacing w:after="0" w:line="360" w:lineRule="auto"/>
        <w:jc w:val="both"/>
        <w:rPr>
          <w:rFonts w:ascii="Book Antiqua" w:hAnsi="Book Antiqua"/>
          <w:sz w:val="24"/>
          <w:szCs w:val="24"/>
          <w:lang w:val="en-US"/>
        </w:rPr>
      </w:pPr>
      <w:bookmarkStart w:id="9" w:name="_Hlk42796549"/>
      <w:r w:rsidRPr="00C10A48">
        <w:rPr>
          <w:rFonts w:ascii="Book Antiqua" w:hAnsi="Book Antiqua"/>
          <w:sz w:val="24"/>
          <w:szCs w:val="24"/>
          <w:lang w:val="en-US"/>
        </w:rPr>
        <w:t>Cirrhosis is an advanced form of fibrosis that affects the liver with the destruction of the organ's lobular and vascular architecture</w:t>
      </w:r>
      <w:r w:rsidR="003F349D" w:rsidRPr="00C10A48">
        <w:rPr>
          <w:rFonts w:ascii="Book Antiqua" w:hAnsi="Book Antiqua"/>
          <w:sz w:val="24"/>
          <w:szCs w:val="24"/>
          <w:lang w:val="en-US"/>
        </w:rPr>
        <w:fldChar w:fldCharType="begin" w:fldLock="1"/>
      </w:r>
      <w:r w:rsidR="003F349D" w:rsidRPr="00C10A48">
        <w:rPr>
          <w:rFonts w:ascii="Book Antiqua" w:hAnsi="Book Antiqua"/>
          <w:sz w:val="24"/>
          <w:szCs w:val="24"/>
          <w:lang w:val="en-US"/>
        </w:rPr>
        <w:instrText>ADDIN CSL_CITATION {"citationItems":[{"id":"ITEM-1","itemData":{"DOI":"10.1136/jcp.31.5.395","ISSN":"0021-9746","PMID":"649765","abstract":"This memorandum provides guidelines on the definition, nomenclature, and classification of cirrhosis, chronic hepatitis, and hepatic fibrosis. These are considered according to morphological characteristics and aetiology. It is hoped that this system will serve as a standard for diagnostic, research, and epidemiological purposes. The relationship of cirrhosis to liver cell carcinoma is briefly discussed and the possible morphological markers of an increased risk of malignancy are defined.","author":[{"dropping-particle":"","family":"Anthony","given":"P P","non-dropping-particle":"","parse-names":false,"suffix":""},{"dropping-particle":"","family":"Ishak","given":"K G","non-dropping-particle":"","parse-names":false,"suffix":""},{"dropping-particle":"","family":"Nayak","given":"N C","non-dropping-particle":"","parse-names":false,"suffix":""},{"dropping-particle":"","family":"Poulsen","given":"H E","non-dropping-particle":"","parse-names":false,"suffix":""},{"dropping-particle":"","family":"Scheuer","given":"P J","non-dropping-particle":"","parse-names":false,"suffix":""},{"dropping-particle":"","family":"Sobin","given":"L H","non-dropping-particle":"","parse-names":false,"suffix":""}],"container-title":"Journal of Clinical Pathology","id":"ITEM-1","issue":"5","issued":{"date-parts":[["1978","5","1"]]},"page":"395-414","title":"The morphology of cirrhosis. Recommendations on definition, nomenclature, and classification by a working group sponsored by the World Health Organization.","type":"article-journal","volume":"31"},"uris":["http://www.mendeley.com/documents/?uuid=9f08a6a9-d31a-4261-b7b4-580d74bc0ff0"]}],"mendeley":{"formattedCitation":"&lt;sup&gt;[1]&lt;/sup&gt;","plainTextFormattedCitation":"[1]","previouslyFormattedCitation":"&lt;sup&gt;[1]&lt;/sup&gt;"},"properties":{"noteIndex":0},"schema":"https://github.com/citation-style-language/schema/raw/master/csl-citation.json"}</w:instrText>
      </w:r>
      <w:r w:rsidR="003F349D" w:rsidRPr="00C10A48">
        <w:rPr>
          <w:rFonts w:ascii="Book Antiqua" w:hAnsi="Book Antiqua"/>
          <w:sz w:val="24"/>
          <w:szCs w:val="24"/>
          <w:lang w:val="en-US"/>
        </w:rPr>
        <w:fldChar w:fldCharType="separate"/>
      </w:r>
      <w:r w:rsidR="003F349D" w:rsidRPr="00C10A48">
        <w:rPr>
          <w:rFonts w:ascii="Book Antiqua" w:hAnsi="Book Antiqua"/>
          <w:noProof/>
          <w:sz w:val="24"/>
          <w:szCs w:val="24"/>
          <w:vertAlign w:val="superscript"/>
          <w:lang w:val="en-US"/>
        </w:rPr>
        <w:t>[1]</w:t>
      </w:r>
      <w:r w:rsidR="003F349D" w:rsidRPr="00C10A48">
        <w:rPr>
          <w:rFonts w:ascii="Book Antiqua" w:hAnsi="Book Antiqua"/>
          <w:sz w:val="24"/>
          <w:szCs w:val="24"/>
          <w:lang w:val="en-US"/>
        </w:rPr>
        <w:fldChar w:fldCharType="end"/>
      </w:r>
      <w:r w:rsidRPr="00C10A48">
        <w:rPr>
          <w:rFonts w:ascii="Book Antiqua" w:hAnsi="Book Antiqua"/>
          <w:sz w:val="24"/>
          <w:szCs w:val="24"/>
          <w:lang w:val="en-US"/>
        </w:rPr>
        <w:t>. The progression of liver disease causes portal hypertension, which can lead to complications such as esophagogastric varices, portal hypertensive gastropathy, and gastric antral vascular ectasia (GAVE)</w:t>
      </w:r>
      <w:r w:rsidR="003F349D" w:rsidRPr="00C10A48">
        <w:rPr>
          <w:rFonts w:ascii="Book Antiqua" w:hAnsi="Book Antiqua"/>
          <w:sz w:val="24"/>
          <w:szCs w:val="24"/>
          <w:lang w:val="en-US"/>
        </w:rPr>
        <w:fldChar w:fldCharType="begin" w:fldLock="1"/>
      </w:r>
      <w:r w:rsidR="0024084B" w:rsidRPr="00C10A48">
        <w:rPr>
          <w:rFonts w:ascii="Book Antiqua" w:hAnsi="Book Antiqua"/>
          <w:sz w:val="24"/>
          <w:szCs w:val="24"/>
          <w:lang w:val="en-US"/>
        </w:rPr>
        <w:instrText>ADDIN CSL_CITATION {"citationItems":[{"id":"ITEM-1","itemData":{"DOI":"10.1016/j.jhep.2014.05.042","ISSN":"01688278","PMID":"25015420","author":[{"dropping-particle":"","family":"American Association for the Study of Liver Diseases","given":"","non-dropping-particle":"","parse-names":false,"suffix":""},{"dropping-particle":"","family":"European Association for the Study of the Liver","given":"","non-dropping-particle":"","parse-names":false,"suffix":""}],"container-title":"Journal of Hepatology","id":"ITEM-1","issue":"3","issued":{"date-parts":[["2014","9"]]},"page":"642-659","title":"Hepatic Encephalopathy in Chronic Liver Disease: 2014 Practice Guideline by the European Association for the Study of the Liver and the American Association for the Study of Liver Diseases","type":"article-journal","volume":"61"},"uris":["http://www.mendeley.com/documents/?uuid=329affaf-34d4-418d-b82c-65c3d49f41ad"]},{"id":"ITEM-2","itemData":{"DOI":"10.1590/S0004-2803.201900000-08","ISSN":"1678-4219","PMID":"30970140","abstract":"BACKGROUND One of the most feared complications with the use of cyanoacrylate for treatment of gastric varices is the occurrence of potentially life-threatening systemic embolism. Thus, endoscopists are turning towards new techniques, including endoscopic coiling, as a potentially safer and more effective treatment option. However, no studies have been performed comparing the two techniques. OBJECTIVE This study aims to compare the safety and efficacy of endoscopic ultrasound guided coil and cyanoacrylate injection versus the conventional technique of injection of cyanoacrylate alone. DESIGN A pilot randomized controlled trial. METHODS Patients randomized into group I were treated with coil and cyanoacrylate, and those in group II with cyanoacrylate alone. Flow within the varix was evaluated immediately after the treatment session and one month following initial treatment. If thrombosis was confirmed, additional follow-up was performed 4 and 10 months following initial treatment. All patients underwent a thoracic computerized tomography scan after the procedure. RESULTS A total of 32 patients, 16 in each group, were followed for an average of 9.9 months (range 1-26 months). Immediately after the procedure, 6 (37.5%) group-I patients and 8 (50%) group-II patients presented total flow reduction in the treated vessel (P=0.476). After 30 days, 11 (73.3%) group-I patients and 12 (75%) group-II patients were found to have varix thrombosis. In both groups, the majority of patients required only one single session for varix obliteration (73.3% in group I versus 80% in group II). Asymptomatic pulmonary embolism occurred in 4 (25%) group-I patients and 8 (50%) group-II patients (P=0.144). No significant difference between the groups was observed. CONCLUSION There is no statistical difference between endoscopic ultrasound guided coils plus cyanoacrylate versus conventional cyanoacrylate technique in relation to the incidence of embolism. However, a greater tendency towards embolism was observed in the group treated using the conventional technique. Both techniques have similar efficacy in the obliteration of varices. Given the small sample size of our pilot data, our results are insufficient to prove the clinical benefit of the combined technique, and do not yet justify its use, especially in light of higher cost. Further studies with larger sample size are warranted.","author":[{"dropping-particle":"","family":"Lôbo","given":"Maíra Ribeiro de Almeida","non-dropping-particle":"","parse-names":false,"suffix":""},{"dropping-particle":"","family":"Chaves","given":"Dalton Marques","non-dropping-particle":"","parse-names":false,"suffix":""},{"dropping-particle":"","family":"Moura","given":"Diogo Turiani Hourneaux","non-dropping-particle":"DE","parse-names":false,"suffix":""},{"dropping-particle":"","family":"Ribeiro","given":"Igor Braga","non-dropping-particle":"","parse-names":false,"suffix":""},{"dropping-particle":"","family":"Ikari","given":"Eduardo","non-dropping-particle":"","parse-names":false,"suffix":""},{"dropping-particle":"","family":"Moura","given":"Eduardo Guimarães Hourneaux","non-dropping-particle":"DE","parse-names":false,"suffix":""}],"container-title":"Arquivos de gastroenterologia","id":"ITEM-2","issued":{"date-parts":[["2019","4","4"]]},"title":"SAFETY AND EFFICACY OF EUS-GUIDED COIL PLUS CYANOACRYLATE VERSUS CONVENTIONAL CYANOACRYLATE TECHNIQUE IN THE TREATMENT OF GASTRIC VARICES: A RANDOMIZED CONTROLLED TRIAL.","type":"article-journal"},"uris":["http://www.mendeley.com/documents/?uuid=21cb9eb7-b8f8-49cc-a1ab-cadba7ce3900"]},{"id":"ITEM-3","itemData":{"DOI":"10.1002/hep.22853","ISSN":"02709139","PMID":"19475696","author":[{"dropping-particle":"","family":"Runyon","given":"Bruce A","non-dropping-particle":"","parse-names":false,"suffix":""}],"container-title":"Hepatology","id":"ITEM-3","issue":"6","issued":{"date-parts":[["2009","6"]]},"page":"2087-2107","title":"Management of adult patients with ascites due to cirrhosis: An update","type":"article-journal","volume":"49"},"uris":["http://www.mendeley.com/documents/?uuid=af65c4fd-a8cf-4388-a2f3-8fb95221623c"]},{"id":"ITEM-4","itemData":{"DOI":"10.1007/s12664-015-0605-0","ISSN":"0254-8860","PMID":"26564121","abstract":"Portal hypertensive gastropathy (PHG) and gastric antral vascular ectasia (GAVE) are gastric mucosal lesions that mostly present as chronic anemia and rarely cause the acute gastrointestinal hemorrhage. Despite similar clinical manifestations, their pathophysiology and management are entirely different. PHG is seen exclusively in patients with portal hypertension, but GAVE can also be observed in patients with other conditions. Their diagnosis is endoscopic, and although generally each of them has a characteristic endoscopic appearance and distribution, there are cases in which the differential is difficult and must rely on histology. This review focuses on the management of both entities. The mainstay of management of PHG is based on portal-hypotensive pharmacological treatment while GAVE benefits from hormonal therapy, endoscopic Nd:YAG laser, and argon plasma coagulation. More invasive options should be reserved for refractory cases.","author":[{"dropping-particle":"","family":"Garg","given":"Hitendra","non-dropping-particle":"","parse-names":false,"suffix":""},{"dropping-particle":"","family":"Gupta","given":"Subhash","non-dropping-particle":"","parse-names":false,"suffix":""},{"dropping-particle":"","family":"Anand","given":"A C","non-dropping-particle":"","parse-names":false,"suffix":""},{"dropping-particle":"","family":"Broor","given":"S L","non-dropping-particle":"","parse-names":false,"suffix":""}],"container-title":"Indian Journal of Gastroenterology","id":"ITEM-4","issue":"5","issued":{"date-parts":[["2015","9","13"]]},"page":"351-358","title":"Portal hypertensive gastropathy and gastric antral vascular ectasia","type":"article-journal","volume":"34"},"uris":["http://www.mendeley.com/documents/?uuid=48e38b05-ee20-46fc-929a-133ddbed94bf"]},{"id":"ITEM-5","itemData":{"DOI":"10.1055/a-1122-8674","ISSN":"2364-3722","abstract":"Background and study aims Endoscopic ultrasound (EUS)-guided fine needle aspiration (FNA) is traditionally considered a first-line strategy for diagnosing pancreatic lesions; however, given less than ideal accuracy rates, fine-needle biopsy (FNB) has been recently developed to yield histological tissue. The aim of this study was to compare diagnostic yield and safety between EUS-FNA and EUS-FNB in sampling of pancreatic masses.","author":[{"dropping-particle":"","family":"Moura","given":"Diogo T.H.","non-dropping-particle":"de","parse-names":false,"suffix":""},{"dropping-particle":"","family":"McCarty","given":"Thomas R.","non-dropping-particle":"","parse-names":false,"suffix":""},{"dropping-particle":"","family":"Jirapinyo","given":"Pichamol","non-dropping-particle":"","parse-names":false,"suffix":""},{"dropping-particle":"","family":"Ribeiro","given":"Igor B.","non-dropping-particle":"","parse-names":false,"suffix":""},{"dropping-particle":"","family":"Hathorn","given":"Kelly E.","non-dropping-particle":"","parse-names":false,"suffix":""},{"dropping-particle":"","family":"Madruga-Neto","given":"Antonio Coutinho","non-dropping-particle":"","parse-names":false,"suffix":""},{"dropping-particle":"","family":"Lee","given":"Linda S.","non-dropping-particle":"","parse-names":false,"suffix":""},{"dropping-particle":"","family":"Thompson","given":"Christopher C.","non-dropping-particle":"","parse-names":false,"suffix":""}],"container-title":"Endoscopy International Open","id":"ITEM-5","issue":"06","issued":{"date-parts":[["2020","6","25"]]},"page":"E738-E747","title":"Evaluation of endoscopic ultrasound fine-needle aspiration versus fine-needle biopsy and impact of rapid on-site evaluation for pancreatic masses","type":"article-journal","volume":"08"},"uris":["http://www.mendeley.com/documents/?uuid=8a2372a2-8f66-41b2-bd93-ba9a9e3dd861"]},{"id":"ITEM-6","itemData":{"DOI":"10.1055/a-0977-2897","ISSN":"2364-3722","PMID":"31803822","abstract":"Background and study aims TC-325 is a novel mineral hemostatic powder that creates a mechanical barrier by absorbing blood components and promoting clotting. Recently approved for use in humans, it has shown promise for treatment of upper gastrointestinal bleeding (UGIB). However, because there have been no large studies of TC-325, its true efficacy and safety profile remain unknown. We performed a systematic review and meta-analysis to determine the safety and efficacy of TC-325 in treating UGIB, based on rates of initial hemostasis, rebleeding, and adverse events (AEs).","author":[{"dropping-particle":"","family":"Rezende","given":"Daniel Tavares","non-dropping-particle":"de","parse-names":false,"suffix":""},{"dropping-particle":"","family":"Brunaldi","given":"Vitor Ottoboni","non-dropping-particle":"","parse-names":false,"suffix":""},{"dropping-particle":"","family":"Bernardo","given":"Wanderley Marques","non-dropping-particle":"","parse-names":false,"suffix":""},{"dropping-particle":"","family":"Ribeiro","given":"Igor Braga","non-dropping-particle":"","parse-names":false,"suffix":""},{"dropping-particle":"","family":"Mota","given":"Raquel Cristina Lins","non-dropping-particle":"","parse-names":false,"suffix":""},{"dropping-particle":"","family":"Baracat","given":"Felipe Iankelevich","non-dropping-particle":"","parse-names":false,"suffix":""},{"dropping-particle":"","family":"Moura","given":"Diogo Turiani Hourneaux","non-dropping-particle":"de","parse-names":false,"suffix":""},{"dropping-particle":"","family":"Baracat","given":"Renato","non-dropping-particle":"","parse-names":false,"suffix":""},{"dropping-particle":"","family":"Matuguma","given":"Sergio Eiji","non-dropping-particle":"","parse-names":false,"suffix":""},{"dropping-particle":"","family":"Moura","given":"Eduardo Guimarães Hourneaux","non-dropping-particle":"de","parse-names":false,"suffix":""}],"container-title":"Endoscopy International Open","id":"ITEM-6","issue":"12","issued":{"date-parts":[["2019","12","2"]]},"page":"E1704-E1713","title":"Use of hemostatic powder in treatment of upper gastrointestinal bleeding: a systematic review and meta-analysis","type":"article-journal","volume":"07"},"uris":["http://www.mendeley.com/documents/?uuid=806c7104-4d86-45f9-9bb7-268875783a4e"]},{"id":"ITEM-7","itemData":{"DOI":"10.1055/a-1027-6241","ISSN":"0013-726X","PMID":"31731318","author":[{"dropping-particle":"","family":"Luz","given":"Gustavo Oliveira","non-dropping-particle":"","parse-names":false,"suffix":""},{"dropping-particle":"","family":"Matuguma","given":"Sérgio Eiji","non-dropping-particle":"","parse-names":false,"suffix":""},{"dropping-particle":"","family":"Madruga Neto","given":"Antonio Coutinho","non-dropping-particle":"","parse-names":false,"suffix":""},{"dropping-particle":"","family":"Ribeiro","given":"Igor Braga","non-dropping-particle":"","parse-names":false,"suffix":""},{"dropping-particle":"","family":"Dal Bello","given":"Fernanda","non-dropping-particle":"","parse-names":false,"suffix":""},{"dropping-particle":"","family":"Moura","given":"Diogo Turiani Hourneaux","non-dropping-particle":"de","parse-names":false,"suffix":""},{"dropping-particle":"","family":"Moura","given":"Eduardo Guimarães Hourneaux","non-dropping-particle":"de","parse-names":false,"suffix":""}],"container-title":"Endoscopy","id":"ITEM-7","issued":{"date-parts":[["2019","11","15"]]},"title":"A novel technique in the management of refractory variceal bleeding","type":"article-journal"},"uris":["http://www.mendeley.com/documents/?uuid=735aec43-6f6f-4381-8b6c-1154062e0b88"]},{"id":"ITEM-8","itemData":{"DOI":"10.1055/a-1173-7727","ISSN":"0013-726X","PMID":"32483781","author":[{"dropping-particle":"","family":"Moura","given":"Diogo Turiani Hourneaux","non-dropping-particle":"de","parse-names":false,"suffix":""},{"dropping-particle":"","family":"Monte Junior","given":"Epifânio Silvino","non-dropping-particle":"do","parse-names":false,"suffix":""},{"dropping-particle":"","family":"Hathorn","given":"Kelly E.","non-dropping-particle":"","parse-names":false,"suffix":""},{"dropping-particle":"","family":"Ribeiro","given":"Igor Braga","non-dropping-particle":"","parse-names":false,"suffix":""},{"dropping-particle":"","family":"Medeiros","given":"Flaubert Sena","non-dropping-particle":"de","parse-names":false,"suffix":""},{"dropping-particle":"","family":"Thompson","given":"Christopher C.","non-dropping-particle":"","parse-names":false,"suffix":""},{"dropping-particle":"","family":"Moura","given":"Eduardo Guimarães Hourneaux","non-dropping-particle":"de","parse-names":false,"suffix":""}],"container-title":"Endoscopy","id":"ITEM-8","issued":{"date-parts":[["2020","5","29"]]},"title":"The use of novel modified endoscopic vacuum therapies in the management of a transmural rectal wall defect","type":"article-journal"},"uris":["http://www.mendeley.com/documents/?uuid=362d03a1-941c-4aba-8b48-67c9e099c3c7"]},{"id":"ITEM-9","itemData":{"DOI":"10.4253/wjge.v10.i12.400","ISSN":"1948-5190","PMID":"30631404","abstract":"AIM To compare the diagnostic accuracy of video capsule endoscopy (VCE) and double-balloon enteroscopy (DBE) in cases of obscure gastrointestinal bleeding (OGIB) of vascular origin. METHODS MEDLINE (via PubMed), LILACS (via BVS) and Cochrane/CENTRAL virtual databases were searched for studies dated before 2017. We identified prospective and retrospective studies, including observational, cohort, single-blinded and multicenter studies, comparing VCE and DBE for the diagnosis of OGIB, and data of all the vascular sources of bleeding were collected. All patients were subjected to the same gold standard method. Relevant data were then extracted from each included study using a standardized extraction form. We calculated study variables (sensitivity, specificity, prevalence, positive and negative predictive values and accuracy) and performed a meta-analysis using Meta-Disc software. RESULTS In the per-patient analysis, 17 studies (1477 lesions) were included. We identified 3150 exams (1722 VCE and 1428 DBE) in 2043 patients and identified 2248 sources of bleeding, 1467 of which were from vascular lesions. Of these lesions, 864 (58.5%) were diagnosed by VCE, and 613 (41.5%) were diagnosed by DBE. The pretest probability for bleeding of vascular origin was 54.34%. The sensitivity of DBE was 84% (95%CI: 0.82-0.86; heterogeneity: 78.00%), and the specificity was 92% (95%CI: 0.89-0.94; heterogeneity: 92.0%). For DBE, the positive likelihood ratio was 11.29 (95%CI: 4.83-26.40; heterogeneity: 91.6%), and the negative likelihood ratio was 0.20 (95%CI: 0.15-0.27; heterogeneity: 67.3%). Performing DBE after CE increased the diagnostic yield of vascular lesion by 7%, from 83% to 90%. CONCLUSION The diagnostic accuracy of detecting small bowel bleeding from a vascular source is increased with the use of an isolated video capsule endoscope compared with isolated DBE. However, concomitant use increases the detection rate of the bleeding source.","author":[{"dropping-particle":"","family":"Brito","given":"Hélcio Pedrosa","non-dropping-particle":"","parse-names":false,"suffix":""},{"dropping-particle":"","family":"Ribeiro","given":"Igor Braga","non-dropping-particle":"","parse-names":false,"suffix":""},{"dropping-particle":"","family":"Moura","given":"Diogo Turiani Hourneaux","non-dropping-particle":"de","parse-names":false,"suffix":""},{"dropping-particle":"","family":"Bernardo","given":"Wanderley Marques","non-dropping-particle":"","parse-names":false,"suffix":""},{"dropping-particle":"","family":"Chaves","given":"Dalton Marques","non-dropping-particle":"","parse-names":false,"suffix":""},{"dropping-particle":"","family":"Kuga","given":"Rogério","non-dropping-particle":"","parse-names":false,"suffix":""},{"dropping-particle":"","family":"Maahs","given":"Ethan Dwane","non-dropping-particle":"","parse-names":false,"suffix":""},{"dropping-particle":"","family":"Ishida","given":"Robson Kiyoshi","non-dropping-particle":"","parse-names":false,"suffix":""},{"dropping-particle":"","family":"Moura","given":"Eduardo Turiani Hourneaux","non-dropping-particle":"de","parse-names":false,"suffix":""},{"dropping-particle":"","family":"Moura","given":"Eduardo Guimarães Hourneaux","non-dropping-particle":"de","parse-names":false,"suffix":""}],"container-title":"World journal of gastrointestinal endoscopy","id":"ITEM-9","issue":"12","issued":{"date-parts":[["2018","12","16"]]},"page":"400-421","title":"Video capsule endoscopy vs double-balloon enteroscopy in the diagnosis of small bowel bleeding: A systematic review and meta-analysis.","type":"article-journal","volume":"10"},"uris":["http://www.mendeley.com/documents/?uuid=4d74bd48-8365-4d47-9f22-039d3aa4f763"]},{"id":"ITEM-10","itemData":{"DOI":"10.1055/a-0665-4142","ISSN":"1438-8812","PMID":"30107634","author":[{"dropping-particle":"","family":"Ribeiro","given":"Igor Braga","non-dropping-particle":"","parse-names":false,"suffix":""},{"dropping-particle":"","family":"Rezende","given":"Daniel Tavares","non-dropping-particle":"","parse-names":false,"suffix":""},{"dropping-particle":"","family":"Madruga Neto","given":"Antonio Coutinho","non-dropping-particle":"","parse-names":false,"suffix":""},{"dropping-particle":"","family":"Ide","given":"Edson","non-dropping-particle":"","parse-names":false,"suffix":""},{"dropping-particle":"","family":"Furuya","given":"Carlos Kiyoshi","non-dropping-particle":"","parse-names":false,"suffix":""},{"dropping-particle":"","family":"Moura","given":"Diogo Turiani Hourneaux","non-dropping-particle":"De","parse-names":false,"suffix":""},{"dropping-particle":"","family":"Moura","given":"Eduardo Guimarães Hourneaux","non-dropping-particle":"De","parse-names":false,"suffix":""}],"container-title":"Endoscopy","id":"ITEM-10","issue":"11","issued":{"date-parts":[["2018","8","14"]]},"page":"E316-E317","title":"Endoscopic dual therapy for giant peptic ulcer hemorrhage.","type":"article-journal","volume":"50"},"uris":["http://www.mendeley.com/documents/?uuid=2eeed3e1-fc8e-4ea2-906f-ed220a4d1ef8"]}],"mendeley":{"formattedCitation":"&lt;sup&gt;[2–11]&lt;/sup&gt;","plainTextFormattedCitation":"[2–11]","previouslyFormattedCitation":"&lt;sup&gt;[2–10]&lt;/sup&gt;"},"properties":{"noteIndex":0},"schema":"https://github.com/citation-style-language/schema/raw/master/csl-citation.json"}</w:instrText>
      </w:r>
      <w:r w:rsidR="003F349D" w:rsidRPr="00C10A48">
        <w:rPr>
          <w:rFonts w:ascii="Book Antiqua" w:hAnsi="Book Antiqua"/>
          <w:sz w:val="24"/>
          <w:szCs w:val="24"/>
          <w:lang w:val="en-US"/>
        </w:rPr>
        <w:fldChar w:fldCharType="separate"/>
      </w:r>
      <w:r w:rsidR="0024084B" w:rsidRPr="00C10A48">
        <w:rPr>
          <w:rFonts w:ascii="Book Antiqua" w:hAnsi="Book Antiqua"/>
          <w:noProof/>
          <w:sz w:val="24"/>
          <w:szCs w:val="24"/>
          <w:vertAlign w:val="superscript"/>
          <w:lang w:val="en-US"/>
        </w:rPr>
        <w:t>[2–11]</w:t>
      </w:r>
      <w:r w:rsidR="003F349D" w:rsidRPr="00C10A48">
        <w:rPr>
          <w:rFonts w:ascii="Book Antiqua" w:hAnsi="Book Antiqua"/>
          <w:sz w:val="24"/>
          <w:szCs w:val="24"/>
          <w:lang w:val="en-US"/>
        </w:rPr>
        <w:fldChar w:fldCharType="end"/>
      </w:r>
      <w:r w:rsidR="003F349D" w:rsidRPr="00C10A48">
        <w:rPr>
          <w:rFonts w:ascii="Book Antiqua" w:hAnsi="Book Antiqua"/>
          <w:sz w:val="24"/>
          <w:szCs w:val="24"/>
          <w:lang w:val="en-US"/>
        </w:rPr>
        <w:t xml:space="preserve">. </w:t>
      </w:r>
      <w:r w:rsidRPr="00C10A48">
        <w:rPr>
          <w:rFonts w:ascii="Book Antiqua" w:hAnsi="Book Antiqua"/>
          <w:sz w:val="24"/>
          <w:szCs w:val="24"/>
          <w:lang w:val="en-US"/>
        </w:rPr>
        <w:t xml:space="preserve">These patients often undergo diagnostic or therapeutic upper gastrointestinal endoscopy, and choosing an appropriate sedative is challenging. </w:t>
      </w:r>
      <w:bookmarkEnd w:id="9"/>
      <w:r w:rsidRPr="00C10A48">
        <w:rPr>
          <w:rFonts w:ascii="Book Antiqua" w:hAnsi="Book Antiqua"/>
          <w:sz w:val="24"/>
          <w:szCs w:val="24"/>
          <w:lang w:val="en-US"/>
        </w:rPr>
        <w:t xml:space="preserve">Sedation in this group of patients with underlying liver disease and their complications presents increased risks even when performed by well-trained personnel, mainly due to drug metabolism and interactions, baseline hemodynamics, and increased risk of adverse events. The recommended sedation level for elective endoscopies in patients with cirrhosis is mild to moderate that can be administered by anesthesiologists, </w:t>
      </w:r>
      <w:proofErr w:type="spellStart"/>
      <w:r w:rsidRPr="00C10A48">
        <w:rPr>
          <w:rFonts w:ascii="Book Antiqua" w:hAnsi="Book Antiqua"/>
          <w:sz w:val="24"/>
          <w:szCs w:val="24"/>
          <w:lang w:val="en-US"/>
        </w:rPr>
        <w:t>endoscopists</w:t>
      </w:r>
      <w:proofErr w:type="spellEnd"/>
      <w:r w:rsidRPr="00C10A48">
        <w:rPr>
          <w:rFonts w:ascii="Book Antiqua" w:hAnsi="Book Antiqua"/>
          <w:sz w:val="24"/>
          <w:szCs w:val="24"/>
          <w:lang w:val="en-US"/>
        </w:rPr>
        <w:t>, or registered nurses</w:t>
      </w:r>
      <w:r w:rsidR="003F349D" w:rsidRPr="00C10A48">
        <w:rPr>
          <w:rFonts w:ascii="Book Antiqua" w:hAnsi="Book Antiqua"/>
          <w:sz w:val="24"/>
          <w:szCs w:val="24"/>
          <w:lang w:val="en-US"/>
        </w:rPr>
        <w:fldChar w:fldCharType="begin" w:fldLock="1"/>
      </w:r>
      <w:r w:rsidR="0024084B" w:rsidRPr="00C10A48">
        <w:rPr>
          <w:rFonts w:ascii="Book Antiqua" w:hAnsi="Book Antiqua"/>
          <w:sz w:val="24"/>
          <w:szCs w:val="24"/>
          <w:lang w:val="en-US"/>
        </w:rPr>
        <w:instrText>ADDIN CSL_CITATION {"citationItems":[{"id":"ITEM-1","itemData":{"DOI":"10.4253/wjge.v7.i8.769","ISSN":"1948-5190","PMID":"26191341","abstract":"The rising use of nonanesthesiologist-administered sedation for gastrointestinal endoscopy has clinical significances. Most endoscopic patients require some forms of sedation and/or anesthesia. The goals of this sedation are to guard the patient's safety, minimize physical discomfort, to control behavior and to diminish psychological responses. Generally, moderate sedation for these procedures has been offered by the non-anesthesiologist by using benzodiazepines and/or opioids. Anesthesiologists and non-anesthesiologist personnel will need to work together for these challenges and for safety of the patients. The sedation training courses including clinical skills and knowledge are necessary for the registered nurses to facilitate the patient safety and the successful procedure. However, appropriate patient selection and preparation, adequate monitoring and regular training will ensure that the use of nurse-administered sedation is a feasible and safe technique for gastrointestinal endoscopic procedures.","author":[{"dropping-particle":"","family":"Amornyotin","given":"Somchai","non-dropping-particle":"","parse-names":false,"suffix":""}],"container-title":"World Journal of Gastrointestinal Endoscopy","id":"ITEM-1","issue":"8","issued":{"date-parts":[["2015","7","10"]]},"page":"769","title":"Registered nurse-administered sedation for gastrointestinal endoscopic procedure","type":"article-journal","volume":"7"},"uris":["http://www.mendeley.com/documents/?uuid=90a7324b-eac7-4e5b-b265-535a02044f19"]}],"mendeley":{"formattedCitation":"&lt;sup&gt;[12]&lt;/sup&gt;","plainTextFormattedCitation":"[12]","previouslyFormattedCitation":"&lt;sup&gt;[11]&lt;/sup&gt;"},"properties":{"noteIndex":0},"schema":"https://github.com/citation-style-language/schema/raw/master/csl-citation.json"}</w:instrText>
      </w:r>
      <w:r w:rsidR="003F349D" w:rsidRPr="00C10A48">
        <w:rPr>
          <w:rFonts w:ascii="Book Antiqua" w:hAnsi="Book Antiqua"/>
          <w:sz w:val="24"/>
          <w:szCs w:val="24"/>
          <w:lang w:val="en-US"/>
        </w:rPr>
        <w:fldChar w:fldCharType="separate"/>
      </w:r>
      <w:r w:rsidR="0024084B" w:rsidRPr="00C10A48">
        <w:rPr>
          <w:rFonts w:ascii="Book Antiqua" w:hAnsi="Book Antiqua"/>
          <w:noProof/>
          <w:sz w:val="24"/>
          <w:szCs w:val="24"/>
          <w:vertAlign w:val="superscript"/>
          <w:lang w:val="en-US"/>
        </w:rPr>
        <w:t>[12]</w:t>
      </w:r>
      <w:r w:rsidR="003F349D" w:rsidRPr="00C10A48">
        <w:rPr>
          <w:rFonts w:ascii="Book Antiqua" w:hAnsi="Book Antiqua"/>
          <w:sz w:val="24"/>
          <w:szCs w:val="24"/>
          <w:lang w:val="en-US"/>
        </w:rPr>
        <w:fldChar w:fldCharType="end"/>
      </w:r>
      <w:r w:rsidRPr="00C10A48">
        <w:rPr>
          <w:rFonts w:ascii="Book Antiqua" w:hAnsi="Book Antiqua"/>
          <w:sz w:val="24"/>
          <w:szCs w:val="24"/>
          <w:lang w:val="en-US"/>
        </w:rPr>
        <w:t xml:space="preserve">. </w:t>
      </w:r>
    </w:p>
    <w:p w14:paraId="7214B79C" w14:textId="5D0E37BA" w:rsidR="0049425C" w:rsidRPr="00C10A48" w:rsidRDefault="002E6770" w:rsidP="00F227A9">
      <w:pPr>
        <w:snapToGrid w:val="0"/>
        <w:spacing w:after="0" w:line="360" w:lineRule="auto"/>
        <w:ind w:firstLineChars="100" w:firstLine="240"/>
        <w:jc w:val="both"/>
        <w:rPr>
          <w:rFonts w:ascii="Book Antiqua" w:hAnsi="Book Antiqua"/>
          <w:sz w:val="24"/>
          <w:szCs w:val="24"/>
          <w:lang w:val="en-US"/>
        </w:rPr>
      </w:pPr>
      <w:r w:rsidRPr="00C10A48">
        <w:rPr>
          <w:rFonts w:ascii="Book Antiqua" w:hAnsi="Book Antiqua"/>
          <w:sz w:val="24"/>
          <w:szCs w:val="24"/>
          <w:lang w:val="en-US"/>
        </w:rPr>
        <w:t>The most commonly used sedatives are usually benzodiazepine midazolam and short duration hypnotic agent propofol, while synthetic opioids can be added for their analgesic effect in some cases. Midazolam is the preferred benzodiazepine because of its short induction, recovery time, and amnesic properties</w:t>
      </w:r>
      <w:r w:rsidR="003F349D" w:rsidRPr="00C10A48">
        <w:rPr>
          <w:rFonts w:ascii="Book Antiqua" w:hAnsi="Book Antiqua"/>
          <w:sz w:val="24"/>
          <w:szCs w:val="24"/>
          <w:lang w:val="en-US"/>
        </w:rPr>
        <w:fldChar w:fldCharType="begin" w:fldLock="1"/>
      </w:r>
      <w:r w:rsidR="0024084B" w:rsidRPr="00C10A48">
        <w:rPr>
          <w:rFonts w:ascii="Book Antiqua" w:hAnsi="Book Antiqua"/>
          <w:sz w:val="24"/>
          <w:szCs w:val="24"/>
          <w:lang w:val="en-US"/>
        </w:rPr>
        <w:instrText>ADDIN CSL_CITATION {"citationItems":[{"id":"ITEM-1","itemData":{"DOI":"10.1002/cld.762","ISSN":"20462484","author":[{"dropping-particle":"","family":"Edelson","given":"Jerome C.","non-dropping-particle":"","parse-names":false,"suffix":""},{"dropping-particle":"","family":"Rockey","given":"Don C.","non-dropping-particle":"","parse-names":false,"suffix":""}],"container-title":"Clinical Liver Disease","id":"ITEM-1","issued":{"date-parts":[["2018"]]},"title":"Endoscopic Sedation of the Patient With Cirrhosis","type":"article"},"uris":["http://www.mendeley.com/documents/?uuid=3cd22ed0-c805-433f-86c0-e09e7e788138"]}],"mendeley":{"formattedCitation":"&lt;sup&gt;[13]&lt;/sup&gt;","plainTextFormattedCitation":"[13]","previouslyFormattedCitation":"&lt;sup&gt;[12]&lt;/sup&gt;"},"properties":{"noteIndex":0},"schema":"https://github.com/citation-style-language/schema/raw/master/csl-citation.json"}</w:instrText>
      </w:r>
      <w:r w:rsidR="003F349D" w:rsidRPr="00C10A48">
        <w:rPr>
          <w:rFonts w:ascii="Book Antiqua" w:hAnsi="Book Antiqua"/>
          <w:sz w:val="24"/>
          <w:szCs w:val="24"/>
          <w:lang w:val="en-US"/>
        </w:rPr>
        <w:fldChar w:fldCharType="separate"/>
      </w:r>
      <w:r w:rsidR="0024084B" w:rsidRPr="00C10A48">
        <w:rPr>
          <w:rFonts w:ascii="Book Antiqua" w:hAnsi="Book Antiqua"/>
          <w:noProof/>
          <w:sz w:val="24"/>
          <w:szCs w:val="24"/>
          <w:vertAlign w:val="superscript"/>
          <w:lang w:val="en-US"/>
        </w:rPr>
        <w:t>[13]</w:t>
      </w:r>
      <w:r w:rsidR="003F349D" w:rsidRPr="00C10A48">
        <w:rPr>
          <w:rFonts w:ascii="Book Antiqua" w:hAnsi="Book Antiqua"/>
          <w:sz w:val="24"/>
          <w:szCs w:val="24"/>
          <w:lang w:val="en-US"/>
        </w:rPr>
        <w:fldChar w:fldCharType="end"/>
      </w:r>
      <w:r w:rsidRPr="00C10A48">
        <w:rPr>
          <w:rFonts w:ascii="Book Antiqua" w:hAnsi="Book Antiqua"/>
          <w:sz w:val="24"/>
          <w:szCs w:val="24"/>
          <w:lang w:val="en-US"/>
        </w:rPr>
        <w:t>. However, the half-life of midazolam can be prolonged in patients with cirrhosis, and midazolam can trigger encephalopathy in these patients. Propofol does not need dose adjustment in patients with cirrhosis and has a faster onset of action, shorter effect, and faster recovery times</w:t>
      </w:r>
      <w:r w:rsidR="003F349D" w:rsidRPr="00C10A48">
        <w:rPr>
          <w:rFonts w:ascii="Book Antiqua" w:hAnsi="Book Antiqua"/>
          <w:sz w:val="24"/>
          <w:szCs w:val="24"/>
          <w:lang w:val="en-US"/>
        </w:rPr>
        <w:fldChar w:fldCharType="begin" w:fldLock="1"/>
      </w:r>
      <w:r w:rsidR="0024084B" w:rsidRPr="00C10A48">
        <w:rPr>
          <w:rFonts w:ascii="Book Antiqua" w:hAnsi="Book Antiqua"/>
          <w:sz w:val="24"/>
          <w:szCs w:val="24"/>
          <w:lang w:val="en-US"/>
        </w:rPr>
        <w:instrText>ADDIN CSL_CITATION {"citationItems":[{"id":"ITEM-1","itemData":{"DOI":"10.1002/cld.762","ISSN":"20462484","author":[{"dropping-particle":"","family":"Edelson","given":"Jerome C.","non-dropping-particle":"","parse-names":false,"suffix":""},{"dropping-particle":"","family":"Rockey","given":"Don C.","non-dropping-particle":"","parse-names":false,"suffix":""}],"container-title":"Clinical Liver Disease","id":"ITEM-1","issued":{"date-parts":[["2018"]]},"title":"Endoscopic Sedation of the Patient With Cirrhosis","type":"article"},"uris":["http://www.mendeley.com/documents/?uuid=3cd22ed0-c805-433f-86c0-e09e7e788138"]}],"mendeley":{"formattedCitation":"&lt;sup&gt;[13]&lt;/sup&gt;","plainTextFormattedCitation":"[13]","previouslyFormattedCitation":"&lt;sup&gt;[12]&lt;/sup&gt;"},"properties":{"noteIndex":0},"schema":"https://github.com/citation-style-language/schema/raw/master/csl-citation.json"}</w:instrText>
      </w:r>
      <w:r w:rsidR="003F349D" w:rsidRPr="00C10A48">
        <w:rPr>
          <w:rFonts w:ascii="Book Antiqua" w:hAnsi="Book Antiqua"/>
          <w:sz w:val="24"/>
          <w:szCs w:val="24"/>
          <w:lang w:val="en-US"/>
        </w:rPr>
        <w:fldChar w:fldCharType="separate"/>
      </w:r>
      <w:r w:rsidR="0024084B" w:rsidRPr="00C10A48">
        <w:rPr>
          <w:rFonts w:ascii="Book Antiqua" w:hAnsi="Book Antiqua"/>
          <w:noProof/>
          <w:sz w:val="24"/>
          <w:szCs w:val="24"/>
          <w:vertAlign w:val="superscript"/>
          <w:lang w:val="en-US"/>
        </w:rPr>
        <w:t>[13]</w:t>
      </w:r>
      <w:r w:rsidR="003F349D" w:rsidRPr="00C10A48">
        <w:rPr>
          <w:rFonts w:ascii="Book Antiqua" w:hAnsi="Book Antiqua"/>
          <w:sz w:val="24"/>
          <w:szCs w:val="24"/>
          <w:lang w:val="en-US"/>
        </w:rPr>
        <w:fldChar w:fldCharType="end"/>
      </w:r>
      <w:r w:rsidRPr="00C10A48">
        <w:rPr>
          <w:rFonts w:ascii="Book Antiqua" w:hAnsi="Book Antiqua"/>
          <w:sz w:val="24"/>
          <w:szCs w:val="24"/>
          <w:lang w:val="en-US"/>
        </w:rPr>
        <w:t xml:space="preserve">. Many studies have compared propofol with midazolam for sedation in cirrhosis showing variable results. Therefore, </w:t>
      </w:r>
      <w:bookmarkStart w:id="10" w:name="_Hlk42797666"/>
      <w:r w:rsidRPr="00C10A48">
        <w:rPr>
          <w:rFonts w:ascii="Book Antiqua" w:hAnsi="Book Antiqua"/>
          <w:sz w:val="24"/>
          <w:szCs w:val="24"/>
          <w:lang w:val="en-US"/>
        </w:rPr>
        <w:t xml:space="preserve">we aimed to perform a systematic review and meta-analysis of </w:t>
      </w:r>
      <w:r w:rsidR="00B05623" w:rsidRPr="00C10A48">
        <w:rPr>
          <w:rFonts w:ascii="Book Antiqua" w:hAnsi="Book Antiqua"/>
          <w:sz w:val="24"/>
          <w:szCs w:val="24"/>
          <w:lang w:val="en-US"/>
        </w:rPr>
        <w:t>randomized controlled tri</w:t>
      </w:r>
      <w:r w:rsidRPr="00C10A48">
        <w:rPr>
          <w:rFonts w:ascii="Book Antiqua" w:hAnsi="Book Antiqua"/>
          <w:sz w:val="24"/>
          <w:szCs w:val="24"/>
          <w:lang w:val="en-US"/>
        </w:rPr>
        <w:t>als (RCTs) to compare sedation with propofol and midazolam in patients with cirrhosis undergoing elective endoscopy.</w:t>
      </w:r>
    </w:p>
    <w:bookmarkEnd w:id="10"/>
    <w:p w14:paraId="2B190698" w14:textId="77777777" w:rsidR="002E6770" w:rsidRPr="00C10A48" w:rsidRDefault="002E6770" w:rsidP="00F227A9">
      <w:pPr>
        <w:snapToGrid w:val="0"/>
        <w:spacing w:after="0" w:line="360" w:lineRule="auto"/>
        <w:ind w:firstLine="567"/>
        <w:jc w:val="both"/>
        <w:rPr>
          <w:rFonts w:ascii="Book Antiqua" w:hAnsi="Book Antiqua" w:cs="Arial"/>
          <w:sz w:val="24"/>
          <w:szCs w:val="24"/>
          <w:shd w:val="clear" w:color="auto" w:fill="FFFFFF"/>
          <w:lang w:val="en-US"/>
        </w:rPr>
      </w:pPr>
    </w:p>
    <w:p w14:paraId="0722CD22" w14:textId="54F4CBF9" w:rsidR="00B66B4F" w:rsidRPr="00C10A48" w:rsidRDefault="00A57437" w:rsidP="00F227A9">
      <w:pPr>
        <w:snapToGrid w:val="0"/>
        <w:spacing w:after="0" w:line="360" w:lineRule="auto"/>
        <w:jc w:val="both"/>
        <w:rPr>
          <w:rFonts w:ascii="Book Antiqua" w:hAnsi="Book Antiqua" w:cs="Arial"/>
          <w:b/>
          <w:bCs/>
          <w:sz w:val="24"/>
          <w:szCs w:val="24"/>
          <w:u w:val="single"/>
          <w:shd w:val="clear" w:color="auto" w:fill="FFFFFF"/>
          <w:lang w:val="en-US"/>
        </w:rPr>
      </w:pPr>
      <w:r w:rsidRPr="00C10A48">
        <w:rPr>
          <w:rFonts w:ascii="Book Antiqua" w:hAnsi="Book Antiqua" w:cs="Arial"/>
          <w:b/>
          <w:bCs/>
          <w:sz w:val="24"/>
          <w:szCs w:val="24"/>
          <w:u w:val="single"/>
          <w:shd w:val="clear" w:color="auto" w:fill="FFFFFF"/>
          <w:lang w:val="en-US"/>
        </w:rPr>
        <w:t>MATERIALS AND METHODS</w:t>
      </w:r>
    </w:p>
    <w:p w14:paraId="548DDDE2" w14:textId="165A847E" w:rsidR="00B66B4F" w:rsidRPr="00C10A48" w:rsidRDefault="00B713F5" w:rsidP="00F227A9">
      <w:pPr>
        <w:snapToGrid w:val="0"/>
        <w:spacing w:after="0" w:line="360" w:lineRule="auto"/>
        <w:jc w:val="both"/>
        <w:rPr>
          <w:rFonts w:ascii="Book Antiqua" w:hAnsi="Book Antiqua" w:cs="Arial"/>
          <w:b/>
          <w:i/>
          <w:iCs/>
          <w:sz w:val="24"/>
          <w:szCs w:val="24"/>
          <w:shd w:val="clear" w:color="auto" w:fill="FFFFFF"/>
          <w:lang w:val="en-US"/>
        </w:rPr>
      </w:pPr>
      <w:r w:rsidRPr="00C10A48">
        <w:rPr>
          <w:rFonts w:ascii="Book Antiqua" w:hAnsi="Book Antiqua" w:cs="Arial"/>
          <w:b/>
          <w:i/>
          <w:iCs/>
          <w:sz w:val="24"/>
          <w:szCs w:val="24"/>
          <w:shd w:val="clear" w:color="auto" w:fill="FFFFFF"/>
          <w:lang w:val="en-US"/>
        </w:rPr>
        <w:t xml:space="preserve">Protocol </w:t>
      </w:r>
      <w:r w:rsidR="00A57437" w:rsidRPr="00C10A48">
        <w:rPr>
          <w:rFonts w:ascii="Book Antiqua" w:hAnsi="Book Antiqua" w:cs="Arial"/>
          <w:b/>
          <w:i/>
          <w:iCs/>
          <w:sz w:val="24"/>
          <w:szCs w:val="24"/>
          <w:shd w:val="clear" w:color="auto" w:fill="FFFFFF"/>
          <w:lang w:val="en-US"/>
        </w:rPr>
        <w:t>and registration</w:t>
      </w:r>
    </w:p>
    <w:p w14:paraId="7BA06FFA" w14:textId="6212CC78" w:rsidR="006E3234" w:rsidRPr="00C10A48" w:rsidRDefault="003135C1"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 xml:space="preserve">This systematic review was carried out in accordance with the Cochrane Handbook for Systematic Reviews of Interventions and Preferred Reporting </w:t>
      </w:r>
      <w:r w:rsidRPr="00C10A48">
        <w:rPr>
          <w:rFonts w:ascii="Book Antiqua" w:hAnsi="Book Antiqua" w:cs="Arial"/>
          <w:sz w:val="24"/>
          <w:szCs w:val="24"/>
          <w:shd w:val="clear" w:color="auto" w:fill="FFFFFF"/>
          <w:lang w:val="en-US"/>
        </w:rPr>
        <w:lastRenderedPageBreak/>
        <w:t>Items for Systematic Reviews and Meta-analysis (PRISMA). The study was registered by The International Prospective Registry of Continuous Systematic Reviews of the National Institutes of Health Research (PROSPERO), under the code CRD42019137659</w:t>
      </w:r>
      <w:r w:rsidR="00557884" w:rsidRPr="00C10A48">
        <w:rPr>
          <w:rFonts w:ascii="Book Antiqua" w:hAnsi="Book Antiqua" w:cs="Arial"/>
          <w:sz w:val="24"/>
          <w:szCs w:val="24"/>
          <w:shd w:val="clear" w:color="auto" w:fill="FFFFFF"/>
          <w:lang w:val="en-US"/>
        </w:rPr>
        <w:t xml:space="preserve"> and was approved by the Scientific Ethics Committee of the Department of Gastroenterology of the Faculty of Medicine of the University of São Paulo.</w:t>
      </w:r>
    </w:p>
    <w:p w14:paraId="0B24CA01" w14:textId="1D662C8E" w:rsidR="00D02F3F" w:rsidRPr="00C10A48" w:rsidRDefault="00D02F3F" w:rsidP="00F227A9">
      <w:pPr>
        <w:snapToGrid w:val="0"/>
        <w:spacing w:after="0" w:line="360" w:lineRule="auto"/>
        <w:jc w:val="both"/>
        <w:rPr>
          <w:rFonts w:ascii="Book Antiqua" w:hAnsi="Book Antiqua" w:cs="Arial"/>
          <w:sz w:val="24"/>
          <w:szCs w:val="24"/>
          <w:shd w:val="clear" w:color="auto" w:fill="FFFFFF"/>
          <w:lang w:val="en-US"/>
        </w:rPr>
      </w:pPr>
    </w:p>
    <w:p w14:paraId="606D7A19" w14:textId="77777777" w:rsidR="00D02F3F" w:rsidRPr="00C10A48" w:rsidRDefault="00D02F3F"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Information sources and search</w:t>
      </w:r>
    </w:p>
    <w:p w14:paraId="76FEE3B2" w14:textId="3A303C39" w:rsidR="00D02F3F" w:rsidRPr="00C10A48" w:rsidRDefault="00D02F3F"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The search was carried out using MEDLINE (</w:t>
      </w:r>
      <w:proofErr w:type="spellStart"/>
      <w:r w:rsidRPr="00C10A48">
        <w:rPr>
          <w:rFonts w:ascii="Book Antiqua" w:hAnsi="Book Antiqua" w:cs="Arial"/>
          <w:sz w:val="24"/>
          <w:szCs w:val="24"/>
          <w:shd w:val="clear" w:color="auto" w:fill="FFFFFF"/>
          <w:lang w:val="en-US"/>
        </w:rPr>
        <w:t>Pubmed</w:t>
      </w:r>
      <w:proofErr w:type="spellEnd"/>
      <w:r w:rsidRPr="00C10A48">
        <w:rPr>
          <w:rFonts w:ascii="Book Antiqua" w:hAnsi="Book Antiqua" w:cs="Arial"/>
          <w:sz w:val="24"/>
          <w:szCs w:val="24"/>
          <w:shd w:val="clear" w:color="auto" w:fill="FFFFFF"/>
          <w:lang w:val="en-US"/>
        </w:rPr>
        <w:t>); EMBASE; Cochrane Central Register of Randomized Controlled Clinical Trials/CENTRAL; and Latin-American and Caribbean Health Sciences Literature LILACS</w:t>
      </w:r>
      <w:r w:rsidR="00675395" w:rsidRPr="00C10A48">
        <w:rPr>
          <w:rFonts w:ascii="Book Antiqua" w:hAnsi="Book Antiqua" w:cs="Arial"/>
          <w:sz w:val="24"/>
          <w:szCs w:val="24"/>
          <w:shd w:val="clear" w:color="auto" w:fill="FFFFFF"/>
          <w:lang w:val="en-US"/>
        </w:rPr>
        <w:t xml:space="preserve"> electronic databases from their date of inception </w:t>
      </w:r>
      <w:r w:rsidRPr="00C10A48">
        <w:rPr>
          <w:rFonts w:ascii="Book Antiqua" w:hAnsi="Book Antiqua" w:cs="Arial"/>
          <w:sz w:val="24"/>
          <w:szCs w:val="24"/>
          <w:shd w:val="clear" w:color="auto" w:fill="FFFFFF"/>
          <w:lang w:val="en-US"/>
        </w:rPr>
        <w:t>to November 2019</w:t>
      </w:r>
      <w:r w:rsidR="00675395" w:rsidRPr="00C10A48">
        <w:rPr>
          <w:rFonts w:ascii="Book Antiqua" w:hAnsi="Book Antiqua" w:cs="Arial"/>
          <w:sz w:val="24"/>
          <w:szCs w:val="24"/>
          <w:shd w:val="clear" w:color="auto" w:fill="FFFFFF"/>
          <w:lang w:val="en-US"/>
        </w:rPr>
        <w:t xml:space="preserve"> with no language restriction</w:t>
      </w:r>
      <w:r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A g</w:t>
      </w:r>
      <w:r w:rsidRPr="00C10A48">
        <w:rPr>
          <w:rFonts w:ascii="Book Antiqua" w:hAnsi="Book Antiqua" w:cs="Arial"/>
          <w:sz w:val="24"/>
          <w:szCs w:val="24"/>
          <w:shd w:val="clear" w:color="auto" w:fill="FFFFFF"/>
          <w:lang w:val="en-US"/>
        </w:rPr>
        <w:t xml:space="preserve">ray literature </w:t>
      </w:r>
      <w:r w:rsidR="001961B6" w:rsidRPr="00C10A48">
        <w:rPr>
          <w:rFonts w:ascii="Book Antiqua" w:hAnsi="Book Antiqua" w:cs="Arial"/>
          <w:sz w:val="24"/>
          <w:szCs w:val="24"/>
          <w:shd w:val="clear" w:color="auto" w:fill="FFFFFF"/>
          <w:lang w:val="en-US"/>
        </w:rPr>
        <w:t xml:space="preserve">search </w:t>
      </w:r>
      <w:r w:rsidRPr="00C10A48">
        <w:rPr>
          <w:rFonts w:ascii="Book Antiqua" w:hAnsi="Book Antiqua" w:cs="Arial"/>
          <w:sz w:val="24"/>
          <w:szCs w:val="24"/>
          <w:shd w:val="clear" w:color="auto" w:fill="FFFFFF"/>
          <w:lang w:val="en-US"/>
        </w:rPr>
        <w:t xml:space="preserve">was also performed. </w:t>
      </w:r>
      <w:r w:rsidR="00675395" w:rsidRPr="00C10A48">
        <w:rPr>
          <w:rFonts w:ascii="Book Antiqua" w:hAnsi="Book Antiqua" w:cs="Arial"/>
          <w:sz w:val="24"/>
          <w:szCs w:val="24"/>
          <w:shd w:val="clear" w:color="auto" w:fill="FFFFFF"/>
          <w:lang w:val="en-US"/>
        </w:rPr>
        <w:t>The terms used for data</w:t>
      </w:r>
      <w:r w:rsidR="000A0606" w:rsidRPr="00C10A48">
        <w:rPr>
          <w:rFonts w:ascii="Book Antiqua" w:hAnsi="Book Antiqua" w:cs="Arial"/>
          <w:sz w:val="24"/>
          <w:szCs w:val="24"/>
          <w:shd w:val="clear" w:color="auto" w:fill="FFFFFF"/>
          <w:lang w:val="en-US"/>
        </w:rPr>
        <w:t>base</w:t>
      </w:r>
      <w:r w:rsidR="00675395" w:rsidRPr="00C10A48">
        <w:rPr>
          <w:rFonts w:ascii="Book Antiqua" w:hAnsi="Book Antiqua" w:cs="Arial"/>
          <w:sz w:val="24"/>
          <w:szCs w:val="24"/>
          <w:shd w:val="clear" w:color="auto" w:fill="FFFFFF"/>
          <w:lang w:val="en-US"/>
        </w:rPr>
        <w:t xml:space="preserve"> search </w:t>
      </w:r>
      <w:r w:rsidR="000A0606" w:rsidRPr="00C10A48">
        <w:rPr>
          <w:rFonts w:ascii="Book Antiqua" w:hAnsi="Book Antiqua" w:cs="Arial"/>
          <w:sz w:val="24"/>
          <w:szCs w:val="24"/>
          <w:shd w:val="clear" w:color="auto" w:fill="FFFFFF"/>
          <w:lang w:val="en-US"/>
        </w:rPr>
        <w:t>were</w:t>
      </w:r>
      <w:r w:rsidRPr="00C10A48">
        <w:rPr>
          <w:rFonts w:ascii="Book Antiqua" w:hAnsi="Book Antiqua" w:cs="Arial"/>
          <w:sz w:val="24"/>
          <w:szCs w:val="24"/>
          <w:shd w:val="clear" w:color="auto" w:fill="FFFFFF"/>
          <w:lang w:val="en-US"/>
        </w:rPr>
        <w:t xml:space="preserve"> </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Sedation OR Sedations OR anesthesia OR Propofol OR Midazolam OR benzodiazepine</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 AND </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Endoscopy OR </w:t>
      </w:r>
      <w:r w:rsidR="00D5382E" w:rsidRPr="00C10A48">
        <w:rPr>
          <w:rFonts w:ascii="Book Antiqua" w:hAnsi="Book Antiqua" w:cs="Arial"/>
          <w:iCs/>
          <w:sz w:val="24"/>
          <w:szCs w:val="24"/>
          <w:shd w:val="clear" w:color="auto" w:fill="FFFFFF"/>
          <w:lang w:val="en-US"/>
        </w:rPr>
        <w:t>endoscopic</w:t>
      </w:r>
      <w:r w:rsidRPr="00C10A48">
        <w:rPr>
          <w:rFonts w:ascii="Book Antiqua" w:hAnsi="Book Antiqua" w:cs="Arial"/>
          <w:iCs/>
          <w:sz w:val="24"/>
          <w:szCs w:val="24"/>
          <w:shd w:val="clear" w:color="auto" w:fill="FFFFFF"/>
          <w:lang w:val="en-US"/>
        </w:rPr>
        <w:t xml:space="preserve"> OR </w:t>
      </w:r>
      <w:proofErr w:type="spellStart"/>
      <w:r w:rsidR="00D5382E" w:rsidRPr="00C10A48">
        <w:rPr>
          <w:rFonts w:ascii="Book Antiqua" w:hAnsi="Book Antiqua" w:cs="Arial"/>
          <w:iCs/>
          <w:sz w:val="24"/>
          <w:szCs w:val="24"/>
          <w:shd w:val="clear" w:color="auto" w:fill="FFFFFF"/>
          <w:lang w:val="en-US"/>
        </w:rPr>
        <w:t>panendoscopy</w:t>
      </w:r>
      <w:proofErr w:type="spellEnd"/>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 AND </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Cirrhosis OR </w:t>
      </w:r>
      <w:r w:rsidR="00D5382E" w:rsidRPr="00C10A48">
        <w:rPr>
          <w:rFonts w:ascii="Book Antiqua" w:hAnsi="Book Antiqua" w:cs="Arial"/>
          <w:iCs/>
          <w:sz w:val="24"/>
          <w:szCs w:val="24"/>
          <w:shd w:val="clear" w:color="auto" w:fill="FFFFFF"/>
          <w:lang w:val="en-US"/>
        </w:rPr>
        <w:t>liver</w:t>
      </w:r>
      <w:r w:rsidRPr="00C10A48">
        <w:rPr>
          <w:rFonts w:ascii="Book Antiqua" w:hAnsi="Book Antiqua" w:cs="Arial"/>
          <w:iCs/>
          <w:sz w:val="24"/>
          <w:szCs w:val="24"/>
          <w:shd w:val="clear" w:color="auto" w:fill="FFFFFF"/>
          <w:lang w:val="en-US"/>
        </w:rPr>
        <w:t xml:space="preserve"> OR </w:t>
      </w:r>
      <w:r w:rsidR="00D5382E" w:rsidRPr="00C10A48">
        <w:rPr>
          <w:rFonts w:ascii="Book Antiqua" w:hAnsi="Book Antiqua" w:cs="Arial"/>
          <w:iCs/>
          <w:sz w:val="24"/>
          <w:szCs w:val="24"/>
          <w:shd w:val="clear" w:color="auto" w:fill="FFFFFF"/>
          <w:lang w:val="en-US"/>
        </w:rPr>
        <w:t>hepatic</w:t>
      </w:r>
      <w:r w:rsidR="000A0606" w:rsidRPr="00C10A48">
        <w:rPr>
          <w:rFonts w:ascii="Book Antiqua" w:hAnsi="Book Antiqua" w:cs="Arial"/>
          <w:iCs/>
          <w:sz w:val="24"/>
          <w:szCs w:val="24"/>
          <w:shd w:val="clear" w:color="auto" w:fill="FFFFFF"/>
          <w:lang w:val="en-US"/>
        </w:rPr>
        <w:t>.</w:t>
      </w:r>
      <w:r w:rsidR="00F26942" w:rsidRPr="00C10A48">
        <w:rPr>
          <w:rFonts w:ascii="Book Antiqua" w:hAnsi="Book Antiqua" w:cs="Arial"/>
          <w:iCs/>
          <w:sz w:val="24"/>
          <w:szCs w:val="24"/>
          <w:shd w:val="clear" w:color="auto" w:fill="FFFFFF"/>
          <w:lang w:val="en-US"/>
        </w:rPr>
        <w:t>"</w:t>
      </w:r>
    </w:p>
    <w:p w14:paraId="20CDB9CB" w14:textId="77777777" w:rsidR="003135C1" w:rsidRPr="00C10A48" w:rsidRDefault="003135C1" w:rsidP="00F227A9">
      <w:pPr>
        <w:snapToGrid w:val="0"/>
        <w:spacing w:after="0" w:line="360" w:lineRule="auto"/>
        <w:jc w:val="both"/>
        <w:rPr>
          <w:rFonts w:ascii="Book Antiqua" w:hAnsi="Book Antiqua" w:cs="Arial"/>
          <w:sz w:val="24"/>
          <w:szCs w:val="24"/>
          <w:shd w:val="clear" w:color="auto" w:fill="FFFFFF"/>
          <w:lang w:val="en-US"/>
        </w:rPr>
      </w:pPr>
    </w:p>
    <w:p w14:paraId="60D66F10" w14:textId="29C9D357" w:rsidR="003135C1" w:rsidRPr="00C10A48" w:rsidRDefault="003135C1"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Study selection, eligibility criteria</w:t>
      </w:r>
      <w:r w:rsidR="000A0606" w:rsidRPr="00C10A48">
        <w:rPr>
          <w:rFonts w:ascii="Book Antiqua" w:hAnsi="Book Antiqua" w:cs="Arial"/>
          <w:b/>
          <w:bCs/>
          <w:i/>
          <w:iCs/>
          <w:sz w:val="24"/>
          <w:szCs w:val="24"/>
          <w:shd w:val="clear" w:color="auto" w:fill="FFFFFF"/>
          <w:lang w:val="en-US"/>
        </w:rPr>
        <w:t>,</w:t>
      </w:r>
      <w:r w:rsidR="0018055D" w:rsidRPr="00C10A48">
        <w:rPr>
          <w:rFonts w:ascii="Book Antiqua" w:hAnsi="Book Antiqua" w:cs="Arial"/>
          <w:b/>
          <w:bCs/>
          <w:i/>
          <w:iCs/>
          <w:sz w:val="24"/>
          <w:szCs w:val="24"/>
          <w:shd w:val="clear" w:color="auto" w:fill="FFFFFF"/>
          <w:lang w:val="en-US"/>
        </w:rPr>
        <w:t xml:space="preserve"> and data items</w:t>
      </w:r>
    </w:p>
    <w:p w14:paraId="5BCF6BCE" w14:textId="139D3587" w:rsidR="003135C1" w:rsidRPr="00C10A48" w:rsidRDefault="00F03591"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RCTs comparing</w:t>
      </w:r>
      <w:r w:rsidR="003135C1" w:rsidRPr="00C10A48">
        <w:rPr>
          <w:rFonts w:ascii="Book Antiqua" w:hAnsi="Book Antiqua" w:cs="Arial"/>
          <w:sz w:val="24"/>
          <w:szCs w:val="24"/>
          <w:shd w:val="clear" w:color="auto" w:fill="FFFFFF"/>
          <w:lang w:val="en-US"/>
        </w:rPr>
        <w:t xml:space="preserve"> </w:t>
      </w:r>
      <w:r w:rsidRPr="00C10A48">
        <w:rPr>
          <w:rFonts w:ascii="Book Antiqua" w:hAnsi="Book Antiqua" w:cs="Arial"/>
          <w:sz w:val="24"/>
          <w:szCs w:val="24"/>
          <w:shd w:val="clear" w:color="auto" w:fill="FFFFFF"/>
          <w:lang w:val="en-US"/>
        </w:rPr>
        <w:t xml:space="preserve">propofol and midazolam </w:t>
      </w:r>
      <w:r w:rsidR="003135C1" w:rsidRPr="00C10A48">
        <w:rPr>
          <w:rFonts w:ascii="Book Antiqua" w:hAnsi="Book Antiqua" w:cs="Arial"/>
          <w:sz w:val="24"/>
          <w:szCs w:val="24"/>
          <w:shd w:val="clear" w:color="auto" w:fill="FFFFFF"/>
          <w:lang w:val="en-US"/>
        </w:rPr>
        <w:t xml:space="preserve">for sedation during elective </w:t>
      </w:r>
      <w:bookmarkStart w:id="11" w:name="_Hlk32946867"/>
      <w:r w:rsidR="000A0606" w:rsidRPr="00C10A48">
        <w:rPr>
          <w:rFonts w:ascii="Book Antiqua" w:hAnsi="Book Antiqua" w:cs="Arial"/>
          <w:sz w:val="24"/>
          <w:szCs w:val="24"/>
          <w:shd w:val="clear" w:color="auto" w:fill="FFFFFF"/>
          <w:lang w:val="en-US"/>
        </w:rPr>
        <w:t xml:space="preserve">gastrointestinal </w:t>
      </w:r>
      <w:bookmarkEnd w:id="11"/>
      <w:r w:rsidR="003135C1" w:rsidRPr="00C10A48">
        <w:rPr>
          <w:rFonts w:ascii="Book Antiqua" w:hAnsi="Book Antiqua" w:cs="Arial"/>
          <w:sz w:val="24"/>
          <w:szCs w:val="24"/>
          <w:shd w:val="clear" w:color="auto" w:fill="FFFFFF"/>
          <w:lang w:val="en-US"/>
        </w:rPr>
        <w:t xml:space="preserve">endoscopy in </w:t>
      </w:r>
      <w:r w:rsidRPr="00C10A48">
        <w:rPr>
          <w:rFonts w:ascii="Book Antiqua" w:hAnsi="Book Antiqua" w:cs="Arial"/>
          <w:sz w:val="24"/>
          <w:szCs w:val="24"/>
          <w:shd w:val="clear" w:color="auto" w:fill="FFFFFF"/>
          <w:lang w:val="en-US"/>
        </w:rPr>
        <w:t>patients with cirrhosis</w:t>
      </w:r>
      <w:r w:rsidR="003135C1" w:rsidRPr="00C10A48">
        <w:rPr>
          <w:rFonts w:ascii="Book Antiqua" w:hAnsi="Book Antiqua" w:cs="Arial"/>
          <w:sz w:val="24"/>
          <w:szCs w:val="24"/>
          <w:shd w:val="clear" w:color="auto" w:fill="FFFFFF"/>
          <w:lang w:val="en-US"/>
        </w:rPr>
        <w:t xml:space="preserve"> </w:t>
      </w:r>
      <w:r w:rsidRPr="00C10A48">
        <w:rPr>
          <w:rFonts w:ascii="Book Antiqua" w:hAnsi="Book Antiqua" w:cs="Arial"/>
          <w:sz w:val="24"/>
          <w:szCs w:val="24"/>
          <w:shd w:val="clear" w:color="auto" w:fill="FFFFFF"/>
          <w:lang w:val="en-US"/>
        </w:rPr>
        <w:t xml:space="preserve">more than </w:t>
      </w:r>
      <w:r w:rsidR="003135C1" w:rsidRPr="00C10A48">
        <w:rPr>
          <w:rFonts w:ascii="Book Antiqua" w:hAnsi="Book Antiqua" w:cs="Arial"/>
          <w:sz w:val="24"/>
          <w:szCs w:val="24"/>
          <w:shd w:val="clear" w:color="auto" w:fill="FFFFFF"/>
          <w:lang w:val="en-US"/>
        </w:rPr>
        <w:t>18 years o</w:t>
      </w:r>
      <w:r w:rsidRPr="00C10A48">
        <w:rPr>
          <w:rFonts w:ascii="Book Antiqua" w:hAnsi="Book Antiqua" w:cs="Arial"/>
          <w:sz w:val="24"/>
          <w:szCs w:val="24"/>
          <w:shd w:val="clear" w:color="auto" w:fill="FFFFFF"/>
          <w:lang w:val="en-US"/>
        </w:rPr>
        <w:t>f age</w:t>
      </w:r>
      <w:r w:rsidR="00D5382E" w:rsidRPr="00C10A48">
        <w:rPr>
          <w:rFonts w:ascii="Book Antiqua" w:hAnsi="Book Antiqua" w:cs="Arial"/>
          <w:sz w:val="24"/>
          <w:szCs w:val="24"/>
          <w:shd w:val="clear" w:color="auto" w:fill="FFFFFF"/>
          <w:lang w:val="en-US"/>
        </w:rPr>
        <w:t xml:space="preserve"> were included</w:t>
      </w:r>
      <w:r w:rsidR="003135C1"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Studies were excluded if</w:t>
      </w:r>
      <w:r w:rsidR="00675395"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 xml:space="preserve">they included patients </w:t>
      </w:r>
      <w:r w:rsidR="003135C1" w:rsidRPr="00C10A48">
        <w:rPr>
          <w:rFonts w:ascii="Book Antiqua" w:hAnsi="Book Antiqua" w:cs="Arial"/>
          <w:sz w:val="24"/>
          <w:szCs w:val="24"/>
          <w:shd w:val="clear" w:color="auto" w:fill="FFFFFF"/>
          <w:lang w:val="en-US"/>
        </w:rPr>
        <w:t>without cirrhosis</w:t>
      </w:r>
      <w:r w:rsidR="001961B6" w:rsidRPr="00C10A48">
        <w:rPr>
          <w:rFonts w:ascii="Book Antiqua" w:hAnsi="Book Antiqua" w:cs="Arial"/>
          <w:sz w:val="24"/>
          <w:szCs w:val="24"/>
          <w:shd w:val="clear" w:color="auto" w:fill="FFFFFF"/>
          <w:lang w:val="en-US"/>
        </w:rPr>
        <w:t>,</w:t>
      </w:r>
      <w:r w:rsidR="003135C1" w:rsidRPr="00C10A48">
        <w:rPr>
          <w:rFonts w:ascii="Book Antiqua" w:hAnsi="Book Antiqua" w:cs="Arial"/>
          <w:sz w:val="24"/>
          <w:szCs w:val="24"/>
          <w:shd w:val="clear" w:color="auto" w:fill="FFFFFF"/>
          <w:lang w:val="en-US"/>
        </w:rPr>
        <w:t xml:space="preserve"> patients with upper gastrointestinal bleeding, decompensated liver disease, neurological or psychiatric diseases; patients who used illicit drugs that could alter their central nervous system; patients that used drugs </w:t>
      </w:r>
      <w:r w:rsidR="001961B6" w:rsidRPr="00C10A48">
        <w:rPr>
          <w:rFonts w:ascii="Book Antiqua" w:hAnsi="Book Antiqua" w:cs="Arial"/>
          <w:sz w:val="24"/>
          <w:szCs w:val="24"/>
          <w:shd w:val="clear" w:color="auto" w:fill="FFFFFF"/>
          <w:lang w:val="en-US"/>
        </w:rPr>
        <w:t xml:space="preserve">such </w:t>
      </w:r>
      <w:r w:rsidR="003135C1" w:rsidRPr="00C10A48">
        <w:rPr>
          <w:rFonts w:ascii="Book Antiqua" w:hAnsi="Book Antiqua" w:cs="Arial"/>
          <w:sz w:val="24"/>
          <w:szCs w:val="24"/>
          <w:shd w:val="clear" w:color="auto" w:fill="FFFFFF"/>
          <w:lang w:val="en-US"/>
        </w:rPr>
        <w:t xml:space="preserve">as benzodiazepines, anti-depressants, antiepileptics, and </w:t>
      </w:r>
      <w:r w:rsidR="001961B6" w:rsidRPr="00C10A48">
        <w:rPr>
          <w:rFonts w:ascii="Book Antiqua" w:hAnsi="Book Antiqua" w:cs="Arial"/>
          <w:sz w:val="24"/>
          <w:szCs w:val="24"/>
          <w:shd w:val="clear" w:color="auto" w:fill="FFFFFF"/>
          <w:lang w:val="en-US"/>
        </w:rPr>
        <w:t xml:space="preserve">patients with </w:t>
      </w:r>
      <w:r w:rsidR="003135C1" w:rsidRPr="00C10A48">
        <w:rPr>
          <w:rFonts w:ascii="Book Antiqua" w:hAnsi="Book Antiqua" w:cs="Arial"/>
          <w:sz w:val="24"/>
          <w:szCs w:val="24"/>
          <w:shd w:val="clear" w:color="auto" w:fill="FFFFFF"/>
          <w:lang w:val="en-US"/>
        </w:rPr>
        <w:t>ASA</w:t>
      </w:r>
      <w:r w:rsidR="001961B6" w:rsidRPr="00C10A48">
        <w:rPr>
          <w:rFonts w:ascii="Book Antiqua" w:hAnsi="Book Antiqua" w:cs="Arial"/>
          <w:sz w:val="24"/>
          <w:szCs w:val="24"/>
          <w:shd w:val="clear" w:color="auto" w:fill="FFFFFF"/>
          <w:lang w:val="en-US"/>
        </w:rPr>
        <w:t xml:space="preserve"> class</w:t>
      </w:r>
      <w:r w:rsidR="003135C1" w:rsidRPr="00C10A48">
        <w:rPr>
          <w:rFonts w:ascii="Book Antiqua" w:hAnsi="Book Antiqua" w:cs="Arial"/>
          <w:sz w:val="24"/>
          <w:szCs w:val="24"/>
          <w:shd w:val="clear" w:color="auto" w:fill="FFFFFF"/>
          <w:lang w:val="en-US"/>
        </w:rPr>
        <w:t xml:space="preserve"> IV-V</w:t>
      </w:r>
      <w:r w:rsidR="001961B6" w:rsidRPr="00C10A48">
        <w:rPr>
          <w:rFonts w:ascii="Book Antiqua" w:hAnsi="Book Antiqua" w:cs="Arial"/>
          <w:sz w:val="24"/>
          <w:szCs w:val="24"/>
          <w:shd w:val="clear" w:color="auto" w:fill="FFFFFF"/>
          <w:lang w:val="en-US"/>
        </w:rPr>
        <w:t xml:space="preserve">. </w:t>
      </w:r>
      <w:r w:rsidR="003135C1"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Case series and s</w:t>
      </w:r>
      <w:r w:rsidR="003135C1" w:rsidRPr="00C10A48">
        <w:rPr>
          <w:rFonts w:ascii="Book Antiqua" w:hAnsi="Book Antiqua" w:cs="Arial"/>
          <w:sz w:val="24"/>
          <w:szCs w:val="24"/>
          <w:shd w:val="clear" w:color="auto" w:fill="FFFFFF"/>
          <w:lang w:val="en-US"/>
        </w:rPr>
        <w:t>tudies that did not provide enough data for outcome analysis</w:t>
      </w:r>
      <w:r w:rsidR="001961B6" w:rsidRPr="00C10A48">
        <w:rPr>
          <w:rFonts w:ascii="Book Antiqua" w:hAnsi="Book Antiqua" w:cs="Arial"/>
          <w:sz w:val="24"/>
          <w:szCs w:val="24"/>
          <w:shd w:val="clear" w:color="auto" w:fill="FFFFFF"/>
          <w:lang w:val="en-US"/>
        </w:rPr>
        <w:t xml:space="preserve"> or </w:t>
      </w:r>
      <w:r w:rsidR="003135C1" w:rsidRPr="00C10A48">
        <w:rPr>
          <w:rFonts w:ascii="Book Antiqua" w:hAnsi="Book Antiqua" w:cs="Arial"/>
          <w:sz w:val="24"/>
          <w:szCs w:val="24"/>
          <w:shd w:val="clear" w:color="auto" w:fill="FFFFFF"/>
          <w:lang w:val="en-US"/>
        </w:rPr>
        <w:t>full text</w:t>
      </w:r>
      <w:r w:rsidR="001961B6" w:rsidRPr="00C10A48">
        <w:rPr>
          <w:rFonts w:ascii="Book Antiqua" w:hAnsi="Book Antiqua" w:cs="Arial"/>
          <w:sz w:val="24"/>
          <w:szCs w:val="24"/>
          <w:shd w:val="clear" w:color="auto" w:fill="FFFFFF"/>
          <w:lang w:val="en-US"/>
        </w:rPr>
        <w:t xml:space="preserve"> were also excluded</w:t>
      </w:r>
      <w:r w:rsidR="003135C1" w:rsidRPr="00C10A48">
        <w:rPr>
          <w:rFonts w:ascii="Book Antiqua" w:hAnsi="Book Antiqua" w:cs="Arial"/>
          <w:sz w:val="24"/>
          <w:szCs w:val="24"/>
          <w:shd w:val="clear" w:color="auto" w:fill="FFFFFF"/>
          <w:lang w:val="en-US"/>
        </w:rPr>
        <w:t>.</w:t>
      </w:r>
      <w:r w:rsidR="00D5382E" w:rsidRPr="00C10A48">
        <w:rPr>
          <w:rFonts w:ascii="Book Antiqua" w:hAnsi="Book Antiqua" w:cs="Arial"/>
          <w:sz w:val="24"/>
          <w:szCs w:val="24"/>
          <w:shd w:val="clear" w:color="auto" w:fill="FFFFFF"/>
          <w:lang w:val="en-US"/>
        </w:rPr>
        <w:t xml:space="preserve"> The outcomes of our study were p</w:t>
      </w:r>
      <w:r w:rsidR="003135C1" w:rsidRPr="00C10A48">
        <w:rPr>
          <w:rFonts w:ascii="Book Antiqua" w:hAnsi="Book Antiqua" w:cs="Arial"/>
          <w:sz w:val="24"/>
          <w:szCs w:val="24"/>
          <w:shd w:val="clear" w:color="auto" w:fill="FFFFFF"/>
          <w:lang w:val="en-US"/>
        </w:rPr>
        <w:t>rocedure time, recovery time, discharge time, and adverse events (bradycardia, hypotension</w:t>
      </w:r>
      <w:r w:rsidR="000A0606" w:rsidRPr="00C10A48">
        <w:rPr>
          <w:rFonts w:ascii="Book Antiqua" w:hAnsi="Book Antiqua" w:cs="Arial"/>
          <w:sz w:val="24"/>
          <w:szCs w:val="24"/>
          <w:shd w:val="clear" w:color="auto" w:fill="FFFFFF"/>
          <w:lang w:val="en-US"/>
        </w:rPr>
        <w:t>,</w:t>
      </w:r>
      <w:r w:rsidR="003135C1" w:rsidRPr="00C10A48">
        <w:rPr>
          <w:rFonts w:ascii="Book Antiqua" w:hAnsi="Book Antiqua" w:cs="Arial"/>
          <w:sz w:val="24"/>
          <w:szCs w:val="24"/>
          <w:shd w:val="clear" w:color="auto" w:fill="FFFFFF"/>
          <w:lang w:val="en-US"/>
        </w:rPr>
        <w:t xml:space="preserve"> and hypoxemia).</w:t>
      </w:r>
    </w:p>
    <w:p w14:paraId="21CE8AA2" w14:textId="77777777" w:rsidR="00882772" w:rsidRPr="00C10A48" w:rsidRDefault="00882772" w:rsidP="00F227A9">
      <w:pPr>
        <w:snapToGrid w:val="0"/>
        <w:spacing w:after="0" w:line="360" w:lineRule="auto"/>
        <w:jc w:val="both"/>
        <w:rPr>
          <w:rFonts w:ascii="Book Antiqua" w:hAnsi="Book Antiqua"/>
          <w:i/>
          <w:iCs/>
          <w:sz w:val="24"/>
          <w:szCs w:val="24"/>
          <w:lang w:val="en-US"/>
        </w:rPr>
      </w:pPr>
    </w:p>
    <w:p w14:paraId="2D8D6D15" w14:textId="5865EA70" w:rsidR="009C4441" w:rsidRPr="00C10A48" w:rsidRDefault="009C4441"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Study selection and data collection process</w:t>
      </w:r>
    </w:p>
    <w:p w14:paraId="6BBB6333" w14:textId="07D9D013" w:rsidR="006E3234" w:rsidRPr="00C10A48" w:rsidRDefault="0092213F"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lastRenderedPageBreak/>
        <w:t>All data were extracted from article texts, tables, and figures with any estimates made based on the presented data and figures. Two investigators independently reviewed each included article, and its eligibility was determined based on predetermined inclusion and exclusion criteria. Any discrepancy resolved by discussion and re</w:t>
      </w:r>
      <w:r w:rsidR="0018055D" w:rsidRPr="00C10A48">
        <w:rPr>
          <w:rFonts w:ascii="Book Antiqua" w:hAnsi="Book Antiqua" w:cs="SimSun"/>
          <w:sz w:val="24"/>
          <w:szCs w:val="24"/>
          <w:shd w:val="clear" w:color="auto" w:fill="FFFFFF"/>
          <w:lang w:val="en-US" w:eastAsia="zh-CN"/>
        </w:rPr>
        <w:t>-</w:t>
      </w:r>
      <w:r w:rsidRPr="00C10A48">
        <w:rPr>
          <w:rFonts w:ascii="Book Antiqua" w:hAnsi="Book Antiqua" w:cs="Arial"/>
          <w:sz w:val="24"/>
          <w:szCs w:val="24"/>
          <w:shd w:val="clear" w:color="auto" w:fill="FFFFFF"/>
          <w:lang w:val="en-US"/>
        </w:rPr>
        <w:t xml:space="preserve">evaluation by senior authors. </w:t>
      </w:r>
      <w:r w:rsidR="003135C1" w:rsidRPr="00C10A48">
        <w:rPr>
          <w:rFonts w:ascii="Book Antiqua" w:hAnsi="Book Antiqua" w:cs="Arial"/>
          <w:sz w:val="24"/>
          <w:szCs w:val="24"/>
          <w:shd w:val="clear" w:color="auto" w:fill="FFFFFF"/>
          <w:lang w:val="en-US"/>
        </w:rPr>
        <w:t xml:space="preserve">The following data were collected: study model, </w:t>
      </w:r>
      <w:r w:rsidR="000A0606" w:rsidRPr="00C10A48">
        <w:rPr>
          <w:rFonts w:ascii="Book Antiqua" w:hAnsi="Book Antiqua" w:cs="Arial"/>
          <w:sz w:val="24"/>
          <w:szCs w:val="24"/>
          <w:shd w:val="clear" w:color="auto" w:fill="FFFFFF"/>
          <w:lang w:val="en-US"/>
        </w:rPr>
        <w:t xml:space="preserve">the </w:t>
      </w:r>
      <w:r w:rsidR="003135C1" w:rsidRPr="00C10A48">
        <w:rPr>
          <w:rFonts w:ascii="Book Antiqua" w:hAnsi="Book Antiqua" w:cs="Arial"/>
          <w:sz w:val="24"/>
          <w:szCs w:val="24"/>
          <w:shd w:val="clear" w:color="auto" w:fill="FFFFFF"/>
          <w:lang w:val="en-US"/>
        </w:rPr>
        <w:t xml:space="preserve">total number of included patients, gender, age, etiology of cirrhosis, Child-Turcotte-Pugh score, </w:t>
      </w:r>
      <w:r w:rsidR="000A0606" w:rsidRPr="00C10A48">
        <w:rPr>
          <w:rFonts w:ascii="Book Antiqua" w:hAnsi="Book Antiqua" w:cs="Arial"/>
          <w:sz w:val="24"/>
          <w:szCs w:val="24"/>
          <w:shd w:val="clear" w:color="auto" w:fill="FFFFFF"/>
          <w:lang w:val="en-US"/>
        </w:rPr>
        <w:t xml:space="preserve">and </w:t>
      </w:r>
      <w:r w:rsidR="003135C1" w:rsidRPr="00C10A48">
        <w:rPr>
          <w:rFonts w:ascii="Book Antiqua" w:hAnsi="Book Antiqua" w:cs="Arial"/>
          <w:sz w:val="24"/>
          <w:szCs w:val="24"/>
          <w:shd w:val="clear" w:color="auto" w:fill="FFFFFF"/>
          <w:lang w:val="en-US"/>
        </w:rPr>
        <w:t>adverse events</w:t>
      </w:r>
      <w:r w:rsidR="000A0606" w:rsidRPr="00C10A48">
        <w:rPr>
          <w:rFonts w:ascii="Book Antiqua" w:hAnsi="Book Antiqua" w:cs="Arial"/>
          <w:sz w:val="24"/>
          <w:szCs w:val="24"/>
          <w:shd w:val="clear" w:color="auto" w:fill="FFFFFF"/>
          <w:lang w:val="en-US"/>
        </w:rPr>
        <w:t xml:space="preserve"> related</w:t>
      </w:r>
      <w:r w:rsidR="003135C1" w:rsidRPr="00C10A48">
        <w:rPr>
          <w:rFonts w:ascii="Book Antiqua" w:hAnsi="Book Antiqua" w:cs="Arial"/>
          <w:sz w:val="24"/>
          <w:szCs w:val="24"/>
          <w:shd w:val="clear" w:color="auto" w:fill="FFFFFF"/>
          <w:lang w:val="en-US"/>
        </w:rPr>
        <w:t xml:space="preserve"> to the sedation. </w:t>
      </w:r>
    </w:p>
    <w:p w14:paraId="0ED4E015" w14:textId="77777777" w:rsidR="0092213F" w:rsidRPr="00C10A48" w:rsidRDefault="0092213F" w:rsidP="00F227A9">
      <w:pPr>
        <w:snapToGrid w:val="0"/>
        <w:spacing w:after="0" w:line="360" w:lineRule="auto"/>
        <w:jc w:val="both"/>
        <w:rPr>
          <w:rFonts w:ascii="Book Antiqua" w:hAnsi="Book Antiqua" w:cs="Arial"/>
          <w:sz w:val="24"/>
          <w:szCs w:val="24"/>
          <w:shd w:val="clear" w:color="auto" w:fill="FFFFFF"/>
          <w:lang w:val="en-US"/>
        </w:rPr>
      </w:pPr>
    </w:p>
    <w:p w14:paraId="6B2FB728" w14:textId="77777777" w:rsidR="00DF24DC" w:rsidRPr="00C10A48" w:rsidRDefault="00DF24DC"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Risk of bias in individual studies</w:t>
      </w:r>
    </w:p>
    <w:p w14:paraId="480DE22C" w14:textId="1459A70A" w:rsidR="006E3234" w:rsidRPr="00C10A48" w:rsidRDefault="00882772"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The risk of bias in the studies was assessed using the Revised Cochrane Risk-of-Bias tool for randomized trials (RoB-2). We performed a complete analysis using RoB-2 for each of the outcomes in each selected study. In order to simplify the analysis, we assessed the overall risk of bias for each study using the same domains suggested in RoB-2.</w:t>
      </w:r>
    </w:p>
    <w:p w14:paraId="4E69EDC5" w14:textId="4E005A44" w:rsidR="00882772" w:rsidRPr="00C10A48" w:rsidRDefault="00882772" w:rsidP="00F227A9">
      <w:pPr>
        <w:snapToGrid w:val="0"/>
        <w:spacing w:after="0" w:line="360" w:lineRule="auto"/>
        <w:jc w:val="both"/>
        <w:rPr>
          <w:rFonts w:ascii="Book Antiqua" w:hAnsi="Book Antiqua" w:cs="Arial"/>
          <w:sz w:val="24"/>
          <w:szCs w:val="24"/>
          <w:shd w:val="clear" w:color="auto" w:fill="FFFFFF"/>
          <w:lang w:val="en-US"/>
        </w:rPr>
      </w:pPr>
    </w:p>
    <w:p w14:paraId="7F71897F" w14:textId="77777777" w:rsidR="00882772" w:rsidRPr="00C10A48" w:rsidRDefault="00882772" w:rsidP="00F227A9">
      <w:pPr>
        <w:snapToGrid w:val="0"/>
        <w:spacing w:after="0" w:line="360" w:lineRule="auto"/>
        <w:jc w:val="both"/>
        <w:rPr>
          <w:rFonts w:ascii="Book Antiqua" w:hAnsi="Book Antiqua" w:cs="Arial"/>
          <w:b/>
          <w:i/>
          <w:sz w:val="24"/>
          <w:szCs w:val="24"/>
          <w:shd w:val="clear" w:color="auto" w:fill="FFFFFF"/>
          <w:lang w:val="en-US"/>
        </w:rPr>
      </w:pPr>
      <w:r w:rsidRPr="00C10A48">
        <w:rPr>
          <w:rFonts w:ascii="Book Antiqua" w:hAnsi="Book Antiqua" w:cs="Arial"/>
          <w:b/>
          <w:i/>
          <w:sz w:val="24"/>
          <w:szCs w:val="24"/>
          <w:shd w:val="clear" w:color="auto" w:fill="FFFFFF"/>
          <w:lang w:val="en-US"/>
        </w:rPr>
        <w:t>Risk of bias across studies</w:t>
      </w:r>
    </w:p>
    <w:p w14:paraId="2283B9D6" w14:textId="525911FF" w:rsidR="00557884" w:rsidRPr="00C10A48" w:rsidRDefault="002E6770"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We evaluated the randomized trials using the criteria from Bias Risk Assessment by the Cochrane Collaboration</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s tool - ROB2 - Risk of Bias</w:t>
      </w:r>
      <w:r w:rsidR="003F349D" w:rsidRPr="00C10A48">
        <w:rPr>
          <w:rFonts w:ascii="Book Antiqua" w:hAnsi="Book Antiqua" w:cs="Arial"/>
          <w:sz w:val="24"/>
          <w:szCs w:val="24"/>
          <w:shd w:val="clear" w:color="auto" w:fill="FFFFFF"/>
          <w:lang w:val="en-US"/>
        </w:rPr>
        <w:fldChar w:fldCharType="begin" w:fldLock="1"/>
      </w:r>
      <w:r w:rsidR="0024084B" w:rsidRPr="00C10A48">
        <w:rPr>
          <w:rFonts w:ascii="Book Antiqua" w:hAnsi="Book Antiqua" w:cs="Arial"/>
          <w:sz w:val="24"/>
          <w:szCs w:val="24"/>
          <w:shd w:val="clear" w:color="auto" w:fill="FFFFFF"/>
          <w:lang w:val="en-US"/>
        </w:rPr>
        <w:instrText>ADDIN CSL_CITATION {"citationItems":[{"id":"ITEM-1","itemData":{"author":[{"dropping-particle":"","family":"Cochrane","given":"","non-dropping-particle":"","parse-names":false,"suffix":""}],"editor":[{"dropping-particle":"","family":"Higgins","given":"JPT","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2019"]]},"publisher":"Cochrane","title":"Cochrane Handbook for Systematic Reviews of Interventions version 6.0 (updated July 2019)","type":"book"},"uris":["http://www.mendeley.com/documents/?uuid=785ddfa3-b11d-4175-b716-b32242b282d9"]}],"mendeley":{"formattedCitation":"&lt;sup&gt;[14]&lt;/sup&gt;","plainTextFormattedCitation":"[14]","previouslyFormattedCitation":"&lt;sup&gt;[13]&lt;/sup&gt;"},"properties":{"noteIndex":0},"schema":"https://github.com/citation-style-language/schema/raw/master/csl-citation.json"}</w:instrText>
      </w:r>
      <w:r w:rsidR="003F349D" w:rsidRPr="00C10A48">
        <w:rPr>
          <w:rFonts w:ascii="Book Antiqua" w:hAnsi="Book Antiqua" w:cs="Arial"/>
          <w:sz w:val="24"/>
          <w:szCs w:val="24"/>
          <w:shd w:val="clear" w:color="auto" w:fill="FFFFFF"/>
          <w:lang w:val="en-US"/>
        </w:rPr>
        <w:fldChar w:fldCharType="separate"/>
      </w:r>
      <w:r w:rsidR="0024084B" w:rsidRPr="00C10A48">
        <w:rPr>
          <w:rFonts w:ascii="Book Antiqua" w:hAnsi="Book Antiqua" w:cs="Arial"/>
          <w:noProof/>
          <w:sz w:val="24"/>
          <w:szCs w:val="24"/>
          <w:shd w:val="clear" w:color="auto" w:fill="FFFFFF"/>
          <w:vertAlign w:val="superscript"/>
          <w:lang w:val="en-US"/>
        </w:rPr>
        <w:t>[14]</w:t>
      </w:r>
      <w:r w:rsidR="003F349D" w:rsidRPr="00C10A48">
        <w:rPr>
          <w:rFonts w:ascii="Book Antiqua" w:hAnsi="Book Antiqua" w:cs="Arial"/>
          <w:sz w:val="24"/>
          <w:szCs w:val="24"/>
          <w:shd w:val="clear" w:color="auto" w:fill="FFFFFF"/>
          <w:lang w:val="en-US"/>
        </w:rPr>
        <w:fldChar w:fldCharType="end"/>
      </w:r>
      <w:r w:rsidRPr="00C10A48">
        <w:rPr>
          <w:rFonts w:ascii="Book Antiqua" w:hAnsi="Book Antiqua" w:cs="Arial"/>
          <w:sz w:val="24"/>
          <w:szCs w:val="24"/>
          <w:shd w:val="clear" w:color="auto" w:fill="FFFFFF"/>
          <w:lang w:val="en-US"/>
        </w:rPr>
        <w:t xml:space="preserve">. The tool analyzes the risk of bias by classifying it in five different domains: randomization process, deviations in the intention of the intervention, loss of data on outcomes, methods of measuring outcomes, and selection of reported results. The risk of bias for each specific domain is categorized as </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low risk,</w:t>
      </w:r>
      <w:r w:rsidR="00F26942" w:rsidRPr="00C10A48">
        <w:rPr>
          <w:rFonts w:ascii="Book Antiqua" w:hAnsi="Book Antiqua" w:cs="Arial"/>
          <w:sz w:val="24"/>
          <w:szCs w:val="24"/>
          <w:shd w:val="clear" w:color="auto" w:fill="FFFFFF"/>
          <w:lang w:val="en-US"/>
        </w:rPr>
        <w:t>” "</w:t>
      </w:r>
      <w:r w:rsidRPr="00C10A48">
        <w:rPr>
          <w:rFonts w:ascii="Book Antiqua" w:hAnsi="Book Antiqua" w:cs="Arial"/>
          <w:sz w:val="24"/>
          <w:szCs w:val="24"/>
          <w:shd w:val="clear" w:color="auto" w:fill="FFFFFF"/>
          <w:lang w:val="en-US"/>
        </w:rPr>
        <w:t>some concerns,</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 or </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high risk</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 for each of the outcomes, according to the criteria described in detail in the Cochrane Handbook</w:t>
      </w:r>
      <w:r w:rsidR="003F349D" w:rsidRPr="00C10A48">
        <w:rPr>
          <w:rFonts w:ascii="Book Antiqua" w:hAnsi="Book Antiqua" w:cs="Arial"/>
          <w:sz w:val="24"/>
          <w:szCs w:val="24"/>
          <w:shd w:val="clear" w:color="auto" w:fill="FFFFFF"/>
          <w:lang w:val="en-US"/>
        </w:rPr>
        <w:fldChar w:fldCharType="begin" w:fldLock="1"/>
      </w:r>
      <w:r w:rsidR="0024084B" w:rsidRPr="00C10A48">
        <w:rPr>
          <w:rFonts w:ascii="Book Antiqua" w:hAnsi="Book Antiqua" w:cs="Arial"/>
          <w:sz w:val="24"/>
          <w:szCs w:val="24"/>
          <w:shd w:val="clear" w:color="auto" w:fill="FFFFFF"/>
          <w:lang w:val="en-US"/>
        </w:rPr>
        <w:instrText>ADDIN CSL_CITATION {"citationItems":[{"id":"ITEM-1","itemData":{"author":[{"dropping-particle":"","family":"Cochrane","given":"","non-dropping-particle":"","parse-names":false,"suffix":""}],"editor":[{"dropping-particle":"","family":"Higgins","given":"JPT","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2019"]]},"publisher":"Cochrane","title":"Cochrane Handbook for Systematic Reviews of Interventions version 6.0 (updated July 2019)","type":"book"},"uris":["http://www.mendeley.com/documents/?uuid=785ddfa3-b11d-4175-b716-b32242b282d9"]}],"mendeley":{"formattedCitation":"&lt;sup&gt;[14]&lt;/sup&gt;","plainTextFormattedCitation":"[14]","previouslyFormattedCitation":"&lt;sup&gt;[13]&lt;/sup&gt;"},"properties":{"noteIndex":0},"schema":"https://github.com/citation-style-language/schema/raw/master/csl-citation.json"}</w:instrText>
      </w:r>
      <w:r w:rsidR="003F349D" w:rsidRPr="00C10A48">
        <w:rPr>
          <w:rFonts w:ascii="Book Antiqua" w:hAnsi="Book Antiqua" w:cs="Arial"/>
          <w:sz w:val="24"/>
          <w:szCs w:val="24"/>
          <w:shd w:val="clear" w:color="auto" w:fill="FFFFFF"/>
          <w:lang w:val="en-US"/>
        </w:rPr>
        <w:fldChar w:fldCharType="separate"/>
      </w:r>
      <w:r w:rsidR="0024084B" w:rsidRPr="00C10A48">
        <w:rPr>
          <w:rFonts w:ascii="Book Antiqua" w:hAnsi="Book Antiqua" w:cs="Arial"/>
          <w:noProof/>
          <w:sz w:val="24"/>
          <w:szCs w:val="24"/>
          <w:shd w:val="clear" w:color="auto" w:fill="FFFFFF"/>
          <w:vertAlign w:val="superscript"/>
          <w:lang w:val="en-US"/>
        </w:rPr>
        <w:t>[14]</w:t>
      </w:r>
      <w:r w:rsidR="003F349D" w:rsidRPr="00C10A48">
        <w:rPr>
          <w:rFonts w:ascii="Book Antiqua" w:hAnsi="Book Antiqua" w:cs="Arial"/>
          <w:sz w:val="24"/>
          <w:szCs w:val="24"/>
          <w:shd w:val="clear" w:color="auto" w:fill="FFFFFF"/>
          <w:lang w:val="en-US"/>
        </w:rPr>
        <w:fldChar w:fldCharType="end"/>
      </w:r>
      <w:r w:rsidR="003F349D" w:rsidRPr="00C10A48">
        <w:rPr>
          <w:rFonts w:ascii="Book Antiqua" w:hAnsi="Book Antiqua" w:cs="Arial"/>
          <w:sz w:val="24"/>
          <w:szCs w:val="24"/>
          <w:shd w:val="clear" w:color="auto" w:fill="FFFFFF"/>
          <w:lang w:val="en-US"/>
        </w:rPr>
        <w:t>.</w:t>
      </w:r>
    </w:p>
    <w:p w14:paraId="0EBF3276" w14:textId="77777777" w:rsidR="002E6770" w:rsidRPr="00C10A48" w:rsidRDefault="002E6770" w:rsidP="00F227A9">
      <w:pPr>
        <w:snapToGrid w:val="0"/>
        <w:spacing w:after="0" w:line="360" w:lineRule="auto"/>
        <w:jc w:val="both"/>
        <w:rPr>
          <w:rFonts w:ascii="Book Antiqua" w:hAnsi="Book Antiqua" w:cs="Arial"/>
          <w:sz w:val="24"/>
          <w:szCs w:val="24"/>
          <w:shd w:val="clear" w:color="auto" w:fill="FFFFFF"/>
          <w:lang w:val="en-US"/>
        </w:rPr>
      </w:pPr>
    </w:p>
    <w:p w14:paraId="66BDD0D4" w14:textId="7F8C8888" w:rsidR="00882772" w:rsidRPr="00C10A48" w:rsidRDefault="006A060D"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Summary measures</w:t>
      </w:r>
      <w:r w:rsidR="00451C64" w:rsidRPr="00C10A48">
        <w:rPr>
          <w:rFonts w:ascii="Book Antiqua" w:hAnsi="Book Antiqua" w:cs="Arial"/>
          <w:b/>
          <w:bCs/>
          <w:i/>
          <w:iCs/>
          <w:sz w:val="24"/>
          <w:szCs w:val="24"/>
          <w:shd w:val="clear" w:color="auto" w:fill="FFFFFF"/>
          <w:lang w:val="en-US"/>
        </w:rPr>
        <w:t xml:space="preserve">, </w:t>
      </w:r>
      <w:r w:rsidRPr="00C10A48">
        <w:rPr>
          <w:rFonts w:ascii="Book Antiqua" w:hAnsi="Book Antiqua" w:cs="Arial"/>
          <w:b/>
          <w:bCs/>
          <w:i/>
          <w:iCs/>
          <w:sz w:val="24"/>
          <w:szCs w:val="24"/>
          <w:shd w:val="clear" w:color="auto" w:fill="FFFFFF"/>
          <w:lang w:val="en-US"/>
        </w:rPr>
        <w:t>synthesis of results</w:t>
      </w:r>
      <w:r w:rsidR="00451C64" w:rsidRPr="00C10A48">
        <w:rPr>
          <w:rFonts w:ascii="Book Antiqua" w:hAnsi="Book Antiqua" w:cs="Arial"/>
          <w:b/>
          <w:bCs/>
          <w:i/>
          <w:iCs/>
          <w:sz w:val="24"/>
          <w:szCs w:val="24"/>
          <w:shd w:val="clear" w:color="auto" w:fill="FFFFFF"/>
          <w:lang w:val="en-US"/>
        </w:rPr>
        <w:t xml:space="preserve"> and data analysis</w:t>
      </w:r>
    </w:p>
    <w:p w14:paraId="69E71780" w14:textId="1BABA50A" w:rsidR="00123841" w:rsidRPr="00C10A48" w:rsidRDefault="00882772" w:rsidP="00F227A9">
      <w:pPr>
        <w:snapToGrid w:val="0"/>
        <w:spacing w:after="0" w:line="360" w:lineRule="auto"/>
        <w:jc w:val="both"/>
        <w:rPr>
          <w:rFonts w:ascii="Book Antiqua" w:hAnsi="Book Antiqua" w:cs="Arial"/>
          <w:b/>
          <w:sz w:val="24"/>
          <w:szCs w:val="24"/>
          <w:shd w:val="clear" w:color="auto" w:fill="FFFFFF"/>
          <w:lang w:val="en-US"/>
        </w:rPr>
      </w:pPr>
      <w:r w:rsidRPr="00C10A48">
        <w:rPr>
          <w:rFonts w:ascii="Book Antiqua" w:hAnsi="Book Antiqua" w:cs="Arial"/>
          <w:b/>
          <w:sz w:val="24"/>
          <w:szCs w:val="24"/>
          <w:shd w:val="clear" w:color="auto" w:fill="FFFFFF"/>
          <w:lang w:val="en-US"/>
        </w:rPr>
        <w:t>GRADE (quality of evidence)</w:t>
      </w:r>
      <w:r w:rsidR="0018055D" w:rsidRPr="00C10A48">
        <w:rPr>
          <w:rFonts w:ascii="Book Antiqua" w:hAnsi="Book Antiqua" w:cs="Arial" w:hint="eastAsia"/>
          <w:b/>
          <w:sz w:val="24"/>
          <w:szCs w:val="24"/>
          <w:shd w:val="clear" w:color="auto" w:fill="FFFFFF"/>
          <w:lang w:val="en-US" w:eastAsia="zh-CN"/>
        </w:rPr>
        <w:t>:</w:t>
      </w:r>
      <w:r w:rsidR="0018055D" w:rsidRPr="00C10A48">
        <w:rPr>
          <w:rFonts w:ascii="Book Antiqua" w:hAnsi="Book Antiqua" w:cs="Arial"/>
          <w:b/>
          <w:sz w:val="24"/>
          <w:szCs w:val="24"/>
          <w:shd w:val="clear" w:color="auto" w:fill="FFFFFF"/>
          <w:lang w:val="en-US" w:eastAsia="zh-CN"/>
        </w:rPr>
        <w:t xml:space="preserve"> </w:t>
      </w:r>
      <w:r w:rsidRPr="00C10A48">
        <w:rPr>
          <w:rFonts w:ascii="Book Antiqua" w:hAnsi="Book Antiqua" w:cs="Arial"/>
          <w:sz w:val="24"/>
          <w:szCs w:val="24"/>
          <w:shd w:val="clear" w:color="auto" w:fill="FFFFFF"/>
          <w:lang w:val="en-US"/>
        </w:rPr>
        <w:t xml:space="preserve">The quality of evidence was assessed </w:t>
      </w:r>
      <w:r w:rsidR="000A0606" w:rsidRPr="00C10A48">
        <w:rPr>
          <w:rFonts w:ascii="Book Antiqua" w:hAnsi="Book Antiqua" w:cs="Arial"/>
          <w:sz w:val="24"/>
          <w:szCs w:val="24"/>
          <w:shd w:val="clear" w:color="auto" w:fill="FFFFFF"/>
          <w:lang w:val="en-US"/>
        </w:rPr>
        <w:t>with</w:t>
      </w:r>
      <w:r w:rsidRPr="00C10A48">
        <w:rPr>
          <w:rFonts w:ascii="Book Antiqua" w:hAnsi="Book Antiqua" w:cs="Arial"/>
          <w:sz w:val="24"/>
          <w:szCs w:val="24"/>
          <w:shd w:val="clear" w:color="auto" w:fill="FFFFFF"/>
          <w:lang w:val="en-US"/>
        </w:rPr>
        <w:t xml:space="preserve"> the objective criteria of GRADE (Grading of Recommendations Assessment, Development</w:t>
      </w:r>
      <w:r w:rsidR="0035483A"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 and Evaluation) for each of the pre-specified results and outcomes</w:t>
      </w:r>
      <w:r w:rsidR="000A0606" w:rsidRPr="00C10A48">
        <w:rPr>
          <w:rFonts w:ascii="Book Antiqua" w:hAnsi="Book Antiqua" w:cs="Arial"/>
          <w:sz w:val="24"/>
          <w:szCs w:val="24"/>
          <w:shd w:val="clear" w:color="auto" w:fill="FFFFFF"/>
          <w:lang w:val="en-US"/>
        </w:rPr>
        <w:t xml:space="preserve"> using </w:t>
      </w:r>
      <w:r w:rsidRPr="00C10A48">
        <w:rPr>
          <w:rFonts w:ascii="Book Antiqua" w:hAnsi="Book Antiqua" w:cs="Arial"/>
          <w:sz w:val="24"/>
          <w:szCs w:val="24"/>
          <w:shd w:val="clear" w:color="auto" w:fill="FFFFFF"/>
          <w:lang w:val="en-US"/>
        </w:rPr>
        <w:t xml:space="preserve">the software </w:t>
      </w:r>
      <w:bookmarkStart w:id="12" w:name="_Hlk35082344"/>
      <w:proofErr w:type="spellStart"/>
      <w:r w:rsidRPr="00C10A48">
        <w:rPr>
          <w:rFonts w:ascii="Book Antiqua" w:hAnsi="Book Antiqua" w:cs="Arial"/>
          <w:sz w:val="24"/>
          <w:szCs w:val="24"/>
          <w:shd w:val="clear" w:color="auto" w:fill="FFFFFF"/>
          <w:lang w:val="en-US"/>
        </w:rPr>
        <w:t>GRADEpro</w:t>
      </w:r>
      <w:bookmarkEnd w:id="12"/>
      <w:proofErr w:type="spellEnd"/>
      <w:r w:rsidRPr="00C10A48">
        <w:rPr>
          <w:rFonts w:ascii="Book Antiqua" w:hAnsi="Book Antiqua" w:cs="Arial"/>
          <w:sz w:val="24"/>
          <w:szCs w:val="24"/>
          <w:shd w:val="clear" w:color="auto" w:fill="FFFFFF"/>
          <w:lang w:val="en-US"/>
        </w:rPr>
        <w:t xml:space="preserve"> - Guideline Development Tool (Mc Master University, 2015; Evidence Prime, Inc., Ontario, Canada). GRADE is a </w:t>
      </w:r>
      <w:r w:rsidRPr="00C10A48">
        <w:rPr>
          <w:rFonts w:ascii="Book Antiqua" w:hAnsi="Book Antiqua" w:cs="Arial"/>
          <w:sz w:val="24"/>
          <w:szCs w:val="24"/>
          <w:shd w:val="clear" w:color="auto" w:fill="FFFFFF"/>
          <w:lang w:val="en-US"/>
        </w:rPr>
        <w:lastRenderedPageBreak/>
        <w:t xml:space="preserve">tool used to assess </w:t>
      </w:r>
      <w:r w:rsidR="000A0606" w:rsidRPr="00C10A48">
        <w:rPr>
          <w:rFonts w:ascii="Book Antiqua" w:hAnsi="Book Antiqua" w:cs="Arial"/>
          <w:sz w:val="24"/>
          <w:szCs w:val="24"/>
          <w:shd w:val="clear" w:color="auto" w:fill="FFFFFF"/>
          <w:lang w:val="en-US"/>
        </w:rPr>
        <w:t xml:space="preserve">the </w:t>
      </w:r>
      <w:r w:rsidRPr="00C10A48">
        <w:rPr>
          <w:rFonts w:ascii="Book Antiqua" w:hAnsi="Book Antiqua" w:cs="Arial"/>
          <w:sz w:val="24"/>
          <w:szCs w:val="24"/>
          <w:shd w:val="clear" w:color="auto" w:fill="FFFFFF"/>
          <w:lang w:val="en-US"/>
        </w:rPr>
        <w:t>quality of evidence</w:t>
      </w:r>
      <w:r w:rsidR="000A0606"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based on criteria that involve assessing the risk of bias, inconsistency, indirect evidence, imprecision, and publication bias. The evaluation of the risk of bias and the quality of the studies was carried out under the supervision of our statistical analysis team. </w:t>
      </w:r>
    </w:p>
    <w:p w14:paraId="66527CCD" w14:textId="058AC2F5" w:rsidR="0007500E" w:rsidRPr="00C10A48" w:rsidRDefault="0007500E" w:rsidP="00F227A9">
      <w:pPr>
        <w:snapToGrid w:val="0"/>
        <w:spacing w:after="0" w:line="360" w:lineRule="auto"/>
        <w:jc w:val="both"/>
        <w:rPr>
          <w:rFonts w:ascii="Book Antiqua" w:hAnsi="Book Antiqua" w:cs="Arial"/>
          <w:sz w:val="24"/>
          <w:szCs w:val="24"/>
          <w:shd w:val="clear" w:color="auto" w:fill="FFFFFF"/>
          <w:lang w:val="en-US"/>
        </w:rPr>
      </w:pPr>
    </w:p>
    <w:p w14:paraId="0AD4423F" w14:textId="00305BE8" w:rsidR="0007500E" w:rsidRPr="00C10A48" w:rsidRDefault="0007500E" w:rsidP="00F227A9">
      <w:pPr>
        <w:snapToGrid w:val="0"/>
        <w:spacing w:after="0" w:line="360" w:lineRule="auto"/>
        <w:jc w:val="both"/>
        <w:rPr>
          <w:rFonts w:ascii="Book Antiqua" w:hAnsi="Book Antiqua" w:cs="Arial"/>
          <w:b/>
          <w:sz w:val="24"/>
          <w:szCs w:val="24"/>
          <w:shd w:val="clear" w:color="auto" w:fill="FFFFFF"/>
          <w:lang w:val="en-US"/>
        </w:rPr>
      </w:pPr>
      <w:r w:rsidRPr="00C10A48">
        <w:rPr>
          <w:rFonts w:ascii="Book Antiqua" w:hAnsi="Book Antiqua" w:cs="Arial"/>
          <w:b/>
          <w:sz w:val="24"/>
          <w:szCs w:val="24"/>
          <w:shd w:val="clear" w:color="auto" w:fill="FFFFFF"/>
          <w:lang w:val="en-US"/>
        </w:rPr>
        <w:t>Statistical analysis</w:t>
      </w:r>
      <w:r w:rsidR="006D6D4B" w:rsidRPr="00C10A48">
        <w:rPr>
          <w:rFonts w:ascii="Book Antiqua" w:hAnsi="Book Antiqua" w:cs="Arial"/>
          <w:b/>
          <w:sz w:val="24"/>
          <w:szCs w:val="24"/>
          <w:shd w:val="clear" w:color="auto" w:fill="FFFFFF"/>
          <w:lang w:val="en-US"/>
        </w:rPr>
        <w:t xml:space="preserve">: </w:t>
      </w:r>
      <w:r w:rsidR="0071163B" w:rsidRPr="00C10A48">
        <w:rPr>
          <w:rFonts w:ascii="Book Antiqua" w:hAnsi="Book Antiqua" w:cs="Arial"/>
          <w:sz w:val="24"/>
          <w:szCs w:val="24"/>
          <w:shd w:val="clear" w:color="auto" w:fill="FFFFFF"/>
          <w:lang w:val="en-US"/>
        </w:rPr>
        <w:t xml:space="preserve">The metanalysis was performed using </w:t>
      </w:r>
      <w:proofErr w:type="spellStart"/>
      <w:r w:rsidR="0071163B" w:rsidRPr="00C10A48">
        <w:rPr>
          <w:rFonts w:ascii="Book Antiqua" w:hAnsi="Book Antiqua" w:cs="Arial"/>
          <w:sz w:val="24"/>
          <w:szCs w:val="24"/>
          <w:shd w:val="clear" w:color="auto" w:fill="FFFFFF"/>
          <w:lang w:val="en-US"/>
        </w:rPr>
        <w:t>RevMan</w:t>
      </w:r>
      <w:proofErr w:type="spellEnd"/>
      <w:r w:rsidR="0071163B" w:rsidRPr="00C10A48">
        <w:rPr>
          <w:rFonts w:ascii="Book Antiqua" w:hAnsi="Book Antiqua" w:cs="Arial"/>
          <w:sz w:val="24"/>
          <w:szCs w:val="24"/>
          <w:shd w:val="clear" w:color="auto" w:fill="FFFFFF"/>
          <w:lang w:val="en-US"/>
        </w:rPr>
        <w:t xml:space="preserve"> 5 (Review Manager version 5.3.5 - Cochrane Collaboration, Oxford, United Kingdom).  </w:t>
      </w:r>
      <w:r w:rsidRPr="00C10A48">
        <w:rPr>
          <w:rFonts w:ascii="Book Antiqua" w:hAnsi="Book Antiqua" w:cs="Arial"/>
          <w:sz w:val="24"/>
          <w:szCs w:val="24"/>
          <w:shd w:val="clear" w:color="auto" w:fill="FFFFFF"/>
          <w:lang w:val="en-US"/>
        </w:rPr>
        <w:t xml:space="preserve">The risk of difference (RD) </w:t>
      </w:r>
      <w:r w:rsidR="00C34F60" w:rsidRPr="00C10A48">
        <w:rPr>
          <w:rFonts w:ascii="Book Antiqua" w:hAnsi="Book Antiqua" w:cs="Arial"/>
          <w:sz w:val="24"/>
          <w:szCs w:val="24"/>
          <w:shd w:val="clear" w:color="auto" w:fill="FFFFFF"/>
          <w:lang w:val="en-US"/>
        </w:rPr>
        <w:t xml:space="preserve">with a 95% confidence interval (CI) </w:t>
      </w:r>
      <w:r w:rsidRPr="00C10A48">
        <w:rPr>
          <w:rFonts w:ascii="Book Antiqua" w:hAnsi="Book Antiqua" w:cs="Arial"/>
          <w:sz w:val="24"/>
          <w:szCs w:val="24"/>
          <w:shd w:val="clear" w:color="auto" w:fill="FFFFFF"/>
          <w:lang w:val="en-US"/>
        </w:rPr>
        <w:t xml:space="preserve">for dichotomous variables was calculated by using </w:t>
      </w:r>
      <w:r w:rsidR="0035483A" w:rsidRPr="00C10A48">
        <w:rPr>
          <w:rFonts w:ascii="Book Antiqua" w:hAnsi="Book Antiqua" w:cs="Arial"/>
          <w:sz w:val="24"/>
          <w:szCs w:val="24"/>
          <w:shd w:val="clear" w:color="auto" w:fill="FFFFFF"/>
          <w:lang w:val="en-US"/>
        </w:rPr>
        <w:t xml:space="preserve">the </w:t>
      </w:r>
      <w:r w:rsidRPr="00C10A48">
        <w:rPr>
          <w:rFonts w:ascii="Book Antiqua" w:hAnsi="Book Antiqua" w:cs="Arial"/>
          <w:sz w:val="24"/>
          <w:szCs w:val="24"/>
          <w:shd w:val="clear" w:color="auto" w:fill="FFFFFF"/>
          <w:lang w:val="en-US"/>
        </w:rPr>
        <w:t>Mantel-</w:t>
      </w:r>
      <w:proofErr w:type="spellStart"/>
      <w:r w:rsidRPr="00C10A48">
        <w:rPr>
          <w:rFonts w:ascii="Book Antiqua" w:hAnsi="Book Antiqua" w:cs="Arial"/>
          <w:sz w:val="24"/>
          <w:szCs w:val="24"/>
          <w:shd w:val="clear" w:color="auto" w:fill="FFFFFF"/>
          <w:lang w:val="en-US"/>
        </w:rPr>
        <w:t>Haenszel</w:t>
      </w:r>
      <w:proofErr w:type="spellEnd"/>
      <w:r w:rsidRPr="00C10A48">
        <w:rPr>
          <w:rFonts w:ascii="Book Antiqua" w:hAnsi="Book Antiqua" w:cs="Arial"/>
          <w:sz w:val="24"/>
          <w:szCs w:val="24"/>
          <w:shd w:val="clear" w:color="auto" w:fill="FFFFFF"/>
          <w:lang w:val="en-US"/>
        </w:rPr>
        <w:t xml:space="preserve"> Cochran method </w:t>
      </w:r>
      <w:r w:rsidR="000A0606" w:rsidRPr="00C10A48">
        <w:rPr>
          <w:rFonts w:ascii="Book Antiqua" w:hAnsi="Book Antiqua" w:cs="Arial"/>
          <w:sz w:val="24"/>
          <w:szCs w:val="24"/>
          <w:shd w:val="clear" w:color="auto" w:fill="FFFFFF"/>
          <w:lang w:val="en-US"/>
        </w:rPr>
        <w:t>with</w:t>
      </w:r>
      <w:r w:rsidRPr="00C10A48">
        <w:rPr>
          <w:rFonts w:ascii="Book Antiqua" w:hAnsi="Book Antiqua" w:cs="Arial"/>
          <w:sz w:val="24"/>
          <w:szCs w:val="24"/>
          <w:shd w:val="clear" w:color="auto" w:fill="FFFFFF"/>
          <w:lang w:val="en-US"/>
        </w:rPr>
        <w:t xml:space="preserve"> the fixed-effects model. For continuous variables, we calculated the mean difference (MD) </w:t>
      </w:r>
      <w:r w:rsidR="0018055D" w:rsidRPr="00C10A48">
        <w:rPr>
          <w:rFonts w:ascii="Book Antiqua" w:hAnsi="Book Antiqua" w:cs="Arial"/>
          <w:sz w:val="24"/>
          <w:szCs w:val="24"/>
          <w:shd w:val="clear" w:color="auto" w:fill="FFFFFF"/>
          <w:lang w:val="en-US"/>
        </w:rPr>
        <w:t>with 95%</w:t>
      </w:r>
      <w:r w:rsidR="0035483A" w:rsidRPr="00C10A48">
        <w:rPr>
          <w:rFonts w:ascii="Book Antiqua" w:hAnsi="Book Antiqua" w:cs="Arial"/>
          <w:sz w:val="24"/>
          <w:szCs w:val="24"/>
          <w:shd w:val="clear" w:color="auto" w:fill="FFFFFF"/>
          <w:lang w:val="en-US"/>
        </w:rPr>
        <w:t xml:space="preserve">CI using </w:t>
      </w:r>
      <w:r w:rsidRPr="00C10A48">
        <w:rPr>
          <w:rFonts w:ascii="Book Antiqua" w:hAnsi="Book Antiqua" w:cs="Arial"/>
          <w:sz w:val="24"/>
          <w:szCs w:val="24"/>
          <w:shd w:val="clear" w:color="auto" w:fill="FFFFFF"/>
          <w:lang w:val="en-US"/>
        </w:rPr>
        <w:t xml:space="preserve">random effect with inverse variance. The semi-quantitative values were </w:t>
      </w:r>
      <w:r w:rsidR="0035483A" w:rsidRPr="00C10A48">
        <w:rPr>
          <w:rFonts w:ascii="Book Antiqua" w:hAnsi="Book Antiqua" w:cs="Arial"/>
          <w:sz w:val="24"/>
          <w:szCs w:val="24"/>
          <w:shd w:val="clear" w:color="auto" w:fill="FFFFFF"/>
          <w:lang w:val="en-US"/>
        </w:rPr>
        <w:t>reported</w:t>
      </w:r>
      <w:r w:rsidRPr="00C10A48">
        <w:rPr>
          <w:rFonts w:ascii="Book Antiqua" w:hAnsi="Book Antiqua" w:cs="Arial"/>
          <w:sz w:val="24"/>
          <w:szCs w:val="24"/>
          <w:shd w:val="clear" w:color="auto" w:fill="FFFFFF"/>
          <w:lang w:val="en-US"/>
        </w:rPr>
        <w:t xml:space="preserve"> as weighted mean </w:t>
      </w:r>
      <w:r w:rsidR="0035483A" w:rsidRPr="00C10A48">
        <w:rPr>
          <w:rFonts w:ascii="Book Antiqua" w:hAnsi="Book Antiqua" w:cs="Arial"/>
          <w:sz w:val="24"/>
          <w:szCs w:val="24"/>
          <w:shd w:val="clear" w:color="auto" w:fill="FFFFFF"/>
          <w:lang w:val="en-US"/>
        </w:rPr>
        <w:t xml:space="preserve">with standard deviation determined by </w:t>
      </w:r>
      <w:r w:rsidRPr="00C10A48">
        <w:rPr>
          <w:rFonts w:ascii="Book Antiqua" w:hAnsi="Book Antiqua" w:cs="Arial"/>
          <w:sz w:val="24"/>
          <w:szCs w:val="24"/>
          <w:shd w:val="clear" w:color="auto" w:fill="FFFFFF"/>
          <w:lang w:val="en-US"/>
        </w:rPr>
        <w:t xml:space="preserve">the number of patients in each study. </w:t>
      </w:r>
      <w:r w:rsidR="0035483A" w:rsidRPr="00C10A48">
        <w:rPr>
          <w:rFonts w:ascii="Book Antiqua" w:hAnsi="Book Antiqua" w:cs="Arial"/>
          <w:sz w:val="24"/>
          <w:szCs w:val="24"/>
          <w:shd w:val="clear" w:color="auto" w:fill="FFFFFF"/>
          <w:lang w:val="en-US"/>
        </w:rPr>
        <w:t>All estimates were made based on</w:t>
      </w:r>
      <w:r w:rsidRPr="00C10A48">
        <w:rPr>
          <w:rFonts w:ascii="Book Antiqua" w:hAnsi="Book Antiqua" w:cs="Arial"/>
          <w:sz w:val="24"/>
          <w:szCs w:val="24"/>
          <w:shd w:val="clear" w:color="auto" w:fill="FFFFFF"/>
          <w:lang w:val="en-US"/>
        </w:rPr>
        <w:t xml:space="preserve"> </w:t>
      </w:r>
      <w:r w:rsidR="0035483A" w:rsidRPr="00C10A48">
        <w:rPr>
          <w:rFonts w:ascii="Book Antiqua" w:hAnsi="Book Antiqua" w:cs="Arial"/>
          <w:sz w:val="24"/>
          <w:szCs w:val="24"/>
          <w:shd w:val="clear" w:color="auto" w:fill="FFFFFF"/>
          <w:lang w:val="en-US"/>
        </w:rPr>
        <w:t xml:space="preserve">an </w:t>
      </w:r>
      <w:r w:rsidRPr="00C10A48">
        <w:rPr>
          <w:rFonts w:ascii="Book Antiqua" w:hAnsi="Book Antiqua" w:cs="Arial"/>
          <w:sz w:val="24"/>
          <w:szCs w:val="24"/>
          <w:shd w:val="clear" w:color="auto" w:fill="FFFFFF"/>
          <w:lang w:val="en-US"/>
        </w:rPr>
        <w:t xml:space="preserve">intention-to-treat analysis. Heterogeneity values were </w:t>
      </w:r>
      <w:r w:rsidR="0035483A" w:rsidRPr="00C10A48">
        <w:rPr>
          <w:rFonts w:ascii="Book Antiqua" w:hAnsi="Book Antiqua" w:cs="Arial"/>
          <w:sz w:val="24"/>
          <w:szCs w:val="24"/>
          <w:shd w:val="clear" w:color="auto" w:fill="FFFFFF"/>
          <w:lang w:val="en-US"/>
        </w:rPr>
        <w:t xml:space="preserve">estimated </w:t>
      </w:r>
      <w:r w:rsidRPr="00C10A48">
        <w:rPr>
          <w:rFonts w:ascii="Book Antiqua" w:hAnsi="Book Antiqua" w:cs="Arial"/>
          <w:sz w:val="24"/>
          <w:szCs w:val="24"/>
          <w:shd w:val="clear" w:color="auto" w:fill="FFFFFF"/>
          <w:lang w:val="en-US"/>
        </w:rPr>
        <w:t>according to Chi-square (</w:t>
      </w:r>
      <w:r w:rsidR="0018055D" w:rsidRPr="00C10A48">
        <w:rPr>
          <w:rFonts w:ascii="Book Antiqua" w:hAnsi="Book Antiqua" w:cs="Arial"/>
          <w:i/>
          <w:sz w:val="24"/>
          <w:szCs w:val="24"/>
          <w:shd w:val="clear" w:color="auto" w:fill="FFFFFF"/>
          <w:lang w:val="en-US"/>
        </w:rPr>
        <w:t>χ</w:t>
      </w:r>
      <w:r w:rsidRPr="00C10A48">
        <w:rPr>
          <w:rFonts w:ascii="Book Antiqua" w:hAnsi="Book Antiqua" w:cs="Arial"/>
          <w:sz w:val="24"/>
          <w:szCs w:val="24"/>
          <w:shd w:val="clear" w:color="auto" w:fill="FFFFFF"/>
          <w:lang w:val="en-US"/>
        </w:rPr>
        <w:t>²) and Higgins method (</w:t>
      </w:r>
      <w:r w:rsidRPr="00C10A48">
        <w:rPr>
          <w:rFonts w:ascii="Book Antiqua" w:hAnsi="Book Antiqua" w:cs="Arial"/>
          <w:i/>
          <w:sz w:val="24"/>
          <w:szCs w:val="24"/>
          <w:shd w:val="clear" w:color="auto" w:fill="FFFFFF"/>
          <w:lang w:val="en-US"/>
        </w:rPr>
        <w:t>I</w:t>
      </w:r>
      <w:r w:rsidRPr="00C10A48">
        <w:rPr>
          <w:rFonts w:ascii="Book Antiqua" w:hAnsi="Book Antiqua" w:cs="Arial"/>
          <w:sz w:val="24"/>
          <w:szCs w:val="24"/>
          <w:shd w:val="clear" w:color="auto" w:fill="FFFFFF"/>
          <w:lang w:val="en-US"/>
        </w:rPr>
        <w:t xml:space="preserve">²). Heterogeneity values greater than 50% were considered high. </w:t>
      </w:r>
      <w:r w:rsidR="0035483A" w:rsidRPr="00C10A48">
        <w:rPr>
          <w:rFonts w:ascii="Book Antiqua" w:hAnsi="Book Antiqua" w:cs="Arial"/>
          <w:sz w:val="24"/>
          <w:szCs w:val="24"/>
          <w:shd w:val="clear" w:color="auto" w:fill="FFFFFF"/>
          <w:lang w:val="en-US"/>
        </w:rPr>
        <w:t>W</w:t>
      </w:r>
      <w:r w:rsidRPr="00C10A48">
        <w:rPr>
          <w:rFonts w:ascii="Book Antiqua" w:hAnsi="Book Antiqua" w:cs="Arial"/>
          <w:sz w:val="24"/>
          <w:szCs w:val="24"/>
          <w:shd w:val="clear" w:color="auto" w:fill="FFFFFF"/>
          <w:lang w:val="en-US"/>
        </w:rPr>
        <w:t xml:space="preserve">e used the fixed-effects model </w:t>
      </w:r>
      <w:r w:rsidR="0035483A" w:rsidRPr="00C10A48">
        <w:rPr>
          <w:rFonts w:ascii="Book Antiqua" w:hAnsi="Book Antiqua" w:cs="Arial"/>
          <w:sz w:val="24"/>
          <w:szCs w:val="24"/>
          <w:shd w:val="clear" w:color="auto" w:fill="FFFFFF"/>
          <w:lang w:val="en-US"/>
        </w:rPr>
        <w:t>if the</w:t>
      </w:r>
      <w:r w:rsidRPr="00C10A48">
        <w:rPr>
          <w:rFonts w:ascii="Book Antiqua" w:hAnsi="Book Antiqua" w:cs="Arial"/>
          <w:sz w:val="24"/>
          <w:szCs w:val="24"/>
          <w:shd w:val="clear" w:color="auto" w:fill="FFFFFF"/>
          <w:lang w:val="en-US"/>
        </w:rPr>
        <w:t xml:space="preserve"> heterogeneity </w:t>
      </w:r>
      <w:r w:rsidR="0035483A" w:rsidRPr="00C10A48">
        <w:rPr>
          <w:rFonts w:ascii="Book Antiqua" w:hAnsi="Book Antiqua" w:cs="Arial"/>
          <w:sz w:val="24"/>
          <w:szCs w:val="24"/>
          <w:shd w:val="clear" w:color="auto" w:fill="FFFFFF"/>
          <w:lang w:val="en-US"/>
        </w:rPr>
        <w:t>was &lt;</w:t>
      </w:r>
      <w:r w:rsidRPr="00C10A48">
        <w:rPr>
          <w:rFonts w:ascii="Book Antiqua" w:hAnsi="Book Antiqua" w:cs="Arial"/>
          <w:sz w:val="24"/>
          <w:szCs w:val="24"/>
          <w:shd w:val="clear" w:color="auto" w:fill="FFFFFF"/>
          <w:lang w:val="en-US"/>
        </w:rPr>
        <w:t xml:space="preserve"> 50%. Absolute numbers, means, and standard deviations were used for data analysis. </w:t>
      </w:r>
      <w:r w:rsidR="0071163B" w:rsidRPr="00C10A48">
        <w:rPr>
          <w:rFonts w:ascii="Book Antiqua" w:hAnsi="Book Antiqua" w:cs="Arial"/>
          <w:sz w:val="24"/>
          <w:szCs w:val="24"/>
          <w:shd w:val="clear" w:color="auto" w:fill="FFFFFF"/>
          <w:lang w:val="en-US"/>
        </w:rPr>
        <w:t>If the</w:t>
      </w:r>
      <w:r w:rsidRPr="00C10A48">
        <w:rPr>
          <w:rFonts w:ascii="Book Antiqua" w:hAnsi="Book Antiqua" w:cs="Arial"/>
          <w:sz w:val="24"/>
          <w:szCs w:val="24"/>
          <w:shd w:val="clear" w:color="auto" w:fill="FFFFFF"/>
          <w:lang w:val="en-US"/>
        </w:rPr>
        <w:t xml:space="preserve"> means and standard deviations</w:t>
      </w:r>
      <w:r w:rsidR="0071163B" w:rsidRPr="00C10A48">
        <w:rPr>
          <w:rFonts w:ascii="Book Antiqua" w:hAnsi="Book Antiqua" w:cs="Arial"/>
          <w:sz w:val="24"/>
          <w:szCs w:val="24"/>
          <w:shd w:val="clear" w:color="auto" w:fill="FFFFFF"/>
          <w:lang w:val="en-US"/>
        </w:rPr>
        <w:t xml:space="preserve"> were not reported,</w:t>
      </w:r>
      <w:r w:rsidRPr="00C10A48">
        <w:rPr>
          <w:rFonts w:ascii="Book Antiqua" w:hAnsi="Book Antiqua" w:cs="Arial"/>
          <w:sz w:val="24"/>
          <w:szCs w:val="24"/>
          <w:shd w:val="clear" w:color="auto" w:fill="FFFFFF"/>
          <w:lang w:val="en-US"/>
        </w:rPr>
        <w:t xml:space="preserve"> </w:t>
      </w:r>
      <w:r w:rsidR="0071163B" w:rsidRPr="00C10A48">
        <w:rPr>
          <w:rFonts w:ascii="Book Antiqua" w:hAnsi="Book Antiqua" w:cs="Arial"/>
          <w:sz w:val="24"/>
          <w:szCs w:val="24"/>
          <w:shd w:val="clear" w:color="auto" w:fill="FFFFFF"/>
          <w:lang w:val="en-US"/>
        </w:rPr>
        <w:t>they</w:t>
      </w:r>
      <w:r w:rsidRPr="00C10A48">
        <w:rPr>
          <w:rFonts w:ascii="Book Antiqua" w:hAnsi="Book Antiqua" w:cs="Arial"/>
          <w:sz w:val="24"/>
          <w:szCs w:val="24"/>
          <w:shd w:val="clear" w:color="auto" w:fill="FFFFFF"/>
          <w:lang w:val="en-US"/>
        </w:rPr>
        <w:t xml:space="preserve"> w</w:t>
      </w:r>
      <w:r w:rsidR="0071163B" w:rsidRPr="00C10A48">
        <w:rPr>
          <w:rFonts w:ascii="Book Antiqua" w:hAnsi="Book Antiqua" w:cs="Arial"/>
          <w:sz w:val="24"/>
          <w:szCs w:val="24"/>
          <w:shd w:val="clear" w:color="auto" w:fill="FFFFFF"/>
          <w:lang w:val="en-US"/>
        </w:rPr>
        <w:t>ere</w:t>
      </w:r>
      <w:r w:rsidRPr="00C10A48">
        <w:rPr>
          <w:rFonts w:ascii="Book Antiqua" w:hAnsi="Book Antiqua" w:cs="Arial"/>
          <w:sz w:val="24"/>
          <w:szCs w:val="24"/>
          <w:shd w:val="clear" w:color="auto" w:fill="FFFFFF"/>
          <w:lang w:val="en-US"/>
        </w:rPr>
        <w:t xml:space="preserve"> estimated using mathematical formulas (SP </w:t>
      </w:r>
      <w:proofErr w:type="spellStart"/>
      <w:r w:rsidRPr="00C10A48">
        <w:rPr>
          <w:rFonts w:ascii="Book Antiqua" w:hAnsi="Book Antiqua" w:cs="Arial"/>
          <w:sz w:val="24"/>
          <w:szCs w:val="24"/>
          <w:shd w:val="clear" w:color="auto" w:fill="FFFFFF"/>
          <w:lang w:val="en-US"/>
        </w:rPr>
        <w:t>Hozo</w:t>
      </w:r>
      <w:proofErr w:type="spellEnd"/>
      <w:r w:rsidRPr="00C10A48">
        <w:rPr>
          <w:rFonts w:ascii="Book Antiqua" w:hAnsi="Book Antiqua" w:cs="Arial"/>
          <w:sz w:val="24"/>
          <w:szCs w:val="24"/>
          <w:shd w:val="clear" w:color="auto" w:fill="FFFFFF"/>
          <w:lang w:val="en-US"/>
        </w:rPr>
        <w:t xml:space="preserve">, B. </w:t>
      </w:r>
      <w:proofErr w:type="spellStart"/>
      <w:r w:rsidRPr="00C10A48">
        <w:rPr>
          <w:rFonts w:ascii="Book Antiqua" w:hAnsi="Book Antiqua" w:cs="Arial"/>
          <w:sz w:val="24"/>
          <w:szCs w:val="24"/>
          <w:shd w:val="clear" w:color="auto" w:fill="FFFFFF"/>
          <w:lang w:val="en-US"/>
        </w:rPr>
        <w:t>Djulbegovic</w:t>
      </w:r>
      <w:proofErr w:type="spellEnd"/>
      <w:r w:rsidRPr="00C10A48">
        <w:rPr>
          <w:rFonts w:ascii="Book Antiqua" w:hAnsi="Book Antiqua" w:cs="Arial"/>
          <w:sz w:val="24"/>
          <w:szCs w:val="24"/>
          <w:shd w:val="clear" w:color="auto" w:fill="FFFFFF"/>
          <w:lang w:val="en-US"/>
        </w:rPr>
        <w:t xml:space="preserve">, I. </w:t>
      </w:r>
      <w:proofErr w:type="spellStart"/>
      <w:r w:rsidRPr="00C10A48">
        <w:rPr>
          <w:rFonts w:ascii="Book Antiqua" w:hAnsi="Book Antiqua" w:cs="Arial"/>
          <w:sz w:val="24"/>
          <w:szCs w:val="24"/>
          <w:shd w:val="clear" w:color="auto" w:fill="FFFFFF"/>
          <w:lang w:val="en-US"/>
        </w:rPr>
        <w:t>Hozo</w:t>
      </w:r>
      <w:proofErr w:type="spellEnd"/>
      <w:r w:rsidRPr="00C10A48">
        <w:rPr>
          <w:rFonts w:ascii="Book Antiqua" w:hAnsi="Book Antiqua" w:cs="Arial"/>
          <w:sz w:val="24"/>
          <w:szCs w:val="24"/>
          <w:shd w:val="clear" w:color="auto" w:fill="FFFFFF"/>
          <w:lang w:val="en-US"/>
        </w:rPr>
        <w:t xml:space="preserve">). </w:t>
      </w:r>
      <w:r w:rsidR="0071163B" w:rsidRPr="00C10A48">
        <w:rPr>
          <w:rFonts w:ascii="Book Antiqua" w:hAnsi="Book Antiqua" w:cs="Arial"/>
          <w:sz w:val="24"/>
          <w:szCs w:val="24"/>
          <w:shd w:val="clear" w:color="auto" w:fill="FFFFFF"/>
          <w:lang w:val="en-US"/>
        </w:rPr>
        <w:t xml:space="preserve">A </w:t>
      </w:r>
      <w:r w:rsidR="0071163B" w:rsidRPr="00C10A48">
        <w:rPr>
          <w:rFonts w:ascii="Book Antiqua" w:hAnsi="Book Antiqua" w:cs="Arial"/>
          <w:i/>
          <w:iCs/>
          <w:caps/>
          <w:sz w:val="24"/>
          <w:szCs w:val="24"/>
          <w:shd w:val="clear" w:color="auto" w:fill="FFFFFF"/>
          <w:lang w:val="en-US"/>
        </w:rPr>
        <w:t>p</w:t>
      </w:r>
      <w:r w:rsidR="0071163B" w:rsidRPr="00C10A48">
        <w:rPr>
          <w:rFonts w:ascii="Book Antiqua" w:hAnsi="Book Antiqua" w:cs="Arial"/>
          <w:sz w:val="24"/>
          <w:szCs w:val="24"/>
          <w:shd w:val="clear" w:color="auto" w:fill="FFFFFF"/>
          <w:lang w:val="en-US"/>
        </w:rPr>
        <w:t xml:space="preserve">-value of less than 0.05 was considered statistically significant. </w:t>
      </w:r>
    </w:p>
    <w:p w14:paraId="0D716B2C" w14:textId="77777777" w:rsidR="00882772" w:rsidRPr="00C10A48" w:rsidRDefault="00882772" w:rsidP="00F227A9">
      <w:pPr>
        <w:snapToGrid w:val="0"/>
        <w:spacing w:after="0" w:line="360" w:lineRule="auto"/>
        <w:jc w:val="both"/>
        <w:rPr>
          <w:rFonts w:ascii="Book Antiqua" w:eastAsia="Times New Roman" w:hAnsi="Book Antiqua" w:cstheme="minorHAnsi"/>
          <w:sz w:val="24"/>
          <w:szCs w:val="24"/>
          <w:lang w:val="en-US" w:eastAsia="pt-BR"/>
        </w:rPr>
      </w:pPr>
    </w:p>
    <w:p w14:paraId="617D7BC4" w14:textId="54FB4E1A" w:rsidR="004D478E" w:rsidRPr="00C10A48" w:rsidRDefault="005626AE" w:rsidP="00F227A9">
      <w:pPr>
        <w:snapToGrid w:val="0"/>
        <w:spacing w:after="0" w:line="360" w:lineRule="auto"/>
        <w:jc w:val="both"/>
        <w:rPr>
          <w:rFonts w:ascii="Book Antiqua" w:eastAsia="Times New Roman" w:hAnsi="Book Antiqua" w:cstheme="minorHAnsi"/>
          <w:b/>
          <w:bCs/>
          <w:sz w:val="24"/>
          <w:szCs w:val="24"/>
          <w:u w:val="single"/>
          <w:lang w:val="en-US" w:eastAsia="pt-BR"/>
        </w:rPr>
      </w:pPr>
      <w:r w:rsidRPr="00C10A48">
        <w:rPr>
          <w:rFonts w:ascii="Book Antiqua" w:eastAsia="Times New Roman" w:hAnsi="Book Antiqua" w:cstheme="minorHAnsi"/>
          <w:b/>
          <w:bCs/>
          <w:sz w:val="24"/>
          <w:szCs w:val="24"/>
          <w:u w:val="single"/>
          <w:lang w:val="en-US" w:eastAsia="pt-BR"/>
        </w:rPr>
        <w:t>RESULTS</w:t>
      </w:r>
    </w:p>
    <w:p w14:paraId="626FEC0A" w14:textId="05B0DB26" w:rsidR="005626AE" w:rsidRPr="00C10A48" w:rsidRDefault="005626AE" w:rsidP="00F227A9">
      <w:pPr>
        <w:snapToGrid w:val="0"/>
        <w:spacing w:after="0" w:line="360" w:lineRule="auto"/>
        <w:jc w:val="both"/>
        <w:rPr>
          <w:rFonts w:ascii="Book Antiqua" w:eastAsia="Times New Roman" w:hAnsi="Book Antiqua" w:cstheme="minorHAnsi"/>
          <w:b/>
          <w:bCs/>
          <w:i/>
          <w:iCs/>
          <w:sz w:val="24"/>
          <w:szCs w:val="24"/>
          <w:lang w:val="en-US" w:eastAsia="pt-BR"/>
        </w:rPr>
      </w:pPr>
      <w:r w:rsidRPr="00C10A48">
        <w:rPr>
          <w:rFonts w:ascii="Book Antiqua" w:eastAsia="Times New Roman" w:hAnsi="Book Antiqua" w:cstheme="minorHAnsi"/>
          <w:b/>
          <w:bCs/>
          <w:i/>
          <w:iCs/>
          <w:sz w:val="24"/>
          <w:szCs w:val="24"/>
          <w:lang w:val="en-US" w:eastAsia="pt-BR"/>
        </w:rPr>
        <w:t>Study selection</w:t>
      </w:r>
    </w:p>
    <w:p w14:paraId="58702AED" w14:textId="264BCA36" w:rsidR="006D11DF"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The initial search identified a total of 3576 citations. After eliminating duplicates, 1601 citations were selected for title and abstract review. Out of these, 54 studies were selected for full-text review. Eleven articles were then selected to examine for eligibility, out of which 3 were excluded because they were not RCTs. Finally, 8 studies</w:t>
      </w:r>
      <w:r w:rsidR="00DE0A1B"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SCIENCE","id":"ITEM-5","issue":"3","issued":{"date-parts":[["2018","12","8"]]},"page":"133-141","title":"Propofol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trial","type":"article-journal","volume":"64"},"uris":["http://www.mendeley.com/documents/?uuid=e58fa553-33a0-4fea-b413-3becc6e1df3d"]},{"id":"ITEM-6","itemData":{"DOI":"10.1155/2017/8462756","ISSN":"2090-3448","PMID":"29312786","abstract":"Objectives.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Hepatology","id":"ITEM-6","issued":{"date-parts":[["2017"]]},"page":"1-6","title":"Randomized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Disease","type":"article-journal","volume":"2017"},"uris":["http://www.mendeley.com/documents/?uuid=816f1414-08e8-4752-a0ae-2f5499b646d9"]},{"id":"ITEM-7","itemData":{"DOI":"10.1016/j.gie.2010.09.025","ISSN":"00165107","PMID":"21184869","abstract":"BACKGROUND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Endoscopy","id":"ITEM-7","issue":"1","issued":{"date-parts":[["2011","1"]]},"page":"45-51.e1","title":"Sedation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fentanyl","type":"article-journal","volume":"73"},"uris":["http://www.mendeley.com/documents/?uuid=0410c142-4734-4f31-b274-ce83428eb34e"]},{"id":"ITEM-8","itemData":{"DOI":"10.1111/j.1572-0241.2003.08668.x","ISSN":"0002-9270","PMID":"14638346","abstract":"OBJECTIVES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Gastroenterology","id":"ITEM-8","issue":"11","issued":{"date-parts":[["2003","11"]]},"page":"2440-2447","title":"Nurse-administered propofol versus midazolam and meperidine for upper endoscopy in cirrhotic patients","type":"article-journal","volume":"98"},"uris":["http://www.mendeley.com/documents/?uuid=5866beea-6a15-4c40-968d-6a3f5c587b81"]}],"mendeley":{"formattedCitation":"&lt;sup&gt;[15–22]&lt;/sup&gt;","plainTextFormattedCitation":"[15–22]","previouslyFormattedCitation":"&lt;sup&gt;[14–21]&lt;/sup&gt;"},"properties":{"noteIndex":0},"schema":"https://github.com/citation-style-language/schema/raw/master/csl-citation.json"}</w:instrText>
      </w:r>
      <w:r w:rsidR="00DE0A1B"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[15–22]</w:t>
      </w:r>
      <w:r w:rsidR="00DE0A1B"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were included in our meta-analysis (Figure 1).</w:t>
      </w:r>
    </w:p>
    <w:p w14:paraId="7C69C111"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01DBA3BE" w14:textId="77777777" w:rsidR="006E01D2" w:rsidRPr="00C10A48" w:rsidRDefault="006E01D2" w:rsidP="00F227A9">
      <w:pPr>
        <w:snapToGrid w:val="0"/>
        <w:spacing w:after="0" w:line="360" w:lineRule="auto"/>
        <w:jc w:val="both"/>
        <w:rPr>
          <w:rFonts w:ascii="Book Antiqua" w:eastAsia="Times New Roman" w:hAnsi="Book Antiqua" w:cstheme="minorHAnsi"/>
          <w:b/>
          <w:bCs/>
          <w:i/>
          <w:iCs/>
          <w:sz w:val="24"/>
          <w:szCs w:val="24"/>
          <w:lang w:val="en-US" w:eastAsia="pt-BR"/>
        </w:rPr>
      </w:pPr>
      <w:r w:rsidRPr="00C10A48">
        <w:rPr>
          <w:rFonts w:ascii="Book Antiqua" w:eastAsia="Times New Roman" w:hAnsi="Book Antiqua" w:cstheme="minorHAnsi"/>
          <w:b/>
          <w:bCs/>
          <w:i/>
          <w:iCs/>
          <w:sz w:val="24"/>
          <w:szCs w:val="24"/>
          <w:lang w:val="en-US" w:eastAsia="pt-BR"/>
        </w:rPr>
        <w:t>Study characteristics</w:t>
      </w:r>
    </w:p>
    <w:p w14:paraId="63156772" w14:textId="309E5D15" w:rsidR="00213086"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lastRenderedPageBreak/>
        <w:t xml:space="preserve">Eight </w:t>
      </w:r>
      <w:r w:rsidR="00B05623" w:rsidRPr="00C10A48">
        <w:rPr>
          <w:rFonts w:ascii="Book Antiqua" w:hAnsi="Book Antiqua"/>
          <w:sz w:val="24"/>
          <w:szCs w:val="24"/>
          <w:lang w:val="en-US"/>
        </w:rPr>
        <w:t>RCTs</w:t>
      </w:r>
      <w:r w:rsidRPr="00C10A48">
        <w:rPr>
          <w:rFonts w:ascii="Book Antiqua" w:eastAsia="Times New Roman" w:hAnsi="Book Antiqua" w:cstheme="minorHAnsi"/>
          <w:sz w:val="24"/>
          <w:szCs w:val="24"/>
          <w:lang w:val="en-US" w:eastAsia="pt-BR"/>
        </w:rPr>
        <w:t xml:space="preserve"> with a total of 596 patients were included; 302 in the propofol group and 294 patients in the midazolam group. Individual study characteristics are summarized in Table 1. Four studies</w:t>
      </w:r>
      <w:r w:rsidR="00DE0A1B"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[15–18]&lt;/sup&gt;","plainTextFormattedCitation":"[15–18]","previouslyFormattedCitation":"&lt;sup&gt;[14–17]&lt;/sup&gt;"},"properties":{"noteIndex":0},"schema":"https://github.com/citation-style-language/schema/raw/master/csl-citation.json"}</w:instrText>
      </w:r>
      <w:r w:rsidR="00DE0A1B"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[15–18]</w:t>
      </w:r>
      <w:r w:rsidR="00DE0A1B"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used sedation with only propofol or midazolam. The other four studies</w:t>
      </w:r>
      <w:r w:rsidR="00DE0A1B"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trial","type":"article-journal","volume":"64"},"uris":["http://www.mendeley.com/documents/?uuid=e58fa553-33a0-4fea-b413-3becc6e1df3d"]},{"id":"ITEM-2","itemData":{"DOI":"10.1155/2017/8462756","ISSN":"2090-3448","PMID":"29312786","abstract":"Objectives.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Hepatology","id":"ITEM-2","issued":{"date-parts":[["2017"]]},"page":"1-6","title":"Randomized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Disease","type":"article-journal","volume":"2017"},"uris":["http://www.mendeley.com/documents/?uuid=816f1414-08e8-4752-a0ae-2f5499b646d9"]},{"id":"ITEM-3","itemData":{"DOI":"10.1016/j.gie.2010.09.025","ISSN":"00165107","PMID":"21184869","abstract":"BACKGROUND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Endoscopy","id":"ITEM-3","issue":"1","issued":{"date-parts":[["2011","1"]]},"page":"45-51.e1","title":"Sedation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fentanyl","type":"article-journal","volume":"73"},"uris":["http://www.mendeley.com/documents/?uuid=0410c142-4734-4f31-b274-ce83428eb34e"]},{"id":"ITEM-4","itemData":{"DOI":"10.1111/j.1572-0241.2003.08668.x","ISSN":"0002-9270","PMID":"14638346","abstract":"OBJECTIVES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Gastroenterology","id":"ITEM-4","issue":"11","issued":{"date-parts":[["2003","11"]]},"page":"2440-2447","title":"Nurse-administered propofol versus midazolam and meperidine for upper endoscopy in cirrhotic patients","type":"article-journal","volume":"98"},"uris":["http://www.mendeley.com/documents/?uuid=5866beea-6a15-4c40-968d-6a3f5c587b81"]}],"mendeley":{"formattedCitation":"&lt;sup&gt;[19–22]&lt;/sup&gt;","plainTextFormattedCitation":"[19–22]","previouslyFormattedCitation":"&lt;sup&gt;[18–21]&lt;/sup&gt;"},"properties":{"noteIndex":0},"schema":"https://github.com/citation-style-language/schema/raw/master/csl-citation.json"}</w:instrText>
      </w:r>
      <w:r w:rsidR="00DE0A1B"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[19–22]</w:t>
      </w:r>
      <w:r w:rsidR="00DE0A1B"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also used additional medications for sedation, such as opioid analgesic Pentazocine (Watanabe </w:t>
      </w:r>
      <w:r w:rsidR="00036A86" w:rsidRPr="00C10A48">
        <w:rPr>
          <w:rFonts w:ascii="Book Antiqua" w:eastAsia="Times New Roman" w:hAnsi="Book Antiqua" w:cstheme="minorHAnsi"/>
          <w:i/>
          <w:sz w:val="24"/>
          <w:szCs w:val="24"/>
          <w:lang w:val="en-US" w:eastAsia="pt-BR"/>
        </w:rPr>
        <w:t>et al</w:t>
      </w:r>
      <w:r w:rsidR="00DE0A1B"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[19]&lt;/sup&gt;","plainTextFormattedCitation":"[19]","previouslyFormattedCitation":"&lt;sup&gt;[18]&lt;/sup&gt;"},"properties":{"noteIndex":0},"schema":"https://github.com/citation-style-language/schema/raw/master/csl-citation.json"}</w:instrText>
      </w:r>
      <w:r w:rsidR="00DE0A1B"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w:t>
      </w:r>
      <w:r w:rsidR="00DE0A1B"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fentanyl (Ahmed </w:t>
      </w:r>
      <w:r w:rsidR="00036A86" w:rsidRPr="00C10A48">
        <w:rPr>
          <w:rFonts w:ascii="Book Antiqua" w:eastAsia="Times New Roman" w:hAnsi="Book Antiqua" w:cstheme="minorHAnsi"/>
          <w:i/>
          <w:sz w:val="24"/>
          <w:szCs w:val="24"/>
          <w:lang w:val="en-US" w:eastAsia="pt-BR"/>
        </w:rPr>
        <w:t>et al</w:t>
      </w:r>
      <w:r w:rsidR="00DE0A1B"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00DE0A1B"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[20]</w:t>
      </w:r>
      <w:r w:rsidR="00DE0A1B"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036A86" w:rsidRPr="00C10A48">
        <w:rPr>
          <w:rFonts w:ascii="Book Antiqua" w:eastAsia="Times New Roman" w:hAnsi="Book Antiqua" w:cstheme="minorHAnsi"/>
          <w:i/>
          <w:sz w:val="24"/>
          <w:szCs w:val="24"/>
          <w:lang w:val="en-US" w:eastAsia="pt-BR"/>
        </w:rPr>
        <w:t>et al</w:t>
      </w:r>
      <w:r w:rsidR="00DE0A1B"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Endoscopy","id":"ITEM-1","issue":"1","issued":{"date-parts":[["2011","1"]]},"page":"45-51.e1","title":"Sedation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[21]&lt;/sup&gt;","plainTextFormattedCitation":"[21]","previouslyFormattedCitation":"&lt;sup&gt;[20]&lt;/sup&gt;"},"properties":{"noteIndex":0},"schema":"https://github.com/citation-style-language/schema/raw/master/csl-citation.json"}</w:instrText>
      </w:r>
      <w:r w:rsidR="00DE0A1B"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[21]</w:t>
      </w:r>
      <w:r w:rsidR="00DE0A1B"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and Meperidine in th</w:t>
      </w:r>
      <w:r w:rsidR="00036A86" w:rsidRPr="00C10A48">
        <w:rPr>
          <w:rFonts w:ascii="Book Antiqua" w:eastAsia="Times New Roman" w:hAnsi="Book Antiqua" w:cstheme="minorHAnsi"/>
          <w:sz w:val="24"/>
          <w:szCs w:val="24"/>
          <w:lang w:val="en-US" w:eastAsia="pt-BR"/>
        </w:rPr>
        <w:t xml:space="preserve">e midazolam group (Weston </w:t>
      </w:r>
      <w:r w:rsidR="00036A86" w:rsidRPr="00C10A48">
        <w:rPr>
          <w:rFonts w:ascii="Book Antiqua" w:eastAsia="Times New Roman" w:hAnsi="Book Antiqua" w:cstheme="minorHAnsi"/>
          <w:i/>
          <w:sz w:val="24"/>
          <w:szCs w:val="24"/>
          <w:lang w:val="en-US" w:eastAsia="pt-BR"/>
        </w:rPr>
        <w:t>et al</w:t>
      </w:r>
      <w:r w:rsidR="00DE0A1B"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00DE0A1B"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[22]</w:t>
      </w:r>
      <w:r w:rsidR="00DE0A1B"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w:t>
      </w:r>
    </w:p>
    <w:p w14:paraId="6A41E862"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02324698" w14:textId="7FEE7960" w:rsidR="002E6770" w:rsidRPr="00C10A48" w:rsidRDefault="00036A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 xml:space="preserve">Risk of bias: </w:t>
      </w:r>
      <w:r w:rsidR="002E6770" w:rsidRPr="00C10A48">
        <w:rPr>
          <w:rFonts w:ascii="Book Antiqua" w:eastAsia="Times New Roman" w:hAnsi="Book Antiqua" w:cstheme="minorHAnsi"/>
          <w:sz w:val="24"/>
          <w:szCs w:val="24"/>
          <w:lang w:val="en-US" w:eastAsia="pt-BR"/>
        </w:rPr>
        <w:t xml:space="preserve">Studies by </w:t>
      </w:r>
      <w:proofErr w:type="spellStart"/>
      <w:r w:rsidR="002E6770" w:rsidRPr="00C10A48">
        <w:rPr>
          <w:rFonts w:ascii="Book Antiqua" w:eastAsia="Times New Roman" w:hAnsi="Book Antiqua" w:cstheme="minorHAnsi"/>
          <w:sz w:val="24"/>
          <w:szCs w:val="24"/>
          <w:lang w:val="en-US" w:eastAsia="pt-BR"/>
        </w:rPr>
        <w:t>Yoo</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w:t>
      </w:r>
      <w:proofErr w:type="spellStart"/>
      <w:r w:rsidR="002E6770" w:rsidRPr="00C10A48">
        <w:rPr>
          <w:rFonts w:ascii="Book Antiqua" w:eastAsia="Times New Roman" w:hAnsi="Book Antiqua" w:cstheme="minorHAnsi"/>
          <w:sz w:val="24"/>
          <w:szCs w:val="24"/>
          <w:lang w:val="en-US" w:eastAsia="pt-BR"/>
        </w:rPr>
        <w:t>Watamabe</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[19]&lt;/sup&gt;","plainTextFormattedCitation":"[19]","previouslyFormattedCitation":"&lt;sup&gt;[18]&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Ahmed </w:t>
      </w:r>
      <w:r w:rsidR="00BF76C5"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[20]</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Agrawal </w:t>
      </w:r>
      <w:r w:rsidR="00BF76C5"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and </w:t>
      </w:r>
      <w:proofErr w:type="spellStart"/>
      <w:r w:rsidR="002E6770" w:rsidRPr="00C10A48">
        <w:rPr>
          <w:rFonts w:ascii="Book Antiqua" w:eastAsia="Times New Roman" w:hAnsi="Book Antiqua" w:cstheme="minorHAnsi"/>
          <w:sz w:val="24"/>
          <w:szCs w:val="24"/>
          <w:lang w:val="en-US" w:eastAsia="pt-BR"/>
        </w:rPr>
        <w:t>Correia</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Endoscopy","id":"ITEM-1","issue":"1","issued":{"date-parts":[["2011","1"]]},"page":"45-51.e1","title":"Sedation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[21]&lt;/sup&gt;","plainTextFormattedCitation":"[21]","previouslyFormattedCitation":"&lt;sup&gt;[20]&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[21]</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were considered low risk when globally assessed per outcome, while the studies by </w:t>
      </w:r>
      <w:proofErr w:type="spellStart"/>
      <w:r w:rsidR="002E6770" w:rsidRPr="00C10A48">
        <w:rPr>
          <w:rFonts w:ascii="Book Antiqua" w:eastAsia="Times New Roman" w:hAnsi="Book Antiqua" w:cstheme="minorHAnsi"/>
          <w:sz w:val="24"/>
          <w:szCs w:val="24"/>
          <w:lang w:val="en-US" w:eastAsia="pt-BR"/>
        </w:rPr>
        <w:t>Khamaysi</w:t>
      </w:r>
      <w:proofErr w:type="spellEnd"/>
      <w:r w:rsidR="002E6770" w:rsidRPr="00C10A48">
        <w:rPr>
          <w:rFonts w:ascii="Book Antiqua" w:eastAsia="Times New Roman" w:hAnsi="Book Antiqua" w:cstheme="minorHAnsi"/>
          <w:sz w:val="24"/>
          <w:szCs w:val="24"/>
          <w:lang w:val="en-US" w:eastAsia="pt-BR"/>
        </w:rPr>
        <w:t xml:space="preserve"> </w:t>
      </w:r>
      <w:r w:rsidR="00F55E4B"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mendeley":{"formattedCitation":"&lt;sup&gt;[16]&lt;/sup&gt;","plainTextFormattedCitation":"[16]","previouslyFormattedCitation":"&lt;sup&gt;[15]&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and Weston </w:t>
      </w:r>
      <w:r w:rsidR="00F55E4B"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[22]</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had some concerns</w:t>
      </w:r>
      <w:r w:rsidR="00F26942" w:rsidRPr="00C10A48">
        <w:rPr>
          <w:rFonts w:ascii="Book Antiqua" w:eastAsia="Times New Roman" w:hAnsi="Book Antiqua" w:cstheme="minorHAnsi"/>
          <w:sz w:val="24"/>
          <w:szCs w:val="24"/>
          <w:lang w:val="en-US" w:eastAsia="pt-BR"/>
        </w:rPr>
        <w:t>,</w:t>
      </w:r>
      <w:r w:rsidR="002E6770" w:rsidRPr="00C10A48">
        <w:rPr>
          <w:rFonts w:ascii="Book Antiqua" w:eastAsia="Times New Roman" w:hAnsi="Book Antiqua" w:cstheme="minorHAnsi"/>
          <w:sz w:val="24"/>
          <w:szCs w:val="24"/>
          <w:lang w:val="en-US" w:eastAsia="pt-BR"/>
        </w:rPr>
        <w:t xml:space="preserve"> and the study by </w:t>
      </w:r>
      <w:proofErr w:type="spellStart"/>
      <w:r w:rsidR="002E6770" w:rsidRPr="00C10A48">
        <w:rPr>
          <w:rFonts w:ascii="Book Antiqua" w:eastAsia="Times New Roman" w:hAnsi="Book Antiqua" w:cstheme="minorHAnsi"/>
          <w:sz w:val="24"/>
          <w:szCs w:val="24"/>
          <w:lang w:val="en-US" w:eastAsia="pt-BR"/>
        </w:rPr>
        <w:t>Riphaus</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mendeley":{"formattedCitation":"&lt;sup&gt;[17]&lt;/sup&gt;","plainTextFormattedCitation":"[17]","previouslyFormattedCitation":"&lt;sup&gt;[16]&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[17]</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had a high risk of bias (Figure 2).</w:t>
      </w:r>
    </w:p>
    <w:p w14:paraId="2A11A2FE" w14:textId="3CB4E141" w:rsidR="00C64130" w:rsidRPr="00C10A48" w:rsidRDefault="00A7632F"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 </w:t>
      </w:r>
    </w:p>
    <w:p w14:paraId="501F8CAA" w14:textId="60A886C0" w:rsidR="004D3F90" w:rsidRPr="00C10A48" w:rsidRDefault="00231A13" w:rsidP="00F227A9">
      <w:pPr>
        <w:snapToGrid w:val="0"/>
        <w:spacing w:after="0" w:line="360" w:lineRule="auto"/>
        <w:jc w:val="both"/>
        <w:rPr>
          <w:rFonts w:ascii="Book Antiqua" w:eastAsia="Times New Roman" w:hAnsi="Book Antiqua" w:cstheme="minorHAnsi"/>
          <w:b/>
          <w:bCs/>
          <w:sz w:val="24"/>
          <w:szCs w:val="24"/>
          <w:lang w:val="en-US" w:eastAsia="pt-BR"/>
        </w:rPr>
      </w:pPr>
      <w:proofErr w:type="spellStart"/>
      <w:r w:rsidRPr="00C10A48">
        <w:rPr>
          <w:rFonts w:ascii="Book Antiqua" w:eastAsia="Times New Roman" w:hAnsi="Book Antiqua" w:cstheme="minorHAnsi"/>
          <w:b/>
          <w:bCs/>
          <w:sz w:val="24"/>
          <w:szCs w:val="24"/>
          <w:lang w:val="en-US" w:eastAsia="pt-BR"/>
        </w:rPr>
        <w:t>GRADEpro</w:t>
      </w:r>
      <w:proofErr w:type="spellEnd"/>
      <w:r w:rsidR="00036A86" w:rsidRPr="00C10A48">
        <w:rPr>
          <w:rFonts w:ascii="Book Antiqua" w:eastAsia="DengXian" w:hAnsi="Book Antiqua" w:cstheme="minorHAnsi" w:hint="eastAsia"/>
          <w:b/>
          <w:bCs/>
          <w:sz w:val="24"/>
          <w:szCs w:val="24"/>
          <w:lang w:val="en-US" w:eastAsia="zh-CN"/>
        </w:rPr>
        <w:t>:</w:t>
      </w:r>
      <w:r w:rsidR="00036A86" w:rsidRPr="00C10A48">
        <w:rPr>
          <w:rFonts w:ascii="Book Antiqua" w:eastAsia="DengXian" w:hAnsi="Book Antiqua" w:cstheme="minorHAnsi"/>
          <w:b/>
          <w:bCs/>
          <w:sz w:val="24"/>
          <w:szCs w:val="24"/>
          <w:lang w:val="en-US" w:eastAsia="zh-CN"/>
        </w:rPr>
        <w:t xml:space="preserve"> </w:t>
      </w:r>
      <w:r w:rsidR="0071163B" w:rsidRPr="00C10A48">
        <w:rPr>
          <w:rFonts w:ascii="Book Antiqua" w:eastAsia="Times New Roman" w:hAnsi="Book Antiqua" w:cstheme="minorHAnsi"/>
          <w:sz w:val="24"/>
          <w:szCs w:val="24"/>
          <w:lang w:val="en" w:eastAsia="pt-BR"/>
        </w:rPr>
        <w:t>The estimated outcomes of p</w:t>
      </w:r>
      <w:r w:rsidR="00CE0D04" w:rsidRPr="00C10A48">
        <w:rPr>
          <w:rFonts w:ascii="Book Antiqua" w:eastAsia="Times New Roman" w:hAnsi="Book Antiqua" w:cstheme="minorHAnsi"/>
          <w:sz w:val="24"/>
          <w:szCs w:val="24"/>
          <w:lang w:val="en" w:eastAsia="pt-BR"/>
        </w:rPr>
        <w:t>rocedure</w:t>
      </w:r>
      <w:r w:rsidR="0071163B" w:rsidRPr="00C10A48">
        <w:rPr>
          <w:rFonts w:ascii="Book Antiqua" w:eastAsia="Times New Roman" w:hAnsi="Book Antiqua" w:cstheme="minorHAnsi"/>
          <w:sz w:val="24"/>
          <w:szCs w:val="24"/>
          <w:lang w:val="en" w:eastAsia="pt-BR"/>
        </w:rPr>
        <w:t xml:space="preserve"> time</w:t>
      </w:r>
      <w:r w:rsidR="00CE0D04" w:rsidRPr="00C10A48">
        <w:rPr>
          <w:rFonts w:ascii="Book Antiqua" w:eastAsia="Times New Roman" w:hAnsi="Book Antiqua" w:cstheme="minorHAnsi"/>
          <w:sz w:val="24"/>
          <w:szCs w:val="24"/>
          <w:lang w:val="en" w:eastAsia="pt-BR"/>
        </w:rPr>
        <w:t xml:space="preserve">, </w:t>
      </w:r>
      <w:r w:rsidR="004D3F90" w:rsidRPr="00C10A48">
        <w:rPr>
          <w:rFonts w:ascii="Book Antiqua" w:eastAsia="Times New Roman" w:hAnsi="Book Antiqua" w:cstheme="minorHAnsi"/>
          <w:sz w:val="24"/>
          <w:szCs w:val="24"/>
          <w:lang w:val="en" w:eastAsia="pt-BR"/>
        </w:rPr>
        <w:t xml:space="preserve">recovery time, </w:t>
      </w:r>
      <w:r w:rsidR="00CE0D04" w:rsidRPr="00C10A48">
        <w:rPr>
          <w:rFonts w:ascii="Book Antiqua" w:eastAsia="Times New Roman" w:hAnsi="Book Antiqua" w:cstheme="minorHAnsi"/>
          <w:sz w:val="24"/>
          <w:szCs w:val="24"/>
          <w:lang w:val="en" w:eastAsia="pt-BR"/>
        </w:rPr>
        <w:t>and adverse events showed</w:t>
      </w:r>
      <w:r w:rsidR="0071163B" w:rsidRPr="00C10A48">
        <w:rPr>
          <w:rFonts w:ascii="Book Antiqua" w:eastAsia="Times New Roman" w:hAnsi="Book Antiqua" w:cstheme="minorHAnsi"/>
          <w:sz w:val="24"/>
          <w:szCs w:val="24"/>
          <w:lang w:val="en" w:eastAsia="pt-BR"/>
        </w:rPr>
        <w:t xml:space="preserve"> </w:t>
      </w:r>
      <w:r w:rsidR="00CE0D04" w:rsidRPr="00C10A48">
        <w:rPr>
          <w:rFonts w:ascii="Book Antiqua" w:eastAsia="Times New Roman" w:hAnsi="Book Antiqua" w:cstheme="minorHAnsi"/>
          <w:sz w:val="24"/>
          <w:szCs w:val="24"/>
          <w:lang w:val="en" w:eastAsia="pt-BR"/>
        </w:rPr>
        <w:t>very low quality of evidence</w:t>
      </w:r>
      <w:r w:rsidR="0071163B" w:rsidRPr="00C10A48">
        <w:rPr>
          <w:rFonts w:ascii="Book Antiqua" w:eastAsia="Times New Roman" w:hAnsi="Book Antiqua" w:cstheme="minorHAnsi"/>
          <w:sz w:val="24"/>
          <w:szCs w:val="24"/>
          <w:lang w:val="en" w:eastAsia="pt-BR"/>
        </w:rPr>
        <w:t xml:space="preserve">, and </w:t>
      </w:r>
      <w:r w:rsidR="00CE0D04" w:rsidRPr="00C10A48">
        <w:rPr>
          <w:rFonts w:ascii="Book Antiqua" w:eastAsia="Times New Roman" w:hAnsi="Book Antiqua" w:cstheme="minorHAnsi"/>
          <w:sz w:val="24"/>
          <w:szCs w:val="24"/>
          <w:lang w:val="en" w:eastAsia="pt-BR"/>
        </w:rPr>
        <w:t xml:space="preserve">discharge time showed </w:t>
      </w:r>
      <w:r w:rsidR="004D3F90" w:rsidRPr="00C10A48">
        <w:rPr>
          <w:rFonts w:ascii="Book Antiqua" w:eastAsia="Times New Roman" w:hAnsi="Book Antiqua" w:cstheme="minorHAnsi"/>
          <w:sz w:val="24"/>
          <w:szCs w:val="24"/>
          <w:lang w:val="en" w:eastAsia="pt-BR"/>
        </w:rPr>
        <w:t>low quality of evidence</w:t>
      </w:r>
      <w:r w:rsidR="00CE0D04" w:rsidRPr="00C10A48">
        <w:rPr>
          <w:rFonts w:ascii="Book Antiqua" w:eastAsia="Times New Roman" w:hAnsi="Book Antiqua" w:cstheme="minorHAnsi"/>
          <w:sz w:val="24"/>
          <w:szCs w:val="24"/>
          <w:lang w:val="en" w:eastAsia="pt-BR"/>
        </w:rPr>
        <w:t xml:space="preserve"> (Figure 3)</w:t>
      </w:r>
      <w:r w:rsidR="004D3F90" w:rsidRPr="00C10A48">
        <w:rPr>
          <w:rFonts w:ascii="Book Antiqua" w:eastAsia="Times New Roman" w:hAnsi="Book Antiqua" w:cstheme="minorHAnsi"/>
          <w:sz w:val="24"/>
          <w:szCs w:val="24"/>
          <w:lang w:val="en" w:eastAsia="pt-BR"/>
        </w:rPr>
        <w:t>.</w:t>
      </w:r>
    </w:p>
    <w:p w14:paraId="65643630" w14:textId="77777777" w:rsidR="004D3F90" w:rsidRPr="00C10A48" w:rsidRDefault="004D3F90" w:rsidP="00F227A9">
      <w:pPr>
        <w:snapToGrid w:val="0"/>
        <w:spacing w:after="0" w:line="360" w:lineRule="auto"/>
        <w:jc w:val="both"/>
        <w:rPr>
          <w:rFonts w:ascii="Book Antiqua" w:eastAsia="Times New Roman" w:hAnsi="Book Antiqua" w:cstheme="minorHAnsi"/>
          <w:sz w:val="24"/>
          <w:szCs w:val="24"/>
          <w:lang w:val="en-US" w:eastAsia="pt-BR"/>
        </w:rPr>
      </w:pPr>
    </w:p>
    <w:p w14:paraId="6D35DA18" w14:textId="5B9816F5" w:rsidR="00213086" w:rsidRPr="00C10A48" w:rsidRDefault="00213086" w:rsidP="00F227A9">
      <w:pPr>
        <w:snapToGrid w:val="0"/>
        <w:spacing w:after="0" w:line="360" w:lineRule="auto"/>
        <w:jc w:val="both"/>
        <w:rPr>
          <w:rFonts w:ascii="Book Antiqua" w:eastAsia="Times New Roman" w:hAnsi="Book Antiqua" w:cstheme="minorHAnsi"/>
          <w:b/>
          <w:i/>
          <w:sz w:val="24"/>
          <w:szCs w:val="24"/>
          <w:lang w:val="en-US" w:eastAsia="pt-BR"/>
        </w:rPr>
      </w:pPr>
      <w:r w:rsidRPr="00C10A48">
        <w:rPr>
          <w:rFonts w:ascii="Book Antiqua" w:eastAsia="Times New Roman" w:hAnsi="Book Antiqua" w:cstheme="minorHAnsi"/>
          <w:b/>
          <w:i/>
          <w:sz w:val="24"/>
          <w:szCs w:val="24"/>
          <w:lang w:val="en-US" w:eastAsia="pt-BR"/>
        </w:rPr>
        <w:t>Results of individual studies and synthesis of results</w:t>
      </w:r>
    </w:p>
    <w:p w14:paraId="1523DB75" w14:textId="63D8CFAC" w:rsidR="0008191D"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bookmarkStart w:id="13" w:name="_Hlk31820296"/>
      <w:r w:rsidRPr="00C10A48">
        <w:rPr>
          <w:rFonts w:ascii="Book Antiqua" w:eastAsia="Times New Roman" w:hAnsi="Book Antiqua" w:cstheme="minorHAnsi"/>
          <w:b/>
          <w:sz w:val="24"/>
          <w:szCs w:val="24"/>
          <w:lang w:val="en-US" w:eastAsia="pt-BR"/>
        </w:rPr>
        <w:t>Procedure time</w:t>
      </w:r>
      <w:bookmarkEnd w:id="13"/>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bCs/>
          <w:sz w:val="24"/>
          <w:szCs w:val="24"/>
          <w:lang w:val="en-US" w:eastAsia="pt-BR"/>
        </w:rPr>
        <w:t>Seven studies</w:t>
      </w:r>
      <w:r w:rsidR="001C5E01" w:rsidRPr="00C10A48">
        <w:rPr>
          <w:rFonts w:ascii="Book Antiqua" w:eastAsia="Times New Roman" w:hAnsi="Book Antiqua" w:cstheme="minorHAnsi"/>
          <w:bCs/>
          <w:sz w:val="24"/>
          <w:szCs w:val="24"/>
          <w:lang w:val="en-US" w:eastAsia="pt-BR"/>
        </w:rPr>
        <w:fldChar w:fldCharType="begin" w:fldLock="1"/>
      </w:r>
      <w:r w:rsidR="0024084B" w:rsidRPr="00C10A48">
        <w:rPr>
          <w:rFonts w:ascii="Book Antiqua" w:eastAsia="Times New Roman" w:hAnsi="Book Antiqua" w:cstheme="minorHAnsi"/>
          <w:bCs/>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SCIENCE","id":"ITEM-4","issue":"3","issued":{"date-parts":[["2018","12","8"]]},"page":"133-141","title":"Propofol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trial","type":"article-journal","volume":"64"},"uris":["http://www.mendeley.com/documents/?uuid=e58fa553-33a0-4fea-b413-3becc6e1df3d"]},{"id":"ITEM-5","itemData":{"DOI":"10.1155/2017/8462756","ISSN":"2090-3448","PMID":"29312786","abstract":"Objectives.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Hepatology","id":"ITEM-5","issued":{"date-parts":[["2017"]]},"page":"1-6","title":"Randomized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Disease","type":"article-journal","volume":"2017"},"uris":["http://www.mendeley.com/documents/?uuid=816f1414-08e8-4752-a0ae-2f5499b646d9"]},{"id":"ITEM-6","itemData":{"DOI":"10.1016/j.gie.2010.09.025","ISSN":"00165107","PMID":"21184869","abstract":"BACKGROUND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Endoscopy","id":"ITEM-6","issue":"1","issued":{"date-parts":[["2011","1"]]},"page":"45-51.e1","title":"Sedation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fentanyl","type":"article-journal","volume":"73"},"uris":["http://www.mendeley.com/documents/?uuid=0410c142-4734-4f31-b274-ce83428eb34e"]},{"id":"ITEM-7","itemData":{"DOI":"10.1111/j.1572-0241.2003.08668.x","ISSN":"0002-9270","PMID":"14638346","abstract":"OBJECTIVES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Gastroenterology","id":"ITEM-7","issue":"11","issued":{"date-parts":[["2003","11"]]},"page":"2440-2447","title":"Nurse-administered propofol versus midazolam and meperidine for upper endoscopy in cirrhotic patients","type":"article-journal","volume":"98"},"uris":["http://www.mendeley.com/documents/?uuid=5866beea-6a15-4c40-968d-6a3f5c587b81"]}],"mendeley":{"formattedCitation":"&lt;sup&gt;[15–17,19–22]&lt;/sup&gt;","plainTextFormattedCitation":"[15–17,19–22]","previouslyFormattedCitation":"&lt;sup&gt;[14–16,18–21]&lt;/sup&gt;"},"properties":{"noteIndex":0},"schema":"https://github.com/citation-style-language/schema/raw/master/csl-citation.json"}</w:instrText>
      </w:r>
      <w:r w:rsidR="001C5E01" w:rsidRPr="00C10A48">
        <w:rPr>
          <w:rFonts w:ascii="Book Antiqua" w:eastAsia="Times New Roman" w:hAnsi="Book Antiqua" w:cstheme="minorHAnsi"/>
          <w:bCs/>
          <w:sz w:val="24"/>
          <w:szCs w:val="24"/>
          <w:lang w:val="en-US" w:eastAsia="pt-BR"/>
        </w:rPr>
        <w:fldChar w:fldCharType="separate"/>
      </w:r>
      <w:r w:rsidR="0024084B" w:rsidRPr="00C10A48">
        <w:rPr>
          <w:rFonts w:ascii="Book Antiqua" w:eastAsia="Times New Roman" w:hAnsi="Book Antiqua" w:cstheme="minorHAnsi"/>
          <w:bCs/>
          <w:noProof/>
          <w:sz w:val="24"/>
          <w:szCs w:val="24"/>
          <w:vertAlign w:val="superscript"/>
          <w:lang w:val="en-US" w:eastAsia="pt-BR"/>
        </w:rPr>
        <w:t>[15–17,19–22]</w:t>
      </w:r>
      <w:r w:rsidR="001C5E01" w:rsidRPr="00C10A48">
        <w:rPr>
          <w:rFonts w:ascii="Book Antiqua" w:eastAsia="Times New Roman" w:hAnsi="Book Antiqua" w:cstheme="minorHAnsi"/>
          <w:bCs/>
          <w:sz w:val="24"/>
          <w:szCs w:val="24"/>
          <w:lang w:val="en-US" w:eastAsia="pt-BR"/>
        </w:rPr>
        <w:fldChar w:fldCharType="end"/>
      </w:r>
      <w:r w:rsidR="002E6770" w:rsidRPr="00C10A48">
        <w:rPr>
          <w:rFonts w:ascii="Book Antiqua" w:eastAsia="Times New Roman" w:hAnsi="Book Antiqua" w:cstheme="minorHAnsi"/>
          <w:bCs/>
          <w:sz w:val="24"/>
          <w:szCs w:val="24"/>
          <w:lang w:val="en-US" w:eastAsia="pt-BR"/>
        </w:rPr>
        <w:t xml:space="preserve"> with a total of 556 patients (282 propofol group and 274 midazolam group) reported procedure time. No statistical difference was found between the propofol and midazolam groups (MD: 0.25</w:t>
      </w:r>
      <w:r w:rsidR="001B45FD" w:rsidRPr="00C10A48">
        <w:rPr>
          <w:rFonts w:ascii="Book Antiqua" w:eastAsia="Times New Roman" w:hAnsi="Book Antiqua" w:cstheme="minorHAnsi"/>
          <w:bCs/>
          <w:sz w:val="24"/>
          <w:szCs w:val="24"/>
          <w:lang w:val="en-US" w:eastAsia="pt-BR"/>
        </w:rPr>
        <w:t>, 95%</w:t>
      </w:r>
      <w:r w:rsidR="002E6770" w:rsidRPr="00C10A48">
        <w:rPr>
          <w:rFonts w:ascii="Book Antiqua" w:eastAsia="Times New Roman" w:hAnsi="Book Antiqua" w:cstheme="minorHAnsi"/>
          <w:bCs/>
          <w:sz w:val="24"/>
          <w:szCs w:val="24"/>
          <w:lang w:val="en-US" w:eastAsia="pt-BR"/>
        </w:rPr>
        <w:t xml:space="preserve">CI: -0.64 </w:t>
      </w:r>
      <w:r w:rsidR="001B45FD" w:rsidRPr="00C10A48">
        <w:rPr>
          <w:rFonts w:ascii="Book Antiqua" w:eastAsia="Times New Roman" w:hAnsi="Book Antiqua" w:cstheme="minorHAnsi"/>
          <w:bCs/>
          <w:sz w:val="24"/>
          <w:szCs w:val="24"/>
          <w:lang w:val="en-US" w:eastAsia="pt-BR"/>
        </w:rPr>
        <w:t xml:space="preserve">to </w:t>
      </w:r>
      <w:r w:rsidR="002E6770" w:rsidRPr="00C10A48">
        <w:rPr>
          <w:rFonts w:ascii="Book Antiqua" w:eastAsia="Times New Roman" w:hAnsi="Book Antiqua" w:cstheme="minorHAnsi"/>
          <w:bCs/>
          <w:sz w:val="24"/>
          <w:szCs w:val="24"/>
          <w:lang w:val="en-US" w:eastAsia="pt-BR"/>
        </w:rPr>
        <w:t>1.13</w:t>
      </w:r>
      <w:r w:rsidR="001B45FD" w:rsidRPr="00C10A48">
        <w:rPr>
          <w:rFonts w:ascii="Book Antiqua" w:eastAsia="Times New Roman" w:hAnsi="Book Antiqua" w:cstheme="minorHAnsi"/>
          <w:bCs/>
          <w:sz w:val="24"/>
          <w:szCs w:val="24"/>
          <w:lang w:val="en-US" w:eastAsia="pt-BR"/>
        </w:rPr>
        <w:t xml:space="preserve">, </w:t>
      </w:r>
      <w:r w:rsidR="001B45FD" w:rsidRPr="00C10A48">
        <w:rPr>
          <w:rFonts w:ascii="Book Antiqua" w:eastAsia="Times New Roman" w:hAnsi="Book Antiqua" w:cstheme="minorHAnsi"/>
          <w:i/>
          <w:sz w:val="24"/>
          <w:szCs w:val="24"/>
          <w:lang w:val="en-US" w:eastAsia="pt-BR"/>
        </w:rPr>
        <w:t>P</w:t>
      </w:r>
      <w:r w:rsidR="001B45FD" w:rsidRPr="00C10A48">
        <w:rPr>
          <w:rFonts w:ascii="Book Antiqua" w:eastAsia="Times New Roman" w:hAnsi="Book Antiqua" w:cstheme="minorHAnsi"/>
          <w:bCs/>
          <w:sz w:val="24"/>
          <w:szCs w:val="24"/>
          <w:lang w:val="en-US" w:eastAsia="pt-BR"/>
        </w:rPr>
        <w:t xml:space="preserve"> </w:t>
      </w:r>
      <w:r w:rsidR="002E6770" w:rsidRPr="00C10A48">
        <w:rPr>
          <w:rFonts w:ascii="Book Antiqua" w:eastAsia="Times New Roman" w:hAnsi="Book Antiqua" w:cstheme="minorHAnsi"/>
          <w:bCs/>
          <w:sz w:val="24"/>
          <w:szCs w:val="24"/>
          <w:lang w:val="en-US" w:eastAsia="pt-BR"/>
        </w:rPr>
        <w:t>=</w:t>
      </w:r>
      <w:r w:rsidR="001B45FD" w:rsidRPr="00C10A48">
        <w:rPr>
          <w:rFonts w:ascii="Book Antiqua" w:eastAsia="Times New Roman" w:hAnsi="Book Antiqua" w:cstheme="minorHAnsi"/>
          <w:bCs/>
          <w:sz w:val="24"/>
          <w:szCs w:val="24"/>
          <w:lang w:val="en-US" w:eastAsia="pt-BR"/>
        </w:rPr>
        <w:t xml:space="preserve"> </w:t>
      </w:r>
      <w:r w:rsidR="002E6770" w:rsidRPr="00C10A48">
        <w:rPr>
          <w:rFonts w:ascii="Book Antiqua" w:eastAsia="Times New Roman" w:hAnsi="Book Antiqua" w:cstheme="minorHAnsi"/>
          <w:bCs/>
          <w:sz w:val="24"/>
          <w:szCs w:val="24"/>
          <w:lang w:val="en-US" w:eastAsia="pt-BR"/>
        </w:rPr>
        <w:t>0.59) (Figure 4).</w:t>
      </w:r>
    </w:p>
    <w:p w14:paraId="7B07AC0B"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42905491" w14:textId="280CCF04" w:rsidR="0008191D"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Recovery time</w:t>
      </w:r>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Six studies</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Hepatology","id":"ITEM-5","issued":{"date-parts":[["2017"]]},"page":"1-6","title":"Randomized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Disease","type":"article-journal","volume":"2017"},"uris":["http://www.mendeley.com/documents/?uuid=816f1414-08e8-4752-a0ae-2f5499b646d9"]},{"id":"ITEM-6","itemData":{"DOI":"10.1111/j.1572-0241.2003.08668.x","ISSN":"0002-9270","PMID":"14638346","abstract":"OBJECTIVES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Gastroenterology","id":"ITEM-6","issue":"11","issued":{"date-parts":[["2003","11"]]},"page":"2440-2447","title":"Nurse-administered propofol versus midazolam and meperidine for upper endoscopy in cirrhotic patients","type":"article-journal","volume":"98"},"uris":["http://www.mendeley.com/documents/?uuid=5866beea-6a15-4c40-968d-6a3f5c587b81"]}],"mendeley":{"formattedCitation":"&lt;sup&gt;[15–18,20,22]&lt;/sup&gt;","plainTextFormattedCitation":"[15–18,20,22]","previouslyFormattedCitation":"&lt;sup&gt;[14–17,19,21]&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[15–18,20,22]</w:t>
      </w:r>
      <w:r w:rsidR="001C5E01" w:rsidRPr="00C10A48">
        <w:rPr>
          <w:rFonts w:ascii="Book Antiqua" w:eastAsia="Times New Roman" w:hAnsi="Book Antiqua" w:cstheme="minorHAnsi"/>
          <w:sz w:val="24"/>
          <w:szCs w:val="24"/>
          <w:lang w:val="en-US" w:eastAsia="pt-BR"/>
        </w:rPr>
        <w:fldChar w:fldCharType="end"/>
      </w:r>
      <w:r w:rsidR="002E6770" w:rsidRPr="00C10A48">
        <w:rPr>
          <w:rFonts w:ascii="Book Antiqua" w:eastAsia="Times New Roman" w:hAnsi="Book Antiqua" w:cstheme="minorHAnsi"/>
          <w:sz w:val="24"/>
          <w:szCs w:val="24"/>
          <w:lang w:val="en-US" w:eastAsia="pt-BR"/>
        </w:rPr>
        <w:t xml:space="preserve"> with a total of 363 patients (191 in the propofol group and 172 in the midazolam group) reported recovery time after sedation. The recovery time was significantly higher in the midazolam group (MD: -8.19</w:t>
      </w:r>
      <w:r w:rsidR="001B45FD"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-10.59 </w:t>
      </w:r>
      <w:r w:rsidR="001B45FD"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-5.79</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i/>
          <w:sz w:val="24"/>
          <w:szCs w:val="24"/>
          <w:lang w:val="en-US" w:eastAsia="pt-BR"/>
        </w:rPr>
        <w:t>P</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&lt;</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0.00001) (Figure 5).</w:t>
      </w:r>
    </w:p>
    <w:p w14:paraId="7610F703"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2AF02385" w14:textId="6213346E" w:rsidR="002C2842"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Discharge time</w:t>
      </w:r>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Three studies</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study","type":"article-journal","volume":"54"},"uris":["http://www.mendeley.com/documents/?uuid=1d634ad4-06fa-4a6e-afc9-e263e1db69f8"]},{"id":"ITEM-2","itemData":{"DOI":"10.1155/2017/8462756","ISSN":"2090-3448","PMID":"29312786","abstract":"Objectives.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Hepatology","id":"ITEM-2","issued":{"date-parts":[["2017"]]},"page":"1-6","title":"Randomized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Disease","type":"article-journal","volume":"2017"},"uris":["http://www.mendeley.com/documents/?uuid=816f1414-08e8-4752-a0ae-2f5499b646d9"]},{"id":"ITEM-3","itemData":{"DOI":"10.1111/j.1572-0241.2003.08668.x","ISSN":"0002-9270","PMID":"14638346","abstract":"OBJECTIVES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Gastroenterology","id":"ITEM-3","issue":"11","issued":{"date-parts":[["2003","11"]]},"page":"2440-2447","title":"Nurse-administered propofol versus midazolam and meperidine for upper endoscopy in cirrhotic patients","type":"article-journal","volume":"98"},"uris":["http://www.mendeley.com/documents/?uuid=5866beea-6a15-4c40-968d-6a3f5c587b81"]}],"mendeley":{"formattedCitation":"&lt;sup&gt;[16,20,22]&lt;/sup&gt;","plainTextFormattedCitation":"[16,20,22]","previouslyFormattedCitation":"&lt;sup&gt;[15,19,21]&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[16,20,22]</w:t>
      </w:r>
      <w:r w:rsidR="001C5E01" w:rsidRPr="00C10A48">
        <w:rPr>
          <w:rFonts w:ascii="Book Antiqua" w:eastAsia="Times New Roman" w:hAnsi="Book Antiqua" w:cstheme="minorHAnsi"/>
          <w:sz w:val="24"/>
          <w:szCs w:val="24"/>
          <w:lang w:val="en-US" w:eastAsia="pt-BR"/>
        </w:rPr>
        <w:fldChar w:fldCharType="end"/>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 xml:space="preserve">with a total of 181 patients (91 in the propofol group and 90 in the midazolam group) reported discharge time after sedation. The discharge was significantly lower in the propofol group </w:t>
      </w:r>
      <w:r w:rsidR="002E6770" w:rsidRPr="00C10A48">
        <w:rPr>
          <w:rFonts w:ascii="Book Antiqua" w:eastAsia="Times New Roman" w:hAnsi="Book Antiqua" w:cstheme="minorHAnsi"/>
          <w:sz w:val="24"/>
          <w:szCs w:val="24"/>
          <w:lang w:val="en-US" w:eastAsia="pt-BR"/>
        </w:rPr>
        <w:lastRenderedPageBreak/>
        <w:t>compared to midazolam (MD: -8.19</w:t>
      </w:r>
      <w:r w:rsidR="001B45FD"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-10.59 </w:t>
      </w:r>
      <w:r w:rsidR="001B45FD"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-5.79</w:t>
      </w:r>
      <w:r w:rsidR="001B45FD" w:rsidRPr="00C10A48">
        <w:rPr>
          <w:rFonts w:ascii="Book Antiqua" w:eastAsia="Times New Roman" w:hAnsi="Book Antiqua" w:cstheme="minorHAnsi"/>
          <w:sz w:val="24"/>
          <w:szCs w:val="24"/>
          <w:lang w:val="en-US" w:eastAsia="pt-BR"/>
        </w:rPr>
        <w:t xml:space="preserve">, </w:t>
      </w:r>
      <w:r w:rsidR="001B45FD" w:rsidRPr="00C10A48">
        <w:rPr>
          <w:rFonts w:ascii="Book Antiqua" w:eastAsia="Times New Roman" w:hAnsi="Book Antiqua" w:cstheme="minorHAnsi"/>
          <w:i/>
          <w:sz w:val="24"/>
          <w:szCs w:val="24"/>
          <w:lang w:val="en-US" w:eastAsia="pt-BR"/>
        </w:rPr>
        <w:t>P</w:t>
      </w:r>
      <w:r w:rsidR="002E6770" w:rsidRPr="00C10A48">
        <w:rPr>
          <w:rFonts w:ascii="Book Antiqua" w:eastAsia="Times New Roman" w:hAnsi="Book Antiqua" w:cstheme="minorHAnsi"/>
          <w:sz w:val="24"/>
          <w:szCs w:val="24"/>
          <w:lang w:val="en-US" w:eastAsia="pt-BR"/>
        </w:rPr>
        <w:t xml:space="preserve"> &lt;</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 xml:space="preserve">0.00001) (Figure 6).  </w:t>
      </w:r>
    </w:p>
    <w:p w14:paraId="43D119A6"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45AFF0B4" w14:textId="67821215" w:rsidR="002E6770"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Adverse events</w:t>
      </w:r>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All included studies</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SCIENCE","id":"ITEM-5","issue":"3","issued":{"date-parts":[["2018","12","8"]]},"page":"133-141","title":"Propofol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trial","type":"article-journal","volume":"64"},"uris":["http://www.mendeley.com/documents/?uuid=e58fa553-33a0-4fea-b413-3becc6e1df3d"]},{"id":"ITEM-6","itemData":{"DOI":"10.1155/2017/8462756","ISSN":"2090-3448","PMID":"29312786","abstract":"Objectives.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Hepatology","id":"ITEM-6","issued":{"date-parts":[["2017"]]},"page":"1-6","title":"Randomized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Disease","type":"article-journal","volume":"2017"},"uris":["http://www.mendeley.com/documents/?uuid=816f1414-08e8-4752-a0ae-2f5499b646d9"]},{"id":"ITEM-7","itemData":{"DOI":"10.1016/j.gie.2010.09.025","ISSN":"00165107","PMID":"21184869","abstract":"BACKGROUND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Endoscopy","id":"ITEM-7","issue":"1","issued":{"date-parts":[["2011","1"]]},"page":"45-51.e1","title":"Sedation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fentanyl","type":"article-journal","volume":"73"},"uris":["http://www.mendeley.com/documents/?uuid=0410c142-4734-4f31-b274-ce83428eb34e"]},{"id":"ITEM-8","itemData":{"DOI":"10.1111/j.1572-0241.2003.08668.x","ISSN":"0002-9270","PMID":"14638346","abstract":"OBJECTIVES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Gastroenterology","id":"ITEM-8","issue":"11","issued":{"date-parts":[["2003","11"]]},"page":"2440-2447","title":"Nurse-administered propofol versus midazolam and meperidine for upper endoscopy in cirrhotic patients","type":"article-journal","volume":"98"},"uris":["http://www.mendeley.com/documents/?uuid=5866beea-6a15-4c40-968d-6a3f5c587b81"]}],"mendeley":{"formattedCitation":"&lt;sup&gt;[15–22]&lt;/sup&gt;","plainTextFormattedCitation":"[15–22]","previouslyFormattedCitation":"&lt;sup&gt;[14–21]&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fldChar w:fldCharType="end"/>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reported the incidence of adverse events related to sedation during upper gastrointestinal endoscopy (bradycardia, hypotension, and hypoxemia).</w:t>
      </w:r>
    </w:p>
    <w:p w14:paraId="40F9A1C2" w14:textId="7959E0BF" w:rsidR="00400D99"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Adverse events were similar in both groups (RD: 0.02</w:t>
      </w:r>
      <w:r w:rsidR="000954B0" w:rsidRPr="00C10A48">
        <w:rPr>
          <w:rFonts w:ascii="Book Antiqua" w:eastAsia="Times New Roman" w:hAnsi="Book Antiqua" w:cstheme="minorHAnsi"/>
          <w:sz w:val="24"/>
          <w:szCs w:val="24"/>
          <w:lang w:val="en-US" w:eastAsia="pt-BR"/>
        </w:rPr>
        <w:t>, 95%</w:t>
      </w:r>
      <w:r w:rsidRPr="00C10A48">
        <w:rPr>
          <w:rFonts w:ascii="Book Antiqua" w:eastAsia="Times New Roman" w:hAnsi="Book Antiqua" w:cstheme="minorHAnsi"/>
          <w:sz w:val="24"/>
          <w:szCs w:val="24"/>
          <w:lang w:val="en-US" w:eastAsia="pt-BR"/>
        </w:rPr>
        <w:t>CI: 0</w:t>
      </w:r>
      <w:r w:rsidR="000954B0"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0.04, </w:t>
      </w:r>
      <w:r w:rsidR="000954B0" w:rsidRPr="00C10A48">
        <w:rPr>
          <w:rFonts w:ascii="Book Antiqua" w:eastAsia="Times New Roman" w:hAnsi="Book Antiqua" w:cstheme="minorHAnsi"/>
          <w:i/>
          <w:sz w:val="24"/>
          <w:szCs w:val="24"/>
          <w:lang w:val="en-US" w:eastAsia="pt-BR"/>
        </w:rPr>
        <w:t>P</w:t>
      </w:r>
      <w:r w:rsidR="000954B0"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w:t>
      </w:r>
      <w:r w:rsidR="000954B0"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0.58).  Also, no significant difference was found when comparing each adverse event individually (Figure 7).</w:t>
      </w:r>
    </w:p>
    <w:p w14:paraId="1885D4EF"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2B558A7F" w14:textId="27BB7D33" w:rsidR="00D66415"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Bradycardia</w:t>
      </w:r>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Eight studies</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SCIENCE","id":"ITEM-5","issue":"3","issued":{"date-parts":[["2018","12","8"]]},"page":"133-141","title":"Propofol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trial","type":"article-journal","volume":"64"},"uris":["http://www.mendeley.com/documents/?uuid=e58fa553-33a0-4fea-b413-3becc6e1df3d"]},{"id":"ITEM-6","itemData":{"DOI":"10.1155/2017/8462756","ISSN":"2090-3448","PMID":"29312786","abstract":"Objectives.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Hepatology","id":"ITEM-6","issued":{"date-parts":[["2017"]]},"page":"1-6","title":"Randomized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Disease","type":"article-journal","volume":"2017"},"uris":["http://www.mendeley.com/documents/?uuid=816f1414-08e8-4752-a0ae-2f5499b646d9"]},{"id":"ITEM-7","itemData":{"DOI":"10.1016/j.gie.2010.09.025","ISSN":"00165107","PMID":"21184869","abstract":"BACKGROUND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Endoscopy","id":"ITEM-7","issue":"1","issued":{"date-parts":[["2011","1"]]},"page":"45-51.e1","title":"Sedation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fentanyl","type":"article-journal","volume":"73"},"uris":["http://www.mendeley.com/documents/?uuid=0410c142-4734-4f31-b274-ce83428eb34e"]},{"id":"ITEM-8","itemData":{"DOI":"10.1111/j.1572-0241.2003.08668.x","ISSN":"0002-9270","PMID":"14638346","abstract":"OBJECTIVES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Gastroenterology","id":"ITEM-8","issue":"11","issued":{"date-parts":[["2003","11"]]},"page":"2440-2447","title":"Nurse-administered propofol versus midazolam and meperidine for upper endoscopy in cirrhotic patients","type":"article-journal","volume":"98"},"uris":["http://www.mendeley.com/documents/?uuid=5866beea-6a15-4c40-968d-6a3f5c587b81"]}],"mendeley":{"formattedCitation":"&lt;sup&gt;[15–22]&lt;/sup&gt;","plainTextFormattedCitation":"[15–22]","previouslyFormattedCitation":"&lt;sup&gt;[14–21]&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fldChar w:fldCharType="end"/>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with a total of 596 patients (302 in the propofol group and 294 in the midazolam group) reported the incidence of bradycardia related to sedation during upper gastrointestinal endoscopy. Increase incidence of bradycardia was seen in patients receiving midazolam for sedation; however, the difference was not statistically significant (RD: 0.03</w:t>
      </w:r>
      <w:r w:rsidR="000954B0"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-0.01 </w:t>
      </w:r>
      <w:r w:rsidR="000954B0"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0.07</w:t>
      </w:r>
      <w:r w:rsidR="000954B0" w:rsidRPr="00C10A48">
        <w:rPr>
          <w:rFonts w:ascii="Book Antiqua" w:eastAsia="Times New Roman" w:hAnsi="Book Antiqua" w:cstheme="minorHAnsi"/>
          <w:sz w:val="24"/>
          <w:szCs w:val="24"/>
          <w:lang w:val="en-US" w:eastAsia="pt-BR"/>
        </w:rPr>
        <w:t xml:space="preserve">, </w:t>
      </w:r>
      <w:r w:rsidR="000954B0" w:rsidRPr="00C10A48">
        <w:rPr>
          <w:rFonts w:ascii="Book Antiqua" w:eastAsia="Times New Roman" w:hAnsi="Book Antiqua" w:cstheme="minorHAnsi"/>
          <w:i/>
          <w:sz w:val="24"/>
          <w:szCs w:val="24"/>
          <w:lang w:val="en-US" w:eastAsia="pt-BR"/>
        </w:rPr>
        <w:t>P</w:t>
      </w:r>
      <w:r w:rsidR="000954B0"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t>
      </w:r>
      <w:r w:rsidR="000954B0"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0.16).</w:t>
      </w:r>
    </w:p>
    <w:p w14:paraId="329E8190"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highlight w:val="yellow"/>
          <w:lang w:val="en-US" w:eastAsia="pt-BR"/>
        </w:rPr>
      </w:pPr>
    </w:p>
    <w:p w14:paraId="3AB0E2DB" w14:textId="17259758" w:rsidR="00280E95" w:rsidRPr="00C10A48" w:rsidRDefault="00213086"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b/>
          <w:sz w:val="24"/>
          <w:szCs w:val="24"/>
          <w:lang w:val="en-US" w:eastAsia="pt-BR"/>
        </w:rPr>
        <w:t>Hypotension</w:t>
      </w:r>
      <w:r w:rsidR="00036A86"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All studies</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SCIENCE","id":"ITEM-5","issue":"3","issued":{"date-parts":[["2018","12","8"]]},"page":"133-141","title":"Propofol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trial","type":"article-journal","volume":"64"},"uris":["http://www.mendeley.com/documents/?uuid=e58fa553-33a0-4fea-b413-3becc6e1df3d"]},{"id":"ITEM-6","itemData":{"DOI":"10.1155/2017/8462756","ISSN":"2090-3448","PMID":"29312786","abstract":"Objectives.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Hepatology","id":"ITEM-6","issued":{"date-parts":[["2017"]]},"page":"1-6","title":"Randomized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Disease","type":"article-journal","volume":"2017"},"uris":["http://www.mendeley.com/documents/?uuid=816f1414-08e8-4752-a0ae-2f5499b646d9"]},{"id":"ITEM-7","itemData":{"DOI":"10.1016/j.gie.2010.09.025","ISSN":"00165107","PMID":"21184869","abstract":"BACKGROUND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Endoscopy","id":"ITEM-7","issue":"1","issued":{"date-parts":[["2011","1"]]},"page":"45-51.e1","title":"Sedation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fentanyl","type":"article-journal","volume":"73"},"uris":["http://www.mendeley.com/documents/?uuid=0410c142-4734-4f31-b274-ce83428eb34e"]},{"id":"ITEM-8","itemData":{"DOI":"10.1111/j.1572-0241.2003.08668.x","ISSN":"0002-9270","PMID":"14638346","abstract":"OBJECTIVES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Gastroenterology","id":"ITEM-8","issue":"11","issued":{"date-parts":[["2003","11"]]},"page":"2440-2447","title":"Nurse-administered propofol versus midazolam and meperidine for upper endoscopy in cirrhotic patients","type":"article-journal","volume":"98"},"uris":["http://www.mendeley.com/documents/?uuid=5866beea-6a15-4c40-968d-6a3f5c587b81"]}],"mendeley":{"formattedCitation":"&lt;sup&gt;[15–22]&lt;/sup&gt;","plainTextFormattedCitation":"[15–22]","previouslyFormattedCitation":"&lt;sup&gt;[14–21]&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fldChar w:fldCharType="end"/>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reported the incidence of hypotension related to sedation during upper gastrointestinal endoscopy. An increase in the incidence of hypotension was seen with the use of midazolam; however, it was not statistically significant (RD: 0.03</w:t>
      </w:r>
      <w:r w:rsidR="00B11428"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-0.01 </w:t>
      </w:r>
      <w:r w:rsidR="00B11428"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0.07</w:t>
      </w:r>
      <w:r w:rsidR="00B11428" w:rsidRPr="00C10A48">
        <w:rPr>
          <w:rFonts w:ascii="Book Antiqua" w:eastAsia="Times New Roman" w:hAnsi="Book Antiqua" w:cstheme="minorHAnsi"/>
          <w:sz w:val="24"/>
          <w:szCs w:val="24"/>
          <w:lang w:val="en-US" w:eastAsia="pt-BR"/>
        </w:rPr>
        <w:t xml:space="preserve">, </w:t>
      </w:r>
      <w:r w:rsidR="00B11428" w:rsidRPr="00C10A48">
        <w:rPr>
          <w:rFonts w:ascii="Book Antiqua" w:eastAsia="Times New Roman" w:hAnsi="Book Antiqua" w:cstheme="minorHAnsi"/>
          <w:i/>
          <w:sz w:val="24"/>
          <w:szCs w:val="24"/>
          <w:lang w:val="en-US" w:eastAsia="pt-BR"/>
        </w:rPr>
        <w:t>P</w:t>
      </w:r>
      <w:r w:rsidR="00B11428"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t>
      </w:r>
      <w:r w:rsidR="00B11428"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0.17).</w:t>
      </w:r>
    </w:p>
    <w:p w14:paraId="5B398E21"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27A0507B" w14:textId="08518319" w:rsidR="00213086" w:rsidRPr="00C10A48" w:rsidRDefault="00213086"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b/>
          <w:sz w:val="24"/>
          <w:szCs w:val="24"/>
          <w:lang w:val="en-US" w:eastAsia="pt-BR"/>
        </w:rPr>
        <w:t>Hypoxemia</w:t>
      </w:r>
      <w:r w:rsidR="00036A86"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All eight studies</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SCIENCE","id":"ITEM-5","issue":"3","issued":{"date-parts":[["2018","12","8"]]},"page":"133-141","title":"Propofol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trial","type":"article-journal","volume":"64"},"uris":["http://www.mendeley.com/documents/?uuid=e58fa553-33a0-4fea-b413-3becc6e1df3d"]},{"id":"ITEM-6","itemData":{"DOI":"10.1155/2017/8462756","ISSN":"2090-3448","PMID":"29312786","abstract":"Objectives.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Hepatology","id":"ITEM-6","issued":{"date-parts":[["2017"]]},"page":"1-6","title":"Randomized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Disease","type":"article-journal","volume":"2017"},"uris":["http://www.mendeley.com/documents/?uuid=816f1414-08e8-4752-a0ae-2f5499b646d9"]},{"id":"ITEM-7","itemData":{"DOI":"10.1016/j.gie.2010.09.025","ISSN":"00165107","PMID":"21184869","abstract":"BACKGROUND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Endoscopy","id":"ITEM-7","issue":"1","issued":{"date-parts":[["2011","1"]]},"page":"45-51.e1","title":"Sedation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fentanyl","type":"article-journal","volume":"73"},"uris":["http://www.mendeley.com/documents/?uuid=0410c142-4734-4f31-b274-ce83428eb34e"]},{"id":"ITEM-8","itemData":{"DOI":"10.1111/j.1572-0241.2003.08668.x","ISSN":"0002-9270","PMID":"14638346","abstract":"OBJECTIVES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Gastroenterology","id":"ITEM-8","issue":"11","issued":{"date-parts":[["2003","11"]]},"page":"2440-2447","title":"Nurse-administered propofol versus midazolam and meperidine for upper endoscopy in cirrhotic patients","type":"article-journal","volume":"98"},"uris":["http://www.mendeley.com/documents/?uuid=5866beea-6a15-4c40-968d-6a3f5c587b81"]}],"mendeley":{"formattedCitation":"&lt;sup&gt;[15–22]&lt;/sup&gt;","plainTextFormattedCitation":"[15–22]","previouslyFormattedCitation":"&lt;sup&gt;[14–21]&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fldChar w:fldCharType="end"/>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reported the incidence of hypoxemia related to sedation. No statistically significant difference was found between groups (RD: 0.00</w:t>
      </w:r>
      <w:r w:rsidR="003B7539"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-0.04 </w:t>
      </w:r>
      <w:r w:rsidR="003B7539"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0.04</w:t>
      </w:r>
      <w:r w:rsidR="003B7539" w:rsidRPr="00C10A48">
        <w:rPr>
          <w:rFonts w:ascii="Book Antiqua" w:eastAsia="Times New Roman" w:hAnsi="Book Antiqua" w:cstheme="minorHAnsi"/>
          <w:sz w:val="24"/>
          <w:szCs w:val="24"/>
          <w:lang w:val="en-US" w:eastAsia="pt-BR"/>
        </w:rPr>
        <w:t xml:space="preserve">, </w:t>
      </w:r>
      <w:r w:rsidR="003B7539" w:rsidRPr="00C10A48">
        <w:rPr>
          <w:rFonts w:ascii="Book Antiqua" w:eastAsia="Times New Roman" w:hAnsi="Book Antiqua" w:cstheme="minorHAnsi"/>
          <w:i/>
          <w:sz w:val="24"/>
          <w:szCs w:val="24"/>
          <w:lang w:val="en-US" w:eastAsia="pt-BR"/>
        </w:rPr>
        <w:t>P</w:t>
      </w:r>
      <w:r w:rsidR="003B7539"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t>
      </w:r>
      <w:r w:rsidR="003B7539"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0.93).</w:t>
      </w:r>
    </w:p>
    <w:p w14:paraId="6CF6EA81"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43BD65C0" w14:textId="3D1BF548" w:rsidR="00280E95" w:rsidRPr="00C10A48" w:rsidRDefault="00D30DB0" w:rsidP="00F227A9">
      <w:pPr>
        <w:snapToGrid w:val="0"/>
        <w:spacing w:after="0" w:line="360" w:lineRule="auto"/>
        <w:jc w:val="both"/>
        <w:rPr>
          <w:rFonts w:ascii="Book Antiqua" w:eastAsia="Times New Roman" w:hAnsi="Book Antiqua" w:cstheme="minorHAnsi"/>
          <w:b/>
          <w:bCs/>
          <w:sz w:val="24"/>
          <w:szCs w:val="24"/>
          <w:u w:val="single"/>
          <w:lang w:val="en-US" w:eastAsia="pt-BR"/>
        </w:rPr>
      </w:pPr>
      <w:r w:rsidRPr="00C10A48">
        <w:rPr>
          <w:rFonts w:ascii="Book Antiqua" w:eastAsia="Times New Roman" w:hAnsi="Book Antiqua" w:cstheme="minorHAnsi"/>
          <w:b/>
          <w:bCs/>
          <w:sz w:val="24"/>
          <w:szCs w:val="24"/>
          <w:u w:val="single"/>
          <w:lang w:val="en-US" w:eastAsia="pt-BR"/>
        </w:rPr>
        <w:t>DISCUSSION</w:t>
      </w:r>
    </w:p>
    <w:p w14:paraId="5AB51C7C" w14:textId="110B32D0" w:rsidR="00E900E9"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Historically endoscopy was performed without sedation, which can be painful and uncomfortable for patients</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{"citationItems":[{"id":"ITEM-1","itemData":{"DOI":"10.1001/archsurg.139.10.1110","ISSN":"0004-0010","PMID":"15492154","abstract":"Throughout the ages, the issues that have defined the management of disease processes have been particularly exemplified in the gastrointestinal tract. The use of gas lamps and candles with reflectors by Bozzini, Segalas, Cruise, and Fisher (19th century) allowed for some ingress into both the upper and lower gastrointestinal tract. Von Mikulicz, Leiter, Nitze, Kelling, and Jacobaeus contributed to the development of rigid instruments that could be used endoscopically or laparoscopically. Endoscopic efforts were amplified and extended by Rosenheim, Sternberg, Wolf, and, finally, Schindler, who not only introduced novel lens systems but also for the most part overcame the problems of flexibility and illumination. Bernheim, Ruddock, Veress, and Palmer made significant technical and clinical contributions to abdominal cavity exploration. The subsequent application of Hopkins and Kapany's work on optics, and the development by Hirschowitz and Curtiss of the flexible fiber optic endoscope, enabled the design of instruments that would allow the appropriate illumination and vision of both the farthest reaches of the bowel as well as the interior of the abdomen. Thus, the same endoscopic instruments coupled with a surgical interest in diagnostic laparotomy allowed for the evolution of minimally invasive surgery along a similar timescale. The cycle whereby diagnostic laparotomy in the early part of the century was supplanted by endoscopy and laparoscopy has now attained full circle whereby laparoscopy has evolved from a diagnostic procedure into one with major therapeutic applications and is perceived as the state-of-the-art technique for a wide variety of operations, including appendectomy, cholecystectomy, hernia repair, fundoplication, splenectomy, colectomy, and gastrointestinal anastomoses.","author":[{"dropping-particle":"","family":"Modlin","given":"Irvin M","non-dropping-particle":"","parse-names":false,"suffix":""},{"dropping-particle":"","family":"Kidd","given":"Mark","non-dropping-particle":"","parse-names":false,"suffix":""},{"dropping-particle":"","family":"Lye","given":"Kevin D","non-dropping-particle":"","parse-names":false,"suffix":""}],"container-title":"Archives of Surgery","id":"ITEM-1","issue":"10","issued":{"date-parts":[["2004","10","1"]]},"page":"1110","title":"From the Lumen to the Laparoscope","type":"article-journal","volume":"139"},"uris":["http://www.mendeley.com/documents/?uuid=e56f1d6a-92f6-4835-b990-5682983f26c2"]}],"mendeley":{"formattedCitation":"&lt;sup&gt;[23]&lt;/sup&gt;","plainTextFormattedCitation":"[23]","previouslyFormattedCitation":"&lt;sup&gt;[22]&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[23]</w:t>
      </w:r>
      <w:r w:rsidR="001C5E01"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Over time, the application of topical anesthesia was introduced, and some countries still only use topical anesthesia because of low cost, patient preference, or institutional availability</w:t>
      </w:r>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{"citationItems":[{"id":"ITEM-1","itemData":{"DOI":"10.1016/S0016-5107(85)72175-X","ISSN":"00165107","PMID":"3875515","abstract":"Topical anesthetics are generally part of the premedication associated with upper gastrointestinal endoscopy. Selection is not usually based on objective criteria. We performed a randomized study comparing six anesthetic agents: three sprays (Cetacaine, Hurricaine, and 10% Xylocaine spray) and three gargles (2% lidocaine, and two combinations of 2% lidocaine diluted 1:1 with mouthwash). Normal subjects, experienced in undergoing gastroscopy, underwent repeated upper gastrointestinal endoscopic examinations with a 34 F Pentax fiberscope. Topical anesthetic was the only premedication used. The parameters evaluated by the subjects were taste, effectiveness of anesthesia, and ease of scope passage. At the end of the trial each subject ranked the agents in order of preference. Although subjects differed in their preference for the different anesthetic agents (sometimes significantly), there was no single parameter such as taste, degree of anesthesia, or ease of passage of the endoscope that could be correlated with overall preference. All agents gave acceptable levels of local anesthesia, although there was a distinct subjective preference for spray forms. We recommend that if a local anesthetic is used, it should be one of the spray formulations. This recommendation is based on safety, the relative ease of application, and the lack of profound differences between agents.","author":[{"dropping-particle":"","family":"Lacey Smith","given":"J.","non-dropping-particle":"","parse-names":false,"suffix":""},{"dropping-particle":"","family":"Opekun","given":"Antone","non-dropping-particle":"","parse-names":false,"suffix":""},{"dropping-particle":"","family":"Graham","given":"David Y","non-dropping-particle":"","parse-names":false,"suffix":""}],"container-title":"Gastrointestinal Endoscopy","id":"ITEM-1","issue":"4","issued":{"date-parts":[["1985","8"]]},"page":"255-258","title":"Controlled comparison of topical anesthetic agents in flexible upper gastrointestinal endoscopy","type":"article-journal","volume":"31"},"uris":["http://www.mendeley.com/documents/?uuid=ff2db423-962e-4916-aedb-7cf189a5e317"]},{"id":"ITEM-2","itemData":{"DOI":"10.1067/mge.2001.119730","ISSN":"00165107","PMID":"11726869","author":[{"dropping-particle":"","family":"Froehlich","given":"F","non-dropping-particle":"","parse-names":false,"suffix":""}],"container-title":"Gastrointestinal Endoscopy","id":"ITEM-2","issue":"6","issued":{"date-parts":[["2001","12"]]},"page":"803","title":"Topical pharyngeal anesthesia during gastroscopy","type":"article-journal","volume":"54"},"uris":["http://www.mendeley.com/documents/?uuid=5d18af99-2008-459b-8b26-7707ed385281"]},{"id":"ITEM-3","itemData":{"DOI":"10.1016/j.gie.2005.11.059","ISSN":"00165107","PMID":"16650534","abstract":"BACKGROUND Pharyngeal anesthesia is widely used as an adjunct to sedation during upper endoscopy. Methemoglobinemia and anaphylactic reactions are rare but serious complications of topical anesthetic agents. Individual studies produce variable results about the effectiveness of pharyngeal anesthesia in improving patient tolerance. OBJECTIVE A systematic review was performed to evaluate the effectiveness of pharyngeal anesthesia in improving patient tolerance and ease of endoscopy during sedated upper endoscopy. DESIGN A MEDLINE search, an EMBASE search, and manual searches were performed to identify pertinent English language articles. Randomized controlled trials (RCT) comparing the efficacy of pharyngeal anesthesia to placebo or no treatment were identified. Duplicate data extraction about patient tolerance of the procedure and endoscopist assessment regarding the ease of endoscopy was performed. RESULTS From a pool of 53 studies, 5 RCTs evaluated a total of 491 patients and provided interpretable data. Patients who rated their discomfort during the sedated procedure as none/minimal were more likely to have received pharyngeal anesthesia (odds ratio [OR] 1.88, 95% confidence interval [CI] 1.13-3.12). Endoscopists were more likely to rate the procedure as \"not difficult\" for patients who received pharyngeal anesthesia (OR 2.60, 95% CI 1.63-4.17). LIMITATIONS Lack of standardized outcome measurements and standardized sedation strategies led to heterogeneity in the patient-tolerance portion of the meta-analysis. CONCLUSIONS Pharyngeal anesthesia before upper endoscopy improves ease of endoscopy and also improves patient tolerance.","author":[{"dropping-particle":"","family":"Evans","given":"Luke T","non-dropping-particle":"","parse-names":false,"suffix":""},{"dropping-particle":"","family":"Saberi","given":"Sara","non-dropping-particle":"","parse-names":false,"suffix":""},{"dropping-particle":"","family":"Kim","given":"Hyungjin Myra","non-dropping-particle":"","parse-names":false,"suffix":""},{"dropping-particle":"","family":"Elta","given":"Grace H","non-dropping-particle":"","parse-names":false,"suffix":""},{"dropping-particle":"","family":"Schoenfeld","given":"Philip","non-dropping-particle":"","parse-names":false,"suffix":""}],"container-title":"Gastrointestinal Endoscopy","id":"ITEM-3","issue":"6","issued":{"date-parts":[["2006","5"]]},"page":"761-766","title":"Pharyngeal anesthesia during sedated EGDs: is “the spray” beneficial? A meta-analysis and systematic review","type":"article-journal","volume":"63"},"uris":["http://www.mendeley.com/documents/?uuid=4f8293f9-e807-4895-b19b-bb5172fc124b"]}],"mendeley":{"formattedCitation":"&lt;sup&gt;[24–26]&lt;/sup&gt;","plainTextFormattedCitation":"[24–26]","previouslyFormattedCitation":"&lt;sup&gt;[23–25]&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[24–26]</w:t>
      </w:r>
      <w:r w:rsidR="001C5E01"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bookmarkStart w:id="14" w:name="_Hlk42796937"/>
      <w:r w:rsidRPr="00C10A48">
        <w:rPr>
          <w:rFonts w:ascii="Book Antiqua" w:eastAsia="Times New Roman" w:hAnsi="Book Antiqua" w:cstheme="minorHAnsi"/>
          <w:sz w:val="24"/>
          <w:szCs w:val="24"/>
          <w:lang w:val="en-US" w:eastAsia="pt-BR"/>
        </w:rPr>
        <w:t xml:space="preserve">Administration of analgesics and intravenous sedation during endoscopy was a </w:t>
      </w:r>
      <w:r w:rsidRPr="00C10A48">
        <w:rPr>
          <w:rFonts w:ascii="Book Antiqua" w:eastAsia="Times New Roman" w:hAnsi="Book Antiqua" w:cstheme="minorHAnsi"/>
          <w:sz w:val="24"/>
          <w:szCs w:val="24"/>
          <w:lang w:val="en-US" w:eastAsia="pt-BR"/>
        </w:rPr>
        <w:lastRenderedPageBreak/>
        <w:t>significant breakthrough worldwide, for both physicians and patients alike because of several advantages such as patient comfort, reduced discharge time, and early recovery after the procedure</w:t>
      </w:r>
      <w:bookmarkEnd w:id="14"/>
      <w:r w:rsidR="001C5E01"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{"citationItems":[{"id":"ITEM-1","itemData":{"DOI":"10.1136/bmj.2.6026.20","ISSN":"0959-8138","PMID":"938881","author":[{"dropping-particle":"","family":"Hoare","given":"A M","non-dropping-particle":"","parse-names":false,"suffix":""},{"dropping-particle":"","family":"Hawkins","given":"C F","non-dropping-particle":"","parse-names":false,"suffix":""}],"container-title":"BMJ","id":"ITEM-1","issue":"6026","issued":{"date-parts":[["1976","7","3"]]},"page":"20-20","title":"Upper gastrointestinal endoscopy with and without sedation: patients' opinions.","type":"article-journal","volume":"2"},"uris":["http://www.mendeley.com/documents/?uuid=5ff73a13-081b-40b8-94fa-d0672825ea7a"]},{"id":"ITEM-2","itemData":{"DOI":"10.1136/gut.12.9.736","ISSN":"0017-5749","PMID":"4938522","abstract":"A double blind comparison of conventional premedication (pethidine, promethazine, and atropine) and neuroleptanalgesia (droperidol and phenoperidine) failed to demonstrate any difference in either the comfort of the patient or ease of instrumentation in 70 upper gastrointestinal tract endoscopies. Further trials are needed before conventional premedication is abandoned.","author":[{"dropping-particle":"","family":"Reed","given":"W D","non-dropping-particle":"","parse-names":false,"suffix":""},{"dropping-particle":"","family":"Hopkins","given":"B E","non-dropping-particle":"","parse-names":false,"suffix":""},{"dropping-particle":"","family":"Joske","given":"R A","non-dropping-particle":"","parse-names":false,"suffix":""},{"dropping-particle":"","family":"Laurence","given":"B H","non-dropping-particle":"","parse-names":false,"suffix":""}],"container-title":"Gut","id":"ITEM-2","issue":"9","issued":{"date-parts":[["1971","9","1"]]},"page":"736-738","title":"A comparative study of conventional premedication (pethidine, promethazine, and atropine) and neuroleptanalgesia (droperidol and phenoperidine) for peroral endoscopy","type":"article-journal","volume":"12"},"uris":["http://www.mendeley.com/documents/?uuid=1ffef16d-a619-4219-82a6-16d9206ee2b4"]},{"id":"ITEM-3","itemData":{"DOI":"10.1164/arrd.1962.86.2.272","ISSN":"0003-0805","PMID":"13892917","author":[{"dropping-particle":"","family":"FINDLAY","given":"C W","non-dropping-particle":"","parse-names":false,"suffix":""}],"container-title":"The American review of respiratory disease","id":"ITEM-3","issued":{"date-parts":[["1962","8"]]},"page":"272-4","title":"The value of promethazine hydrochloride in preparing patients for peroral endoscopy.","type":"article-journal","volume":"86"},"uris":["http://www.mendeley.com/documents/?uuid=6ac8f4fe-86f4-4aba-a4cd-1bc02cf7ac9a"]}],"mendeley":{"formattedCitation":"&lt;sup&gt;[27–29]&lt;/sup&gt;","plainTextFormattedCitation":"[27–29]","previouslyFormattedCitation":"&lt;sup&gt;[26–28]&lt;/sup&gt;"},"properties":{"noteIndex":0},"schema":"https://github.com/citation-style-language/schema/raw/master/csl-citation.json"}</w:instrText>
      </w:r>
      <w:r w:rsidR="001C5E01"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[27–29]</w:t>
      </w:r>
      <w:r w:rsidR="001C5E01"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These can be used either alone or in combination for a synergetic effect to comfortably perform the procedure while maintaining an adequate level of sedation.  </w:t>
      </w:r>
      <w:bookmarkStart w:id="15" w:name="_Hlk42797055"/>
      <w:r w:rsidRPr="00C10A48">
        <w:rPr>
          <w:rFonts w:ascii="Book Antiqua" w:eastAsia="Times New Roman" w:hAnsi="Book Antiqua" w:cstheme="minorHAnsi"/>
          <w:sz w:val="24"/>
          <w:szCs w:val="24"/>
          <w:lang w:val="en-US" w:eastAsia="pt-BR"/>
        </w:rPr>
        <w:t>Sedation in endoscopy is safe when we correctly select, individualize, and optimize the medicine dosage for each type of patient. One of the primary considerations is patient comorbidities, including hepatic dysfunction– which can lead to difficulty in clearance, recirculation, and increased half-life of drugs</w:t>
      </w:r>
      <w:bookmarkEnd w:id="15"/>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{"citationItems":[{"id":"ITEM-1","itemData":{"DOI":"10.1007/s10620-019-05845-7","ISSN":"0163-2116","PMID":"31605279","abstract":"BACKGROUND Sedation during endoscopy in cirrhotic patients is typically via moderate sedation, most commonly using a combination of a benzodiazepine (i.e., midazolam) and narcotic (i.e., fentanyl) or with propofol using monitored anesthesia care (MAC). Here, we examined the safety of moderate sedation and MAC in patients with cirrhosis. METHODS This retrospective cohort study of cirrhotic patients undergoing endoscopy from a large academic medical center between 2010 and 2014 examined extensive clinical data including the following: past history, physical findings, laboratory results, and procedural adverse events. Adverse events were defined a priori and included hypoxia, hypotension, bleeding, and death. RESULTS We identified 2618 patients with cirrhosis who underwent endoscopic procedures; the mean age was 56 years, 36% were female, the mean Child-Pugh score was 9.3 (IQR: 8, 11), and Charlson Comorbidity Index score was 3.2 (IQR: 1, 4); 1157 had MAC; and 1461 had moderate sedation. There was no difference in the frequency of adverse events in MAC and moderate sedation groups, with a total of 15 adverse events (7/1157 MAC and 8/1461 moderate sedation). The most common procedure performed was esophagogastroduodenoscopy (EGD, n = 1667) and was associated with 10 adverse events. Overall, adverse events included bradycardia (1), hypoxia (7), bleeding (5), laryngospasm (1), and perforation (1). The frequency was similar for EGD, ERCP, and colonoscopy-each at a rate of 0.6%. CONCLUSIONS Adverse events in cirrhotic patients undergoing endoscopy appeared to be similar with moderate sedation or MAC, and the frequency was the same for different types of procedures.","author":[{"dropping-particle":"","family":"Edelson","given":"Jerome","non-dropping-particle":"","parse-names":false,"suffix":""},{"dropping-particle":"","family":"Suarez","given":"Alejandro L","non-dropping-particle":"","parse-names":false,"suffix":""},{"dropping-particle":"","family":"Zhang","given":"Jingwen","non-dropping-particle":"","parse-names":false,"suffix":""},{"dropping-particle":"","family":"Rockey","given":"Don C","non-dropping-particle":"","parse-names":false,"suffix":""}],"container-title":"Digestive Diseases and Sciences","id":"ITEM-1","issued":{"date-parts":[["2019","10","12"]]},"title":"Sedation During Endoscopy in Patients with Cirrhosis: Safety and Predictors of Adverse Events","type":"article-journal"},"uris":["http://www.mendeley.com/documents/?uuid=fdbf088d-2810-46b6-b97c-ca8138dfcbab"]},{"id":"ITEM-2","itemData":{"DOI":"10.1136/gut.27.2.190","ISSN":"0017-5749","PMID":"2936661","abstract":"Midazolam kinetics and psychomotor function were studied after an intravenous dose of 0.075 mg/kg body weight in seven patients with alcoholic cirrhosis and eight control patients. Four of the seven cirrhotics died of complications of their liver disease within six months of the study. The metabolism of midazolam was significantly impaired in the cirrhotic patients (p less than 0.025). These patients also had evidence of greater sedation than the control group for up to six hours after the dose was administered (p less than 0.05). The clearance of midazolam did not correlate significantly with the serum albumin, or bilirubin, or with the kinetics of antipyrine, or indocyanine green. This study shows significant delay in the elimination of midazolam and decreased psychomotor function in patients with severe alcoholic liver disease. Caution is needed in using this drug for premedication in such patients before endoscopy.","author":[{"dropping-particle":"","family":"MacGilchrist","given":"A J","non-dropping-particle":"","parse-names":false,"suffix":""},{"dropping-particle":"","family":"Birnie","given":"G G","non-dropping-particle":"","parse-names":false,"suffix":""},{"dropping-particle":"","family":"Cook","given":"A","non-dropping-particle":"","parse-names":false,"suffix":""},{"dropping-particle":"","family":"Scobie","given":"G","non-dropping-particle":"","parse-names":false,"suffix":""},{"dropping-particle":"","family":"Murray","given":"T","non-dropping-particle":"","parse-names":false,"suffix":""},{"dropping-particle":"","family":"Watkinson","given":"G","non-dropping-particle":"","parse-names":false,"suffix":""},{"dropping-particle":"","family":"Brodie","given":"M J","non-dropping-particle":"","parse-names":false,"suffix":""}],"container-title":"Gut","id":"ITEM-2","issue":"2","issued":{"date-parts":[["1986","2","1"]]},"page":"190-195","title":"Pharmacokinetics and pharmacodynamics of intravenous midazolam in patients with severe alcoholic cirrhosis.","type":"article-journal","volume":"27"},"uris":["http://www.mendeley.com/documents/?uuid=2d9f9e75-4f69-4d3b-92ce-a98f916621f2"]},{"id":"ITEM-3","itemData":{"DOI":"10.1055/s-0028-1119671","ISSN":"0013-726X","PMID":"19340730","abstract":"BACKGROUND AND STUDY AIMS Sedation with the short-acting anesthetic agent propofol has shown several advantages, particularly in interventional endoscopy. So far, however, there are no valid data on the safety of nurse-administered propofol sedation (NAPS) during interventional endoscopy in elderly high-risk patients. PATIENTS AND METHODS A total of 150 patients aged &gt; 80 years with high comorbidity were randomized to receive midazolam plus meperidine (n = 75) or propofol alone (n = 76) for sedation during endoscopic retrograde cholangiopancreatography (ERCP), endoscopic ultrasound (EUS), or double-balloon endoscopy (DBE). Sedation was supervised by a trained nurse and a trained physician both of whom were not involved in the endoscopic procedure. Vital signs were continuously monitored as well as patient cooperation and tolerance. Mortality and morbidity at 30 days was analyzed. RESULTS The overall cardiopulmonary complication rate was 16 % in the midazolam group and 23.7 % in the propofol group ( P &gt; 0.05). The mean decline in oxygen saturation (initial vs. lowest O (2) saturation) and the mean decline of blood pressure (initial vs. lowest blood pressure) were significantly greater with propofol (7 % +/- 3 % vs. 4 % +/- 2 % [ P &lt; 0.05] and 10 % +/- 2 % vs. 8 % +/- 2 %, respectively [ P &lt; 0.05]). No procedure had to be interrupted due to serious adverse events. Patient cooperation was statistically significantly better in the propofol group (7 +/- 2 vs. 5 +/- 2 points). Patients sedated with propofol showed a significantly lower oxygen saturation rate during recovery time (8 % vs. 28 %; P &lt; or = 0.01). CONCLUSION NAPS during interventional endoscopy is as safe as midazolam/pethidine sedation even in high-risk patients aged &gt; 80 years.","author":[{"dropping-particle":"","family":"Schilling","given":"D","non-dropping-particle":"","parse-names":false,"suffix":""},{"dropping-particle":"","family":"Rosenbaum","given":"A","non-dropping-particle":"","parse-names":false,"suffix":""},{"dropping-particle":"","family":"Schweizer","given":"S","non-dropping-particle":"","parse-names":false,"suffix":""},{"dropping-particle":"","family":"Richter","given":"H","non-dropping-particle":"","parse-names":false,"suffix":""},{"dropping-particle":"","family":"Rumstadt","given":"B","non-dropping-particle":"","parse-names":false,"suffix":""}],"container-title":"Endoscopy","id":"ITEM-3","issue":"04","issued":{"date-parts":[["2009","4","1"]]},"page":"295-298","title":"Sedation with propofol for interventional endoscopy by trained nurses in high-risk octogenarians: a prospective, randomized, controlled study","type":"article-journal","volume":"41"},"uris":["http://www.mendeley.com/documents/?uuid=9d69a30d-0a8f-455a-9af8-cdc263a32622"]},{"id":"ITEM-4","itemData":{"DOI":"10.1046/j.1365-2036.2003.01608.x","ISSN":"0269-2813","PMID":"12823151","abstract":"AIM To characterize the safety of endoscopic procedures and propofol use as administered by nurses in a cohort of elderly patients. METHODS During 19 months all endoscopy patients &gt; 70 years were eligible for this prospective observational study. Patients were assigned to group A (70-85 years) or group B (&gt; 85 years). Records from all patients &lt; 70 years treated during the same period served as controls. Specially trained nurses administered the propofol and monitored for complications (decrease in the peripheral oxygen saturation, mean arterial pressure or heart rate). RESULTS There were 1435 endoscopic procedures in group A and 351 in group B. There was no procedure or sedation-related mortality, nor a significantly greater need for emergency intervention than in the control group. Two patients required short mask ventilation but recovered without sequelae. Compared with younger patients, there was a significant increase in risk for a short oxygen desaturation &lt; 90% and a decrease in oxygen saturation &gt; 5%. Arterial hypotension occurred significantly more often in the control group than among the aged patients. CONCLUSIONS This present study documents that gastrointestinal endoscopic procedures are safe and well tolerated even in the very elderly. Nurse-administered propofol is a safe and reasonable sedation method in these patients.","author":[{"dropping-particle":"","family":"Heuss","given":"L T","non-dropping-particle":"","parse-names":false,"suffix":""},{"dropping-particle":"","family":"Schnieper","given":"P","non-dropping-particle":"","parse-names":false,"suffix":""},{"dropping-particle":"","family":"Drewe","given":"J","non-dropping-particle":"","parse-names":false,"suffix":""},{"dropping-particle":"","family":"Pflimlin","given":"E","non-dropping-particle":"","parse-names":false,"suffix":""},{"dropping-particle":"","family":"Beglinger","given":"C","non-dropping-particle":"","parse-names":false,"suffix":""}],"container-title":"Alimentary Pharmacology and Therapeutics","id":"ITEM-4","issue":"12","issued":{"date-parts":[["2003","6","15"]]},"page":"1493-1501","title":"Conscious sedation with propofol in elderly patients: a prospective evaluation","type":"article-journal","volume":"17"},"uris":["http://www.mendeley.com/documents/?uuid=a1e00b19-48af-4fae-b16c-9edf98ccb13b"]},{"id":"ITEM-5","itemData":{"DOI":"10.1016/j.cger.2013.10.010","ISSN":"07490690","PMID":"24267608","abstract":"There has been limited research examining the risks, benefits, and use of common endoscopic procedures in the elderly. Furthermore, gastroenterology training programs do not routinely incorporate elderly concerns when dealing with common gastrointestinal issues. There exists a broad array of endoscopic procedures with varying inherent risks that must be weighed with each elderly patient in mind. This article discusses the benefits and drawbacks of the most common procedures and indications for endoscopy including upper endoscopy, colonoscopy, endoscopic retrograde cholangiopancreatography, endoscopic ultrasound, percutaneous endoscopic gastrostomy, and deep enteroscopy.","author":[{"dropping-particle":"","family":"Razavi","given":"Farid","non-dropping-particle":"","parse-names":false,"suffix":""},{"dropping-particle":"","family":"Gross","given":"Seth","non-dropping-particle":"","parse-names":false,"suffix":""},{"dropping-particle":"","family":"Katz","given":"Seymour","non-dropping-particle":"","parse-names":false,"suffix":""}],"container-title":"Clinics in Geriatric Medicine","id":"ITEM-5","issue":"1","issued":{"date-parts":[["2014","2"]]},"page":"133-147","title":"Endoscopy in the Elderly","type":"article-journal","volume":"30"},"uris":["http://www.mendeley.com/documents/?uuid=93565ec9-e52d-483b-af16-902df8b44a49"]},{"id":"ITEM-6","itemData":{"DOI":"10.1053/j.gastro.2007.06.002","ISSN":"0016-5085","PMID":"17681185","author":[{"dropping-particle":"","family":"Cohen","given":"Lawrence B","non-dropping-particle":"","parse-names":false,"suffix":""},{"dropping-particle":"","family":"Delegge","given":"Mark H","non-dropping-particle":"","parse-names":false,"suffix":""},{"dropping-particle":"","family":"Aisenberg","given":"James","non-dropping-particle":"","parse-names":false,"suffix":""},{"dropping-particle":"V","family":"Brill","given":"Joel","non-dropping-particle":"","parse-names":false,"suffix":""},{"dropping-particle":"","family":"Inadomi","given":"John M","non-dropping-particle":"","parse-names":false,"suffix":""},{"dropping-particle":"","family":"Kochman","given":"Michael L","non-dropping-particle":"","parse-names":false,"suffix":""},{"dropping-particle":"","family":"Piorkowski","given":"Joseph D","non-dropping-particle":"","parse-names":false,"suffix":""},{"dropping-particle":"","family":"AGA Institute","given":"","non-dropping-particle":"","parse-names":false,"suffix":""}],"container-title":"Gastroenterology","id":"ITEM-6","issue":"2","issued":{"date-parts":[["2007","8"]]},"page":"675-701","title":"AGA Institute review of endoscopic sedation.","type":"article-journal","volume":"133"},"uris":["http://www.mendeley.com/documents/?uuid=1ea322e1-3145-42e8-a0e8-db86a0b713a5"]},{"id":"ITEM-7","itemData":{"DOI":"10.1111/j.1365-2125.1987.tb03037.x","ISSN":"03065251","PMID":"3828200","abstract":"In many endoscopy units midazolam is replacing diazepam as the intravenous sedative of first choice. Midazolam is approximately twice as potent as diazepam. Although generally considered a safe drug, there have been a number of recent reports, particularly in the elderly, of the drug causing hypotension, respiratory depression and even death. There have been at least ten studies comparing diazepam with midazolam for upper gastrointestinal endoscopy but many have involved relatively small numbers and none have adequately addressed the question of dosage in the elderly. We have carefully recorded the dose of intravenous midazolam used to produce adequate sedation prior to upper gastrointestinal endoscopy in 800 consecutive patients. The dose of midazolam decreased markedly with age in both male and female patients. There was a highly significant correlation in both sexes between age and the dose of midazolam (rho -0.787, P less than 0.001 for males and rho -0.768, P less than 0.001 for females). There was only a small difference in dose in men and women, an average of 1 mg; and no difference in dose over the age of 70 years. In patients over 70 years of age the dose of midazolam necessary for endoscopy is often so small that overdosage is all too easy.","author":[{"dropping-particle":"","family":"Bell","given":"GD","non-dropping-particle":"","parse-names":false,"suffix":""},{"dropping-particle":"","family":"Spickett","given":"GP","non-dropping-particle":"","parse-names":false,"suffix":""},{"dropping-particle":"","family":"Reeve","given":"PA","non-dropping-particle":"","parse-names":false,"suffix":""},{"dropping-particle":"","family":"Morden","given":"A","non-dropping-particle":"","parse-names":false,"suffix":""},{"dropping-particle":"","family":"Logan","given":"RF","non-dropping-particle":"","parse-names":false,"suffix":""}],"container-title":"British Journal of Clinical Pharmacology","id":"ITEM-7","issue":"2","issued":{"date-parts":[["1987","2"]]},"page":"241-243","title":"Intravenous midazolam for upper gastrointestinal endoscopy: a study of 800 consecutive cases relating dose to age and sex of patient.","type":"article-journal","volume":"23"},"uris":["http://www.mendeley.com/documents/?uuid=55840a99-5910-4f9d-8cb5-9ff8d09dad3b"]}],"mendeley":{"formattedCitation":"&lt;sup&gt;[30–36]&lt;/sup&gt;","plainTextFormattedCitation":"[30–36]","previouslyFormattedCitation":"&lt;sup&gt;[29–35]&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[30–36]</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Sedation during endoscopy in patients with hepatic dysfunction was highlighted in 1975 when benzodiazepine use was compared in patients with and without liver abnormalities. Patients with cirrhosis can have alterations in the metabolism of benzodiazepines, which can result in impaired psychomotor function and increased recovery time; therefore, it was suggested to use benzodiazepines with caution</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{"citationItems":[{"id":"ITEM-1","itemData":{"DOI":"10.1136/gut.27.2.190","ISSN":"0017-5749","PMID":"2936661","abstract":"Midazolam kinetics and psychomotor function were studied after an intravenous dose of 0.075 mg/kg body weight in seven patients with alcoholic cirrhosis and eight control patients. Four of the seven cirrhotics died of complications of their liver disease within six months of the study. The metabolism of midazolam was significantly impaired in the cirrhotic patients (p less than 0.025). These patients also had evidence of greater sedation than the control group for up to six hours after the dose was administered (p less than 0.05). The clearance of midazolam did not correlate significantly with the serum albumin, or bilirubin, or with the kinetics of antipyrine, or indocyanine green. This study shows significant delay in the elimination of midazolam and decreased psychomotor function in patients with severe alcoholic liver disease. Caution is needed in using this drug for premedication in such patients before endoscopy.","author":[{"dropping-particle":"","family":"MacGilchrist","given":"A J","non-dropping-particle":"","parse-names":false,"suffix":""},{"dropping-particle":"","family":"Birnie","given":"G G","non-dropping-particle":"","parse-names":false,"suffix":""},{"dropping-particle":"","family":"Cook","given":"A","non-dropping-particle":"","parse-names":false,"suffix":""},{"dropping-particle":"","family":"Scobie","given":"G","non-dropping-particle":"","parse-names":false,"suffix":""},{"dropping-particle":"","family":"Murray","given":"T","non-dropping-particle":"","parse-names":false,"suffix":""},{"dropping-particle":"","family":"Watkinson","given":"G","non-dropping-particle":"","parse-names":false,"suffix":""},{"dropping-particle":"","family":"Brodie","given":"M J","non-dropping-particle":"","parse-names":false,"suffix":""}],"container-title":"Gut","id":"ITEM-1","issue":"2","issued":{"date-parts":[["1986","2","1"]]},"page":"190-195","title":"Pharmacokinetics and pharmacodynamics of intravenous midazolam in patients with severe alcoholic cirrhosis.","type":"article-journal","volume":"27"},"uris":["http://www.mendeley.com/documents/?uuid=2d9f9e75-4f69-4d3b-92ce-a98f916621f2"]},{"id":"ITEM-2","itemData":{"DOI":"10.1172/JCI107938","ISSN":"0021-9738","PMID":"1127104","abstract":"This study investigates the separate effects of age and hepatocellular liver disease on the disposition and elimination of diazepam (Valium) in man. The drug was given either by rapid intravenous injection (0.1 mg/kg) or orally (10 mg) to 33 normal volunteers rnaging in age from 15 to 82 yr as well as to 9 individuals with alcoholic cirrhosis, 8 with acute viral hepatitis, and 4 with chronic active hepatitis. In the normal individuals, the terminal plasma half-life of diazepam, (t 1/2 (B)) exhibited a striking age-dependence; at 20 yr the t 1/2 (beta) was about 20 h, but it increased linearly with age to about 90 h at 80 yr. The plasma clearance of diazepam in the majority of the normal subjects was between 20 and 32 ml/min and showed no significant age-dependence. Cigarette smoking did not affect the half-life or the clearance. Additionally, neither the plasma binding (97.4 plus or minus 1.2%, mean plus or minus SD) nor the blood/plasma concentration ratio (0.58 plus or minus 0.16) of diazepam showed any age-related changes (P greater than 0.05). By contrast, analysis of the intravenous data according to a two-compartment open model indicated that both the initial distribution space (V1) and the volume of distribution at steady state [Vd(ss)] of diazepam increased linearly with age (P less than 0.005). The increase in Vd(ss) was secondary to the change in V1. It appears then that the prolongation of t 1/2 (beta) of diazepam with age is primarily dependent on an increase in the initial distribution volume of the drug. The plasma concentration/time course of the metabolite, desmethyldiazepam, was also affected by age. In older individuals, the initial presence and the peak values of desmethyldiazepam were observed later and the metabolite was present in lower concentrations. Despite the profound prolongation of t 1/2 (theta) with age, the constancy of diazepam clearance indicates that drug plasma concentrations will not accumulate any more in the old than the young, and chronic dosage more in the old than the young, and chronic dosage modifications based on pharmacokinetic considerations are unnecessary. Data obtained in patients with liver disease were compared with those found in age-matched control groups. Patients with cirrhosis showed a more than twofold prolongation in the half-life of diazepam (105.6 plus or minus 15.2 vs. 46.6 plus or minus 14.2 h, P less than 0.001).","author":[{"dropping-particle":"","family":"Klotz","given":"U","non-dropping-particle":"","parse-names":false,"suffix":""},{"dropping-particle":"","family":"Avant","given":"G R","non-dropping-particle":"","parse-names":false,"suffix":""},{"dropping-particle":"","family":"Hoyumpa","given":"A","non-dropping-particle":"","parse-names":false,"suffix":""},{"dropping-particle":"","family":"Schenker","given":"S","non-dropping-particle":"","parse-names":false,"suffix":""},{"dropping-particle":"","family":"Wilkinson","given":"G R","non-dropping-particle":"","parse-names":false,"suffix":""}],"container-title":"Journal of Clinical Investigation","id":"ITEM-2","issue":"2","issued":{"date-parts":[["1975","2","1"]]},"page":"347-359","title":"The effects of age and liver disease on the disposition and elimination of diazepam in adult man.","type":"article-journal","volume":"55"},"uris":["http://www.mendeley.com/documents/?uuid=16206b74-d2f5-47f4-92f7-0af57b2092c2"]},{"id":"ITEM-3","itemData":{"DOI":"10.1111/j.1365-2125.1986.tb02952.x","ISSN":"03065251","PMID":"3552010","abstract":"A double-blind controlled study comparing the effects of intravenous Diazemuls (0.15 mg kg-1) with midazolam (0.07 mg kg-1) in patients with normal liver function and with cirrhosis and portal hypertension is described. The clinical effect of the two drugs was assessed by serial tests of psychomotor function before and at varying intervals after administration. Using this dosage regime, midazolam caused significantly greater impairment in psychomotor function in both cirrhotic and non cirrhotic subjects, and the time taken for recovery of normal function was also significantly prolonged. Patients with cirrhosis showed a significantly prolonged recovery time following administration of either benzodiazepine compared with the controls. Administration of midazolam in a lower dose might reduce the degree of sedation and shorten the recovery time, but this could also lead to a loss of some of the amnesic effect. Caution is recommended in the administration of benzodiazepines to patients with cirrhosis.","author":[{"dropping-particle":"","family":"Hamdy","given":"NA","non-dropping-particle":"","parse-names":false,"suffix":""},{"dropping-particle":"","family":"Kennedy","given":"HJ","non-dropping-particle":"","parse-names":false,"suffix":""},{"dropping-particle":"","family":"Nicholl","given":"J","non-dropping-particle":"","parse-names":false,"suffix":""},{"dropping-particle":"","family":"Triger","given":"DR","non-dropping-particle":"","parse-names":false,"suffix":""}],"container-title":"British Journal of Clinical Pharmacology","id":"ITEM-3","issue":"6","issued":{"date-parts":[["1986","12"]]},"page":"643-647","title":"Sedation for gastroscopy: a comparative study of midazolam and Diazemuls in patients with and without cirrhosis.","type":"article-journal","volume":"22"},"uris":["http://www.mendeley.com/documents/?uuid=69c5cc26-ef41-4b5f-8825-a9274fd049c8"]},{"id":"ITEM-4","itemData":{"DOI":"10.1097/MEG.0b013e328356ae49","ISSN":"0954-691X","PMID":"22786572","abstract":"AIM The objective of this study was to determine the frequency of clinically overt hepatic encephalopathy (HE) in cirrhotic patients undergoing diagnostic or therapeutic upper gastrointestinal endoscopy (UGE) who received midazolam for sedation. METHODS This was an interventional study carried out at Liaquat National Hospital, Karachi. Consecutive patients presenting to the service of a single consultant gastroenterologist for diagnostic or therapeutic UGE between January 2009 and January 2011, who fulfilled the inclusion and exclusion criteria, were prospectively recruited for the study. The administration of intravenous midazolam was carried out in an incremental manner, whereas pulse and oxygen saturation was monitored during every procedure. During the recovery period, the degree of alertness was measured at 2, 4, and 6 h by the resident using the observer's assessment of alertness and sedation score and time to full recovery was determined. RESULTS A total of 191 consecutive patients who underwent diagnostic or therapeutic UGE fulfilling the inclusion and exclusion criteria were recruited. The mean age was 51.30 ± 10.7 years, with an age range of 12-75 years. The majority of the patients were men (n=108, 56.5%), with 83 women (43.5%). A total of eight patients (4.2%) remained drowsy and developed clinically overt HE after the procedure on assessment at 2 and 4 h. However, all of these patients regained full consciousness at 6 h spontaneously. Among those eight patients who developed clinically overt HE, seven (87.5%) were Child-Pugh class C and one patient (12.5%) was Child-Pugh class B. Overt HE was significantly related to Child-Pugh class (P=0.005) and the dose of midazolam (P=0.02). CONCLUSION We concluded that intravenous midazolam can be used safely in cirrhotic patients of Child-Pugh class A and B undergoing UGE for conscious sedation, but caution should be exercised for patients with advanced liver disease.","author":[{"dropping-particle":"","family":"Haq","given":"Muhammad M","non-dropping-particle":"","parse-names":false,"suffix":""},{"dropping-particle":"","family":"Faisal","given":"Nabiha","non-dropping-particle":"","parse-names":false,"suffix":""},{"dropping-particle":"","family":"Khalil","given":"Ayesha","non-dropping-particle":"","parse-names":false,"suffix":""},{"dropping-particle":"","family":"Haqqi","given":"Syed A H","non-dropping-particle":"","parse-names":false,"suffix":""},{"dropping-particle":"","family":"Shaikh","given":"Hafeezullah","non-dropping-particle":"","parse-names":false,"suffix":""},{"dropping-particle":"","family":"Arain","given":"Nazim","non-dropping-particle":"","parse-names":false,"suffix":""}],"container-title":"European Journal of Gastroenterology &amp; Hepatology","id":"ITEM-4","issue":"10","issued":{"date-parts":[["2012","10"]]},"page":"1214-1218","title":"Midazolam for sedation during diagnostic or therapeutic upper gastrointestinal endoscopy in cirrhotic patients","type":"article-journal","volume":"24"},"uris":["http://www.mendeley.com/documents/?uuid=6bd50b3d-547e-45d9-8a63-12420687c6c6"]}],"mendeley":{"formattedCitation":"&lt;sup&gt;[31,37–39]&lt;/sup&gt;","plainTextFormattedCitation":"[31,37–39]","previouslyFormattedCitation":"&lt;sup&gt;[30,36–38]&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[31,37–39]</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Whereas, short-duration hypnotic agent propofol does not need dose adjustment in patients with cirrhosis and has a faster onset of action, shorter effect, and quick recovery time</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{"citationItems":[{"id":"ITEM-1","itemData":{"DOI":"10.1002/cld.762","ISSN":"20462484","author":[{"dropping-particle":"","family":"Edelson","given":"Jerome C.","non-dropping-particle":"","parse-names":false,"suffix":""},{"dropping-particle":"","family":"Rockey","given":"Don C.","non-dropping-particle":"","parse-names":false,"suffix":""}],"container-title":"Clinical Liver Disease","id":"ITEM-1","issued":{"date-parts":[["2018"]]},"title":"Endoscopic Sedation of the Patient With Cirrhosis","type":"article"},"uris":["http://www.mendeley.com/documents/?uuid=3cd22ed0-c805-433f-86c0-e09e7e788138"]}],"mendeley":{"formattedCitation":"&lt;sup&gt;[13]&lt;/sup&gt;","plainTextFormattedCitation":"[13]","previouslyFormattedCitation":"&lt;sup&gt;[12]&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[13]</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p>
    <w:p w14:paraId="74EAD080" w14:textId="6F04DC39"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We studied the optimal approach for sedation during an elective upper gastrointestinal endoscopy in patients with cirrhosis. In our analysis, we included 8 RCTs</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SCIENCE","id":"ITEM-5","issue":"3","issued":{"date-parts":[["2018","12","8"]]},"page":"133-141","title":"Propofol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trial","type":"article-journal","volume":"64"},"uris":["http://www.mendeley.com/documents/?uuid=e58fa553-33a0-4fea-b413-3becc6e1df3d"]},{"id":"ITEM-6","itemData":{"DOI":"10.1155/2017/8462756","ISSN":"2090-3448","PMID":"29312786","abstract":"Objectives.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Hepatology","id":"ITEM-6","issued":{"date-parts":[["2017"]]},"page":"1-6","title":"Randomized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Disease","type":"article-journal","volume":"2017"},"uris":["http://www.mendeley.com/documents/?uuid=816f1414-08e8-4752-a0ae-2f5499b646d9"]},{"id":"ITEM-7","itemData":{"DOI":"10.1016/j.gie.2010.09.025","ISSN":"00165107","PMID":"21184869","abstract":"BACKGROUND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Endoscopy","id":"ITEM-7","issue":"1","issued":{"date-parts":[["2011","1"]]},"page":"45-51.e1","title":"Sedation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fentanyl","type":"article-journal","volume":"73"},"uris":["http://www.mendeley.com/documents/?uuid=0410c142-4734-4f31-b274-ce83428eb34e"]},{"id":"ITEM-8","itemData":{"DOI":"10.1111/j.1572-0241.2003.08668.x","ISSN":"0002-9270","PMID":"14638346","abstract":"OBJECTIVES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Gastroenterology","id":"ITEM-8","issue":"11","issued":{"date-parts":[["2003","11"]]},"page":"2440-2447","title":"Nurse-administered propofol versus midazolam and meperidine for upper endoscopy in cirrhotic patients","type":"article-journal","volume":"98"},"uris":["http://www.mendeley.com/documents/?uuid=5866beea-6a15-4c40-968d-6a3f5c587b81"]}],"mendeley":{"formattedCitation":"&lt;sup&gt;[15–22]&lt;/sup&gt;","plainTextFormattedCitation":"[15–22]","previouslyFormattedCitation":"&lt;sup&gt;[14–21]&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[15–22]</w:t>
      </w:r>
      <w:r w:rsidR="00E900E9" w:rsidRPr="00C10A48">
        <w:rPr>
          <w:rFonts w:ascii="Book Antiqua" w:eastAsia="Times New Roman" w:hAnsi="Book Antiqua" w:cstheme="minorHAnsi"/>
          <w:sz w:val="24"/>
          <w:szCs w:val="24"/>
          <w:lang w:val="en-US" w:eastAsia="pt-BR"/>
        </w:rPr>
        <w:fldChar w:fldCharType="end"/>
      </w:r>
      <w:r w:rsidR="00E900E9"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all with adequate designs, with a total of 596 patients. Our analysis showed that propofol had a faster recovery and discharge time. However, procedure time and adverse events were similar between propofol and midazolam group. Our results are consistent with the previous metanalysis by Tsai </w:t>
      </w:r>
      <w:r w:rsidR="0023182C" w:rsidRPr="00C10A48">
        <w:rPr>
          <w:rFonts w:ascii="Book Antiqua" w:eastAsia="Times New Roman" w:hAnsi="Book Antiqua" w:cstheme="minorHAnsi"/>
          <w:i/>
          <w:sz w:val="24"/>
          <w:szCs w:val="24"/>
          <w:lang w:val="en-US" w:eastAsia="pt-BR"/>
        </w:rPr>
        <w:t>et al</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{"citationItems":[{"id":"ITEM-1","itemData":{"DOI":"10.1371/journal.pone.0117585","ISSN":"1932-6203","PMID":"25646815","abstract":"BACKGROUND Sedation during gastrointestinal endoscopy is often achieved using propofol or midazolam in general population. However, impaired protein synthesis, altered drug metabolism, and compromised hepatic blood flow in patients with liver cirrhosis might affect the pharmacokinetics of sedatives, placing cirrhotic patients undergoing endoscopy at a greater risk of adverse events. The objective of this study was to assess comparative efficacies and safety of propofol and midazolam in cirrhotic patients undergoing endoscopy. METHODS Randomized, controlled trials comparing propofol with midazolam in cirrhotic patients undergoing gastrointestinal endoscopy were selected. We performed the meta-analysis, using a random-effect model, the Review Manager, Version 5.2, statistical software package (Cochrane Collaboration, Oxford, UK) according to the PRISMA guidelines. RESULTS Five studies between 2003 and 2012, including 433 patients, were included. Propofol provided a shorter time to sedation (weight mean difference: -2.76 min, 95% confidence interval: -3.00 to -2.51) and a shorter recovery time (weight mean difference -6.17 min, 95% confidence interval: -6.81 to -5.54) than midazolam did. No intergroup difference in the incidence of hypotension, bradycardia, or hypoxemia was observed. Midazolam was associated with the deterioration of psychometric scores for a longer period than propofol. CONCLUSION This meta-analysis suggests that Propofol sedation for endoscopy provides more rapid sedation and recovery than midazolam does. The risk of sedation-related side effects for propofol does not differ significantly from that of midazolam. The efficacy of propofol in cirrhotic patients undergoing endoscopy is superior to those of midazolam.","author":[{"dropping-particle":"","family":"Tsai","given":"Hsiao-Chien","non-dropping-particle":"","parse-names":false,"suffix":""},{"dropping-particle":"","family":"Lin","given":"Yu-Cih","non-dropping-particle":"","parse-names":false,"suffix":""},{"dropping-particle":"","family":"Ko","given":"Ching-Lung","non-dropping-particle":"","parse-names":false,"suffix":""},{"dropping-particle":"","family":"Lou","given":"Horng-Yuan","non-dropping-particle":"","parse-names":false,"suffix":""},{"dropping-particle":"","family":"Chen","given":"Ta-Liang","non-dropping-particle":"","parse-names":false,"suffix":""},{"dropping-particle":"","family":"Tam","given":"Ka-Wai","non-dropping-particle":"","parse-names":false,"suffix":""},{"dropping-particle":"","family":"Chen","given":"Chien-Yu","non-dropping-particle":"","parse-names":false,"suffix":""}],"container-title":"PLOS ONE","id":"ITEM-1","issue":"2","issued":{"date-parts":[["2015","2","3"]]},"page":"e0117585","title":"Propofol versus Midazolam for Upper Gastrointestinal Endoscopy in Cirrhotic Patients: A Meta-Analysis of Randomized Controlled Trials","type":"article-journal","volume":"10"},"uris":["http://www.mendeley.com/documents/?uuid=35b4694d-d107-45f5-8446-47edd610500c"]}],"mendeley":{"formattedCitation":"&lt;sup&gt;[40]&lt;/sup&gt;","plainTextFormattedCitation":"[40]","previouslyFormattedCitation":"&lt;sup&gt;[39]&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[40]</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however, we included three more recent RCTs as well.  Despite our study population only composed of patients with liver cirrhosis, our results are similar to a recent</w:t>
      </w:r>
      <w:r w:rsidR="00073A71" w:rsidRPr="00C10A48">
        <w:rPr>
          <w:rFonts w:ascii="Book Antiqua" w:eastAsia="Times New Roman" w:hAnsi="Book Antiqua" w:cstheme="minorHAnsi"/>
          <w:sz w:val="24"/>
          <w:szCs w:val="24"/>
          <w:lang w:val="en-US" w:eastAsia="pt-BR"/>
        </w:rPr>
        <w:t xml:space="preserve"> meta-analysis by Delgado </w:t>
      </w:r>
      <w:r w:rsidR="00073A71" w:rsidRPr="00C10A48">
        <w:rPr>
          <w:rFonts w:ascii="Book Antiqua" w:eastAsia="Times New Roman" w:hAnsi="Book Antiqua" w:cstheme="minorHAnsi"/>
          <w:i/>
          <w:sz w:val="24"/>
          <w:szCs w:val="24"/>
          <w:lang w:val="en-US" w:eastAsia="pt-BR"/>
        </w:rPr>
        <w:t>et al</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{"citationItems":[{"id":"ITEM-1","itemData":{"DOI":"10.4253/wjge.v11.i12.573","ISSN":"1948-5190","PMID":"31839876","abstract":"BACKGROUND Propofol is commonly used for sedation during endoscopic procedures. Data suggests its superiority to traditional sedatives used in endoscopy including benzodiazepines and opioids with more rapid onset of action and improved post-procedure recovery times for patients. However, Propofol requires administration by trained healthcare providers, has a narrow therapeutic index, lacks an antidote and increases risks of cardio-pulmonary complications. AIM To compare, through a systematic review of the literature and meta-analysis, sedation with propofol to traditional sedatives with or without propofol during endoscopic procedures. METHODS A literature search was performed using MEDLINE, Scopus, EMBASE, the Cochrane Library, Scopus, LILACS, BVS, Cochrane Central Register of Controlled Trials, and The Cumulative Index to Nursing and Allied Health Literature databases. The last search in the literature was performed on March, 2019 with no restriction regarding the idiom or the year of publication. Only randomized clinical trials with full texts published were included. We divided sedation therapies to the following groups: (1) Propofol versus benzodiazepines and/or opiate sedatives; (2) Propofol versus Propofol with benzodiazepine and/or opioids; and (3) Propofol with adjunctive benzodiazepine and opioid versus benzodiazepine and opioid. The following outcomes were addressed: Adverse events, patient satisfaction with type of sedation, endoscopists satisfaction with sedation administered, dose of propofol administered and time to recovery post procedure. Meta-analysis was performed using RevMan5 software version 5.39. RESULTS A total of 23 clinical trials were included (n = 3854) from the initial search of 6410 articles. For Group I (Propofol vs benzodiazepine and/or opioids): The incidence of bradycardia was not statistically different between both sedation arms (RD: -0.01, 95%CI: -0.03-+0.01, I2: 22%). In 10 studies, the incidence of hypotension was not statistically difference between sedation arms (RD: 0.01, 95%CI: -0.02-+0.04, I2: 0%). Oxygen desaturation was higher in the propofol group but not statistically different between groups (RD: -0.03, 95%CI: -0.06-+0.00, I2: 25%). Patients were more satisfied with their sedation in the benzodiazepine + opioid group compared to those with monotherapy propofol sedation (MD: +0.89, 95%CI: +0.62-+1.17, I2: 39%). The recovery time after the procedure showed high heterogeneity even after outlier withdrawal, t…","author":[{"dropping-particle":"","family":"Delgado","given":"Aureo Augusto de Almeida","non-dropping-particle":"","parse-names":false,"suffix":""},{"dropping-particle":"de","family":"Moura","given":"Diogo Turiani Hourneaux","non-dropping-particle":"","parse-names":false,"suffix":""},{"dropping-particle":"","family":"Ribeiro","given":"Igor Braga","non-dropping-particle":"","parse-names":false,"suffix":""},{"dropping-particle":"","family":"Bazarbashi","given":"Ahmad Najdat","non-dropping-particle":"","parse-names":false,"suffix":""},{"dropping-particle":"dos","family":"Santos","given":"Marcos Eduardo Lera","non-dropping-particle":"","parse-names":false,"suffix":""},{"dropping-particle":"","family":"Bernardo","given":"Wanderley Marques","non-dropping-particle":"","parse-names":false,"suffix":""},{"dropping-particle":"de","family":"Moura","given":"Eduardo Guimarães Hourneaux","non-dropping-particle":"","parse-names":false,"suffix":""}],"container-title":"World J Gastrointest Endosc","id":"ITEM-1","issue":"11","issued":{"date-parts":[["2019","11","16"]]},"page":"573-588","title":"Propofol vs traditional sedatives for sedation in endoscopy: A systematic review and meta-analysis","type":"article-journal","volume":"11"},"uris":["http://www.mendeley.com/documents/?uuid=6baf3e0c-db16-4653-bfd8-6e2bd7765868"]}],"mendeley":{"formattedCitation":"&lt;sup&gt;[41]&lt;/sup&gt;","plainTextFormattedCitation":"[41]","previouslyFormattedCitation":"&lt;sup&gt;[40]&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[41]</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showing that propofol to be a better approach during upper GI endoscopy for all patients. The use of propofol for endoscopy in patients with cirrhosis has been increasing; however, one of the limitations for widespread use is that propofol is restricted mostly to anesthesiologists in some countries</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{"citationItems":[{"id":"ITEM-1","itemData":{"DOI":"10.1016/j.gie.2008.10.038","ISSN":"00165107","PMID":"19394004","abstract":"BACKGROUND The risk of hepatic encephalopathy (HE) precipitated by propofol has not been established. OBJECTIVE To know whether the use of propofol for endoscopy in patients with cirrhosis induces minimal or overt HE. DESIGN A cohort study. SETTING A tertiary-referral university hospital endoscopy unit. PATIENTS Patients with cirrhosis who received an endoscopy with propofol sedation. We excluded patients with clinical HE. A group of patients without liver disease was included to compare the incidence of adverse effects. INTERVENTIONS Minimal HE (MHE) was diagnosed by using the psychometric hepatic encephalopathy score (PHES) battery of psychometric tests. Cognitive status before and 1 hour after the endoscopy was evaluated by measuring the critical flicker frequency (CFF). MAIN OUTCOME MEASUREMENTS Overt and minimal HE. RESULTS Twenty patients with cirrhosis and 20 patients without cirrhosis were included. There were no differences between groups in the incidence of adverse effects. Thirteen patients (65%) had MHE before the endoscopy. No patient developed overt HE after sedation. We did not observe differences in CFF before and after sedation in patients without MHE: median (25th-75th percentile), 40.8 Hz (37.1-46.0 Hz) versus 41.1 Hz (36.0-44.3 Hz), P = .8). None of the patients who were without MHE showed a decrease in the CFF under the cutoff of 39 Hz after sedation. There were not significant changes in CFF before and after propofol sedation in patients previously diagnosed of MHE: median (25th-75th percentile), 40.6 Hz (36.8-49.1 Hz) versus 42.7 Hz (36.8-52.4 Hz), P = .08. LIMITATION A small number of patients were included in the study. CONCLUSIONS The use of propofol in the sedation of patients with cirrhosis during endoscopic procedures does not precipitate minimal or overt HE.","author":[{"dropping-particle":"","family":"Amorós","given":"Amparo","non-dropping-particle":"","parse-names":false,"suffix":""},{"dropping-particle":"","family":"Aparicio","given":"José R","non-dropping-particle":"","parse-names":false,"suffix":""},{"dropping-particle":"","family":"Garmendia","given":"Marta","non-dropping-particle":"","parse-names":false,"suffix":""},{"dropping-particle":"","family":"Casellas","given":"Juan A","non-dropping-particle":"","parse-names":false,"suffix":""},{"dropping-particle":"","family":"Martínez","given":"Juan","non-dropping-particle":"","parse-names":false,"suffix":""},{"dropping-particle":"","family":"Jover","given":"Rodrigo","non-dropping-particle":"","parse-names":false,"suffix":""}],"container-title":"Gastrointestinal Endoscopy","id":"ITEM-1","issue":"2","issued":{"date-parts":[["2009","8"]]},"page":"262-268","title":"Deep sedation with propofol does not precipitate hepatic encephalopathy during elective upper endoscopy","type":"article-journal","volume":"70"},"uris":["http://www.mendeley.com/documents/?uuid=1f2fe6fc-420c-41c1-b77b-9f447ac74127"]},{"id":"ITEM-2","itemData":{"DOI":"10.1016/j.gie.2009.01.029","ISSN":"00165107","PMID":"19631803","author":[{"dropping-particle":"","family":"Thuluvath","given":"Paul J","non-dropping-particle":"","parse-names":false,"suffix":""}],"container-title":"Gastrointestinal Endoscopy","id":"ITEM-2","issue":"2","issued":{"date-parts":[["2009","8"]]},"page":"269-271","title":"Toward safer sedation in patients with cirrhosis: have we done enough?","type":"article-journal","volume":"70"},"uris":["http://www.mendeley.com/documents/?uuid=0e26875b-c90c-4c1b-b5eb-6faff94ca966"]},{"id":"ITEM-3","itemData":{"DOI":"10.1055/s-0030-1256182","ISSN":"0013-726X","PMID":"21547878","abstract":"BACKGROUND AND STUDY AIMS Patients with cirrhosis who undergo endoscopy under sedation could be at increased risk of complications. We assessed the utility of the critical flicker frequency (CFF) in the recovery of cognitive function. PATIENTS AND METHODS This was a prospective study in patients with cirrhosis who underwent endoscopy under sedation with propofol in a tertiary care center. The main outcome was deterioration in cognitive function as measured by the number connection test A and B (NCT-A, -B), digit symbol test (DST), serial dotting test (SDT), and line tracing test (LTT) before and 2 h after endoscopy. CFF was recorded before and then every 30 min after endoscopy for the next 2 h. RESULTS In the 108 patients there was no deterioration in results of the psychometric tests after the endoscopy (NCT-A 65.2 ± 44.4 vs. 62.4 ± 43.6 s, P = 0.01; NCT-B 110.4 ± 34.7 vs. 109.6 ± 44.6 s, P = 0.45; DST 26.2 ±1 0.0 vs. 26.7 ± 9.9, P = 0.25; SDT 88.6 ± 47.5 vs. 84.3 ± 44.1 s, P = 0.02; LTT 116.6 ± 55.2 vs. 115.4 ± 51.3 s, P = 0.47.) Patients with minimal hepatic encephalopathy (MHE; n = 64) did not show any deterioration in cognitive function at 2 h (NCT-A 87.7 ± 45.4 vs. 84.3 ± 44.9 s, P = 0.06; NCT-B 134.8 ± 65.4 vs. 132.7 ± 58.8 s, P = 0.46; DST 21.4 ± 8.9 vs. 22.2 ± 8.8, P = 0.09; SDT 107.1 ± 53.0 vs. 102.7 ± 48.5 s, P = 0.03; and LTT 131.5 ± 62.2 vs. 129.6 ± 57.2 s, P = 0.46). There was a significant difference between CFF at baseline and at 30 min and 1 h but no difference thereafter in non-MHE patients, MHE patients, and in controls. A total of 30 patients (28 %) had CFF &lt; 38 Hz. In these patients, CFF at 2 h did not significantly differ from baseline CFF (35.9 ± 1.5 vs. 36.1 ± 2.0 Hz; P = 0.19). A total of 10 patients (9 %) had transient hypoxemia and 18 (17 %) had hypotension during the procedure. The endoscopy was completed in all patients. CONCLUSIONS Propofol is safe in patients with cirrhosis and the CFF is a useful tool for the assessment of recovery from sedation in these patients.","author":[{"dropping-particle":"","family":"Sharma","given":"P.","non-dropping-particle":"","parse-names":false,"suffix":""},{"dropping-particle":"","family":"Singh","given":"S","non-dropping-particle":"","parse-names":false,"suffix":""},{"dropping-particle":"","family":"Sharma","given":"B.","non-dropping-particle":"","parse-names":false,"suffix":""},{"dropping-particle":"","family":"Kumar","given":"M.","non-dropping-particle":"","parse-names":false,"suffix":""},{"dropping-particle":"","family":"Garg","given":"H","non-dropping-particle":"","parse-names":false,"suffix":""},{"dropping-particle":"","family":"Kumar","given":"A","non-dropping-particle":"","parse-names":false,"suffix":""},{"dropping-particle":"","family":"Sarin","given":"S.","non-dropping-particle":"","parse-names":false,"suffix":""}],"container-title":"Endoscopy","id":"ITEM-3","issue":"05","issued":{"date-parts":[["2011","5","4"]]},"page":"400-405","title":"Propofol sedation during endoscopy in patients with cirrhosis, and utility of psychometric tests and critical flicker frequency in assessment of recovery from sedation","type":"article-journal","volume":"43"},"uris":["http://www.mendeley.com/documents/?uuid=8d37cf48-1b6e-4096-aa94-18e7b08b707a"]},{"id":"ITEM-4","itemData":{"DOI":"10.1007/s10620-012-2483-y","ISSN":"0163-2116","PMID":"23179158","abstract":"BACKGROUND Effective and safe sedation for patients with liver cirrhosis is problematic. AIM To examine the safety and effectiveness of low-dose propofol sedation during and after esophagogastroduodenoscopy (EGD) in cirrhotic patients. METHODS Study 1 was a prospective study in cirrhotic patients who underwent diagnostic EGD under propofol sedation. Propofol was given by bolus injection with an age-adjusted standard protocol consisting of 40 mg for patients &lt;70 years, 30 mg for patients aged 70-89 years; additional injections of 20 mg propofol were given up to a maximum of 120 mg. The principal parameter was the occurrence of adverse events within 24 h after EGD. Secondary parameters included successful procedures, complications, and full recovery within 60 min. In Study 2, the residual effects of propofol were evaluated using a driving simulator and blood propofol concentrations in a subset of cirrhotic patients undergoing EGD and compared with healthy individuals. The principal parameter was driving ability. RESULTS Study 1: Consecutive cirrhotic patients were entered and all 163 successfully completed EGD. The mean dose of propofol was 46 mg (range 30-120 mg). No complications occurred. Full recovery had occurred in 100 % 60 min after the procedure. No adverse events occurred within 24 h after EGD. Study 2: There were no significant differences in blood propofol levels between cirrhotic patients (n = 21) and healthy individuals (n = 20) after sedation. In cirrhotic patients, there was no deterioration in driving ability as compared with healthy individuals. CONCLUSION Low-dose propofol sedation provided safe and effective sedation for EGD in cirrhotic patients with rapid recovery.","author":[{"dropping-particle":"","family":"Tanaka","given":"Naoki","non-dropping-particle":"","parse-names":false,"suffix":""},{"dropping-particle":"","family":"Horiuchi","given":"Akira","non-dropping-particle":"","parse-names":false,"suffix":""},{"dropping-particle":"","family":"Nakayama","given":"Yoshiko","non-dropping-particle":"","parse-names":false,"suffix":""},{"dropping-particle":"","family":"Katsuyama","given":"Yoshihiko","non-dropping-particle":"","parse-names":false,"suffix":""},{"dropping-particle":"","family":"Isobe","given":"Masatsugu","non-dropping-particle":"","parse-names":false,"suffix":""},{"dropping-particle":"","family":"Aoyama","given":"Toshifumi","non-dropping-particle":"","parse-names":false,"suffix":""},{"dropping-particle":"","family":"Tanaka","given":"Eiji","non-dropping-particle":"","parse-names":false,"suffix":""},{"dropping-particle":"","family":"Ohmori","given":"Shigeru","non-dropping-particle":"","parse-names":false,"suffix":""}],"container-title":"Digestive Diseases and Sciences","id":"ITEM-4","issue":"5","issued":{"date-parts":[["2013","5","21"]]},"page":"1383-1389","title":"Safety and Effectiveness of Low-Dose Propofol Sedation During and After Esophagogastroduodenoscopy in Child A and B Cirrhotic Patients","type":"article-journal","volume":"58"},"uris":["http://www.mendeley.com/documents/?uuid=2b72f2a2-4299-47fd-b886-5967722a2ef0"]},{"id":"ITEM-5","itemData":{"DOI":"10.3904/kjim.2014.29.1.57","ISSN":"1226-3303","PMID":"24574834","abstract":"BACKGROUND/AIMS In patients with liver cirrhosis, drugs acting on the central nervous system can lead to hepatic encephalopathy and the effects may be prolonged. Recently, misuse of propofol has been reported and the associated risk of death have become an issue. Propofol is commonly used during sedative endoscopy; therefore, its safety in high-risk groups must be further investigated. We performed a pilot study of the safety and efficacy of propofol during endoscopy in Korean patients with cirrhosis. METHODS Upper gastrointestinal endoscopy was performed under sedation with propofol along with careful monitoring in 20 patients with liver cirrhosis and 20 control subjects. The presence or development of hepatic encephalopathy was assessed using the number connection test and neurologic examination. RESULTS Neither respiratory depression nor clinically significant hypotension were observed. Immediate postanesthetic recovery at 5 and 10 minutes after the procedure was delayed in the cirrhotic patients compared with the control group; however, at 30 minutes, the postanesthetic recovery was similar in both groups. Baseline psychomotor performance was more impaired in cirrhotic patients, but propofol was not associated with deteriorated psychomotor function even in cirrhotic patients with a minimal hepatic encephalopathy. CONCLUSIONS Sedation with propofol was well tolerated in cirrhotic patients. No newly developed hepatic encephalopathy was observed.","author":[{"dropping-particle":"","family":"Suh","given":"Sang Jun","non-dropping-particle":"","parse-names":false,"suffix":""},{"dropping-particle":"","family":"Yim","given":"Hyung Joon","non-dropping-particle":"","parse-names":false,"suffix":""},{"dropping-particle":"","family":"Yoon","given":"Eileen L","non-dropping-particle":"","parse-names":false,"suffix":""},{"dropping-particle":"","family":"Lee","given":"Beom Jae","non-dropping-particle":"","parse-names":false,"suffix":""},{"dropping-particle":"","family":"Hyun","given":"Jong Jin","non-dropping-particle":"","parse-names":false,"suffix":""},{"dropping-particle":"","family":"Jung","given":"Sung Woo","non-dropping-particle":"","parse-names":false,"suffix":""},{"dropping-particle":"","family":"Koo","given":"Ja Seol","non-dropping-particle":"","parse-names":false,"suffix":""},{"dropping-particle":"","family":"Kim","given":"Ji Hoon","non-dropping-particle":"","parse-names":false,"suffix":""},{"dropping-particle":"","family":"Kim","given":"Kyung Jin","non-dropping-particle":"","parse-names":false,"suffix":""},{"dropping-particle":"","family":"Choung","given":"Rok Son","non-dropping-particle":"","parse-names":false,"suffix":""},{"dropping-particle":"","family":"Seo","given":"Yeon Seok","non-dropping-particle":"","parse-names":false,"suffix":""},{"dropping-particle":"","family":"Yeon","given":"Jong Eun","non-dropping-particle":"","parse-names":false,"suffix":""},{"dropping-particle":"","family":"Um","given":"Soon Ho","non-dropping-particle":"","parse-names":false,"suffix":""},{"dropping-particle":"","family":"Byun","given":"Kwan Soo","non-dropping-particle":"","parse-names":false,"suffix":""},{"dropping-particle":"","family":"Lee","given":"Sang Woo","non-dropping-particle":"","parse-names":false,"suffix":""},{"dropping-particle":"","family":"Choi","given":"Jai Hyun","non-dropping-particle":"","parse-names":false,"suffix":""},{"dropping-particle":"","family":"Ryu","given":"Ho Sang","non-dropping-particle":"","parse-names":false,"suffix":""}],"container-title":"The Korean Journal of Internal Medicine","id":"ITEM-5","issue":"1","issued":{"date-parts":[["2014","1"]]},"page":"57","title":"Is propofol safe when administered to cirrhotic patients during sedative endoscopy?","type":"article-journal","volume":"29"},"uris":["http://www.mendeley.com/documents/?uuid=60dbf26b-1126-4bd6-bbab-6929973aa44e"]},{"id":"ITEM-6","itemData":{"DOI":"10.1002/jgh3.12098","ISSN":"23979070","PMID":"30834337","abstract":"Aim We aimed to assess the safety and efficacy of propofol versus midazolam in cirrhotic patients undergoing upper GI endoscopy. Methods Ninety compensated cirrhotic patients (all met class I-III criteria according to the American Society of Anesthesia) were enrolled in this comparative study. They were classified into three groups according to scheduled pre-endoscopy sedation drugs; the midazolam group, which included 30 patients who received IV weight-dependent midazolam (0.05 mg/kg with additional doses of 1 mg every 2 min when necessary, up to a maximum dose of 0.1 mg/kg or 10 mg); the propofol group, which included 30 patients who received a propofol bolus dose according to age and weight (0.25 mg/kg with additional doses of 20-30 mg every 30-60 s when necessary, up to a maximum dose of 400 mg); and the combined group, which included 30 patients who received half a dose of midazolam and of propofol. Results Prolonged postendoscopy recovery times were reported in the midazolam group, while shorter recovery times were reported in the propofol and combined groups. All patients in the propofol and combined groups gained consciousness shortly postendoscopy; however, only half of the midazolam group's patients gained consciousness after the standard recovery time (10-30 min). Highly significant differences were found among the three groups regarding consciousness level according to the Glasgow coma scale, as well as regarding the occurrence of hypoxia during endoscopy. Conclusion Considering safety and efficacy issues, propofol is better than midazolam in gastrointestinal endoscopy, especially in patients with liver cirrhosis.","author":[{"dropping-particle":"","family":"Wahab","given":"Essam A","non-dropping-particle":"","parse-names":false,"suffix":""},{"dropping-particle":"","family":"Hamed","given":"Emad F","non-dropping-particle":"","parse-names":false,"suffix":""},{"dropping-particle":"","family":"Ahmad","given":"Hanan S","non-dropping-particle":"","parse-names":false,"suffix":""},{"dropping-particle":"","family":"Abdel Monem","given":"Sameh M","non-dropping-particle":"","parse-names":false,"suffix":""},{"dropping-particle":"","family":"Fathy","given":"Talaat","non-dropping-particle":"","parse-names":false,"suffix":""}],"container-title":"JGH Open","id":"ITEM-6","issue":"1","issued":{"date-parts":[["2019","2"]]},"page":"25-31","title":"Conscious sedation using propofol versus midazolam in cirrhotic patients during upper GI endoscopy: A comparative study","type":"article-journal","volume":"3"},"uris":["http://www.mendeley.com/documents/?uuid=a54b7411-1bfd-4b51-8619-7401387f3e44"]}],"mendeley":{"formattedCitation":"&lt;sup&gt;[42–47]&lt;/sup&gt;","plainTextFormattedCitation":"[42–47]","previouslyFormattedCitation":"&lt;sup&gt;[41–46]&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[42–47]</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w:t>
      </w:r>
    </w:p>
    <w:p w14:paraId="6F4DC571" w14:textId="24C35100"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Seven RCTs were included</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SCIENCE","id":"ITEM-4","issue":"3","issued":{"date-parts":[["2018","12","8"]]},"page":"133-141","title":"Propofol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trial","type":"article-journal","volume":"64"},"uris":["http://www.mendeley.com/documents/?uuid=e58fa553-33a0-4fea-b413-3becc6e1df3d"]},{"id":"ITEM-5","itemData":{"DOI":"10.1155/2017/8462756","ISSN":"2090-3448","PMID":"29312786","abstract":"Objectives.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Hepatology","id":"ITEM-5","issued":{"date-parts":[["2017"]]},"page":"1-6","title":"Randomized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Disease","type":"article-journal","volume":"2017"},"uris":["http://www.mendeley.com/documents/?uuid=816f1414-08e8-4752-a0ae-2f5499b646d9"]},{"id":"ITEM-6","itemData":{"DOI":"10.1016/j.gie.2010.09.025","ISSN":"00165107","PMID":"21184869","abstract":"BACKGROUND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Endoscopy","id":"ITEM-6","issue":"1","issued":{"date-parts":[["2011","1"]]},"page":"45-51.e1","title":"Sedation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fentanyl","type":"article-journal","volume":"73"},"uris":["http://www.mendeley.com/documents/?uuid=0410c142-4734-4f31-b274-ce83428eb34e"]},{"id":"ITEM-7","itemData":{"DOI":"10.1111/j.1572-0241.2003.08668.x","ISSN":"0002-9270","PMID":"14638346","abstract":"OBJECTIVES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Gastroenterology","id":"ITEM-7","issue":"11","issued":{"date-parts":[["2003","11"]]},"page":"2440-2447","title":"Nurse-administered propofol versus midazolam and meperidine for upper endoscopy in cirrhotic patients","type":"article-journal","volume":"98"},"uris":["http://www.mendeley.com/documents/?uuid=5866beea-6a15-4c40-968d-6a3f5c587b81"]}],"mendeley":{"formattedCitation":"&lt;sup&gt;[15–17,19–22]&lt;/sup&gt;","plainTextFormattedCitation":"[15–17,19–22]","previouslyFormattedCitation":"&lt;sup&gt;[14–16,18–21]&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[15–17,19–22]</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in our analysis for procedure time, and we found no statistical difference between midazolam and propofol. Five </w:t>
      </w:r>
      <w:r w:rsidRPr="00C10A48">
        <w:rPr>
          <w:rFonts w:ascii="Book Antiqua" w:eastAsia="Times New Roman" w:hAnsi="Book Antiqua" w:cstheme="minorHAnsi"/>
          <w:sz w:val="24"/>
          <w:szCs w:val="24"/>
          <w:lang w:val="en-US" w:eastAsia="pt-BR"/>
        </w:rPr>
        <w:lastRenderedPageBreak/>
        <w:t>diagnostic and therapeutic procedures studies</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Hepatology","id":"ITEM-4","issued":{"date-parts":[["2017"]]},"page":"1-6","title":"Randomized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Disease","type":"article-journal","volume":"2017"},"uris":["http://www.mendeley.com/documents/?uuid=816f1414-08e8-4752-a0ae-2f5499b646d9"]},{"id":"ITEM-5","itemData":{"DOI":"10.1111/j.1572-0241.2003.08668.x","ISSN":"0002-9270","PMID":"14638346","abstract":"OBJECTIVES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Gastroenterology","id":"ITEM-5","issue":"11","issued":{"date-parts":[["2003","11"]]},"page":"2440-2447","title":"Nurse-administered propofol versus midazolam and meperidine for upper endoscopy in cirrhotic patients","type":"article-journal","volume":"98"},"uris":["http://www.mendeley.com/documents/?uuid=5866beea-6a15-4c40-968d-6a3f5c587b81"]}],"mendeley":{"formattedCitation":"&lt;sup&gt;[15–17,20,22]&lt;/sup&gt;","plainTextFormattedCitation":"[15–17,20,22]","previouslyFormattedCitation":"&lt;sup&gt;[14–16,19,21]&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[15–17,20,22]</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showed shorter procedure tie for the midazolam group; however, 2 RCTs</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trial","type":"article-journal","volume":"64"},"uris":["http://www.mendeley.com/documents/?uuid=e58fa553-33a0-4fea-b413-3becc6e1df3d"]},{"id":"ITEM-2","itemData":{"DOI":"10.1016/j.gie.2010.09.025","ISSN":"00165107","PMID":"21184869","abstract":"BACKGROUND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Endoscopy","id":"ITEM-2","issue":"1","issued":{"date-parts":[["2011","1"]]},"page":"45-51.e1","title":"Sedation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[19,21]&lt;/sup&gt;","plainTextFormattedCitation":"[19,21]","previouslyFormattedCitation":"&lt;sup&gt;[18,20]&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[19,21]</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including therapeutic procedures, showed shorter procedure time for the propofol group. The study by Agrawal </w:t>
      </w:r>
      <w:r w:rsidR="00073A71" w:rsidRPr="00C10A48">
        <w:rPr>
          <w:rFonts w:ascii="Book Antiqua" w:eastAsia="Times New Roman" w:hAnsi="Book Antiqua" w:cstheme="minorHAnsi"/>
          <w:i/>
          <w:sz w:val="24"/>
          <w:szCs w:val="24"/>
          <w:lang w:val="en-US" w:eastAsia="pt-BR"/>
        </w:rPr>
        <w:t>et al</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also included patients without any sedation and showed a shorter procedure time in the sedation group, likely due to a reduction in the discomfort that patients felt during endoscopy without sedation. All 6 RCTs</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Hepatology","id":"ITEM-5","issued":{"date-parts":[["2017"]]},"page":"1-6","title":"Randomized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Disease","type":"article-journal","volume":"2017"},"uris":["http://www.mendeley.com/documents/?uuid=816f1414-08e8-4752-a0ae-2f5499b646d9"]},{"id":"ITEM-6","itemData":{"DOI":"10.1111/j.1572-0241.2003.08668.x","ISSN":"0002-9270","PMID":"14638346","abstract":"OBJECTIVES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Gastroenterology","id":"ITEM-6","issue":"11","issued":{"date-parts":[["2003","11"]]},"page":"2440-2447","title":"Nurse-administered propofol versus midazolam and meperidine for upper endoscopy in cirrhotic patients","type":"article-journal","volume":"98"},"uris":["http://www.mendeley.com/documents/?uuid=5866beea-6a15-4c40-968d-6a3f5c587b81"]}],"mendeley":{"formattedCitation":"&lt;sup&gt;[15–18,20,22]&lt;/sup&gt;","plainTextFormattedCitation":"[15–18,20,22]","previouslyFormattedCitation":"&lt;sup&gt;[14–17,19,21]&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[15–18,20,22]</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evaluating recovery time demonstrated a faster recovery time when using propofol compared to midazolam. Therefore, a statistically significant difference in recovery time was found in the metanalysis favoring the propofol group, although the methods to assess recovery varied slightly in studies. Three RCTs</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Gastroenterology","id":"ITEM-3","issue":"11","issued":{"date-parts":[["2003","11"]]},"page":"2440-2447","title":"Nurse-administered propofol versus midazolam and meperidine for upper endoscopy in cirrhotic patients","type":"article-journal","volume":"98"},"uris":["http://www.mendeley.com/documents/?uuid=5866beea-6a15-4c40-968d-6a3f5c587b81"]}],"mendeley":{"formattedCitation":"&lt;sup&gt;[15,16,22]&lt;/sup&gt;","plainTextFormattedCitation":"[15,16,22]","previouslyFormattedCitation":"&lt;sup&gt;[14,15,21]&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[15,16,22]</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used blood pressure and heart rate parameters within 20% of the baseline, oxygen saturation greater than 90% in ambient air, ability to tolerate oral fluids, and bedside support capacity without help or regaining basal function. While </w:t>
      </w:r>
      <w:proofErr w:type="spellStart"/>
      <w:r w:rsidRPr="00C10A48">
        <w:rPr>
          <w:rFonts w:ascii="Book Antiqua" w:eastAsia="Times New Roman" w:hAnsi="Book Antiqua" w:cstheme="minorHAnsi"/>
          <w:sz w:val="24"/>
          <w:szCs w:val="24"/>
          <w:lang w:val="en-US" w:eastAsia="pt-BR"/>
        </w:rPr>
        <w:t>Yoo</w:t>
      </w:r>
      <w:proofErr w:type="spellEnd"/>
      <w:r w:rsidR="00073A71" w:rsidRPr="00C10A48">
        <w:rPr>
          <w:rFonts w:ascii="Book Antiqua" w:eastAsia="Times New Roman" w:hAnsi="Book Antiqua" w:cstheme="minorHAnsi"/>
          <w:i/>
          <w:sz w:val="24"/>
          <w:szCs w:val="24"/>
          <w:lang w:val="en-US" w:eastAsia="pt-BR"/>
        </w:rPr>
        <w:t xml:space="preserve"> et al</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Ahmed </w:t>
      </w:r>
      <w:r w:rsidR="00073A71" w:rsidRPr="00C10A48">
        <w:rPr>
          <w:rFonts w:ascii="Book Antiqua" w:eastAsia="Times New Roman" w:hAnsi="Book Antiqua" w:cstheme="minorHAnsi"/>
          <w:i/>
          <w:sz w:val="24"/>
          <w:szCs w:val="24"/>
          <w:lang w:val="en-US" w:eastAsia="pt-BR"/>
        </w:rPr>
        <w:t>et al</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[20]</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r w:rsidR="00F26942" w:rsidRPr="00C10A48">
        <w:rPr>
          <w:rFonts w:ascii="Book Antiqua" w:eastAsia="Times New Roman" w:hAnsi="Book Antiqua" w:cstheme="minorHAnsi"/>
          <w:sz w:val="24"/>
          <w:szCs w:val="24"/>
          <w:lang w:val="en-US" w:eastAsia="pt-BR"/>
        </w:rPr>
        <w:t xml:space="preserve"> evaluated</w:t>
      </w:r>
      <w:r w:rsidRPr="00C10A48">
        <w:rPr>
          <w:rFonts w:ascii="Book Antiqua" w:eastAsia="Times New Roman" w:hAnsi="Book Antiqua" w:cstheme="minorHAnsi"/>
          <w:sz w:val="24"/>
          <w:szCs w:val="24"/>
          <w:lang w:val="en-US" w:eastAsia="pt-BR"/>
        </w:rPr>
        <w:t xml:space="preserve"> patients for recovery using blood pressure, pulse </w:t>
      </w:r>
      <w:proofErr w:type="spellStart"/>
      <w:r w:rsidRPr="00C10A48">
        <w:rPr>
          <w:rFonts w:ascii="Book Antiqua" w:eastAsia="Times New Roman" w:hAnsi="Book Antiqua" w:cstheme="minorHAnsi"/>
          <w:sz w:val="24"/>
          <w:szCs w:val="24"/>
          <w:lang w:val="en-US" w:eastAsia="pt-BR"/>
        </w:rPr>
        <w:t>oxymetry</w:t>
      </w:r>
      <w:proofErr w:type="spellEnd"/>
      <w:r w:rsidRPr="00C10A48">
        <w:rPr>
          <w:rFonts w:ascii="Book Antiqua" w:eastAsia="Times New Roman" w:hAnsi="Book Antiqua" w:cstheme="minorHAnsi"/>
          <w:sz w:val="24"/>
          <w:szCs w:val="24"/>
          <w:lang w:val="en-US" w:eastAsia="pt-BR"/>
        </w:rPr>
        <w:t xml:space="preserve">, and heart rate parameters. Different from other studies,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073A71" w:rsidRPr="00C10A48">
        <w:rPr>
          <w:rFonts w:ascii="Book Antiqua" w:eastAsia="Times New Roman" w:hAnsi="Book Antiqua" w:cstheme="minorHAnsi"/>
          <w:i/>
          <w:sz w:val="24"/>
          <w:szCs w:val="24"/>
          <w:lang w:val="en-US" w:eastAsia="pt-BR"/>
        </w:rPr>
        <w:t>et al</w:t>
      </w:r>
      <w:r w:rsidR="00E900E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mendeley":{"formattedCitation":"&lt;sup&gt;[17]&lt;/sup&gt;","plainTextFormattedCitation":"[17]","previouslyFormattedCitation":"&lt;sup&gt;[16]&lt;/sup&gt;"},"properties":{"noteIndex":0},"schema":"https://github.com/citation-style-language/schema/raw/master/csl-citation.json"}</w:instrText>
      </w:r>
      <w:r w:rsidR="00E900E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[17]</w:t>
      </w:r>
      <w:r w:rsidR="00E900E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used the post-anesthesia recovery score (PARS) which consists of five parameters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1) activity (inability to move the limbs, ability to move two or four limbs with or without command)</w:t>
      </w:r>
      <w:r w:rsidR="00D55D35" w:rsidRPr="00C10A48">
        <w:rPr>
          <w:rFonts w:ascii="Book Antiqua" w:eastAsia="Times New Roman" w:hAnsi="Book Antiqua" w:cstheme="minorHAnsi"/>
          <w:sz w:val="24"/>
          <w:szCs w:val="24"/>
          <w:lang w:val="en-US" w:eastAsia="pt-BR"/>
        </w:rPr>
        <w:t>; (</w:t>
      </w:r>
      <w:r w:rsidRPr="00C10A48">
        <w:rPr>
          <w:rFonts w:ascii="Book Antiqua" w:eastAsia="Times New Roman" w:hAnsi="Book Antiqua" w:cstheme="minorHAnsi"/>
          <w:sz w:val="24"/>
          <w:szCs w:val="24"/>
          <w:lang w:val="en-US" w:eastAsia="pt-BR"/>
        </w:rPr>
        <w:t>2) respiration (evidence of apnea, labored breathing, or normal breathing pattern)</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3) circulation (blood pressure compared with baseline: ±</w:t>
      </w:r>
      <w:r w:rsidR="00073A71"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50% to baseline, ±</w:t>
      </w:r>
      <w:r w:rsidR="00073A71"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20% to 50% compared to baseline, ±</w:t>
      </w:r>
      <w:r w:rsidR="00D55D3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20% to baseline)</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4) consciousness (non-arousable, arousable, or fully awake)</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and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5) skin color (cyanotic, pink, or normal). 0, 1 or 2 points are given for each parameter, and complete recovery is indicated by the maximum PARS of 10 points. Our metanalysis, including 3 RCTs</w:t>
      </w:r>
      <w:r w:rsidR="00C9679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study","type":"article-journal","volume":"54"},"uris":["http://www.mendeley.com/documents/?uuid=1d634ad4-06fa-4a6e-afc9-e263e1db69f8"]},{"id":"ITEM-2","itemData":{"DOI":"10.1155/2017/8462756","ISSN":"2090-3448","PMID":"29312786","abstract":"Objectives.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Hepatology","id":"ITEM-2","issued":{"date-parts":[["2017"]]},"page":"1-6","title":"Randomized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Disease","type":"article-journal","volume":"2017"},"uris":["http://www.mendeley.com/documents/?uuid=816f1414-08e8-4752-a0ae-2f5499b646d9"]},{"id":"ITEM-3","itemData":{"DOI":"10.1111/j.1572-0241.2003.08668.x","ISSN":"0002-9270","PMID":"14638346","abstract":"OBJECTIVES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Gastroenterology","id":"ITEM-3","issue":"11","issued":{"date-parts":[["2003","11"]]},"page":"2440-2447","title":"Nurse-administered propofol versus midazolam and meperidine for upper endoscopy in cirrhotic patients","type":"article-journal","volume":"98"},"uris":["http://www.mendeley.com/documents/?uuid=5866beea-6a15-4c40-968d-6a3f5c587b81"]}],"mendeley":{"formattedCitation":"&lt;sup&gt;[16,20,22]&lt;/sup&gt;","plainTextFormattedCitation":"[16,20,22]","previouslyFormattedCitation":"&lt;sup&gt;[15,19,21]&lt;/sup&gt;"},"properties":{"noteIndex":0},"schema":"https://github.com/citation-style-language/schema/raw/master/csl-citation.json"}</w:instrText>
      </w:r>
      <w:r w:rsidR="00C9679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[16,20,22]</w:t>
      </w:r>
      <w:r w:rsidR="00C9679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showed that propofol was associated with a faster discharge time than midazolam.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C9679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mendeley":{"formattedCitation":"&lt;sup&gt;[16]&lt;/sup&gt;","plainTextFormattedCitation":"[16]","previouslyFormattedCitation":"&lt;sup&gt;[15]&lt;/sup&gt;"},"properties":{"noteIndex":0},"schema":"https://github.com/citation-style-language/schema/raw/master/csl-citation.json"}</w:instrText>
      </w:r>
      <w:r w:rsidR="00C9679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w:t>
      </w:r>
      <w:r w:rsidR="00C9679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Weston </w:t>
      </w:r>
      <w:r w:rsidR="0023182C" w:rsidRPr="00C10A48">
        <w:rPr>
          <w:rFonts w:ascii="Book Antiqua" w:eastAsia="Times New Roman" w:hAnsi="Book Antiqua" w:cstheme="minorHAnsi"/>
          <w:i/>
          <w:sz w:val="24"/>
          <w:szCs w:val="24"/>
          <w:lang w:val="en-US" w:eastAsia="pt-BR"/>
        </w:rPr>
        <w:t>et al</w:t>
      </w:r>
      <w:r w:rsidR="00C9679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00C9679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[22]</w:t>
      </w:r>
      <w:r w:rsidR="00C9679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showed results favoring </w:t>
      </w:r>
      <w:r w:rsidR="00F26942" w:rsidRPr="00C10A48">
        <w:rPr>
          <w:rFonts w:ascii="Book Antiqua" w:eastAsia="Times New Roman" w:hAnsi="Book Antiqua" w:cstheme="minorHAnsi"/>
          <w:sz w:val="24"/>
          <w:szCs w:val="24"/>
          <w:lang w:val="en-US" w:eastAsia="pt-BR"/>
        </w:rPr>
        <w:t>p</w:t>
      </w:r>
      <w:r w:rsidRPr="00C10A48">
        <w:rPr>
          <w:rFonts w:ascii="Book Antiqua" w:eastAsia="Times New Roman" w:hAnsi="Book Antiqua" w:cstheme="minorHAnsi"/>
          <w:sz w:val="24"/>
          <w:szCs w:val="24"/>
          <w:lang w:val="en-US" w:eastAsia="pt-BR"/>
        </w:rPr>
        <w:t xml:space="preserve">ropofol. While Ahmed </w:t>
      </w:r>
      <w:r w:rsidR="00686285" w:rsidRPr="00C10A48">
        <w:rPr>
          <w:rFonts w:ascii="Book Antiqua" w:eastAsia="Times New Roman" w:hAnsi="Book Antiqua" w:cstheme="minorHAnsi"/>
          <w:i/>
          <w:sz w:val="24"/>
          <w:szCs w:val="24"/>
          <w:lang w:val="en-US" w:eastAsia="pt-BR"/>
        </w:rPr>
        <w:t>et al</w:t>
      </w:r>
      <w:r w:rsidR="00C9679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00C9679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[20]</w:t>
      </w:r>
      <w:r w:rsidR="00C9679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showed no difference in discharge time between propofol and midazolam. </w:t>
      </w:r>
    </w:p>
    <w:p w14:paraId="159C8580" w14:textId="2FD54597"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Many adverse events in endoscopy are related to sedation. Our study found no statistical difference when comparing adverse events related to the use of propofol and midazolam. Our results were similar to a retrospective study</w:t>
      </w:r>
      <w:r w:rsidR="00C9679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{"citationItems":[{"id":"ITEM-1","itemData":{"DOI":"10.1007/s10620-019-05845-7","ISSN":"0163-2116","PMID":"31605279","abstract":"BACKGROUND Sedation during endoscopy in cirrhotic patients is typically via moderate sedation, most commonly using a combination of a benzodiazepine (i.e., midazolam) and narcotic (i.e., fentanyl) or with propofol using monitored anesthesia care (MAC). Here, we examined the safety of moderate sedation and MAC in patients with cirrhosis. METHODS This retrospective cohort study of cirrhotic patients undergoing endoscopy from a large academic medical center between 2010 and 2014 examined extensive clinical data including the following: past history, physical findings, laboratory results, and procedural adverse events. Adverse events were defined a priori and included hypoxia, hypotension, bleeding, and death. RESULTS We identified 2618 patients with cirrhosis who underwent endoscopic procedures; the mean age was 56 years, 36% were female, the mean Child-Pugh score was 9.3 (IQR: 8, 11), and Charlson Comorbidity Index score was 3.2 (IQR: 1, 4); 1157 had MAC; and 1461 had moderate sedation. There was no difference in the frequency of adverse events in MAC and moderate sedation groups, with a total of 15 adverse events (7/1157 MAC and 8/1461 moderate sedation). The most common procedure performed was esophagogastroduodenoscopy (EGD, n = 1667) and was associated with 10 adverse events. Overall, adverse events included bradycardia (1), hypoxia (7), bleeding (5), laryngospasm (1), and perforation (1). The frequency was similar for EGD, ERCP, and colonoscopy-each at a rate of 0.6%. CONCLUSIONS Adverse events in cirrhotic patients undergoing endoscopy appeared to be similar with moderate sedation or MAC, and the frequency was the same for different types of procedures.","author":[{"dropping-particle":"","family":"Edelson","given":"Jerome","non-dropping-particle":"","parse-names":false,"suffix":""},{"dropping-particle":"","family":"Suarez","given":"Alejandro L","non-dropping-particle":"","parse-names":false,"suffix":""},{"dropping-particle":"","family":"Zhang","given":"Jingwen","non-dropping-particle":"","parse-names":false,"suffix":""},{"dropping-particle":"","family":"Rockey","given":"Don C","non-dropping-particle":"","parse-names":false,"suffix":""}],"container-title":"Digestive Diseases and Sciences","id":"ITEM-1","issued":{"date-parts":[["2019","10","12"]]},"title":"Sedation During Endoscopy in Patients with Cirrhosis: Safety and Predictors of Adverse Events","type":"article-journal"},"uris":["http://www.mendeley.com/documents/?uuid=fdbf088d-2810-46b6-b97c-ca8138dfcbab"]}],"mendeley":{"formattedCitation":"&lt;sup&gt;[30]&lt;/sup&gt;","plainTextFormattedCitation":"[30]","previouslyFormattedCitation":"&lt;sup&gt;[29]&lt;/sup&gt;"},"properties":{"noteIndex":0},"schema":"https://github.com/citation-style-language/schema/raw/master/csl-citation.json"}</w:instrText>
      </w:r>
      <w:r w:rsidR="00C9679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[30]</w:t>
      </w:r>
      <w:r w:rsidR="00C9679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of 1667 patients with cirrhosis, which showed no difference in adverse events </w:t>
      </w:r>
      <w:r w:rsidRPr="00C10A48">
        <w:rPr>
          <w:rFonts w:ascii="Book Antiqua" w:eastAsia="Times New Roman" w:hAnsi="Book Antiqua" w:cstheme="minorHAnsi"/>
          <w:sz w:val="24"/>
          <w:szCs w:val="24"/>
          <w:lang w:val="en-US" w:eastAsia="pt-BR"/>
        </w:rPr>
        <w:lastRenderedPageBreak/>
        <w:t xml:space="preserve">between midazolam plus fentanyl </w:t>
      </w:r>
      <w:r w:rsidR="009E3C6F" w:rsidRPr="00DA4967">
        <w:rPr>
          <w:rFonts w:ascii="Book Antiqua" w:hAnsi="Book Antiqua"/>
          <w:i/>
          <w:noProof/>
          <w:sz w:val="24"/>
          <w:szCs w:val="24"/>
          <w:lang w:val="en-US"/>
        </w:rPr>
        <w:t>vs</w:t>
      </w:r>
      <w:r w:rsidRPr="00C10A48">
        <w:rPr>
          <w:rFonts w:ascii="Book Antiqua" w:eastAsia="Times New Roman" w:hAnsi="Book Antiqua" w:cstheme="minorHAnsi"/>
          <w:sz w:val="24"/>
          <w:szCs w:val="24"/>
          <w:lang w:val="en-US" w:eastAsia="pt-BR"/>
        </w:rPr>
        <w:t xml:space="preserve"> propofol sedation for endoscopy.  Another recent multicenter cross-sectional study</w:t>
      </w:r>
      <w:r w:rsidR="00C9679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{"citationItems":[{"id":"ITEM-1","itemData":{"DOI":"10.1002/hep.31224","ISSN":"0270-9139","PMID":"32153048","abstract":"BACKGROUND &amp; AIMS Anesthesia services for endoscopic procedures have proliferated with the promise of increased comfort and safety. Cirrhosis patients are higher risk for sedation, yet limited data are available describing anesthesia complications in this population. APPROACH &amp; RESULTS This cross-sectional study utilized the National Anesthesia Clinical Outcomes Registry, a multi-center quality improvement database from 2010 to 2015. Cirrhosis patients undergoing an endoscopy were identified by ICD 9/CPT codes. The outcome of interest was serious anesthesia-related complication defined as cardiovascular, respiratory, neurologic, drug-related, patient injury, death, or unexpected admission. A mixed effects multivariate logistic regression model determined odds ratios between variables and serious complications adjusting for potential confounders. In total, 9,007 endoscopic procedures were performed among cirrhosis patients; 92% were esophagogastroduodenoscopies. A majority (81%) were American Society of Anesthesiologists (ASA) class &gt;=3 and 72% had a history of hepatic encephalopathy, ascites, varices, hepatorenal syndrome, or spontaneous bacterial peritonitis identified by ICD-9/CPT codes. In total, 87 complications were reported, 33 of which were serious. The frequency of serious complications was 0.4% or 378.6 per 100,000 procedures (95% CI 260.8, 531.3). A majority of serious complications were cardiovascular (21/33) including 15 cardiac arrests. Serious complications were significantly associated with ASA4/5 (OR 3.84; 95% CI 1.09, 13.57) and general anesthesia (OR 4.71; 95% CI 1.20, 18.50) adjusting for age, sex, ASA class, anesthesia type, inpatient status, portal hypertension history, and variable complication reporting practices. CONCLUSIONS Anesthesia complications among endoscopic procedures in cirrhosis are rare overall. Serious complications were predominantly cardiac and associated with sicker patients undergoing general anesthesia. The complexity of end stage liver disease may warrant more intensive care during endoscopic procedures including anesthesia monitoring.","author":[{"dropping-particle":"","family":"Lieber","given":"Sarah R","non-dropping-particle":"","parse-names":false,"suffix":""},{"dropping-particle":"","family":"Heller","given":"Benjamin J","non-dropping-particle":"","parse-names":false,"suffix":""},{"dropping-particle":"","family":"Howard","given":"Christopher W","non-dropping-particle":"","parse-names":false,"suffix":""},{"dropping-particle":"","family":"Sandler","given":"Robert S","non-dropping-particle":"","parse-names":false,"suffix":""},{"dropping-particle":"","family":"Crockett","given":"Seth","non-dropping-particle":"","parse-names":false,"suffix":""},{"dropping-particle":"","family":"Barritt","given":"A Sidney","non-dropping-particle":"","parse-names":false,"suffix":""}],"container-title":"Hepatology","id":"ITEM-1","issued":{"date-parts":[["2020","3","10"]]},"page":"hep.31224","title":"Complications Associated with Anesthesia Services in Endoscopic Procedures Among Patients with Cirrhosis","type":"article-journal"},"uris":["http://www.mendeley.com/documents/?uuid=969ae65c-12b7-41df-9270-142cebdb81f9"]}],"mendeley":{"formattedCitation":"&lt;sup&gt;[48]&lt;/sup&gt;","plainTextFormattedCitation":"[48]","previouslyFormattedCitation":"&lt;sup&gt;[47]&lt;/sup&gt;"},"properties":{"noteIndex":0},"schema":"https://github.com/citation-style-language/schema/raw/master/csl-citation.json"}</w:instrText>
      </w:r>
      <w:r w:rsidR="00C9679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[48]</w:t>
      </w:r>
      <w:r w:rsidR="00C9679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that included 9007 endoscopic procedures in patients with cirrhosis reported that adverse events were infrequent and cardiovascular adverse events were related to unfit patients and those requiring general anesthesia. Cardiopulmonary adverse events in our study were mainly seen in 3 RCTs</w:t>
      </w:r>
      <w:r w:rsidR="00C96799"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study","type":"article-journal","volume":"44"},"uris":["http://www.mendeley.com/documents/?uuid=3e777578-7009-4812-bd78-ca2629a52780"]},{"id":"ITEM-2","itemData":{"DOI":"10.1155/2017/8462756","ISSN":"2090-3448","PMID":"29312786","abstract":"Objectives.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Hepatology","id":"ITEM-2","issued":{"date-parts":[["2017"]]},"page":"1-6","title":"Randomized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Disease","type":"article-journal","volume":"2017"},"uris":["http://www.mendeley.com/documents/?uuid=816f1414-08e8-4752-a0ae-2f5499b646d9"]},{"id":"ITEM-3","itemData":{"DOI":"10.1016/j.gie.2010.09.025","ISSN":"00165107","PMID":"21184869","abstract":"BACKGROUND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Endoscopy","id":"ITEM-3","issue":"1","issued":{"date-parts":[["2011","1"]]},"page":"45-51.e1","title":"Sedation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[17,20,21]&lt;/sup&gt;","plainTextFormattedCitation":"[17,20,21]","previouslyFormattedCitation":"&lt;sup&gt;[16,19,20]&lt;/sup&gt;"},"properties":{"noteIndex":0},"schema":"https://github.com/citation-style-language/schema/raw/master/csl-citation.json"}</w:instrText>
      </w:r>
      <w:r w:rsidR="00C96799"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[17,20,21]</w:t>
      </w:r>
      <w:r w:rsidR="00C96799"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which included endoscopic therapeutic procedures (varices treatment) likely because of the prolonged procedure time and the need for higher sedation dose for patient comfort. Given the significance of cardiopulmonary adverse events with sedation, we further evaluated adverse events like bradycardia, hypotension, and hypoxemia individually. </w:t>
      </w:r>
    </w:p>
    <w:p w14:paraId="30BA464F" w14:textId="5B345B25"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In our metanalysis, there was no difference in the incidence of bradycardia between propofol and midazolam. Bradycardia was described as a heart rate (HR) &lt; 50 in most studies</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study","type":"article-journal","volume":"54"},"uris":["http://www.mendeley.com/documents/?uuid=1d634ad4-06fa-4a6e-afc9-e263e1db69f8"]},{"id":"ITEM-2","itemData":{"DOI":"10.1080/00365520903194591","ISSN":"0036-5521","PMID":"19811337","abstract":"OBJECTIVE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Gastroenterology","id":"ITEM-2","issue":"10","issued":{"date-parts":[["2009","1","19"]]},"page":"1244-1251","title":"Propofol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study","type":"article-journal","volume":"44"},"uris":["http://www.mendeley.com/documents/?uuid=3e777578-7009-4812-bd78-ca2629a52780"]},{"id":"ITEM-3","itemData":{"DOI":"10.1155/2017/8462756","ISSN":"2090-3448","PMID":"29312786","abstract":"Objectives.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Hepatology","id":"ITEM-3","issued":{"date-parts":[["2017"]]},"page":"1-6","title":"Randomized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Disease","type":"article-journal","volume":"2017"},"uris":["http://www.mendeley.com/documents/?uuid=816f1414-08e8-4752-a0ae-2f5499b646d9"]},{"id":"ITEM-4","itemData":{"DOI":"10.1111/j.1572-0241.2003.08668.x","ISSN":"0002-9270","PMID":"14638346","abstract":"OBJECTIVES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Gastroenterology","id":"ITEM-4","issue":"11","issued":{"date-parts":[["2003","11"]]},"page":"2440-2447","title":"Nurse-administered propofol versus midazolam and meperidine for upper endoscopy in cirrhotic patients","type":"article-journal","volume":"98"},"uris":["http://www.mendeley.com/documents/?uuid=5866beea-6a15-4c40-968d-6a3f5c587b81"]}],"mendeley":{"formattedCitation":"&lt;sup&gt;[16,17,20,22]&lt;/sup&gt;","plainTextFormattedCitation":"[16,17,20,22]","previouslyFormattedCitation":"&lt;sup&gt;[15,16,19,21]&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[16,17,20,22]</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HR &lt; 45 by Watanabe </w:t>
      </w:r>
      <w:r w:rsidR="00686285" w:rsidRPr="00C10A48">
        <w:rPr>
          <w:rFonts w:ascii="Book Antiqua" w:eastAsia="Times New Roman" w:hAnsi="Book Antiqua" w:cstheme="minorHAnsi"/>
          <w:i/>
          <w:sz w:val="24"/>
          <w:szCs w:val="24"/>
          <w:lang w:val="en-US" w:eastAsia="pt-BR"/>
        </w:rPr>
        <w:t>et al</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[19]&lt;/sup&gt;","plainTextFormattedCitation":"[19]","previouslyFormattedCitation":"&lt;sup&gt;[18]&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25% decrease in initial HR or HR</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55 bpm by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Endoscopy","id":"ITEM-1","issue":"1","issued":{"date-parts":[["2011","1"]]},"page":"45-51.e1","title":"Sedation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[21]&lt;/sup&gt;","plainTextFormattedCitation":"[21]","previouslyFormattedCitation":"&lt;sup&gt;[20]&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[21]</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a 20% decrease in initial HR by Agrawal </w:t>
      </w:r>
      <w:r w:rsidR="00686285" w:rsidRPr="00C10A48">
        <w:rPr>
          <w:rFonts w:ascii="Book Antiqua" w:eastAsia="Times New Roman" w:hAnsi="Book Antiqua" w:cstheme="minorHAnsi"/>
          <w:i/>
          <w:sz w:val="24"/>
          <w:szCs w:val="24"/>
          <w:lang w:val="en-US" w:eastAsia="pt-BR"/>
        </w:rPr>
        <w:t>et al</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Patients in only one study (Ahmed </w:t>
      </w:r>
      <w:r w:rsidR="00686285" w:rsidRPr="00C10A48">
        <w:rPr>
          <w:rFonts w:ascii="Book Antiqua" w:eastAsia="Times New Roman" w:hAnsi="Book Antiqua" w:cstheme="minorHAnsi"/>
          <w:i/>
          <w:sz w:val="24"/>
          <w:szCs w:val="24"/>
          <w:lang w:val="en-US" w:eastAsia="pt-BR"/>
        </w:rPr>
        <w:t>et al</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[20]</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were administered atropine 0.3 mg IV to control bradycardia. Hypotension with propofol is well recognized due to a reduction in systemic vascular reduction and depression of myocardial contractility. In our analysis, Agrawal </w:t>
      </w:r>
      <w:r w:rsidR="00686285" w:rsidRPr="00C10A48">
        <w:rPr>
          <w:rFonts w:ascii="Book Antiqua" w:eastAsia="Times New Roman" w:hAnsi="Book Antiqua" w:cstheme="minorHAnsi"/>
          <w:i/>
          <w:sz w:val="24"/>
          <w:szCs w:val="24"/>
          <w:lang w:val="en-US" w:eastAsia="pt-BR"/>
        </w:rPr>
        <w:t>et al</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Weston </w:t>
      </w:r>
      <w:r w:rsidR="00686285" w:rsidRPr="00C10A48">
        <w:rPr>
          <w:rFonts w:ascii="Book Antiqua" w:eastAsia="Times New Roman" w:hAnsi="Book Antiqua" w:cstheme="minorHAnsi"/>
          <w:i/>
          <w:sz w:val="24"/>
          <w:szCs w:val="24"/>
          <w:lang w:val="en-US" w:eastAsia="pt-BR"/>
        </w:rPr>
        <w:t>et al</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[22]</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notably used high doses of propofol, which could potentially result in the development of hypotension.  However, in our analysis, we did not find any difference in the incidence of hypotension between propofol and midazolam. The included studies used various parameters to define hypotension. Agrawal </w:t>
      </w:r>
      <w:r w:rsidR="00686285" w:rsidRPr="00C10A48">
        <w:rPr>
          <w:rFonts w:ascii="Book Antiqua" w:eastAsia="Times New Roman" w:hAnsi="Book Antiqua" w:cstheme="minorHAnsi"/>
          <w:i/>
          <w:sz w:val="24"/>
          <w:szCs w:val="24"/>
          <w:lang w:val="en-US" w:eastAsia="pt-BR"/>
        </w:rPr>
        <w:t>et al</w:t>
      </w:r>
      <w:r w:rsidR="00D04BD7"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D04BD7"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D04BD7"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defined a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20% of the baseline</w:t>
      </w:r>
      <w:r w:rsidR="00F26942"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while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Endoscopy","id":"ITEM-1","issue":"1","issued":{"date-parts":[["2011","1"]]},"page":"45-51.e1","title":"Sedation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[21]&lt;/sup&gt;","plainTextFormattedCitation":"[21]","previouslyFormattedCitation":"&lt;sup&gt;[20]&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[21]</w:t>
      </w:r>
      <w:r w:rsidR="00775855" w:rsidRPr="00C10A48">
        <w:rPr>
          <w:rFonts w:ascii="Book Antiqua" w:eastAsia="Times New Roman" w:hAnsi="Book Antiqua" w:cstheme="minorHAnsi"/>
          <w:sz w:val="24"/>
          <w:szCs w:val="24"/>
          <w:lang w:val="en-US" w:eastAsia="pt-BR"/>
        </w:rPr>
        <w:fldChar w:fldCharType="end"/>
      </w:r>
      <w:r w:rsidR="0077585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considered a 20% decrease in MAP or a systolic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90 mmHg or a diastolic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50 mmHg as hypotension.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mendeley":{"formattedCitation":"&lt;sup&gt;[16]&lt;/sup&gt;","plainTextFormattedCitation":"[16]","previouslyFormattedCitation":"&lt;sup&gt;[15]&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w:t>
      </w:r>
      <w:r w:rsidR="00775855"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mendeley":{"formattedCitation":"&lt;sup&gt;[17]&lt;/sup&gt;","plainTextFormattedCitation":"[17]","previouslyFormattedCitation":"&lt;sup&gt;[16]&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[17]</w:t>
      </w:r>
      <w:r w:rsidR="00775855"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Weston </w:t>
      </w:r>
      <w:r w:rsidR="00686285" w:rsidRPr="00C10A48">
        <w:rPr>
          <w:rFonts w:ascii="Book Antiqua" w:eastAsia="Times New Roman" w:hAnsi="Book Antiqua" w:cstheme="minorHAnsi"/>
          <w:i/>
          <w:sz w:val="24"/>
          <w:szCs w:val="24"/>
          <w:lang w:val="en-US" w:eastAsia="pt-BR"/>
        </w:rPr>
        <w:t>et al</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[22]</w:t>
      </w:r>
      <w:r w:rsidR="00775855"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considered a systolic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90 mmHg as hypotension. Ahmed </w:t>
      </w:r>
      <w:r w:rsidR="00B05CFC" w:rsidRPr="00C10A48">
        <w:rPr>
          <w:rFonts w:ascii="Book Antiqua" w:eastAsia="Times New Roman" w:hAnsi="Book Antiqua" w:cstheme="minorHAnsi"/>
          <w:i/>
          <w:sz w:val="24"/>
          <w:szCs w:val="24"/>
          <w:lang w:val="en-US" w:eastAsia="pt-BR"/>
        </w:rPr>
        <w:t>et al</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[20]</w:t>
      </w:r>
      <w:r w:rsidR="00775855"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considered a decrease in mean arterial pressure (MAP) of 20 mmHg from baseline as hypotension and administrated ephedrine 10 mg and Ringer's lactate 5 m</w:t>
      </w:r>
      <w:r w:rsidRPr="00C10A48">
        <w:rPr>
          <w:rFonts w:ascii="Book Antiqua" w:eastAsia="Times New Roman" w:hAnsi="Book Antiqua" w:cstheme="minorHAnsi"/>
          <w:caps/>
          <w:sz w:val="24"/>
          <w:szCs w:val="24"/>
          <w:lang w:val="en-US" w:eastAsia="pt-BR"/>
        </w:rPr>
        <w:t>l</w:t>
      </w:r>
      <w:r w:rsidRPr="00C10A48">
        <w:rPr>
          <w:rFonts w:ascii="Book Antiqua" w:eastAsia="Times New Roman" w:hAnsi="Book Antiqua" w:cstheme="minorHAnsi"/>
          <w:sz w:val="24"/>
          <w:szCs w:val="24"/>
          <w:lang w:val="en-US" w:eastAsia="pt-BR"/>
        </w:rPr>
        <w:t>/kg when it occurred. Watanabe</w:t>
      </w:r>
      <w:r w:rsidR="00B05CFC" w:rsidRPr="00C10A48">
        <w:rPr>
          <w:rFonts w:ascii="Book Antiqua" w:eastAsia="Times New Roman" w:hAnsi="Book Antiqua" w:cstheme="minorHAnsi"/>
          <w:i/>
          <w:sz w:val="24"/>
          <w:szCs w:val="24"/>
          <w:lang w:val="en-US" w:eastAsia="pt-BR"/>
        </w:rPr>
        <w:t xml:space="preserve"> et al</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[19]&lt;/sup&gt;","plainTextFormattedCitation":"[19]","previouslyFormattedCitation":"&lt;sup&gt;[18]&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w:t>
      </w:r>
      <w:r w:rsidR="00775855"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considered a systolic blood pressure &lt;</w:t>
      </w:r>
      <w:r w:rsidR="00B05CFC"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80 mmHg as hypotension. Unlike other studies,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775855"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did not report any </w:t>
      </w:r>
      <w:r w:rsidRPr="00C10A48">
        <w:rPr>
          <w:rFonts w:ascii="Book Antiqua" w:eastAsia="Times New Roman" w:hAnsi="Book Antiqua" w:cstheme="minorHAnsi"/>
          <w:sz w:val="24"/>
          <w:szCs w:val="24"/>
          <w:lang w:val="en-US" w:eastAsia="pt-BR"/>
        </w:rPr>
        <w:lastRenderedPageBreak/>
        <w:t>hypotension in both groups. Similarly, there was no difference in the incidence of hypoxemia seen in the propofol and midazolam group, although the definition of hypoxemia varied in studies. In most included studies</w:t>
      </w:r>
      <w:r w:rsidR="00775855"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SCIENCE","id":"ITEM-4","issue":"3","issued":{"date-parts":[["2018","12","8"]]},"page":"133-141","title":"Propofol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trial","type":"article-journal","volume":"64"},"uris":["http://www.mendeley.com/documents/?uuid=e58fa553-33a0-4fea-b413-3becc6e1df3d"]},{"id":"ITEM-5","itemData":{"DOI":"10.1155/2017/8462756","ISSN":"2090-3448","PMID":"29312786","abstract":"Objectives.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Hepatology","id":"ITEM-5","issued":{"date-parts":[["2017"]]},"page":"1-6","title":"Randomized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Disease","type":"article-journal","volume":"2017"},"uris":["http://www.mendeley.com/documents/?uuid=816f1414-08e8-4752-a0ae-2f5499b646d9"]},{"id":"ITEM-6","itemData":{"DOI":"10.1016/j.gie.2010.09.025","ISSN":"00165107","PMID":"21184869","abstract":"BACKGROUND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Endoscopy","id":"ITEM-6","issue":"1","issued":{"date-parts":[["2011","1"]]},"page":"45-51.e1","title":"Sedation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[15–17,19–21]&lt;/sup&gt;","plainTextFormattedCitation":"[15–17,19–21]","previouslyFormattedCitation":"&lt;sup&gt;[14–16,18–20]&lt;/sup&gt;"},"properties":{"noteIndex":0},"schema":"https://github.com/citation-style-language/schema/raw/master/csl-citation.json"}</w:instrText>
      </w:r>
      <w:r w:rsidR="00775855"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[15–17,19–21]</w:t>
      </w:r>
      <w:r w:rsidR="00775855"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hypoxemia was defined as oxygen saturation of less than 90%. Weston </w:t>
      </w:r>
      <w:r w:rsidR="00B05CFC" w:rsidRPr="00C10A48">
        <w:rPr>
          <w:rFonts w:ascii="Book Antiqua" w:eastAsia="Times New Roman" w:hAnsi="Book Antiqua" w:cstheme="minorHAnsi"/>
          <w:i/>
          <w:sz w:val="24"/>
          <w:szCs w:val="24"/>
          <w:lang w:val="en-US" w:eastAsia="pt-BR"/>
        </w:rPr>
        <w:t>et al</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[22]</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considered an oxygen saturation &lt; 85% as hypoxemia and also measured hypoventilation if the respiratory rate was &lt; 8 breaths per minute or by using a capnograph.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did not specify the values for hypoxemia, or if the patients were receiving oxygen. Seven studies</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SCIENCE","id":"ITEM-4","issue":"3","issued":{"date-parts":[["2018","12","8"]]},"page":"133-141","title":"Propofol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trial","type":"article-journal","volume":"64"},"uris":["http://www.mendeley.com/documents/?uuid=e58fa553-33a0-4fea-b413-3becc6e1df3d"]},{"id":"ITEM-5","itemData":{"DOI":"10.1155/2017/8462756","ISSN":"2090-3448","PMID":"29312786","abstract":"Objectives.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Hepatology","id":"ITEM-5","issued":{"date-parts":[["2017"]]},"page":"1-6","title":"Randomized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Disease","type":"article-journal","volume":"2017"},"uris":["http://www.mendeley.com/documents/?uuid=816f1414-08e8-4752-a0ae-2f5499b646d9"]},{"id":"ITEM-6","itemData":{"DOI":"10.1016/j.gie.2010.09.025","ISSN":"00165107","PMID":"21184869","abstract":"BACKGROUND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Endoscopy","id":"ITEM-6","issue":"1","issued":{"date-parts":[["2011","1"]]},"page":"45-51.e1","title":"Sedation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fentanyl","type":"article-journal","volume":"73"},"uris":["http://www.mendeley.com/documents/?uuid=0410c142-4734-4f31-b274-ce83428eb34e"]},{"id":"ITEM-7","itemData":{"DOI":"10.1111/j.1572-0241.2003.08668.x","ISSN":"0002-9270","PMID":"14638346","abstract":"OBJECTIVES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Gastroenterology","id":"ITEM-7","issue":"11","issued":{"date-parts":[["2003","11"]]},"page":"2440-2447","title":"Nurse-administered propofol versus midazolam and meperidine for upper endoscopy in cirrhotic patients","type":"article-journal","volume":"98"},"uris":["http://www.mendeley.com/documents/?uuid=5866beea-6a15-4c40-968d-6a3f5c587b81"]}],"mendeley":{"formattedCitation":"&lt;sup&gt;[15–17,19–22]&lt;/sup&gt;","plainTextFormattedCitation":"[15–17,19–22]","previouslyFormattedCitation":"&lt;sup&gt;[14–16,18–21]&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[15–17,19–22]</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reported the use of oxygen through the nasal cannula at a rate of 2 to 5 </w:t>
      </w:r>
      <w:r w:rsidR="00F86DC3">
        <w:rPr>
          <w:rFonts w:ascii="Book Antiqua" w:eastAsia="DengXian" w:hAnsi="Book Antiqua" w:cstheme="minorHAnsi" w:hint="eastAsia"/>
          <w:sz w:val="24"/>
          <w:szCs w:val="24"/>
          <w:lang w:val="en-US" w:eastAsia="zh-CN"/>
        </w:rPr>
        <w:t>L/</w:t>
      </w:r>
      <w:r w:rsidRPr="00C10A48">
        <w:rPr>
          <w:rFonts w:ascii="Book Antiqua" w:eastAsia="Times New Roman" w:hAnsi="Book Antiqua" w:cstheme="minorHAnsi"/>
          <w:sz w:val="24"/>
          <w:szCs w:val="24"/>
          <w:lang w:val="en-US" w:eastAsia="pt-BR"/>
        </w:rPr>
        <w:t xml:space="preserve">min with an increase if necessary. </w:t>
      </w:r>
    </w:p>
    <w:p w14:paraId="75281120" w14:textId="5AA3BF62"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Hepatic encephalopathy is a multifaceted disorder in patients with cirrhosis and more evident in patients with high Child-Turcotte-Pugh and MELD scores. Benzodiazepines can particularly exacerbate hepatic encephalopathy after endoscopy in some patients</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{"citationItems":[{"id":"ITEM-1","itemData":{"DOI":"10.1016/S0016-5107(99)70283-X","ISSN":"00165107","PMID":"10343210","abstract":"BACKGROUND The risk of exacerbating subclinical hepatic encephalopathy associated with the administration of sedative drugs in patients with cirrhosis undergoing diagnostic upper gastrointestinal (GI) endoscopy for portal hypertension remains to be determined. METHODS Ten adult patients with cirrhosis completed number connection tests before sedation for endoscopy and at discharge from the endoscopy unit 2 hours post-procedure. Control patients consisted of five patients with cirrhosis undergoing the same procedure for the same indication who did not receive sedation and 12 patients with no evidence of liver disease who received sedation before diagnostic endoscopy for a variety of GI complaints. The control populations were age, gender, education level, and, in the case of patients with cirrhosis, Child Pugh s score matched to the patients with cirrhosis who received sedation. RESULTS The mean (+/- SEM) age of patients with cirrhosis who received sedation was 59.6 +/- 3.8 years. Seven of the ten (70%) were men. Their mean Child Pugh s score was 7.2 +/- 1.5. Nine of the ten (90%) had abnormal baseline number connection tests results (mean for the group 52.3 +/- 6.7 seconds) the extent of which correlated with Child Pugh s scores (p &lt; 0.005). Individually, the baseline number connection tests results were normal in one (10%), mild in six (60%), moderate in one (10%), and severe in two (20%). After the procedure (before discharge) the mean number connection tests result was 61.5 +/- 7.9 seconds (p = 0.01 when compared with baseline). The results were now normal in none (0%), mild in four (40%), moderate in four (40%), and severe in two (20%). Pre- and post-procedure number connection tests results did not change in the non-sedated cirrhotic or sedated non-liver disease control patients. CONCLUSIONS The results of this study indicate that (1) the majority of patients with cirrhosis and suspected portal hypertension have evidence of subclinical hepatic encephalopathy, (2) the extent of encephalopathy correlates with the Child Pugh's score, (3) sedation with midazolam for upper GI endoscopy exacerbates the encephalopathy, and (4) this adverse effect is still evident 2 hours after the procedure.","author":[{"dropping-particle":"","family":"Assy","given":"Nimer","non-dropping-particle":"","parse-names":false,"suffix":""},{"dropping-particle":"","family":"Rosser","given":"Barry G","non-dropping-particle":"","parse-names":false,"suffix":""},{"dropping-particle":"","family":"Grahame","given":"Gordon R","non-dropping-particle":"","parse-names":false,"suffix":""},{"dropping-particle":"","family":"Minuk","given":"Gerald Y","non-dropping-particle":"","parse-names":false,"suffix":""}],"container-title":"Gastrointestinal Endoscopy","id":"ITEM-1","issue":"6","issued":{"date-parts":[["1999","6"]]},"page":"690-694","title":"Risk of sedation for upper GI endoscopy exacerbating subclinical hepatic encephalopathy in patients with cirrhosis","type":"article-journal","volume":"49"},"uris":["http://www.mendeley.com/documents/?uuid=31233589-9ad3-4462-80b6-68db6ea4a255"]},{"id":"ITEM-2","itemData":{"DOI":"10.1111/j.1572-0241.2002.05831.x","ISSN":"0002-9270","PMID":"12135024","abstract":"OBJECTIVES The aim of this study was to determine whether the number connection test (NCT) times of a group of cirrhotic patients without clinically overt hepatic encephalopathy and a group of healthy patients without liver disease who were undergoing endoscopy were prolonged after sedation with short acting i.v. benzodiazepines. METHODS All patients were administered the NCT in a standard fashion for 30 min before sedation for an upper GI endoscopy and then 2 h after sedation postprocedure. Two NCTs were carried out before and 2 h after sedation, and the mean of the tests pre- and postsedation calculated. Based on the upper limit of the 95% CI of the presedation NCT of patients without liver disease as the cut-off level for hepatic encephalopathy, the proportion of cirrhotic patients with subclinical encephalopathy before and after sedation were also determined. RESULTS A total of 61 consecutive cirrhotic patients who underwent therapeutic upper GI endoscopy completed the study. The mean presedation NCT time was 43.5 s (95% CI = 39.0-48.1 s) and the mean postsedation NCT time 60.0 s (95% CI = 50.7-69.3 s). The difference between the mean pre- and postsedation NCT times was 16.4 s (95% CI = 9.8-23.1 s; p &lt; 0.001). A total of 38 consecutive patients without clinical or biochemical evidence of liver disease who presented for upper GI endoscopy completed the NCT as described for the group of cirrhotic patients. The mean (+/- SD) baseline NCT time was 34.7+/-7.9 s (95% CI = 32.1-37.2 s), whereas the mean postsedation NCT time was 33.7+/-8.5 s (95% CI = 30.9-36.5 s). This difference was not statistically significant (p = 0.177). Using the upper limit of the 95% CI of the mean (37.4 s) of the presedation time in the patients without liver disease as the cut-off between normal and encephalopathy, the number of cirrhotic patients with abnormal presedation NCT times was 33 patients (54.1%), and this number rose to 46 patients (75.4%) after sedation with midazolam. This increase in proportion of cirrhotic patients with prolonged NCT time was statistically significant (p &lt; 0.001).","author":[{"dropping-particle":"","family":"Vasudevan","given":"A.E.","non-dropping-particle":"","parse-names":false,"suffix":""},{"dropping-particle":"","family":"Goh","given":"K.L.","non-dropping-particle":"","parse-names":false,"suffix":""},{"dropping-particle":"","family":"Bulgiba","given":"A.M.","non-dropping-particle":"","parse-names":false,"suffix":""}],"container-title":"The American Journal of Gastroenterology","id":"ITEM-2","issue":"7","issued":{"date-parts":[["2002","7"]]},"page":"1717-1721","title":"Impairment of psychomotor responses after conscious sedation in cirrhotic patients undergoing therapeutic upper GI endoscopy","type":"article-journal","volume":"97"},"uris":["http://www.mendeley.com/documents/?uuid=d9f00a4b-fd8e-4822-af20-6f8dafb523df"]}],"mendeley":{"formattedCitation":"&lt;sup&gt;[49,50]&lt;/sup&gt;","plainTextFormattedCitation":"[49,50]","previouslyFormattedCitation":"&lt;sup&gt;[48,49]&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[49,50]</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while the risk of encephalopathy reported with propofol is relatively low. Studies by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mendeley":{"formattedCitation":"&lt;sup&gt;[16]&lt;/sup&gt;","plainTextFormattedCitation":"[16]","previouslyFormattedCitation":"&lt;sup&gt;[15]&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mendeley":{"formattedCitation":"&lt;sup&gt;[17]&lt;/sup&gt;","plainTextFormattedCitation":"[17]","previouslyFormattedCitation":"&lt;sup&gt;[16]&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[17]</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Agrawal </w:t>
      </w:r>
      <w:r w:rsidR="0023182C" w:rsidRPr="00C10A48">
        <w:rPr>
          <w:rFonts w:ascii="Book Antiqua" w:eastAsia="Times New Roman" w:hAnsi="Book Antiqua" w:cstheme="minorHAnsi"/>
          <w:i/>
          <w:sz w:val="24"/>
          <w:szCs w:val="24"/>
          <w:lang w:val="en-US" w:eastAsia="pt-BR"/>
        </w:rPr>
        <w:t>et al</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included in our analysis reported that the risk of exacerbating minimal hepatic encephalopathy was less in the propofol group compared to midazolam. However, studies by Watanabe </w:t>
      </w:r>
      <w:r w:rsidR="00B05CFC" w:rsidRPr="00C10A48">
        <w:rPr>
          <w:rFonts w:ascii="Book Antiqua" w:eastAsia="Times New Roman" w:hAnsi="Book Antiqua" w:cstheme="minorHAnsi"/>
          <w:i/>
          <w:sz w:val="24"/>
          <w:szCs w:val="24"/>
          <w:lang w:val="en-US" w:eastAsia="pt-BR"/>
        </w:rPr>
        <w:t>et al</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[19]&lt;/sup&gt;","plainTextFormattedCitation":"[19]","previouslyFormattedCitation":"&lt;sup&gt;[18]&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did not present a statistically significant difference in minimal hepatic encephalopathy, with the latter using a software (</w:t>
      </w:r>
      <w:r w:rsidR="00F26942"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Stroop</w:t>
      </w:r>
      <w:r w:rsidR="00F26942"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for testing. In our meta-analysis, we could not quantitatively estimate the incidence of hepatic encephalopathy after sedation with propofol or midazolam since it was not uniformly reported. Five RCTs</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cirrhosis","type":"article-journal","volume":"27"},"uris":["http://www.mendeley.com/documents/?uuid=40d088ac-036e-4b37-bd9c-f8101198ce08"]},{"id":"ITEM-2","itemData":{"DOI":"10.1016/j.jhep.2010.06.023","ISSN":"01688278","PMID":"20934771","abstract":"BACKGROUND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Hepatology","id":"ITEM-2","issue":"1","issued":{"date-parts":[["2011","1"]]},"page":"72-77","title":"Sub-clinical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study","type":"article-journal","volume":"54"},"uris":["http://www.mendeley.com/documents/?uuid=1d634ad4-06fa-4a6e-afc9-e263e1db69f8"]},{"id":"ITEM-3","itemData":{"DOI":"10.1080/00365520903194591","ISSN":"0036-5521","PMID":"19811337","abstract":"OBJECTIVE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Gastroenterology","id":"ITEM-3","issue":"10","issued":{"date-parts":[["2009","1","19"]]},"page":"1244-1251","title":"Propofol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study","type":"article-journal","volume":"44"},"uris":["http://www.mendeley.com/documents/?uuid=3e777578-7009-4812-bd78-ca2629a52780"]},{"id":"ITEM-4","itemData":{"DOI":"10.1038/s41598-019-52897-w","ISSN":"2045-2322","PMID":"31727915","abstract":"The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Reports","id":"ITEM-4","issue":"1","issued":{"date-parts":[["2019","12","14"]]},"page":"16798","title":"Safety profile of sedative endoscopy including cognitive performance in liver cirrhosis: A double-blind randomized controlled trial","type":"article-journal","volume":"9"},"uris":["http://www.mendeley.com/documents/?uuid=a6c9530c-f04d-4d71-b876-e8b36765fe93"]},{"id":"ITEM-5","itemData":{"DOI":"10.5387/fms.2018-21","ISSN":"0016-2590","PMID":"30344206","abstract":"OBJECTIVE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SCIENCE","id":"ITEM-5","issue":"3","issued":{"date-parts":[["2018","12","8"]]},"page":"133-141","title":"Propofol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[15–19]&lt;/sup&gt;","plainTextFormattedCitation":"[15–19]","previouslyFormattedCitation":"&lt;sup&gt;[14–18]&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[15–19]</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that evaluated change in cognition used different tests to assess minimal hepatic encephalopathy prior to and after endoscopy without time standardization.  Some of the tests described in the literature</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study","type":"article-journal","volume":"54"},"uris":["http://www.mendeley.com/documents/?uuid=1d634ad4-06fa-4a6e-afc9-e263e1db69f8"]},{"id":"ITEM-2","itemData":{"DOI":"10.1080/00365520903194591","ISSN":"0036-5521","PMID":"19811337","abstract":"OBJECTIVE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Gastroenterology","id":"ITEM-2","issue":"10","issued":{"date-parts":[["2009","1","19"]]},"page":"1244-1251","title":"Propofol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study","type":"article-journal","volume":"44"},"uris":["http://www.mendeley.com/documents/?uuid=3e777578-7009-4812-bd78-ca2629a52780"]},{"id":"ITEM-3","itemData":{"DOI":"10.5387/fms.2018-21","ISSN":"0016-2590","PMID":"30344206","abstract":"OBJECTIVE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SCIENCE","id":"ITEM-3","issue":"3","issued":{"date-parts":[["2018","12","8"]]},"page":"133-141","title":"Propofol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[16,17,19]&lt;/sup&gt;","plainTextFormattedCitation":"[16,17,19]","previouslyFormattedCitation":"&lt;sup&gt;[15,16,18]&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[16,17,19]</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to assess hepatic encephalopathy are Number Connection Tests (NCT), test and combination of psychometric</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Portosystemic Encephalopathy (PSE)</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mendeley":{"formattedCitation":"&lt;sup&gt;[17]&lt;/sup&gt;","plainTextFormattedCitation":"[17]","previouslyFormattedCitation":"&lt;sup&gt;[16]&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[17]</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Psychometric tests and Critical Flicker Frequency (CFF)</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Cognitive Function Score (CFS)</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mendeley":{"formattedCitation":"&lt;sup&gt;[16]&lt;/sup&gt;","plainTextFormattedCitation":"[16]","previouslyFormattedCitation":"&lt;sup&gt;[15]&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Digital Symbol Tests (DST)</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Line Tracing Tests (LTT)</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Serial Dotting Tests (SDT)</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a test using the app </w:t>
      </w:r>
      <w:r w:rsidR="00F26942"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Stroop</w:t>
      </w:r>
      <w:r w:rsidR="00F26942" w:rsidRPr="00C10A48">
        <w:rPr>
          <w:rFonts w:ascii="Book Antiqua" w:eastAsia="Times New Roman" w:hAnsi="Book Antiqua" w:cstheme="minorHAnsi"/>
          <w:sz w:val="24"/>
          <w:szCs w:val="24"/>
          <w:lang w:val="en-US" w:eastAsia="pt-BR"/>
        </w:rPr>
        <w:t xml:space="preserve">" </w:t>
      </w:r>
      <w:r w:rsidR="000F2C1C"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0F2C1C"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0F2C1C"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(limitation in patients of advanced age, low education level, and high MELD).  </w:t>
      </w:r>
    </w:p>
    <w:p w14:paraId="03EDDCCC" w14:textId="77777777" w:rsidR="00B05CFC"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lastRenderedPageBreak/>
        <w:t xml:space="preserve">Despite our rigorous meta-analysis, including only RCTs, our study has several limitations. The quality of our systematic review and meta-analysis is inherently limited by the quality of the included studies. A high degree of statistical heterogeneity was found in some of our estimates. The included studies had patients with different Child-Turcotte-Pugh scores (A-B, B-C, and A-B-C). The doses of sedation used in studies were not consistent. Higher sedation doses of propofol and midazolam were used in the studies by Watanabe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[19]&lt;/sup&gt;","plainTextFormattedCitation":"[19]","previouslyFormattedCitation":"&lt;sup&gt;[18]&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[19]</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Ahmed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[20]</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Agrawal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[15]</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Endoscopy","id":"ITEM-1","issue":"1","issued":{"date-parts":[["2011","1"]]},"page":"45-51.e1","title":"Sedation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[21]&lt;/sup&gt;","plainTextFormattedCitation":"[21]","previouslyFormattedCitation":"&lt;sup&gt;[20]&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[21]</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mendeley":{"formattedCitation":"&lt;sup&gt;[16]&lt;/sup&gt;","plainTextFormattedCitation":"[16]","previouslyFormattedCitation":"&lt;sup&gt;[15]&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[16]</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mendeley":{"formattedCitation":"&lt;sup&gt;[17]&lt;/sup&gt;","plainTextFormattedCitation":"[17]","previouslyFormattedCitation":"&lt;sup&gt;[16]&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[17]</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and Weston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[22]</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xml:space="preserve"> as compared to the doses used in the study by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This variance in doses was likely related to differences in BMI, height, and ethnicity of the patients included in these studies</w:t>
      </w:r>
      <w:r w:rsidR="00C15CEF" w:rsidRPr="00C10A48">
        <w:rPr>
          <w:rFonts w:ascii="Book Antiqua" w:eastAsia="Times New Roman" w:hAnsi="Book Antiqua" w:cstheme="minorHAnsi"/>
          <w:sz w:val="24"/>
          <w:szCs w:val="24"/>
          <w:lang w:val="en-US" w:eastAsia="pt-BR"/>
        </w:rPr>
        <w:fldChar w:fldCharType="begin" w:fldLock="1"/>
      </w:r>
      <w:r w:rsidR="0024084B" w:rsidRPr="00C10A48">
        <w:rPr>
          <w:rFonts w:ascii="Book Antiqua" w:eastAsia="Times New Roman" w:hAnsi="Book Antiqua" w:cstheme="minorHAnsi"/>
          <w:sz w:val="24"/>
          <w:szCs w:val="24"/>
          <w:lang w:val="en-US" w:eastAsia="pt-BR"/>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00C15CEF" w:rsidRPr="00C10A48">
        <w:rPr>
          <w:rFonts w:ascii="Book Antiqua" w:eastAsia="Times New Roman" w:hAnsi="Book Antiqua" w:cstheme="minorHAnsi"/>
          <w:sz w:val="24"/>
          <w:szCs w:val="24"/>
          <w:lang w:val="en-US" w:eastAsia="pt-BR"/>
        </w:rPr>
        <w:fldChar w:fldCharType="separate"/>
      </w:r>
      <w:r w:rsidR="0024084B" w:rsidRPr="00C10A48">
        <w:rPr>
          <w:rFonts w:ascii="Book Antiqua" w:eastAsia="Times New Roman" w:hAnsi="Book Antiqua" w:cstheme="minorHAnsi"/>
          <w:noProof/>
          <w:sz w:val="24"/>
          <w:szCs w:val="24"/>
          <w:vertAlign w:val="superscript"/>
          <w:lang w:val="en-US" w:eastAsia="pt-BR"/>
        </w:rPr>
        <w:t>[18]</w:t>
      </w:r>
      <w:r w:rsidR="00C15CEF" w:rsidRPr="00C10A48">
        <w:rPr>
          <w:rFonts w:ascii="Book Antiqua" w:eastAsia="Times New Roman" w:hAnsi="Book Antiqua" w:cstheme="minorHAnsi"/>
          <w:sz w:val="24"/>
          <w:szCs w:val="24"/>
          <w:lang w:val="en-US" w:eastAsia="pt-BR"/>
        </w:rPr>
        <w:fldChar w:fldCharType="end"/>
      </w:r>
      <w:r w:rsidRPr="00C10A48">
        <w:rPr>
          <w:rFonts w:ascii="Book Antiqua" w:eastAsia="Times New Roman" w:hAnsi="Book Antiqua" w:cstheme="minorHAnsi"/>
          <w:sz w:val="24"/>
          <w:szCs w:val="24"/>
          <w:lang w:val="en-US" w:eastAsia="pt-BR"/>
        </w:rPr>
        <w:t>. Additionally, some studies also used synthetic analgesics. We could not quantitatively estimate the minimal hepatic encephalopathy after sedation since the tests used in the included studies to assess hepatic encephalopathy were not uniform.</w:t>
      </w:r>
    </w:p>
    <w:p w14:paraId="2D256507" w14:textId="573C39D3" w:rsidR="00283445" w:rsidRPr="00C10A48" w:rsidRDefault="00B05CFC"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hAnsi="Book Antiqua"/>
          <w:sz w:val="24"/>
          <w:szCs w:val="24"/>
          <w:lang w:val="en-US"/>
        </w:rPr>
        <w:t>In c</w:t>
      </w:r>
      <w:r w:rsidR="00AC5D97" w:rsidRPr="00C10A48">
        <w:rPr>
          <w:rFonts w:ascii="Book Antiqua" w:hAnsi="Book Antiqua"/>
          <w:sz w:val="24"/>
          <w:szCs w:val="24"/>
          <w:lang w:val="en-US"/>
        </w:rPr>
        <w:t>onclusion</w:t>
      </w:r>
      <w:r w:rsidRPr="00C10A48">
        <w:rPr>
          <w:rFonts w:ascii="Book Antiqua" w:hAnsi="Book Antiqua"/>
          <w:sz w:val="24"/>
          <w:szCs w:val="24"/>
          <w:lang w:val="en-US"/>
        </w:rPr>
        <w:t>, p</w:t>
      </w:r>
      <w:r w:rsidR="00FA1FAC" w:rsidRPr="00C10A48">
        <w:rPr>
          <w:rFonts w:ascii="Book Antiqua" w:hAnsi="Book Antiqua"/>
          <w:sz w:val="24"/>
          <w:szCs w:val="24"/>
          <w:lang w:val="en-US"/>
        </w:rPr>
        <w:t>ropofol has faster recovery time and a shorter patient discharge time compared with midazolam</w:t>
      </w:r>
      <w:r w:rsidR="00F66CCF" w:rsidRPr="00C10A48">
        <w:rPr>
          <w:rFonts w:ascii="Book Antiqua" w:hAnsi="Book Antiqua"/>
          <w:sz w:val="24"/>
          <w:szCs w:val="24"/>
          <w:lang w:val="en-US"/>
        </w:rPr>
        <w:t xml:space="preserve">, with similar adverse events. Therefore, propofol should be </w:t>
      </w:r>
      <w:r w:rsidR="006D2265" w:rsidRPr="00C10A48">
        <w:rPr>
          <w:rFonts w:ascii="Book Antiqua" w:hAnsi="Book Antiqua"/>
          <w:sz w:val="24"/>
          <w:szCs w:val="24"/>
          <w:lang w:val="en-US"/>
        </w:rPr>
        <w:t>the preferred agent for</w:t>
      </w:r>
      <w:r w:rsidR="00F66CCF" w:rsidRPr="00C10A48">
        <w:rPr>
          <w:rFonts w:ascii="Book Antiqua" w:hAnsi="Book Antiqua"/>
          <w:sz w:val="24"/>
          <w:szCs w:val="24"/>
          <w:lang w:val="en-US"/>
        </w:rPr>
        <w:t xml:space="preserve"> sedation </w:t>
      </w:r>
      <w:r w:rsidR="006D2265" w:rsidRPr="00C10A48">
        <w:rPr>
          <w:rFonts w:ascii="Book Antiqua" w:hAnsi="Book Antiqua"/>
          <w:sz w:val="24"/>
          <w:szCs w:val="24"/>
          <w:lang w:val="en-US"/>
        </w:rPr>
        <w:t>in</w:t>
      </w:r>
      <w:r w:rsidR="00F66CCF" w:rsidRPr="00C10A48">
        <w:rPr>
          <w:rFonts w:ascii="Book Antiqua" w:hAnsi="Book Antiqua"/>
          <w:sz w:val="24"/>
          <w:szCs w:val="24"/>
          <w:lang w:val="en-US"/>
        </w:rPr>
        <w:t xml:space="preserve"> patients with cirrhosis </w:t>
      </w:r>
      <w:r w:rsidR="006D2265" w:rsidRPr="00C10A48">
        <w:rPr>
          <w:rFonts w:ascii="Book Antiqua" w:hAnsi="Book Antiqua"/>
          <w:sz w:val="24"/>
          <w:szCs w:val="24"/>
          <w:lang w:val="en-US"/>
        </w:rPr>
        <w:t xml:space="preserve">undergoing </w:t>
      </w:r>
      <w:r w:rsidR="00F66CCF" w:rsidRPr="00C10A48">
        <w:rPr>
          <w:rFonts w:ascii="Book Antiqua" w:hAnsi="Book Antiqua"/>
          <w:sz w:val="24"/>
          <w:szCs w:val="24"/>
          <w:lang w:val="en-US"/>
        </w:rPr>
        <w:t>upper gastrointestinal endoscopy.</w:t>
      </w:r>
    </w:p>
    <w:p w14:paraId="2A5BC223" w14:textId="77777777" w:rsidR="00283445" w:rsidRPr="00C10A48" w:rsidRDefault="00283445" w:rsidP="00F227A9">
      <w:pPr>
        <w:snapToGrid w:val="0"/>
        <w:spacing w:after="0" w:line="360" w:lineRule="auto"/>
        <w:jc w:val="both"/>
        <w:rPr>
          <w:rFonts w:ascii="Book Antiqua" w:hAnsi="Book Antiqua"/>
          <w:sz w:val="24"/>
          <w:szCs w:val="24"/>
          <w:lang w:val="en-US"/>
        </w:rPr>
      </w:pPr>
    </w:p>
    <w:p w14:paraId="552FC94D" w14:textId="77777777" w:rsidR="00283445" w:rsidRPr="00C10A48" w:rsidRDefault="00283445" w:rsidP="00F227A9">
      <w:pPr>
        <w:snapToGrid w:val="0"/>
        <w:spacing w:after="0" w:line="360" w:lineRule="auto"/>
        <w:jc w:val="both"/>
        <w:rPr>
          <w:rFonts w:ascii="Book Antiqua" w:hAnsi="Book Antiqua"/>
          <w:b/>
          <w:bCs/>
          <w:sz w:val="24"/>
          <w:szCs w:val="24"/>
          <w:u w:val="single"/>
        </w:rPr>
      </w:pPr>
      <w:bookmarkStart w:id="16" w:name="_Hlk42525892"/>
      <w:r w:rsidRPr="00C10A48">
        <w:rPr>
          <w:rFonts w:ascii="Book Antiqua" w:hAnsi="Book Antiqua"/>
          <w:b/>
          <w:bCs/>
          <w:sz w:val="24"/>
          <w:szCs w:val="24"/>
          <w:u w:val="single"/>
        </w:rPr>
        <w:t>ARTICLE HIGHLIGHTS</w:t>
      </w:r>
    </w:p>
    <w:bookmarkEnd w:id="16"/>
    <w:p w14:paraId="36A31732" w14:textId="41BF357B"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background</w:t>
      </w:r>
    </w:p>
    <w:p w14:paraId="29BDA944"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t xml:space="preserve">Administration of analgesics and intravenous sedation during endoscopy in patients with cirrhosis has several advantages such as patient comfort, reduced discharge time, and early recovery after the procedure. However, proper selection of sedative medications is essential because of the risk of complications mainly due to underlying hepatic dysfunction– which can lead to difficulty in clearance, recirculation, and increased half-life of drugs. </w:t>
      </w:r>
    </w:p>
    <w:p w14:paraId="1DD3992A" w14:textId="77777777" w:rsidR="005B5D96" w:rsidRPr="00C10A48" w:rsidRDefault="005B5D96" w:rsidP="00F227A9">
      <w:pPr>
        <w:snapToGrid w:val="0"/>
        <w:spacing w:after="0" w:line="360" w:lineRule="auto"/>
        <w:jc w:val="both"/>
        <w:rPr>
          <w:rFonts w:ascii="Book Antiqua" w:hAnsi="Book Antiqua"/>
          <w:b/>
          <w:bCs/>
          <w:sz w:val="24"/>
          <w:szCs w:val="24"/>
        </w:rPr>
      </w:pPr>
    </w:p>
    <w:p w14:paraId="6C134FD8" w14:textId="6E390DCE"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motivation</w:t>
      </w:r>
    </w:p>
    <w:p w14:paraId="3BEB0FE0" w14:textId="77777777" w:rsidR="00283445" w:rsidRPr="00C10A48" w:rsidRDefault="00283445" w:rsidP="00F227A9">
      <w:pPr>
        <w:snapToGrid w:val="0"/>
        <w:spacing w:after="0" w:line="360" w:lineRule="auto"/>
        <w:jc w:val="both"/>
        <w:rPr>
          <w:rFonts w:ascii="Book Antiqua" w:hAnsi="Book Antiqua"/>
          <w:bCs/>
          <w:sz w:val="24"/>
          <w:szCs w:val="24"/>
        </w:rPr>
      </w:pPr>
      <w:r w:rsidRPr="00C10A48">
        <w:rPr>
          <w:rFonts w:ascii="Book Antiqua" w:hAnsi="Book Antiqua"/>
          <w:bCs/>
          <w:sz w:val="24"/>
          <w:szCs w:val="24"/>
          <w:lang w:val="en-US"/>
        </w:rPr>
        <w:t>Many diagnostic or therapeutic upper gastrointestinal endoscopy procedures are often performed in cirrhosis,</w:t>
      </w:r>
      <w:r w:rsidRPr="00C10A48">
        <w:rPr>
          <w:rFonts w:ascii="Book Antiqua" w:hAnsi="Book Antiqua"/>
          <w:bCs/>
          <w:sz w:val="24"/>
          <w:szCs w:val="24"/>
        </w:rPr>
        <w:t xml:space="preserve"> but choosing effective and safe sedative </w:t>
      </w:r>
      <w:r w:rsidRPr="00C10A48">
        <w:rPr>
          <w:rFonts w:ascii="Book Antiqua" w:hAnsi="Book Antiqua"/>
          <w:bCs/>
          <w:sz w:val="24"/>
          <w:szCs w:val="24"/>
        </w:rPr>
        <w:lastRenderedPageBreak/>
        <w:t xml:space="preserve">medications can be a real challenge. Therefore, we wanted to compare commonly used sedation protocols in an attempt to understand the best approach. </w:t>
      </w:r>
    </w:p>
    <w:p w14:paraId="105A8A9F" w14:textId="77777777" w:rsidR="005B5D96" w:rsidRPr="00C10A48" w:rsidRDefault="005B5D96" w:rsidP="00F227A9">
      <w:pPr>
        <w:snapToGrid w:val="0"/>
        <w:spacing w:after="0" w:line="360" w:lineRule="auto"/>
        <w:jc w:val="both"/>
        <w:rPr>
          <w:rFonts w:ascii="Book Antiqua" w:hAnsi="Book Antiqua"/>
          <w:b/>
          <w:bCs/>
          <w:sz w:val="24"/>
          <w:szCs w:val="24"/>
        </w:rPr>
      </w:pPr>
    </w:p>
    <w:p w14:paraId="43CCC856" w14:textId="0FD242D4"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objectives</w:t>
      </w:r>
    </w:p>
    <w:p w14:paraId="222E5B6B"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t>To perform a systematic review and meta-analysis of Randomized Controlled Trials comparing sedation with propofol and midazolam in patients with cirrhosis undergoing elective endoscopy.</w:t>
      </w:r>
    </w:p>
    <w:p w14:paraId="6775D8FB" w14:textId="77777777" w:rsidR="00283445" w:rsidRPr="00C10A48" w:rsidRDefault="00283445" w:rsidP="00F227A9">
      <w:pPr>
        <w:snapToGrid w:val="0"/>
        <w:spacing w:after="0" w:line="360" w:lineRule="auto"/>
        <w:jc w:val="both"/>
        <w:rPr>
          <w:rFonts w:ascii="Book Antiqua" w:hAnsi="Book Antiqua"/>
          <w:bCs/>
          <w:sz w:val="24"/>
          <w:szCs w:val="24"/>
        </w:rPr>
      </w:pPr>
    </w:p>
    <w:p w14:paraId="2F120F78" w14:textId="09F2A89A"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methods</w:t>
      </w:r>
    </w:p>
    <w:p w14:paraId="62E832DA"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t xml:space="preserve">We performed a systematic review and meta-analysis using the PRISMA guidelines. Electronic searches were performed using MEDLINE, EMBASE, Central Cochrane, LILACS databases. Only randomized control trials (RCTs) were included. The outcomes studied were procedure time, recovery time, discharge time, and adverse events (bradycardia, hypotension, and hypoxemia). </w:t>
      </w:r>
    </w:p>
    <w:p w14:paraId="00F3C13F" w14:textId="77777777" w:rsidR="00283445" w:rsidRPr="00C10A48" w:rsidRDefault="00283445" w:rsidP="00F227A9">
      <w:pPr>
        <w:snapToGrid w:val="0"/>
        <w:spacing w:after="0" w:line="360" w:lineRule="auto"/>
        <w:jc w:val="both"/>
        <w:rPr>
          <w:rFonts w:ascii="Book Antiqua" w:hAnsi="Book Antiqua"/>
          <w:b/>
          <w:bCs/>
          <w:sz w:val="24"/>
          <w:szCs w:val="24"/>
        </w:rPr>
      </w:pPr>
    </w:p>
    <w:p w14:paraId="22493E84" w14:textId="134E3E41"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results</w:t>
      </w:r>
    </w:p>
    <w:p w14:paraId="6EF0235F" w14:textId="1957F2F5"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rPr>
        <w:t>Eight randomized clinical trials</w:t>
      </w:r>
      <w:r w:rsidR="00586002">
        <w:rPr>
          <w:rFonts w:ascii="Book Antiqua" w:hAnsi="Book Antiqua" w:hint="eastAsia"/>
          <w:bCs/>
          <w:sz w:val="24"/>
          <w:szCs w:val="24"/>
          <w:lang w:eastAsia="zh-CN"/>
        </w:rPr>
        <w:t xml:space="preserve"> </w:t>
      </w:r>
      <w:r w:rsidRPr="00C10A48">
        <w:rPr>
          <w:rFonts w:ascii="Book Antiqua" w:hAnsi="Book Antiqua"/>
          <w:bCs/>
          <w:sz w:val="24"/>
          <w:szCs w:val="24"/>
        </w:rPr>
        <w:t xml:space="preserve">were included in the final analysis with a total of 596 patients, of whom 302 belonged to the propofol group and 294 to the midazolam group. </w:t>
      </w:r>
      <w:r w:rsidRPr="00C10A48">
        <w:rPr>
          <w:rFonts w:ascii="Book Antiqua" w:hAnsi="Book Antiqua"/>
          <w:bCs/>
          <w:sz w:val="24"/>
          <w:szCs w:val="24"/>
          <w:lang w:val="en-US"/>
        </w:rPr>
        <w:t>Procedure time was similar between midazolam and propofol groups; however, the recovery time and discharge time were significantly less in the propofol group. Adverse events were similar in both groups, and no significant difference was found in rates of bradycardia, hypotension, and hypoxemia.</w:t>
      </w:r>
    </w:p>
    <w:p w14:paraId="0D89DB8E" w14:textId="77777777" w:rsidR="00283445" w:rsidRPr="00C10A48" w:rsidRDefault="00283445" w:rsidP="00F227A9">
      <w:pPr>
        <w:snapToGrid w:val="0"/>
        <w:spacing w:after="0" w:line="360" w:lineRule="auto"/>
        <w:jc w:val="both"/>
        <w:rPr>
          <w:rFonts w:ascii="Book Antiqua" w:hAnsi="Book Antiqua"/>
          <w:bCs/>
          <w:sz w:val="24"/>
          <w:szCs w:val="24"/>
          <w:lang w:val="en-US"/>
        </w:rPr>
      </w:pPr>
    </w:p>
    <w:p w14:paraId="7CB87EF8" w14:textId="788A987C"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conclusions</w:t>
      </w:r>
    </w:p>
    <w:p w14:paraId="4CEBECA0"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t>Our study showed that propofol has shorter recovery and patient discharge time as compared to midazolam with a similar rate of adverse events. These results suggest that propofol should be the preferred agent for sedation in patients with cirrhosis.</w:t>
      </w:r>
    </w:p>
    <w:p w14:paraId="7808CC59" w14:textId="77777777" w:rsidR="005B5D96" w:rsidRPr="00C10A48" w:rsidRDefault="005B5D96" w:rsidP="00F227A9">
      <w:pPr>
        <w:snapToGrid w:val="0"/>
        <w:spacing w:after="0" w:line="360" w:lineRule="auto"/>
        <w:jc w:val="both"/>
        <w:rPr>
          <w:rFonts w:ascii="Book Antiqua" w:hAnsi="Book Antiqua"/>
          <w:b/>
          <w:bCs/>
          <w:sz w:val="24"/>
          <w:szCs w:val="24"/>
          <w:lang w:val="en-US"/>
        </w:rPr>
      </w:pPr>
    </w:p>
    <w:p w14:paraId="11E18BC5" w14:textId="1421419E"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lastRenderedPageBreak/>
        <w:t>R</w:t>
      </w:r>
      <w:r w:rsidR="005B5D96" w:rsidRPr="00C10A48">
        <w:rPr>
          <w:rFonts w:ascii="Book Antiqua" w:hAnsi="Book Antiqua"/>
          <w:b/>
          <w:bCs/>
          <w:i/>
          <w:sz w:val="24"/>
          <w:szCs w:val="24"/>
        </w:rPr>
        <w:t>esearch perspectives</w:t>
      </w:r>
    </w:p>
    <w:p w14:paraId="14BBCFA6" w14:textId="77777777" w:rsidR="00283445" w:rsidRPr="00C10A48" w:rsidRDefault="00283445" w:rsidP="00F227A9">
      <w:pPr>
        <w:snapToGrid w:val="0"/>
        <w:spacing w:after="0" w:line="360" w:lineRule="auto"/>
        <w:jc w:val="both"/>
        <w:rPr>
          <w:rFonts w:ascii="Book Antiqua" w:hAnsi="Book Antiqua"/>
          <w:bCs/>
          <w:sz w:val="24"/>
          <w:szCs w:val="24"/>
        </w:rPr>
      </w:pPr>
      <w:r w:rsidRPr="00C10A48">
        <w:rPr>
          <w:rFonts w:ascii="Book Antiqua" w:hAnsi="Book Antiqua"/>
          <w:bCs/>
          <w:sz w:val="24"/>
          <w:szCs w:val="24"/>
        </w:rPr>
        <w:t xml:space="preserve">Sedation medications used during endoscopy can differ in outcomes in patients with cirrhosis. Randomized control trials comparing outcomes and adverse events of multiple sedation protocols in patients with cirrhosis should be carried out in the future. </w:t>
      </w:r>
    </w:p>
    <w:p w14:paraId="739F4971" w14:textId="77777777" w:rsidR="00283445" w:rsidRPr="00C10A48" w:rsidRDefault="00283445" w:rsidP="00F227A9">
      <w:pPr>
        <w:snapToGrid w:val="0"/>
        <w:spacing w:after="0" w:line="360" w:lineRule="auto"/>
        <w:jc w:val="both"/>
        <w:rPr>
          <w:rFonts w:ascii="Book Antiqua" w:hAnsi="Book Antiqua"/>
          <w:sz w:val="24"/>
          <w:szCs w:val="24"/>
          <w:lang w:val="en-US"/>
        </w:rPr>
      </w:pPr>
    </w:p>
    <w:p w14:paraId="4435AF79" w14:textId="0291A3C1" w:rsidR="009F7FA3" w:rsidRPr="00C10A48" w:rsidRDefault="009F7FA3" w:rsidP="00F227A9">
      <w:pPr>
        <w:snapToGrid w:val="0"/>
        <w:spacing w:after="0" w:line="360" w:lineRule="auto"/>
        <w:jc w:val="both"/>
        <w:rPr>
          <w:rFonts w:ascii="Book Antiqua" w:hAnsi="Book Antiqua"/>
          <w:b/>
          <w:bCs/>
          <w:sz w:val="24"/>
          <w:szCs w:val="24"/>
          <w:lang w:val="en-US"/>
        </w:rPr>
      </w:pPr>
      <w:r w:rsidRPr="00C10A48">
        <w:rPr>
          <w:rFonts w:ascii="Book Antiqua" w:hAnsi="Book Antiqua"/>
          <w:b/>
          <w:bCs/>
          <w:sz w:val="24"/>
          <w:szCs w:val="24"/>
          <w:lang w:val="en-US"/>
        </w:rPr>
        <w:t>REFERENCES</w:t>
      </w:r>
    </w:p>
    <w:p w14:paraId="1463C69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 </w:t>
      </w:r>
      <w:r w:rsidRPr="0039437F">
        <w:rPr>
          <w:rFonts w:ascii="Book Antiqua" w:hAnsi="Book Antiqua" w:cs="Times New Roman"/>
          <w:b/>
          <w:kern w:val="2"/>
          <w:sz w:val="24"/>
          <w:szCs w:val="24"/>
          <w:lang w:val="en-US" w:eastAsia="zh-CN"/>
        </w:rPr>
        <w:t>Anthony PP</w:t>
      </w:r>
      <w:r w:rsidRPr="0039437F">
        <w:rPr>
          <w:rFonts w:ascii="Book Antiqua" w:hAnsi="Book Antiqua" w:cs="Times New Roman"/>
          <w:kern w:val="2"/>
          <w:sz w:val="24"/>
          <w:szCs w:val="24"/>
          <w:lang w:val="en-US" w:eastAsia="zh-CN"/>
        </w:rPr>
        <w:t xml:space="preserve">, Ishak KG, Nayak NC, Poulsen HE, Scheuer PJ, </w:t>
      </w:r>
      <w:proofErr w:type="spellStart"/>
      <w:r w:rsidRPr="0039437F">
        <w:rPr>
          <w:rFonts w:ascii="Book Antiqua" w:hAnsi="Book Antiqua" w:cs="Times New Roman"/>
          <w:kern w:val="2"/>
          <w:sz w:val="24"/>
          <w:szCs w:val="24"/>
          <w:lang w:val="en-US" w:eastAsia="zh-CN"/>
        </w:rPr>
        <w:t>Sobin</w:t>
      </w:r>
      <w:proofErr w:type="spellEnd"/>
      <w:r w:rsidRPr="0039437F">
        <w:rPr>
          <w:rFonts w:ascii="Book Antiqua" w:hAnsi="Book Antiqua" w:cs="Times New Roman"/>
          <w:kern w:val="2"/>
          <w:sz w:val="24"/>
          <w:szCs w:val="24"/>
          <w:lang w:val="en-US" w:eastAsia="zh-CN"/>
        </w:rPr>
        <w:t xml:space="preserve"> LH. The morphology of cirrhosis. Recommendations on definition, nomenclature, and classification by a working group sponsored by the World Health Organization.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Pathol</w:t>
      </w:r>
      <w:proofErr w:type="spellEnd"/>
      <w:r w:rsidRPr="0039437F">
        <w:rPr>
          <w:rFonts w:ascii="Book Antiqua" w:hAnsi="Book Antiqua" w:cs="Times New Roman"/>
          <w:kern w:val="2"/>
          <w:sz w:val="24"/>
          <w:szCs w:val="24"/>
          <w:lang w:val="en-US" w:eastAsia="zh-CN"/>
        </w:rPr>
        <w:t xml:space="preserve"> 1978; </w:t>
      </w:r>
      <w:r w:rsidRPr="0039437F">
        <w:rPr>
          <w:rFonts w:ascii="Book Antiqua" w:hAnsi="Book Antiqua" w:cs="Times New Roman"/>
          <w:b/>
          <w:kern w:val="2"/>
          <w:sz w:val="24"/>
          <w:szCs w:val="24"/>
          <w:lang w:val="en-US" w:eastAsia="zh-CN"/>
        </w:rPr>
        <w:t>31</w:t>
      </w:r>
      <w:r w:rsidRPr="0039437F">
        <w:rPr>
          <w:rFonts w:ascii="Book Antiqua" w:hAnsi="Book Antiqua" w:cs="Times New Roman"/>
          <w:kern w:val="2"/>
          <w:sz w:val="24"/>
          <w:szCs w:val="24"/>
          <w:lang w:val="en-US" w:eastAsia="zh-CN"/>
        </w:rPr>
        <w:t>: 395-414 [PMID: 649765 DOI: 10.1136/jcp.31.5.395]</w:t>
      </w:r>
    </w:p>
    <w:p w14:paraId="52C7415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 </w:t>
      </w:r>
      <w:r w:rsidRPr="0039437F">
        <w:rPr>
          <w:rFonts w:ascii="Book Antiqua" w:hAnsi="Book Antiqua" w:cs="Times New Roman"/>
          <w:b/>
          <w:kern w:val="2"/>
          <w:sz w:val="24"/>
          <w:szCs w:val="24"/>
          <w:lang w:val="en-US" w:eastAsia="zh-CN"/>
        </w:rPr>
        <w:t>American Association for the Study of Liver Diseases</w:t>
      </w:r>
      <w:r w:rsidRPr="0039437F">
        <w:rPr>
          <w:rFonts w:ascii="Book Antiqua" w:hAnsi="Book Antiqua" w:cs="Times New Roman"/>
          <w:kern w:val="2"/>
          <w:sz w:val="24"/>
          <w:szCs w:val="24"/>
          <w:lang w:val="en-US" w:eastAsia="zh-CN"/>
        </w:rPr>
        <w:t xml:space="preserve">; European Association for the Study of the Liver. Hepatic encephalopathy in chronic liver disease: 2014 practice guideline by the European Association for the Study of the Liver and the American Association for the Study of Liver Diseases.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2014; </w:t>
      </w:r>
      <w:r w:rsidRPr="0039437F">
        <w:rPr>
          <w:rFonts w:ascii="Book Antiqua" w:hAnsi="Book Antiqua" w:cs="Times New Roman"/>
          <w:b/>
          <w:kern w:val="2"/>
          <w:sz w:val="24"/>
          <w:szCs w:val="24"/>
          <w:lang w:val="en-US" w:eastAsia="zh-CN"/>
        </w:rPr>
        <w:t>61</w:t>
      </w:r>
      <w:r w:rsidRPr="0039437F">
        <w:rPr>
          <w:rFonts w:ascii="Book Antiqua" w:hAnsi="Book Antiqua" w:cs="Times New Roman"/>
          <w:kern w:val="2"/>
          <w:sz w:val="24"/>
          <w:szCs w:val="24"/>
          <w:lang w:val="en-US" w:eastAsia="zh-CN"/>
        </w:rPr>
        <w:t>: 642-659 [PMID: 25015420 DOI: 10.1016/j.jhep.2014.05.042]</w:t>
      </w:r>
    </w:p>
    <w:p w14:paraId="41217074"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 </w:t>
      </w:r>
      <w:proofErr w:type="spellStart"/>
      <w:r w:rsidRPr="0039437F">
        <w:rPr>
          <w:rFonts w:ascii="Book Antiqua" w:hAnsi="Book Antiqua" w:cs="Times New Roman"/>
          <w:b/>
          <w:kern w:val="2"/>
          <w:sz w:val="24"/>
          <w:szCs w:val="24"/>
          <w:lang w:val="en-US" w:eastAsia="zh-CN"/>
        </w:rPr>
        <w:t>Lôbo</w:t>
      </w:r>
      <w:proofErr w:type="spellEnd"/>
      <w:r w:rsidRPr="0039437F">
        <w:rPr>
          <w:rFonts w:ascii="Book Antiqua" w:hAnsi="Book Antiqua" w:cs="Times New Roman"/>
          <w:b/>
          <w:kern w:val="2"/>
          <w:sz w:val="24"/>
          <w:szCs w:val="24"/>
          <w:lang w:val="en-US" w:eastAsia="zh-CN"/>
        </w:rPr>
        <w:t xml:space="preserve"> MR de A,</w:t>
      </w:r>
      <w:r w:rsidRPr="0039437F">
        <w:rPr>
          <w:rFonts w:ascii="Book Antiqua" w:hAnsi="Book Antiqua" w:cs="Times New Roman"/>
          <w:kern w:val="2"/>
          <w:sz w:val="24"/>
          <w:szCs w:val="24"/>
          <w:lang w:val="en-US" w:eastAsia="zh-CN"/>
        </w:rPr>
        <w:t xml:space="preserve">  Chaves DM, DE Moura DTH, Ribeiro IB, </w:t>
      </w:r>
      <w:proofErr w:type="spellStart"/>
      <w:r w:rsidRPr="0039437F">
        <w:rPr>
          <w:rFonts w:ascii="Book Antiqua" w:hAnsi="Book Antiqua" w:cs="Times New Roman"/>
          <w:kern w:val="2"/>
          <w:sz w:val="24"/>
          <w:szCs w:val="24"/>
          <w:lang w:val="en-US" w:eastAsia="zh-CN"/>
        </w:rPr>
        <w:t>Ikari</w:t>
      </w:r>
      <w:proofErr w:type="spellEnd"/>
      <w:r w:rsidRPr="0039437F">
        <w:rPr>
          <w:rFonts w:ascii="Book Antiqua" w:hAnsi="Book Antiqua" w:cs="Times New Roman"/>
          <w:kern w:val="2"/>
          <w:sz w:val="24"/>
          <w:szCs w:val="24"/>
          <w:lang w:val="en-US" w:eastAsia="zh-CN"/>
        </w:rPr>
        <w:t xml:space="preserve"> E, DE Moura EGH. Safety and efficacy of </w:t>
      </w:r>
      <w:r w:rsidRPr="0039437F">
        <w:rPr>
          <w:rFonts w:ascii="Book Antiqua" w:hAnsi="Book Antiqua" w:cs="Times New Roman"/>
          <w:caps/>
          <w:kern w:val="2"/>
          <w:sz w:val="24"/>
          <w:szCs w:val="24"/>
          <w:lang w:val="en-US" w:eastAsia="zh-CN"/>
        </w:rPr>
        <w:t>eus-</w:t>
      </w:r>
      <w:r w:rsidRPr="0039437F">
        <w:rPr>
          <w:rFonts w:ascii="Book Antiqua" w:hAnsi="Book Antiqua" w:cs="Times New Roman"/>
          <w:kern w:val="2"/>
          <w:sz w:val="24"/>
          <w:szCs w:val="24"/>
          <w:lang w:val="en-US" w:eastAsia="zh-CN"/>
        </w:rPr>
        <w:t xml:space="preserve">guided coil plus cyanoacrylate versus conventional cyanoacrylate technique in the treatment of gastric varices: a randomized controlled trial. </w:t>
      </w:r>
      <w:proofErr w:type="spellStart"/>
      <w:r w:rsidRPr="0039437F">
        <w:rPr>
          <w:rFonts w:ascii="Book Antiqua" w:hAnsi="Book Antiqua" w:cs="Times New Roman"/>
          <w:i/>
          <w:kern w:val="2"/>
          <w:sz w:val="24"/>
          <w:szCs w:val="24"/>
          <w:lang w:val="en-US" w:eastAsia="zh-CN"/>
        </w:rPr>
        <w:t>Arq</w:t>
      </w:r>
      <w:proofErr w:type="spellEnd"/>
      <w:r w:rsidRPr="0039437F">
        <w:rPr>
          <w:rFonts w:ascii="Book Antiqua" w:hAnsi="Book Antiqua" w:cs="Times New Roman"/>
          <w:i/>
          <w:kern w:val="2"/>
          <w:sz w:val="24"/>
          <w:szCs w:val="24"/>
          <w:lang w:val="en-US" w:eastAsia="zh-CN"/>
        </w:rPr>
        <w:t xml:space="preserve"> Gastroenterol</w:t>
      </w:r>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56</w:t>
      </w:r>
      <w:r w:rsidRPr="0039437F">
        <w:rPr>
          <w:rFonts w:ascii="Book Antiqua" w:hAnsi="Book Antiqua" w:cs="Times New Roman"/>
          <w:kern w:val="2"/>
          <w:sz w:val="24"/>
          <w:szCs w:val="24"/>
          <w:lang w:val="en-US" w:eastAsia="zh-CN"/>
        </w:rPr>
        <w:t>: 99-105 [PMID: 31141079 DOI: 10.1590/S0004-2803.201900000-08]</w:t>
      </w:r>
    </w:p>
    <w:p w14:paraId="3AE3FC8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 </w:t>
      </w:r>
      <w:r w:rsidRPr="0039437F">
        <w:rPr>
          <w:rFonts w:ascii="Book Antiqua" w:hAnsi="Book Antiqua" w:cs="Times New Roman"/>
          <w:b/>
          <w:kern w:val="2"/>
          <w:sz w:val="24"/>
          <w:szCs w:val="24"/>
          <w:lang w:val="en-US" w:eastAsia="zh-CN"/>
        </w:rPr>
        <w:t>Runyon BA</w:t>
      </w:r>
      <w:r w:rsidRPr="0039437F">
        <w:rPr>
          <w:rFonts w:ascii="Book Antiqua" w:hAnsi="Book Antiqua" w:cs="Times New Roman"/>
          <w:kern w:val="2"/>
          <w:sz w:val="24"/>
          <w:szCs w:val="24"/>
          <w:lang w:val="en-US" w:eastAsia="zh-CN"/>
        </w:rPr>
        <w:t xml:space="preserve">; AASLD Practice Guidelines Committee. Management of adult patients with ascites due to cirrhosis: an update. </w:t>
      </w:r>
      <w:r w:rsidRPr="0039437F">
        <w:rPr>
          <w:rFonts w:ascii="Book Antiqua" w:hAnsi="Book Antiqua" w:cs="Times New Roman"/>
          <w:i/>
          <w:kern w:val="2"/>
          <w:sz w:val="24"/>
          <w:szCs w:val="24"/>
          <w:lang w:val="en-US" w:eastAsia="zh-CN"/>
        </w:rPr>
        <w:t>Hepatology</w:t>
      </w:r>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49</w:t>
      </w:r>
      <w:r w:rsidRPr="0039437F">
        <w:rPr>
          <w:rFonts w:ascii="Book Antiqua" w:hAnsi="Book Antiqua" w:cs="Times New Roman"/>
          <w:kern w:val="2"/>
          <w:sz w:val="24"/>
          <w:szCs w:val="24"/>
          <w:lang w:val="en-US" w:eastAsia="zh-CN"/>
        </w:rPr>
        <w:t>: 2087-2107 [PMID: 19475696 DOI: 10.1002/hep.22853]</w:t>
      </w:r>
    </w:p>
    <w:p w14:paraId="575C1146"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5 </w:t>
      </w:r>
      <w:r w:rsidRPr="0039437F">
        <w:rPr>
          <w:rFonts w:ascii="Book Antiqua" w:hAnsi="Book Antiqua" w:cs="Times New Roman"/>
          <w:b/>
          <w:kern w:val="2"/>
          <w:sz w:val="24"/>
          <w:szCs w:val="24"/>
          <w:lang w:val="en-US" w:eastAsia="zh-CN"/>
        </w:rPr>
        <w:t>Garg H</w:t>
      </w:r>
      <w:r w:rsidRPr="0039437F">
        <w:rPr>
          <w:rFonts w:ascii="Book Antiqua" w:hAnsi="Book Antiqua" w:cs="Times New Roman"/>
          <w:kern w:val="2"/>
          <w:sz w:val="24"/>
          <w:szCs w:val="24"/>
          <w:lang w:val="en-US" w:eastAsia="zh-CN"/>
        </w:rPr>
        <w:t xml:space="preserve">, Gupta S, Anand AC, </w:t>
      </w:r>
      <w:proofErr w:type="spellStart"/>
      <w:r w:rsidRPr="0039437F">
        <w:rPr>
          <w:rFonts w:ascii="Book Antiqua" w:hAnsi="Book Antiqua" w:cs="Times New Roman"/>
          <w:kern w:val="2"/>
          <w:sz w:val="24"/>
          <w:szCs w:val="24"/>
          <w:lang w:val="en-US" w:eastAsia="zh-CN"/>
        </w:rPr>
        <w:t>Broor</w:t>
      </w:r>
      <w:proofErr w:type="spellEnd"/>
      <w:r w:rsidRPr="0039437F">
        <w:rPr>
          <w:rFonts w:ascii="Book Antiqua" w:hAnsi="Book Antiqua" w:cs="Times New Roman"/>
          <w:kern w:val="2"/>
          <w:sz w:val="24"/>
          <w:szCs w:val="24"/>
          <w:lang w:val="en-US" w:eastAsia="zh-CN"/>
        </w:rPr>
        <w:t xml:space="preserve"> SL. Portal hypertensive gastropathy and gastric antral vascular ectasia. </w:t>
      </w:r>
      <w:r w:rsidRPr="0039437F">
        <w:rPr>
          <w:rFonts w:ascii="Book Antiqua" w:hAnsi="Book Antiqua" w:cs="Times New Roman"/>
          <w:i/>
          <w:kern w:val="2"/>
          <w:sz w:val="24"/>
          <w:szCs w:val="24"/>
          <w:lang w:val="en-US" w:eastAsia="zh-CN"/>
        </w:rPr>
        <w:t>Indian J Gastroenterol</w:t>
      </w:r>
      <w:r w:rsidRPr="0039437F">
        <w:rPr>
          <w:rFonts w:ascii="Book Antiqua" w:hAnsi="Book Antiqua" w:cs="Times New Roman"/>
          <w:kern w:val="2"/>
          <w:sz w:val="24"/>
          <w:szCs w:val="24"/>
          <w:lang w:val="en-US" w:eastAsia="zh-CN"/>
        </w:rPr>
        <w:t xml:space="preserve"> 2015; </w:t>
      </w:r>
      <w:r w:rsidRPr="0039437F">
        <w:rPr>
          <w:rFonts w:ascii="Book Antiqua" w:hAnsi="Book Antiqua" w:cs="Times New Roman"/>
          <w:b/>
          <w:kern w:val="2"/>
          <w:sz w:val="24"/>
          <w:szCs w:val="24"/>
          <w:lang w:val="en-US" w:eastAsia="zh-CN"/>
        </w:rPr>
        <w:t>34</w:t>
      </w:r>
      <w:r w:rsidRPr="0039437F">
        <w:rPr>
          <w:rFonts w:ascii="Book Antiqua" w:hAnsi="Book Antiqua" w:cs="Times New Roman"/>
          <w:kern w:val="2"/>
          <w:sz w:val="24"/>
          <w:szCs w:val="24"/>
          <w:lang w:val="en-US" w:eastAsia="zh-CN"/>
        </w:rPr>
        <w:t>: 351-358 [PMID: 26564121 DOI: 10.1007/s12664-015-0605-0]</w:t>
      </w:r>
    </w:p>
    <w:p w14:paraId="020F8DC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6 </w:t>
      </w:r>
      <w:r w:rsidRPr="0039437F">
        <w:rPr>
          <w:rFonts w:ascii="Book Antiqua" w:hAnsi="Book Antiqua" w:cs="Times New Roman"/>
          <w:b/>
          <w:kern w:val="2"/>
          <w:sz w:val="24"/>
          <w:szCs w:val="24"/>
          <w:lang w:val="en-US" w:eastAsia="zh-CN"/>
        </w:rPr>
        <w:t>de Moura DTH</w:t>
      </w:r>
      <w:r w:rsidRPr="0039437F">
        <w:rPr>
          <w:rFonts w:ascii="Book Antiqua" w:hAnsi="Book Antiqua" w:cs="Times New Roman"/>
          <w:kern w:val="2"/>
          <w:sz w:val="24"/>
          <w:szCs w:val="24"/>
          <w:lang w:val="en-US" w:eastAsia="zh-CN"/>
        </w:rPr>
        <w:t xml:space="preserve">, McCarty TR, </w:t>
      </w:r>
      <w:proofErr w:type="spellStart"/>
      <w:r w:rsidRPr="0039437F">
        <w:rPr>
          <w:rFonts w:ascii="Book Antiqua" w:hAnsi="Book Antiqua" w:cs="Times New Roman"/>
          <w:kern w:val="2"/>
          <w:sz w:val="24"/>
          <w:szCs w:val="24"/>
          <w:lang w:val="en-US" w:eastAsia="zh-CN"/>
        </w:rPr>
        <w:t>Jirapinyo</w:t>
      </w:r>
      <w:proofErr w:type="spellEnd"/>
      <w:r w:rsidRPr="0039437F">
        <w:rPr>
          <w:rFonts w:ascii="Book Antiqua" w:hAnsi="Book Antiqua" w:cs="Times New Roman"/>
          <w:kern w:val="2"/>
          <w:sz w:val="24"/>
          <w:szCs w:val="24"/>
          <w:lang w:val="en-US" w:eastAsia="zh-CN"/>
        </w:rPr>
        <w:t xml:space="preserve"> P, Ribeiro IB, </w:t>
      </w:r>
      <w:proofErr w:type="spellStart"/>
      <w:r w:rsidRPr="0039437F">
        <w:rPr>
          <w:rFonts w:ascii="Book Antiqua" w:hAnsi="Book Antiqua" w:cs="Times New Roman"/>
          <w:kern w:val="2"/>
          <w:sz w:val="24"/>
          <w:szCs w:val="24"/>
          <w:lang w:val="en-US" w:eastAsia="zh-CN"/>
        </w:rPr>
        <w:t>Hathorn</w:t>
      </w:r>
      <w:proofErr w:type="spellEnd"/>
      <w:r w:rsidRPr="0039437F">
        <w:rPr>
          <w:rFonts w:ascii="Book Antiqua" w:hAnsi="Book Antiqua" w:cs="Times New Roman"/>
          <w:kern w:val="2"/>
          <w:sz w:val="24"/>
          <w:szCs w:val="24"/>
          <w:lang w:val="en-US" w:eastAsia="zh-CN"/>
        </w:rPr>
        <w:t xml:space="preserve"> KE, </w:t>
      </w:r>
      <w:proofErr w:type="spellStart"/>
      <w:r w:rsidRPr="0039437F">
        <w:rPr>
          <w:rFonts w:ascii="Book Antiqua" w:hAnsi="Book Antiqua" w:cs="Times New Roman"/>
          <w:kern w:val="2"/>
          <w:sz w:val="24"/>
          <w:szCs w:val="24"/>
          <w:lang w:val="en-US" w:eastAsia="zh-CN"/>
        </w:rPr>
        <w:t>Madruga-Neto</w:t>
      </w:r>
      <w:proofErr w:type="spellEnd"/>
      <w:r w:rsidRPr="0039437F">
        <w:rPr>
          <w:rFonts w:ascii="Book Antiqua" w:hAnsi="Book Antiqua" w:cs="Times New Roman"/>
          <w:kern w:val="2"/>
          <w:sz w:val="24"/>
          <w:szCs w:val="24"/>
          <w:lang w:val="en-US" w:eastAsia="zh-CN"/>
        </w:rPr>
        <w:t xml:space="preserve"> AC, Lee LS, Thompson CC. Evaluation of endoscopic ultrasound fine-needle aspiration versus fine-needle biopsy and impact of rapid on-site evaluation for pancreatic masses.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Int</w:t>
      </w:r>
      <w:proofErr w:type="spellEnd"/>
      <w:r w:rsidRPr="0039437F">
        <w:rPr>
          <w:rFonts w:ascii="Book Antiqua" w:hAnsi="Book Antiqua" w:cs="Times New Roman"/>
          <w:i/>
          <w:kern w:val="2"/>
          <w:sz w:val="24"/>
          <w:szCs w:val="24"/>
          <w:lang w:val="en-US" w:eastAsia="zh-CN"/>
        </w:rPr>
        <w:t xml:space="preserve"> Open</w:t>
      </w:r>
      <w:r w:rsidRPr="0039437F">
        <w:rPr>
          <w:rFonts w:ascii="Book Antiqua" w:hAnsi="Book Antiqua" w:cs="Times New Roman"/>
          <w:kern w:val="2"/>
          <w:sz w:val="24"/>
          <w:szCs w:val="24"/>
          <w:lang w:val="en-US" w:eastAsia="zh-CN"/>
        </w:rPr>
        <w:t xml:space="preserve"> 2020; </w:t>
      </w:r>
      <w:r w:rsidRPr="0039437F">
        <w:rPr>
          <w:rFonts w:ascii="Book Antiqua" w:hAnsi="Book Antiqua" w:cs="Times New Roman"/>
          <w:b/>
          <w:kern w:val="2"/>
          <w:sz w:val="24"/>
          <w:szCs w:val="24"/>
          <w:lang w:val="en-US" w:eastAsia="zh-CN"/>
        </w:rPr>
        <w:t>8</w:t>
      </w:r>
      <w:r w:rsidRPr="0039437F">
        <w:rPr>
          <w:rFonts w:ascii="Book Antiqua" w:hAnsi="Book Antiqua" w:cs="Times New Roman"/>
          <w:kern w:val="2"/>
          <w:sz w:val="24"/>
          <w:szCs w:val="24"/>
          <w:lang w:val="en-US" w:eastAsia="zh-CN"/>
        </w:rPr>
        <w:t>: E738-E747 [PMID: 32490158 DOI: 10.1055/a-1122-8674]</w:t>
      </w:r>
    </w:p>
    <w:p w14:paraId="29BF2C51"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lastRenderedPageBreak/>
        <w:t xml:space="preserve">7 </w:t>
      </w:r>
      <w:r w:rsidRPr="0039437F">
        <w:rPr>
          <w:rFonts w:ascii="Book Antiqua" w:hAnsi="Book Antiqua" w:cs="Times New Roman"/>
          <w:b/>
          <w:kern w:val="2"/>
          <w:sz w:val="24"/>
          <w:szCs w:val="24"/>
          <w:lang w:val="en-US" w:eastAsia="zh-CN"/>
        </w:rPr>
        <w:t>de Rezende DT</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Brunaldi</w:t>
      </w:r>
      <w:proofErr w:type="spellEnd"/>
      <w:r w:rsidRPr="0039437F">
        <w:rPr>
          <w:rFonts w:ascii="Book Antiqua" w:hAnsi="Book Antiqua" w:cs="Times New Roman"/>
          <w:kern w:val="2"/>
          <w:sz w:val="24"/>
          <w:szCs w:val="24"/>
          <w:lang w:val="en-US" w:eastAsia="zh-CN"/>
        </w:rPr>
        <w:t xml:space="preserve"> VO, Bernardo WM, Ribeiro IB, </w:t>
      </w:r>
      <w:proofErr w:type="spellStart"/>
      <w:r w:rsidRPr="0039437F">
        <w:rPr>
          <w:rFonts w:ascii="Book Antiqua" w:hAnsi="Book Antiqua" w:cs="Times New Roman"/>
          <w:kern w:val="2"/>
          <w:sz w:val="24"/>
          <w:szCs w:val="24"/>
          <w:lang w:val="en-US" w:eastAsia="zh-CN"/>
        </w:rPr>
        <w:t>Mota</w:t>
      </w:r>
      <w:proofErr w:type="spellEnd"/>
      <w:r w:rsidRPr="0039437F">
        <w:rPr>
          <w:rFonts w:ascii="Book Antiqua" w:hAnsi="Book Antiqua" w:cs="Times New Roman"/>
          <w:kern w:val="2"/>
          <w:sz w:val="24"/>
          <w:szCs w:val="24"/>
          <w:lang w:val="en-US" w:eastAsia="zh-CN"/>
        </w:rPr>
        <w:t xml:space="preserve"> RCL, </w:t>
      </w:r>
      <w:proofErr w:type="spellStart"/>
      <w:r w:rsidRPr="0039437F">
        <w:rPr>
          <w:rFonts w:ascii="Book Antiqua" w:hAnsi="Book Antiqua" w:cs="Times New Roman"/>
          <w:kern w:val="2"/>
          <w:sz w:val="24"/>
          <w:szCs w:val="24"/>
          <w:lang w:val="en-US" w:eastAsia="zh-CN"/>
        </w:rPr>
        <w:t>Baracat</w:t>
      </w:r>
      <w:proofErr w:type="spellEnd"/>
      <w:r w:rsidRPr="0039437F">
        <w:rPr>
          <w:rFonts w:ascii="Book Antiqua" w:hAnsi="Book Antiqua" w:cs="Times New Roman"/>
          <w:kern w:val="2"/>
          <w:sz w:val="24"/>
          <w:szCs w:val="24"/>
          <w:lang w:val="en-US" w:eastAsia="zh-CN"/>
        </w:rPr>
        <w:t xml:space="preserve"> FI, de Moura DTH, </w:t>
      </w:r>
      <w:proofErr w:type="spellStart"/>
      <w:r w:rsidRPr="0039437F">
        <w:rPr>
          <w:rFonts w:ascii="Book Antiqua" w:hAnsi="Book Antiqua" w:cs="Times New Roman"/>
          <w:kern w:val="2"/>
          <w:sz w:val="24"/>
          <w:szCs w:val="24"/>
          <w:lang w:val="en-US" w:eastAsia="zh-CN"/>
        </w:rPr>
        <w:t>Baracat</w:t>
      </w:r>
      <w:proofErr w:type="spellEnd"/>
      <w:r w:rsidRPr="0039437F">
        <w:rPr>
          <w:rFonts w:ascii="Book Antiqua" w:hAnsi="Book Antiqua" w:cs="Times New Roman"/>
          <w:kern w:val="2"/>
          <w:sz w:val="24"/>
          <w:szCs w:val="24"/>
          <w:lang w:val="en-US" w:eastAsia="zh-CN"/>
        </w:rPr>
        <w:t xml:space="preserve"> R, </w:t>
      </w:r>
      <w:proofErr w:type="spellStart"/>
      <w:r w:rsidRPr="0039437F">
        <w:rPr>
          <w:rFonts w:ascii="Book Antiqua" w:hAnsi="Book Antiqua" w:cs="Times New Roman"/>
          <w:kern w:val="2"/>
          <w:sz w:val="24"/>
          <w:szCs w:val="24"/>
          <w:lang w:val="en-US" w:eastAsia="zh-CN"/>
        </w:rPr>
        <w:t>Matuguma</w:t>
      </w:r>
      <w:proofErr w:type="spellEnd"/>
      <w:r w:rsidRPr="0039437F">
        <w:rPr>
          <w:rFonts w:ascii="Book Antiqua" w:hAnsi="Book Antiqua" w:cs="Times New Roman"/>
          <w:kern w:val="2"/>
          <w:sz w:val="24"/>
          <w:szCs w:val="24"/>
          <w:lang w:val="en-US" w:eastAsia="zh-CN"/>
        </w:rPr>
        <w:t xml:space="preserve"> SE, de Moura EGH. Use of hemostatic powder in treatment of upper gastrointestinal bleeding: a systematic review and meta-analysis.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Int</w:t>
      </w:r>
      <w:proofErr w:type="spellEnd"/>
      <w:r w:rsidRPr="0039437F">
        <w:rPr>
          <w:rFonts w:ascii="Book Antiqua" w:hAnsi="Book Antiqua" w:cs="Times New Roman"/>
          <w:i/>
          <w:kern w:val="2"/>
          <w:sz w:val="24"/>
          <w:szCs w:val="24"/>
          <w:lang w:val="en-US" w:eastAsia="zh-CN"/>
        </w:rPr>
        <w:t xml:space="preserve"> Open</w:t>
      </w:r>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7</w:t>
      </w:r>
      <w:r w:rsidRPr="0039437F">
        <w:rPr>
          <w:rFonts w:ascii="Book Antiqua" w:hAnsi="Book Antiqua" w:cs="Times New Roman"/>
          <w:kern w:val="2"/>
          <w:sz w:val="24"/>
          <w:szCs w:val="24"/>
          <w:lang w:val="en-US" w:eastAsia="zh-CN"/>
        </w:rPr>
        <w:t>: E1704-E1713 [PMID: 31803822 DOI: 10.1055/a-0977-2897]</w:t>
      </w:r>
    </w:p>
    <w:p w14:paraId="2613E02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8 </w:t>
      </w:r>
      <w:r w:rsidRPr="0039437F">
        <w:rPr>
          <w:rFonts w:ascii="Book Antiqua" w:hAnsi="Book Antiqua" w:cs="Times New Roman"/>
          <w:b/>
          <w:kern w:val="2"/>
          <w:sz w:val="24"/>
          <w:szCs w:val="24"/>
          <w:lang w:val="en-US" w:eastAsia="zh-CN"/>
        </w:rPr>
        <w:t>Luz GO</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Matuguma</w:t>
      </w:r>
      <w:proofErr w:type="spellEnd"/>
      <w:r w:rsidRPr="0039437F">
        <w:rPr>
          <w:rFonts w:ascii="Book Antiqua" w:hAnsi="Book Antiqua" w:cs="Times New Roman"/>
          <w:kern w:val="2"/>
          <w:sz w:val="24"/>
          <w:szCs w:val="24"/>
          <w:lang w:val="en-US" w:eastAsia="zh-CN"/>
        </w:rPr>
        <w:t xml:space="preserve"> SE, </w:t>
      </w:r>
      <w:proofErr w:type="spellStart"/>
      <w:r w:rsidRPr="0039437F">
        <w:rPr>
          <w:rFonts w:ascii="Book Antiqua" w:hAnsi="Book Antiqua" w:cs="Times New Roman"/>
          <w:kern w:val="2"/>
          <w:sz w:val="24"/>
          <w:szCs w:val="24"/>
          <w:lang w:val="en-US" w:eastAsia="zh-CN"/>
        </w:rPr>
        <w:t>Madruga</w:t>
      </w:r>
      <w:proofErr w:type="spell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Neto</w:t>
      </w:r>
      <w:proofErr w:type="spellEnd"/>
      <w:r w:rsidRPr="0039437F">
        <w:rPr>
          <w:rFonts w:ascii="Book Antiqua" w:hAnsi="Book Antiqua" w:cs="Times New Roman"/>
          <w:kern w:val="2"/>
          <w:sz w:val="24"/>
          <w:szCs w:val="24"/>
          <w:lang w:val="en-US" w:eastAsia="zh-CN"/>
        </w:rPr>
        <w:t xml:space="preserve"> AC, Ribeiro IB, Dal Bello F, de Moura DTH, de Moura EGH. A novel technique in the management of refractory variceal bleeding.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2020; </w:t>
      </w:r>
      <w:r w:rsidRPr="0039437F">
        <w:rPr>
          <w:rFonts w:ascii="Book Antiqua" w:hAnsi="Book Antiqua" w:cs="Times New Roman"/>
          <w:b/>
          <w:kern w:val="2"/>
          <w:sz w:val="24"/>
          <w:szCs w:val="24"/>
          <w:lang w:val="en-US" w:eastAsia="zh-CN"/>
        </w:rPr>
        <w:t>52</w:t>
      </w:r>
      <w:r w:rsidRPr="0039437F">
        <w:rPr>
          <w:rFonts w:ascii="Book Antiqua" w:hAnsi="Book Antiqua" w:cs="Times New Roman"/>
          <w:kern w:val="2"/>
          <w:sz w:val="24"/>
          <w:szCs w:val="24"/>
          <w:lang w:val="en-US" w:eastAsia="zh-CN"/>
        </w:rPr>
        <w:t>: 310-311 [PMID: 31731318 DOI: 10.1055/a-1027-6241]</w:t>
      </w:r>
    </w:p>
    <w:p w14:paraId="638B99B3"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9 </w:t>
      </w:r>
      <w:r w:rsidRPr="0039437F">
        <w:rPr>
          <w:rFonts w:ascii="Book Antiqua" w:hAnsi="Book Antiqua" w:cs="Times New Roman"/>
          <w:b/>
          <w:kern w:val="2"/>
          <w:sz w:val="24"/>
          <w:szCs w:val="24"/>
          <w:lang w:val="en-US" w:eastAsia="zh-CN"/>
        </w:rPr>
        <w:t>de Moura DTH</w:t>
      </w:r>
      <w:r w:rsidRPr="0039437F">
        <w:rPr>
          <w:rFonts w:ascii="Book Antiqua" w:hAnsi="Book Antiqua" w:cs="Times New Roman"/>
          <w:kern w:val="2"/>
          <w:sz w:val="24"/>
          <w:szCs w:val="24"/>
          <w:lang w:val="en-US" w:eastAsia="zh-CN"/>
        </w:rPr>
        <w:t xml:space="preserve">, do Monte Junior ES, </w:t>
      </w:r>
      <w:proofErr w:type="spellStart"/>
      <w:r w:rsidRPr="0039437F">
        <w:rPr>
          <w:rFonts w:ascii="Book Antiqua" w:hAnsi="Book Antiqua" w:cs="Times New Roman"/>
          <w:kern w:val="2"/>
          <w:sz w:val="24"/>
          <w:szCs w:val="24"/>
          <w:lang w:val="en-US" w:eastAsia="zh-CN"/>
        </w:rPr>
        <w:t>Hathorn</w:t>
      </w:r>
      <w:proofErr w:type="spellEnd"/>
      <w:r w:rsidRPr="0039437F">
        <w:rPr>
          <w:rFonts w:ascii="Book Antiqua" w:hAnsi="Book Antiqua" w:cs="Times New Roman"/>
          <w:kern w:val="2"/>
          <w:sz w:val="24"/>
          <w:szCs w:val="24"/>
          <w:lang w:val="en-US" w:eastAsia="zh-CN"/>
        </w:rPr>
        <w:t xml:space="preserve"> KE, Ribeiro IB, de Medeiros FS, Thompson CC, de Moura EGH. The use of novel modified endoscopic vacuum therapies in the management of a transmural rectal wall defect.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2020; Online ahead of print [PMID: 32483781 DOI: 10.1055/a-1173-7727]</w:t>
      </w:r>
    </w:p>
    <w:p w14:paraId="7D945E3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10 </w:t>
      </w:r>
      <w:r w:rsidRPr="0039437F">
        <w:rPr>
          <w:rFonts w:ascii="Book Antiqua" w:hAnsi="Book Antiqua" w:cs="Times New Roman"/>
          <w:b/>
          <w:kern w:val="2"/>
          <w:sz w:val="24"/>
          <w:szCs w:val="24"/>
          <w:lang w:val="en-US" w:eastAsia="zh-CN"/>
        </w:rPr>
        <w:t>Brito HP</w:t>
      </w:r>
      <w:r w:rsidRPr="0039437F">
        <w:rPr>
          <w:rFonts w:ascii="Book Antiqua" w:hAnsi="Book Antiqua" w:cs="Times New Roman"/>
          <w:kern w:val="2"/>
          <w:sz w:val="24"/>
          <w:szCs w:val="24"/>
          <w:lang w:val="en-US" w:eastAsia="zh-CN"/>
        </w:rPr>
        <w:t xml:space="preserve">, Ribeiro IB, de Moura DTH, Bernardo WM, Chaves DM, Kuga R, </w:t>
      </w:r>
      <w:proofErr w:type="spellStart"/>
      <w:r w:rsidRPr="0039437F">
        <w:rPr>
          <w:rFonts w:ascii="Book Antiqua" w:hAnsi="Book Antiqua" w:cs="Times New Roman"/>
          <w:kern w:val="2"/>
          <w:sz w:val="24"/>
          <w:szCs w:val="24"/>
          <w:lang w:val="en-US" w:eastAsia="zh-CN"/>
        </w:rPr>
        <w:t>Maahs</w:t>
      </w:r>
      <w:proofErr w:type="spellEnd"/>
      <w:r w:rsidRPr="0039437F">
        <w:rPr>
          <w:rFonts w:ascii="Book Antiqua" w:hAnsi="Book Antiqua" w:cs="Times New Roman"/>
          <w:kern w:val="2"/>
          <w:sz w:val="24"/>
          <w:szCs w:val="24"/>
          <w:lang w:val="en-US" w:eastAsia="zh-CN"/>
        </w:rPr>
        <w:t xml:space="preserve"> ED, Ishida RK, de Moura ETH, de Moura EGH. Video capsule endoscopy </w:t>
      </w:r>
      <w:r w:rsidRPr="0039437F">
        <w:rPr>
          <w:rFonts w:ascii="Book Antiqua" w:hAnsi="Book Antiqua" w:cs="Times New Roman"/>
          <w:i/>
          <w:kern w:val="2"/>
          <w:sz w:val="24"/>
          <w:szCs w:val="24"/>
          <w:lang w:val="en-US" w:eastAsia="zh-CN"/>
        </w:rPr>
        <w:t>vs</w:t>
      </w:r>
      <w:r w:rsidRPr="0039437F">
        <w:rPr>
          <w:rFonts w:ascii="Book Antiqua" w:hAnsi="Book Antiqua" w:cs="Times New Roman"/>
          <w:kern w:val="2"/>
          <w:sz w:val="24"/>
          <w:szCs w:val="24"/>
          <w:lang w:val="en-US" w:eastAsia="zh-CN"/>
        </w:rPr>
        <w:t xml:space="preserve"> double-balloon </w:t>
      </w:r>
      <w:proofErr w:type="spellStart"/>
      <w:r w:rsidRPr="0039437F">
        <w:rPr>
          <w:rFonts w:ascii="Book Antiqua" w:hAnsi="Book Antiqua" w:cs="Times New Roman"/>
          <w:kern w:val="2"/>
          <w:sz w:val="24"/>
          <w:szCs w:val="24"/>
          <w:lang w:val="en-US" w:eastAsia="zh-CN"/>
        </w:rPr>
        <w:t>enteroscopy</w:t>
      </w:r>
      <w:proofErr w:type="spellEnd"/>
      <w:r w:rsidRPr="0039437F">
        <w:rPr>
          <w:rFonts w:ascii="Book Antiqua" w:hAnsi="Book Antiqua" w:cs="Times New Roman"/>
          <w:kern w:val="2"/>
          <w:sz w:val="24"/>
          <w:szCs w:val="24"/>
          <w:lang w:val="en-US" w:eastAsia="zh-CN"/>
        </w:rPr>
        <w:t xml:space="preserve"> in the diagnosis of small bowel bleeding: A systematic review and meta-analysis. </w:t>
      </w:r>
      <w:r w:rsidRPr="0039437F">
        <w:rPr>
          <w:rFonts w:ascii="Book Antiqua" w:hAnsi="Book Antiqua" w:cs="Times New Roman"/>
          <w:i/>
          <w:kern w:val="2"/>
          <w:sz w:val="24"/>
          <w:szCs w:val="24"/>
          <w:lang w:val="en-US" w:eastAsia="zh-CN"/>
        </w:rPr>
        <w:t xml:space="preserve">World J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10</w:t>
      </w:r>
      <w:r w:rsidRPr="0039437F">
        <w:rPr>
          <w:rFonts w:ascii="Book Antiqua" w:hAnsi="Book Antiqua" w:cs="Times New Roman"/>
          <w:kern w:val="2"/>
          <w:sz w:val="24"/>
          <w:szCs w:val="24"/>
          <w:lang w:val="en-US" w:eastAsia="zh-CN"/>
        </w:rPr>
        <w:t>: 400-421 [PMID: 30631404 DOI: 10.4253/wjge.v10.i12.400]</w:t>
      </w:r>
    </w:p>
    <w:p w14:paraId="3FEE426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11 </w:t>
      </w:r>
      <w:r w:rsidRPr="0039437F">
        <w:rPr>
          <w:rFonts w:ascii="Book Antiqua" w:hAnsi="Book Antiqua" w:cs="Times New Roman"/>
          <w:b/>
          <w:kern w:val="2"/>
          <w:sz w:val="24"/>
          <w:szCs w:val="24"/>
          <w:lang w:val="en-US" w:eastAsia="zh-CN"/>
        </w:rPr>
        <w:t>Ribeiro IB</w:t>
      </w:r>
      <w:r w:rsidRPr="0039437F">
        <w:rPr>
          <w:rFonts w:ascii="Book Antiqua" w:hAnsi="Book Antiqua" w:cs="Times New Roman"/>
          <w:kern w:val="2"/>
          <w:sz w:val="24"/>
          <w:szCs w:val="24"/>
          <w:lang w:val="en-US" w:eastAsia="zh-CN"/>
        </w:rPr>
        <w:t xml:space="preserve">, Rezende DT, </w:t>
      </w:r>
      <w:proofErr w:type="spellStart"/>
      <w:r w:rsidRPr="0039437F">
        <w:rPr>
          <w:rFonts w:ascii="Book Antiqua" w:hAnsi="Book Antiqua" w:cs="Times New Roman"/>
          <w:kern w:val="2"/>
          <w:sz w:val="24"/>
          <w:szCs w:val="24"/>
          <w:lang w:val="en-US" w:eastAsia="zh-CN"/>
        </w:rPr>
        <w:t>Madruga</w:t>
      </w:r>
      <w:proofErr w:type="spell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Neto</w:t>
      </w:r>
      <w:proofErr w:type="spellEnd"/>
      <w:r w:rsidRPr="0039437F">
        <w:rPr>
          <w:rFonts w:ascii="Book Antiqua" w:hAnsi="Book Antiqua" w:cs="Times New Roman"/>
          <w:kern w:val="2"/>
          <w:sz w:val="24"/>
          <w:szCs w:val="24"/>
          <w:lang w:val="en-US" w:eastAsia="zh-CN"/>
        </w:rPr>
        <w:t xml:space="preserve"> AC, Ide E, </w:t>
      </w:r>
      <w:proofErr w:type="spellStart"/>
      <w:r w:rsidRPr="0039437F">
        <w:rPr>
          <w:rFonts w:ascii="Book Antiqua" w:hAnsi="Book Antiqua" w:cs="Times New Roman"/>
          <w:kern w:val="2"/>
          <w:sz w:val="24"/>
          <w:szCs w:val="24"/>
          <w:lang w:val="en-US" w:eastAsia="zh-CN"/>
        </w:rPr>
        <w:t>Furuya</w:t>
      </w:r>
      <w:proofErr w:type="spellEnd"/>
      <w:r w:rsidRPr="0039437F">
        <w:rPr>
          <w:rFonts w:ascii="Book Antiqua" w:hAnsi="Book Antiqua" w:cs="Times New Roman"/>
          <w:kern w:val="2"/>
          <w:sz w:val="24"/>
          <w:szCs w:val="24"/>
          <w:lang w:val="en-US" w:eastAsia="zh-CN"/>
        </w:rPr>
        <w:t xml:space="preserve"> CK, De Moura DTH, De Moura EGH. Endoscopic dual therapy for giant peptic ulcer hemorrhage.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50</w:t>
      </w:r>
      <w:r w:rsidRPr="0039437F">
        <w:rPr>
          <w:rFonts w:ascii="Book Antiqua" w:hAnsi="Book Antiqua" w:cs="Times New Roman"/>
          <w:kern w:val="2"/>
          <w:sz w:val="24"/>
          <w:szCs w:val="24"/>
          <w:lang w:val="en-US" w:eastAsia="zh-CN"/>
        </w:rPr>
        <w:t>: E316-E317 [PMID: 30107634 DOI: 10.1055/a-0665-4142]</w:t>
      </w:r>
    </w:p>
    <w:p w14:paraId="327784D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12 </w:t>
      </w:r>
      <w:proofErr w:type="spellStart"/>
      <w:r w:rsidRPr="0039437F">
        <w:rPr>
          <w:rFonts w:ascii="Book Antiqua" w:hAnsi="Book Antiqua" w:cs="Times New Roman"/>
          <w:b/>
          <w:kern w:val="2"/>
          <w:sz w:val="24"/>
          <w:szCs w:val="24"/>
          <w:lang w:val="en-US" w:eastAsia="zh-CN"/>
        </w:rPr>
        <w:t>Amornyotin</w:t>
      </w:r>
      <w:proofErr w:type="spellEnd"/>
      <w:r w:rsidRPr="0039437F">
        <w:rPr>
          <w:rFonts w:ascii="Book Antiqua" w:hAnsi="Book Antiqua" w:cs="Times New Roman"/>
          <w:b/>
          <w:kern w:val="2"/>
          <w:sz w:val="24"/>
          <w:szCs w:val="24"/>
          <w:lang w:val="en-US" w:eastAsia="zh-CN"/>
        </w:rPr>
        <w:t xml:space="preserve"> S</w:t>
      </w:r>
      <w:r w:rsidRPr="0039437F">
        <w:rPr>
          <w:rFonts w:ascii="Book Antiqua" w:hAnsi="Book Antiqua" w:cs="Times New Roman"/>
          <w:kern w:val="2"/>
          <w:sz w:val="24"/>
          <w:szCs w:val="24"/>
          <w:lang w:val="en-US" w:eastAsia="zh-CN"/>
        </w:rPr>
        <w:t xml:space="preserve">. Registered nurse-administered sedation for gastrointestinal endoscopic procedure. </w:t>
      </w:r>
      <w:r w:rsidRPr="0039437F">
        <w:rPr>
          <w:rFonts w:ascii="Book Antiqua" w:hAnsi="Book Antiqua" w:cs="Times New Roman"/>
          <w:i/>
          <w:kern w:val="2"/>
          <w:sz w:val="24"/>
          <w:szCs w:val="24"/>
          <w:lang w:val="en-US" w:eastAsia="zh-CN"/>
        </w:rPr>
        <w:t xml:space="preserve">World J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2015; </w:t>
      </w:r>
      <w:r w:rsidRPr="0039437F">
        <w:rPr>
          <w:rFonts w:ascii="Book Antiqua" w:hAnsi="Book Antiqua" w:cs="Times New Roman"/>
          <w:b/>
          <w:kern w:val="2"/>
          <w:sz w:val="24"/>
          <w:szCs w:val="24"/>
          <w:lang w:val="en-US" w:eastAsia="zh-CN"/>
        </w:rPr>
        <w:t>7</w:t>
      </w:r>
      <w:r w:rsidRPr="0039437F">
        <w:rPr>
          <w:rFonts w:ascii="Book Antiqua" w:hAnsi="Book Antiqua" w:cs="Times New Roman"/>
          <w:kern w:val="2"/>
          <w:sz w:val="24"/>
          <w:szCs w:val="24"/>
          <w:lang w:val="en-US" w:eastAsia="zh-CN"/>
        </w:rPr>
        <w:t>: 769-776 [PMID: 26191341 DOI: 10.4253/wjge.v7.i8.769]</w:t>
      </w:r>
    </w:p>
    <w:p w14:paraId="2E306195"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13 </w:t>
      </w:r>
      <w:r w:rsidRPr="0039437F">
        <w:rPr>
          <w:rFonts w:ascii="Book Antiqua" w:hAnsi="Book Antiqua" w:cs="Times New Roman"/>
          <w:b/>
          <w:kern w:val="2"/>
          <w:sz w:val="24"/>
          <w:szCs w:val="24"/>
          <w:lang w:val="en-US" w:eastAsia="zh-CN"/>
        </w:rPr>
        <w:t>Edelson JC</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Rockey</w:t>
      </w:r>
      <w:proofErr w:type="spellEnd"/>
      <w:r w:rsidRPr="0039437F">
        <w:rPr>
          <w:rFonts w:ascii="Book Antiqua" w:hAnsi="Book Antiqua" w:cs="Times New Roman"/>
          <w:kern w:val="2"/>
          <w:sz w:val="24"/>
          <w:szCs w:val="24"/>
          <w:lang w:val="en-US" w:eastAsia="zh-CN"/>
        </w:rPr>
        <w:t xml:space="preserve"> DC. Endoscopic Sedation of the Patient With Cirrhosis.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Liver Dis (Hoboken)</w:t>
      </w:r>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12</w:t>
      </w:r>
      <w:r w:rsidRPr="0039437F">
        <w:rPr>
          <w:rFonts w:ascii="Book Antiqua" w:hAnsi="Book Antiqua" w:cs="Times New Roman"/>
          <w:kern w:val="2"/>
          <w:sz w:val="24"/>
          <w:szCs w:val="24"/>
          <w:lang w:val="en-US" w:eastAsia="zh-CN"/>
        </w:rPr>
        <w:t>: 165-169 [PMID: 30988936 DOI: 10.1002/cld.762]</w:t>
      </w:r>
    </w:p>
    <w:p w14:paraId="111C686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highlight w:val="yellow"/>
          <w:lang w:val="en-US" w:eastAsia="zh-CN"/>
        </w:rPr>
        <w:t xml:space="preserve">14 </w:t>
      </w:r>
      <w:r w:rsidRPr="0039437F">
        <w:rPr>
          <w:rFonts w:ascii="Book Antiqua" w:hAnsi="Book Antiqua" w:cs="Times New Roman"/>
          <w:b/>
          <w:kern w:val="2"/>
          <w:sz w:val="24"/>
          <w:szCs w:val="24"/>
          <w:highlight w:val="yellow"/>
          <w:lang w:val="en-US" w:eastAsia="zh-CN"/>
        </w:rPr>
        <w:t>Cochrane</w:t>
      </w:r>
      <w:r w:rsidRPr="0039437F">
        <w:rPr>
          <w:rFonts w:ascii="Book Antiqua" w:hAnsi="Book Antiqua" w:cs="Times New Roman"/>
          <w:kern w:val="2"/>
          <w:sz w:val="24"/>
          <w:szCs w:val="24"/>
          <w:highlight w:val="yellow"/>
          <w:lang w:val="en-US" w:eastAsia="zh-CN"/>
        </w:rPr>
        <w:t xml:space="preserve">. Cochrane Handbook for Systematic Reviews of Interventions version 6.0 (updated July 2019) [Internet]. Cochrane; 2019. Available from: </w:t>
      </w:r>
      <w:hyperlink r:id="rId8" w:history="1">
        <w:r w:rsidRPr="00C10A48">
          <w:rPr>
            <w:rFonts w:ascii="Book Antiqua" w:hAnsi="Book Antiqua" w:cs="Times New Roman"/>
            <w:kern w:val="2"/>
            <w:sz w:val="24"/>
            <w:szCs w:val="24"/>
            <w:highlight w:val="yellow"/>
            <w:u w:val="single"/>
            <w:lang w:val="en-US" w:eastAsia="zh-CN"/>
          </w:rPr>
          <w:t>https://training.cochrane.org/handbook</w:t>
        </w:r>
      </w:hyperlink>
      <w:r w:rsidRPr="0039437F">
        <w:rPr>
          <w:rFonts w:ascii="Book Antiqua" w:hAnsi="Book Antiqua" w:cs="Times New Roman"/>
          <w:kern w:val="2"/>
          <w:sz w:val="24"/>
          <w:szCs w:val="24"/>
          <w:lang w:val="en-US" w:eastAsia="zh-CN"/>
        </w:rPr>
        <w:t xml:space="preserve"> </w:t>
      </w:r>
    </w:p>
    <w:p w14:paraId="09DEC22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15 </w:t>
      </w:r>
      <w:r w:rsidRPr="0039437F">
        <w:rPr>
          <w:rFonts w:ascii="Book Antiqua" w:hAnsi="Book Antiqua" w:cs="Times New Roman"/>
          <w:b/>
          <w:kern w:val="2"/>
          <w:sz w:val="24"/>
          <w:szCs w:val="24"/>
          <w:lang w:val="en-US" w:eastAsia="zh-CN"/>
        </w:rPr>
        <w:t>Agrawal A</w:t>
      </w:r>
      <w:r w:rsidRPr="0039437F">
        <w:rPr>
          <w:rFonts w:ascii="Book Antiqua" w:hAnsi="Book Antiqua" w:cs="Times New Roman"/>
          <w:kern w:val="2"/>
          <w:sz w:val="24"/>
          <w:szCs w:val="24"/>
          <w:lang w:val="en-US" w:eastAsia="zh-CN"/>
        </w:rPr>
        <w:t xml:space="preserve">, Sharma BC, Sharma P, Uppal R, Sarin SK. Randomized controlled trial for endoscopy with propofol versus midazolam on </w:t>
      </w:r>
      <w:r w:rsidRPr="0039437F">
        <w:rPr>
          <w:rFonts w:ascii="Book Antiqua" w:hAnsi="Book Antiqua" w:cs="Times New Roman"/>
          <w:kern w:val="2"/>
          <w:sz w:val="24"/>
          <w:szCs w:val="24"/>
          <w:lang w:val="en-US" w:eastAsia="zh-CN"/>
        </w:rPr>
        <w:lastRenderedPageBreak/>
        <w:t xml:space="preserve">psychometric tests and critical flicker frequency in people with cirrhosis. </w:t>
      </w:r>
      <w:r w:rsidRPr="0039437F">
        <w:rPr>
          <w:rFonts w:ascii="Book Antiqua" w:hAnsi="Book Antiqua" w:cs="Times New Roman"/>
          <w:i/>
          <w:kern w:val="2"/>
          <w:sz w:val="24"/>
          <w:szCs w:val="24"/>
          <w:lang w:val="en-US" w:eastAsia="zh-CN"/>
        </w:rPr>
        <w:t xml:space="preserve">J Gastroenterol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2012; </w:t>
      </w:r>
      <w:r w:rsidRPr="0039437F">
        <w:rPr>
          <w:rFonts w:ascii="Book Antiqua" w:hAnsi="Book Antiqua" w:cs="Times New Roman"/>
          <w:b/>
          <w:kern w:val="2"/>
          <w:sz w:val="24"/>
          <w:szCs w:val="24"/>
          <w:lang w:val="en-US" w:eastAsia="zh-CN"/>
        </w:rPr>
        <w:t>27</w:t>
      </w:r>
      <w:r w:rsidRPr="0039437F">
        <w:rPr>
          <w:rFonts w:ascii="Book Antiqua" w:hAnsi="Book Antiqua" w:cs="Times New Roman"/>
          <w:kern w:val="2"/>
          <w:sz w:val="24"/>
          <w:szCs w:val="24"/>
          <w:lang w:val="en-US" w:eastAsia="zh-CN"/>
        </w:rPr>
        <w:t>: 1726-1732 [PMID: 22861074 DOI: 10.1111/j.1440-1746.2012.07231.x]</w:t>
      </w:r>
    </w:p>
    <w:p w14:paraId="41CB914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16 </w:t>
      </w:r>
      <w:proofErr w:type="spellStart"/>
      <w:r w:rsidRPr="0039437F">
        <w:rPr>
          <w:rFonts w:ascii="Book Antiqua" w:hAnsi="Book Antiqua" w:cs="Times New Roman"/>
          <w:b/>
          <w:kern w:val="2"/>
          <w:sz w:val="24"/>
          <w:szCs w:val="24"/>
          <w:lang w:val="en-US" w:eastAsia="zh-CN"/>
        </w:rPr>
        <w:t>Khamaysi</w:t>
      </w:r>
      <w:proofErr w:type="spellEnd"/>
      <w:r w:rsidRPr="0039437F">
        <w:rPr>
          <w:rFonts w:ascii="Book Antiqua" w:hAnsi="Book Antiqua" w:cs="Times New Roman"/>
          <w:b/>
          <w:kern w:val="2"/>
          <w:sz w:val="24"/>
          <w:szCs w:val="24"/>
          <w:lang w:val="en-US" w:eastAsia="zh-CN"/>
        </w:rPr>
        <w:t xml:space="preserve"> I</w:t>
      </w:r>
      <w:r w:rsidRPr="0039437F">
        <w:rPr>
          <w:rFonts w:ascii="Book Antiqua" w:hAnsi="Book Antiqua" w:cs="Times New Roman"/>
          <w:kern w:val="2"/>
          <w:sz w:val="24"/>
          <w:szCs w:val="24"/>
          <w:lang w:val="en-US" w:eastAsia="zh-CN"/>
        </w:rPr>
        <w:t xml:space="preserve">, William N, Olga A, Alex I, Vladimir M, Kamal D, </w:t>
      </w:r>
      <w:proofErr w:type="spellStart"/>
      <w:r w:rsidRPr="0039437F">
        <w:rPr>
          <w:rFonts w:ascii="Book Antiqua" w:hAnsi="Book Antiqua" w:cs="Times New Roman"/>
          <w:kern w:val="2"/>
          <w:sz w:val="24"/>
          <w:szCs w:val="24"/>
          <w:lang w:val="en-US" w:eastAsia="zh-CN"/>
        </w:rPr>
        <w:t>Nimer</w:t>
      </w:r>
      <w:proofErr w:type="spellEnd"/>
      <w:r w:rsidRPr="0039437F">
        <w:rPr>
          <w:rFonts w:ascii="Book Antiqua" w:hAnsi="Book Antiqua" w:cs="Times New Roman"/>
          <w:kern w:val="2"/>
          <w:sz w:val="24"/>
          <w:szCs w:val="24"/>
          <w:lang w:val="en-US" w:eastAsia="zh-CN"/>
        </w:rPr>
        <w:t xml:space="preserve"> A. Sub-clinical hepatic encephalopathy in cirrhotic patients is not aggravated by sedation with propofol compared to midazolam: a randomized controlled study.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2011; </w:t>
      </w:r>
      <w:r w:rsidRPr="0039437F">
        <w:rPr>
          <w:rFonts w:ascii="Book Antiqua" w:hAnsi="Book Antiqua" w:cs="Times New Roman"/>
          <w:b/>
          <w:kern w:val="2"/>
          <w:sz w:val="24"/>
          <w:szCs w:val="24"/>
          <w:lang w:val="en-US" w:eastAsia="zh-CN"/>
        </w:rPr>
        <w:t>54</w:t>
      </w:r>
      <w:r w:rsidRPr="0039437F">
        <w:rPr>
          <w:rFonts w:ascii="Book Antiqua" w:hAnsi="Book Antiqua" w:cs="Times New Roman"/>
          <w:kern w:val="2"/>
          <w:sz w:val="24"/>
          <w:szCs w:val="24"/>
          <w:lang w:val="en-US" w:eastAsia="zh-CN"/>
        </w:rPr>
        <w:t>: 72-77 [PMID: 20934771 DOI: 10.1016/j.jhep.2010.06.023]</w:t>
      </w:r>
    </w:p>
    <w:p w14:paraId="39926B8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17 </w:t>
      </w:r>
      <w:proofErr w:type="spellStart"/>
      <w:r w:rsidRPr="0039437F">
        <w:rPr>
          <w:rFonts w:ascii="Book Antiqua" w:hAnsi="Book Antiqua" w:cs="Times New Roman"/>
          <w:b/>
          <w:kern w:val="2"/>
          <w:sz w:val="24"/>
          <w:szCs w:val="24"/>
          <w:lang w:val="en-US" w:eastAsia="zh-CN"/>
        </w:rPr>
        <w:t>Riphaus</w:t>
      </w:r>
      <w:proofErr w:type="spellEnd"/>
      <w:r w:rsidRPr="0039437F">
        <w:rPr>
          <w:rFonts w:ascii="Book Antiqua" w:hAnsi="Book Antiqua" w:cs="Times New Roman"/>
          <w:b/>
          <w:kern w:val="2"/>
          <w:sz w:val="24"/>
          <w:szCs w:val="24"/>
          <w:lang w:val="en-US" w:eastAsia="zh-CN"/>
        </w:rPr>
        <w:t xml:space="preserve"> A</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Lechowicz</w:t>
      </w:r>
      <w:proofErr w:type="spellEnd"/>
      <w:r w:rsidRPr="0039437F">
        <w:rPr>
          <w:rFonts w:ascii="Book Antiqua" w:hAnsi="Book Antiqua" w:cs="Times New Roman"/>
          <w:kern w:val="2"/>
          <w:sz w:val="24"/>
          <w:szCs w:val="24"/>
          <w:lang w:val="en-US" w:eastAsia="zh-CN"/>
        </w:rPr>
        <w:t xml:space="preserve"> I, </w:t>
      </w:r>
      <w:proofErr w:type="spellStart"/>
      <w:r w:rsidRPr="0039437F">
        <w:rPr>
          <w:rFonts w:ascii="Book Antiqua" w:hAnsi="Book Antiqua" w:cs="Times New Roman"/>
          <w:kern w:val="2"/>
          <w:sz w:val="24"/>
          <w:szCs w:val="24"/>
          <w:lang w:val="en-US" w:eastAsia="zh-CN"/>
        </w:rPr>
        <w:t>Frenz</w:t>
      </w:r>
      <w:proofErr w:type="spellEnd"/>
      <w:r w:rsidRPr="0039437F">
        <w:rPr>
          <w:rFonts w:ascii="Book Antiqua" w:hAnsi="Book Antiqua" w:cs="Times New Roman"/>
          <w:kern w:val="2"/>
          <w:sz w:val="24"/>
          <w:szCs w:val="24"/>
          <w:lang w:val="en-US" w:eastAsia="zh-CN"/>
        </w:rPr>
        <w:t xml:space="preserve"> MB, </w:t>
      </w:r>
      <w:proofErr w:type="spellStart"/>
      <w:r w:rsidRPr="0039437F">
        <w:rPr>
          <w:rFonts w:ascii="Book Antiqua" w:hAnsi="Book Antiqua" w:cs="Times New Roman"/>
          <w:kern w:val="2"/>
          <w:sz w:val="24"/>
          <w:szCs w:val="24"/>
          <w:lang w:val="en-US" w:eastAsia="zh-CN"/>
        </w:rPr>
        <w:t>Wehrmann</w:t>
      </w:r>
      <w:proofErr w:type="spellEnd"/>
      <w:r w:rsidRPr="0039437F">
        <w:rPr>
          <w:rFonts w:ascii="Book Antiqua" w:hAnsi="Book Antiqua" w:cs="Times New Roman"/>
          <w:kern w:val="2"/>
          <w:sz w:val="24"/>
          <w:szCs w:val="24"/>
          <w:lang w:val="en-US" w:eastAsia="zh-CN"/>
        </w:rPr>
        <w:t xml:space="preserve"> T. Propofol sedation for upper gastrointestinal endoscopy in patients with liver cirrhosis as an alternative to midazolam to avoid acute deterioration of minimal encephalopathy: a randomized, controlled study. </w:t>
      </w:r>
      <w:proofErr w:type="spellStart"/>
      <w:r w:rsidRPr="0039437F">
        <w:rPr>
          <w:rFonts w:ascii="Book Antiqua" w:hAnsi="Book Antiqua" w:cs="Times New Roman"/>
          <w:i/>
          <w:kern w:val="2"/>
          <w:sz w:val="24"/>
          <w:szCs w:val="24"/>
          <w:lang w:val="en-US" w:eastAsia="zh-CN"/>
        </w:rPr>
        <w:t>Scand</w:t>
      </w:r>
      <w:proofErr w:type="spellEnd"/>
      <w:r w:rsidRPr="0039437F">
        <w:rPr>
          <w:rFonts w:ascii="Book Antiqua" w:hAnsi="Book Antiqua" w:cs="Times New Roman"/>
          <w:i/>
          <w:kern w:val="2"/>
          <w:sz w:val="24"/>
          <w:szCs w:val="24"/>
          <w:lang w:val="en-US" w:eastAsia="zh-CN"/>
        </w:rPr>
        <w:t xml:space="preserve"> J Gastroenterol</w:t>
      </w:r>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44</w:t>
      </w:r>
      <w:r w:rsidRPr="0039437F">
        <w:rPr>
          <w:rFonts w:ascii="Book Antiqua" w:hAnsi="Book Antiqua" w:cs="Times New Roman"/>
          <w:kern w:val="2"/>
          <w:sz w:val="24"/>
          <w:szCs w:val="24"/>
          <w:lang w:val="en-US" w:eastAsia="zh-CN"/>
        </w:rPr>
        <w:t>: 1244-1251 [PMID: 19811337 DOI: 10.1080/00365520903194591]</w:t>
      </w:r>
    </w:p>
    <w:p w14:paraId="4134D09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18 </w:t>
      </w:r>
      <w:proofErr w:type="spellStart"/>
      <w:r w:rsidRPr="0039437F">
        <w:rPr>
          <w:rFonts w:ascii="Book Antiqua" w:hAnsi="Book Antiqua" w:cs="Times New Roman"/>
          <w:b/>
          <w:kern w:val="2"/>
          <w:sz w:val="24"/>
          <w:szCs w:val="24"/>
          <w:lang w:val="en-US" w:eastAsia="zh-CN"/>
        </w:rPr>
        <w:t>Yoo</w:t>
      </w:r>
      <w:proofErr w:type="spellEnd"/>
      <w:r w:rsidRPr="0039437F">
        <w:rPr>
          <w:rFonts w:ascii="Book Antiqua" w:hAnsi="Book Antiqua" w:cs="Times New Roman"/>
          <w:b/>
          <w:kern w:val="2"/>
          <w:sz w:val="24"/>
          <w:szCs w:val="24"/>
          <w:lang w:val="en-US" w:eastAsia="zh-CN"/>
        </w:rPr>
        <w:t xml:space="preserve"> JJ</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Goong</w:t>
      </w:r>
      <w:proofErr w:type="spellEnd"/>
      <w:r w:rsidRPr="0039437F">
        <w:rPr>
          <w:rFonts w:ascii="Book Antiqua" w:hAnsi="Book Antiqua" w:cs="Times New Roman"/>
          <w:kern w:val="2"/>
          <w:sz w:val="24"/>
          <w:szCs w:val="24"/>
          <w:lang w:val="en-US" w:eastAsia="zh-CN"/>
        </w:rPr>
        <w:t xml:space="preserve"> HJ, Moon JE, Kim SG, Kim YS. Safety profile of sedative endoscopy including cognitive performance in liver cirrhosis: A double-blind randomized controlled trial. </w:t>
      </w:r>
      <w:r w:rsidRPr="0039437F">
        <w:rPr>
          <w:rFonts w:ascii="Book Antiqua" w:hAnsi="Book Antiqua" w:cs="Times New Roman"/>
          <w:i/>
          <w:kern w:val="2"/>
          <w:sz w:val="24"/>
          <w:szCs w:val="24"/>
          <w:lang w:val="en-US" w:eastAsia="zh-CN"/>
        </w:rPr>
        <w:t>Sci Rep</w:t>
      </w:r>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9</w:t>
      </w:r>
      <w:r w:rsidRPr="0039437F">
        <w:rPr>
          <w:rFonts w:ascii="Book Antiqua" w:hAnsi="Book Antiqua" w:cs="Times New Roman"/>
          <w:kern w:val="2"/>
          <w:sz w:val="24"/>
          <w:szCs w:val="24"/>
          <w:lang w:val="en-US" w:eastAsia="zh-CN"/>
        </w:rPr>
        <w:t>: 16798 [PMID: 31727915 DOI: 10.1038/s41598-019-52897-w]</w:t>
      </w:r>
    </w:p>
    <w:p w14:paraId="223439C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19 </w:t>
      </w:r>
      <w:r w:rsidRPr="0039437F">
        <w:rPr>
          <w:rFonts w:ascii="Book Antiqua" w:hAnsi="Book Antiqua" w:cs="Times New Roman"/>
          <w:b/>
          <w:kern w:val="2"/>
          <w:sz w:val="24"/>
          <w:szCs w:val="24"/>
          <w:lang w:val="en-US" w:eastAsia="zh-CN"/>
        </w:rPr>
        <w:t>Watanabe K</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Hikichi</w:t>
      </w:r>
      <w:proofErr w:type="spellEnd"/>
      <w:r w:rsidRPr="0039437F">
        <w:rPr>
          <w:rFonts w:ascii="Book Antiqua" w:hAnsi="Book Antiqua" w:cs="Times New Roman"/>
          <w:kern w:val="2"/>
          <w:sz w:val="24"/>
          <w:szCs w:val="24"/>
          <w:lang w:val="en-US" w:eastAsia="zh-CN"/>
        </w:rPr>
        <w:t xml:space="preserve"> T, Takagi T, Suzuki R, Nakamura J, Sugimoto M, Kikuchi H, Konno N, </w:t>
      </w:r>
      <w:proofErr w:type="spellStart"/>
      <w:r w:rsidRPr="0039437F">
        <w:rPr>
          <w:rFonts w:ascii="Book Antiqua" w:hAnsi="Book Antiqua" w:cs="Times New Roman"/>
          <w:kern w:val="2"/>
          <w:sz w:val="24"/>
          <w:szCs w:val="24"/>
          <w:lang w:val="en-US" w:eastAsia="zh-CN"/>
        </w:rPr>
        <w:t>Takasumi</w:t>
      </w:r>
      <w:proofErr w:type="spellEnd"/>
      <w:r w:rsidRPr="0039437F">
        <w:rPr>
          <w:rFonts w:ascii="Book Antiqua" w:hAnsi="Book Antiqua" w:cs="Times New Roman"/>
          <w:kern w:val="2"/>
          <w:sz w:val="24"/>
          <w:szCs w:val="24"/>
          <w:lang w:val="en-US" w:eastAsia="zh-CN"/>
        </w:rPr>
        <w:t xml:space="preserve"> M, Sato Y, Hashimoto M, </w:t>
      </w:r>
      <w:proofErr w:type="spellStart"/>
      <w:r w:rsidRPr="0039437F">
        <w:rPr>
          <w:rFonts w:ascii="Book Antiqua" w:hAnsi="Book Antiqua" w:cs="Times New Roman"/>
          <w:kern w:val="2"/>
          <w:sz w:val="24"/>
          <w:szCs w:val="24"/>
          <w:lang w:val="en-US" w:eastAsia="zh-CN"/>
        </w:rPr>
        <w:t>Irie</w:t>
      </w:r>
      <w:proofErr w:type="spellEnd"/>
      <w:r w:rsidRPr="0039437F">
        <w:rPr>
          <w:rFonts w:ascii="Book Antiqua" w:hAnsi="Book Antiqua" w:cs="Times New Roman"/>
          <w:kern w:val="2"/>
          <w:sz w:val="24"/>
          <w:szCs w:val="24"/>
          <w:lang w:val="en-US" w:eastAsia="zh-CN"/>
        </w:rPr>
        <w:t xml:space="preserve"> H, </w:t>
      </w:r>
      <w:proofErr w:type="spellStart"/>
      <w:r w:rsidRPr="0039437F">
        <w:rPr>
          <w:rFonts w:ascii="Book Antiqua" w:hAnsi="Book Antiqua" w:cs="Times New Roman"/>
          <w:kern w:val="2"/>
          <w:sz w:val="24"/>
          <w:szCs w:val="24"/>
          <w:lang w:val="en-US" w:eastAsia="zh-CN"/>
        </w:rPr>
        <w:t>Obara</w:t>
      </w:r>
      <w:proofErr w:type="spellEnd"/>
      <w:r w:rsidRPr="0039437F">
        <w:rPr>
          <w:rFonts w:ascii="Book Antiqua" w:hAnsi="Book Antiqua" w:cs="Times New Roman"/>
          <w:kern w:val="2"/>
          <w:sz w:val="24"/>
          <w:szCs w:val="24"/>
          <w:lang w:val="en-US" w:eastAsia="zh-CN"/>
        </w:rPr>
        <w:t xml:space="preserve"> K, </w:t>
      </w:r>
      <w:proofErr w:type="spellStart"/>
      <w:r w:rsidRPr="0039437F">
        <w:rPr>
          <w:rFonts w:ascii="Book Antiqua" w:hAnsi="Book Antiqua" w:cs="Times New Roman"/>
          <w:kern w:val="2"/>
          <w:sz w:val="24"/>
          <w:szCs w:val="24"/>
          <w:lang w:val="en-US" w:eastAsia="zh-CN"/>
        </w:rPr>
        <w:t>Ohira</w:t>
      </w:r>
      <w:proofErr w:type="spellEnd"/>
      <w:r w:rsidRPr="0039437F">
        <w:rPr>
          <w:rFonts w:ascii="Book Antiqua" w:hAnsi="Book Antiqua" w:cs="Times New Roman"/>
          <w:kern w:val="2"/>
          <w:sz w:val="24"/>
          <w:szCs w:val="24"/>
          <w:lang w:val="en-US" w:eastAsia="zh-CN"/>
        </w:rPr>
        <w:t xml:space="preserve"> H. Propofol is a more effective and safer sedative agent than midazolam in endoscopic injection sclerotherapy for esophageal varices in patients with liver cirrhosis: a randomized controlled trial. </w:t>
      </w:r>
      <w:r w:rsidRPr="0039437F">
        <w:rPr>
          <w:rFonts w:ascii="Book Antiqua" w:hAnsi="Book Antiqua" w:cs="Times New Roman"/>
          <w:i/>
          <w:kern w:val="2"/>
          <w:sz w:val="24"/>
          <w:szCs w:val="24"/>
          <w:lang w:val="en-US" w:eastAsia="zh-CN"/>
        </w:rPr>
        <w:t>Fukushima J Med Sci</w:t>
      </w:r>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64</w:t>
      </w:r>
      <w:r w:rsidRPr="0039437F">
        <w:rPr>
          <w:rFonts w:ascii="Book Antiqua" w:hAnsi="Book Antiqua" w:cs="Times New Roman"/>
          <w:kern w:val="2"/>
          <w:sz w:val="24"/>
          <w:szCs w:val="24"/>
          <w:lang w:val="en-US" w:eastAsia="zh-CN"/>
        </w:rPr>
        <w:t>: 133-141 [PMID: 30344206 DOI: 10.5387/fms.2018-21]</w:t>
      </w:r>
    </w:p>
    <w:p w14:paraId="48997536"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20 </w:t>
      </w:r>
      <w:r w:rsidRPr="0039437F">
        <w:rPr>
          <w:rFonts w:ascii="Book Antiqua" w:hAnsi="Book Antiqua" w:cs="Times New Roman"/>
          <w:b/>
          <w:kern w:val="2"/>
          <w:sz w:val="24"/>
          <w:szCs w:val="24"/>
          <w:lang w:val="en-US" w:eastAsia="zh-CN"/>
        </w:rPr>
        <w:t>Ahmed SA</w:t>
      </w:r>
      <w:r w:rsidRPr="0039437F">
        <w:rPr>
          <w:rFonts w:ascii="Book Antiqua" w:hAnsi="Book Antiqua" w:cs="Times New Roman"/>
          <w:kern w:val="2"/>
          <w:sz w:val="24"/>
          <w:szCs w:val="24"/>
          <w:lang w:val="en-US" w:eastAsia="zh-CN"/>
        </w:rPr>
        <w:t xml:space="preserve">, Selim A, Hawash N, Tawfik AK, Yousef M, </w:t>
      </w:r>
      <w:proofErr w:type="spellStart"/>
      <w:r w:rsidRPr="0039437F">
        <w:rPr>
          <w:rFonts w:ascii="Book Antiqua" w:hAnsi="Book Antiqua" w:cs="Times New Roman"/>
          <w:kern w:val="2"/>
          <w:sz w:val="24"/>
          <w:szCs w:val="24"/>
          <w:lang w:val="en-US" w:eastAsia="zh-CN"/>
        </w:rPr>
        <w:t>Kobtan</w:t>
      </w:r>
      <w:proofErr w:type="spellEnd"/>
      <w:r w:rsidRPr="0039437F">
        <w:rPr>
          <w:rFonts w:ascii="Book Antiqua" w:hAnsi="Book Antiqua" w:cs="Times New Roman"/>
          <w:kern w:val="2"/>
          <w:sz w:val="24"/>
          <w:szCs w:val="24"/>
          <w:lang w:val="en-US" w:eastAsia="zh-CN"/>
        </w:rPr>
        <w:t xml:space="preserve"> A, Badawi R, </w:t>
      </w:r>
      <w:proofErr w:type="spellStart"/>
      <w:r w:rsidRPr="0039437F">
        <w:rPr>
          <w:rFonts w:ascii="Book Antiqua" w:hAnsi="Book Antiqua" w:cs="Times New Roman"/>
          <w:kern w:val="2"/>
          <w:sz w:val="24"/>
          <w:szCs w:val="24"/>
          <w:lang w:val="en-US" w:eastAsia="zh-CN"/>
        </w:rPr>
        <w:t>Elnawasany</w:t>
      </w:r>
      <w:proofErr w:type="spellEnd"/>
      <w:r w:rsidRPr="0039437F">
        <w:rPr>
          <w:rFonts w:ascii="Book Antiqua" w:hAnsi="Book Antiqua" w:cs="Times New Roman"/>
          <w:kern w:val="2"/>
          <w:sz w:val="24"/>
          <w:szCs w:val="24"/>
          <w:lang w:val="en-US" w:eastAsia="zh-CN"/>
        </w:rPr>
        <w:t xml:space="preserve"> S, </w:t>
      </w:r>
      <w:proofErr w:type="spellStart"/>
      <w:r w:rsidRPr="0039437F">
        <w:rPr>
          <w:rFonts w:ascii="Book Antiqua" w:hAnsi="Book Antiqua" w:cs="Times New Roman"/>
          <w:kern w:val="2"/>
          <w:sz w:val="24"/>
          <w:szCs w:val="24"/>
          <w:lang w:val="en-US" w:eastAsia="zh-CN"/>
        </w:rPr>
        <w:t>Elkhouly</w:t>
      </w:r>
      <w:proofErr w:type="spellEnd"/>
      <w:r w:rsidRPr="0039437F">
        <w:rPr>
          <w:rFonts w:ascii="Book Antiqua" w:hAnsi="Book Antiqua" w:cs="Times New Roman"/>
          <w:kern w:val="2"/>
          <w:sz w:val="24"/>
          <w:szCs w:val="24"/>
          <w:lang w:val="en-US" w:eastAsia="zh-CN"/>
        </w:rPr>
        <w:t xml:space="preserve"> RA, Hanafy AS, </w:t>
      </w:r>
      <w:proofErr w:type="spellStart"/>
      <w:r w:rsidRPr="0039437F">
        <w:rPr>
          <w:rFonts w:ascii="Book Antiqua" w:hAnsi="Book Antiqua" w:cs="Times New Roman"/>
          <w:kern w:val="2"/>
          <w:sz w:val="24"/>
          <w:szCs w:val="24"/>
          <w:lang w:val="en-US" w:eastAsia="zh-CN"/>
        </w:rPr>
        <w:t>Rizk</w:t>
      </w:r>
      <w:proofErr w:type="spellEnd"/>
      <w:r w:rsidRPr="0039437F">
        <w:rPr>
          <w:rFonts w:ascii="Book Antiqua" w:hAnsi="Book Antiqua" w:cs="Times New Roman"/>
          <w:kern w:val="2"/>
          <w:sz w:val="24"/>
          <w:szCs w:val="24"/>
          <w:lang w:val="en-US" w:eastAsia="zh-CN"/>
        </w:rPr>
        <w:t xml:space="preserve"> FH, Mansour L, Abd-</w:t>
      </w:r>
      <w:proofErr w:type="spellStart"/>
      <w:r w:rsidRPr="0039437F">
        <w:rPr>
          <w:rFonts w:ascii="Book Antiqua" w:hAnsi="Book Antiqua" w:cs="Times New Roman"/>
          <w:kern w:val="2"/>
          <w:sz w:val="24"/>
          <w:szCs w:val="24"/>
          <w:lang w:val="en-US" w:eastAsia="zh-CN"/>
        </w:rPr>
        <w:t>Elsalam</w:t>
      </w:r>
      <w:proofErr w:type="spellEnd"/>
      <w:r w:rsidRPr="0039437F">
        <w:rPr>
          <w:rFonts w:ascii="Book Antiqua" w:hAnsi="Book Antiqua" w:cs="Times New Roman"/>
          <w:kern w:val="2"/>
          <w:sz w:val="24"/>
          <w:szCs w:val="24"/>
          <w:lang w:val="en-US" w:eastAsia="zh-CN"/>
        </w:rPr>
        <w:t xml:space="preserve"> S. Randomized Controlled Study Comparing Use of Propofol Plus Fentanyl versus Midazolam Plus Fentanyl as Sedation in Diagnostic Endoscopy in Patients with Advanced Liver Disease. </w:t>
      </w:r>
      <w:proofErr w:type="spellStart"/>
      <w:r w:rsidRPr="0039437F">
        <w:rPr>
          <w:rFonts w:ascii="Book Antiqua" w:hAnsi="Book Antiqua" w:cs="Times New Roman"/>
          <w:i/>
          <w:kern w:val="2"/>
          <w:sz w:val="24"/>
          <w:szCs w:val="24"/>
          <w:lang w:val="en-US" w:eastAsia="zh-CN"/>
        </w:rPr>
        <w:t>Int</w:t>
      </w:r>
      <w:proofErr w:type="spellEnd"/>
      <w:r w:rsidRPr="0039437F">
        <w:rPr>
          <w:rFonts w:ascii="Book Antiqua" w:hAnsi="Book Antiqua" w:cs="Times New Roman"/>
          <w:i/>
          <w:kern w:val="2"/>
          <w:sz w:val="24"/>
          <w:szCs w:val="24"/>
          <w:lang w:val="en-US" w:eastAsia="zh-CN"/>
        </w:rPr>
        <w:t xml:space="preserve"> J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2017; </w:t>
      </w:r>
      <w:r w:rsidRPr="0039437F">
        <w:rPr>
          <w:rFonts w:ascii="Book Antiqua" w:hAnsi="Book Antiqua" w:cs="Times New Roman"/>
          <w:b/>
          <w:kern w:val="2"/>
          <w:sz w:val="24"/>
          <w:szCs w:val="24"/>
          <w:lang w:val="en-US" w:eastAsia="zh-CN"/>
        </w:rPr>
        <w:t>2017</w:t>
      </w:r>
      <w:r w:rsidRPr="0039437F">
        <w:rPr>
          <w:rFonts w:ascii="Book Antiqua" w:hAnsi="Book Antiqua" w:cs="Times New Roman"/>
          <w:kern w:val="2"/>
          <w:sz w:val="24"/>
          <w:szCs w:val="24"/>
          <w:lang w:val="en-US" w:eastAsia="zh-CN"/>
        </w:rPr>
        <w:t>: 8462756 [PMID: 29312786 DOI: 10.1155/2017/8462756]</w:t>
      </w:r>
    </w:p>
    <w:p w14:paraId="4232845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21 </w:t>
      </w:r>
      <w:proofErr w:type="spellStart"/>
      <w:r w:rsidRPr="0039437F">
        <w:rPr>
          <w:rFonts w:ascii="Book Antiqua" w:hAnsi="Book Antiqua" w:cs="Times New Roman"/>
          <w:b/>
          <w:kern w:val="2"/>
          <w:sz w:val="24"/>
          <w:szCs w:val="24"/>
          <w:lang w:val="en-US" w:eastAsia="zh-CN"/>
        </w:rPr>
        <w:t>Correia</w:t>
      </w:r>
      <w:proofErr w:type="spellEnd"/>
      <w:r w:rsidRPr="0039437F">
        <w:rPr>
          <w:rFonts w:ascii="Book Antiqua" w:hAnsi="Book Antiqua" w:cs="Times New Roman"/>
          <w:b/>
          <w:kern w:val="2"/>
          <w:sz w:val="24"/>
          <w:szCs w:val="24"/>
          <w:lang w:val="en-US" w:eastAsia="zh-CN"/>
        </w:rPr>
        <w:t xml:space="preserve"> LM</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Bonilha</w:t>
      </w:r>
      <w:proofErr w:type="spellEnd"/>
      <w:r w:rsidRPr="0039437F">
        <w:rPr>
          <w:rFonts w:ascii="Book Antiqua" w:hAnsi="Book Antiqua" w:cs="Times New Roman"/>
          <w:kern w:val="2"/>
          <w:sz w:val="24"/>
          <w:szCs w:val="24"/>
          <w:lang w:val="en-US" w:eastAsia="zh-CN"/>
        </w:rPr>
        <w:t xml:space="preserve"> DQ, Gomes GF, Brito JR, Nakao FS, Lenz L, Rohr MR, Ferrari AP, Libera ED. Sedation during upper GI endoscopy in cirrhotic outpatients: a randomized, controlled trial comparing propofol and fentanyl with midazolam and fentanyl.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2011; </w:t>
      </w:r>
      <w:r w:rsidRPr="0039437F">
        <w:rPr>
          <w:rFonts w:ascii="Book Antiqua" w:hAnsi="Book Antiqua" w:cs="Times New Roman"/>
          <w:b/>
          <w:kern w:val="2"/>
          <w:sz w:val="24"/>
          <w:szCs w:val="24"/>
          <w:lang w:val="en-US" w:eastAsia="zh-CN"/>
        </w:rPr>
        <w:t>73</w:t>
      </w:r>
      <w:r w:rsidRPr="0039437F">
        <w:rPr>
          <w:rFonts w:ascii="Book Antiqua" w:hAnsi="Book Antiqua" w:cs="Times New Roman"/>
          <w:kern w:val="2"/>
          <w:sz w:val="24"/>
          <w:szCs w:val="24"/>
          <w:lang w:val="en-US" w:eastAsia="zh-CN"/>
        </w:rPr>
        <w:t xml:space="preserve">: 45-51, 51.e1 [PMID: </w:t>
      </w:r>
      <w:r w:rsidRPr="0039437F">
        <w:rPr>
          <w:rFonts w:ascii="Book Antiqua" w:hAnsi="Book Antiqua" w:cs="Times New Roman"/>
          <w:kern w:val="2"/>
          <w:sz w:val="24"/>
          <w:szCs w:val="24"/>
          <w:lang w:val="en-US" w:eastAsia="zh-CN"/>
        </w:rPr>
        <w:lastRenderedPageBreak/>
        <w:t>21184869 DOI: 10.1016/j.gie.2010.09.025]</w:t>
      </w:r>
    </w:p>
    <w:p w14:paraId="270CC545"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22 </w:t>
      </w:r>
      <w:r w:rsidRPr="0039437F">
        <w:rPr>
          <w:rFonts w:ascii="Book Antiqua" w:hAnsi="Book Antiqua" w:cs="Times New Roman"/>
          <w:b/>
          <w:kern w:val="2"/>
          <w:sz w:val="24"/>
          <w:szCs w:val="24"/>
          <w:lang w:val="en-US" w:eastAsia="zh-CN"/>
        </w:rPr>
        <w:t>Weston BR</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Chadalawada</w:t>
      </w:r>
      <w:proofErr w:type="spellEnd"/>
      <w:r w:rsidRPr="0039437F">
        <w:rPr>
          <w:rFonts w:ascii="Book Antiqua" w:hAnsi="Book Antiqua" w:cs="Times New Roman"/>
          <w:kern w:val="2"/>
          <w:sz w:val="24"/>
          <w:szCs w:val="24"/>
          <w:lang w:val="en-US" w:eastAsia="zh-CN"/>
        </w:rPr>
        <w:t xml:space="preserve"> V, </w:t>
      </w:r>
      <w:proofErr w:type="spellStart"/>
      <w:r w:rsidRPr="0039437F">
        <w:rPr>
          <w:rFonts w:ascii="Book Antiqua" w:hAnsi="Book Antiqua" w:cs="Times New Roman"/>
          <w:kern w:val="2"/>
          <w:sz w:val="24"/>
          <w:szCs w:val="24"/>
          <w:lang w:val="en-US" w:eastAsia="zh-CN"/>
        </w:rPr>
        <w:t>Chalasani</w:t>
      </w:r>
      <w:proofErr w:type="spellEnd"/>
      <w:r w:rsidRPr="0039437F">
        <w:rPr>
          <w:rFonts w:ascii="Book Antiqua" w:hAnsi="Book Antiqua" w:cs="Times New Roman"/>
          <w:kern w:val="2"/>
          <w:sz w:val="24"/>
          <w:szCs w:val="24"/>
          <w:lang w:val="en-US" w:eastAsia="zh-CN"/>
        </w:rPr>
        <w:t xml:space="preserve"> N, </w:t>
      </w:r>
      <w:proofErr w:type="spellStart"/>
      <w:r w:rsidRPr="0039437F">
        <w:rPr>
          <w:rFonts w:ascii="Book Antiqua" w:hAnsi="Book Antiqua" w:cs="Times New Roman"/>
          <w:kern w:val="2"/>
          <w:sz w:val="24"/>
          <w:szCs w:val="24"/>
          <w:lang w:val="en-US" w:eastAsia="zh-CN"/>
        </w:rPr>
        <w:t>Kwo</w:t>
      </w:r>
      <w:proofErr w:type="spellEnd"/>
      <w:r w:rsidRPr="0039437F">
        <w:rPr>
          <w:rFonts w:ascii="Book Antiqua" w:hAnsi="Book Antiqua" w:cs="Times New Roman"/>
          <w:kern w:val="2"/>
          <w:sz w:val="24"/>
          <w:szCs w:val="24"/>
          <w:lang w:val="en-US" w:eastAsia="zh-CN"/>
        </w:rPr>
        <w:t xml:space="preserve"> P, </w:t>
      </w:r>
      <w:proofErr w:type="spellStart"/>
      <w:r w:rsidRPr="0039437F">
        <w:rPr>
          <w:rFonts w:ascii="Book Antiqua" w:hAnsi="Book Antiqua" w:cs="Times New Roman"/>
          <w:kern w:val="2"/>
          <w:sz w:val="24"/>
          <w:szCs w:val="24"/>
          <w:lang w:val="en-US" w:eastAsia="zh-CN"/>
        </w:rPr>
        <w:t>Overley</w:t>
      </w:r>
      <w:proofErr w:type="spellEnd"/>
      <w:r w:rsidRPr="0039437F">
        <w:rPr>
          <w:rFonts w:ascii="Book Antiqua" w:hAnsi="Book Antiqua" w:cs="Times New Roman"/>
          <w:kern w:val="2"/>
          <w:sz w:val="24"/>
          <w:szCs w:val="24"/>
          <w:lang w:val="en-US" w:eastAsia="zh-CN"/>
        </w:rPr>
        <w:t xml:space="preserve"> CA, </w:t>
      </w:r>
      <w:proofErr w:type="spellStart"/>
      <w:r w:rsidRPr="0039437F">
        <w:rPr>
          <w:rFonts w:ascii="Book Antiqua" w:hAnsi="Book Antiqua" w:cs="Times New Roman"/>
          <w:kern w:val="2"/>
          <w:sz w:val="24"/>
          <w:szCs w:val="24"/>
          <w:lang w:val="en-US" w:eastAsia="zh-CN"/>
        </w:rPr>
        <w:t>Symms</w:t>
      </w:r>
      <w:proofErr w:type="spellEnd"/>
      <w:r w:rsidRPr="0039437F">
        <w:rPr>
          <w:rFonts w:ascii="Book Antiqua" w:hAnsi="Book Antiqua" w:cs="Times New Roman"/>
          <w:kern w:val="2"/>
          <w:sz w:val="24"/>
          <w:szCs w:val="24"/>
          <w:lang w:val="en-US" w:eastAsia="zh-CN"/>
        </w:rPr>
        <w:t xml:space="preserve"> M, </w:t>
      </w:r>
      <w:proofErr w:type="spellStart"/>
      <w:r w:rsidRPr="0039437F">
        <w:rPr>
          <w:rFonts w:ascii="Book Antiqua" w:hAnsi="Book Antiqua" w:cs="Times New Roman"/>
          <w:kern w:val="2"/>
          <w:sz w:val="24"/>
          <w:szCs w:val="24"/>
          <w:lang w:val="en-US" w:eastAsia="zh-CN"/>
        </w:rPr>
        <w:t>Strahl</w:t>
      </w:r>
      <w:proofErr w:type="spellEnd"/>
      <w:r w:rsidRPr="0039437F">
        <w:rPr>
          <w:rFonts w:ascii="Book Antiqua" w:hAnsi="Book Antiqua" w:cs="Times New Roman"/>
          <w:kern w:val="2"/>
          <w:sz w:val="24"/>
          <w:szCs w:val="24"/>
          <w:lang w:val="en-US" w:eastAsia="zh-CN"/>
        </w:rPr>
        <w:t xml:space="preserve"> E, Rex DK. Nurse-administered propofol versus midazolam and meperidine for upper endoscopy in cirrhotic patients. </w:t>
      </w:r>
      <w:r w:rsidRPr="0039437F">
        <w:rPr>
          <w:rFonts w:ascii="Book Antiqua" w:hAnsi="Book Antiqua" w:cs="Times New Roman"/>
          <w:i/>
          <w:kern w:val="2"/>
          <w:sz w:val="24"/>
          <w:szCs w:val="24"/>
          <w:lang w:val="en-US" w:eastAsia="zh-CN"/>
        </w:rPr>
        <w:t>Am J Gastroenterol</w:t>
      </w:r>
      <w:r w:rsidRPr="0039437F">
        <w:rPr>
          <w:rFonts w:ascii="Book Antiqua" w:hAnsi="Book Antiqua" w:cs="Times New Roman"/>
          <w:kern w:val="2"/>
          <w:sz w:val="24"/>
          <w:szCs w:val="24"/>
          <w:lang w:val="en-US" w:eastAsia="zh-CN"/>
        </w:rPr>
        <w:t xml:space="preserve"> 2003; </w:t>
      </w:r>
      <w:r w:rsidRPr="0039437F">
        <w:rPr>
          <w:rFonts w:ascii="Book Antiqua" w:hAnsi="Book Antiqua" w:cs="Times New Roman"/>
          <w:b/>
          <w:kern w:val="2"/>
          <w:sz w:val="24"/>
          <w:szCs w:val="24"/>
          <w:lang w:val="en-US" w:eastAsia="zh-CN"/>
        </w:rPr>
        <w:t>98</w:t>
      </w:r>
      <w:r w:rsidRPr="0039437F">
        <w:rPr>
          <w:rFonts w:ascii="Book Antiqua" w:hAnsi="Book Antiqua" w:cs="Times New Roman"/>
          <w:kern w:val="2"/>
          <w:sz w:val="24"/>
          <w:szCs w:val="24"/>
          <w:lang w:val="en-US" w:eastAsia="zh-CN"/>
        </w:rPr>
        <w:t>: 2440-2447 [PMID: 14638346 DOI: 10.1111/j.1572-0241.2003.08668.x]</w:t>
      </w:r>
    </w:p>
    <w:p w14:paraId="2FF8A79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23 </w:t>
      </w:r>
      <w:proofErr w:type="spellStart"/>
      <w:r w:rsidRPr="0039437F">
        <w:rPr>
          <w:rFonts w:ascii="Book Antiqua" w:hAnsi="Book Antiqua" w:cs="Times New Roman"/>
          <w:b/>
          <w:kern w:val="2"/>
          <w:sz w:val="24"/>
          <w:szCs w:val="24"/>
          <w:lang w:val="en-US" w:eastAsia="zh-CN"/>
        </w:rPr>
        <w:t>Modlin</w:t>
      </w:r>
      <w:proofErr w:type="spellEnd"/>
      <w:r w:rsidRPr="0039437F">
        <w:rPr>
          <w:rFonts w:ascii="Book Antiqua" w:hAnsi="Book Antiqua" w:cs="Times New Roman"/>
          <w:b/>
          <w:kern w:val="2"/>
          <w:sz w:val="24"/>
          <w:szCs w:val="24"/>
          <w:lang w:val="en-US" w:eastAsia="zh-CN"/>
        </w:rPr>
        <w:t xml:space="preserve"> IM</w:t>
      </w:r>
      <w:r w:rsidRPr="0039437F">
        <w:rPr>
          <w:rFonts w:ascii="Book Antiqua" w:hAnsi="Book Antiqua" w:cs="Times New Roman"/>
          <w:kern w:val="2"/>
          <w:sz w:val="24"/>
          <w:szCs w:val="24"/>
          <w:lang w:val="en-US" w:eastAsia="zh-CN"/>
        </w:rPr>
        <w:t xml:space="preserve">, Kidd M, Lye KD. From the lumen to the laparoscope. </w:t>
      </w:r>
      <w:r w:rsidRPr="0039437F">
        <w:rPr>
          <w:rFonts w:ascii="Book Antiqua" w:hAnsi="Book Antiqua" w:cs="Times New Roman"/>
          <w:i/>
          <w:kern w:val="2"/>
          <w:sz w:val="24"/>
          <w:szCs w:val="24"/>
          <w:lang w:val="en-US" w:eastAsia="zh-CN"/>
        </w:rPr>
        <w:t xml:space="preserve">Arch </w:t>
      </w:r>
      <w:proofErr w:type="spellStart"/>
      <w:r w:rsidRPr="0039437F">
        <w:rPr>
          <w:rFonts w:ascii="Book Antiqua" w:hAnsi="Book Antiqua" w:cs="Times New Roman"/>
          <w:i/>
          <w:kern w:val="2"/>
          <w:sz w:val="24"/>
          <w:szCs w:val="24"/>
          <w:lang w:val="en-US" w:eastAsia="zh-CN"/>
        </w:rPr>
        <w:t>Surg</w:t>
      </w:r>
      <w:proofErr w:type="spellEnd"/>
      <w:r w:rsidRPr="0039437F">
        <w:rPr>
          <w:rFonts w:ascii="Book Antiqua" w:hAnsi="Book Antiqua" w:cs="Times New Roman"/>
          <w:kern w:val="2"/>
          <w:sz w:val="24"/>
          <w:szCs w:val="24"/>
          <w:lang w:val="en-US" w:eastAsia="zh-CN"/>
        </w:rPr>
        <w:t xml:space="preserve"> 2004; </w:t>
      </w:r>
      <w:r w:rsidRPr="0039437F">
        <w:rPr>
          <w:rFonts w:ascii="Book Antiqua" w:hAnsi="Book Antiqua" w:cs="Times New Roman"/>
          <w:b/>
          <w:kern w:val="2"/>
          <w:sz w:val="24"/>
          <w:szCs w:val="24"/>
          <w:lang w:val="en-US" w:eastAsia="zh-CN"/>
        </w:rPr>
        <w:t>139</w:t>
      </w:r>
      <w:r w:rsidRPr="0039437F">
        <w:rPr>
          <w:rFonts w:ascii="Book Antiqua" w:hAnsi="Book Antiqua" w:cs="Times New Roman"/>
          <w:kern w:val="2"/>
          <w:sz w:val="24"/>
          <w:szCs w:val="24"/>
          <w:lang w:val="en-US" w:eastAsia="zh-CN"/>
        </w:rPr>
        <w:t>: 1110-1126 [PMID: 15492154 DOI: 10.1001/archsurg.139.10.1110]</w:t>
      </w:r>
    </w:p>
    <w:p w14:paraId="7142C05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24 </w:t>
      </w:r>
      <w:r w:rsidRPr="0039437F">
        <w:rPr>
          <w:rFonts w:ascii="Book Antiqua" w:hAnsi="Book Antiqua" w:cs="Times New Roman"/>
          <w:b/>
          <w:kern w:val="2"/>
          <w:sz w:val="24"/>
          <w:szCs w:val="24"/>
          <w:lang w:val="en-US" w:eastAsia="zh-CN"/>
        </w:rPr>
        <w:t>Smith JL</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Opekun</w:t>
      </w:r>
      <w:proofErr w:type="spellEnd"/>
      <w:r w:rsidRPr="0039437F">
        <w:rPr>
          <w:rFonts w:ascii="Book Antiqua" w:hAnsi="Book Antiqua" w:cs="Times New Roman"/>
          <w:kern w:val="2"/>
          <w:sz w:val="24"/>
          <w:szCs w:val="24"/>
          <w:lang w:val="en-US" w:eastAsia="zh-CN"/>
        </w:rPr>
        <w:t xml:space="preserve"> A, Graham DY. Controlled comparison of topical anesthetic agents in flexible upper gastrointestinal endoscopy.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1985; </w:t>
      </w:r>
      <w:r w:rsidRPr="0039437F">
        <w:rPr>
          <w:rFonts w:ascii="Book Antiqua" w:hAnsi="Book Antiqua" w:cs="Times New Roman"/>
          <w:b/>
          <w:kern w:val="2"/>
          <w:sz w:val="24"/>
          <w:szCs w:val="24"/>
          <w:lang w:val="en-US" w:eastAsia="zh-CN"/>
        </w:rPr>
        <w:t>31</w:t>
      </w:r>
      <w:r w:rsidRPr="0039437F">
        <w:rPr>
          <w:rFonts w:ascii="Book Antiqua" w:hAnsi="Book Antiqua" w:cs="Times New Roman"/>
          <w:kern w:val="2"/>
          <w:sz w:val="24"/>
          <w:szCs w:val="24"/>
          <w:lang w:val="en-US" w:eastAsia="zh-CN"/>
        </w:rPr>
        <w:t>: 255-258 [PMID: 3875515 DOI: 10.1016/S0016-5107(85)72175-X]</w:t>
      </w:r>
    </w:p>
    <w:p w14:paraId="28D9E469"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25 </w:t>
      </w:r>
      <w:r w:rsidRPr="0039437F">
        <w:rPr>
          <w:rFonts w:ascii="Book Antiqua" w:hAnsi="Book Antiqua" w:cs="Times New Roman"/>
          <w:b/>
          <w:kern w:val="2"/>
          <w:sz w:val="24"/>
          <w:szCs w:val="24"/>
          <w:lang w:val="en-US" w:eastAsia="zh-CN"/>
        </w:rPr>
        <w:t>Froehlich F</w:t>
      </w:r>
      <w:r w:rsidRPr="0039437F">
        <w:rPr>
          <w:rFonts w:ascii="Book Antiqua" w:hAnsi="Book Antiqua" w:cs="Times New Roman"/>
          <w:kern w:val="2"/>
          <w:sz w:val="24"/>
          <w:szCs w:val="24"/>
          <w:lang w:val="en-US" w:eastAsia="zh-CN"/>
        </w:rPr>
        <w:t xml:space="preserve">. Topical pharyngeal anesthesia during gastroscopy.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2001; </w:t>
      </w:r>
      <w:r w:rsidRPr="0039437F">
        <w:rPr>
          <w:rFonts w:ascii="Book Antiqua" w:hAnsi="Book Antiqua" w:cs="Times New Roman"/>
          <w:b/>
          <w:kern w:val="2"/>
          <w:sz w:val="24"/>
          <w:szCs w:val="24"/>
          <w:lang w:val="en-US" w:eastAsia="zh-CN"/>
        </w:rPr>
        <w:t>54</w:t>
      </w:r>
      <w:r w:rsidRPr="0039437F">
        <w:rPr>
          <w:rFonts w:ascii="Book Antiqua" w:hAnsi="Book Antiqua" w:cs="Times New Roman"/>
          <w:kern w:val="2"/>
          <w:sz w:val="24"/>
          <w:szCs w:val="24"/>
          <w:lang w:val="en-US" w:eastAsia="zh-CN"/>
        </w:rPr>
        <w:t>: 803-804 [PMID: 11726869 DOI: 10.1067/mge.2001.119730]</w:t>
      </w:r>
    </w:p>
    <w:p w14:paraId="4A1C4E1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26 </w:t>
      </w:r>
      <w:r w:rsidRPr="0039437F">
        <w:rPr>
          <w:rFonts w:ascii="Book Antiqua" w:hAnsi="Book Antiqua" w:cs="Times New Roman"/>
          <w:b/>
          <w:kern w:val="2"/>
          <w:sz w:val="24"/>
          <w:szCs w:val="24"/>
          <w:lang w:val="en-US" w:eastAsia="zh-CN"/>
        </w:rPr>
        <w:t>Evans LT</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Saberi</w:t>
      </w:r>
      <w:proofErr w:type="spellEnd"/>
      <w:r w:rsidRPr="0039437F">
        <w:rPr>
          <w:rFonts w:ascii="Book Antiqua" w:hAnsi="Book Antiqua" w:cs="Times New Roman"/>
          <w:kern w:val="2"/>
          <w:sz w:val="24"/>
          <w:szCs w:val="24"/>
          <w:lang w:val="en-US" w:eastAsia="zh-CN"/>
        </w:rPr>
        <w:t xml:space="preserve"> S, Kim HM, </w:t>
      </w:r>
      <w:proofErr w:type="spellStart"/>
      <w:r w:rsidRPr="0039437F">
        <w:rPr>
          <w:rFonts w:ascii="Book Antiqua" w:hAnsi="Book Antiqua" w:cs="Times New Roman"/>
          <w:kern w:val="2"/>
          <w:sz w:val="24"/>
          <w:szCs w:val="24"/>
          <w:lang w:val="en-US" w:eastAsia="zh-CN"/>
        </w:rPr>
        <w:t>Elta</w:t>
      </w:r>
      <w:proofErr w:type="spellEnd"/>
      <w:r w:rsidRPr="0039437F">
        <w:rPr>
          <w:rFonts w:ascii="Book Antiqua" w:hAnsi="Book Antiqua" w:cs="Times New Roman"/>
          <w:kern w:val="2"/>
          <w:sz w:val="24"/>
          <w:szCs w:val="24"/>
          <w:lang w:val="en-US" w:eastAsia="zh-CN"/>
        </w:rPr>
        <w:t xml:space="preserve"> GH, Schoenfeld P. Pharyngeal anesthesia during sedated EGDs: is "the spray" beneficial? A meta-analysis and systematic review.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2006; </w:t>
      </w:r>
      <w:r w:rsidRPr="0039437F">
        <w:rPr>
          <w:rFonts w:ascii="Book Antiqua" w:hAnsi="Book Antiqua" w:cs="Times New Roman"/>
          <w:b/>
          <w:kern w:val="2"/>
          <w:sz w:val="24"/>
          <w:szCs w:val="24"/>
          <w:lang w:val="en-US" w:eastAsia="zh-CN"/>
        </w:rPr>
        <w:t>63</w:t>
      </w:r>
      <w:r w:rsidRPr="0039437F">
        <w:rPr>
          <w:rFonts w:ascii="Book Antiqua" w:hAnsi="Book Antiqua" w:cs="Times New Roman"/>
          <w:kern w:val="2"/>
          <w:sz w:val="24"/>
          <w:szCs w:val="24"/>
          <w:lang w:val="en-US" w:eastAsia="zh-CN"/>
        </w:rPr>
        <w:t>: 761-766 [PMID: 16650534 DOI: 10.1016/j.gie.2005.11.059]</w:t>
      </w:r>
    </w:p>
    <w:p w14:paraId="3AED6A54"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27 </w:t>
      </w:r>
      <w:r w:rsidRPr="0039437F">
        <w:rPr>
          <w:rFonts w:ascii="Book Antiqua" w:hAnsi="Book Antiqua" w:cs="Times New Roman"/>
          <w:b/>
          <w:kern w:val="2"/>
          <w:sz w:val="24"/>
          <w:szCs w:val="24"/>
          <w:lang w:val="en-US" w:eastAsia="zh-CN"/>
        </w:rPr>
        <w:t>Hoare AM</w:t>
      </w:r>
      <w:r w:rsidRPr="0039437F">
        <w:rPr>
          <w:rFonts w:ascii="Book Antiqua" w:hAnsi="Book Antiqua" w:cs="Times New Roman"/>
          <w:kern w:val="2"/>
          <w:sz w:val="24"/>
          <w:szCs w:val="24"/>
          <w:lang w:val="en-US" w:eastAsia="zh-CN"/>
        </w:rPr>
        <w:t xml:space="preserve">, Hawkins CF. Upper gastrointestinal endoscopy with and without sedation: patients' opinions. </w:t>
      </w:r>
      <w:r w:rsidRPr="0039437F">
        <w:rPr>
          <w:rFonts w:ascii="Book Antiqua" w:hAnsi="Book Antiqua" w:cs="Times New Roman"/>
          <w:i/>
          <w:kern w:val="2"/>
          <w:sz w:val="24"/>
          <w:szCs w:val="24"/>
          <w:lang w:val="en-US" w:eastAsia="zh-CN"/>
        </w:rPr>
        <w:t>Br Med J</w:t>
      </w:r>
      <w:r w:rsidRPr="0039437F">
        <w:rPr>
          <w:rFonts w:ascii="Book Antiqua" w:hAnsi="Book Antiqua" w:cs="Times New Roman"/>
          <w:kern w:val="2"/>
          <w:sz w:val="24"/>
          <w:szCs w:val="24"/>
          <w:lang w:val="en-US" w:eastAsia="zh-CN"/>
        </w:rPr>
        <w:t xml:space="preserve"> 1976; </w:t>
      </w:r>
      <w:r w:rsidRPr="0039437F">
        <w:rPr>
          <w:rFonts w:ascii="Book Antiqua" w:hAnsi="Book Antiqua" w:cs="Times New Roman"/>
          <w:b/>
          <w:kern w:val="2"/>
          <w:sz w:val="24"/>
          <w:szCs w:val="24"/>
          <w:lang w:val="en-US" w:eastAsia="zh-CN"/>
        </w:rPr>
        <w:t>2</w:t>
      </w:r>
      <w:r w:rsidRPr="0039437F">
        <w:rPr>
          <w:rFonts w:ascii="Book Antiqua" w:hAnsi="Book Antiqua" w:cs="Times New Roman"/>
          <w:kern w:val="2"/>
          <w:sz w:val="24"/>
          <w:szCs w:val="24"/>
          <w:lang w:val="en-US" w:eastAsia="zh-CN"/>
        </w:rPr>
        <w:t>: 20 [PMID: 938881 DOI: 10.1136/bmj.2.6026.20]</w:t>
      </w:r>
    </w:p>
    <w:p w14:paraId="4114F06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28 </w:t>
      </w:r>
      <w:r w:rsidRPr="0039437F">
        <w:rPr>
          <w:rFonts w:ascii="Book Antiqua" w:hAnsi="Book Antiqua" w:cs="Times New Roman"/>
          <w:b/>
          <w:kern w:val="2"/>
          <w:sz w:val="24"/>
          <w:szCs w:val="24"/>
          <w:lang w:val="en-US" w:eastAsia="zh-CN"/>
        </w:rPr>
        <w:t>Reed WD</w:t>
      </w:r>
      <w:r w:rsidRPr="0039437F">
        <w:rPr>
          <w:rFonts w:ascii="Book Antiqua" w:hAnsi="Book Antiqua" w:cs="Times New Roman"/>
          <w:kern w:val="2"/>
          <w:sz w:val="24"/>
          <w:szCs w:val="24"/>
          <w:lang w:val="en-US" w:eastAsia="zh-CN"/>
        </w:rPr>
        <w:t xml:space="preserve">, Hopkins BE, </w:t>
      </w:r>
      <w:proofErr w:type="spellStart"/>
      <w:r w:rsidRPr="0039437F">
        <w:rPr>
          <w:rFonts w:ascii="Book Antiqua" w:hAnsi="Book Antiqua" w:cs="Times New Roman"/>
          <w:kern w:val="2"/>
          <w:sz w:val="24"/>
          <w:szCs w:val="24"/>
          <w:lang w:val="en-US" w:eastAsia="zh-CN"/>
        </w:rPr>
        <w:t>Joske</w:t>
      </w:r>
      <w:proofErr w:type="spellEnd"/>
      <w:r w:rsidRPr="0039437F">
        <w:rPr>
          <w:rFonts w:ascii="Book Antiqua" w:hAnsi="Book Antiqua" w:cs="Times New Roman"/>
          <w:kern w:val="2"/>
          <w:sz w:val="24"/>
          <w:szCs w:val="24"/>
          <w:lang w:val="en-US" w:eastAsia="zh-CN"/>
        </w:rPr>
        <w:t xml:space="preserve"> RA, Laurence BH. A comparative study of conventional premedication (pethidine, promethazine, and atropine) and </w:t>
      </w:r>
      <w:proofErr w:type="spellStart"/>
      <w:r w:rsidRPr="0039437F">
        <w:rPr>
          <w:rFonts w:ascii="Book Antiqua" w:hAnsi="Book Antiqua" w:cs="Times New Roman"/>
          <w:kern w:val="2"/>
          <w:sz w:val="24"/>
          <w:szCs w:val="24"/>
          <w:lang w:val="en-US" w:eastAsia="zh-CN"/>
        </w:rPr>
        <w:t>neuroleptanalgesia</w:t>
      </w:r>
      <w:proofErr w:type="spell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droperidol</w:t>
      </w:r>
      <w:proofErr w:type="spellEnd"/>
      <w:r w:rsidRPr="0039437F">
        <w:rPr>
          <w:rFonts w:ascii="Book Antiqua" w:hAnsi="Book Antiqua" w:cs="Times New Roman"/>
          <w:kern w:val="2"/>
          <w:sz w:val="24"/>
          <w:szCs w:val="24"/>
          <w:lang w:val="en-US" w:eastAsia="zh-CN"/>
        </w:rPr>
        <w:t xml:space="preserve"> and phenoperidine) for </w:t>
      </w:r>
      <w:proofErr w:type="spellStart"/>
      <w:r w:rsidRPr="0039437F">
        <w:rPr>
          <w:rFonts w:ascii="Book Antiqua" w:hAnsi="Book Antiqua" w:cs="Times New Roman"/>
          <w:kern w:val="2"/>
          <w:sz w:val="24"/>
          <w:szCs w:val="24"/>
          <w:lang w:val="en-US" w:eastAsia="zh-CN"/>
        </w:rPr>
        <w:t>peroral</w:t>
      </w:r>
      <w:proofErr w:type="spellEnd"/>
      <w:r w:rsidRPr="0039437F">
        <w:rPr>
          <w:rFonts w:ascii="Book Antiqua" w:hAnsi="Book Antiqua" w:cs="Times New Roman"/>
          <w:kern w:val="2"/>
          <w:sz w:val="24"/>
          <w:szCs w:val="24"/>
          <w:lang w:val="en-US" w:eastAsia="zh-CN"/>
        </w:rPr>
        <w:t xml:space="preserve"> endoscopy. </w:t>
      </w:r>
      <w:r w:rsidRPr="0039437F">
        <w:rPr>
          <w:rFonts w:ascii="Book Antiqua" w:hAnsi="Book Antiqua" w:cs="Times New Roman"/>
          <w:i/>
          <w:kern w:val="2"/>
          <w:sz w:val="24"/>
          <w:szCs w:val="24"/>
          <w:lang w:val="en-US" w:eastAsia="zh-CN"/>
        </w:rPr>
        <w:t>Gut</w:t>
      </w:r>
      <w:r w:rsidRPr="0039437F">
        <w:rPr>
          <w:rFonts w:ascii="Book Antiqua" w:hAnsi="Book Antiqua" w:cs="Times New Roman"/>
          <w:kern w:val="2"/>
          <w:sz w:val="24"/>
          <w:szCs w:val="24"/>
          <w:lang w:val="en-US" w:eastAsia="zh-CN"/>
        </w:rPr>
        <w:t xml:space="preserve"> 1971; </w:t>
      </w:r>
      <w:r w:rsidRPr="0039437F">
        <w:rPr>
          <w:rFonts w:ascii="Book Antiqua" w:hAnsi="Book Antiqua" w:cs="Times New Roman"/>
          <w:b/>
          <w:kern w:val="2"/>
          <w:sz w:val="24"/>
          <w:szCs w:val="24"/>
          <w:lang w:val="en-US" w:eastAsia="zh-CN"/>
        </w:rPr>
        <w:t>12</w:t>
      </w:r>
      <w:r w:rsidRPr="0039437F">
        <w:rPr>
          <w:rFonts w:ascii="Book Antiqua" w:hAnsi="Book Antiqua" w:cs="Times New Roman"/>
          <w:kern w:val="2"/>
          <w:sz w:val="24"/>
          <w:szCs w:val="24"/>
          <w:lang w:val="en-US" w:eastAsia="zh-CN"/>
        </w:rPr>
        <w:t>: 736-738 [PMID: 4938522 DOI: 10.1136/gut.12.9.736]</w:t>
      </w:r>
    </w:p>
    <w:p w14:paraId="5B57A217" w14:textId="0CD3790C"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29 </w:t>
      </w:r>
      <w:r w:rsidR="00A57EBD" w:rsidRPr="0039437F">
        <w:rPr>
          <w:rFonts w:ascii="Book Antiqua" w:hAnsi="Book Antiqua" w:cs="Times New Roman"/>
          <w:b/>
          <w:kern w:val="2"/>
          <w:sz w:val="24"/>
          <w:szCs w:val="24"/>
          <w:lang w:val="en-US" w:eastAsia="zh-CN"/>
        </w:rPr>
        <w:t xml:space="preserve">Findlay </w:t>
      </w:r>
      <w:r w:rsidRPr="0039437F">
        <w:rPr>
          <w:rFonts w:ascii="Book Antiqua" w:hAnsi="Book Antiqua" w:cs="Times New Roman"/>
          <w:b/>
          <w:kern w:val="2"/>
          <w:sz w:val="24"/>
          <w:szCs w:val="24"/>
          <w:lang w:val="en-US" w:eastAsia="zh-CN"/>
        </w:rPr>
        <w:t>CW Jr</w:t>
      </w:r>
      <w:r w:rsidRPr="0039437F">
        <w:rPr>
          <w:rFonts w:ascii="Book Antiqua" w:hAnsi="Book Antiqua" w:cs="Times New Roman"/>
          <w:kern w:val="2"/>
          <w:sz w:val="24"/>
          <w:szCs w:val="24"/>
          <w:lang w:val="en-US" w:eastAsia="zh-CN"/>
        </w:rPr>
        <w:t xml:space="preserve">. The value of promethazine hydrochloride in preparing patients for </w:t>
      </w:r>
      <w:proofErr w:type="spellStart"/>
      <w:r w:rsidRPr="0039437F">
        <w:rPr>
          <w:rFonts w:ascii="Book Antiqua" w:hAnsi="Book Antiqua" w:cs="Times New Roman"/>
          <w:kern w:val="2"/>
          <w:sz w:val="24"/>
          <w:szCs w:val="24"/>
          <w:lang w:val="en-US" w:eastAsia="zh-CN"/>
        </w:rPr>
        <w:t>peroral</w:t>
      </w:r>
      <w:proofErr w:type="spellEnd"/>
      <w:r w:rsidRPr="0039437F">
        <w:rPr>
          <w:rFonts w:ascii="Book Antiqua" w:hAnsi="Book Antiqua" w:cs="Times New Roman"/>
          <w:kern w:val="2"/>
          <w:sz w:val="24"/>
          <w:szCs w:val="24"/>
          <w:lang w:val="en-US" w:eastAsia="zh-CN"/>
        </w:rPr>
        <w:t xml:space="preserve"> endoscopy. </w:t>
      </w:r>
      <w:r w:rsidRPr="0039437F">
        <w:rPr>
          <w:rFonts w:ascii="Book Antiqua" w:hAnsi="Book Antiqua" w:cs="Times New Roman"/>
          <w:i/>
          <w:kern w:val="2"/>
          <w:sz w:val="24"/>
          <w:szCs w:val="24"/>
          <w:lang w:val="en-US" w:eastAsia="zh-CN"/>
        </w:rPr>
        <w:t>Am Rev Respir Dis</w:t>
      </w:r>
      <w:r w:rsidRPr="0039437F">
        <w:rPr>
          <w:rFonts w:ascii="Book Antiqua" w:hAnsi="Book Antiqua" w:cs="Times New Roman"/>
          <w:kern w:val="2"/>
          <w:sz w:val="24"/>
          <w:szCs w:val="24"/>
          <w:lang w:val="en-US" w:eastAsia="zh-CN"/>
        </w:rPr>
        <w:t xml:space="preserve"> 1962; </w:t>
      </w:r>
      <w:r w:rsidRPr="0039437F">
        <w:rPr>
          <w:rFonts w:ascii="Book Antiqua" w:hAnsi="Book Antiqua" w:cs="Times New Roman"/>
          <w:b/>
          <w:kern w:val="2"/>
          <w:sz w:val="24"/>
          <w:szCs w:val="24"/>
          <w:lang w:val="en-US" w:eastAsia="zh-CN"/>
        </w:rPr>
        <w:t>86</w:t>
      </w:r>
      <w:r w:rsidRPr="0039437F">
        <w:rPr>
          <w:rFonts w:ascii="Book Antiqua" w:hAnsi="Book Antiqua" w:cs="Times New Roman"/>
          <w:kern w:val="2"/>
          <w:sz w:val="24"/>
          <w:szCs w:val="24"/>
          <w:lang w:val="en-US" w:eastAsia="zh-CN"/>
        </w:rPr>
        <w:t>: 272-274 [PMID: 13892917 DOI: 10.1164</w:t>
      </w:r>
      <w:bookmarkStart w:id="17" w:name="_GoBack"/>
      <w:bookmarkEnd w:id="17"/>
      <w:r w:rsidRPr="0039437F">
        <w:rPr>
          <w:rFonts w:ascii="Book Antiqua" w:hAnsi="Book Antiqua" w:cs="Times New Roman"/>
          <w:kern w:val="2"/>
          <w:sz w:val="24"/>
          <w:szCs w:val="24"/>
          <w:lang w:val="en-US" w:eastAsia="zh-CN"/>
        </w:rPr>
        <w:t>/arrd.1962.86.2.272]</w:t>
      </w:r>
    </w:p>
    <w:p w14:paraId="4BF2442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30 </w:t>
      </w:r>
      <w:r w:rsidRPr="0039437F">
        <w:rPr>
          <w:rFonts w:ascii="Book Antiqua" w:hAnsi="Book Antiqua" w:cs="Times New Roman"/>
          <w:b/>
          <w:kern w:val="2"/>
          <w:sz w:val="24"/>
          <w:szCs w:val="24"/>
          <w:lang w:val="en-US" w:eastAsia="zh-CN"/>
        </w:rPr>
        <w:t>Edelson J</w:t>
      </w:r>
      <w:r w:rsidRPr="0039437F">
        <w:rPr>
          <w:rFonts w:ascii="Book Antiqua" w:hAnsi="Book Antiqua" w:cs="Times New Roman"/>
          <w:kern w:val="2"/>
          <w:sz w:val="24"/>
          <w:szCs w:val="24"/>
          <w:lang w:val="en-US" w:eastAsia="zh-CN"/>
        </w:rPr>
        <w:t xml:space="preserve">, Suarez AL, Zhang J, </w:t>
      </w:r>
      <w:proofErr w:type="spellStart"/>
      <w:r w:rsidRPr="0039437F">
        <w:rPr>
          <w:rFonts w:ascii="Book Antiqua" w:hAnsi="Book Antiqua" w:cs="Times New Roman"/>
          <w:kern w:val="2"/>
          <w:sz w:val="24"/>
          <w:szCs w:val="24"/>
          <w:lang w:val="en-US" w:eastAsia="zh-CN"/>
        </w:rPr>
        <w:t>Rockey</w:t>
      </w:r>
      <w:proofErr w:type="spellEnd"/>
      <w:r w:rsidRPr="0039437F">
        <w:rPr>
          <w:rFonts w:ascii="Book Antiqua" w:hAnsi="Book Antiqua" w:cs="Times New Roman"/>
          <w:kern w:val="2"/>
          <w:sz w:val="24"/>
          <w:szCs w:val="24"/>
          <w:lang w:val="en-US" w:eastAsia="zh-CN"/>
        </w:rPr>
        <w:t xml:space="preserve"> DC. Sedation During Endoscopy in Patients with Cirrhosis: Safety and Predictors of Adverse Events. </w:t>
      </w:r>
      <w:r w:rsidRPr="0039437F">
        <w:rPr>
          <w:rFonts w:ascii="Book Antiqua" w:hAnsi="Book Antiqua" w:cs="Times New Roman"/>
          <w:i/>
          <w:kern w:val="2"/>
          <w:sz w:val="24"/>
          <w:szCs w:val="24"/>
          <w:lang w:val="en-US" w:eastAsia="zh-CN"/>
        </w:rPr>
        <w:t>Dig Dis Sci</w:t>
      </w:r>
      <w:r w:rsidRPr="0039437F">
        <w:rPr>
          <w:rFonts w:ascii="Book Antiqua" w:hAnsi="Book Antiqua" w:cs="Times New Roman"/>
          <w:kern w:val="2"/>
          <w:sz w:val="24"/>
          <w:szCs w:val="24"/>
          <w:lang w:val="en-US" w:eastAsia="zh-CN"/>
        </w:rPr>
        <w:t xml:space="preserve"> 2020; </w:t>
      </w:r>
      <w:r w:rsidRPr="0039437F">
        <w:rPr>
          <w:rFonts w:ascii="Book Antiqua" w:hAnsi="Book Antiqua" w:cs="Times New Roman"/>
          <w:b/>
          <w:kern w:val="2"/>
          <w:sz w:val="24"/>
          <w:szCs w:val="24"/>
          <w:lang w:val="en-US" w:eastAsia="zh-CN"/>
        </w:rPr>
        <w:t>65</w:t>
      </w:r>
      <w:r w:rsidRPr="0039437F">
        <w:rPr>
          <w:rFonts w:ascii="Book Antiqua" w:hAnsi="Book Antiqua" w:cs="Times New Roman"/>
          <w:kern w:val="2"/>
          <w:sz w:val="24"/>
          <w:szCs w:val="24"/>
          <w:lang w:val="en-US" w:eastAsia="zh-CN"/>
        </w:rPr>
        <w:t>: 1258-1265 [PMID: 31605279 DOI: 10.1007/s10620-019-05845-7]</w:t>
      </w:r>
    </w:p>
    <w:p w14:paraId="282DEA1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31 </w:t>
      </w:r>
      <w:proofErr w:type="spellStart"/>
      <w:r w:rsidRPr="0039437F">
        <w:rPr>
          <w:rFonts w:ascii="Book Antiqua" w:hAnsi="Book Antiqua" w:cs="Times New Roman"/>
          <w:b/>
          <w:kern w:val="2"/>
          <w:sz w:val="24"/>
          <w:szCs w:val="24"/>
          <w:lang w:val="en-US" w:eastAsia="zh-CN"/>
        </w:rPr>
        <w:t>MacGilchrist</w:t>
      </w:r>
      <w:proofErr w:type="spellEnd"/>
      <w:r w:rsidRPr="0039437F">
        <w:rPr>
          <w:rFonts w:ascii="Book Antiqua" w:hAnsi="Book Antiqua" w:cs="Times New Roman"/>
          <w:b/>
          <w:kern w:val="2"/>
          <w:sz w:val="24"/>
          <w:szCs w:val="24"/>
          <w:lang w:val="en-US" w:eastAsia="zh-CN"/>
        </w:rPr>
        <w:t xml:space="preserve"> AJ</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Birnie</w:t>
      </w:r>
      <w:proofErr w:type="spellEnd"/>
      <w:r w:rsidRPr="0039437F">
        <w:rPr>
          <w:rFonts w:ascii="Book Antiqua" w:hAnsi="Book Antiqua" w:cs="Times New Roman"/>
          <w:kern w:val="2"/>
          <w:sz w:val="24"/>
          <w:szCs w:val="24"/>
          <w:lang w:val="en-US" w:eastAsia="zh-CN"/>
        </w:rPr>
        <w:t xml:space="preserve"> GG, Cook A, Scobie G, Murray T, Watkinson G, Brodie MJ. Pharmacokinetics and pharmacodynamics of intravenous midazolam in patients with severe alcoholic cirrhosis. </w:t>
      </w:r>
      <w:r w:rsidRPr="0039437F">
        <w:rPr>
          <w:rFonts w:ascii="Book Antiqua" w:hAnsi="Book Antiqua" w:cs="Times New Roman"/>
          <w:i/>
          <w:kern w:val="2"/>
          <w:sz w:val="24"/>
          <w:szCs w:val="24"/>
          <w:lang w:val="en-US" w:eastAsia="zh-CN"/>
        </w:rPr>
        <w:t>Gut</w:t>
      </w:r>
      <w:r w:rsidRPr="0039437F">
        <w:rPr>
          <w:rFonts w:ascii="Book Antiqua" w:hAnsi="Book Antiqua" w:cs="Times New Roman"/>
          <w:kern w:val="2"/>
          <w:sz w:val="24"/>
          <w:szCs w:val="24"/>
          <w:lang w:val="en-US" w:eastAsia="zh-CN"/>
        </w:rPr>
        <w:t xml:space="preserve"> 1986; </w:t>
      </w:r>
      <w:r w:rsidRPr="0039437F">
        <w:rPr>
          <w:rFonts w:ascii="Book Antiqua" w:hAnsi="Book Antiqua" w:cs="Times New Roman"/>
          <w:b/>
          <w:kern w:val="2"/>
          <w:sz w:val="24"/>
          <w:szCs w:val="24"/>
          <w:lang w:val="en-US" w:eastAsia="zh-CN"/>
        </w:rPr>
        <w:t>27</w:t>
      </w:r>
      <w:r w:rsidRPr="0039437F">
        <w:rPr>
          <w:rFonts w:ascii="Book Antiqua" w:hAnsi="Book Antiqua" w:cs="Times New Roman"/>
          <w:kern w:val="2"/>
          <w:sz w:val="24"/>
          <w:szCs w:val="24"/>
          <w:lang w:val="en-US" w:eastAsia="zh-CN"/>
        </w:rPr>
        <w:t xml:space="preserve">: 190-195 </w:t>
      </w:r>
      <w:r w:rsidRPr="0039437F">
        <w:rPr>
          <w:rFonts w:ascii="Book Antiqua" w:hAnsi="Book Antiqua" w:cs="Times New Roman"/>
          <w:kern w:val="2"/>
          <w:sz w:val="24"/>
          <w:szCs w:val="24"/>
          <w:lang w:val="en-US" w:eastAsia="zh-CN"/>
        </w:rPr>
        <w:lastRenderedPageBreak/>
        <w:t>[PMID: 2936661 DOI: 10.1136/gut.27.2.190]</w:t>
      </w:r>
    </w:p>
    <w:p w14:paraId="047AE867"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32 </w:t>
      </w:r>
      <w:r w:rsidRPr="0039437F">
        <w:rPr>
          <w:rFonts w:ascii="Book Antiqua" w:hAnsi="Book Antiqua" w:cs="Times New Roman"/>
          <w:b/>
          <w:kern w:val="2"/>
          <w:sz w:val="24"/>
          <w:szCs w:val="24"/>
          <w:lang w:val="en-US" w:eastAsia="zh-CN"/>
        </w:rPr>
        <w:t>Schilling D</w:t>
      </w:r>
      <w:r w:rsidRPr="0039437F">
        <w:rPr>
          <w:rFonts w:ascii="Book Antiqua" w:hAnsi="Book Antiqua" w:cs="Times New Roman"/>
          <w:kern w:val="2"/>
          <w:sz w:val="24"/>
          <w:szCs w:val="24"/>
          <w:lang w:val="en-US" w:eastAsia="zh-CN"/>
        </w:rPr>
        <w:t xml:space="preserve">, Rosenbaum A, </w:t>
      </w:r>
      <w:proofErr w:type="spellStart"/>
      <w:r w:rsidRPr="0039437F">
        <w:rPr>
          <w:rFonts w:ascii="Book Antiqua" w:hAnsi="Book Antiqua" w:cs="Times New Roman"/>
          <w:kern w:val="2"/>
          <w:sz w:val="24"/>
          <w:szCs w:val="24"/>
          <w:lang w:val="en-US" w:eastAsia="zh-CN"/>
        </w:rPr>
        <w:t>Schweizer</w:t>
      </w:r>
      <w:proofErr w:type="spellEnd"/>
      <w:r w:rsidRPr="0039437F">
        <w:rPr>
          <w:rFonts w:ascii="Book Antiqua" w:hAnsi="Book Antiqua" w:cs="Times New Roman"/>
          <w:kern w:val="2"/>
          <w:sz w:val="24"/>
          <w:szCs w:val="24"/>
          <w:lang w:val="en-US" w:eastAsia="zh-CN"/>
        </w:rPr>
        <w:t xml:space="preserve"> S, Richter H, </w:t>
      </w:r>
      <w:proofErr w:type="spellStart"/>
      <w:r w:rsidRPr="0039437F">
        <w:rPr>
          <w:rFonts w:ascii="Book Antiqua" w:hAnsi="Book Antiqua" w:cs="Times New Roman"/>
          <w:kern w:val="2"/>
          <w:sz w:val="24"/>
          <w:szCs w:val="24"/>
          <w:lang w:val="en-US" w:eastAsia="zh-CN"/>
        </w:rPr>
        <w:t>Rumstadt</w:t>
      </w:r>
      <w:proofErr w:type="spellEnd"/>
      <w:r w:rsidRPr="0039437F">
        <w:rPr>
          <w:rFonts w:ascii="Book Antiqua" w:hAnsi="Book Antiqua" w:cs="Times New Roman"/>
          <w:kern w:val="2"/>
          <w:sz w:val="24"/>
          <w:szCs w:val="24"/>
          <w:lang w:val="en-US" w:eastAsia="zh-CN"/>
        </w:rPr>
        <w:t xml:space="preserve"> B. Sedation with propofol for interventional endoscopy by trained nurses in high-risk octogenarians: a prospective, randomized, controlled study.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41</w:t>
      </w:r>
      <w:r w:rsidRPr="0039437F">
        <w:rPr>
          <w:rFonts w:ascii="Book Antiqua" w:hAnsi="Book Antiqua" w:cs="Times New Roman"/>
          <w:kern w:val="2"/>
          <w:sz w:val="24"/>
          <w:szCs w:val="24"/>
          <w:lang w:val="en-US" w:eastAsia="zh-CN"/>
        </w:rPr>
        <w:t>: 295-298 [PMID: 19340730 DOI: 10.1055/s-0028-1119671]</w:t>
      </w:r>
    </w:p>
    <w:p w14:paraId="7A325BAE"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33 </w:t>
      </w:r>
      <w:proofErr w:type="spellStart"/>
      <w:r w:rsidRPr="0039437F">
        <w:rPr>
          <w:rFonts w:ascii="Book Antiqua" w:hAnsi="Book Antiqua" w:cs="Times New Roman"/>
          <w:b/>
          <w:kern w:val="2"/>
          <w:sz w:val="24"/>
          <w:szCs w:val="24"/>
          <w:lang w:val="en-US" w:eastAsia="zh-CN"/>
        </w:rPr>
        <w:t>Heuss</w:t>
      </w:r>
      <w:proofErr w:type="spellEnd"/>
      <w:r w:rsidRPr="0039437F">
        <w:rPr>
          <w:rFonts w:ascii="Book Antiqua" w:hAnsi="Book Antiqua" w:cs="Times New Roman"/>
          <w:b/>
          <w:kern w:val="2"/>
          <w:sz w:val="24"/>
          <w:szCs w:val="24"/>
          <w:lang w:val="en-US" w:eastAsia="zh-CN"/>
        </w:rPr>
        <w:t xml:space="preserve"> LT</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Schnieper</w:t>
      </w:r>
      <w:proofErr w:type="spellEnd"/>
      <w:r w:rsidRPr="0039437F">
        <w:rPr>
          <w:rFonts w:ascii="Book Antiqua" w:hAnsi="Book Antiqua" w:cs="Times New Roman"/>
          <w:kern w:val="2"/>
          <w:sz w:val="24"/>
          <w:szCs w:val="24"/>
          <w:lang w:val="en-US" w:eastAsia="zh-CN"/>
        </w:rPr>
        <w:t xml:space="preserve"> P, </w:t>
      </w:r>
      <w:proofErr w:type="spellStart"/>
      <w:r w:rsidRPr="0039437F">
        <w:rPr>
          <w:rFonts w:ascii="Book Antiqua" w:hAnsi="Book Antiqua" w:cs="Times New Roman"/>
          <w:kern w:val="2"/>
          <w:sz w:val="24"/>
          <w:szCs w:val="24"/>
          <w:lang w:val="en-US" w:eastAsia="zh-CN"/>
        </w:rPr>
        <w:t>Drewe</w:t>
      </w:r>
      <w:proofErr w:type="spellEnd"/>
      <w:r w:rsidRPr="0039437F">
        <w:rPr>
          <w:rFonts w:ascii="Book Antiqua" w:hAnsi="Book Antiqua" w:cs="Times New Roman"/>
          <w:kern w:val="2"/>
          <w:sz w:val="24"/>
          <w:szCs w:val="24"/>
          <w:lang w:val="en-US" w:eastAsia="zh-CN"/>
        </w:rPr>
        <w:t xml:space="preserve"> J, </w:t>
      </w:r>
      <w:proofErr w:type="spellStart"/>
      <w:r w:rsidRPr="0039437F">
        <w:rPr>
          <w:rFonts w:ascii="Book Antiqua" w:hAnsi="Book Antiqua" w:cs="Times New Roman"/>
          <w:kern w:val="2"/>
          <w:sz w:val="24"/>
          <w:szCs w:val="24"/>
          <w:lang w:val="en-US" w:eastAsia="zh-CN"/>
        </w:rPr>
        <w:t>Pflimlin</w:t>
      </w:r>
      <w:proofErr w:type="spellEnd"/>
      <w:r w:rsidRPr="0039437F">
        <w:rPr>
          <w:rFonts w:ascii="Book Antiqua" w:hAnsi="Book Antiqua" w:cs="Times New Roman"/>
          <w:kern w:val="2"/>
          <w:sz w:val="24"/>
          <w:szCs w:val="24"/>
          <w:lang w:val="en-US" w:eastAsia="zh-CN"/>
        </w:rPr>
        <w:t xml:space="preserve"> E, </w:t>
      </w:r>
      <w:proofErr w:type="spellStart"/>
      <w:r w:rsidRPr="0039437F">
        <w:rPr>
          <w:rFonts w:ascii="Book Antiqua" w:hAnsi="Book Antiqua" w:cs="Times New Roman"/>
          <w:kern w:val="2"/>
          <w:sz w:val="24"/>
          <w:szCs w:val="24"/>
          <w:lang w:val="en-US" w:eastAsia="zh-CN"/>
        </w:rPr>
        <w:t>Beglinger</w:t>
      </w:r>
      <w:proofErr w:type="spellEnd"/>
      <w:r w:rsidRPr="0039437F">
        <w:rPr>
          <w:rFonts w:ascii="Book Antiqua" w:hAnsi="Book Antiqua" w:cs="Times New Roman"/>
          <w:kern w:val="2"/>
          <w:sz w:val="24"/>
          <w:szCs w:val="24"/>
          <w:lang w:val="en-US" w:eastAsia="zh-CN"/>
        </w:rPr>
        <w:t xml:space="preserve"> C. Conscious sedation with propofol in elderly patients: a prospective evaluation. </w:t>
      </w:r>
      <w:r w:rsidRPr="0039437F">
        <w:rPr>
          <w:rFonts w:ascii="Book Antiqua" w:hAnsi="Book Antiqua" w:cs="Times New Roman"/>
          <w:i/>
          <w:kern w:val="2"/>
          <w:sz w:val="24"/>
          <w:szCs w:val="24"/>
          <w:lang w:val="en-US" w:eastAsia="zh-CN"/>
        </w:rPr>
        <w:t xml:space="preserve">Aliment </w:t>
      </w:r>
      <w:proofErr w:type="spellStart"/>
      <w:r w:rsidRPr="0039437F">
        <w:rPr>
          <w:rFonts w:ascii="Book Antiqua" w:hAnsi="Book Antiqua" w:cs="Times New Roman"/>
          <w:i/>
          <w:kern w:val="2"/>
          <w:sz w:val="24"/>
          <w:szCs w:val="24"/>
          <w:lang w:val="en-US" w:eastAsia="zh-CN"/>
        </w:rPr>
        <w:t>Pharmacol</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Ther</w:t>
      </w:r>
      <w:proofErr w:type="spellEnd"/>
      <w:r w:rsidRPr="0039437F">
        <w:rPr>
          <w:rFonts w:ascii="Book Antiqua" w:hAnsi="Book Antiqua" w:cs="Times New Roman"/>
          <w:kern w:val="2"/>
          <w:sz w:val="24"/>
          <w:szCs w:val="24"/>
          <w:lang w:val="en-US" w:eastAsia="zh-CN"/>
        </w:rPr>
        <w:t xml:space="preserve"> 2003; </w:t>
      </w:r>
      <w:r w:rsidRPr="0039437F">
        <w:rPr>
          <w:rFonts w:ascii="Book Antiqua" w:hAnsi="Book Antiqua" w:cs="Times New Roman"/>
          <w:b/>
          <w:kern w:val="2"/>
          <w:sz w:val="24"/>
          <w:szCs w:val="24"/>
          <w:lang w:val="en-US" w:eastAsia="zh-CN"/>
        </w:rPr>
        <w:t>17</w:t>
      </w:r>
      <w:r w:rsidRPr="0039437F">
        <w:rPr>
          <w:rFonts w:ascii="Book Antiqua" w:hAnsi="Book Antiqua" w:cs="Times New Roman"/>
          <w:kern w:val="2"/>
          <w:sz w:val="24"/>
          <w:szCs w:val="24"/>
          <w:lang w:val="en-US" w:eastAsia="zh-CN"/>
        </w:rPr>
        <w:t>: 1493-1501 [PMID: 12823151 DOI: 10.1046/j.1365-2036.2003.01608.x]</w:t>
      </w:r>
    </w:p>
    <w:p w14:paraId="78F41F1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34 </w:t>
      </w:r>
      <w:proofErr w:type="spellStart"/>
      <w:r w:rsidRPr="0039437F">
        <w:rPr>
          <w:rFonts w:ascii="Book Antiqua" w:hAnsi="Book Antiqua" w:cs="Times New Roman"/>
          <w:b/>
          <w:kern w:val="2"/>
          <w:sz w:val="24"/>
          <w:szCs w:val="24"/>
          <w:lang w:val="en-US" w:eastAsia="zh-CN"/>
        </w:rPr>
        <w:t>Razavi</w:t>
      </w:r>
      <w:proofErr w:type="spellEnd"/>
      <w:r w:rsidRPr="0039437F">
        <w:rPr>
          <w:rFonts w:ascii="Book Antiqua" w:hAnsi="Book Antiqua" w:cs="Times New Roman"/>
          <w:b/>
          <w:kern w:val="2"/>
          <w:sz w:val="24"/>
          <w:szCs w:val="24"/>
          <w:lang w:val="en-US" w:eastAsia="zh-CN"/>
        </w:rPr>
        <w:t xml:space="preserve"> F</w:t>
      </w:r>
      <w:r w:rsidRPr="0039437F">
        <w:rPr>
          <w:rFonts w:ascii="Book Antiqua" w:hAnsi="Book Antiqua" w:cs="Times New Roman"/>
          <w:kern w:val="2"/>
          <w:sz w:val="24"/>
          <w:szCs w:val="24"/>
          <w:lang w:val="en-US" w:eastAsia="zh-CN"/>
        </w:rPr>
        <w:t xml:space="preserve">, Gross S, Katz S. Endoscopy in the elderly: risks, benefits, and yield of common endoscopic procedures.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Geriatr</w:t>
      </w:r>
      <w:proofErr w:type="spellEnd"/>
      <w:r w:rsidRPr="0039437F">
        <w:rPr>
          <w:rFonts w:ascii="Book Antiqua" w:hAnsi="Book Antiqua" w:cs="Times New Roman"/>
          <w:i/>
          <w:kern w:val="2"/>
          <w:sz w:val="24"/>
          <w:szCs w:val="24"/>
          <w:lang w:val="en-US" w:eastAsia="zh-CN"/>
        </w:rPr>
        <w:t xml:space="preserve"> Med</w:t>
      </w:r>
      <w:r w:rsidRPr="0039437F">
        <w:rPr>
          <w:rFonts w:ascii="Book Antiqua" w:hAnsi="Book Antiqua" w:cs="Times New Roman"/>
          <w:kern w:val="2"/>
          <w:sz w:val="24"/>
          <w:szCs w:val="24"/>
          <w:lang w:val="en-US" w:eastAsia="zh-CN"/>
        </w:rPr>
        <w:t xml:space="preserve"> 2014; </w:t>
      </w:r>
      <w:r w:rsidRPr="0039437F">
        <w:rPr>
          <w:rFonts w:ascii="Book Antiqua" w:hAnsi="Book Antiqua" w:cs="Times New Roman"/>
          <w:b/>
          <w:kern w:val="2"/>
          <w:sz w:val="24"/>
          <w:szCs w:val="24"/>
          <w:lang w:val="en-US" w:eastAsia="zh-CN"/>
        </w:rPr>
        <w:t>30</w:t>
      </w:r>
      <w:r w:rsidRPr="0039437F">
        <w:rPr>
          <w:rFonts w:ascii="Book Antiqua" w:hAnsi="Book Antiqua" w:cs="Times New Roman"/>
          <w:kern w:val="2"/>
          <w:sz w:val="24"/>
          <w:szCs w:val="24"/>
          <w:lang w:val="en-US" w:eastAsia="zh-CN"/>
        </w:rPr>
        <w:t>: 133-147 [PMID: 24267608 DOI: 10.1016/j.cger.2013.10.010]</w:t>
      </w:r>
    </w:p>
    <w:p w14:paraId="485A93F2"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35 </w:t>
      </w:r>
      <w:r w:rsidRPr="0039437F">
        <w:rPr>
          <w:rFonts w:ascii="Book Antiqua" w:hAnsi="Book Antiqua" w:cs="Times New Roman"/>
          <w:b/>
          <w:kern w:val="2"/>
          <w:sz w:val="24"/>
          <w:szCs w:val="24"/>
          <w:lang w:val="en-US" w:eastAsia="zh-CN"/>
        </w:rPr>
        <w:t>Cohen LB</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Delegge</w:t>
      </w:r>
      <w:proofErr w:type="spellEnd"/>
      <w:r w:rsidRPr="0039437F">
        <w:rPr>
          <w:rFonts w:ascii="Book Antiqua" w:hAnsi="Book Antiqua" w:cs="Times New Roman"/>
          <w:kern w:val="2"/>
          <w:sz w:val="24"/>
          <w:szCs w:val="24"/>
          <w:lang w:val="en-US" w:eastAsia="zh-CN"/>
        </w:rPr>
        <w:t xml:space="preserve"> MH, </w:t>
      </w:r>
      <w:proofErr w:type="spellStart"/>
      <w:r w:rsidRPr="0039437F">
        <w:rPr>
          <w:rFonts w:ascii="Book Antiqua" w:hAnsi="Book Antiqua" w:cs="Times New Roman"/>
          <w:kern w:val="2"/>
          <w:sz w:val="24"/>
          <w:szCs w:val="24"/>
          <w:lang w:val="en-US" w:eastAsia="zh-CN"/>
        </w:rPr>
        <w:t>Aisenberg</w:t>
      </w:r>
      <w:proofErr w:type="spellEnd"/>
      <w:r w:rsidRPr="0039437F">
        <w:rPr>
          <w:rFonts w:ascii="Book Antiqua" w:hAnsi="Book Antiqua" w:cs="Times New Roman"/>
          <w:kern w:val="2"/>
          <w:sz w:val="24"/>
          <w:szCs w:val="24"/>
          <w:lang w:val="en-US" w:eastAsia="zh-CN"/>
        </w:rPr>
        <w:t xml:space="preserve"> J, Brill JV, </w:t>
      </w:r>
      <w:proofErr w:type="spellStart"/>
      <w:r w:rsidRPr="0039437F">
        <w:rPr>
          <w:rFonts w:ascii="Book Antiqua" w:hAnsi="Book Antiqua" w:cs="Times New Roman"/>
          <w:kern w:val="2"/>
          <w:sz w:val="24"/>
          <w:szCs w:val="24"/>
          <w:lang w:val="en-US" w:eastAsia="zh-CN"/>
        </w:rPr>
        <w:t>Inadomi</w:t>
      </w:r>
      <w:proofErr w:type="spellEnd"/>
      <w:r w:rsidRPr="0039437F">
        <w:rPr>
          <w:rFonts w:ascii="Book Antiqua" w:hAnsi="Book Antiqua" w:cs="Times New Roman"/>
          <w:kern w:val="2"/>
          <w:sz w:val="24"/>
          <w:szCs w:val="24"/>
          <w:lang w:val="en-US" w:eastAsia="zh-CN"/>
        </w:rPr>
        <w:t xml:space="preserve"> JM, </w:t>
      </w:r>
      <w:proofErr w:type="spellStart"/>
      <w:r w:rsidRPr="0039437F">
        <w:rPr>
          <w:rFonts w:ascii="Book Antiqua" w:hAnsi="Book Antiqua" w:cs="Times New Roman"/>
          <w:kern w:val="2"/>
          <w:sz w:val="24"/>
          <w:szCs w:val="24"/>
          <w:lang w:val="en-US" w:eastAsia="zh-CN"/>
        </w:rPr>
        <w:t>Kochman</w:t>
      </w:r>
      <w:proofErr w:type="spellEnd"/>
      <w:r w:rsidRPr="0039437F">
        <w:rPr>
          <w:rFonts w:ascii="Book Antiqua" w:hAnsi="Book Antiqua" w:cs="Times New Roman"/>
          <w:kern w:val="2"/>
          <w:sz w:val="24"/>
          <w:szCs w:val="24"/>
          <w:lang w:val="en-US" w:eastAsia="zh-CN"/>
        </w:rPr>
        <w:t xml:space="preserve"> ML, </w:t>
      </w:r>
      <w:proofErr w:type="spellStart"/>
      <w:r w:rsidRPr="0039437F">
        <w:rPr>
          <w:rFonts w:ascii="Book Antiqua" w:hAnsi="Book Antiqua" w:cs="Times New Roman"/>
          <w:kern w:val="2"/>
          <w:sz w:val="24"/>
          <w:szCs w:val="24"/>
          <w:lang w:val="en-US" w:eastAsia="zh-CN"/>
        </w:rPr>
        <w:t>Piorkowski</w:t>
      </w:r>
      <w:proofErr w:type="spellEnd"/>
      <w:r w:rsidRPr="0039437F">
        <w:rPr>
          <w:rFonts w:ascii="Book Antiqua" w:hAnsi="Book Antiqua" w:cs="Times New Roman"/>
          <w:kern w:val="2"/>
          <w:sz w:val="24"/>
          <w:szCs w:val="24"/>
          <w:lang w:val="en-US" w:eastAsia="zh-CN"/>
        </w:rPr>
        <w:t xml:space="preserve"> JD Jr; AGA Institute. AGA Institute review of endoscopic sedation. </w:t>
      </w:r>
      <w:r w:rsidRPr="0039437F">
        <w:rPr>
          <w:rFonts w:ascii="Book Antiqua" w:hAnsi="Book Antiqua" w:cs="Times New Roman"/>
          <w:i/>
          <w:kern w:val="2"/>
          <w:sz w:val="24"/>
          <w:szCs w:val="24"/>
          <w:lang w:val="en-US" w:eastAsia="zh-CN"/>
        </w:rPr>
        <w:t>Gastroenterology</w:t>
      </w:r>
      <w:r w:rsidRPr="0039437F">
        <w:rPr>
          <w:rFonts w:ascii="Book Antiqua" w:hAnsi="Book Antiqua" w:cs="Times New Roman"/>
          <w:kern w:val="2"/>
          <w:sz w:val="24"/>
          <w:szCs w:val="24"/>
          <w:lang w:val="en-US" w:eastAsia="zh-CN"/>
        </w:rPr>
        <w:t xml:space="preserve"> 2007; </w:t>
      </w:r>
      <w:r w:rsidRPr="0039437F">
        <w:rPr>
          <w:rFonts w:ascii="Book Antiqua" w:hAnsi="Book Antiqua" w:cs="Times New Roman"/>
          <w:b/>
          <w:kern w:val="2"/>
          <w:sz w:val="24"/>
          <w:szCs w:val="24"/>
          <w:lang w:val="en-US" w:eastAsia="zh-CN"/>
        </w:rPr>
        <w:t>133</w:t>
      </w:r>
      <w:r w:rsidRPr="0039437F">
        <w:rPr>
          <w:rFonts w:ascii="Book Antiqua" w:hAnsi="Book Antiqua" w:cs="Times New Roman"/>
          <w:kern w:val="2"/>
          <w:sz w:val="24"/>
          <w:szCs w:val="24"/>
          <w:lang w:val="en-US" w:eastAsia="zh-CN"/>
        </w:rPr>
        <w:t>: 675-701 [PMID: 17681185 DOI: 10.1053/j.gastro.2007.06.002]</w:t>
      </w:r>
    </w:p>
    <w:p w14:paraId="55EA80D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36 </w:t>
      </w:r>
      <w:r w:rsidRPr="0039437F">
        <w:rPr>
          <w:rFonts w:ascii="Book Antiqua" w:hAnsi="Book Antiqua" w:cs="Times New Roman"/>
          <w:b/>
          <w:kern w:val="2"/>
          <w:sz w:val="24"/>
          <w:szCs w:val="24"/>
          <w:lang w:val="en-US" w:eastAsia="zh-CN"/>
        </w:rPr>
        <w:t>Bell GD</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Spickett</w:t>
      </w:r>
      <w:proofErr w:type="spellEnd"/>
      <w:r w:rsidRPr="0039437F">
        <w:rPr>
          <w:rFonts w:ascii="Book Antiqua" w:hAnsi="Book Antiqua" w:cs="Times New Roman"/>
          <w:kern w:val="2"/>
          <w:sz w:val="24"/>
          <w:szCs w:val="24"/>
          <w:lang w:val="en-US" w:eastAsia="zh-CN"/>
        </w:rPr>
        <w:t xml:space="preserve"> GP, Reeve PA, </w:t>
      </w:r>
      <w:proofErr w:type="spellStart"/>
      <w:r w:rsidRPr="0039437F">
        <w:rPr>
          <w:rFonts w:ascii="Book Antiqua" w:hAnsi="Book Antiqua" w:cs="Times New Roman"/>
          <w:kern w:val="2"/>
          <w:sz w:val="24"/>
          <w:szCs w:val="24"/>
          <w:lang w:val="en-US" w:eastAsia="zh-CN"/>
        </w:rPr>
        <w:t>Morden</w:t>
      </w:r>
      <w:proofErr w:type="spellEnd"/>
      <w:r w:rsidRPr="0039437F">
        <w:rPr>
          <w:rFonts w:ascii="Book Antiqua" w:hAnsi="Book Antiqua" w:cs="Times New Roman"/>
          <w:kern w:val="2"/>
          <w:sz w:val="24"/>
          <w:szCs w:val="24"/>
          <w:lang w:val="en-US" w:eastAsia="zh-CN"/>
        </w:rPr>
        <w:t xml:space="preserve"> A, Logan RF. Intravenous midazolam for upper gastrointestinal endoscopy: a study of 800 consecutive cases relating dose to age and sex of patient. </w:t>
      </w:r>
      <w:r w:rsidRPr="0039437F">
        <w:rPr>
          <w:rFonts w:ascii="Book Antiqua" w:hAnsi="Book Antiqua" w:cs="Times New Roman"/>
          <w:i/>
          <w:kern w:val="2"/>
          <w:sz w:val="24"/>
          <w:szCs w:val="24"/>
          <w:lang w:val="en-US" w:eastAsia="zh-CN"/>
        </w:rPr>
        <w:t xml:space="preserve">Br 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Pharmacol</w:t>
      </w:r>
      <w:proofErr w:type="spellEnd"/>
      <w:r w:rsidRPr="0039437F">
        <w:rPr>
          <w:rFonts w:ascii="Book Antiqua" w:hAnsi="Book Antiqua" w:cs="Times New Roman"/>
          <w:kern w:val="2"/>
          <w:sz w:val="24"/>
          <w:szCs w:val="24"/>
          <w:lang w:val="en-US" w:eastAsia="zh-CN"/>
        </w:rPr>
        <w:t xml:space="preserve"> 1987; </w:t>
      </w:r>
      <w:r w:rsidRPr="0039437F">
        <w:rPr>
          <w:rFonts w:ascii="Book Antiqua" w:hAnsi="Book Antiqua" w:cs="Times New Roman"/>
          <w:b/>
          <w:kern w:val="2"/>
          <w:sz w:val="24"/>
          <w:szCs w:val="24"/>
          <w:lang w:val="en-US" w:eastAsia="zh-CN"/>
        </w:rPr>
        <w:t>23</w:t>
      </w:r>
      <w:r w:rsidRPr="0039437F">
        <w:rPr>
          <w:rFonts w:ascii="Book Antiqua" w:hAnsi="Book Antiqua" w:cs="Times New Roman"/>
          <w:kern w:val="2"/>
          <w:sz w:val="24"/>
          <w:szCs w:val="24"/>
          <w:lang w:val="en-US" w:eastAsia="zh-CN"/>
        </w:rPr>
        <w:t>: 241-243 [PMID: 3828200 DOI: 10.1111/j.1365-2125.1987.tb03037.x]</w:t>
      </w:r>
    </w:p>
    <w:p w14:paraId="205E3883"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37 </w:t>
      </w:r>
      <w:r w:rsidRPr="0039437F">
        <w:rPr>
          <w:rFonts w:ascii="Book Antiqua" w:hAnsi="Book Antiqua" w:cs="Times New Roman"/>
          <w:b/>
          <w:kern w:val="2"/>
          <w:sz w:val="24"/>
          <w:szCs w:val="24"/>
          <w:lang w:val="en-US" w:eastAsia="zh-CN"/>
        </w:rPr>
        <w:t>Klotz U</w:t>
      </w:r>
      <w:r w:rsidRPr="0039437F">
        <w:rPr>
          <w:rFonts w:ascii="Book Antiqua" w:hAnsi="Book Antiqua" w:cs="Times New Roman"/>
          <w:kern w:val="2"/>
          <w:sz w:val="24"/>
          <w:szCs w:val="24"/>
          <w:lang w:val="en-US" w:eastAsia="zh-CN"/>
        </w:rPr>
        <w:t xml:space="preserve">, Avant GR, </w:t>
      </w:r>
      <w:proofErr w:type="spellStart"/>
      <w:r w:rsidRPr="0039437F">
        <w:rPr>
          <w:rFonts w:ascii="Book Antiqua" w:hAnsi="Book Antiqua" w:cs="Times New Roman"/>
          <w:kern w:val="2"/>
          <w:sz w:val="24"/>
          <w:szCs w:val="24"/>
          <w:lang w:val="en-US" w:eastAsia="zh-CN"/>
        </w:rPr>
        <w:t>Hoyumpa</w:t>
      </w:r>
      <w:proofErr w:type="spellEnd"/>
      <w:r w:rsidRPr="0039437F">
        <w:rPr>
          <w:rFonts w:ascii="Book Antiqua" w:hAnsi="Book Antiqua" w:cs="Times New Roman"/>
          <w:kern w:val="2"/>
          <w:sz w:val="24"/>
          <w:szCs w:val="24"/>
          <w:lang w:val="en-US" w:eastAsia="zh-CN"/>
        </w:rPr>
        <w:t xml:space="preserve"> A, Schenker S, Wilkinson GR. The effects of age and liver disease on the disposition and elimination of diazepam in adult man.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Invest</w:t>
      </w:r>
      <w:r w:rsidRPr="0039437F">
        <w:rPr>
          <w:rFonts w:ascii="Book Antiqua" w:hAnsi="Book Antiqua" w:cs="Times New Roman"/>
          <w:kern w:val="2"/>
          <w:sz w:val="24"/>
          <w:szCs w:val="24"/>
          <w:lang w:val="en-US" w:eastAsia="zh-CN"/>
        </w:rPr>
        <w:t xml:space="preserve"> 1975; </w:t>
      </w:r>
      <w:r w:rsidRPr="0039437F">
        <w:rPr>
          <w:rFonts w:ascii="Book Antiqua" w:hAnsi="Book Antiqua" w:cs="Times New Roman"/>
          <w:b/>
          <w:kern w:val="2"/>
          <w:sz w:val="24"/>
          <w:szCs w:val="24"/>
          <w:lang w:val="en-US" w:eastAsia="zh-CN"/>
        </w:rPr>
        <w:t>55</w:t>
      </w:r>
      <w:r w:rsidRPr="0039437F">
        <w:rPr>
          <w:rFonts w:ascii="Book Antiqua" w:hAnsi="Book Antiqua" w:cs="Times New Roman"/>
          <w:kern w:val="2"/>
          <w:sz w:val="24"/>
          <w:szCs w:val="24"/>
          <w:lang w:val="en-US" w:eastAsia="zh-CN"/>
        </w:rPr>
        <w:t>: 347-359 [PMID: 1127104 DOI: 10.1172/JCI107938]</w:t>
      </w:r>
    </w:p>
    <w:p w14:paraId="59AAC31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38 </w:t>
      </w:r>
      <w:proofErr w:type="spellStart"/>
      <w:r w:rsidRPr="0039437F">
        <w:rPr>
          <w:rFonts w:ascii="Book Antiqua" w:hAnsi="Book Antiqua" w:cs="Times New Roman"/>
          <w:b/>
          <w:kern w:val="2"/>
          <w:sz w:val="24"/>
          <w:szCs w:val="24"/>
          <w:lang w:val="en-US" w:eastAsia="zh-CN"/>
        </w:rPr>
        <w:t>Hamdy</w:t>
      </w:r>
      <w:proofErr w:type="spellEnd"/>
      <w:r w:rsidRPr="0039437F">
        <w:rPr>
          <w:rFonts w:ascii="Book Antiqua" w:hAnsi="Book Antiqua" w:cs="Times New Roman"/>
          <w:b/>
          <w:kern w:val="2"/>
          <w:sz w:val="24"/>
          <w:szCs w:val="24"/>
          <w:lang w:val="en-US" w:eastAsia="zh-CN"/>
        </w:rPr>
        <w:t xml:space="preserve"> NA</w:t>
      </w:r>
      <w:r w:rsidRPr="0039437F">
        <w:rPr>
          <w:rFonts w:ascii="Book Antiqua" w:hAnsi="Book Antiqua" w:cs="Times New Roman"/>
          <w:kern w:val="2"/>
          <w:sz w:val="24"/>
          <w:szCs w:val="24"/>
          <w:lang w:val="en-US" w:eastAsia="zh-CN"/>
        </w:rPr>
        <w:t xml:space="preserve">, Kennedy HJ, Nicholl J, Triger DR. Sedation for gastroscopy: a comparative study of midazolam and </w:t>
      </w:r>
      <w:proofErr w:type="spellStart"/>
      <w:r w:rsidRPr="0039437F">
        <w:rPr>
          <w:rFonts w:ascii="Book Antiqua" w:hAnsi="Book Antiqua" w:cs="Times New Roman"/>
          <w:kern w:val="2"/>
          <w:sz w:val="24"/>
          <w:szCs w:val="24"/>
          <w:lang w:val="en-US" w:eastAsia="zh-CN"/>
        </w:rPr>
        <w:t>Diazemuls</w:t>
      </w:r>
      <w:proofErr w:type="spellEnd"/>
      <w:r w:rsidRPr="0039437F">
        <w:rPr>
          <w:rFonts w:ascii="Book Antiqua" w:hAnsi="Book Antiqua" w:cs="Times New Roman"/>
          <w:kern w:val="2"/>
          <w:sz w:val="24"/>
          <w:szCs w:val="24"/>
          <w:lang w:val="en-US" w:eastAsia="zh-CN"/>
        </w:rPr>
        <w:t xml:space="preserve"> in patients with and without cirrhosis. </w:t>
      </w:r>
      <w:r w:rsidRPr="0039437F">
        <w:rPr>
          <w:rFonts w:ascii="Book Antiqua" w:hAnsi="Book Antiqua" w:cs="Times New Roman"/>
          <w:i/>
          <w:kern w:val="2"/>
          <w:sz w:val="24"/>
          <w:szCs w:val="24"/>
          <w:lang w:val="en-US" w:eastAsia="zh-CN"/>
        </w:rPr>
        <w:t xml:space="preserve">Br 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Pharmacol</w:t>
      </w:r>
      <w:proofErr w:type="spellEnd"/>
      <w:r w:rsidRPr="0039437F">
        <w:rPr>
          <w:rFonts w:ascii="Book Antiqua" w:hAnsi="Book Antiqua" w:cs="Times New Roman"/>
          <w:kern w:val="2"/>
          <w:sz w:val="24"/>
          <w:szCs w:val="24"/>
          <w:lang w:val="en-US" w:eastAsia="zh-CN"/>
        </w:rPr>
        <w:t xml:space="preserve"> 1986; </w:t>
      </w:r>
      <w:r w:rsidRPr="0039437F">
        <w:rPr>
          <w:rFonts w:ascii="Book Antiqua" w:hAnsi="Book Antiqua" w:cs="Times New Roman"/>
          <w:b/>
          <w:kern w:val="2"/>
          <w:sz w:val="24"/>
          <w:szCs w:val="24"/>
          <w:lang w:val="en-US" w:eastAsia="zh-CN"/>
        </w:rPr>
        <w:t>22</w:t>
      </w:r>
      <w:r w:rsidRPr="0039437F">
        <w:rPr>
          <w:rFonts w:ascii="Book Antiqua" w:hAnsi="Book Antiqua" w:cs="Times New Roman"/>
          <w:kern w:val="2"/>
          <w:sz w:val="24"/>
          <w:szCs w:val="24"/>
          <w:lang w:val="en-US" w:eastAsia="zh-CN"/>
        </w:rPr>
        <w:t>: 643-647 [PMID: 3552010 DOI: 10.1111/j.1365-2125.1986.tb02952.x]</w:t>
      </w:r>
    </w:p>
    <w:p w14:paraId="070B50D4"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39 </w:t>
      </w:r>
      <w:proofErr w:type="spellStart"/>
      <w:r w:rsidRPr="0039437F">
        <w:rPr>
          <w:rFonts w:ascii="Book Antiqua" w:hAnsi="Book Antiqua" w:cs="Times New Roman"/>
          <w:b/>
          <w:kern w:val="2"/>
          <w:sz w:val="24"/>
          <w:szCs w:val="24"/>
          <w:lang w:val="en-US" w:eastAsia="zh-CN"/>
        </w:rPr>
        <w:t>Haq</w:t>
      </w:r>
      <w:proofErr w:type="spellEnd"/>
      <w:r w:rsidRPr="0039437F">
        <w:rPr>
          <w:rFonts w:ascii="Book Antiqua" w:hAnsi="Book Antiqua" w:cs="Times New Roman"/>
          <w:b/>
          <w:kern w:val="2"/>
          <w:sz w:val="24"/>
          <w:szCs w:val="24"/>
          <w:lang w:val="en-US" w:eastAsia="zh-CN"/>
        </w:rPr>
        <w:t xml:space="preserve"> MM</w:t>
      </w:r>
      <w:r w:rsidRPr="0039437F">
        <w:rPr>
          <w:rFonts w:ascii="Book Antiqua" w:hAnsi="Book Antiqua" w:cs="Times New Roman"/>
          <w:kern w:val="2"/>
          <w:sz w:val="24"/>
          <w:szCs w:val="24"/>
          <w:lang w:val="en-US" w:eastAsia="zh-CN"/>
        </w:rPr>
        <w:t xml:space="preserve">, Faisal N, Khalil A, </w:t>
      </w:r>
      <w:proofErr w:type="spellStart"/>
      <w:r w:rsidRPr="0039437F">
        <w:rPr>
          <w:rFonts w:ascii="Book Antiqua" w:hAnsi="Book Antiqua" w:cs="Times New Roman"/>
          <w:kern w:val="2"/>
          <w:sz w:val="24"/>
          <w:szCs w:val="24"/>
          <w:lang w:val="en-US" w:eastAsia="zh-CN"/>
        </w:rPr>
        <w:t>Haqqi</w:t>
      </w:r>
      <w:proofErr w:type="spellEnd"/>
      <w:r w:rsidRPr="0039437F">
        <w:rPr>
          <w:rFonts w:ascii="Book Antiqua" w:hAnsi="Book Antiqua" w:cs="Times New Roman"/>
          <w:kern w:val="2"/>
          <w:sz w:val="24"/>
          <w:szCs w:val="24"/>
          <w:lang w:val="en-US" w:eastAsia="zh-CN"/>
        </w:rPr>
        <w:t xml:space="preserve"> SA, Shaikh H, </w:t>
      </w:r>
      <w:proofErr w:type="spellStart"/>
      <w:r w:rsidRPr="0039437F">
        <w:rPr>
          <w:rFonts w:ascii="Book Antiqua" w:hAnsi="Book Antiqua" w:cs="Times New Roman"/>
          <w:kern w:val="2"/>
          <w:sz w:val="24"/>
          <w:szCs w:val="24"/>
          <w:lang w:val="en-US" w:eastAsia="zh-CN"/>
        </w:rPr>
        <w:t>Arain</w:t>
      </w:r>
      <w:proofErr w:type="spellEnd"/>
      <w:r w:rsidRPr="0039437F">
        <w:rPr>
          <w:rFonts w:ascii="Book Antiqua" w:hAnsi="Book Antiqua" w:cs="Times New Roman"/>
          <w:kern w:val="2"/>
          <w:sz w:val="24"/>
          <w:szCs w:val="24"/>
          <w:lang w:val="en-US" w:eastAsia="zh-CN"/>
        </w:rPr>
        <w:t xml:space="preserve"> N. Midazolam for sedation during diagnostic or therapeutic upper gastrointestinal endoscopy in cirrhotic patients. </w:t>
      </w:r>
      <w:proofErr w:type="spellStart"/>
      <w:r w:rsidRPr="0039437F">
        <w:rPr>
          <w:rFonts w:ascii="Book Antiqua" w:hAnsi="Book Antiqua" w:cs="Times New Roman"/>
          <w:i/>
          <w:kern w:val="2"/>
          <w:sz w:val="24"/>
          <w:szCs w:val="24"/>
          <w:lang w:val="en-US" w:eastAsia="zh-CN"/>
        </w:rPr>
        <w:t>Eur</w:t>
      </w:r>
      <w:proofErr w:type="spellEnd"/>
      <w:r w:rsidRPr="0039437F">
        <w:rPr>
          <w:rFonts w:ascii="Book Antiqua" w:hAnsi="Book Antiqua" w:cs="Times New Roman"/>
          <w:i/>
          <w:kern w:val="2"/>
          <w:sz w:val="24"/>
          <w:szCs w:val="24"/>
          <w:lang w:val="en-US" w:eastAsia="zh-CN"/>
        </w:rPr>
        <w:t xml:space="preserve"> J Gastroenterol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2012; </w:t>
      </w:r>
      <w:r w:rsidRPr="0039437F">
        <w:rPr>
          <w:rFonts w:ascii="Book Antiqua" w:hAnsi="Book Antiqua" w:cs="Times New Roman"/>
          <w:b/>
          <w:kern w:val="2"/>
          <w:sz w:val="24"/>
          <w:szCs w:val="24"/>
          <w:lang w:val="en-US" w:eastAsia="zh-CN"/>
        </w:rPr>
        <w:t>24</w:t>
      </w:r>
      <w:r w:rsidRPr="0039437F">
        <w:rPr>
          <w:rFonts w:ascii="Book Antiqua" w:hAnsi="Book Antiqua" w:cs="Times New Roman"/>
          <w:kern w:val="2"/>
          <w:sz w:val="24"/>
          <w:szCs w:val="24"/>
          <w:lang w:val="en-US" w:eastAsia="zh-CN"/>
        </w:rPr>
        <w:t>: 1214-1218 [PMID: 22786572 DOI: 10.1097/MEG.0b013e328356ae49]</w:t>
      </w:r>
    </w:p>
    <w:p w14:paraId="58289813"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40 </w:t>
      </w:r>
      <w:r w:rsidRPr="0039437F">
        <w:rPr>
          <w:rFonts w:ascii="Book Antiqua" w:hAnsi="Book Antiqua" w:cs="Times New Roman"/>
          <w:b/>
          <w:kern w:val="2"/>
          <w:sz w:val="24"/>
          <w:szCs w:val="24"/>
          <w:lang w:val="en-US" w:eastAsia="zh-CN"/>
        </w:rPr>
        <w:t>Tsai HC</w:t>
      </w:r>
      <w:r w:rsidRPr="0039437F">
        <w:rPr>
          <w:rFonts w:ascii="Book Antiqua" w:hAnsi="Book Antiqua" w:cs="Times New Roman"/>
          <w:kern w:val="2"/>
          <w:sz w:val="24"/>
          <w:szCs w:val="24"/>
          <w:lang w:val="en-US" w:eastAsia="zh-CN"/>
        </w:rPr>
        <w:t xml:space="preserve">, Lin YC, </w:t>
      </w:r>
      <w:proofErr w:type="spellStart"/>
      <w:r w:rsidRPr="0039437F">
        <w:rPr>
          <w:rFonts w:ascii="Book Antiqua" w:hAnsi="Book Antiqua" w:cs="Times New Roman"/>
          <w:kern w:val="2"/>
          <w:sz w:val="24"/>
          <w:szCs w:val="24"/>
          <w:lang w:val="en-US" w:eastAsia="zh-CN"/>
        </w:rPr>
        <w:t>Ko</w:t>
      </w:r>
      <w:proofErr w:type="spellEnd"/>
      <w:r w:rsidRPr="0039437F">
        <w:rPr>
          <w:rFonts w:ascii="Book Antiqua" w:hAnsi="Book Antiqua" w:cs="Times New Roman"/>
          <w:kern w:val="2"/>
          <w:sz w:val="24"/>
          <w:szCs w:val="24"/>
          <w:lang w:val="en-US" w:eastAsia="zh-CN"/>
        </w:rPr>
        <w:t xml:space="preserve"> CL, Lou HY, Chen TL, Tam KW, Chen CY. Propofol versus midazolam for upper gastrointestinal endoscopy in cirrhotic patients: a </w:t>
      </w:r>
      <w:r w:rsidRPr="0039437F">
        <w:rPr>
          <w:rFonts w:ascii="Book Antiqua" w:hAnsi="Book Antiqua" w:cs="Times New Roman"/>
          <w:kern w:val="2"/>
          <w:sz w:val="24"/>
          <w:szCs w:val="24"/>
          <w:lang w:val="en-US" w:eastAsia="zh-CN"/>
        </w:rPr>
        <w:lastRenderedPageBreak/>
        <w:t xml:space="preserve">meta-analysis of randomized controlled trials. </w:t>
      </w:r>
      <w:proofErr w:type="spellStart"/>
      <w:r w:rsidRPr="0039437F">
        <w:rPr>
          <w:rFonts w:ascii="Book Antiqua" w:hAnsi="Book Antiqua" w:cs="Times New Roman"/>
          <w:i/>
          <w:kern w:val="2"/>
          <w:sz w:val="24"/>
          <w:szCs w:val="24"/>
          <w:lang w:val="en-US" w:eastAsia="zh-CN"/>
        </w:rPr>
        <w:t>PLoS</w:t>
      </w:r>
      <w:proofErr w:type="spellEnd"/>
      <w:r w:rsidRPr="0039437F">
        <w:rPr>
          <w:rFonts w:ascii="Book Antiqua" w:hAnsi="Book Antiqua" w:cs="Times New Roman"/>
          <w:i/>
          <w:kern w:val="2"/>
          <w:sz w:val="24"/>
          <w:szCs w:val="24"/>
          <w:lang w:val="en-US" w:eastAsia="zh-CN"/>
        </w:rPr>
        <w:t xml:space="preserve"> One</w:t>
      </w:r>
      <w:r w:rsidRPr="0039437F">
        <w:rPr>
          <w:rFonts w:ascii="Book Antiqua" w:hAnsi="Book Antiqua" w:cs="Times New Roman"/>
          <w:kern w:val="2"/>
          <w:sz w:val="24"/>
          <w:szCs w:val="24"/>
          <w:lang w:val="en-US" w:eastAsia="zh-CN"/>
        </w:rPr>
        <w:t xml:space="preserve"> 2015; </w:t>
      </w:r>
      <w:r w:rsidRPr="0039437F">
        <w:rPr>
          <w:rFonts w:ascii="Book Antiqua" w:hAnsi="Book Antiqua" w:cs="Times New Roman"/>
          <w:b/>
          <w:kern w:val="2"/>
          <w:sz w:val="24"/>
          <w:szCs w:val="24"/>
          <w:lang w:val="en-US" w:eastAsia="zh-CN"/>
        </w:rPr>
        <w:t>10</w:t>
      </w:r>
      <w:r w:rsidRPr="0039437F">
        <w:rPr>
          <w:rFonts w:ascii="Book Antiqua" w:hAnsi="Book Antiqua" w:cs="Times New Roman"/>
          <w:kern w:val="2"/>
          <w:sz w:val="24"/>
          <w:szCs w:val="24"/>
          <w:lang w:val="en-US" w:eastAsia="zh-CN"/>
        </w:rPr>
        <w:t>: e0117585 [PMID: 25646815 DOI: 10.1371/journal.pone.0117585]</w:t>
      </w:r>
    </w:p>
    <w:p w14:paraId="285F008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41 </w:t>
      </w:r>
      <w:r w:rsidRPr="0039437F">
        <w:rPr>
          <w:rFonts w:ascii="Book Antiqua" w:hAnsi="Book Antiqua" w:cs="Times New Roman"/>
          <w:b/>
          <w:kern w:val="2"/>
          <w:sz w:val="24"/>
          <w:szCs w:val="24"/>
          <w:lang w:val="en-US" w:eastAsia="zh-CN"/>
        </w:rPr>
        <w:t>Delgado AAA</w:t>
      </w:r>
      <w:r w:rsidRPr="0039437F">
        <w:rPr>
          <w:rFonts w:ascii="Book Antiqua" w:hAnsi="Book Antiqua" w:cs="Times New Roman"/>
          <w:kern w:val="2"/>
          <w:sz w:val="24"/>
          <w:szCs w:val="24"/>
          <w:lang w:val="en-US" w:eastAsia="zh-CN"/>
        </w:rPr>
        <w:t xml:space="preserve">, de Moura DTH, Ribeiro IB, </w:t>
      </w:r>
      <w:proofErr w:type="spellStart"/>
      <w:r w:rsidRPr="0039437F">
        <w:rPr>
          <w:rFonts w:ascii="Book Antiqua" w:hAnsi="Book Antiqua" w:cs="Times New Roman"/>
          <w:kern w:val="2"/>
          <w:sz w:val="24"/>
          <w:szCs w:val="24"/>
          <w:lang w:val="en-US" w:eastAsia="zh-CN"/>
        </w:rPr>
        <w:t>Bazarbashi</w:t>
      </w:r>
      <w:proofErr w:type="spellEnd"/>
      <w:r w:rsidRPr="0039437F">
        <w:rPr>
          <w:rFonts w:ascii="Book Antiqua" w:hAnsi="Book Antiqua" w:cs="Times New Roman"/>
          <w:kern w:val="2"/>
          <w:sz w:val="24"/>
          <w:szCs w:val="24"/>
          <w:lang w:val="en-US" w:eastAsia="zh-CN"/>
        </w:rPr>
        <w:t xml:space="preserve"> AN, Dos Santos MEL, Bernardo WM, de Moura EGH. Propofol </w:t>
      </w:r>
      <w:r w:rsidRPr="0039437F">
        <w:rPr>
          <w:rFonts w:ascii="Book Antiqua" w:hAnsi="Book Antiqua" w:cs="Times New Roman"/>
          <w:i/>
          <w:kern w:val="2"/>
          <w:sz w:val="24"/>
          <w:szCs w:val="24"/>
          <w:lang w:val="en-US" w:eastAsia="zh-CN"/>
        </w:rPr>
        <w:t>vs</w:t>
      </w:r>
      <w:r w:rsidRPr="0039437F">
        <w:rPr>
          <w:rFonts w:ascii="Book Antiqua" w:hAnsi="Book Antiqua" w:cs="Times New Roman"/>
          <w:kern w:val="2"/>
          <w:sz w:val="24"/>
          <w:szCs w:val="24"/>
          <w:lang w:val="en-US" w:eastAsia="zh-CN"/>
        </w:rPr>
        <w:t xml:space="preserve"> traditional sedatives for sedation in endoscopy: A systematic review and meta-analysis. </w:t>
      </w:r>
      <w:r w:rsidRPr="0039437F">
        <w:rPr>
          <w:rFonts w:ascii="Book Antiqua" w:hAnsi="Book Antiqua" w:cs="Times New Roman"/>
          <w:i/>
          <w:kern w:val="2"/>
          <w:sz w:val="24"/>
          <w:szCs w:val="24"/>
          <w:lang w:val="en-US" w:eastAsia="zh-CN"/>
        </w:rPr>
        <w:t xml:space="preserve">World J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11</w:t>
      </w:r>
      <w:r w:rsidRPr="0039437F">
        <w:rPr>
          <w:rFonts w:ascii="Book Antiqua" w:hAnsi="Book Antiqua" w:cs="Times New Roman"/>
          <w:kern w:val="2"/>
          <w:sz w:val="24"/>
          <w:szCs w:val="24"/>
          <w:lang w:val="en-US" w:eastAsia="zh-CN"/>
        </w:rPr>
        <w:t>: 573-588 [PMID: 31839876 DOI: 10.4253/wjge.v11.i12.573]</w:t>
      </w:r>
    </w:p>
    <w:p w14:paraId="5FA4C70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42 </w:t>
      </w:r>
      <w:proofErr w:type="spellStart"/>
      <w:r w:rsidRPr="0039437F">
        <w:rPr>
          <w:rFonts w:ascii="Book Antiqua" w:hAnsi="Book Antiqua" w:cs="Times New Roman"/>
          <w:b/>
          <w:kern w:val="2"/>
          <w:sz w:val="24"/>
          <w:szCs w:val="24"/>
          <w:lang w:val="en-US" w:eastAsia="zh-CN"/>
        </w:rPr>
        <w:t>Amorós</w:t>
      </w:r>
      <w:proofErr w:type="spellEnd"/>
      <w:r w:rsidRPr="0039437F">
        <w:rPr>
          <w:rFonts w:ascii="Book Antiqua" w:hAnsi="Book Antiqua" w:cs="Times New Roman"/>
          <w:b/>
          <w:kern w:val="2"/>
          <w:sz w:val="24"/>
          <w:szCs w:val="24"/>
          <w:lang w:val="en-US" w:eastAsia="zh-CN"/>
        </w:rPr>
        <w:t xml:space="preserve"> A</w:t>
      </w:r>
      <w:r w:rsidRPr="0039437F">
        <w:rPr>
          <w:rFonts w:ascii="Book Antiqua" w:hAnsi="Book Antiqua" w:cs="Times New Roman"/>
          <w:kern w:val="2"/>
          <w:sz w:val="24"/>
          <w:szCs w:val="24"/>
          <w:lang w:val="en-US" w:eastAsia="zh-CN"/>
        </w:rPr>
        <w:t xml:space="preserve">, Aparicio JR, </w:t>
      </w:r>
      <w:proofErr w:type="spellStart"/>
      <w:r w:rsidRPr="0039437F">
        <w:rPr>
          <w:rFonts w:ascii="Book Antiqua" w:hAnsi="Book Antiqua" w:cs="Times New Roman"/>
          <w:kern w:val="2"/>
          <w:sz w:val="24"/>
          <w:szCs w:val="24"/>
          <w:lang w:val="en-US" w:eastAsia="zh-CN"/>
        </w:rPr>
        <w:t>Garmendia</w:t>
      </w:r>
      <w:proofErr w:type="spellEnd"/>
      <w:r w:rsidRPr="0039437F">
        <w:rPr>
          <w:rFonts w:ascii="Book Antiqua" w:hAnsi="Book Antiqua" w:cs="Times New Roman"/>
          <w:kern w:val="2"/>
          <w:sz w:val="24"/>
          <w:szCs w:val="24"/>
          <w:lang w:val="en-US" w:eastAsia="zh-CN"/>
        </w:rPr>
        <w:t xml:space="preserve"> M, </w:t>
      </w:r>
      <w:proofErr w:type="spellStart"/>
      <w:r w:rsidRPr="0039437F">
        <w:rPr>
          <w:rFonts w:ascii="Book Antiqua" w:hAnsi="Book Antiqua" w:cs="Times New Roman"/>
          <w:kern w:val="2"/>
          <w:sz w:val="24"/>
          <w:szCs w:val="24"/>
          <w:lang w:val="en-US" w:eastAsia="zh-CN"/>
        </w:rPr>
        <w:t>Casellas</w:t>
      </w:r>
      <w:proofErr w:type="spellEnd"/>
      <w:r w:rsidRPr="0039437F">
        <w:rPr>
          <w:rFonts w:ascii="Book Antiqua" w:hAnsi="Book Antiqua" w:cs="Times New Roman"/>
          <w:kern w:val="2"/>
          <w:sz w:val="24"/>
          <w:szCs w:val="24"/>
          <w:lang w:val="en-US" w:eastAsia="zh-CN"/>
        </w:rPr>
        <w:t xml:space="preserve"> JA, Martínez J, </w:t>
      </w:r>
      <w:proofErr w:type="spellStart"/>
      <w:r w:rsidRPr="0039437F">
        <w:rPr>
          <w:rFonts w:ascii="Book Antiqua" w:hAnsi="Book Antiqua" w:cs="Times New Roman"/>
          <w:kern w:val="2"/>
          <w:sz w:val="24"/>
          <w:szCs w:val="24"/>
          <w:lang w:val="en-US" w:eastAsia="zh-CN"/>
        </w:rPr>
        <w:t>Jover</w:t>
      </w:r>
      <w:proofErr w:type="spellEnd"/>
      <w:r w:rsidRPr="0039437F">
        <w:rPr>
          <w:rFonts w:ascii="Book Antiqua" w:hAnsi="Book Antiqua" w:cs="Times New Roman"/>
          <w:kern w:val="2"/>
          <w:sz w:val="24"/>
          <w:szCs w:val="24"/>
          <w:lang w:val="en-US" w:eastAsia="zh-CN"/>
        </w:rPr>
        <w:t xml:space="preserve"> R. Deep sedation with propofol does not precipitate hepatic encephalopathy during elective upper endoscopy.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70</w:t>
      </w:r>
      <w:r w:rsidRPr="0039437F">
        <w:rPr>
          <w:rFonts w:ascii="Book Antiqua" w:hAnsi="Book Antiqua" w:cs="Times New Roman"/>
          <w:kern w:val="2"/>
          <w:sz w:val="24"/>
          <w:szCs w:val="24"/>
          <w:lang w:val="en-US" w:eastAsia="zh-CN"/>
        </w:rPr>
        <w:t>: 262-268 [PMID: 19394004 DOI: 10.1016/j.gie.2008.10.038]</w:t>
      </w:r>
    </w:p>
    <w:p w14:paraId="4F75803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43 </w:t>
      </w:r>
      <w:proofErr w:type="spellStart"/>
      <w:r w:rsidRPr="0039437F">
        <w:rPr>
          <w:rFonts w:ascii="Book Antiqua" w:hAnsi="Book Antiqua" w:cs="Times New Roman"/>
          <w:b/>
          <w:kern w:val="2"/>
          <w:sz w:val="24"/>
          <w:szCs w:val="24"/>
          <w:lang w:val="en-US" w:eastAsia="zh-CN"/>
        </w:rPr>
        <w:t>Thuluvath</w:t>
      </w:r>
      <w:proofErr w:type="spellEnd"/>
      <w:r w:rsidRPr="0039437F">
        <w:rPr>
          <w:rFonts w:ascii="Book Antiqua" w:hAnsi="Book Antiqua" w:cs="Times New Roman"/>
          <w:b/>
          <w:kern w:val="2"/>
          <w:sz w:val="24"/>
          <w:szCs w:val="24"/>
          <w:lang w:val="en-US" w:eastAsia="zh-CN"/>
        </w:rPr>
        <w:t xml:space="preserve"> PJ</w:t>
      </w:r>
      <w:r w:rsidRPr="0039437F">
        <w:rPr>
          <w:rFonts w:ascii="Book Antiqua" w:hAnsi="Book Antiqua" w:cs="Times New Roman"/>
          <w:kern w:val="2"/>
          <w:sz w:val="24"/>
          <w:szCs w:val="24"/>
          <w:lang w:val="en-US" w:eastAsia="zh-CN"/>
        </w:rPr>
        <w:t xml:space="preserve">. Toward safer sedation in patients with cirrhosis: have we done enough?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70</w:t>
      </w:r>
      <w:r w:rsidRPr="0039437F">
        <w:rPr>
          <w:rFonts w:ascii="Book Antiqua" w:hAnsi="Book Antiqua" w:cs="Times New Roman"/>
          <w:kern w:val="2"/>
          <w:sz w:val="24"/>
          <w:szCs w:val="24"/>
          <w:lang w:val="en-US" w:eastAsia="zh-CN"/>
        </w:rPr>
        <w:t>: 269-271 [PMID: 19631803 DOI: 10.1016/j.gie.2009.01.029]</w:t>
      </w:r>
    </w:p>
    <w:p w14:paraId="69C56C5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44 </w:t>
      </w:r>
      <w:r w:rsidRPr="0039437F">
        <w:rPr>
          <w:rFonts w:ascii="Book Antiqua" w:hAnsi="Book Antiqua" w:cs="Times New Roman"/>
          <w:b/>
          <w:kern w:val="2"/>
          <w:sz w:val="24"/>
          <w:szCs w:val="24"/>
          <w:lang w:val="en-US" w:eastAsia="zh-CN"/>
        </w:rPr>
        <w:t>Sharma P</w:t>
      </w:r>
      <w:r w:rsidRPr="0039437F">
        <w:rPr>
          <w:rFonts w:ascii="Book Antiqua" w:hAnsi="Book Antiqua" w:cs="Times New Roman"/>
          <w:kern w:val="2"/>
          <w:sz w:val="24"/>
          <w:szCs w:val="24"/>
          <w:lang w:val="en-US" w:eastAsia="zh-CN"/>
        </w:rPr>
        <w:t xml:space="preserve">, Singh S, Sharma BC, Kumar M, Garg H, Kumar A, Sarin SK. Propofol sedation during endoscopy in patients with cirrhosis, and utility of psychometric tests and critical flicker frequency in assessment of recovery from sedation.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2011; </w:t>
      </w:r>
      <w:r w:rsidRPr="0039437F">
        <w:rPr>
          <w:rFonts w:ascii="Book Antiqua" w:hAnsi="Book Antiqua" w:cs="Times New Roman"/>
          <w:b/>
          <w:kern w:val="2"/>
          <w:sz w:val="24"/>
          <w:szCs w:val="24"/>
          <w:lang w:val="en-US" w:eastAsia="zh-CN"/>
        </w:rPr>
        <w:t>43</w:t>
      </w:r>
      <w:r w:rsidRPr="0039437F">
        <w:rPr>
          <w:rFonts w:ascii="Book Antiqua" w:hAnsi="Book Antiqua" w:cs="Times New Roman"/>
          <w:kern w:val="2"/>
          <w:sz w:val="24"/>
          <w:szCs w:val="24"/>
          <w:lang w:val="en-US" w:eastAsia="zh-CN"/>
        </w:rPr>
        <w:t>: 400-405 [PMID: 21547878 DOI: 10.1055/s-0030-1256182]</w:t>
      </w:r>
    </w:p>
    <w:p w14:paraId="55D93631"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45 </w:t>
      </w:r>
      <w:r w:rsidRPr="0039437F">
        <w:rPr>
          <w:rFonts w:ascii="Book Antiqua" w:hAnsi="Book Antiqua" w:cs="Times New Roman"/>
          <w:b/>
          <w:kern w:val="2"/>
          <w:sz w:val="24"/>
          <w:szCs w:val="24"/>
          <w:lang w:val="en-US" w:eastAsia="zh-CN"/>
        </w:rPr>
        <w:t>Tanaka N</w:t>
      </w:r>
      <w:r w:rsidRPr="0039437F">
        <w:rPr>
          <w:rFonts w:ascii="Book Antiqua" w:hAnsi="Book Antiqua" w:cs="Times New Roman"/>
          <w:kern w:val="2"/>
          <w:sz w:val="24"/>
          <w:szCs w:val="24"/>
          <w:lang w:val="en-US" w:eastAsia="zh-CN"/>
        </w:rPr>
        <w:t xml:space="preserve">, Horiuchi A, Nakayama Y, </w:t>
      </w:r>
      <w:proofErr w:type="spellStart"/>
      <w:r w:rsidRPr="0039437F">
        <w:rPr>
          <w:rFonts w:ascii="Book Antiqua" w:hAnsi="Book Antiqua" w:cs="Times New Roman"/>
          <w:kern w:val="2"/>
          <w:sz w:val="24"/>
          <w:szCs w:val="24"/>
          <w:lang w:val="en-US" w:eastAsia="zh-CN"/>
        </w:rPr>
        <w:t>Katsuyama</w:t>
      </w:r>
      <w:proofErr w:type="spellEnd"/>
      <w:r w:rsidRPr="0039437F">
        <w:rPr>
          <w:rFonts w:ascii="Book Antiqua" w:hAnsi="Book Antiqua" w:cs="Times New Roman"/>
          <w:kern w:val="2"/>
          <w:sz w:val="24"/>
          <w:szCs w:val="24"/>
          <w:lang w:val="en-US" w:eastAsia="zh-CN"/>
        </w:rPr>
        <w:t xml:space="preserve"> Y, </w:t>
      </w:r>
      <w:proofErr w:type="spellStart"/>
      <w:r w:rsidRPr="0039437F">
        <w:rPr>
          <w:rFonts w:ascii="Book Antiqua" w:hAnsi="Book Antiqua" w:cs="Times New Roman"/>
          <w:kern w:val="2"/>
          <w:sz w:val="24"/>
          <w:szCs w:val="24"/>
          <w:lang w:val="en-US" w:eastAsia="zh-CN"/>
        </w:rPr>
        <w:t>Isobe</w:t>
      </w:r>
      <w:proofErr w:type="spellEnd"/>
      <w:r w:rsidRPr="0039437F">
        <w:rPr>
          <w:rFonts w:ascii="Book Antiqua" w:hAnsi="Book Antiqua" w:cs="Times New Roman"/>
          <w:kern w:val="2"/>
          <w:sz w:val="24"/>
          <w:szCs w:val="24"/>
          <w:lang w:val="en-US" w:eastAsia="zh-CN"/>
        </w:rPr>
        <w:t xml:space="preserve"> M, Aoyama T, Tanaka E, </w:t>
      </w:r>
      <w:proofErr w:type="spellStart"/>
      <w:r w:rsidRPr="0039437F">
        <w:rPr>
          <w:rFonts w:ascii="Book Antiqua" w:hAnsi="Book Antiqua" w:cs="Times New Roman"/>
          <w:kern w:val="2"/>
          <w:sz w:val="24"/>
          <w:szCs w:val="24"/>
          <w:lang w:val="en-US" w:eastAsia="zh-CN"/>
        </w:rPr>
        <w:t>Ohmori</w:t>
      </w:r>
      <w:proofErr w:type="spellEnd"/>
      <w:r w:rsidRPr="0039437F">
        <w:rPr>
          <w:rFonts w:ascii="Book Antiqua" w:hAnsi="Book Antiqua" w:cs="Times New Roman"/>
          <w:kern w:val="2"/>
          <w:sz w:val="24"/>
          <w:szCs w:val="24"/>
          <w:lang w:val="en-US" w:eastAsia="zh-CN"/>
        </w:rPr>
        <w:t xml:space="preserve"> S. Safety and effectiveness of low-dose propofol sedation during and after esophagogastroduodenoscopy in child A and B cirrhotic patients. </w:t>
      </w:r>
      <w:r w:rsidRPr="0039437F">
        <w:rPr>
          <w:rFonts w:ascii="Book Antiqua" w:hAnsi="Book Antiqua" w:cs="Times New Roman"/>
          <w:i/>
          <w:kern w:val="2"/>
          <w:sz w:val="24"/>
          <w:szCs w:val="24"/>
          <w:lang w:val="en-US" w:eastAsia="zh-CN"/>
        </w:rPr>
        <w:t>Dig Dis Sci</w:t>
      </w:r>
      <w:r w:rsidRPr="0039437F">
        <w:rPr>
          <w:rFonts w:ascii="Book Antiqua" w:hAnsi="Book Antiqua" w:cs="Times New Roman"/>
          <w:kern w:val="2"/>
          <w:sz w:val="24"/>
          <w:szCs w:val="24"/>
          <w:lang w:val="en-US" w:eastAsia="zh-CN"/>
        </w:rPr>
        <w:t xml:space="preserve"> 2013; </w:t>
      </w:r>
      <w:r w:rsidRPr="0039437F">
        <w:rPr>
          <w:rFonts w:ascii="Book Antiqua" w:hAnsi="Book Antiqua" w:cs="Times New Roman"/>
          <w:b/>
          <w:kern w:val="2"/>
          <w:sz w:val="24"/>
          <w:szCs w:val="24"/>
          <w:lang w:val="en-US" w:eastAsia="zh-CN"/>
        </w:rPr>
        <w:t>58</w:t>
      </w:r>
      <w:r w:rsidRPr="0039437F">
        <w:rPr>
          <w:rFonts w:ascii="Book Antiqua" w:hAnsi="Book Antiqua" w:cs="Times New Roman"/>
          <w:kern w:val="2"/>
          <w:sz w:val="24"/>
          <w:szCs w:val="24"/>
          <w:lang w:val="en-US" w:eastAsia="zh-CN"/>
        </w:rPr>
        <w:t>: 1383-1389 [PMID: 23179158 DOI: 10.1007/s10620-012-2483-y]</w:t>
      </w:r>
    </w:p>
    <w:p w14:paraId="0900DCAE"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46 </w:t>
      </w:r>
      <w:r w:rsidRPr="0039437F">
        <w:rPr>
          <w:rFonts w:ascii="Book Antiqua" w:hAnsi="Book Antiqua" w:cs="Times New Roman"/>
          <w:b/>
          <w:kern w:val="2"/>
          <w:sz w:val="24"/>
          <w:szCs w:val="24"/>
          <w:lang w:val="en-US" w:eastAsia="zh-CN"/>
        </w:rPr>
        <w:t>Suh SJ</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Yim</w:t>
      </w:r>
      <w:proofErr w:type="spellEnd"/>
      <w:r w:rsidRPr="0039437F">
        <w:rPr>
          <w:rFonts w:ascii="Book Antiqua" w:hAnsi="Book Antiqua" w:cs="Times New Roman"/>
          <w:kern w:val="2"/>
          <w:sz w:val="24"/>
          <w:szCs w:val="24"/>
          <w:lang w:val="en-US" w:eastAsia="zh-CN"/>
        </w:rPr>
        <w:t xml:space="preserve"> HJ, Yoon EL, Lee BJ, Hyun JJ, Jung SW, Koo JS, Kim JH, Kim KJ, Choung RS, </w:t>
      </w:r>
      <w:proofErr w:type="spellStart"/>
      <w:r w:rsidRPr="0039437F">
        <w:rPr>
          <w:rFonts w:ascii="Book Antiqua" w:hAnsi="Book Antiqua" w:cs="Times New Roman"/>
          <w:kern w:val="2"/>
          <w:sz w:val="24"/>
          <w:szCs w:val="24"/>
          <w:lang w:val="en-US" w:eastAsia="zh-CN"/>
        </w:rPr>
        <w:t>Seo</w:t>
      </w:r>
      <w:proofErr w:type="spellEnd"/>
      <w:r w:rsidRPr="0039437F">
        <w:rPr>
          <w:rFonts w:ascii="Book Antiqua" w:hAnsi="Book Antiqua" w:cs="Times New Roman"/>
          <w:kern w:val="2"/>
          <w:sz w:val="24"/>
          <w:szCs w:val="24"/>
          <w:lang w:val="en-US" w:eastAsia="zh-CN"/>
        </w:rPr>
        <w:t xml:space="preserve"> YS, Yeon JE, Um SH, Byun KS, Lee SW, Choi JH, Ryu HS. Is propofol safe when administered to cirrhotic patients during sedative endoscopy? </w:t>
      </w:r>
      <w:r w:rsidRPr="0039437F">
        <w:rPr>
          <w:rFonts w:ascii="Book Antiqua" w:hAnsi="Book Antiqua" w:cs="Times New Roman"/>
          <w:i/>
          <w:kern w:val="2"/>
          <w:sz w:val="24"/>
          <w:szCs w:val="24"/>
          <w:lang w:val="en-US" w:eastAsia="zh-CN"/>
        </w:rPr>
        <w:t>Korean J Intern Med</w:t>
      </w:r>
      <w:r w:rsidRPr="0039437F">
        <w:rPr>
          <w:rFonts w:ascii="Book Antiqua" w:hAnsi="Book Antiqua" w:cs="Times New Roman"/>
          <w:kern w:val="2"/>
          <w:sz w:val="24"/>
          <w:szCs w:val="24"/>
          <w:lang w:val="en-US" w:eastAsia="zh-CN"/>
        </w:rPr>
        <w:t xml:space="preserve"> 2014; </w:t>
      </w:r>
      <w:r w:rsidRPr="0039437F">
        <w:rPr>
          <w:rFonts w:ascii="Book Antiqua" w:hAnsi="Book Antiqua" w:cs="Times New Roman"/>
          <w:b/>
          <w:kern w:val="2"/>
          <w:sz w:val="24"/>
          <w:szCs w:val="24"/>
          <w:lang w:val="en-US" w:eastAsia="zh-CN"/>
        </w:rPr>
        <w:t>29</w:t>
      </w:r>
      <w:r w:rsidRPr="0039437F">
        <w:rPr>
          <w:rFonts w:ascii="Book Antiqua" w:hAnsi="Book Antiqua" w:cs="Times New Roman"/>
          <w:kern w:val="2"/>
          <w:sz w:val="24"/>
          <w:szCs w:val="24"/>
          <w:lang w:val="en-US" w:eastAsia="zh-CN"/>
        </w:rPr>
        <w:t>: 57-65 [PMID: 24574834 DOI: 10.3904/kjim.2014.29.1.57]</w:t>
      </w:r>
    </w:p>
    <w:p w14:paraId="011EC1C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47 </w:t>
      </w:r>
      <w:r w:rsidRPr="0039437F">
        <w:rPr>
          <w:rFonts w:ascii="Book Antiqua" w:hAnsi="Book Antiqua" w:cs="Times New Roman"/>
          <w:b/>
          <w:kern w:val="2"/>
          <w:sz w:val="24"/>
          <w:szCs w:val="24"/>
          <w:lang w:val="en-US" w:eastAsia="zh-CN"/>
        </w:rPr>
        <w:t>Wahab EA</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Hamed</w:t>
      </w:r>
      <w:proofErr w:type="spellEnd"/>
      <w:r w:rsidRPr="0039437F">
        <w:rPr>
          <w:rFonts w:ascii="Book Antiqua" w:hAnsi="Book Antiqua" w:cs="Times New Roman"/>
          <w:kern w:val="2"/>
          <w:sz w:val="24"/>
          <w:szCs w:val="24"/>
          <w:lang w:val="en-US" w:eastAsia="zh-CN"/>
        </w:rPr>
        <w:t xml:space="preserve"> EF, Ahmad HS, Abdel </w:t>
      </w:r>
      <w:proofErr w:type="spellStart"/>
      <w:r w:rsidRPr="0039437F">
        <w:rPr>
          <w:rFonts w:ascii="Book Antiqua" w:hAnsi="Book Antiqua" w:cs="Times New Roman"/>
          <w:kern w:val="2"/>
          <w:sz w:val="24"/>
          <w:szCs w:val="24"/>
          <w:lang w:val="en-US" w:eastAsia="zh-CN"/>
        </w:rPr>
        <w:t>Monem</w:t>
      </w:r>
      <w:proofErr w:type="spellEnd"/>
      <w:r w:rsidRPr="0039437F">
        <w:rPr>
          <w:rFonts w:ascii="Book Antiqua" w:hAnsi="Book Antiqua" w:cs="Times New Roman"/>
          <w:kern w:val="2"/>
          <w:sz w:val="24"/>
          <w:szCs w:val="24"/>
          <w:lang w:val="en-US" w:eastAsia="zh-CN"/>
        </w:rPr>
        <w:t xml:space="preserve"> SM, Fathy T. Conscious sedation using propofol </w:t>
      </w:r>
      <w:r w:rsidRPr="0039437F">
        <w:rPr>
          <w:rFonts w:ascii="Book Antiqua" w:hAnsi="Book Antiqua" w:cs="Times New Roman"/>
          <w:i/>
          <w:kern w:val="2"/>
          <w:sz w:val="24"/>
          <w:szCs w:val="24"/>
          <w:lang w:val="en-US" w:eastAsia="zh-CN"/>
        </w:rPr>
        <w:t>versus</w:t>
      </w:r>
      <w:r w:rsidRPr="0039437F">
        <w:rPr>
          <w:rFonts w:ascii="Book Antiqua" w:hAnsi="Book Antiqua" w:cs="Times New Roman"/>
          <w:kern w:val="2"/>
          <w:sz w:val="24"/>
          <w:szCs w:val="24"/>
          <w:lang w:val="en-US" w:eastAsia="zh-CN"/>
        </w:rPr>
        <w:t xml:space="preserve"> midazolam in cirrhotic patients during upper GI endoscopy: A comparative study. </w:t>
      </w:r>
      <w:r w:rsidRPr="0039437F">
        <w:rPr>
          <w:rFonts w:ascii="Book Antiqua" w:hAnsi="Book Antiqua" w:cs="Times New Roman"/>
          <w:i/>
          <w:kern w:val="2"/>
          <w:sz w:val="24"/>
          <w:szCs w:val="24"/>
          <w:lang w:val="en-US" w:eastAsia="zh-CN"/>
        </w:rPr>
        <w:t>JGH Open</w:t>
      </w:r>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3</w:t>
      </w:r>
      <w:r w:rsidRPr="0039437F">
        <w:rPr>
          <w:rFonts w:ascii="Book Antiqua" w:hAnsi="Book Antiqua" w:cs="Times New Roman"/>
          <w:kern w:val="2"/>
          <w:sz w:val="24"/>
          <w:szCs w:val="24"/>
          <w:lang w:val="en-US" w:eastAsia="zh-CN"/>
        </w:rPr>
        <w:t>: 25-31 [PMID: 30834337 DOI: 10.1002/jgh3.12098]</w:t>
      </w:r>
    </w:p>
    <w:p w14:paraId="13FBA19E" w14:textId="1DF0D443"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lastRenderedPageBreak/>
        <w:t xml:space="preserve">48 </w:t>
      </w:r>
      <w:r w:rsidRPr="0039437F">
        <w:rPr>
          <w:rFonts w:ascii="Book Antiqua" w:hAnsi="Book Antiqua" w:cs="Times New Roman"/>
          <w:b/>
          <w:kern w:val="2"/>
          <w:sz w:val="24"/>
          <w:szCs w:val="24"/>
          <w:lang w:val="en-US" w:eastAsia="zh-CN"/>
        </w:rPr>
        <w:t>Lieber SR</w:t>
      </w:r>
      <w:r w:rsidRPr="0039437F">
        <w:rPr>
          <w:rFonts w:ascii="Book Antiqua" w:hAnsi="Book Antiqua" w:cs="Times New Roman"/>
          <w:kern w:val="2"/>
          <w:sz w:val="24"/>
          <w:szCs w:val="24"/>
          <w:lang w:val="en-US" w:eastAsia="zh-CN"/>
        </w:rPr>
        <w:t xml:space="preserve">, Heller BJ, Howard CW, Sandler RS, Crockett S, </w:t>
      </w:r>
      <w:proofErr w:type="spellStart"/>
      <w:r w:rsidRPr="0039437F">
        <w:rPr>
          <w:rFonts w:ascii="Book Antiqua" w:hAnsi="Book Antiqua" w:cs="Times New Roman"/>
          <w:kern w:val="2"/>
          <w:sz w:val="24"/>
          <w:szCs w:val="24"/>
          <w:lang w:val="en-US" w:eastAsia="zh-CN"/>
        </w:rPr>
        <w:t>Barritt</w:t>
      </w:r>
      <w:proofErr w:type="spellEnd"/>
      <w:r w:rsidRPr="0039437F">
        <w:rPr>
          <w:rFonts w:ascii="Book Antiqua" w:hAnsi="Book Antiqua" w:cs="Times New Roman"/>
          <w:kern w:val="2"/>
          <w:sz w:val="24"/>
          <w:szCs w:val="24"/>
          <w:lang w:val="en-US" w:eastAsia="zh-CN"/>
        </w:rPr>
        <w:t xml:space="preserve"> AS. Complications Associated with Anesthesia Services in Endoscopic Procedures Among Patients with Cirrhosis. </w:t>
      </w:r>
      <w:r w:rsidRPr="0039437F">
        <w:rPr>
          <w:rFonts w:ascii="Book Antiqua" w:hAnsi="Book Antiqua" w:cs="Times New Roman"/>
          <w:i/>
          <w:kern w:val="2"/>
          <w:sz w:val="24"/>
          <w:szCs w:val="24"/>
          <w:lang w:val="en-US" w:eastAsia="zh-CN"/>
        </w:rPr>
        <w:t>Hepatology</w:t>
      </w:r>
      <w:r w:rsidRPr="0039437F">
        <w:rPr>
          <w:rFonts w:ascii="Book Antiqua" w:hAnsi="Book Antiqua" w:cs="Times New Roman"/>
          <w:kern w:val="2"/>
          <w:sz w:val="24"/>
          <w:szCs w:val="24"/>
          <w:lang w:val="en-US" w:eastAsia="zh-CN"/>
        </w:rPr>
        <w:t xml:space="preserve"> 2020; </w:t>
      </w:r>
      <w:r w:rsidR="00DA4967" w:rsidRPr="00DA4967">
        <w:rPr>
          <w:rFonts w:ascii="Book Antiqua" w:hAnsi="Book Antiqua" w:cs="Times New Roman"/>
          <w:kern w:val="2"/>
          <w:sz w:val="24"/>
          <w:szCs w:val="24"/>
          <w:lang w:val="en-US" w:eastAsia="zh-CN"/>
        </w:rPr>
        <w:t>Online ahead of prin</w:t>
      </w:r>
      <w:r w:rsidR="002B3BB2">
        <w:rPr>
          <w:rFonts w:ascii="Book Antiqua" w:hAnsi="Book Antiqua" w:cs="Times New Roman"/>
          <w:kern w:val="2"/>
          <w:sz w:val="24"/>
          <w:szCs w:val="24"/>
          <w:lang w:val="en-US" w:eastAsia="zh-CN"/>
        </w:rPr>
        <w:t xml:space="preserve">t </w:t>
      </w:r>
      <w:r w:rsidRPr="0039437F">
        <w:rPr>
          <w:rFonts w:ascii="Book Antiqua" w:hAnsi="Book Antiqua" w:cs="Times New Roman"/>
          <w:kern w:val="2"/>
          <w:sz w:val="24"/>
          <w:szCs w:val="24"/>
          <w:lang w:val="en-US" w:eastAsia="zh-CN"/>
        </w:rPr>
        <w:t>[PMID: 32153048 DOI: 10.1002/hep.31224]</w:t>
      </w:r>
    </w:p>
    <w:p w14:paraId="3773ED16"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49 </w:t>
      </w:r>
      <w:proofErr w:type="spellStart"/>
      <w:r w:rsidRPr="0039437F">
        <w:rPr>
          <w:rFonts w:ascii="Book Antiqua" w:hAnsi="Book Antiqua" w:cs="Times New Roman"/>
          <w:b/>
          <w:kern w:val="2"/>
          <w:sz w:val="24"/>
          <w:szCs w:val="24"/>
          <w:lang w:val="en-US" w:eastAsia="zh-CN"/>
        </w:rPr>
        <w:t>Assy</w:t>
      </w:r>
      <w:proofErr w:type="spellEnd"/>
      <w:r w:rsidRPr="0039437F">
        <w:rPr>
          <w:rFonts w:ascii="Book Antiqua" w:hAnsi="Book Antiqua" w:cs="Times New Roman"/>
          <w:b/>
          <w:kern w:val="2"/>
          <w:sz w:val="24"/>
          <w:szCs w:val="24"/>
          <w:lang w:val="en-US" w:eastAsia="zh-CN"/>
        </w:rPr>
        <w:t xml:space="preserve"> N</w:t>
      </w:r>
      <w:r w:rsidRPr="0039437F">
        <w:rPr>
          <w:rFonts w:ascii="Book Antiqua" w:hAnsi="Book Antiqua" w:cs="Times New Roman"/>
          <w:kern w:val="2"/>
          <w:sz w:val="24"/>
          <w:szCs w:val="24"/>
          <w:lang w:val="en-US" w:eastAsia="zh-CN"/>
        </w:rPr>
        <w:t xml:space="preserve">, Rosser BG, Grahame GR, </w:t>
      </w:r>
      <w:proofErr w:type="spellStart"/>
      <w:r w:rsidRPr="0039437F">
        <w:rPr>
          <w:rFonts w:ascii="Book Antiqua" w:hAnsi="Book Antiqua" w:cs="Times New Roman"/>
          <w:kern w:val="2"/>
          <w:sz w:val="24"/>
          <w:szCs w:val="24"/>
          <w:lang w:val="en-US" w:eastAsia="zh-CN"/>
        </w:rPr>
        <w:t>Minuk</w:t>
      </w:r>
      <w:proofErr w:type="spellEnd"/>
      <w:r w:rsidRPr="0039437F">
        <w:rPr>
          <w:rFonts w:ascii="Book Antiqua" w:hAnsi="Book Antiqua" w:cs="Times New Roman"/>
          <w:kern w:val="2"/>
          <w:sz w:val="24"/>
          <w:szCs w:val="24"/>
          <w:lang w:val="en-US" w:eastAsia="zh-CN"/>
        </w:rPr>
        <w:t xml:space="preserve"> GY. Risk of sedation for upper GI endoscopy exacerbating subclinical hepatic encephalopathy in patients with cirrhosis.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1999; </w:t>
      </w:r>
      <w:r w:rsidRPr="0039437F">
        <w:rPr>
          <w:rFonts w:ascii="Book Antiqua" w:hAnsi="Book Antiqua" w:cs="Times New Roman"/>
          <w:b/>
          <w:kern w:val="2"/>
          <w:sz w:val="24"/>
          <w:szCs w:val="24"/>
          <w:lang w:val="en-US" w:eastAsia="zh-CN"/>
        </w:rPr>
        <w:t>49</w:t>
      </w:r>
      <w:r w:rsidRPr="0039437F">
        <w:rPr>
          <w:rFonts w:ascii="Book Antiqua" w:hAnsi="Book Antiqua" w:cs="Times New Roman"/>
          <w:kern w:val="2"/>
          <w:sz w:val="24"/>
          <w:szCs w:val="24"/>
          <w:lang w:val="en-US" w:eastAsia="zh-CN"/>
        </w:rPr>
        <w:t>: 690-694 [PMID: 10343210 DOI: 10.1016/S0016-5107(99)70283-X]</w:t>
      </w:r>
    </w:p>
    <w:p w14:paraId="755B3D4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50 </w:t>
      </w:r>
      <w:r w:rsidRPr="0039437F">
        <w:rPr>
          <w:rFonts w:ascii="Book Antiqua" w:hAnsi="Book Antiqua" w:cs="Times New Roman"/>
          <w:b/>
          <w:kern w:val="2"/>
          <w:sz w:val="24"/>
          <w:szCs w:val="24"/>
          <w:lang w:val="en-US" w:eastAsia="zh-CN"/>
        </w:rPr>
        <w:t>Vasudevan AE</w:t>
      </w:r>
      <w:r w:rsidRPr="0039437F">
        <w:rPr>
          <w:rFonts w:ascii="Book Antiqua" w:hAnsi="Book Antiqua" w:cs="Times New Roman"/>
          <w:kern w:val="2"/>
          <w:sz w:val="24"/>
          <w:szCs w:val="24"/>
          <w:lang w:val="en-US" w:eastAsia="zh-CN"/>
        </w:rPr>
        <w:t xml:space="preserve">, Goh KL, </w:t>
      </w:r>
      <w:proofErr w:type="spellStart"/>
      <w:r w:rsidRPr="0039437F">
        <w:rPr>
          <w:rFonts w:ascii="Book Antiqua" w:hAnsi="Book Antiqua" w:cs="Times New Roman"/>
          <w:kern w:val="2"/>
          <w:sz w:val="24"/>
          <w:szCs w:val="24"/>
          <w:lang w:val="en-US" w:eastAsia="zh-CN"/>
        </w:rPr>
        <w:t>Bulgiba</w:t>
      </w:r>
      <w:proofErr w:type="spellEnd"/>
      <w:r w:rsidRPr="0039437F">
        <w:rPr>
          <w:rFonts w:ascii="Book Antiqua" w:hAnsi="Book Antiqua" w:cs="Times New Roman"/>
          <w:kern w:val="2"/>
          <w:sz w:val="24"/>
          <w:szCs w:val="24"/>
          <w:lang w:val="en-US" w:eastAsia="zh-CN"/>
        </w:rPr>
        <w:t xml:space="preserve"> AM. Impairment of psychomotor responses after conscious sedation in cirrhotic patients undergoing therapeutic upper GI endoscopy. </w:t>
      </w:r>
      <w:r w:rsidRPr="0039437F">
        <w:rPr>
          <w:rFonts w:ascii="Book Antiqua" w:hAnsi="Book Antiqua" w:cs="Times New Roman"/>
          <w:i/>
          <w:kern w:val="2"/>
          <w:sz w:val="24"/>
          <w:szCs w:val="24"/>
          <w:lang w:val="en-US" w:eastAsia="zh-CN"/>
        </w:rPr>
        <w:t>Am J Gastroenterol</w:t>
      </w:r>
      <w:r w:rsidRPr="0039437F">
        <w:rPr>
          <w:rFonts w:ascii="Book Antiqua" w:hAnsi="Book Antiqua" w:cs="Times New Roman"/>
          <w:kern w:val="2"/>
          <w:sz w:val="24"/>
          <w:szCs w:val="24"/>
          <w:lang w:val="en-US" w:eastAsia="zh-CN"/>
        </w:rPr>
        <w:t xml:space="preserve"> 2002; </w:t>
      </w:r>
      <w:r w:rsidRPr="0039437F">
        <w:rPr>
          <w:rFonts w:ascii="Book Antiqua" w:hAnsi="Book Antiqua" w:cs="Times New Roman"/>
          <w:b/>
          <w:kern w:val="2"/>
          <w:sz w:val="24"/>
          <w:szCs w:val="24"/>
          <w:lang w:val="en-US" w:eastAsia="zh-CN"/>
        </w:rPr>
        <w:t>97</w:t>
      </w:r>
      <w:r w:rsidRPr="0039437F">
        <w:rPr>
          <w:rFonts w:ascii="Book Antiqua" w:hAnsi="Book Antiqua" w:cs="Times New Roman"/>
          <w:kern w:val="2"/>
          <w:sz w:val="24"/>
          <w:szCs w:val="24"/>
          <w:lang w:val="en-US" w:eastAsia="zh-CN"/>
        </w:rPr>
        <w:t>: 1717-1721 [PMID: 12135024 DOI: 10.1111/j.1572-0241.2002.05831.x]</w:t>
      </w:r>
    </w:p>
    <w:p w14:paraId="587A902A" w14:textId="22EC5BBB" w:rsidR="00C20CED" w:rsidRPr="00C10A48" w:rsidRDefault="00C20CED" w:rsidP="00F227A9">
      <w:pPr>
        <w:widowControl w:val="0"/>
        <w:autoSpaceDE w:val="0"/>
        <w:autoSpaceDN w:val="0"/>
        <w:adjustRightInd w:val="0"/>
        <w:snapToGrid w:val="0"/>
        <w:spacing w:after="0" w:line="360" w:lineRule="auto"/>
        <w:ind w:left="640" w:hanging="640"/>
        <w:jc w:val="both"/>
        <w:rPr>
          <w:rFonts w:ascii="Book Antiqua" w:hAnsi="Book Antiqua"/>
          <w:b/>
          <w:bCs/>
          <w:sz w:val="24"/>
          <w:szCs w:val="24"/>
          <w:lang w:val="en-US"/>
        </w:rPr>
      </w:pPr>
    </w:p>
    <w:p w14:paraId="01B8A559" w14:textId="50826227" w:rsidR="005067E8" w:rsidRPr="00C10A48" w:rsidRDefault="005067E8" w:rsidP="00F227A9">
      <w:pPr>
        <w:snapToGrid w:val="0"/>
        <w:spacing w:after="0" w:line="360" w:lineRule="auto"/>
        <w:rPr>
          <w:rFonts w:ascii="Book Antiqua" w:hAnsi="Book Antiqua"/>
          <w:b/>
          <w:bCs/>
          <w:sz w:val="24"/>
          <w:szCs w:val="24"/>
          <w:lang w:val="en-US"/>
        </w:rPr>
      </w:pPr>
      <w:r w:rsidRPr="00C10A48">
        <w:rPr>
          <w:rFonts w:ascii="Book Antiqua" w:hAnsi="Book Antiqua"/>
          <w:b/>
          <w:bCs/>
          <w:sz w:val="24"/>
          <w:szCs w:val="24"/>
          <w:lang w:val="en-US"/>
        </w:rPr>
        <w:br w:type="page"/>
      </w:r>
    </w:p>
    <w:p w14:paraId="645AE08D" w14:textId="6EE0F916" w:rsidR="005067E8" w:rsidRPr="00C10A48" w:rsidRDefault="00AC24C9" w:rsidP="00F227A9">
      <w:pPr>
        <w:snapToGrid w:val="0"/>
        <w:spacing w:after="0" w:line="360" w:lineRule="auto"/>
        <w:jc w:val="both"/>
        <w:rPr>
          <w:rStyle w:val="fontstyle01"/>
          <w:rFonts w:ascii="Book Antiqua" w:hAnsi="Book Antiqua"/>
          <w:b/>
          <w:noProof/>
          <w:color w:val="auto"/>
          <w:sz w:val="24"/>
          <w:szCs w:val="24"/>
          <w:lang w:val="en-US"/>
        </w:rPr>
      </w:pPr>
      <w:r w:rsidRPr="00C10A48">
        <w:rPr>
          <w:rStyle w:val="fontstyle01"/>
          <w:rFonts w:ascii="Book Antiqua" w:hAnsi="Book Antiqua"/>
          <w:b/>
          <w:noProof/>
          <w:color w:val="auto"/>
          <w:sz w:val="24"/>
          <w:szCs w:val="24"/>
          <w:lang w:val="en-US"/>
        </w:rPr>
        <w:lastRenderedPageBreak/>
        <w:t>Footnotes</w:t>
      </w:r>
    </w:p>
    <w:p w14:paraId="4C2B0F59" w14:textId="77777777" w:rsidR="005067E8" w:rsidRPr="00C10A48" w:rsidRDefault="005067E8" w:rsidP="00F227A9">
      <w:pPr>
        <w:snapToGrid w:val="0"/>
        <w:spacing w:after="0" w:line="360" w:lineRule="auto"/>
        <w:jc w:val="both"/>
        <w:rPr>
          <w:rStyle w:val="fontstyle31"/>
          <w:noProof/>
          <w:color w:val="auto"/>
          <w:lang w:val="en-US"/>
        </w:rPr>
      </w:pPr>
      <w:r w:rsidRPr="00C10A48">
        <w:rPr>
          <w:rStyle w:val="fontstyle01"/>
          <w:rFonts w:ascii="Book Antiqua" w:hAnsi="Book Antiqua"/>
          <w:b/>
          <w:noProof/>
          <w:color w:val="auto"/>
          <w:sz w:val="24"/>
          <w:szCs w:val="24"/>
          <w:lang w:val="en-US"/>
        </w:rPr>
        <w:t xml:space="preserve">Conflict-of-interest statement: </w:t>
      </w:r>
      <w:r w:rsidRPr="00C10A48">
        <w:rPr>
          <w:rStyle w:val="fontstyle31"/>
          <w:noProof/>
          <w:color w:val="auto"/>
          <w:lang w:val="en-US"/>
        </w:rPr>
        <w:t>The authors deny any conflict of interest.</w:t>
      </w:r>
    </w:p>
    <w:p w14:paraId="2AF8B229" w14:textId="77777777" w:rsidR="005067E8" w:rsidRPr="00C10A48" w:rsidRDefault="005067E8" w:rsidP="00F227A9">
      <w:pPr>
        <w:snapToGrid w:val="0"/>
        <w:spacing w:after="0" w:line="360" w:lineRule="auto"/>
        <w:jc w:val="both"/>
        <w:rPr>
          <w:rFonts w:ascii="Book Antiqua" w:hAnsi="Book Antiqua"/>
          <w:b/>
          <w:noProof/>
          <w:sz w:val="24"/>
          <w:szCs w:val="24"/>
          <w:lang w:val="en-US"/>
        </w:rPr>
      </w:pPr>
    </w:p>
    <w:p w14:paraId="08C7F2DF" w14:textId="77777777" w:rsidR="00AC24C9" w:rsidRPr="00C10A48" w:rsidRDefault="00AC24C9" w:rsidP="00F227A9">
      <w:pPr>
        <w:widowControl w:val="0"/>
        <w:autoSpaceDE w:val="0"/>
        <w:autoSpaceDN w:val="0"/>
        <w:adjustRightInd w:val="0"/>
        <w:snapToGrid w:val="0"/>
        <w:spacing w:after="0" w:line="360" w:lineRule="auto"/>
        <w:jc w:val="both"/>
        <w:rPr>
          <w:rFonts w:ascii="Book Antiqua" w:hAnsi="Book Antiqua"/>
          <w:noProof/>
          <w:sz w:val="24"/>
          <w:szCs w:val="24"/>
          <w:lang w:val="en-US"/>
        </w:rPr>
      </w:pPr>
      <w:r w:rsidRPr="00C10A48">
        <w:rPr>
          <w:rFonts w:ascii="Book Antiqua" w:hAnsi="Book Antiqua"/>
          <w:b/>
          <w:noProof/>
          <w:sz w:val="24"/>
          <w:szCs w:val="24"/>
          <w:lang w:val="en-US"/>
        </w:rPr>
        <w:t>PRISMA 2009 Checklist statement</w:t>
      </w:r>
      <w:r w:rsidRPr="00C10A48">
        <w:rPr>
          <w:rFonts w:ascii="Book Antiqua" w:hAnsi="Book Antiqua"/>
          <w:b/>
          <w:bCs/>
          <w:iCs/>
          <w:noProof/>
          <w:sz w:val="24"/>
          <w:szCs w:val="24"/>
          <w:lang w:val="en-US"/>
        </w:rPr>
        <w:t>:</w:t>
      </w:r>
      <w:r w:rsidRPr="00C10A48">
        <w:rPr>
          <w:rFonts w:ascii="Book Antiqua" w:hAnsi="Book Antiqua"/>
          <w:noProof/>
          <w:sz w:val="24"/>
          <w:szCs w:val="24"/>
          <w:lang w:val="en-US"/>
        </w:rPr>
        <w:t xml:space="preserve"> The authors have read the PRISMA 2009 Checklist, and the manuscript was prepared and revised in accordance with this checklist.</w:t>
      </w:r>
    </w:p>
    <w:p w14:paraId="34FC3FDF" w14:textId="77777777" w:rsidR="00F62CF0" w:rsidRPr="00C10A48" w:rsidRDefault="00F62CF0" w:rsidP="00F227A9">
      <w:pPr>
        <w:widowControl w:val="0"/>
        <w:autoSpaceDE w:val="0"/>
        <w:autoSpaceDN w:val="0"/>
        <w:adjustRightInd w:val="0"/>
        <w:snapToGrid w:val="0"/>
        <w:spacing w:after="0" w:line="360" w:lineRule="auto"/>
        <w:ind w:left="640" w:hanging="640"/>
        <w:jc w:val="both"/>
        <w:rPr>
          <w:rFonts w:ascii="Book Antiqua" w:hAnsi="Book Antiqua"/>
          <w:b/>
          <w:bCs/>
          <w:sz w:val="24"/>
          <w:szCs w:val="24"/>
        </w:rPr>
      </w:pPr>
    </w:p>
    <w:p w14:paraId="2A04B25F" w14:textId="77777777" w:rsidR="0088409A" w:rsidRPr="0088409A" w:rsidRDefault="0088409A" w:rsidP="00F227A9">
      <w:pPr>
        <w:widowControl w:val="0"/>
        <w:adjustRightInd w:val="0"/>
        <w:snapToGrid w:val="0"/>
        <w:spacing w:after="0" w:line="360" w:lineRule="auto"/>
        <w:jc w:val="both"/>
        <w:rPr>
          <w:rFonts w:ascii="Book Antiqua" w:hAnsi="Book Antiqua" w:cs="Times New Roman"/>
          <w:kern w:val="2"/>
          <w:sz w:val="24"/>
          <w:szCs w:val="24"/>
          <w:lang w:val="en-US" w:eastAsia="zh-CN"/>
        </w:rPr>
      </w:pPr>
      <w:r w:rsidRPr="0088409A">
        <w:rPr>
          <w:rFonts w:ascii="Book Antiqua" w:hAnsi="Book Antiqua" w:cs="Times New Roman"/>
          <w:b/>
          <w:kern w:val="2"/>
          <w:sz w:val="24"/>
          <w:szCs w:val="24"/>
          <w:lang w:val="en-US" w:eastAsia="zh-CN"/>
        </w:rPr>
        <w:t>Open-Access:</w:t>
      </w:r>
      <w:r w:rsidRPr="0088409A">
        <w:rPr>
          <w:rFonts w:ascii="Book Antiqua" w:hAnsi="Book Antiqua" w:cs="Times New Roman"/>
          <w:kern w:val="2"/>
          <w:sz w:val="24"/>
          <w:szCs w:val="24"/>
          <w:lang w:val="en-US" w:eastAsia="zh-CN"/>
        </w:rPr>
        <w:t xml:space="preserve"> This article is an open-access article that was selected by an in-house editor and fully peer-reviewed by external reviewers. It is distributed in accordance with the Creative Commons Attribution </w:t>
      </w:r>
      <w:proofErr w:type="spellStart"/>
      <w:r w:rsidRPr="0088409A">
        <w:rPr>
          <w:rFonts w:ascii="Book Antiqua" w:hAnsi="Book Antiqua" w:cs="Times New Roman"/>
          <w:kern w:val="2"/>
          <w:sz w:val="24"/>
          <w:szCs w:val="24"/>
          <w:lang w:val="en-US" w:eastAsia="zh-CN"/>
        </w:rPr>
        <w:t>NonCommercial</w:t>
      </w:r>
      <w:proofErr w:type="spellEnd"/>
      <w:r w:rsidRPr="0088409A">
        <w:rPr>
          <w:rFonts w:ascii="Book Antiqua" w:hAnsi="Book Antiqua" w:cs="Times New Roman"/>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3BAA8D" w14:textId="77777777" w:rsidR="0088409A" w:rsidRPr="0088409A" w:rsidRDefault="0088409A" w:rsidP="00F227A9">
      <w:pPr>
        <w:adjustRightInd w:val="0"/>
        <w:snapToGrid w:val="0"/>
        <w:spacing w:after="0" w:line="360" w:lineRule="auto"/>
        <w:jc w:val="both"/>
        <w:rPr>
          <w:rFonts w:ascii="Book Antiqua" w:hAnsi="Book Antiqua" w:cs="Times New Roman"/>
          <w:sz w:val="24"/>
          <w:szCs w:val="24"/>
          <w:lang w:val="en-US" w:eastAsia="zh-CN"/>
        </w:rPr>
      </w:pPr>
    </w:p>
    <w:p w14:paraId="390A9400" w14:textId="4FE280D8" w:rsidR="0088409A" w:rsidRPr="0088409A" w:rsidRDefault="0088409A" w:rsidP="00F227A9">
      <w:pPr>
        <w:adjustRightInd w:val="0"/>
        <w:snapToGrid w:val="0"/>
        <w:spacing w:after="0" w:line="360" w:lineRule="auto"/>
        <w:jc w:val="both"/>
        <w:rPr>
          <w:rFonts w:ascii="Book Antiqua" w:hAnsi="Book Antiqua" w:cs="Times New Roman"/>
          <w:bCs/>
          <w:sz w:val="24"/>
          <w:szCs w:val="24"/>
          <w:lang w:val="fr-FR" w:eastAsia="pl-PL"/>
        </w:rPr>
      </w:pPr>
      <w:r w:rsidRPr="0088409A">
        <w:rPr>
          <w:rFonts w:ascii="Book Antiqua" w:hAnsi="Book Antiqua" w:cs="Times New Roman"/>
          <w:b/>
          <w:bCs/>
          <w:sz w:val="24"/>
          <w:szCs w:val="24"/>
          <w:lang w:val="fr-FR" w:eastAsia="pl-PL"/>
        </w:rPr>
        <w:t>Manuscript source:</w:t>
      </w:r>
      <w:r w:rsidRPr="0088409A">
        <w:rPr>
          <w:rFonts w:ascii="Book Antiqua" w:hAnsi="Book Antiqua" w:cs="Times New Roman"/>
          <w:b/>
          <w:bCs/>
          <w:sz w:val="24"/>
          <w:szCs w:val="24"/>
          <w:lang w:val="fr-FR" w:eastAsia="zh-CN"/>
        </w:rPr>
        <w:t xml:space="preserve"> </w:t>
      </w:r>
      <w:r w:rsidR="00B50363" w:rsidRPr="00C10A48">
        <w:rPr>
          <w:rFonts w:ascii="Book Antiqua" w:hAnsi="Book Antiqua" w:cs="Times New Roman"/>
          <w:bCs/>
          <w:sz w:val="24"/>
          <w:szCs w:val="24"/>
          <w:lang w:val="fr-FR" w:eastAsia="pl-PL"/>
        </w:rPr>
        <w:t>Invited</w:t>
      </w:r>
      <w:r w:rsidRPr="0088409A">
        <w:rPr>
          <w:rFonts w:ascii="Book Antiqua" w:hAnsi="Book Antiqua" w:cs="Times New Roman"/>
          <w:bCs/>
          <w:sz w:val="24"/>
          <w:szCs w:val="24"/>
          <w:lang w:val="fr-FR" w:eastAsia="pl-PL"/>
        </w:rPr>
        <w:t> manuscript</w:t>
      </w:r>
    </w:p>
    <w:p w14:paraId="65DCA75A" w14:textId="77777777" w:rsidR="0088409A" w:rsidRPr="0088409A" w:rsidRDefault="0088409A" w:rsidP="00F227A9">
      <w:pPr>
        <w:adjustRightInd w:val="0"/>
        <w:snapToGrid w:val="0"/>
        <w:spacing w:after="0" w:line="360" w:lineRule="auto"/>
        <w:jc w:val="both"/>
        <w:rPr>
          <w:rFonts w:ascii="Book Antiqua" w:hAnsi="Book Antiqua" w:cs="Times New Roman"/>
          <w:b/>
          <w:bCs/>
          <w:sz w:val="24"/>
          <w:szCs w:val="24"/>
          <w:lang w:val="fr-FR" w:eastAsia="zh-CN"/>
        </w:rPr>
      </w:pPr>
    </w:p>
    <w:p w14:paraId="5D0D225A" w14:textId="58F45523" w:rsidR="0088409A" w:rsidRPr="0088409A" w:rsidRDefault="0088409A" w:rsidP="00F227A9">
      <w:pPr>
        <w:adjustRightInd w:val="0"/>
        <w:snapToGrid w:val="0"/>
        <w:spacing w:after="0" w:line="360" w:lineRule="auto"/>
        <w:jc w:val="both"/>
        <w:rPr>
          <w:rFonts w:ascii="Book Antiqua" w:hAnsi="Book Antiqua" w:cs="Times New Roman"/>
          <w:b/>
          <w:sz w:val="24"/>
          <w:szCs w:val="24"/>
          <w:lang w:val="en-US" w:eastAsia="zh-CN"/>
        </w:rPr>
      </w:pPr>
      <w:r w:rsidRPr="0088409A">
        <w:rPr>
          <w:rFonts w:ascii="Book Antiqua" w:hAnsi="Book Antiqua" w:cs="Times New Roman"/>
          <w:b/>
          <w:sz w:val="24"/>
          <w:szCs w:val="24"/>
          <w:lang w:val="en-US"/>
        </w:rPr>
        <w:t>Peer-review started:</w:t>
      </w:r>
      <w:r w:rsidRPr="0088409A">
        <w:rPr>
          <w:rFonts w:ascii="Book Antiqua" w:hAnsi="Book Antiqua" w:cs="Times New Roman"/>
          <w:b/>
          <w:sz w:val="24"/>
          <w:szCs w:val="24"/>
          <w:lang w:val="en-US" w:eastAsia="zh-CN"/>
        </w:rPr>
        <w:t xml:space="preserve"> </w:t>
      </w:r>
      <w:r w:rsidR="00B50363" w:rsidRPr="00C10A48">
        <w:rPr>
          <w:rFonts w:ascii="Book Antiqua" w:hAnsi="Book Antiqua" w:cs="Times New Roman"/>
          <w:sz w:val="24"/>
          <w:szCs w:val="24"/>
          <w:lang w:val="en-US" w:eastAsia="zh-CN"/>
        </w:rPr>
        <w:t>March</w:t>
      </w:r>
      <w:r w:rsidRPr="0088409A">
        <w:rPr>
          <w:rFonts w:ascii="Book Antiqua" w:hAnsi="Book Antiqua" w:cs="Times New Roman"/>
          <w:sz w:val="24"/>
          <w:szCs w:val="24"/>
          <w:lang w:val="en-US" w:eastAsia="zh-CN"/>
        </w:rPr>
        <w:t xml:space="preserve"> </w:t>
      </w:r>
      <w:r w:rsidR="00B50363" w:rsidRPr="00C10A48">
        <w:rPr>
          <w:rFonts w:ascii="Book Antiqua" w:hAnsi="Book Antiqua" w:cs="Times New Roman"/>
          <w:sz w:val="24"/>
          <w:szCs w:val="24"/>
          <w:lang w:val="en-US" w:eastAsia="zh-CN"/>
        </w:rPr>
        <w:t>3</w:t>
      </w:r>
      <w:r w:rsidRPr="0088409A">
        <w:rPr>
          <w:rFonts w:ascii="Book Antiqua" w:hAnsi="Book Antiqua" w:cs="Times New Roman"/>
          <w:sz w:val="24"/>
          <w:szCs w:val="24"/>
          <w:lang w:val="en-US" w:eastAsia="zh-CN"/>
        </w:rPr>
        <w:t>1, 2020</w:t>
      </w:r>
    </w:p>
    <w:p w14:paraId="5BEBBDCC" w14:textId="7AA27C8D" w:rsidR="0088409A" w:rsidRPr="0088409A" w:rsidRDefault="0088409A" w:rsidP="00F227A9">
      <w:pPr>
        <w:adjustRightInd w:val="0"/>
        <w:snapToGrid w:val="0"/>
        <w:spacing w:after="0" w:line="360" w:lineRule="auto"/>
        <w:jc w:val="both"/>
        <w:rPr>
          <w:rFonts w:ascii="Book Antiqua" w:hAnsi="Book Antiqua" w:cs="Times New Roman"/>
          <w:b/>
          <w:sz w:val="24"/>
          <w:szCs w:val="24"/>
          <w:lang w:val="en-US" w:eastAsia="zh-CN"/>
        </w:rPr>
      </w:pPr>
      <w:r w:rsidRPr="0088409A">
        <w:rPr>
          <w:rFonts w:ascii="Book Antiqua" w:hAnsi="Book Antiqua" w:cs="Times New Roman"/>
          <w:b/>
          <w:sz w:val="24"/>
          <w:szCs w:val="24"/>
          <w:lang w:val="en-US"/>
        </w:rPr>
        <w:t>First decision:</w:t>
      </w:r>
      <w:r w:rsidRPr="0088409A">
        <w:rPr>
          <w:rFonts w:ascii="Book Antiqua" w:hAnsi="Book Antiqua" w:cs="Times New Roman"/>
          <w:b/>
          <w:sz w:val="24"/>
          <w:szCs w:val="24"/>
          <w:lang w:val="en-US" w:eastAsia="zh-CN"/>
        </w:rPr>
        <w:t xml:space="preserve"> </w:t>
      </w:r>
      <w:r w:rsidR="00B50363" w:rsidRPr="00C10A48">
        <w:rPr>
          <w:rFonts w:ascii="Book Antiqua" w:hAnsi="Book Antiqua" w:cs="Times New Roman"/>
          <w:sz w:val="24"/>
          <w:szCs w:val="24"/>
          <w:lang w:val="en-US" w:eastAsia="zh-CN"/>
        </w:rPr>
        <w:t>June</w:t>
      </w:r>
      <w:r w:rsidRPr="0088409A">
        <w:rPr>
          <w:rFonts w:ascii="Book Antiqua" w:hAnsi="Book Antiqua" w:cs="Times New Roman"/>
          <w:sz w:val="24"/>
          <w:szCs w:val="24"/>
          <w:lang w:val="en-US" w:eastAsia="zh-CN"/>
        </w:rPr>
        <w:t xml:space="preserve"> </w:t>
      </w:r>
      <w:r w:rsidR="00B50363" w:rsidRPr="00C10A48">
        <w:rPr>
          <w:rFonts w:ascii="Book Antiqua" w:hAnsi="Book Antiqua" w:cs="Times New Roman"/>
          <w:sz w:val="24"/>
          <w:szCs w:val="24"/>
          <w:lang w:val="en-US" w:eastAsia="zh-CN"/>
        </w:rPr>
        <w:t>7</w:t>
      </w:r>
      <w:r w:rsidRPr="0088409A">
        <w:rPr>
          <w:rFonts w:ascii="Book Antiqua" w:hAnsi="Book Antiqua" w:cs="Times New Roman"/>
          <w:sz w:val="24"/>
          <w:szCs w:val="24"/>
          <w:lang w:val="en-US" w:eastAsia="zh-CN"/>
        </w:rPr>
        <w:t>, 2020</w:t>
      </w:r>
    </w:p>
    <w:p w14:paraId="7DDD128C" w14:textId="77777777" w:rsidR="0088409A" w:rsidRPr="0088409A" w:rsidRDefault="0088409A" w:rsidP="00F227A9">
      <w:pPr>
        <w:adjustRightInd w:val="0"/>
        <w:snapToGrid w:val="0"/>
        <w:spacing w:after="0" w:line="360" w:lineRule="auto"/>
        <w:rPr>
          <w:rFonts w:ascii="Book Antiqua" w:hAnsi="Book Antiqua" w:cs="Times New Roman"/>
          <w:b/>
          <w:sz w:val="24"/>
          <w:szCs w:val="24"/>
          <w:lang w:val="en-US" w:eastAsia="zh-CN"/>
        </w:rPr>
      </w:pPr>
      <w:r w:rsidRPr="0088409A">
        <w:rPr>
          <w:rFonts w:ascii="Book Antiqua" w:hAnsi="Book Antiqua" w:cs="Times New Roman"/>
          <w:b/>
          <w:sz w:val="24"/>
          <w:szCs w:val="24"/>
          <w:lang w:val="en-US"/>
        </w:rPr>
        <w:t>Article in press:</w:t>
      </w:r>
    </w:p>
    <w:p w14:paraId="251D8417" w14:textId="77777777" w:rsidR="0088409A" w:rsidRPr="0088409A" w:rsidRDefault="0088409A" w:rsidP="00F227A9">
      <w:pPr>
        <w:adjustRightInd w:val="0"/>
        <w:snapToGrid w:val="0"/>
        <w:spacing w:after="0" w:line="360" w:lineRule="auto"/>
        <w:rPr>
          <w:rFonts w:ascii="Book Antiqua" w:hAnsi="Book Antiqua" w:cs="Times New Roman"/>
          <w:b/>
          <w:sz w:val="24"/>
          <w:szCs w:val="24"/>
          <w:lang w:val="en-US" w:eastAsia="zh-CN"/>
        </w:rPr>
      </w:pPr>
    </w:p>
    <w:p w14:paraId="78612A50" w14:textId="77777777" w:rsidR="0088409A" w:rsidRPr="0088409A" w:rsidRDefault="0088409A" w:rsidP="00F227A9">
      <w:pPr>
        <w:widowControl w:val="0"/>
        <w:adjustRightInd w:val="0"/>
        <w:snapToGrid w:val="0"/>
        <w:spacing w:after="0" w:line="360" w:lineRule="auto"/>
        <w:jc w:val="both"/>
        <w:rPr>
          <w:rFonts w:ascii="Book Antiqua" w:eastAsia="Microsoft YaHei" w:hAnsi="Book Antiqua" w:cs="Times New Roman"/>
          <w:sz w:val="24"/>
          <w:szCs w:val="24"/>
          <w:lang w:val="fr-FR" w:eastAsia="zh-CN"/>
        </w:rPr>
      </w:pPr>
      <w:r w:rsidRPr="0088409A">
        <w:rPr>
          <w:rFonts w:ascii="Book Antiqua" w:hAnsi="Book Antiqua" w:cs="Times New Roman"/>
          <w:b/>
          <w:sz w:val="24"/>
          <w:szCs w:val="24"/>
          <w:lang w:val="fr-FR" w:eastAsia="zh-CN"/>
        </w:rPr>
        <w:t xml:space="preserve">Specialty type: </w:t>
      </w:r>
      <w:r w:rsidRPr="0088409A">
        <w:rPr>
          <w:rFonts w:ascii="Book Antiqua" w:eastAsia="Microsoft YaHei" w:hAnsi="Book Antiqua" w:cs="Times New Roman"/>
          <w:sz w:val="24"/>
          <w:szCs w:val="24"/>
          <w:lang w:val="fr-FR" w:eastAsia="zh-CN"/>
        </w:rPr>
        <w:t>Gastroenterology and hepatology</w:t>
      </w:r>
    </w:p>
    <w:p w14:paraId="42A13599" w14:textId="1DAB36F5" w:rsidR="0088409A" w:rsidRPr="0088409A" w:rsidRDefault="0088409A" w:rsidP="00F227A9">
      <w:pPr>
        <w:widowControl w:val="0"/>
        <w:adjustRightInd w:val="0"/>
        <w:snapToGrid w:val="0"/>
        <w:spacing w:after="0" w:line="360" w:lineRule="auto"/>
        <w:jc w:val="both"/>
        <w:rPr>
          <w:rFonts w:ascii="Book Antiqua" w:hAnsi="Book Antiqua" w:cs="Times New Roman"/>
          <w:b/>
          <w:sz w:val="24"/>
          <w:szCs w:val="24"/>
          <w:lang w:val="fr-FR" w:eastAsia="zh-CN"/>
        </w:rPr>
      </w:pPr>
      <w:r w:rsidRPr="0088409A">
        <w:rPr>
          <w:rFonts w:ascii="Book Antiqua" w:hAnsi="Book Antiqua" w:cs="Times New Roman"/>
          <w:b/>
          <w:sz w:val="24"/>
          <w:szCs w:val="24"/>
          <w:lang w:val="fr-FR" w:eastAsia="zh-CN"/>
        </w:rPr>
        <w:t xml:space="preserve">Country/Territory of origin: </w:t>
      </w:r>
      <w:r w:rsidR="003B4DDD" w:rsidRPr="00C10A48">
        <w:rPr>
          <w:rFonts w:ascii="Book Antiqua" w:hAnsi="Book Antiqua" w:cs="Times New Roman"/>
          <w:sz w:val="24"/>
          <w:szCs w:val="24"/>
          <w:lang w:val="en-US" w:eastAsia="zh-CN"/>
        </w:rPr>
        <w:t>Brazil</w:t>
      </w:r>
    </w:p>
    <w:p w14:paraId="3D921635" w14:textId="77777777" w:rsidR="0088409A" w:rsidRPr="0088409A" w:rsidRDefault="0088409A" w:rsidP="00F227A9">
      <w:pPr>
        <w:widowControl w:val="0"/>
        <w:adjustRightInd w:val="0"/>
        <w:snapToGrid w:val="0"/>
        <w:spacing w:after="0" w:line="360" w:lineRule="auto"/>
        <w:jc w:val="both"/>
        <w:rPr>
          <w:rFonts w:ascii="Book Antiqua" w:hAnsi="Book Antiqua" w:cs="Times New Roman"/>
          <w:b/>
          <w:sz w:val="24"/>
          <w:szCs w:val="24"/>
          <w:lang w:val="fr-FR" w:eastAsia="zh-CN"/>
        </w:rPr>
      </w:pPr>
      <w:r w:rsidRPr="0088409A">
        <w:rPr>
          <w:rFonts w:ascii="Book Antiqua" w:hAnsi="Book Antiqua" w:cs="Times New Roman"/>
          <w:b/>
          <w:sz w:val="24"/>
          <w:szCs w:val="24"/>
          <w:lang w:val="fr-FR" w:eastAsia="zh-CN"/>
        </w:rPr>
        <w:t>Peer-review report’s scientific quality classification</w:t>
      </w:r>
    </w:p>
    <w:p w14:paraId="286AD11D" w14:textId="77777777"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Grade A (Excellent): 0</w:t>
      </w:r>
    </w:p>
    <w:p w14:paraId="24E5018E" w14:textId="77777777"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Grade B (Very good): B</w:t>
      </w:r>
    </w:p>
    <w:p w14:paraId="00796B06" w14:textId="3F1BB97D"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 xml:space="preserve">Grade C (Good): </w:t>
      </w:r>
      <w:r w:rsidR="00E71870" w:rsidRPr="00C10A48">
        <w:rPr>
          <w:rFonts w:ascii="Book Antiqua" w:hAnsi="Book Antiqua" w:cs="Times New Roman"/>
          <w:sz w:val="24"/>
          <w:szCs w:val="24"/>
          <w:lang w:val="fr-FR" w:eastAsia="zh-CN"/>
        </w:rPr>
        <w:t>C</w:t>
      </w:r>
    </w:p>
    <w:p w14:paraId="4D0B6EC4" w14:textId="77777777"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Grade D (Fair): 0</w:t>
      </w:r>
    </w:p>
    <w:p w14:paraId="4AA527C6" w14:textId="77777777" w:rsidR="0088409A" w:rsidRPr="0088409A" w:rsidRDefault="0088409A" w:rsidP="00F227A9">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88409A">
        <w:rPr>
          <w:rFonts w:ascii="Book Antiqua" w:hAnsi="Book Antiqua" w:cs="Times New Roman"/>
          <w:sz w:val="24"/>
          <w:szCs w:val="24"/>
          <w:lang w:val="fr-FR" w:eastAsia="zh-CN"/>
        </w:rPr>
        <w:t>Grade E (Poor): 0</w:t>
      </w:r>
    </w:p>
    <w:p w14:paraId="3CF3C2AD" w14:textId="77777777" w:rsidR="0088409A" w:rsidRPr="0088409A" w:rsidRDefault="0088409A" w:rsidP="00F227A9">
      <w:pPr>
        <w:adjustRightInd w:val="0"/>
        <w:snapToGrid w:val="0"/>
        <w:spacing w:after="0" w:line="360" w:lineRule="auto"/>
        <w:ind w:right="361"/>
        <w:rPr>
          <w:rFonts w:ascii="Book Antiqua" w:hAnsi="Book Antiqua" w:cs="Times New Roman"/>
          <w:sz w:val="24"/>
          <w:szCs w:val="24"/>
          <w:lang w:val="en-US" w:eastAsia="zh-CN"/>
        </w:rPr>
      </w:pPr>
    </w:p>
    <w:p w14:paraId="08E019CD" w14:textId="068B9346" w:rsidR="0024084B" w:rsidRPr="00C10A48" w:rsidRDefault="0088409A" w:rsidP="00F227A9">
      <w:pPr>
        <w:adjustRightInd w:val="0"/>
        <w:snapToGrid w:val="0"/>
        <w:spacing w:after="0" w:line="360" w:lineRule="auto"/>
        <w:ind w:right="361"/>
        <w:rPr>
          <w:rFonts w:ascii="Book Antiqua" w:hAnsi="Book Antiqua" w:cs="Times New Roman"/>
          <w:b/>
          <w:bCs/>
          <w:sz w:val="24"/>
          <w:szCs w:val="24"/>
          <w:lang w:val="en-US" w:eastAsia="zh-CN"/>
        </w:rPr>
      </w:pPr>
      <w:r w:rsidRPr="0088409A">
        <w:rPr>
          <w:rFonts w:ascii="Book Antiqua" w:hAnsi="Book Antiqua" w:cs="Times New Roman"/>
          <w:b/>
          <w:sz w:val="24"/>
          <w:szCs w:val="24"/>
          <w:lang w:val="en-US"/>
        </w:rPr>
        <w:t>P-Reviewer</w:t>
      </w:r>
      <w:r w:rsidRPr="0088409A">
        <w:rPr>
          <w:rFonts w:ascii="Book Antiqua" w:hAnsi="Book Antiqua" w:cs="Times New Roman"/>
          <w:b/>
          <w:sz w:val="24"/>
          <w:szCs w:val="24"/>
          <w:lang w:val="en-US" w:eastAsia="zh-CN"/>
        </w:rPr>
        <w:t>:</w:t>
      </w:r>
      <w:r w:rsidRPr="0088409A">
        <w:rPr>
          <w:rFonts w:ascii="Book Antiqua" w:hAnsi="Book Antiqua" w:cs="Times New Roman"/>
          <w:bCs/>
          <w:sz w:val="24"/>
          <w:szCs w:val="24"/>
          <w:lang w:val="en-US"/>
        </w:rPr>
        <w:t xml:space="preserve">  </w:t>
      </w:r>
      <w:r w:rsidR="00E71870" w:rsidRPr="00C10A48">
        <w:rPr>
          <w:rFonts w:ascii="Book Antiqua" w:hAnsi="Book Antiqua" w:cs="Times New Roman"/>
          <w:bCs/>
          <w:caps/>
          <w:sz w:val="24"/>
          <w:szCs w:val="24"/>
          <w:lang w:val="en-US"/>
        </w:rPr>
        <w:t>l</w:t>
      </w:r>
      <w:r w:rsidR="00E71870" w:rsidRPr="00C10A48">
        <w:rPr>
          <w:rFonts w:ascii="Book Antiqua" w:hAnsi="Book Antiqua" w:cs="Times New Roman"/>
          <w:bCs/>
          <w:sz w:val="24"/>
          <w:szCs w:val="24"/>
          <w:lang w:val="en-US"/>
        </w:rPr>
        <w:t xml:space="preserve">ei JJ, Shen ZY </w:t>
      </w:r>
      <w:r w:rsidRPr="0088409A">
        <w:rPr>
          <w:rFonts w:ascii="Book Antiqua" w:hAnsi="Book Antiqua" w:cs="Times New Roman"/>
          <w:b/>
          <w:bCs/>
          <w:sz w:val="24"/>
          <w:szCs w:val="24"/>
          <w:lang w:val="en-US"/>
        </w:rPr>
        <w:t>S-Editor</w:t>
      </w:r>
      <w:r w:rsidRPr="0088409A">
        <w:rPr>
          <w:rFonts w:ascii="Book Antiqua" w:hAnsi="Book Antiqua" w:cs="Times New Roman"/>
          <w:b/>
          <w:bCs/>
          <w:sz w:val="24"/>
          <w:szCs w:val="24"/>
          <w:lang w:val="en-US" w:eastAsia="zh-CN"/>
        </w:rPr>
        <w:t>:</w:t>
      </w:r>
      <w:r w:rsidRPr="0088409A">
        <w:rPr>
          <w:rFonts w:ascii="Book Antiqua" w:hAnsi="Book Antiqua" w:cs="Times New Roman"/>
          <w:bCs/>
          <w:sz w:val="24"/>
          <w:szCs w:val="24"/>
          <w:lang w:val="en-US"/>
        </w:rPr>
        <w:t xml:space="preserve"> </w:t>
      </w:r>
      <w:r w:rsidRPr="0088409A">
        <w:rPr>
          <w:rFonts w:ascii="Book Antiqua" w:hAnsi="Book Antiqua" w:cs="Times New Roman"/>
          <w:bCs/>
          <w:sz w:val="24"/>
          <w:szCs w:val="24"/>
          <w:lang w:val="en-US" w:eastAsia="zh-CN"/>
        </w:rPr>
        <w:t>Gong ZM</w:t>
      </w:r>
      <w:r w:rsidRPr="0088409A">
        <w:rPr>
          <w:rFonts w:ascii="Book Antiqua" w:hAnsi="Book Antiqua" w:cs="Times New Roman"/>
          <w:b/>
          <w:bCs/>
          <w:sz w:val="24"/>
          <w:szCs w:val="24"/>
          <w:lang w:val="en-US"/>
        </w:rPr>
        <w:t xml:space="preserve"> L-Editor</w:t>
      </w:r>
      <w:r w:rsidRPr="0088409A">
        <w:rPr>
          <w:rFonts w:ascii="Book Antiqua" w:hAnsi="Book Antiqua" w:cs="Times New Roman"/>
          <w:b/>
          <w:bCs/>
          <w:sz w:val="24"/>
          <w:szCs w:val="24"/>
          <w:lang w:val="en-US" w:eastAsia="zh-CN"/>
        </w:rPr>
        <w:t>:</w:t>
      </w:r>
      <w:r w:rsidRPr="0088409A">
        <w:rPr>
          <w:rFonts w:ascii="Book Antiqua" w:hAnsi="Book Antiqua" w:cs="Times New Roman"/>
          <w:b/>
          <w:bCs/>
          <w:sz w:val="24"/>
          <w:szCs w:val="24"/>
          <w:lang w:val="en-US"/>
        </w:rPr>
        <w:t xml:space="preserve"> E-Editor</w:t>
      </w:r>
      <w:r w:rsidRPr="0088409A">
        <w:rPr>
          <w:rFonts w:ascii="Book Antiqua" w:hAnsi="Book Antiqua" w:cs="Times New Roman"/>
          <w:b/>
          <w:bCs/>
          <w:sz w:val="24"/>
          <w:szCs w:val="24"/>
          <w:lang w:val="en-US" w:eastAsia="zh-CN"/>
        </w:rPr>
        <w:t>:</w:t>
      </w:r>
    </w:p>
    <w:p w14:paraId="2D5F5465" w14:textId="77777777" w:rsidR="00AD4743" w:rsidRPr="00AD4743" w:rsidRDefault="00AD4743" w:rsidP="00AD4743">
      <w:pPr>
        <w:widowControl w:val="0"/>
        <w:autoSpaceDE w:val="0"/>
        <w:autoSpaceDN w:val="0"/>
        <w:adjustRightInd w:val="0"/>
        <w:snapToGrid w:val="0"/>
        <w:spacing w:after="0" w:line="360" w:lineRule="auto"/>
        <w:jc w:val="both"/>
        <w:rPr>
          <w:rFonts w:ascii="Book Antiqua" w:hAnsi="Book Antiqua"/>
          <w:b/>
          <w:bCs/>
          <w:sz w:val="24"/>
          <w:szCs w:val="24"/>
          <w:lang w:val="en-US"/>
        </w:rPr>
      </w:pPr>
      <w:r w:rsidRPr="00AD4743">
        <w:rPr>
          <w:rFonts w:ascii="Book Antiqua" w:hAnsi="Book Antiqua"/>
          <w:b/>
          <w:bCs/>
          <w:sz w:val="24"/>
          <w:szCs w:val="24"/>
          <w:lang w:val="en-US"/>
        </w:rPr>
        <w:t>Figure Legends</w:t>
      </w:r>
    </w:p>
    <w:p w14:paraId="7E03E03D" w14:textId="4EC16532" w:rsidR="005067E8" w:rsidRPr="00C10A48" w:rsidRDefault="00773C86" w:rsidP="00F227A9">
      <w:pPr>
        <w:widowControl w:val="0"/>
        <w:autoSpaceDE w:val="0"/>
        <w:autoSpaceDN w:val="0"/>
        <w:adjustRightInd w:val="0"/>
        <w:snapToGrid w:val="0"/>
        <w:spacing w:after="0" w:line="360" w:lineRule="auto"/>
        <w:jc w:val="both"/>
        <w:rPr>
          <w:rFonts w:ascii="Book Antiqua" w:hAnsi="Book Antiqua"/>
          <w:b/>
          <w:bCs/>
          <w:sz w:val="24"/>
          <w:szCs w:val="24"/>
          <w:lang w:val="en-US"/>
        </w:rPr>
      </w:pPr>
      <w:r>
        <w:rPr>
          <w:noProof/>
          <w:lang w:val="en-US" w:eastAsia="zh-CN"/>
        </w:rPr>
        <w:lastRenderedPageBreak/>
        <w:drawing>
          <wp:inline distT="0" distB="0" distL="0" distR="0" wp14:anchorId="6C53FFB6" wp14:editId="61E76AFD">
            <wp:extent cx="6144074" cy="5907819"/>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9231" cy="5912778"/>
                    </a:xfrm>
                    <a:prstGeom prst="rect">
                      <a:avLst/>
                    </a:prstGeom>
                  </pic:spPr>
                </pic:pic>
              </a:graphicData>
            </a:graphic>
          </wp:inline>
        </w:drawing>
      </w:r>
    </w:p>
    <w:p w14:paraId="047DD133" w14:textId="75FF2486" w:rsidR="00773C86" w:rsidRDefault="00BC4E72" w:rsidP="00130F9D">
      <w:pPr>
        <w:tabs>
          <w:tab w:val="center" w:pos="4252"/>
        </w:tabs>
        <w:snapToGrid w:val="0"/>
        <w:spacing w:after="0" w:line="360" w:lineRule="auto"/>
        <w:jc w:val="both"/>
        <w:rPr>
          <w:rFonts w:ascii="Book Antiqua" w:eastAsia="Times New Roman" w:hAnsi="Book Antiqua" w:cs="Times New Roman"/>
          <w:sz w:val="24"/>
          <w:szCs w:val="24"/>
          <w:shd w:val="clear" w:color="auto" w:fill="FFFFFF"/>
          <w:lang w:val="en-US" w:eastAsia="pt-BR"/>
        </w:rPr>
      </w:pPr>
      <w:r w:rsidRPr="00CA15A2">
        <w:rPr>
          <w:rFonts w:ascii="Book Antiqua" w:hAnsi="Book Antiqua" w:cs="Times New Roman"/>
          <w:b/>
          <w:bCs/>
          <w:sz w:val="24"/>
          <w:szCs w:val="24"/>
          <w:lang w:val="en-US"/>
        </w:rPr>
        <w:t>Figure 1</w:t>
      </w:r>
      <w:r w:rsidR="00773C86" w:rsidRPr="00CA15A2">
        <w:rPr>
          <w:rFonts w:ascii="Book Antiqua" w:hAnsi="Book Antiqua" w:cs="Times New Roman"/>
          <w:b/>
          <w:bCs/>
          <w:sz w:val="24"/>
          <w:szCs w:val="24"/>
          <w:lang w:val="en-US"/>
        </w:rPr>
        <w:t xml:space="preserve"> </w:t>
      </w:r>
      <w:r w:rsidRPr="00CA15A2">
        <w:rPr>
          <w:rFonts w:ascii="Book Antiqua" w:hAnsi="Book Antiqua" w:cs="Times New Roman"/>
          <w:b/>
          <w:bCs/>
          <w:sz w:val="24"/>
          <w:szCs w:val="24"/>
          <w:lang w:val="en-US"/>
        </w:rPr>
        <w:t xml:space="preserve">Flow chart </w:t>
      </w:r>
      <w:r w:rsidR="00815409" w:rsidRPr="00CA15A2">
        <w:rPr>
          <w:rFonts w:ascii="Book Antiqua" w:hAnsi="Book Antiqua" w:cs="Times New Roman"/>
          <w:b/>
          <w:bCs/>
          <w:sz w:val="24"/>
          <w:szCs w:val="24"/>
          <w:lang w:val="en-US"/>
        </w:rPr>
        <w:t>of</w:t>
      </w:r>
      <w:r w:rsidRPr="00CA15A2">
        <w:rPr>
          <w:rFonts w:ascii="Book Antiqua" w:hAnsi="Book Antiqua" w:cs="Times New Roman"/>
          <w:b/>
          <w:bCs/>
          <w:sz w:val="24"/>
          <w:szCs w:val="24"/>
          <w:lang w:val="en-US"/>
        </w:rPr>
        <w:t xml:space="preserve"> study selection. </w:t>
      </w:r>
      <w:r w:rsidRPr="00C10A48">
        <w:rPr>
          <w:rFonts w:ascii="Book Antiqua" w:hAnsi="Book Antiqua" w:cs="Times New Roman"/>
          <w:bCs/>
          <w:sz w:val="24"/>
          <w:szCs w:val="24"/>
          <w:lang w:val="en-US"/>
        </w:rPr>
        <w:t xml:space="preserve">Cochrane CENTRAL: Cochrane Central Register of Controlled Trials; </w:t>
      </w:r>
      <w:r w:rsidRPr="00C10A48">
        <w:rPr>
          <w:rFonts w:ascii="Book Antiqua" w:eastAsia="Times New Roman" w:hAnsi="Book Antiqua" w:cs="Times New Roman"/>
          <w:sz w:val="24"/>
          <w:szCs w:val="24"/>
          <w:shd w:val="clear" w:color="auto" w:fill="FFFFFF"/>
          <w:lang w:val="en-US" w:eastAsia="pt-BR"/>
        </w:rPr>
        <w:t xml:space="preserve">Propofol </w:t>
      </w:r>
      <w:r w:rsidR="009E3C6F" w:rsidRPr="009E3C6F">
        <w:rPr>
          <w:rFonts w:ascii="Book Antiqua" w:eastAsia="Times New Roman" w:hAnsi="Book Antiqua" w:cs="Times New Roman"/>
          <w:i/>
          <w:sz w:val="24"/>
          <w:szCs w:val="24"/>
          <w:shd w:val="clear" w:color="auto" w:fill="FFFFFF"/>
          <w:lang w:val="en-US" w:eastAsia="pt-BR"/>
        </w:rPr>
        <w:t>vs</w:t>
      </w:r>
      <w:r w:rsidRPr="00C10A48">
        <w:rPr>
          <w:rFonts w:ascii="Book Antiqua" w:eastAsia="Times New Roman" w:hAnsi="Book Antiqua" w:cs="Times New Roman"/>
          <w:sz w:val="24"/>
          <w:szCs w:val="24"/>
          <w:shd w:val="clear" w:color="auto" w:fill="FFFFFF"/>
          <w:lang w:val="en-US" w:eastAsia="pt-BR"/>
        </w:rPr>
        <w:t xml:space="preserve"> midazolam sedation for elective endoscopy in patients with cirrhosis.</w:t>
      </w:r>
    </w:p>
    <w:p w14:paraId="1D3F1A95" w14:textId="77777777" w:rsidR="00773C86" w:rsidRDefault="00773C86" w:rsidP="00F227A9">
      <w:pPr>
        <w:snapToGrid w:val="0"/>
        <w:spacing w:after="0" w:line="360" w:lineRule="auto"/>
        <w:rPr>
          <w:rFonts w:ascii="Book Antiqua" w:eastAsia="Times New Roman" w:hAnsi="Book Antiqua" w:cs="Times New Roman"/>
          <w:sz w:val="24"/>
          <w:szCs w:val="24"/>
          <w:shd w:val="clear" w:color="auto" w:fill="FFFFFF"/>
          <w:lang w:val="en-US" w:eastAsia="pt-BR"/>
        </w:rPr>
      </w:pPr>
      <w:r>
        <w:rPr>
          <w:rFonts w:ascii="Book Antiqua" w:eastAsia="Times New Roman" w:hAnsi="Book Antiqua" w:cs="Times New Roman"/>
          <w:sz w:val="24"/>
          <w:szCs w:val="24"/>
          <w:shd w:val="clear" w:color="auto" w:fill="FFFFFF"/>
          <w:lang w:val="en-US" w:eastAsia="pt-BR"/>
        </w:rPr>
        <w:br w:type="page"/>
      </w:r>
    </w:p>
    <w:p w14:paraId="2EFF5AD2" w14:textId="6DC6D9CB" w:rsidR="00BC4E72" w:rsidRDefault="00D949EF" w:rsidP="00F227A9">
      <w:pPr>
        <w:tabs>
          <w:tab w:val="center" w:pos="4252"/>
        </w:tabs>
        <w:snapToGrid w:val="0"/>
        <w:spacing w:after="0" w:line="360" w:lineRule="auto"/>
        <w:rPr>
          <w:rFonts w:ascii="Book Antiqua" w:hAnsi="Book Antiqua" w:cs="Times New Roman"/>
          <w:noProof/>
          <w:sz w:val="24"/>
          <w:szCs w:val="24"/>
          <w:lang w:val="en-US" w:eastAsia="zh-CN"/>
        </w:rPr>
      </w:pPr>
      <w:r w:rsidRPr="00C10A48">
        <w:rPr>
          <w:rFonts w:ascii="Book Antiqua" w:hAnsi="Book Antiqua" w:cs="Times New Roman"/>
          <w:noProof/>
          <w:sz w:val="24"/>
          <w:szCs w:val="24"/>
          <w:lang w:val="en-US" w:eastAsia="zh-CN"/>
        </w:rPr>
        <w:lastRenderedPageBreak/>
        <w:drawing>
          <wp:inline distT="0" distB="0" distL="0" distR="0" wp14:anchorId="009E1FC2" wp14:editId="5FB9B0C4">
            <wp:extent cx="5255813" cy="3985123"/>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761" cy="3992666"/>
                    </a:xfrm>
                    <a:prstGeom prst="rect">
                      <a:avLst/>
                    </a:prstGeom>
                    <a:noFill/>
                    <a:ln>
                      <a:noFill/>
                    </a:ln>
                  </pic:spPr>
                </pic:pic>
              </a:graphicData>
            </a:graphic>
          </wp:inline>
        </w:drawing>
      </w:r>
    </w:p>
    <w:p w14:paraId="4CF66025" w14:textId="1330699F" w:rsidR="007D4AC3" w:rsidRDefault="00F308F3" w:rsidP="00F227A9">
      <w:pPr>
        <w:tabs>
          <w:tab w:val="left" w:pos="1425"/>
        </w:tabs>
        <w:snapToGrid w:val="0"/>
        <w:spacing w:after="0" w:line="360" w:lineRule="auto"/>
        <w:rPr>
          <w:rFonts w:ascii="Book Antiqua" w:hAnsi="Book Antiqua" w:cs="Times New Roman"/>
          <w:b/>
          <w:sz w:val="24"/>
          <w:szCs w:val="24"/>
          <w:shd w:val="clear" w:color="auto" w:fill="FFFFFF"/>
          <w:lang w:val="en-US"/>
        </w:rPr>
      </w:pPr>
      <w:r w:rsidRPr="009469C0">
        <w:rPr>
          <w:rFonts w:ascii="Book Antiqua" w:hAnsi="Book Antiqua" w:cs="Times New Roman"/>
          <w:b/>
          <w:bCs/>
          <w:sz w:val="24"/>
          <w:szCs w:val="24"/>
          <w:lang w:val="en-US"/>
        </w:rPr>
        <w:t>Figure 2</w:t>
      </w:r>
      <w:r w:rsidR="009469C0" w:rsidRPr="009469C0">
        <w:rPr>
          <w:rFonts w:ascii="Book Antiqua" w:hAnsi="Book Antiqua" w:cs="Times New Roman"/>
          <w:b/>
          <w:bCs/>
          <w:sz w:val="24"/>
          <w:szCs w:val="24"/>
          <w:lang w:val="en-US"/>
        </w:rPr>
        <w:t xml:space="preserve"> </w:t>
      </w:r>
      <w:r w:rsidRPr="009469C0">
        <w:rPr>
          <w:rFonts w:ascii="Book Antiqua" w:hAnsi="Book Antiqua" w:cs="Times New Roman"/>
          <w:b/>
          <w:sz w:val="24"/>
          <w:szCs w:val="24"/>
          <w:lang w:val="en-US"/>
        </w:rPr>
        <w:t>Overall r</w:t>
      </w:r>
      <w:r w:rsidRPr="009469C0">
        <w:rPr>
          <w:rFonts w:ascii="Book Antiqua" w:hAnsi="Book Antiqua" w:cs="Times New Roman"/>
          <w:b/>
          <w:sz w:val="24"/>
          <w:szCs w:val="24"/>
          <w:shd w:val="clear" w:color="auto" w:fill="FFFFFF"/>
          <w:lang w:val="en-US"/>
        </w:rPr>
        <w:t>isk of bias.</w:t>
      </w:r>
    </w:p>
    <w:p w14:paraId="4350BF58" w14:textId="77777777" w:rsidR="007D4AC3" w:rsidRDefault="007D4AC3" w:rsidP="00F227A9">
      <w:pPr>
        <w:snapToGrid w:val="0"/>
        <w:spacing w:after="0" w:line="360" w:lineRule="auto"/>
        <w:rPr>
          <w:rFonts w:ascii="Book Antiqua" w:hAnsi="Book Antiqua" w:cs="Times New Roman"/>
          <w:b/>
          <w:sz w:val="24"/>
          <w:szCs w:val="24"/>
          <w:shd w:val="clear" w:color="auto" w:fill="FFFFFF"/>
          <w:lang w:val="en-US"/>
        </w:rPr>
      </w:pPr>
      <w:r>
        <w:rPr>
          <w:rFonts w:ascii="Book Antiqua" w:hAnsi="Book Antiqua" w:cs="Times New Roman"/>
          <w:b/>
          <w:sz w:val="24"/>
          <w:szCs w:val="24"/>
          <w:shd w:val="clear" w:color="auto" w:fill="FFFFFF"/>
          <w:lang w:val="en-US"/>
        </w:rPr>
        <w:br w:type="page"/>
      </w:r>
    </w:p>
    <w:p w14:paraId="0FB0F840" w14:textId="60EEB4FF" w:rsidR="009469C0" w:rsidRDefault="0027710F"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pPr>
      <w:r>
        <w:rPr>
          <w:noProof/>
          <w:lang w:val="en-US" w:eastAsia="zh-CN"/>
        </w:rPr>
        <w:lastRenderedPageBreak/>
        <w:drawing>
          <wp:inline distT="0" distB="0" distL="0" distR="0" wp14:anchorId="40A28902" wp14:editId="1638FF68">
            <wp:extent cx="5400040" cy="622363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6223635"/>
                    </a:xfrm>
                    <a:prstGeom prst="rect">
                      <a:avLst/>
                    </a:prstGeom>
                  </pic:spPr>
                </pic:pic>
              </a:graphicData>
            </a:graphic>
          </wp:inline>
        </w:drawing>
      </w:r>
    </w:p>
    <w:p w14:paraId="570FFB00" w14:textId="07A25EB7" w:rsidR="007D4AC3" w:rsidRPr="00DF31EE" w:rsidRDefault="007D4AC3" w:rsidP="00F227A9">
      <w:pPr>
        <w:tabs>
          <w:tab w:val="center" w:pos="4252"/>
        </w:tabs>
        <w:snapToGrid w:val="0"/>
        <w:spacing w:after="0" w:line="360" w:lineRule="auto"/>
        <w:jc w:val="both"/>
        <w:rPr>
          <w:rFonts w:ascii="Book Antiqua" w:hAnsi="Book Antiqua" w:cs="Times New Roman"/>
          <w:bCs/>
          <w:sz w:val="24"/>
          <w:szCs w:val="24"/>
          <w:lang w:val="en-US"/>
        </w:rPr>
      </w:pPr>
      <w:r w:rsidRPr="008944FF">
        <w:rPr>
          <w:rFonts w:ascii="Book Antiqua" w:hAnsi="Book Antiqua" w:cs="Times New Roman"/>
          <w:b/>
          <w:bCs/>
          <w:sz w:val="24"/>
          <w:szCs w:val="24"/>
          <w:lang w:val="en-US"/>
        </w:rPr>
        <w:t xml:space="preserve">Figure 3 </w:t>
      </w:r>
      <w:proofErr w:type="spellStart"/>
      <w:r w:rsidRPr="008944FF">
        <w:rPr>
          <w:rFonts w:ascii="Book Antiqua" w:hAnsi="Book Antiqua" w:cs="Times New Roman"/>
          <w:b/>
          <w:bCs/>
          <w:sz w:val="24"/>
          <w:szCs w:val="24"/>
          <w:lang w:val="en-US"/>
        </w:rPr>
        <w:t>GRADEpro</w:t>
      </w:r>
      <w:proofErr w:type="spellEnd"/>
      <w:r w:rsidRPr="008944FF">
        <w:rPr>
          <w:rFonts w:ascii="Book Antiqua" w:hAnsi="Book Antiqua" w:cs="Times New Roman"/>
          <w:b/>
          <w:bCs/>
          <w:sz w:val="24"/>
          <w:szCs w:val="24"/>
          <w:lang w:val="en-US"/>
        </w:rPr>
        <w:t>.</w:t>
      </w:r>
      <w:r w:rsidRPr="00C10A48">
        <w:rPr>
          <w:rFonts w:ascii="Book Antiqua" w:hAnsi="Book Antiqua" w:cs="Times New Roman"/>
          <w:bCs/>
          <w:sz w:val="24"/>
          <w:szCs w:val="24"/>
          <w:lang w:val="en-US"/>
        </w:rPr>
        <w:t xml:space="preserve"> Propofol </w:t>
      </w:r>
      <w:r w:rsidRPr="009E3C6F">
        <w:rPr>
          <w:rFonts w:ascii="Book Antiqua" w:eastAsia="Times New Roman" w:hAnsi="Book Antiqua" w:cs="Times New Roman"/>
          <w:i/>
          <w:sz w:val="24"/>
          <w:szCs w:val="24"/>
          <w:shd w:val="clear" w:color="auto" w:fill="FFFFFF"/>
          <w:lang w:val="en-US" w:eastAsia="pt-BR"/>
        </w:rPr>
        <w:t>vs</w:t>
      </w:r>
      <w:r w:rsidRPr="00C10A48">
        <w:rPr>
          <w:rFonts w:ascii="Book Antiqua" w:hAnsi="Book Antiqua" w:cs="Times New Roman"/>
          <w:bCs/>
          <w:sz w:val="24"/>
          <w:szCs w:val="24"/>
          <w:lang w:val="en-US"/>
        </w:rPr>
        <w:t xml:space="preserve"> midazolam sedation for elective endoscopy in patients with cirrhosis. </w:t>
      </w:r>
      <w:r w:rsidRPr="009F346A">
        <w:rPr>
          <w:rFonts w:ascii="Book Antiqua" w:hAnsi="Book Antiqua" w:cs="Times New Roman"/>
          <w:bCs/>
          <w:caps/>
          <w:sz w:val="24"/>
          <w:szCs w:val="24"/>
          <w:lang w:val="en-US"/>
        </w:rPr>
        <w:t>a</w:t>
      </w:r>
      <w:r w:rsidRPr="00C10A48">
        <w:rPr>
          <w:rFonts w:ascii="Book Antiqua" w:hAnsi="Book Antiqua" w:cs="Times New Roman"/>
          <w:bCs/>
          <w:sz w:val="24"/>
          <w:szCs w:val="24"/>
          <w:lang w:val="en-US"/>
        </w:rPr>
        <w:t xml:space="preserve"> systematic review and meta-analysis of randomized controlled trials</w:t>
      </w:r>
      <w:r>
        <w:rPr>
          <w:rFonts w:ascii="Book Antiqua" w:hAnsi="Book Antiqua" w:cs="Times New Roman"/>
          <w:bCs/>
          <w:sz w:val="24"/>
          <w:szCs w:val="24"/>
          <w:lang w:val="en-US"/>
        </w:rPr>
        <w:t>.</w:t>
      </w:r>
      <w:r w:rsidR="00DF31EE">
        <w:rPr>
          <w:rFonts w:ascii="Book Antiqua" w:hAnsi="Book Antiqua" w:cs="Times New Roman"/>
          <w:bCs/>
          <w:sz w:val="24"/>
          <w:szCs w:val="24"/>
          <w:lang w:val="en-US"/>
        </w:rPr>
        <w:t xml:space="preserve"> </w:t>
      </w:r>
      <w:proofErr w:type="spellStart"/>
      <w:r w:rsidR="00DF31EE" w:rsidRPr="00DF31EE">
        <w:rPr>
          <w:rFonts w:ascii="Book Antiqua" w:hAnsi="Book Antiqua" w:cs="Times New Roman"/>
          <w:bCs/>
          <w:sz w:val="24"/>
          <w:szCs w:val="24"/>
          <w:vertAlign w:val="superscript"/>
          <w:lang w:val="en-US"/>
        </w:rPr>
        <w:t>a</w:t>
      </w:r>
      <w:r w:rsidR="00DF31EE" w:rsidRPr="00DF31EE">
        <w:rPr>
          <w:rFonts w:ascii="Book Antiqua" w:hAnsi="Book Antiqua" w:cs="Times New Roman"/>
          <w:bCs/>
          <w:sz w:val="24"/>
          <w:szCs w:val="24"/>
          <w:lang w:val="en-US"/>
        </w:rPr>
        <w:t>Riphaus</w:t>
      </w:r>
      <w:proofErr w:type="spellEnd"/>
      <w:r w:rsidR="00DF31EE" w:rsidRPr="00DF31EE">
        <w:rPr>
          <w:rFonts w:ascii="Book Antiqua" w:hAnsi="Book Antiqua" w:cs="Times New Roman"/>
          <w:bCs/>
          <w:sz w:val="24"/>
          <w:szCs w:val="24"/>
          <w:lang w:val="en-US"/>
        </w:rPr>
        <w:t xml:space="preserve"> A, 2009 risk of bias high. </w:t>
      </w:r>
      <w:proofErr w:type="spellStart"/>
      <w:r w:rsidR="00DF31EE" w:rsidRPr="00DF31EE">
        <w:rPr>
          <w:rFonts w:ascii="Book Antiqua" w:hAnsi="Book Antiqua" w:cs="Times New Roman"/>
          <w:bCs/>
          <w:sz w:val="24"/>
          <w:szCs w:val="24"/>
          <w:lang w:val="en-US"/>
        </w:rPr>
        <w:t>Khamaysi</w:t>
      </w:r>
      <w:proofErr w:type="spellEnd"/>
      <w:r w:rsidR="00DF31EE" w:rsidRPr="00DF31EE">
        <w:rPr>
          <w:rFonts w:ascii="Book Antiqua" w:hAnsi="Book Antiqua" w:cs="Times New Roman"/>
          <w:bCs/>
          <w:sz w:val="24"/>
          <w:szCs w:val="24"/>
          <w:lang w:val="en-US"/>
        </w:rPr>
        <w:t xml:space="preserve">, 2011 and </w:t>
      </w:r>
      <w:r w:rsidR="00DF31EE">
        <w:rPr>
          <w:rFonts w:ascii="Book Antiqua" w:hAnsi="Book Antiqua" w:cs="Times New Roman"/>
          <w:bCs/>
          <w:sz w:val="24"/>
          <w:szCs w:val="24"/>
          <w:lang w:val="en-US"/>
        </w:rPr>
        <w:t xml:space="preserve">Weston BR. 2003 some concerns. </w:t>
      </w:r>
      <w:proofErr w:type="spellStart"/>
      <w:r w:rsidR="00DF31EE" w:rsidRPr="00DF31EE">
        <w:rPr>
          <w:rFonts w:ascii="Book Antiqua" w:hAnsi="Book Antiqua" w:cs="Times New Roman"/>
          <w:bCs/>
          <w:sz w:val="24"/>
          <w:szCs w:val="24"/>
          <w:vertAlign w:val="superscript"/>
          <w:lang w:val="en-US"/>
        </w:rPr>
        <w:t>b</w:t>
      </w:r>
      <w:r w:rsidR="00DF31EE">
        <w:rPr>
          <w:rFonts w:ascii="Book Antiqua" w:hAnsi="Book Antiqua" w:cs="Times New Roman"/>
          <w:bCs/>
          <w:sz w:val="24"/>
          <w:szCs w:val="24"/>
          <w:lang w:val="en-US"/>
        </w:rPr>
        <w:t>High</w:t>
      </w:r>
      <w:proofErr w:type="spellEnd"/>
      <w:r w:rsidR="00DF31EE">
        <w:rPr>
          <w:rFonts w:ascii="Book Antiqua" w:hAnsi="Book Antiqua" w:cs="Times New Roman"/>
          <w:bCs/>
          <w:sz w:val="24"/>
          <w:szCs w:val="24"/>
          <w:lang w:val="en-US"/>
        </w:rPr>
        <w:t xml:space="preserve"> heterogeneity. </w:t>
      </w:r>
      <w:proofErr w:type="spellStart"/>
      <w:r w:rsidR="00DF31EE" w:rsidRPr="00DF31EE">
        <w:rPr>
          <w:rFonts w:ascii="Book Antiqua" w:hAnsi="Book Antiqua" w:cs="Times New Roman"/>
          <w:bCs/>
          <w:sz w:val="24"/>
          <w:szCs w:val="24"/>
          <w:vertAlign w:val="superscript"/>
          <w:lang w:val="en-US"/>
        </w:rPr>
        <w:t>c</w:t>
      </w:r>
      <w:r w:rsidR="00DF31EE">
        <w:rPr>
          <w:rFonts w:ascii="Book Antiqua" w:hAnsi="Book Antiqua" w:cs="Times New Roman"/>
          <w:bCs/>
          <w:sz w:val="24"/>
          <w:szCs w:val="24"/>
          <w:lang w:val="en-US"/>
        </w:rPr>
        <w:t>Non</w:t>
      </w:r>
      <w:proofErr w:type="spellEnd"/>
      <w:r w:rsidR="00DF31EE">
        <w:rPr>
          <w:rFonts w:ascii="Book Antiqua" w:hAnsi="Book Antiqua" w:cs="Times New Roman"/>
          <w:bCs/>
          <w:sz w:val="24"/>
          <w:szCs w:val="24"/>
          <w:lang w:val="en-US"/>
        </w:rPr>
        <w:t xml:space="preserve"> significant difference. </w:t>
      </w:r>
      <w:proofErr w:type="spellStart"/>
      <w:r w:rsidR="00DF31EE" w:rsidRPr="00DF31EE">
        <w:rPr>
          <w:rFonts w:ascii="Book Antiqua" w:hAnsi="Book Antiqua" w:cs="Times New Roman"/>
          <w:bCs/>
          <w:sz w:val="24"/>
          <w:szCs w:val="24"/>
          <w:vertAlign w:val="superscript"/>
          <w:lang w:val="en-US"/>
        </w:rPr>
        <w:t>d</w:t>
      </w:r>
      <w:r w:rsidR="00DF31EE" w:rsidRPr="00DF31EE">
        <w:rPr>
          <w:rFonts w:ascii="Book Antiqua" w:hAnsi="Book Antiqua" w:cs="Times New Roman"/>
          <w:bCs/>
          <w:sz w:val="24"/>
          <w:szCs w:val="24"/>
          <w:lang w:val="en-US"/>
        </w:rPr>
        <w:t>Riphaus</w:t>
      </w:r>
      <w:proofErr w:type="spellEnd"/>
      <w:r w:rsidR="00DF31EE" w:rsidRPr="00DF31EE">
        <w:rPr>
          <w:rFonts w:ascii="Book Antiqua" w:hAnsi="Book Antiqua" w:cs="Times New Roman"/>
          <w:bCs/>
          <w:sz w:val="24"/>
          <w:szCs w:val="24"/>
          <w:lang w:val="en-US"/>
        </w:rPr>
        <w:t xml:space="preserve"> A 2009, Risk of bias high. </w:t>
      </w:r>
      <w:proofErr w:type="spellStart"/>
      <w:r w:rsidR="00DF31EE" w:rsidRPr="00DF31EE">
        <w:rPr>
          <w:rFonts w:ascii="Book Antiqua" w:hAnsi="Book Antiqua" w:cs="Times New Roman"/>
          <w:bCs/>
          <w:sz w:val="24"/>
          <w:szCs w:val="24"/>
          <w:lang w:val="en-US"/>
        </w:rPr>
        <w:t>Khamaysi</w:t>
      </w:r>
      <w:proofErr w:type="spellEnd"/>
      <w:r w:rsidR="00DF31EE" w:rsidRPr="00DF31EE">
        <w:rPr>
          <w:rFonts w:ascii="Book Antiqua" w:hAnsi="Book Antiqua" w:cs="Times New Roman"/>
          <w:bCs/>
          <w:sz w:val="24"/>
          <w:szCs w:val="24"/>
          <w:lang w:val="en-US"/>
        </w:rPr>
        <w:t xml:space="preserve">, 2011 and Weston BR. </w:t>
      </w:r>
      <w:r w:rsidR="00DF31EE">
        <w:rPr>
          <w:rFonts w:ascii="Book Antiqua" w:hAnsi="Book Antiqua" w:cs="Times New Roman"/>
          <w:bCs/>
          <w:sz w:val="24"/>
          <w:szCs w:val="24"/>
          <w:lang w:val="en-US"/>
        </w:rPr>
        <w:t xml:space="preserve">2003, risk bias some concerns. </w:t>
      </w:r>
      <w:proofErr w:type="spellStart"/>
      <w:r w:rsidR="00DF31EE" w:rsidRPr="00DF31EE">
        <w:rPr>
          <w:rFonts w:ascii="Book Antiqua" w:hAnsi="Book Antiqua" w:cs="Times New Roman"/>
          <w:bCs/>
          <w:sz w:val="24"/>
          <w:szCs w:val="24"/>
          <w:vertAlign w:val="superscript"/>
          <w:lang w:val="en-US"/>
        </w:rPr>
        <w:t>e</w:t>
      </w:r>
      <w:r w:rsidR="00DF31EE" w:rsidRPr="00DF31EE">
        <w:rPr>
          <w:rFonts w:ascii="Book Antiqua" w:hAnsi="Book Antiqua" w:cs="Times New Roman"/>
          <w:bCs/>
          <w:sz w:val="24"/>
          <w:szCs w:val="24"/>
          <w:lang w:val="en-US"/>
        </w:rPr>
        <w:t>Khamaysi</w:t>
      </w:r>
      <w:proofErr w:type="spellEnd"/>
      <w:r w:rsidR="00DF31EE" w:rsidRPr="00DF31EE">
        <w:rPr>
          <w:rFonts w:ascii="Book Antiqua" w:hAnsi="Book Antiqua" w:cs="Times New Roman"/>
          <w:bCs/>
          <w:sz w:val="24"/>
          <w:szCs w:val="24"/>
          <w:lang w:val="en-US"/>
        </w:rPr>
        <w:t>, 2011 and Weston BR. 200</w:t>
      </w:r>
      <w:r w:rsidR="00DF31EE">
        <w:rPr>
          <w:rFonts w:ascii="Book Antiqua" w:hAnsi="Book Antiqua" w:cs="Times New Roman"/>
          <w:bCs/>
          <w:sz w:val="24"/>
          <w:szCs w:val="24"/>
          <w:lang w:val="en-US"/>
        </w:rPr>
        <w:t xml:space="preserve">3, Risk of bias some concerns. </w:t>
      </w:r>
      <w:proofErr w:type="spellStart"/>
      <w:r w:rsidR="00DF31EE" w:rsidRPr="00DF31EE">
        <w:rPr>
          <w:rFonts w:ascii="Book Antiqua" w:hAnsi="Book Antiqua" w:cs="Times New Roman"/>
          <w:bCs/>
          <w:sz w:val="24"/>
          <w:szCs w:val="24"/>
          <w:vertAlign w:val="superscript"/>
          <w:lang w:val="en-US"/>
        </w:rPr>
        <w:t>f</w:t>
      </w:r>
      <w:r w:rsidR="00DF31EE" w:rsidRPr="00DF31EE">
        <w:rPr>
          <w:rFonts w:ascii="Book Antiqua" w:hAnsi="Book Antiqua" w:cs="Times New Roman"/>
          <w:bCs/>
          <w:sz w:val="24"/>
          <w:szCs w:val="24"/>
          <w:lang w:val="en-US"/>
        </w:rPr>
        <w:t>Riphaus</w:t>
      </w:r>
      <w:proofErr w:type="spellEnd"/>
      <w:r w:rsidR="00DF31EE" w:rsidRPr="00DF31EE">
        <w:rPr>
          <w:rFonts w:ascii="Book Antiqua" w:hAnsi="Book Antiqua" w:cs="Times New Roman"/>
          <w:bCs/>
          <w:sz w:val="24"/>
          <w:szCs w:val="24"/>
          <w:lang w:val="en-US"/>
        </w:rPr>
        <w:t xml:space="preserve"> A, 2009 risk of bias high in (Bradycardia, Hypotension and Hypoxemia).</w:t>
      </w:r>
      <w:r w:rsidR="003248EE">
        <w:rPr>
          <w:rFonts w:ascii="Book Antiqua" w:hAnsi="Book Antiqua" w:cs="Times New Roman"/>
          <w:bCs/>
          <w:sz w:val="24"/>
          <w:szCs w:val="24"/>
          <w:lang w:val="en-US"/>
        </w:rPr>
        <w:t xml:space="preserve"> </w:t>
      </w:r>
      <w:r w:rsidR="003248EE" w:rsidRPr="00DF31EE">
        <w:rPr>
          <w:rFonts w:ascii="Book Antiqua" w:hAnsi="Book Antiqua" w:cs="Times New Roman"/>
          <w:bCs/>
          <w:sz w:val="24"/>
          <w:szCs w:val="24"/>
          <w:lang w:val="en-US"/>
        </w:rPr>
        <w:t>CI: Confidenc</w:t>
      </w:r>
      <w:r w:rsidR="003248EE">
        <w:rPr>
          <w:rFonts w:ascii="Book Antiqua" w:hAnsi="Book Antiqua" w:cs="Times New Roman"/>
          <w:bCs/>
          <w:sz w:val="24"/>
          <w:szCs w:val="24"/>
          <w:lang w:val="en-US"/>
        </w:rPr>
        <w:t>e interval; MD: Mean difference.</w:t>
      </w:r>
    </w:p>
    <w:p w14:paraId="601BA3EC" w14:textId="77777777" w:rsidR="008F0D01" w:rsidRPr="00470B88" w:rsidRDefault="008F0D01"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pPr>
    </w:p>
    <w:p w14:paraId="18920B38"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noProof/>
          <w:sz w:val="24"/>
          <w:szCs w:val="24"/>
          <w:lang w:val="en-US" w:eastAsia="zh-CN"/>
        </w:rPr>
        <w:lastRenderedPageBreak/>
        <w:drawing>
          <wp:inline distT="0" distB="0" distL="0" distR="0" wp14:anchorId="1E41CE8B" wp14:editId="78A763D8">
            <wp:extent cx="5430597" cy="145508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747" cy="1481656"/>
                    </a:xfrm>
                    <a:prstGeom prst="rect">
                      <a:avLst/>
                    </a:prstGeom>
                    <a:noFill/>
                    <a:ln>
                      <a:noFill/>
                    </a:ln>
                  </pic:spPr>
                </pic:pic>
              </a:graphicData>
            </a:graphic>
          </wp:inline>
        </w:drawing>
      </w:r>
    </w:p>
    <w:p w14:paraId="35C51BC4" w14:textId="77777777" w:rsidR="00C02787" w:rsidRDefault="00C02787" w:rsidP="00F227A9">
      <w:pPr>
        <w:snapToGrid w:val="0"/>
        <w:spacing w:after="0" w:line="360" w:lineRule="auto"/>
        <w:jc w:val="both"/>
        <w:rPr>
          <w:rFonts w:ascii="Book Antiqua" w:hAnsi="Book Antiqua" w:cs="Times New Roman"/>
          <w:b/>
          <w:sz w:val="24"/>
          <w:szCs w:val="24"/>
          <w:lang w:val="en-US"/>
        </w:rPr>
      </w:pPr>
      <w:r w:rsidRPr="009469C0">
        <w:rPr>
          <w:rFonts w:ascii="Book Antiqua" w:hAnsi="Book Antiqua" w:cs="Times New Roman"/>
          <w:b/>
          <w:bCs/>
          <w:sz w:val="24"/>
          <w:szCs w:val="24"/>
          <w:lang w:val="en-US"/>
        </w:rPr>
        <w:t>Figure 4</w:t>
      </w:r>
      <w:bookmarkStart w:id="18" w:name="_Hlk36489544"/>
      <w:r w:rsidRPr="009469C0">
        <w:rPr>
          <w:rFonts w:ascii="Book Antiqua" w:hAnsi="Book Antiqua" w:cs="Times New Roman"/>
          <w:b/>
          <w:bCs/>
          <w:sz w:val="24"/>
          <w:szCs w:val="24"/>
          <w:lang w:val="en-US"/>
        </w:rPr>
        <w:t xml:space="preserve"> </w:t>
      </w:r>
      <w:r w:rsidRPr="009469C0">
        <w:rPr>
          <w:rFonts w:ascii="Book Antiqua" w:hAnsi="Book Antiqua" w:cs="Times New Roman"/>
          <w:b/>
          <w:sz w:val="24"/>
          <w:szCs w:val="24"/>
          <w:lang w:val="en-US"/>
        </w:rPr>
        <w:t xml:space="preserve">Forest plot comparing procedure time between propofol and midazolam group </w:t>
      </w:r>
      <w:bookmarkStart w:id="19" w:name="_Hlk36490827"/>
      <w:r w:rsidRPr="009469C0">
        <w:rPr>
          <w:rFonts w:ascii="Book Antiqua" w:hAnsi="Book Antiqua" w:cs="Times New Roman"/>
          <w:b/>
          <w:sz w:val="24"/>
          <w:szCs w:val="24"/>
          <w:lang w:val="en-US"/>
        </w:rPr>
        <w:t>for sedation during elective upper gastrointestinal endoscopy in patients with cirrhosis</w:t>
      </w:r>
      <w:bookmarkEnd w:id="19"/>
      <w:r w:rsidRPr="009469C0">
        <w:rPr>
          <w:rFonts w:ascii="Book Antiqua" w:hAnsi="Book Antiqua" w:cs="Times New Roman"/>
          <w:b/>
          <w:sz w:val="24"/>
          <w:szCs w:val="24"/>
          <w:lang w:val="en-US"/>
        </w:rPr>
        <w:t>.</w:t>
      </w:r>
      <w:bookmarkEnd w:id="18"/>
      <w:r w:rsidRPr="009469C0">
        <w:rPr>
          <w:rFonts w:ascii="Book Antiqua" w:hAnsi="Book Antiqua" w:cs="Times New Roman"/>
          <w:b/>
          <w:sz w:val="24"/>
          <w:szCs w:val="24"/>
          <w:lang w:val="en-US"/>
        </w:rPr>
        <w:t xml:space="preserve"> </w:t>
      </w:r>
    </w:p>
    <w:p w14:paraId="48AE5260" w14:textId="77777777" w:rsidR="00C02787" w:rsidRDefault="00C02787" w:rsidP="00F227A9">
      <w:pPr>
        <w:snapToGrid w:val="0"/>
        <w:spacing w:after="0" w:line="360" w:lineRule="auto"/>
        <w:jc w:val="both"/>
        <w:rPr>
          <w:rFonts w:ascii="Book Antiqua" w:hAnsi="Book Antiqua" w:cs="Times New Roman"/>
          <w:b/>
          <w:sz w:val="24"/>
          <w:szCs w:val="24"/>
          <w:lang w:val="en-US"/>
        </w:rPr>
      </w:pPr>
    </w:p>
    <w:p w14:paraId="4B820B9A"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b/>
          <w:bCs/>
          <w:noProof/>
          <w:sz w:val="24"/>
          <w:szCs w:val="24"/>
          <w:lang w:val="en-US" w:eastAsia="zh-CN"/>
        </w:rPr>
        <w:drawing>
          <wp:inline distT="0" distB="0" distL="0" distR="0" wp14:anchorId="4BC256A6" wp14:editId="54BFEF20">
            <wp:extent cx="5413985" cy="131554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3687" cy="1332484"/>
                    </a:xfrm>
                    <a:prstGeom prst="rect">
                      <a:avLst/>
                    </a:prstGeom>
                    <a:noFill/>
                    <a:ln>
                      <a:noFill/>
                    </a:ln>
                  </pic:spPr>
                </pic:pic>
              </a:graphicData>
            </a:graphic>
          </wp:inline>
        </w:drawing>
      </w:r>
    </w:p>
    <w:p w14:paraId="5703E704" w14:textId="77777777" w:rsidR="00C02787" w:rsidRPr="00120B75" w:rsidRDefault="00C02787" w:rsidP="00F227A9">
      <w:pPr>
        <w:snapToGrid w:val="0"/>
        <w:spacing w:after="0" w:line="360" w:lineRule="auto"/>
        <w:jc w:val="both"/>
        <w:rPr>
          <w:rFonts w:ascii="Book Antiqua" w:hAnsi="Book Antiqua" w:cs="Times New Roman"/>
          <w:b/>
          <w:sz w:val="24"/>
          <w:szCs w:val="24"/>
          <w:lang w:val="en-US"/>
        </w:rPr>
      </w:pPr>
      <w:r w:rsidRPr="00120B75">
        <w:rPr>
          <w:rFonts w:ascii="Book Antiqua" w:hAnsi="Book Antiqua" w:cs="Times New Roman"/>
          <w:b/>
          <w:bCs/>
          <w:sz w:val="24"/>
          <w:szCs w:val="24"/>
          <w:lang w:val="en-US"/>
        </w:rPr>
        <w:t xml:space="preserve">Figure 5 </w:t>
      </w:r>
      <w:r w:rsidRPr="00120B75">
        <w:rPr>
          <w:rFonts w:ascii="Book Antiqua" w:hAnsi="Book Antiqua" w:cs="Times New Roman"/>
          <w:b/>
          <w:sz w:val="24"/>
          <w:szCs w:val="24"/>
          <w:lang w:val="en-US"/>
        </w:rPr>
        <w:t xml:space="preserve">Forest plot comparing recovery time between propofol and midazolam group for sedation during elective upper gastrointestinal endoscopy in patients with cirrhosis. </w:t>
      </w:r>
    </w:p>
    <w:p w14:paraId="7932BBDA" w14:textId="77777777" w:rsidR="00C02787" w:rsidRPr="00C02787" w:rsidRDefault="00C02787"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pPr>
    </w:p>
    <w:p w14:paraId="57F47BCA"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b/>
          <w:bCs/>
          <w:noProof/>
          <w:sz w:val="24"/>
          <w:szCs w:val="24"/>
          <w:lang w:val="en-US" w:eastAsia="zh-CN"/>
        </w:rPr>
        <w:drawing>
          <wp:inline distT="0" distB="0" distL="0" distR="0" wp14:anchorId="2B0C2AD3" wp14:editId="18B1ADD5">
            <wp:extent cx="5422792" cy="1005384"/>
            <wp:effectExtent l="0" t="0" r="6985"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140" cy="1020837"/>
                    </a:xfrm>
                    <a:prstGeom prst="rect">
                      <a:avLst/>
                    </a:prstGeom>
                    <a:noFill/>
                    <a:ln>
                      <a:noFill/>
                    </a:ln>
                  </pic:spPr>
                </pic:pic>
              </a:graphicData>
            </a:graphic>
          </wp:inline>
        </w:drawing>
      </w:r>
    </w:p>
    <w:p w14:paraId="593DDFE7" w14:textId="77777777" w:rsidR="00C02787" w:rsidRPr="00120B75" w:rsidRDefault="00C02787" w:rsidP="00F227A9">
      <w:pPr>
        <w:snapToGrid w:val="0"/>
        <w:spacing w:after="0" w:line="360" w:lineRule="auto"/>
        <w:jc w:val="both"/>
        <w:rPr>
          <w:rFonts w:ascii="Book Antiqua" w:hAnsi="Book Antiqua" w:cs="Times New Roman"/>
          <w:b/>
          <w:sz w:val="24"/>
          <w:szCs w:val="24"/>
          <w:lang w:val="en-US"/>
        </w:rPr>
      </w:pPr>
      <w:r w:rsidRPr="00120B75">
        <w:rPr>
          <w:rFonts w:ascii="Book Antiqua" w:hAnsi="Book Antiqua" w:cs="Times New Roman"/>
          <w:b/>
          <w:bCs/>
          <w:sz w:val="24"/>
          <w:szCs w:val="24"/>
          <w:lang w:val="en-US"/>
        </w:rPr>
        <w:t xml:space="preserve">Figure 6 </w:t>
      </w:r>
      <w:r w:rsidRPr="00120B75">
        <w:rPr>
          <w:rFonts w:ascii="Book Antiqua" w:hAnsi="Book Antiqua" w:cs="Times New Roman"/>
          <w:b/>
          <w:sz w:val="24"/>
          <w:szCs w:val="24"/>
          <w:lang w:val="en-US"/>
        </w:rPr>
        <w:t>Forest plot comparing discharge time between propofol and midazolam group for sedation during elective upper gastrointestinal endoscopy in patients with cirrhosis.</w:t>
      </w:r>
    </w:p>
    <w:p w14:paraId="35C393DC" w14:textId="77777777" w:rsidR="00C02787" w:rsidRDefault="00C02787" w:rsidP="00F227A9">
      <w:pPr>
        <w:snapToGrid w:val="0"/>
        <w:spacing w:after="0" w:line="36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75B52D8E"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noProof/>
          <w:sz w:val="24"/>
          <w:szCs w:val="24"/>
          <w:lang w:val="en-US" w:eastAsia="zh-CN"/>
        </w:rPr>
        <w:lastRenderedPageBreak/>
        <w:drawing>
          <wp:inline distT="0" distB="0" distL="0" distR="0" wp14:anchorId="4A3B3E3D" wp14:editId="5DCF989A">
            <wp:extent cx="5400040" cy="540004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42A18A16" w14:textId="77777777" w:rsidR="00C02787" w:rsidRPr="00346363" w:rsidRDefault="00C02787" w:rsidP="00F227A9">
      <w:pPr>
        <w:snapToGrid w:val="0"/>
        <w:spacing w:after="0" w:line="360" w:lineRule="auto"/>
        <w:jc w:val="both"/>
        <w:rPr>
          <w:rFonts w:ascii="Book Antiqua" w:hAnsi="Book Antiqua" w:cs="Times New Roman"/>
          <w:b/>
          <w:sz w:val="24"/>
          <w:szCs w:val="24"/>
          <w:lang w:val="en-US"/>
        </w:rPr>
      </w:pPr>
      <w:r w:rsidRPr="00346363">
        <w:rPr>
          <w:rFonts w:ascii="Book Antiqua" w:hAnsi="Book Antiqua" w:cs="Times New Roman"/>
          <w:b/>
          <w:bCs/>
          <w:sz w:val="24"/>
          <w:szCs w:val="24"/>
          <w:lang w:val="en-US"/>
        </w:rPr>
        <w:t xml:space="preserve">Figure 7 </w:t>
      </w:r>
      <w:r w:rsidRPr="00346363">
        <w:rPr>
          <w:rFonts w:ascii="Book Antiqua" w:hAnsi="Book Antiqua" w:cs="Times New Roman"/>
          <w:b/>
          <w:sz w:val="24"/>
          <w:szCs w:val="24"/>
          <w:lang w:val="en-US"/>
        </w:rPr>
        <w:t>Forest plot comparing adverse events between propofol and midazolam group for sedation during elective upper gastrointestinal endoscopy in patients with cirrhosis.</w:t>
      </w:r>
    </w:p>
    <w:p w14:paraId="62457491" w14:textId="77777777" w:rsidR="00C02787" w:rsidRPr="00C02787" w:rsidRDefault="00C02787"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sectPr w:rsidR="00C02787" w:rsidRPr="00C02787" w:rsidSect="003E7EDB">
          <w:footerReference w:type="even" r:id="rId16"/>
          <w:footerReference w:type="default" r:id="rId17"/>
          <w:pgSz w:w="11906" w:h="16838"/>
          <w:pgMar w:top="1417" w:right="1701" w:bottom="1417" w:left="1701" w:header="708" w:footer="708" w:gutter="0"/>
          <w:cols w:space="708"/>
          <w:docGrid w:linePitch="360"/>
        </w:sectPr>
      </w:pPr>
    </w:p>
    <w:p w14:paraId="06213BF2" w14:textId="64F45AB9" w:rsidR="005F2ADF" w:rsidRPr="005F2ADF" w:rsidRDefault="005F2ADF" w:rsidP="00F227A9">
      <w:pPr>
        <w:snapToGrid w:val="0"/>
        <w:spacing w:after="0" w:line="360" w:lineRule="auto"/>
        <w:jc w:val="both"/>
        <w:rPr>
          <w:rFonts w:ascii="Book Antiqua" w:eastAsia="Times New Roman" w:hAnsi="Book Antiqua" w:cs="Times New Roman"/>
          <w:b/>
          <w:sz w:val="24"/>
          <w:szCs w:val="24"/>
          <w:lang w:val="en-US" w:eastAsia="pt-BR"/>
        </w:rPr>
      </w:pPr>
      <w:r w:rsidRPr="005F2ADF">
        <w:rPr>
          <w:rFonts w:ascii="Book Antiqua" w:eastAsia="Times New Roman" w:hAnsi="Book Antiqua" w:cs="Times New Roman"/>
          <w:b/>
          <w:bCs/>
          <w:sz w:val="24"/>
          <w:szCs w:val="24"/>
          <w:lang w:val="en-US" w:eastAsia="pt-BR"/>
        </w:rPr>
        <w:lastRenderedPageBreak/>
        <w:t xml:space="preserve">Table 1 </w:t>
      </w:r>
      <w:r w:rsidRPr="005F2ADF">
        <w:rPr>
          <w:rFonts w:ascii="Book Antiqua" w:eastAsia="Times New Roman" w:hAnsi="Book Antiqua" w:cs="Times New Roman"/>
          <w:b/>
          <w:sz w:val="24"/>
          <w:szCs w:val="24"/>
          <w:lang w:val="en-US" w:eastAsia="pt-BR"/>
        </w:rPr>
        <w:t>Characteristics of included studies</w:t>
      </w:r>
    </w:p>
    <w:tbl>
      <w:tblPr>
        <w:tblW w:w="1374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38"/>
        <w:gridCol w:w="1418"/>
        <w:gridCol w:w="3260"/>
        <w:gridCol w:w="2268"/>
        <w:gridCol w:w="4961"/>
      </w:tblGrid>
      <w:tr w:rsidR="005F2ADF" w:rsidRPr="00C10A48" w14:paraId="5A19C4B5" w14:textId="77777777" w:rsidTr="00CA3AF2">
        <w:trPr>
          <w:trHeight w:val="900"/>
        </w:trPr>
        <w:tc>
          <w:tcPr>
            <w:tcW w:w="1838" w:type="dxa"/>
            <w:tcBorders>
              <w:top w:val="single" w:sz="4" w:space="0" w:color="auto"/>
              <w:bottom w:val="single" w:sz="4" w:space="0" w:color="auto"/>
            </w:tcBorders>
            <w:shd w:val="clear" w:color="auto" w:fill="auto"/>
            <w:vAlign w:val="center"/>
            <w:hideMark/>
          </w:tcPr>
          <w:p w14:paraId="0F62E4B5" w14:textId="02F92CDD" w:rsidR="005F2ADF" w:rsidRPr="00C10A48" w:rsidRDefault="003D6C33" w:rsidP="00F227A9">
            <w:pPr>
              <w:snapToGrid w:val="0"/>
              <w:spacing w:after="0" w:line="360" w:lineRule="auto"/>
              <w:jc w:val="both"/>
              <w:rPr>
                <w:rFonts w:ascii="Book Antiqua" w:eastAsia="Times New Roman" w:hAnsi="Book Antiqua" w:cs="Times New Roman"/>
                <w:b/>
                <w:bCs/>
                <w:sz w:val="24"/>
                <w:szCs w:val="24"/>
                <w:lang w:val="en-US" w:eastAsia="es-EC"/>
              </w:rPr>
            </w:pPr>
            <w:r>
              <w:rPr>
                <w:rFonts w:ascii="Book Antiqua" w:eastAsia="Times New Roman" w:hAnsi="Book Antiqua" w:cs="Times New Roman"/>
                <w:b/>
                <w:bCs/>
                <w:sz w:val="24"/>
                <w:szCs w:val="24"/>
                <w:lang w:val="en-US" w:eastAsia="es-EC"/>
              </w:rPr>
              <w:t>Ref.</w:t>
            </w:r>
          </w:p>
        </w:tc>
        <w:tc>
          <w:tcPr>
            <w:tcW w:w="1418" w:type="dxa"/>
            <w:tcBorders>
              <w:top w:val="single" w:sz="4" w:space="0" w:color="auto"/>
              <w:bottom w:val="single" w:sz="4" w:space="0" w:color="auto"/>
            </w:tcBorders>
            <w:shd w:val="clear" w:color="auto" w:fill="auto"/>
            <w:vAlign w:val="center"/>
            <w:hideMark/>
          </w:tcPr>
          <w:p w14:paraId="5FECBBE9" w14:textId="77777777" w:rsidR="005F2ADF" w:rsidRPr="00C10A48" w:rsidRDefault="005F2ADF" w:rsidP="00F227A9">
            <w:pPr>
              <w:snapToGrid w:val="0"/>
              <w:spacing w:after="0" w:line="360" w:lineRule="auto"/>
              <w:jc w:val="both"/>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Study type</w:t>
            </w:r>
          </w:p>
        </w:tc>
        <w:tc>
          <w:tcPr>
            <w:tcW w:w="3260" w:type="dxa"/>
            <w:tcBorders>
              <w:top w:val="single" w:sz="4" w:space="0" w:color="auto"/>
              <w:bottom w:val="single" w:sz="4" w:space="0" w:color="auto"/>
            </w:tcBorders>
            <w:shd w:val="clear" w:color="auto" w:fill="auto"/>
            <w:vAlign w:val="center"/>
            <w:hideMark/>
          </w:tcPr>
          <w:p w14:paraId="17F1B06A" w14:textId="3E38E0AC" w:rsidR="005F2ADF" w:rsidRPr="00C10A48" w:rsidRDefault="005F2ADF" w:rsidP="00F227A9">
            <w:pPr>
              <w:snapToGrid w:val="0"/>
              <w:spacing w:after="0" w:line="360" w:lineRule="auto"/>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 xml:space="preserve"> Inclusion criteria and </w:t>
            </w:r>
            <w:r w:rsidR="003D6C33" w:rsidRPr="00C10A48">
              <w:rPr>
                <w:rFonts w:ascii="Book Antiqua" w:eastAsia="Times New Roman" w:hAnsi="Book Antiqua" w:cs="Times New Roman"/>
                <w:b/>
                <w:bCs/>
                <w:sz w:val="24"/>
                <w:szCs w:val="24"/>
                <w:lang w:val="en-US" w:eastAsia="es-EC"/>
              </w:rPr>
              <w:t>o</w:t>
            </w:r>
            <w:r w:rsidRPr="00C10A48">
              <w:rPr>
                <w:rFonts w:ascii="Book Antiqua" w:eastAsia="Times New Roman" w:hAnsi="Book Antiqua" w:cs="Times New Roman"/>
                <w:b/>
                <w:bCs/>
                <w:sz w:val="24"/>
                <w:szCs w:val="24"/>
                <w:lang w:val="en-US" w:eastAsia="es-EC"/>
              </w:rPr>
              <w:t xml:space="preserve">utcomes </w:t>
            </w:r>
          </w:p>
        </w:tc>
        <w:tc>
          <w:tcPr>
            <w:tcW w:w="2268" w:type="dxa"/>
            <w:tcBorders>
              <w:top w:val="single" w:sz="4" w:space="0" w:color="auto"/>
              <w:bottom w:val="single" w:sz="4" w:space="0" w:color="auto"/>
            </w:tcBorders>
            <w:shd w:val="clear" w:color="auto" w:fill="auto"/>
            <w:vAlign w:val="center"/>
            <w:hideMark/>
          </w:tcPr>
          <w:p w14:paraId="2E099306" w14:textId="77777777" w:rsidR="005F2ADF" w:rsidRPr="00C10A48" w:rsidRDefault="005F2ADF" w:rsidP="00F227A9">
            <w:pPr>
              <w:snapToGrid w:val="0"/>
              <w:spacing w:after="0" w:line="360" w:lineRule="auto"/>
              <w:jc w:val="both"/>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Medication</w:t>
            </w:r>
          </w:p>
        </w:tc>
        <w:tc>
          <w:tcPr>
            <w:tcW w:w="4961" w:type="dxa"/>
            <w:tcBorders>
              <w:top w:val="single" w:sz="4" w:space="0" w:color="auto"/>
              <w:bottom w:val="single" w:sz="4" w:space="0" w:color="auto"/>
            </w:tcBorders>
            <w:shd w:val="clear" w:color="auto" w:fill="auto"/>
            <w:vAlign w:val="center"/>
            <w:hideMark/>
          </w:tcPr>
          <w:p w14:paraId="405A0FB7" w14:textId="77777777" w:rsidR="005F2ADF" w:rsidRPr="00C10A48" w:rsidRDefault="005F2ADF" w:rsidP="00F227A9">
            <w:pPr>
              <w:snapToGrid w:val="0"/>
              <w:spacing w:after="0" w:line="360" w:lineRule="auto"/>
              <w:jc w:val="both"/>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Intervention</w:t>
            </w:r>
          </w:p>
        </w:tc>
      </w:tr>
      <w:tr w:rsidR="005F2ADF" w:rsidRPr="00C10A48" w14:paraId="12D4D8E2" w14:textId="77777777" w:rsidTr="00CA3AF2">
        <w:trPr>
          <w:trHeight w:val="750"/>
        </w:trPr>
        <w:tc>
          <w:tcPr>
            <w:tcW w:w="1838" w:type="dxa"/>
            <w:vMerge w:val="restart"/>
            <w:tcBorders>
              <w:top w:val="single" w:sz="4" w:space="0" w:color="auto"/>
            </w:tcBorders>
            <w:shd w:val="clear" w:color="auto" w:fill="auto"/>
            <w:vAlign w:val="center"/>
            <w:hideMark/>
          </w:tcPr>
          <w:p w14:paraId="299C3CCE" w14:textId="3A5AF47A"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Yoo</w:t>
            </w:r>
            <w:proofErr w:type="spellEnd"/>
            <w:r w:rsidRPr="00C10A48">
              <w:rPr>
                <w:rFonts w:ascii="Book Antiqua" w:eastAsia="Times New Roman" w:hAnsi="Book Antiqua" w:cs="Times New Roman"/>
                <w:sz w:val="24"/>
                <w:szCs w:val="24"/>
                <w:lang w:val="en-US" w:eastAsia="es-EC"/>
              </w:rPr>
              <w:t xml:space="preserve"> </w:t>
            </w:r>
            <w:r w:rsidR="00C736D0"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{"citationItems":[{"id":"ITEM-1","itemData":{"DOI":"10.1038/s41598-019-52897-w","ISSN":"2045-2322","PMID":"31727915","abstract":"The indiscriminate use of sedative drugs during endoscopy can pose multiple risks including cognitive impairment in advanced liver cirrhosis. However, the data are scarce regarding which sedative drugs are safest in these populations. The aim of this study was to evaluate the safety profiles including cognitive performance among midazolam, propofol, and combination therapy in advanced cirrhotic patients. This double-blind randomized controlled study included 60 consecutive advanced cirrhotic patients who underwent upper gastrointestinal endoscopy. The Stroop application was used to screen for cognitive impairment. Patients were randomly assigned to one of 3 groups, midazolam, propofol, or the combination group, and underwent Stroop test before and two hours after the completion of endoscopy. Hemodynamic safety and the subjective satisfaction score were also evaluated. Patients did not show significant changes in on-time or off-time on the Stroop test before and two hours after sedatives, and there was no significant difference among the 3 treatment groups. Also, there were no significant vital sign changes after sedatives. Time-to-recovery was longest in midazolam group, and patient awakening and patient memory were highest in propofol group. However, all 3 groups showed no difference in patient satisfaction, but the combination group was more preferred in terms of subjective satisfaction by physicians. Factors affecting worsened Stroop speed after sedatives were older age, low education level and high MELD score. All sedative methods using midazolam, propofol, or combination therapy showed similar safety profile in advanced cirrhosis, and were not associated with increased risk of cognitive impairment.","author":[{"dropping-particle":"","family":"Yoo","given":"Jeong-Ju","non-dropping-particle":"","parse-names":false,"suffix":""},{"dropping-particle":"","family":"Goong","given":"Hyeon Jeong","non-dropping-particle":"","parse-names":false,"suffix":""},{"dropping-particle":"","family":"Moon","given":"Ji Eun","non-dropping-particle":"","parse-names":false,"suffix":""},{"dropping-particle":"","family":"Kim","given":"Sang Gyune","non-dropping-particle":"","parse-names":false,"suffix":""},{"dropping-particle":"","family":"Kim","given":"Young Seok","non-dropping-particle":"","parse-names":false,"suffix":""}],"container-title":"Scientific Reports","id":"ITEM-1","issue":"1","issued":{"date-parts":[["2019","12","14"]]},"page":"16798","title":"Safety profile of sedative endoscopy including cognitive performance in liver cirrhosis: A double-blind randomized controlled trial","type":"article-journal","volume":"9"},"uris":["http://www.mendeley.com/documents/?uuid=a6c9530c-f04d-4d71-b876-e8b36765fe93"]}],"mendeley":{"formattedCitation":"&lt;sup&gt;[18]&lt;/sup&gt;","plainTextFormattedCitation":"[18]","previouslyFormattedCitation":"&lt;sup&gt;[17]&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[18]</w:t>
            </w:r>
            <w:r w:rsidRPr="00C10A48">
              <w:rPr>
                <w:rFonts w:ascii="Book Antiqua" w:eastAsia="Times New Roman" w:hAnsi="Book Antiqua" w:cs="Times New Roman"/>
                <w:sz w:val="24"/>
                <w:szCs w:val="24"/>
                <w:lang w:val="en-US" w:eastAsia="es-EC"/>
              </w:rPr>
              <w:fldChar w:fldCharType="end"/>
            </w:r>
            <w:r w:rsidR="00C736D0">
              <w:rPr>
                <w:rFonts w:ascii="Book Antiqua" w:eastAsia="Times New Roman" w:hAnsi="Book Antiqua" w:cs="Times New Roman"/>
                <w:sz w:val="24"/>
                <w:szCs w:val="24"/>
                <w:lang w:val="en-US" w:eastAsia="es-EC"/>
              </w:rPr>
              <w:t>,</w:t>
            </w:r>
            <w:r w:rsidR="00A050AA">
              <w:rPr>
                <w:rFonts w:ascii="Book Antiqua" w:eastAsia="Times New Roman" w:hAnsi="Book Antiqua" w:cs="Times New Roman"/>
                <w:sz w:val="24"/>
                <w:szCs w:val="24"/>
                <w:lang w:val="en-US" w:eastAsia="es-EC"/>
              </w:rPr>
              <w:t xml:space="preserve"> 2019</w:t>
            </w:r>
            <w:r w:rsidR="00406F49">
              <w:rPr>
                <w:rFonts w:ascii="Book Antiqua" w:eastAsia="Times New Roman" w:hAnsi="Book Antiqua" w:cs="Times New Roman"/>
                <w:sz w:val="24"/>
                <w:szCs w:val="24"/>
                <w:lang w:val="en-US" w:eastAsia="es-EC"/>
              </w:rPr>
              <w:t xml:space="preserve">, </w:t>
            </w:r>
            <w:r w:rsidR="00A050AA">
              <w:rPr>
                <w:rFonts w:ascii="Book Antiqua" w:eastAsia="Times New Roman" w:hAnsi="Book Antiqua" w:cs="Times New Roman"/>
                <w:sz w:val="24"/>
                <w:szCs w:val="24"/>
                <w:lang w:val="en-US" w:eastAsia="es-EC"/>
              </w:rPr>
              <w:t xml:space="preserve">South </w:t>
            </w:r>
            <w:r w:rsidRPr="00C10A48">
              <w:rPr>
                <w:rFonts w:ascii="Book Antiqua" w:eastAsia="Times New Roman" w:hAnsi="Book Antiqua" w:cs="Times New Roman"/>
                <w:sz w:val="24"/>
                <w:szCs w:val="24"/>
                <w:lang w:val="en-US" w:eastAsia="es-EC"/>
              </w:rPr>
              <w:t>Korea</w:t>
            </w:r>
          </w:p>
        </w:tc>
        <w:tc>
          <w:tcPr>
            <w:tcW w:w="1418" w:type="dxa"/>
            <w:vMerge w:val="restart"/>
            <w:tcBorders>
              <w:top w:val="single" w:sz="4" w:space="0" w:color="auto"/>
            </w:tcBorders>
            <w:shd w:val="clear" w:color="auto" w:fill="auto"/>
            <w:noWrap/>
            <w:vAlign w:val="center"/>
            <w:hideMark/>
          </w:tcPr>
          <w:p w14:paraId="69D577A3"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tcBorders>
              <w:top w:val="single" w:sz="4" w:space="0" w:color="auto"/>
            </w:tcBorders>
            <w:shd w:val="clear" w:color="auto" w:fill="auto"/>
            <w:hideMark/>
          </w:tcPr>
          <w:p w14:paraId="643895BD" w14:textId="7FCF7023"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CA3AF2">
              <w:rPr>
                <w:rFonts w:ascii="Book Antiqua" w:eastAsia="Times New Roman" w:hAnsi="Book Antiqua" w:cs="Times New Roman"/>
                <w:sz w:val="24"/>
                <w:szCs w:val="24"/>
                <w:lang w:val="en-US" w:eastAsia="es-EC"/>
              </w:rPr>
              <w:t xml:space="preserve"> patients aged 19 to 75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for evaluation of portal hypertension; ASA I-III; Child-Turcotte-Pugh A, B, and C. </w:t>
            </w:r>
          </w:p>
          <w:p w14:paraId="3D5B8906" w14:textId="417A4ACA"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 xml:space="preserve"> Exacerbation of MHE, adverse events and discharge time; suggestive satisfaction measurements.                                           </w:t>
            </w:r>
          </w:p>
        </w:tc>
        <w:tc>
          <w:tcPr>
            <w:tcW w:w="2268" w:type="dxa"/>
            <w:tcBorders>
              <w:top w:val="single" w:sz="4" w:space="0" w:color="auto"/>
            </w:tcBorders>
            <w:shd w:val="clear" w:color="auto" w:fill="auto"/>
            <w:vAlign w:val="center"/>
            <w:hideMark/>
          </w:tcPr>
          <w:p w14:paraId="7BA478B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(20)</w:t>
            </w:r>
          </w:p>
        </w:tc>
        <w:tc>
          <w:tcPr>
            <w:tcW w:w="4961" w:type="dxa"/>
            <w:tcBorders>
              <w:top w:val="single" w:sz="4" w:space="0" w:color="auto"/>
            </w:tcBorders>
            <w:shd w:val="clear" w:color="auto" w:fill="auto"/>
            <w:hideMark/>
          </w:tcPr>
          <w:p w14:paraId="6FB877B2" w14:textId="6EBFFD81"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w:t>
            </w:r>
            <w:r w:rsidR="00CA3AF2">
              <w:rPr>
                <w:rFonts w:ascii="Book Antiqua" w:eastAsia="Times New Roman" w:hAnsi="Book Antiqua" w:cs="Times New Roman"/>
                <w:sz w:val="24"/>
                <w:szCs w:val="24"/>
                <w:lang w:val="en-US" w:eastAsia="es-EC"/>
              </w:rPr>
              <w:t xml:space="preserve">: 0.5 mg/kg in patients &lt; 65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or with body weight &gt; 55 k</w:t>
            </w:r>
            <w:r w:rsidR="00F86DC3">
              <w:rPr>
                <w:rFonts w:ascii="Book Antiqua" w:eastAsia="Times New Roman" w:hAnsi="Book Antiqua" w:cs="Times New Roman"/>
                <w:sz w:val="24"/>
                <w:szCs w:val="24"/>
                <w:lang w:val="en-US" w:eastAsia="es-EC"/>
              </w:rPr>
              <w:t xml:space="preserve">g. In patients older than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and with body weight &lt; 55 kg, the initial dose was 50% lower. </w:t>
            </w:r>
          </w:p>
        </w:tc>
      </w:tr>
      <w:tr w:rsidR="005F2ADF" w:rsidRPr="00C10A48" w14:paraId="6BCE9AD4" w14:textId="77777777" w:rsidTr="00CA3AF2">
        <w:trPr>
          <w:trHeight w:val="735"/>
        </w:trPr>
        <w:tc>
          <w:tcPr>
            <w:tcW w:w="1838" w:type="dxa"/>
            <w:vMerge/>
            <w:vAlign w:val="center"/>
            <w:hideMark/>
          </w:tcPr>
          <w:p w14:paraId="0A911B4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7BCFA5E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681CF445"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39D3FB6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(20)</w:t>
            </w:r>
          </w:p>
        </w:tc>
        <w:tc>
          <w:tcPr>
            <w:tcW w:w="4961" w:type="dxa"/>
            <w:shd w:val="clear" w:color="auto" w:fill="auto"/>
            <w:hideMark/>
          </w:tcPr>
          <w:p w14:paraId="1461177C" w14:textId="3E9A1406"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0.03 mg/kg or</w:t>
            </w:r>
            <w:r w:rsidR="00F86DC3">
              <w:rPr>
                <w:rFonts w:ascii="Book Antiqua" w:eastAsia="Times New Roman" w:hAnsi="Book Antiqua" w:cs="Times New Roman"/>
                <w:sz w:val="24"/>
                <w:szCs w:val="24"/>
                <w:lang w:val="en-US" w:eastAsia="es-EC"/>
              </w:rPr>
              <w:t xml:space="preserve"> 2 mg if the patient is &lt;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or with a body weight &gt; 55 k</w:t>
            </w:r>
            <w:r w:rsidR="00F86DC3">
              <w:rPr>
                <w:rFonts w:ascii="Book Antiqua" w:eastAsia="Times New Roman" w:hAnsi="Book Antiqua" w:cs="Times New Roman"/>
                <w:sz w:val="24"/>
                <w:szCs w:val="24"/>
                <w:lang w:val="en-US" w:eastAsia="es-EC"/>
              </w:rPr>
              <w:t xml:space="preserve">g. In patients older than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and with body weight under 55 kg, the initial dose was 20% lower.  </w:t>
            </w:r>
          </w:p>
        </w:tc>
      </w:tr>
      <w:tr w:rsidR="005F2ADF" w:rsidRPr="00C10A48" w14:paraId="1FA88D19" w14:textId="77777777" w:rsidTr="00CA3AF2">
        <w:trPr>
          <w:trHeight w:val="600"/>
        </w:trPr>
        <w:tc>
          <w:tcPr>
            <w:tcW w:w="1838" w:type="dxa"/>
            <w:vMerge/>
            <w:vAlign w:val="center"/>
            <w:hideMark/>
          </w:tcPr>
          <w:p w14:paraId="7016AC5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30DEE3E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71DA8583"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6740D5F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and propofol (20)</w:t>
            </w:r>
          </w:p>
        </w:tc>
        <w:tc>
          <w:tcPr>
            <w:tcW w:w="4961" w:type="dxa"/>
            <w:shd w:val="clear" w:color="auto" w:fill="auto"/>
            <w:hideMark/>
          </w:tcPr>
          <w:p w14:paraId="3D5C795C" w14:textId="49DDC854"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0.03 mg/kg or 2 mg; Propofol: 2</w:t>
            </w:r>
            <w:r w:rsidR="00F86DC3">
              <w:rPr>
                <w:rFonts w:ascii="Book Antiqua" w:eastAsia="Times New Roman" w:hAnsi="Book Antiqua" w:cs="Times New Roman"/>
                <w:sz w:val="24"/>
                <w:szCs w:val="24"/>
                <w:lang w:val="en-US" w:eastAsia="es-EC"/>
              </w:rPr>
              <w:t xml:space="preserve">0 mg. If the patient is &gt;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or has a body weight &lt; 55 kg, the midazolam and propofol doses were respectively 20% and 50% lower. </w:t>
            </w:r>
          </w:p>
        </w:tc>
      </w:tr>
      <w:tr w:rsidR="005F2ADF" w:rsidRPr="00C10A48" w14:paraId="2621B25D" w14:textId="77777777" w:rsidTr="00CA3AF2">
        <w:trPr>
          <w:trHeight w:val="735"/>
        </w:trPr>
        <w:tc>
          <w:tcPr>
            <w:tcW w:w="1838" w:type="dxa"/>
            <w:vMerge w:val="restart"/>
            <w:shd w:val="clear" w:color="auto" w:fill="auto"/>
            <w:vAlign w:val="center"/>
            <w:hideMark/>
          </w:tcPr>
          <w:p w14:paraId="2039C749" w14:textId="57AE1FE3"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Watanabe </w:t>
            </w:r>
            <w:r w:rsidR="00A050AA"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{"citationItems":[{"id":"ITEM-1","itemData":{"DOI":"10.5387/fms.2018-21","ISSN":"0016-2590","PMID":"30344206","abstract":"OBJECTIVE The efficacy of sedation during endoscopic injection sclerotherapy (EIS) for esophageal varices (EVs) in patients with liver cirrhosis remains unclear. The aim of this study is to compare the efficacy and safety between propofol- and midazolam-based sedation for EIS. METHODS Twenty-three patients with EVs were prospectively and randomly assigned to midazolam-based (Midazolam group) or propofol-based (Propofol group) sedation. All patients underwent a number connection test (NCT) to evaluate minimal hepatic encephalopathy (MHE) on the day before and at 2 and 24 hours following EIS. The primary endpoint was exacerbation of MHE after EIS, which was defined as deterioration of the NCT. The secondary endpoints were postoperative awareness, technical success rate, frequency of body movement, patient and operator satisfaction, cardiorespiratory dynamics during EIS, and adverse events. RESULTS Exacerbations of MHE at 2 hours after EIS compared with those before EIS were not significantly different between the two groups. In both groups, the deterioration of NCT scores before and 2 hours after EIS was observed (Propofol group: 60.0 vs. 70.0 s, P = 0.026; Midazolam group: 42.5 vs. 67.0 s, P = 0.002). There were no significant differences in awareness, technical success rate, or patient satisfaction. However, the frequency of body movement in the Propofol group was significantly lower than that in the Midazolam group (1 vs. 4, P = 0.045), and operator satisfaction in the Propofol group was significantly higher than that in the Midazolam group (P = 0.016). No adverse events were observed. CONCLUSIONS Propofol-based sedation exacerbated MHE after EIS similarly to midazolam-based sedation in patients with liver cirrhosis. However, propofol-based sedation provided stable sedation with a lower frequency of body movements and high operator satisfaction.","author":[{"dropping-particle":"","family":"Watanabe","given":"Ko","non-dropping-particle":"","parse-names":false,"suffix":""},{"dropping-particle":"","family":"Hikichi","given":"Takuto","non-dropping-particle":"","parse-names":false,"suffix":""},{"dropping-particle":"","family":"Takagi","given":"Tadayuki","non-dropping-particle":"","parse-names":false,"suffix":""},{"dropping-particle":"","family":"Suzuki","given":"Rei","non-dropping-particle":"","parse-names":false,"suffix":""},{"dropping-particle":"","family":"Nakamura","given":"Jun","non-dropping-particle":"","parse-names":false,"suffix":""},{"dropping-particle":"","family":"Sugimoto","given":"Mitsuru","non-dropping-particle":"","parse-names":false,"suffix":""},{"dropping-particle":"","family":"Kikuchi","given":"Hitomi","non-dropping-particle":"","parse-names":false,"suffix":""},{"dropping-particle":"","family":"Konno","given":"Naoki","non-dropping-particle":"","parse-names":false,"suffix":""},{"dropping-particle":"","family":"Takasumi","given":"Mika","non-dropping-particle":"","parse-names":false,"suffix":""},{"dropping-particle":"","family":"Sato","given":"Yuki","non-dropping-particle":"","parse-names":false,"suffix":""},{"dropping-particle":"","family":"Hashimoto","given":"Minami","non-dropping-particle":"","parse-names":false,"suffix":""},{"dropping-particle":"","family":"Irie","given":"Hiroki","non-dropping-particle":"","parse-names":false,"suffix":""},{"dropping-particle":"","family":"Obara","given":"Katsutoshi","non-dropping-particle":"","parse-names":false,"suffix":""},{"dropping-particle":"","family":"Ohira","given":"Hiromasa","non-dropping-particle":"","parse-names":false,"suffix":""}],"container-title":"FUKUSHIMA JOURNAL OF MEDICAL SCIENCE","id":"ITEM-1","issue":"3","issued":{"date-parts":[["2018","12","8"]]},"page":"133-141","title":"Propofol is a more effective and safer sedative agent than midazolam in endoscopic injection sclerotherapy for esophageal varices in patients with liver cirrhosis: a randomized controlled trial","type":"article-journal","volume":"64"},"uris":["http://www.mendeley.com/documents/?uuid=e58fa553-33a0-4fea-b413-3becc6e1df3d"]}],"mendeley":{"formattedCitation":"&lt;sup&gt;[19]&lt;/sup&gt;","plainTextFormattedCitation":"[19]","previouslyFormattedCitation":"&lt;sup&gt;[18]&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[19]</w:t>
            </w:r>
            <w:r w:rsidRPr="00C10A48">
              <w:rPr>
                <w:rFonts w:ascii="Book Antiqua" w:eastAsia="Times New Roman" w:hAnsi="Book Antiqua" w:cs="Times New Roman"/>
                <w:sz w:val="24"/>
                <w:szCs w:val="24"/>
                <w:lang w:val="en-US" w:eastAsia="es-EC"/>
              </w:rPr>
              <w:fldChar w:fldCharType="end"/>
            </w:r>
            <w:r w:rsidR="00A050AA">
              <w:rPr>
                <w:rFonts w:ascii="Book Antiqua" w:eastAsia="Times New Roman" w:hAnsi="Book Antiqua" w:cs="Times New Roman"/>
                <w:sz w:val="24"/>
                <w:szCs w:val="24"/>
                <w:lang w:val="en-US" w:eastAsia="es-EC"/>
              </w:rPr>
              <w:t xml:space="preserve">, 2018, </w:t>
            </w:r>
            <w:r w:rsidRPr="00C10A48">
              <w:rPr>
                <w:rFonts w:ascii="Book Antiqua" w:eastAsia="Times New Roman" w:hAnsi="Book Antiqua" w:cs="Times New Roman"/>
                <w:sz w:val="24"/>
                <w:szCs w:val="24"/>
                <w:lang w:val="en-US" w:eastAsia="es-EC"/>
              </w:rPr>
              <w:t>Japan</w:t>
            </w:r>
          </w:p>
        </w:tc>
        <w:tc>
          <w:tcPr>
            <w:tcW w:w="1418" w:type="dxa"/>
            <w:vMerge w:val="restart"/>
            <w:shd w:val="clear" w:color="auto" w:fill="auto"/>
            <w:noWrap/>
            <w:vAlign w:val="center"/>
            <w:hideMark/>
          </w:tcPr>
          <w:p w14:paraId="639EEEC5"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0C92B5E6" w14:textId="3803D895" w:rsidR="003242C9" w:rsidRDefault="003242C9" w:rsidP="00F227A9">
            <w:pPr>
              <w:snapToGrid w:val="0"/>
              <w:spacing w:after="0" w:line="360" w:lineRule="auto"/>
              <w:rPr>
                <w:rFonts w:ascii="Book Antiqua" w:eastAsia="Times New Roman" w:hAnsi="Book Antiqua" w:cs="Times New Roman"/>
                <w:sz w:val="24"/>
                <w:szCs w:val="24"/>
                <w:lang w:val="en-US" w:eastAsia="es-EC"/>
              </w:rPr>
            </w:pPr>
            <w:r>
              <w:rPr>
                <w:rFonts w:ascii="Book Antiqua" w:eastAsia="Times New Roman" w:hAnsi="Book Antiqua" w:cs="Times New Roman"/>
                <w:b/>
                <w:bCs/>
                <w:sz w:val="24"/>
                <w:szCs w:val="24"/>
                <w:lang w:val="en-US" w:eastAsia="es-EC"/>
              </w:rPr>
              <w:t>Inclusion:</w:t>
            </w:r>
            <w:r>
              <w:rPr>
                <w:rFonts w:ascii="Book Antiqua" w:eastAsia="DengXian" w:hAnsi="Book Antiqua" w:cs="Times New Roman" w:hint="eastAsia"/>
                <w:b/>
                <w:bCs/>
                <w:sz w:val="24"/>
                <w:szCs w:val="24"/>
                <w:lang w:val="en-US" w:eastAsia="zh-CN"/>
              </w:rPr>
              <w:t xml:space="preserve"> </w:t>
            </w:r>
            <w:r w:rsidR="00CA3AF2">
              <w:rPr>
                <w:rFonts w:ascii="Book Antiqua" w:eastAsia="Times New Roman" w:hAnsi="Book Antiqua" w:cs="Times New Roman"/>
                <w:sz w:val="24"/>
                <w:szCs w:val="24"/>
                <w:lang w:val="en-US" w:eastAsia="es-EC"/>
              </w:rPr>
              <w:t xml:space="preserve">Patients aged 20 to 80 </w:t>
            </w:r>
            <w:proofErr w:type="spellStart"/>
            <w:r w:rsidR="00CA3AF2">
              <w:rPr>
                <w:rFonts w:ascii="Book Antiqua" w:eastAsia="Times New Roman" w:hAnsi="Book Antiqua" w:cs="Times New Roman"/>
                <w:sz w:val="24"/>
                <w:szCs w:val="24"/>
                <w:lang w:val="en-US" w:eastAsia="es-EC"/>
              </w:rPr>
              <w:t>yr</w:t>
            </w:r>
            <w:proofErr w:type="spellEnd"/>
            <w:r w:rsidR="005F2ADF" w:rsidRPr="00C10A48">
              <w:rPr>
                <w:rFonts w:ascii="Book Antiqua" w:eastAsia="Times New Roman" w:hAnsi="Book Antiqua" w:cs="Times New Roman"/>
                <w:sz w:val="24"/>
                <w:szCs w:val="24"/>
                <w:lang w:val="en-US" w:eastAsia="es-EC"/>
              </w:rPr>
              <w:t xml:space="preserve">, hepatic cirrhosis for the treatment of sclerosis, </w:t>
            </w:r>
            <w:r w:rsidR="005F2ADF" w:rsidRPr="00C10A48">
              <w:rPr>
                <w:rFonts w:ascii="Book Antiqua" w:eastAsia="Times New Roman" w:hAnsi="Book Antiqua" w:cs="Times New Roman"/>
                <w:sz w:val="24"/>
                <w:szCs w:val="24"/>
                <w:lang w:val="en-US" w:eastAsia="es-EC"/>
              </w:rPr>
              <w:lastRenderedPageBreak/>
              <w:t>primary prophylaxis,</w:t>
            </w:r>
            <w:r>
              <w:rPr>
                <w:rFonts w:ascii="Book Antiqua" w:eastAsia="Times New Roman" w:hAnsi="Book Antiqua" w:cs="Times New Roman"/>
                <w:sz w:val="24"/>
                <w:szCs w:val="24"/>
                <w:lang w:val="en-US" w:eastAsia="es-EC"/>
              </w:rPr>
              <w:t xml:space="preserve"> Child- Turcotte-Pugh A and B. </w:t>
            </w:r>
          </w:p>
          <w:p w14:paraId="647E386A" w14:textId="523C35B8" w:rsidR="005F2ADF" w:rsidRPr="003242C9" w:rsidRDefault="005F2ADF" w:rsidP="00F227A9">
            <w:pPr>
              <w:snapToGrid w:val="0"/>
              <w:spacing w:after="0" w:line="360" w:lineRule="auto"/>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Exacerbation of MHE, patient and operator satisfaction, and adverse events.</w:t>
            </w:r>
            <w:r w:rsidRPr="00C10A48">
              <w:rPr>
                <w:rFonts w:ascii="Book Antiqua" w:eastAsia="Times New Roman" w:hAnsi="Book Antiqua" w:cs="Times New Roman"/>
                <w:b/>
                <w:bCs/>
                <w:sz w:val="24"/>
                <w:szCs w:val="24"/>
                <w:lang w:val="en-US" w:eastAsia="es-EC"/>
              </w:rPr>
              <w:t xml:space="preserve"> </w:t>
            </w:r>
          </w:p>
        </w:tc>
        <w:tc>
          <w:tcPr>
            <w:tcW w:w="2268" w:type="dxa"/>
            <w:shd w:val="clear" w:color="auto" w:fill="auto"/>
            <w:vAlign w:val="center"/>
            <w:hideMark/>
          </w:tcPr>
          <w:p w14:paraId="59472DF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(11)</w:t>
            </w:r>
          </w:p>
        </w:tc>
        <w:tc>
          <w:tcPr>
            <w:tcW w:w="4961" w:type="dxa"/>
            <w:shd w:val="clear" w:color="auto" w:fill="auto"/>
            <w:hideMark/>
          </w:tcPr>
          <w:p w14:paraId="1ABB7FC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Pentazocine 15 mg + Propofol 1% 20 mg IV followed by BIC of 3-5 mg/kg/h. In case of body movements or discomfort, 20 mg of </w:t>
            </w:r>
            <w:r w:rsidRPr="00C10A48">
              <w:rPr>
                <w:rFonts w:ascii="Book Antiqua" w:eastAsia="Times New Roman" w:hAnsi="Book Antiqua" w:cs="Times New Roman"/>
                <w:sz w:val="24"/>
                <w:szCs w:val="24"/>
                <w:lang w:val="en-US" w:eastAsia="es-EC"/>
              </w:rPr>
              <w:lastRenderedPageBreak/>
              <w:t>Propofol (IV) was administered.</w:t>
            </w:r>
          </w:p>
        </w:tc>
      </w:tr>
      <w:tr w:rsidR="005F2ADF" w:rsidRPr="00C10A48" w14:paraId="7641F774" w14:textId="77777777" w:rsidTr="00CA3AF2">
        <w:trPr>
          <w:trHeight w:val="570"/>
        </w:trPr>
        <w:tc>
          <w:tcPr>
            <w:tcW w:w="1838" w:type="dxa"/>
            <w:vMerge/>
            <w:vAlign w:val="center"/>
            <w:hideMark/>
          </w:tcPr>
          <w:p w14:paraId="75C44EAE"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070B728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5D36897A"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1044E9A3"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(12)</w:t>
            </w:r>
          </w:p>
        </w:tc>
        <w:tc>
          <w:tcPr>
            <w:tcW w:w="4961" w:type="dxa"/>
            <w:shd w:val="clear" w:color="auto" w:fill="auto"/>
            <w:hideMark/>
          </w:tcPr>
          <w:p w14:paraId="3EC3BD4D"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Pentazocine 15 mg + midazolam 2.5-5 mg. In case of body movement or signs of discomfort, an IV infusion with an additional 2.5 mg of midazolam was administered.</w:t>
            </w:r>
          </w:p>
        </w:tc>
      </w:tr>
      <w:tr w:rsidR="005F2ADF" w:rsidRPr="00C10A48" w14:paraId="5F422A4A" w14:textId="77777777" w:rsidTr="00CA3AF2">
        <w:trPr>
          <w:trHeight w:val="453"/>
        </w:trPr>
        <w:tc>
          <w:tcPr>
            <w:tcW w:w="1838" w:type="dxa"/>
            <w:vMerge w:val="restart"/>
            <w:shd w:val="clear" w:color="auto" w:fill="auto"/>
            <w:vAlign w:val="center"/>
            <w:hideMark/>
          </w:tcPr>
          <w:p w14:paraId="5BBF1E17" w14:textId="47DFD795"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Ahmed </w:t>
            </w:r>
            <w:r w:rsidR="00E47523"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{"citationItems":[{"id":"ITEM-1","itemData":{"DOI":"10.1155/2017/8462756","ISSN":"2090-3448","PMID":"29312786","abstract":"Objectives. We aimed to investigate the safety and efficacy of propofol plus fentanyl versus midazolam plus fentanyl as sedative for patients with advanced liver disease presented for gastrointestinal endoscopy. Methods. A total of 100 patients with liver cirrhosis referred for upper endoscopy were enrolled and divided equally in two groups, midazolam plus fentanyl group and propofol plus fentanyl group. All patients were subjected to history taking, estimation of level of sedation, endoscopist rating, and hemodynamic parameters including oxygen saturation, heart rate, mean arterial pressure, incidence of side effect as (bradycardia, hypotension, hypoxia, nausea and vomiting, cough, shivering, or diplopia), time needed for complete recovery, and time needed for discharge. Results. There was no statistical significant difference between the studied groups regarding age, sex, weight, Child–Pugh classification score, type and duration of endoscopic intervention, time needed for complete recovery, or time needed for discharge. Complication rates were similar in both groups except for mean arterial blood pressure which was significantly lower in group of patients receiving propofol and fentanyl ( P = 0.001 ). Conclusion. The use of either propofol or midazolam in combination to fentanyl is effective in sedation of patients with advanced liver diseases presented for upper GIT endoscope. The trial is registered with ClinicalTrials.gov Identifier: NCT03063866 .","author":[{"dropping-particle":"","family":"Ahmed","given":"Sameh Abdelkhalik","non-dropping-particle":"","parse-names":false,"suffix":""},{"dropping-particle":"","family":"Selim","given":"Amal","non-dropping-particle":"","parse-names":false,"suffix":""},{"dropping-particle":"","family":"Hawash","given":"Nehad","non-dropping-particle":"","parse-names":false,"suffix":""},{"dropping-particle":"","family":"Tawfik","given":"Ahmed Khaled","non-dropping-particle":"","parse-names":false,"suffix":""},{"dropping-particle":"","family":"Yousef","given":"Mohamed","non-dropping-particle":"","parse-names":false,"suffix":""},{"dropping-particle":"","family":"Kobtan","given":"Abdelrahman","non-dropping-particle":"","parse-names":false,"suffix":""},{"dropping-particle":"","family":"Badawi","given":"Rehab","non-dropping-particle":"","parse-names":false,"suffix":""},{"dropping-particle":"","family":"Elnawasany","given":"Sally","non-dropping-particle":"","parse-names":false,"suffix":""},{"dropping-particle":"","family":"Elkhouly","given":"Reham Abdelkader","non-dropping-particle":"","parse-names":false,"suffix":""},{"dropping-particle":"","family":"Hanafy","given":"Amr Shaaban","non-dropping-particle":"","parse-names":false,"suffix":""},{"dropping-particle":"","family":"Rizk","given":"Fatma H","non-dropping-particle":"","parse-names":false,"suffix":""},{"dropping-particle":"","family":"Mansour","given":"Loai","non-dropping-particle":"","parse-names":false,"suffix":""},{"dropping-particle":"","family":"Abd-Elsalam","given":"Sherief","non-dropping-particle":"","parse-names":false,"suffix":""}],"container-title":"International Journal of Hepatology","id":"ITEM-1","issued":{"date-parts":[["2017"]]},"page":"1-6","title":"Randomized Controlled Study Comparing Use of Propofol Plus Fentanyl versus Midazolam Plus Fentanyl as Sedation in Diagnostic Endoscopy in Patients with Advanced Liver Disease","type":"article-journal","volume":"2017"},"uris":["http://www.mendeley.com/documents/?uuid=816f1414-08e8-4752-a0ae-2f5499b646d9"]}],"mendeley":{"formattedCitation":"&lt;sup&gt;[20]&lt;/sup&gt;","plainTextFormattedCitation":"[20]","previouslyFormattedCitation":"&lt;sup&gt;[19]&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[20]</w:t>
            </w:r>
            <w:r w:rsidRPr="00C10A48">
              <w:rPr>
                <w:rFonts w:ascii="Book Antiqua" w:eastAsia="Times New Roman" w:hAnsi="Book Antiqua" w:cs="Times New Roman"/>
                <w:sz w:val="24"/>
                <w:szCs w:val="24"/>
                <w:lang w:val="en-US" w:eastAsia="es-EC"/>
              </w:rPr>
              <w:fldChar w:fldCharType="end"/>
            </w:r>
            <w:r w:rsidR="00E4752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2017</w:t>
            </w:r>
            <w:r w:rsidR="00E4752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Egypt</w:t>
            </w:r>
          </w:p>
        </w:tc>
        <w:tc>
          <w:tcPr>
            <w:tcW w:w="1418" w:type="dxa"/>
            <w:vMerge w:val="restart"/>
            <w:shd w:val="clear" w:color="auto" w:fill="auto"/>
            <w:noWrap/>
            <w:vAlign w:val="center"/>
            <w:hideMark/>
          </w:tcPr>
          <w:p w14:paraId="4DF2496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2749F14A" w14:textId="5F83EA1A"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CA3AF2">
              <w:rPr>
                <w:rFonts w:ascii="Book Antiqua" w:eastAsia="Times New Roman" w:hAnsi="Book Antiqua" w:cs="Times New Roman"/>
                <w:sz w:val="24"/>
                <w:szCs w:val="24"/>
                <w:lang w:val="en-US" w:eastAsia="es-EC"/>
              </w:rPr>
              <w:t xml:space="preserve">Patients aged 40 to 60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Child-Turcotte-Pugh B or C, patients willing to be part of the study.  </w:t>
            </w:r>
          </w:p>
          <w:p w14:paraId="4E9F1A3D" w14:textId="713B0E3E"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Outcomes:</w:t>
            </w:r>
            <w:r w:rsidRPr="00C10A48">
              <w:rPr>
                <w:rFonts w:ascii="Book Antiqua" w:eastAsia="Times New Roman" w:hAnsi="Book Antiqua" w:cs="Times New Roman"/>
                <w:sz w:val="24"/>
                <w:szCs w:val="24"/>
                <w:lang w:val="en-US" w:eastAsia="es-EC"/>
              </w:rPr>
              <w:t xml:space="preserve"> Procedure duration, recovery time, discharge time, sedation scores, and adverse even</w:t>
            </w:r>
            <w:r w:rsidR="003242C9">
              <w:rPr>
                <w:rFonts w:ascii="Book Antiqua" w:eastAsia="Times New Roman" w:hAnsi="Book Antiqua" w:cs="Times New Roman"/>
                <w:sz w:val="24"/>
                <w:szCs w:val="24"/>
                <w:lang w:val="en-US" w:eastAsia="es-EC"/>
              </w:rPr>
              <w:t xml:space="preserve">ts.  </w:t>
            </w:r>
          </w:p>
        </w:tc>
        <w:tc>
          <w:tcPr>
            <w:tcW w:w="2268" w:type="dxa"/>
            <w:shd w:val="clear" w:color="auto" w:fill="auto"/>
            <w:vAlign w:val="center"/>
            <w:hideMark/>
          </w:tcPr>
          <w:p w14:paraId="48BE656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(50)</w:t>
            </w:r>
          </w:p>
        </w:tc>
        <w:tc>
          <w:tcPr>
            <w:tcW w:w="4961" w:type="dxa"/>
            <w:shd w:val="clear" w:color="auto" w:fill="auto"/>
            <w:hideMark/>
          </w:tcPr>
          <w:p w14:paraId="4B4633E8"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1 mg/kg + 0.5 mcg/kg IV until a satisfactory level of sedation is reached. An additional dose of 0.2 mg/kg of propofol was administered in case of discomfort. </w:t>
            </w:r>
          </w:p>
        </w:tc>
      </w:tr>
      <w:tr w:rsidR="005F2ADF" w:rsidRPr="00C10A48" w14:paraId="4F6B0CD2" w14:textId="77777777" w:rsidTr="00CA3AF2">
        <w:trPr>
          <w:trHeight w:val="915"/>
        </w:trPr>
        <w:tc>
          <w:tcPr>
            <w:tcW w:w="1838" w:type="dxa"/>
            <w:vMerge/>
            <w:vAlign w:val="center"/>
            <w:hideMark/>
          </w:tcPr>
          <w:p w14:paraId="085D3F0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7C471FA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4F96CB32"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66FE228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(50)</w:t>
            </w:r>
          </w:p>
        </w:tc>
        <w:tc>
          <w:tcPr>
            <w:tcW w:w="4961" w:type="dxa"/>
            <w:shd w:val="clear" w:color="auto" w:fill="auto"/>
            <w:hideMark/>
          </w:tcPr>
          <w:p w14:paraId="3E7FFF1F" w14:textId="3F8357D1"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3</w:t>
            </w:r>
            <w:r w:rsidR="003D6C3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mg IV + fentanyl 0.5 mcg/kg until a satisfactory level of sedation is reached. A supplementary dose of 1 mg of midazolam was administered in case of an unsatisfactory level of sedation.</w:t>
            </w:r>
          </w:p>
        </w:tc>
      </w:tr>
      <w:tr w:rsidR="005F2ADF" w:rsidRPr="00C10A48" w14:paraId="5EE1E91E" w14:textId="77777777" w:rsidTr="00CA3AF2">
        <w:trPr>
          <w:trHeight w:val="420"/>
        </w:trPr>
        <w:tc>
          <w:tcPr>
            <w:tcW w:w="1838" w:type="dxa"/>
            <w:vMerge w:val="restart"/>
            <w:shd w:val="clear" w:color="auto" w:fill="auto"/>
            <w:vAlign w:val="center"/>
            <w:hideMark/>
          </w:tcPr>
          <w:p w14:paraId="58D7B5D8" w14:textId="127200B3"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Agrawal </w:t>
            </w:r>
            <w:r w:rsidR="001407F7"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{"citationItems":[{"id":"ITEM-1","itemData":{"DOI":"10.1111/j.1440-1746.2012.07231.x","ISSN":"08159319","PMID":"22861074","abstract":"BACKGROUND AND AIM People with cirrhosis are at increased risk of development of complications related to sedation. The aim of the present study was to compare the effects of sedation for upper gastrointestinal endoscopy (UGIE) with propofol and midazolam on psychometric tests and critical flicker frequency (CFF) in people with cirrhosis. METHODS A total of 127 people with cirrhosis were randomized into three groups: propofol group (n = 40), midazolam group (n = 42) and no sedation (n = 45). All patients underwent CFF test and combination of psychometry (number connection test-A and B [NCT-A,B]; digit symbol test [DST], line tracing test [LTT] and serial dotting test [SDT]) at baseline and at 2 h post-endoscopy. CFF was done at 30 min and repeated every 30 min for 2 h. RESULTS In the propofol group there was no deterioration in psychometry (NCT-A [55.6 ± 18.7 vs 56.4 ± 19.0 s], NCT-B [98.2 ± 35.1 vs 97.8 ± 34.6 s], DST [26.7 ± 5.7 vs 26.3 ± 5.3], LTT [112.9 ± 35.7 vs 113.7 ± 36.6 s], SDT [94.6 ± 34.1 vs 95.2 ± 34.5 s]). Significant deterioration from baseline (39.8 ± 2.9 Hz) was seen in CFF at 30 min (38.8 ± 2.3 Hz) and 1 h (39.2 ± 2.4 Hz), P = 0.01 but no difference thereafter. In the midazolam group, significant deterioration was observed on psychometry (NCT-A [56.0 ± 18.5 vs 60.4 ± 19.8 s], NCT-B [99.9 ± 29.1 vs 105.9.6 ± 30.3 s], DST [26.1 ± 4.7 vs 25.2 ± 4.3], LTT [129.1 ± 34.5 vs 132.9 ± 35.4 s], SDT [95.6 ± 34.2]). No deterioration was observed in psychometry and CFF in people with cirrhosis without sedation. CONCLUSIONS Propofol sedation for UGIE was associated with earlier recovery compared with midazolam, which causes deterioration of psychometric tests and CFF for a longer time in comparison with propofol.","author":[{"dropping-particle":"","family":"Agrawal","given":"Amit","non-dropping-particle":"","parse-names":false,"suffix":""},{"dropping-particle":"","family":"Sharma","given":"Barjesh Chander","non-dropping-particle":"","parse-names":false,"suffix":""},{"dropping-particle":"","family":"Sharma","given":"Praveen","non-dropping-particle":"","parse-names":false,"suffix":""},{"dropping-particle":"","family":"Uppal","given":"Rajiv","non-dropping-particle":"","parse-names":false,"suffix":""},{"dropping-particle":"","family":"Sarin","given":"Shiv Kumar","non-dropping-particle":"","parse-names":false,"suffix":""}],"container-title":"Journal of Gastroenterology and Hepatology","id":"ITEM-1","issue":"11","issued":{"date-parts":[["2012","11"]]},"page":"1726-1732","title":"Randomized controlled trial for endoscopy with propofol versus midazolam on psychometric tests and critical flicker frequency in people with cirrhosis","type":"article-journal","volume":"27"},"uris":["http://www.mendeley.com/documents/?uuid=40d088ac-036e-4b37-bd9c-f8101198ce08"]}],"mendeley":{"formattedCitation":"&lt;sup&gt;[15]&lt;/sup&gt;","plainTextFormattedCitation":"[15]","previouslyFormattedCitation":"&lt;sup&gt;[14]&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[15]</w:t>
            </w:r>
            <w:r w:rsidRPr="00C10A48">
              <w:rPr>
                <w:rFonts w:ascii="Book Antiqua" w:eastAsia="Times New Roman" w:hAnsi="Book Antiqua" w:cs="Times New Roman"/>
                <w:sz w:val="24"/>
                <w:szCs w:val="24"/>
                <w:lang w:val="en-US" w:eastAsia="es-EC"/>
              </w:rPr>
              <w:fldChar w:fldCharType="end"/>
            </w:r>
            <w:r w:rsidR="001407F7">
              <w:rPr>
                <w:rFonts w:ascii="Book Antiqua" w:eastAsia="Times New Roman" w:hAnsi="Book Antiqua" w:cs="Times New Roman"/>
                <w:sz w:val="24"/>
                <w:szCs w:val="24"/>
                <w:lang w:val="en-US" w:eastAsia="es-EC"/>
              </w:rPr>
              <w:t xml:space="preserve">, 2012, </w:t>
            </w:r>
            <w:r w:rsidRPr="00C10A48">
              <w:rPr>
                <w:rFonts w:ascii="Book Antiqua" w:eastAsia="Times New Roman" w:hAnsi="Book Antiqua" w:cs="Times New Roman"/>
                <w:sz w:val="24"/>
                <w:szCs w:val="24"/>
                <w:lang w:val="en-US" w:eastAsia="es-EC"/>
              </w:rPr>
              <w:t>India</w:t>
            </w:r>
          </w:p>
        </w:tc>
        <w:tc>
          <w:tcPr>
            <w:tcW w:w="1418" w:type="dxa"/>
            <w:vMerge w:val="restart"/>
            <w:shd w:val="clear" w:color="auto" w:fill="auto"/>
            <w:noWrap/>
            <w:vAlign w:val="center"/>
            <w:hideMark/>
          </w:tcPr>
          <w:p w14:paraId="66680C5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34EAC5DD" w14:textId="41C5CD45"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CA3AF2">
              <w:rPr>
                <w:rFonts w:ascii="Book Antiqua" w:eastAsia="Times New Roman" w:hAnsi="Book Antiqua" w:cs="Times New Roman"/>
                <w:sz w:val="24"/>
                <w:szCs w:val="24"/>
                <w:lang w:val="en-US" w:eastAsia="es-EC"/>
              </w:rPr>
              <w:t xml:space="preserve">Patients aged 18 to 70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hepatic cirrhosis confirmed and staged by Child-Turcotte-Pugh A and B, MELD, ASA I-III. </w:t>
            </w:r>
          </w:p>
          <w:p w14:paraId="7754AF20" w14:textId="7BB67B14"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lastRenderedPageBreak/>
              <w:t xml:space="preserve">Outcomes: </w:t>
            </w:r>
            <w:r w:rsidRPr="00C10A48">
              <w:rPr>
                <w:rFonts w:ascii="Book Antiqua" w:eastAsia="Times New Roman" w:hAnsi="Book Antiqua" w:cs="Times New Roman"/>
                <w:sz w:val="24"/>
                <w:szCs w:val="24"/>
                <w:lang w:val="en-US" w:eastAsia="es-EC"/>
              </w:rPr>
              <w:t xml:space="preserve">Deterioration of psychometric tests before and after the examination, critical flicker frequency before and after, adverse events.  </w:t>
            </w:r>
          </w:p>
        </w:tc>
        <w:tc>
          <w:tcPr>
            <w:tcW w:w="2268" w:type="dxa"/>
            <w:shd w:val="clear" w:color="auto" w:fill="auto"/>
            <w:vAlign w:val="center"/>
            <w:hideMark/>
          </w:tcPr>
          <w:p w14:paraId="06CF65A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(40)</w:t>
            </w:r>
          </w:p>
        </w:tc>
        <w:tc>
          <w:tcPr>
            <w:tcW w:w="4961" w:type="dxa"/>
            <w:shd w:val="clear" w:color="auto" w:fill="auto"/>
            <w:hideMark/>
          </w:tcPr>
          <w:p w14:paraId="5D7B511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0.5-1 mg IV, followed by an additional bolus if necessary.</w:t>
            </w:r>
          </w:p>
        </w:tc>
      </w:tr>
      <w:tr w:rsidR="005F2ADF" w:rsidRPr="00C10A48" w14:paraId="11515134" w14:textId="77777777" w:rsidTr="00CA3AF2">
        <w:trPr>
          <w:trHeight w:val="585"/>
        </w:trPr>
        <w:tc>
          <w:tcPr>
            <w:tcW w:w="1838" w:type="dxa"/>
            <w:vMerge/>
            <w:vAlign w:val="center"/>
            <w:hideMark/>
          </w:tcPr>
          <w:p w14:paraId="1BB90BF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250D34C3"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06ADE680"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58705ED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(42)</w:t>
            </w:r>
          </w:p>
        </w:tc>
        <w:tc>
          <w:tcPr>
            <w:tcW w:w="4961" w:type="dxa"/>
            <w:shd w:val="clear" w:color="auto" w:fill="auto"/>
            <w:hideMark/>
          </w:tcPr>
          <w:p w14:paraId="69F2591B" w14:textId="1A0B5332"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0.5 - 1 mg IV, with an increasing dosage every 1-3 min, until a satisfactory level of sedation is reached.</w:t>
            </w:r>
          </w:p>
        </w:tc>
      </w:tr>
      <w:tr w:rsidR="005F2ADF" w:rsidRPr="00C10A48" w14:paraId="5AA5316D" w14:textId="77777777" w:rsidTr="00CA3AF2">
        <w:trPr>
          <w:trHeight w:val="495"/>
        </w:trPr>
        <w:tc>
          <w:tcPr>
            <w:tcW w:w="1838" w:type="dxa"/>
            <w:vMerge/>
            <w:vAlign w:val="center"/>
            <w:hideMark/>
          </w:tcPr>
          <w:p w14:paraId="77A4FD0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0F8CA84D"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22215E07"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7520F40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No-sedation (45)</w:t>
            </w:r>
          </w:p>
        </w:tc>
        <w:tc>
          <w:tcPr>
            <w:tcW w:w="4961" w:type="dxa"/>
            <w:shd w:val="clear" w:color="auto" w:fill="auto"/>
            <w:noWrap/>
            <w:vAlign w:val="bottom"/>
            <w:hideMark/>
          </w:tcPr>
          <w:p w14:paraId="0C3EA74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w:t>
            </w:r>
          </w:p>
        </w:tc>
      </w:tr>
      <w:tr w:rsidR="005F2ADF" w:rsidRPr="00C10A48" w14:paraId="5C35B13D" w14:textId="77777777" w:rsidTr="00CA3AF2">
        <w:trPr>
          <w:trHeight w:val="570"/>
        </w:trPr>
        <w:tc>
          <w:tcPr>
            <w:tcW w:w="1838" w:type="dxa"/>
            <w:vMerge w:val="restart"/>
            <w:shd w:val="clear" w:color="auto" w:fill="auto"/>
            <w:vAlign w:val="center"/>
            <w:hideMark/>
          </w:tcPr>
          <w:p w14:paraId="0E66177D" w14:textId="6812D945"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Correia</w:t>
            </w:r>
            <w:proofErr w:type="spellEnd"/>
            <w:r w:rsidRPr="00C10A48">
              <w:rPr>
                <w:rFonts w:ascii="Book Antiqua" w:eastAsia="Times New Roman" w:hAnsi="Book Antiqua" w:cs="Times New Roman"/>
                <w:sz w:val="24"/>
                <w:szCs w:val="24"/>
                <w:lang w:val="en-US" w:eastAsia="es-EC"/>
              </w:rPr>
              <w:t xml:space="preserve"> </w:t>
            </w:r>
            <w:r w:rsidR="0048393F"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{"citationItems":[{"id":"ITEM-1","itemData":{"DOI":"10.1016/j.gie.2010.09.025","ISSN":"00165107","PMID":"21184869","abstract":"BACKGROUND Patients with liver cirrhosis frequently undergo diagnostic or therapeutic upper GI endoscopy (UGIE), and the liver disease might impair the metabolism of drugs usually administered for sedation. OBJECTIVE AND SETTING To compare sedation with a combination of propofol plus fentanyl and midazolam plus fentanyl in cirrhotic outpatients undergoing UGIE. DESIGN A prospective, randomized, controlled trial was conducted between February 2008 and February 2009. MAIN OUTCOMES MEASUREMENTS Efficacy (proportion of complete procedures using the initial proposed sedation scheme), safety (occurrence of sedation-related complications), and recovery time were measured. RESULTS Two hundred ten cirrhotic patients referred for UGIE were randomized to 2 groups: midazolam group (0.05 mg/kg plus fentanyl 50 μg intravenously) or propofol group (0.25 mg/kg plus fentanyl 50 μg intravenously). There were no differences between groups regarding age, sex, weight, etiology of cirrhosis, and Child-Pugh or American Society of Anesthesiologists classification. Sedation with propofol was more efficacious (100% vs 88.2%; P &lt; .001) and had a shorter recovery time than sedation with midazolam (16.23 ± 6.84 minutes and 27.40 ± 17.19 minutes, respectively; P &lt; .001). Complication rates were similar in both groups (14% vs 7.3%; P = .172). LIMITATIONS Single-blind study; sample size. CONCLUSION Both sedation schemes were safe in this setting. Sedation with propofol plus fentanyl was more efficacious with a shorter recovery time compared with midazolam plus fentanyl. Therefore, the former scheme is an alternative when sedating cirrhotic patients undergoing UGIE.","author":[{"dropping-particle":"","family":"Correia","given":"Lucianna Motta","non-dropping-particle":"","parse-names":false,"suffix":""},{"dropping-particle":"","family":"Bonilha","given":"Danielle Queiroz","non-dropping-particle":"","parse-names":false,"suffix":""},{"dropping-particle":"","family":"Gomes","given":"Gustavo Flores","non-dropping-particle":"","parse-names":false,"suffix":""},{"dropping-particle":"","family":"Brito","given":"Juliana Ramos","non-dropping-particle":"","parse-names":false,"suffix":""},{"dropping-particle":"","family":"Nakao","given":"Frank Shigueo","non-dropping-particle":"","parse-names":false,"suffix":""},{"dropping-particle":"","family":"Lenz","given":"Luciano","non-dropping-particle":"","parse-names":false,"suffix":""},{"dropping-particle":"","family":"Rohr","given":"Maria Rachel Silveira","non-dropping-particle":"","parse-names":false,"suffix":""},{"dropping-particle":"","family":"Ferrari","given":"Angelo P","non-dropping-particle":"","parse-names":false,"suffix":""},{"dropping-particle":"Della","family":"Libera","given":"Ermelindo","non-dropping-particle":"","parse-names":false,"suffix":""}],"container-title":"Gastrointestinal Endoscopy","id":"ITEM-1","issue":"1","issued":{"date-parts":[["2011","1"]]},"page":"45-51.e1","title":"Sedation during upper GI endoscopy in cirrhotic outpatients: a randomized, controlled trial comparing propofol and fentanyl with midazolam and fentanyl","type":"article-journal","volume":"73"},"uris":["http://www.mendeley.com/documents/?uuid=0410c142-4734-4f31-b274-ce83428eb34e"]}],"mendeley":{"formattedCitation":"&lt;sup&gt;[21]&lt;/sup&gt;","plainTextFormattedCitation":"[21]","previouslyFormattedCitation":"&lt;sup&gt;[20]&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[21]</w:t>
            </w:r>
            <w:r w:rsidRPr="00C10A48">
              <w:rPr>
                <w:rFonts w:ascii="Book Antiqua" w:eastAsia="Times New Roman" w:hAnsi="Book Antiqua" w:cs="Times New Roman"/>
                <w:sz w:val="24"/>
                <w:szCs w:val="24"/>
                <w:lang w:val="en-US" w:eastAsia="es-EC"/>
              </w:rPr>
              <w:fldChar w:fldCharType="end"/>
            </w:r>
            <w:r w:rsidR="004A283F">
              <w:rPr>
                <w:rFonts w:ascii="Book Antiqua" w:eastAsia="Times New Roman" w:hAnsi="Book Antiqua" w:cs="Times New Roman"/>
                <w:sz w:val="24"/>
                <w:szCs w:val="24"/>
                <w:lang w:val="en-US" w:eastAsia="es-EC"/>
              </w:rPr>
              <w:t xml:space="preserve">, 2011, </w:t>
            </w:r>
            <w:r w:rsidRPr="00C10A48">
              <w:rPr>
                <w:rFonts w:ascii="Book Antiqua" w:eastAsia="Times New Roman" w:hAnsi="Book Antiqua" w:cs="Times New Roman"/>
                <w:sz w:val="24"/>
                <w:szCs w:val="24"/>
                <w:lang w:val="en-US" w:eastAsia="es-EC"/>
              </w:rPr>
              <w:t>Brazil</w:t>
            </w:r>
          </w:p>
        </w:tc>
        <w:tc>
          <w:tcPr>
            <w:tcW w:w="1418" w:type="dxa"/>
            <w:vMerge w:val="restart"/>
            <w:shd w:val="clear" w:color="auto" w:fill="auto"/>
            <w:vAlign w:val="center"/>
            <w:hideMark/>
          </w:tcPr>
          <w:p w14:paraId="7D9FD7A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4EBD16B8" w14:textId="61A06630"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CA3AF2">
              <w:rPr>
                <w:rFonts w:ascii="Book Antiqua" w:eastAsia="Times New Roman" w:hAnsi="Book Antiqua" w:cs="Times New Roman"/>
                <w:sz w:val="24"/>
                <w:szCs w:val="24"/>
                <w:lang w:val="en-US" w:eastAsia="es-EC"/>
              </w:rPr>
              <w:t xml:space="preserve">Patients aged 18 to 75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with hepatic cirrhosis, Child-Turcotte-Pugh A, B or C, ASA I-III.  </w:t>
            </w:r>
          </w:p>
          <w:p w14:paraId="424FC323" w14:textId="681B645C"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Procedure duration, discharge time, recovery time</w:t>
            </w:r>
            <w:r w:rsidR="003242C9">
              <w:rPr>
                <w:rFonts w:ascii="Book Antiqua" w:eastAsia="Times New Roman" w:hAnsi="Book Antiqua" w:cs="Times New Roman"/>
                <w:sz w:val="24"/>
                <w:szCs w:val="24"/>
                <w:lang w:val="en-US" w:eastAsia="es-EC"/>
              </w:rPr>
              <w:t>, and adverse events.</w:t>
            </w:r>
            <w:r w:rsidRPr="00C10A48">
              <w:rPr>
                <w:rFonts w:ascii="Book Antiqua" w:eastAsia="Times New Roman" w:hAnsi="Book Antiqua" w:cs="Times New Roman"/>
                <w:sz w:val="24"/>
                <w:szCs w:val="24"/>
                <w:lang w:val="en-US" w:eastAsia="es-EC"/>
              </w:rPr>
              <w:t xml:space="preserve"> </w:t>
            </w:r>
          </w:p>
        </w:tc>
        <w:tc>
          <w:tcPr>
            <w:tcW w:w="2268" w:type="dxa"/>
            <w:shd w:val="clear" w:color="auto" w:fill="auto"/>
            <w:vAlign w:val="center"/>
            <w:hideMark/>
          </w:tcPr>
          <w:p w14:paraId="08FDEA2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(100)</w:t>
            </w:r>
          </w:p>
        </w:tc>
        <w:tc>
          <w:tcPr>
            <w:tcW w:w="4961" w:type="dxa"/>
            <w:shd w:val="clear" w:color="auto" w:fill="auto"/>
            <w:hideMark/>
          </w:tcPr>
          <w:p w14:paraId="100CF593" w14:textId="617D37FF" w:rsidR="005F2ADF" w:rsidRPr="00C10A48" w:rsidRDefault="005F2ADF" w:rsidP="00CA3AF2">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0.05 mg/kg with a dosage of 1 mg every 2 min, if necessary, up to a maximum dose of 0.1 mg/ kg or 10 mg + 50 mcg of fentanyl.</w:t>
            </w:r>
          </w:p>
        </w:tc>
      </w:tr>
      <w:tr w:rsidR="005F2ADF" w:rsidRPr="00C10A48" w14:paraId="781B9B48" w14:textId="77777777" w:rsidTr="00CA3AF2">
        <w:trPr>
          <w:trHeight w:val="570"/>
        </w:trPr>
        <w:tc>
          <w:tcPr>
            <w:tcW w:w="1838" w:type="dxa"/>
            <w:vMerge/>
            <w:vAlign w:val="center"/>
            <w:hideMark/>
          </w:tcPr>
          <w:p w14:paraId="12DD4AC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4E8A710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30203234"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5E32C1FE"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(110)</w:t>
            </w:r>
          </w:p>
        </w:tc>
        <w:tc>
          <w:tcPr>
            <w:tcW w:w="4961" w:type="dxa"/>
            <w:shd w:val="clear" w:color="auto" w:fill="auto"/>
            <w:hideMark/>
          </w:tcPr>
          <w:p w14:paraId="5C490397" w14:textId="0475109F"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0.25 mg/kg with a dosage of 20-30 mg, if necessary, every 30-60 s up to a maximum dose of 400 mg + fentanyl 50 mcg. </w:t>
            </w:r>
          </w:p>
        </w:tc>
      </w:tr>
      <w:tr w:rsidR="005F2ADF" w:rsidRPr="00C10A48" w14:paraId="6E00A522" w14:textId="77777777" w:rsidTr="00CA3AF2">
        <w:trPr>
          <w:trHeight w:val="585"/>
        </w:trPr>
        <w:tc>
          <w:tcPr>
            <w:tcW w:w="1838" w:type="dxa"/>
            <w:vMerge w:val="restart"/>
            <w:shd w:val="clear" w:color="auto" w:fill="auto"/>
            <w:vAlign w:val="center"/>
            <w:hideMark/>
          </w:tcPr>
          <w:p w14:paraId="56211AC8" w14:textId="518B0BF6"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Khamaysi</w:t>
            </w:r>
            <w:proofErr w:type="spellEnd"/>
            <w:r w:rsidRPr="00C10A48">
              <w:rPr>
                <w:rFonts w:ascii="Book Antiqua" w:eastAsia="Times New Roman" w:hAnsi="Book Antiqua" w:cs="Times New Roman"/>
                <w:sz w:val="24"/>
                <w:szCs w:val="24"/>
                <w:lang w:val="en-US" w:eastAsia="es-EC"/>
              </w:rPr>
              <w:t xml:space="preserve"> </w:t>
            </w:r>
            <w:r w:rsidR="002976C3"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{"citationItems":[{"id":"ITEM-1","itemData":{"DOI":"10.1016/j.jhep.2010.06.023","ISSN":"01688278","PMID":"20934771","abstract":"BACKGROUND &amp; AIMS The risk of exacerbating sub-clinical hepatic encephalopathy (HE) by propofol has not been established. The aim of this study is to determine whether the use of propofol, for upper endoscopy in patients with cirrhosis, precipitates sub-clinical HE. METHODS Sixty-one patients with compensated HCV and HBV cirrhosis (CP score 5-6) were randomly selected and divided into two groups (intent-to-treat population) matched for age, gender, and BMI. The first group received a single propofol sedation (N = 31, age 57 ± 12, dose range 70-100 mg/procedure) and the second group (N = 30, age 56 ± 12, dose 3-6 mg/procedure) received a single midazolam sedation, all done by an anesthesiologist. All patients completed number connection test (NCT), cognitive function score, time to recovery, time to discharge sheets, and hemodynamic parameters before sedation, and at discharge from the endoscopy unit, 1h post-procedure. Thirty control subjects without cirrhosis were matched to the cirrhotic patients who received sedation with regard to age, gender, BMI, and education level. RESULTS A total of 58/61 cirrhotic patients (95%) had sub-clinical encephalopathy before the endoscopy (mean NCT 84.7 ± 77 s, normal &lt; 30 s). No patient developed overt HE after sedation. There were no differences between groups in the incidence of adverse effects, cognitive function, MELD score, CP score, oxygen saturation, or respiratory and heart rates before and after sedation. Propofol did not exacerbate minimal HE when compared to midazolam (NCT changed from 87.5 ± 62 s prior to sedation to 74.2 ± 58 s after sedation in the propofol group versus 72.8 ± 62 s before to 85.6 ± 72 s after sedation in the midazolam group; p &lt; 0.01). Time to recovery (4.1 ± 1.9 min vs. 11.5 ± 5.0 min, p &lt; 0.001), and time to discharge (38.0 ± 9 min vs. 110 ± 42 min, p &lt; 0.001) were significantly shorter with propofol than midazolam. Pre- and post-procedure NCT (from 25 ± 20 s to 24 ± 20 s), cognitive function score (from 25 to 26), time to recovery (3.5 ± 1.0 min), and time to discharge (35 ± 10 min) did not change in the healthy controls. CONCLUSIONS Sedation with propofol has a shorter time recovery and a shorter time to discharge than midazolam and does not exacerbate sub-clinical hepatic encephalopathy in patients with compensated liver cirrhosis.","author":[{"dropping-particle":"","family":"Khamaysi","given":"Iyad","non-dropping-particle":"","parse-names":false,"suffix":""},{"dropping-particle":"","family":"William","given":"Nseir","non-dropping-particle":"","parse-names":false,"suffix":""},{"dropping-particle":"","family":"Olga","given":"Alexandrov","non-dropping-particle":"","parse-names":false,"suffix":""},{"dropping-particle":"","family":"Alex","given":"Isakson","non-dropping-particle":"","parse-names":false,"suffix":""},{"dropping-particle":"","family":"Vladimir","given":"Mysh","non-dropping-particle":"","parse-names":false,"suffix":""},{"dropping-particle":"","family":"Kamal","given":"Dabbah","non-dropping-particle":"","parse-names":false,"suffix":""},{"dropping-particle":"","family":"Nimer","given":"Assy","non-dropping-particle":"","parse-names":false,"suffix":""}],"container-title":"Journal of Hepatology","id":"ITEM-1","issue":"1","issued":{"date-parts":[["2011","1"]]},"page":"72-77","title":"Sub-clinical hepatic encephalopathy in cirrhotic patients is not aggravated by sedation with propofol compared to midazolam: A randomized controlled study","type":"article-journal","volume":"54"},"uris":["http://www.mendeley.com/documents/?uuid=1d634ad4-06fa-4a6e-afc9-e263e1db69f8"]}],"mendeley":{"formattedCitation":"&lt;sup&gt;[16]&lt;/sup&gt;","plainTextFormattedCitation":"[16]","previouslyFormattedCitation":"&lt;sup&gt;[15]&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[16]</w:t>
            </w:r>
            <w:r w:rsidRPr="00C10A48">
              <w:rPr>
                <w:rFonts w:ascii="Book Antiqua" w:eastAsia="Times New Roman" w:hAnsi="Book Antiqua" w:cs="Times New Roman"/>
                <w:sz w:val="24"/>
                <w:szCs w:val="24"/>
                <w:lang w:val="en-US" w:eastAsia="es-EC"/>
              </w:rPr>
              <w:fldChar w:fldCharType="end"/>
            </w:r>
            <w:r w:rsidR="002976C3">
              <w:rPr>
                <w:rFonts w:ascii="Book Antiqua" w:eastAsia="Times New Roman" w:hAnsi="Book Antiqua" w:cs="Times New Roman"/>
                <w:sz w:val="24"/>
                <w:szCs w:val="24"/>
                <w:lang w:val="en-US" w:eastAsia="es-EC"/>
              </w:rPr>
              <w:t xml:space="preserve">, 2011, </w:t>
            </w:r>
            <w:r w:rsidRPr="00C10A48">
              <w:rPr>
                <w:rFonts w:ascii="Book Antiqua" w:eastAsia="Times New Roman" w:hAnsi="Book Antiqua" w:cs="Times New Roman"/>
                <w:sz w:val="24"/>
                <w:szCs w:val="24"/>
                <w:lang w:val="en-US" w:eastAsia="es-EC"/>
              </w:rPr>
              <w:t>Israel</w:t>
            </w:r>
          </w:p>
        </w:tc>
        <w:tc>
          <w:tcPr>
            <w:tcW w:w="1418" w:type="dxa"/>
            <w:vMerge w:val="restart"/>
            <w:shd w:val="clear" w:color="auto" w:fill="auto"/>
            <w:vAlign w:val="center"/>
            <w:hideMark/>
          </w:tcPr>
          <w:p w14:paraId="4F0D4DC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7D4B147A" w14:textId="77777777"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Pr="00C10A48">
              <w:rPr>
                <w:rFonts w:ascii="Book Antiqua" w:eastAsia="Times New Roman" w:hAnsi="Book Antiqua" w:cs="Times New Roman"/>
                <w:sz w:val="24"/>
                <w:szCs w:val="24"/>
                <w:lang w:val="en-US" w:eastAsia="es-EC"/>
              </w:rPr>
              <w:t xml:space="preserve"> Compensated liver cirrhosis, </w:t>
            </w:r>
            <w:r w:rsidRPr="00C10A48">
              <w:rPr>
                <w:rFonts w:ascii="Book Antiqua" w:hAnsi="Book Antiqua" w:cs="Times New Roman"/>
                <w:sz w:val="24"/>
                <w:szCs w:val="24"/>
                <w:lang w:val="en-US"/>
              </w:rPr>
              <w:t>Child-Turcotte-Pugh</w:t>
            </w:r>
            <w:r w:rsidRPr="00C10A48">
              <w:rPr>
                <w:rFonts w:ascii="Book Antiqua" w:eastAsia="Times New Roman" w:hAnsi="Book Antiqua" w:cs="Times New Roman"/>
                <w:sz w:val="24"/>
                <w:szCs w:val="24"/>
                <w:lang w:val="en-US" w:eastAsia="es-EC"/>
              </w:rPr>
              <w:t xml:space="preserve"> A and B.</w:t>
            </w:r>
          </w:p>
          <w:p w14:paraId="4C6DFDC6" w14:textId="5FF906AA"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 xml:space="preserve">Sub-clinical hepatic encephalopathy before and after, procedure </w:t>
            </w:r>
            <w:r w:rsidRPr="00C10A48">
              <w:rPr>
                <w:rFonts w:ascii="Book Antiqua" w:eastAsia="Times New Roman" w:hAnsi="Book Antiqua" w:cs="Times New Roman"/>
                <w:sz w:val="24"/>
                <w:szCs w:val="24"/>
                <w:lang w:val="en-US" w:eastAsia="es-EC"/>
              </w:rPr>
              <w:lastRenderedPageBreak/>
              <w:t>duration, induction time, recovery time, discharge time, adverse events.</w:t>
            </w:r>
          </w:p>
        </w:tc>
        <w:tc>
          <w:tcPr>
            <w:tcW w:w="2268" w:type="dxa"/>
            <w:shd w:val="clear" w:color="auto" w:fill="auto"/>
            <w:vAlign w:val="center"/>
            <w:hideMark/>
          </w:tcPr>
          <w:p w14:paraId="32AD6208"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(31)</w:t>
            </w:r>
          </w:p>
        </w:tc>
        <w:tc>
          <w:tcPr>
            <w:tcW w:w="4961" w:type="dxa"/>
            <w:shd w:val="clear" w:color="auto" w:fill="auto"/>
            <w:hideMark/>
          </w:tcPr>
          <w:p w14:paraId="4096A339" w14:textId="6CC609DB"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30-50 mg followed by repeated dosages of 10-20 mg at intervals of 15 s, at the </w:t>
            </w:r>
            <w:proofErr w:type="spellStart"/>
            <w:r w:rsidRPr="00C10A48">
              <w:rPr>
                <w:rFonts w:ascii="Book Antiqua" w:eastAsia="Times New Roman" w:hAnsi="Book Antiqua" w:cs="Times New Roman"/>
                <w:sz w:val="24"/>
                <w:szCs w:val="24"/>
                <w:lang w:val="en-US" w:eastAsia="es-EC"/>
              </w:rPr>
              <w:t>endoscopist's</w:t>
            </w:r>
            <w:proofErr w:type="spellEnd"/>
            <w:r w:rsidRPr="00C10A48">
              <w:rPr>
                <w:rFonts w:ascii="Book Antiqua" w:eastAsia="Times New Roman" w:hAnsi="Book Antiqua" w:cs="Times New Roman"/>
                <w:sz w:val="24"/>
                <w:szCs w:val="24"/>
                <w:lang w:val="en-US" w:eastAsia="es-EC"/>
              </w:rPr>
              <w:t xml:space="preserve"> discretion, up to a 70-100 mg dose, considering the level of satisfactory sedation.</w:t>
            </w:r>
          </w:p>
        </w:tc>
      </w:tr>
      <w:tr w:rsidR="005F2ADF" w:rsidRPr="00C10A48" w14:paraId="5FA1BB6D" w14:textId="77777777" w:rsidTr="00CA3AF2">
        <w:trPr>
          <w:trHeight w:val="750"/>
        </w:trPr>
        <w:tc>
          <w:tcPr>
            <w:tcW w:w="1838" w:type="dxa"/>
            <w:vMerge/>
            <w:vAlign w:val="center"/>
            <w:hideMark/>
          </w:tcPr>
          <w:p w14:paraId="29CC0AF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13CDFBF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60477F07"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31E12302"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(30)</w:t>
            </w:r>
          </w:p>
        </w:tc>
        <w:tc>
          <w:tcPr>
            <w:tcW w:w="4961" w:type="dxa"/>
            <w:shd w:val="clear" w:color="auto" w:fill="auto"/>
            <w:hideMark/>
          </w:tcPr>
          <w:p w14:paraId="2508DA0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Midazolam: (0.5-1.0 mg) administered by </w:t>
            </w:r>
            <w:r w:rsidRPr="00C10A48">
              <w:rPr>
                <w:rFonts w:ascii="Book Antiqua" w:eastAsia="Times New Roman" w:hAnsi="Book Antiqua" w:cs="Times New Roman"/>
                <w:sz w:val="24"/>
                <w:szCs w:val="24"/>
                <w:lang w:val="en-US" w:eastAsia="es-EC"/>
              </w:rPr>
              <w:lastRenderedPageBreak/>
              <w:t>intravenous bolus injection, with incremental dosages at intervals of approximately 1 to 3 min until a satisfactory level of sedation for the procedure was reached (variation of 3-6 mg).</w:t>
            </w:r>
          </w:p>
        </w:tc>
      </w:tr>
      <w:tr w:rsidR="005F2ADF" w:rsidRPr="00C10A48" w14:paraId="59A959EA" w14:textId="77777777" w:rsidTr="00CA3AF2">
        <w:trPr>
          <w:trHeight w:val="360"/>
        </w:trPr>
        <w:tc>
          <w:tcPr>
            <w:tcW w:w="1838" w:type="dxa"/>
            <w:vMerge/>
            <w:vAlign w:val="center"/>
            <w:hideMark/>
          </w:tcPr>
          <w:p w14:paraId="5AA01FD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4BF31DE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48CEFEBC"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480F47A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Control/No-sedation (30)</w:t>
            </w:r>
          </w:p>
        </w:tc>
        <w:tc>
          <w:tcPr>
            <w:tcW w:w="4961" w:type="dxa"/>
            <w:shd w:val="clear" w:color="auto" w:fill="auto"/>
            <w:noWrap/>
            <w:vAlign w:val="bottom"/>
            <w:hideMark/>
          </w:tcPr>
          <w:p w14:paraId="0D3C342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w:t>
            </w:r>
          </w:p>
        </w:tc>
      </w:tr>
      <w:tr w:rsidR="005F2ADF" w:rsidRPr="00C10A48" w14:paraId="2AE7678A" w14:textId="77777777" w:rsidTr="00CA3AF2">
        <w:trPr>
          <w:trHeight w:val="555"/>
        </w:trPr>
        <w:tc>
          <w:tcPr>
            <w:tcW w:w="1838" w:type="dxa"/>
            <w:vMerge w:val="restart"/>
            <w:shd w:val="clear" w:color="auto" w:fill="auto"/>
            <w:vAlign w:val="center"/>
            <w:hideMark/>
          </w:tcPr>
          <w:p w14:paraId="50EB441E" w14:textId="7B437ABA"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Riphaus</w:t>
            </w:r>
            <w:proofErr w:type="spellEnd"/>
            <w:r w:rsidRPr="00C10A48">
              <w:rPr>
                <w:rFonts w:ascii="Book Antiqua" w:eastAsia="Times New Roman" w:hAnsi="Book Antiqua" w:cs="Times New Roman"/>
                <w:sz w:val="24"/>
                <w:szCs w:val="24"/>
                <w:lang w:val="en-US" w:eastAsia="es-EC"/>
              </w:rPr>
              <w:t xml:space="preserve"> </w:t>
            </w:r>
            <w:r w:rsidR="006E70C7"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{"citationItems":[{"id":"ITEM-1","itemData":{"DOI":"10.1080/00365520903194591","ISSN":"0036-5521","PMID":"19811337","abstract":"OBJECTIVE Midazolam sedation for upper gastrointestinal (GI) endoscopy exacerbates minimal hepatic encephalopathy (HE) in patients with liver cirrhosis, therefore an alternative drug regimen for these patients is warranted. The aim of this randomized, controlled study was to assess whether the use of the short-acting propofol as a sedative for GI endoscopy could prevent the exacerbation of minimal HE in patients with liver cirrhosis. MATERIAL AND METHODS The study comprised patients with liver cirrhosis without clinical HE who had undergone upper GI endoscopy for therapeutic purposes (intended variceal band ligation). Sixty patients were randomly assigned into two groups to receive propofol (n=40) or midazolam (n=20) for upper GI endoscopy. The study groups were matched for age, gender and Child-Pugh score. All patients completed number connecting tests (NCTs), as well as a porto-systemic encephalopathy (PSE) syndrome test before and at 2 h after completion of the endoscopic procedure. Time needed to fulfill the tests was documented. Baseline results of the psychomotor test batteries were compared with the post-interventional evaluations. Data were also compared with the results of a healthy control group (n=20) that did not undergo endoscopic sedation. Recovery time and quality (score system) were evaluated. RESULTS The differences in the NCT times before and after sedation (median delta NCT, midazolam group, 11 s (95% CI, -1.2 to 16.1 s) versus the propofol group, -9.5 s (95% CI, -15.7 to -4.6 s), p=0.002) and in the PSE scores (median delta PSE, midazolam group, -1 (95% CI, -1.5 to 0.2) versus the propofol group, 1 (95% CI, 0.5 to 1.5), p=0.0009) differed significantly between the two groups. In addition, the recovery time and quality in patients receiving propofol were significantly improved compared with in the midazolam group (7.8+/-2.9 min versus 18.4+/-6.7 min, 6.1+/-1.1 versus 8.2+/-1.3, both p&lt;0.001). CONCLUSIONS The study demonstrates that propofol sedation for upper GI endoscopy does not cause acute deterioration of minimal hepatic encephalopathy and is associated with improved recovery in patients with liver cirrhosis. Propofol should be recommended for these patients as an alternative to midazolam.","author":[{"dropping-particle":"","family":"Riphaus","given":"Andrea","non-dropping-particle":"","parse-names":false,"suffix":""},{"dropping-particle":"","family":"Lechowicz","given":"Izabela","non-dropping-particle":"","parse-names":false,"suffix":""},{"dropping-particle":"","family":"Frenz","given":"Markus B","non-dropping-particle":"","parse-names":false,"suffix":""},{"dropping-particle":"","family":"Wehrmann","given":"Till","non-dropping-particle":"","parse-names":false,"suffix":""}],"container-title":"Scandinavian Journal of Gastroenterology","id":"ITEM-1","issue":"10","issued":{"date-parts":[["2009","1","19"]]},"page":"1244-1251","title":"Propofol sedation for upper gastrointestinal endoscopy in patients with liver cirrhosis as an alternative to midazolam to avoid acute deterioration of minimal encephalopathy: A randomized, controlled study","type":"article-journal","volume":"44"},"uris":["http://www.mendeley.com/documents/?uuid=3e777578-7009-4812-bd78-ca2629a52780"]}],"mendeley":{"formattedCitation":"&lt;sup&gt;[17]&lt;/sup&gt;","plainTextFormattedCitation":"[17]","previouslyFormattedCitation":"&lt;sup&gt;[16]&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[17]</w:t>
            </w:r>
            <w:r w:rsidRPr="00C10A48">
              <w:rPr>
                <w:rFonts w:ascii="Book Antiqua" w:eastAsia="Times New Roman" w:hAnsi="Book Antiqua" w:cs="Times New Roman"/>
                <w:sz w:val="24"/>
                <w:szCs w:val="24"/>
                <w:lang w:val="en-US" w:eastAsia="es-EC"/>
              </w:rPr>
              <w:fldChar w:fldCharType="end"/>
            </w:r>
            <w:r w:rsidR="006E70C7">
              <w:rPr>
                <w:rFonts w:ascii="Book Antiqua" w:eastAsia="Times New Roman" w:hAnsi="Book Antiqua" w:cs="Times New Roman"/>
                <w:sz w:val="24"/>
                <w:szCs w:val="24"/>
                <w:lang w:val="en-US" w:eastAsia="es-EC"/>
              </w:rPr>
              <w:t xml:space="preserve">, 2009, </w:t>
            </w:r>
            <w:r w:rsidRPr="00C10A48">
              <w:rPr>
                <w:rFonts w:ascii="Book Antiqua" w:eastAsia="Times New Roman" w:hAnsi="Book Antiqua" w:cs="Times New Roman"/>
                <w:sz w:val="24"/>
                <w:szCs w:val="24"/>
                <w:lang w:val="en-US" w:eastAsia="es-EC"/>
              </w:rPr>
              <w:t>Germany</w:t>
            </w:r>
          </w:p>
        </w:tc>
        <w:tc>
          <w:tcPr>
            <w:tcW w:w="1418" w:type="dxa"/>
            <w:vMerge w:val="restart"/>
            <w:shd w:val="clear" w:color="auto" w:fill="auto"/>
            <w:noWrap/>
            <w:vAlign w:val="center"/>
            <w:hideMark/>
          </w:tcPr>
          <w:p w14:paraId="6CA1122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771FCCEC" w14:textId="120B89B0"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F86DC3">
              <w:rPr>
                <w:rFonts w:ascii="Book Antiqua" w:eastAsia="Times New Roman" w:hAnsi="Book Antiqua" w:cs="Times New Roman"/>
                <w:sz w:val="24"/>
                <w:szCs w:val="24"/>
                <w:lang w:val="en-US" w:eastAsia="es-EC"/>
              </w:rPr>
              <w:t xml:space="preserve">Patients over 18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diagnosed with hepatic cirrhosis, Child-Turcotte-Pugh A, B and C, without using benzodiazepine or antiepileptics, ASA I-III</w:t>
            </w:r>
            <w:r w:rsidR="003242C9">
              <w:rPr>
                <w:rFonts w:ascii="Book Antiqua" w:eastAsia="Times New Roman" w:hAnsi="Book Antiqua" w:cs="Times New Roman"/>
                <w:sz w:val="24"/>
                <w:szCs w:val="24"/>
                <w:lang w:val="en-US" w:eastAsia="es-EC"/>
              </w:rPr>
              <w:t>.</w:t>
            </w:r>
          </w:p>
          <w:p w14:paraId="73E02570" w14:textId="77777777"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Control group:</w:t>
            </w:r>
            <w:r w:rsidRPr="00C10A48">
              <w:rPr>
                <w:rFonts w:ascii="Book Antiqua" w:eastAsia="Times New Roman" w:hAnsi="Book Antiqua" w:cs="Times New Roman"/>
                <w:sz w:val="24"/>
                <w:szCs w:val="24"/>
                <w:lang w:val="en-US" w:eastAsia="es-EC"/>
              </w:rPr>
              <w:t xml:space="preserve"> non-cirrhotic. </w:t>
            </w:r>
          </w:p>
          <w:p w14:paraId="3C7FDE8C" w14:textId="1A13C77D"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 xml:space="preserve">Acute deterioration of minimal encephalopathy before and after sedation, procedure duration, recovery time, and </w:t>
            </w:r>
            <w:r w:rsidRPr="00C10A48">
              <w:rPr>
                <w:rFonts w:ascii="Book Antiqua" w:eastAsia="Times New Roman" w:hAnsi="Book Antiqua" w:cs="Times New Roman"/>
                <w:sz w:val="24"/>
                <w:szCs w:val="24"/>
                <w:lang w:val="en-US" w:eastAsia="es-EC"/>
              </w:rPr>
              <w:lastRenderedPageBreak/>
              <w:t xml:space="preserve">adverse events.                                           </w:t>
            </w:r>
          </w:p>
        </w:tc>
        <w:tc>
          <w:tcPr>
            <w:tcW w:w="2268" w:type="dxa"/>
            <w:shd w:val="clear" w:color="auto" w:fill="auto"/>
            <w:vAlign w:val="center"/>
            <w:hideMark/>
          </w:tcPr>
          <w:p w14:paraId="108971B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(40)</w:t>
            </w:r>
          </w:p>
        </w:tc>
        <w:tc>
          <w:tcPr>
            <w:tcW w:w="4961" w:type="dxa"/>
            <w:shd w:val="clear" w:color="auto" w:fill="auto"/>
            <w:hideMark/>
          </w:tcPr>
          <w:p w14:paraId="03DC063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40 mg of propofol 1% or 60 mg in patients weighing 70 kg; an extra dose of 10 mg was administered if necessary.</w:t>
            </w:r>
          </w:p>
        </w:tc>
      </w:tr>
      <w:tr w:rsidR="005F2ADF" w:rsidRPr="00C10A48" w14:paraId="3DB73F42" w14:textId="77777777" w:rsidTr="00CA3AF2">
        <w:trPr>
          <w:trHeight w:val="570"/>
        </w:trPr>
        <w:tc>
          <w:tcPr>
            <w:tcW w:w="1838" w:type="dxa"/>
            <w:vMerge/>
            <w:vAlign w:val="center"/>
            <w:hideMark/>
          </w:tcPr>
          <w:p w14:paraId="0A7BE0C5"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4D6A8B8E"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0B78A3F3"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2E36613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(20)</w:t>
            </w:r>
          </w:p>
        </w:tc>
        <w:tc>
          <w:tcPr>
            <w:tcW w:w="4961" w:type="dxa"/>
            <w:shd w:val="clear" w:color="auto" w:fill="auto"/>
            <w:hideMark/>
          </w:tcPr>
          <w:p w14:paraId="773B6C50"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2.5 mg IV, with repeated doses administered to ensure satisfactory sedation within a limit of 7.5 mg total.</w:t>
            </w:r>
          </w:p>
        </w:tc>
      </w:tr>
      <w:tr w:rsidR="005F2ADF" w:rsidRPr="00C10A48" w14:paraId="40752F39" w14:textId="77777777" w:rsidTr="00CA3AF2">
        <w:trPr>
          <w:trHeight w:val="413"/>
        </w:trPr>
        <w:tc>
          <w:tcPr>
            <w:tcW w:w="1838" w:type="dxa"/>
            <w:vMerge/>
            <w:vAlign w:val="center"/>
            <w:hideMark/>
          </w:tcPr>
          <w:p w14:paraId="3A02AD1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13B7AE6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08A9F40B"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7B0408E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Control/No-sedation (20)</w:t>
            </w:r>
          </w:p>
        </w:tc>
        <w:tc>
          <w:tcPr>
            <w:tcW w:w="4961" w:type="dxa"/>
            <w:shd w:val="clear" w:color="auto" w:fill="auto"/>
            <w:hideMark/>
          </w:tcPr>
          <w:p w14:paraId="64D7A8D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w:t>
            </w:r>
          </w:p>
        </w:tc>
      </w:tr>
      <w:tr w:rsidR="005F2ADF" w:rsidRPr="00C10A48" w14:paraId="7A193C9D" w14:textId="77777777" w:rsidTr="00CA3AF2">
        <w:trPr>
          <w:trHeight w:val="750"/>
        </w:trPr>
        <w:tc>
          <w:tcPr>
            <w:tcW w:w="1838" w:type="dxa"/>
            <w:vMerge w:val="restart"/>
            <w:shd w:val="clear" w:color="auto" w:fill="auto"/>
            <w:vAlign w:val="center"/>
            <w:hideMark/>
          </w:tcPr>
          <w:p w14:paraId="6AA185DB" w14:textId="126D8DD4"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Weston </w:t>
            </w:r>
            <w:r w:rsidR="009705A1"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sz w:val="24"/>
                <w:szCs w:val="24"/>
                <w:lang w:val="en-US" w:eastAsia="es-EC"/>
              </w:rPr>
              <w:fldChar w:fldCharType="begin" w:fldLock="1"/>
            </w:r>
            <w:r w:rsidRPr="00C10A48">
              <w:rPr>
                <w:rFonts w:ascii="Book Antiqua" w:eastAsia="Times New Roman" w:hAnsi="Book Antiqua" w:cs="Times New Roman"/>
                <w:sz w:val="24"/>
                <w:szCs w:val="24"/>
                <w:lang w:val="en-US" w:eastAsia="es-EC"/>
              </w:rPr>
              <w:instrText>ADDIN CSL_CITATION {"citationItems":[{"id":"ITEM-1","itemData":{"DOI":"10.1111/j.1572-0241.2003.08668.x","ISSN":"0002-9270","PMID":"14638346","abstract":"OBJECTIVES Upper GI endoscopy is often performed in patients with chronic liver disease to screen for esophageal and gastric varices. Propofol is currently under evaluation as an alternative to the combination of midazolam and meperidine for sedation during endoscopic procedures. The purpose of this study was to compare nurse-administered propofol to midazolam and meperidine for sedation in patients with chronic liver disease undergoing diagnostic upper GI endoscopy. METHODS Twenty outpatients who had known chronic liver disease (Child-Pugh class A or B) and were undergoing variceal screening were randomized to receive propofol or midazolam plus meperidine for sedation. Administration of sedation was performed by a registered nurse and supervised by the endoscopist. Outcome measures studied were induction and recovery times, efficacy and safety of sedation, patient satisfaction, and return to baseline function. RESULTS The mean dose of propofol and meperidine/midazolam administered was 203 mg (SD 43.7, range 150-280) and 71.3 mg (SD 17.7, range 50-100)/5.3 mg (SD 0.9, range 3.0-6.0), respectively. The mean time to achieve adequate sedation was 3.6 min (SD 1.2) for the propofol group in comparison to 7.3 min (SD 2.8) for the meperidine/midazolam group (p&lt;0.05). Procedure times between the groups were similar: propofol, 3.9 min (SD 1.9); midazolam/meperidine, 2.7 min (SD 0.8) (p=0.11). The level of sedation achieved by the propofol group was greater (p=0.0001). Time to full recovery was faster in the propofol group: 34.9 min (SD 10.3) versus 51.6 min (SD 18.4) (p&lt;0.05). The mean time to reach a maximal level of alertness on the Observer's Assessment of Alertness and Sedation Scale for the propofol group was 15 min (SD 3.6) versus 29 min (SD 10.5) (p=0.001). Although both groups recorded a high level of satisfaction, patients receiving propofol expressed greater overall mean satisfaction with the quality of their sedation at the time of discharge (p&lt;0.05), and reported a return to baseline function sooner in the majority of cases. Propofol achieved comparable levels of efficacy and safety to meperidine/midazolam in our study group. Both were well tolerated with minimal complications. CONCLUSIONS Propofol sedation administered by registered nurses in the setting of adequate patient monitoring is efficacious and well tolerated in patients with liver disease who are undergoing variceal screening by upper endoscopy. Patients were more satisfied with the qualit…","author":[{"dropping-particle":"","family":"Weston","given":"Brian R","non-dropping-particle":"","parse-names":false,"suffix":""},{"dropping-particle":"","family":"Chadalawada","given":"Vidyasree","non-dropping-particle":"","parse-names":false,"suffix":""},{"dropping-particle":"","family":"Chalasani","given":"Naga","non-dropping-particle":"","parse-names":false,"suffix":""},{"dropping-particle":"","family":"Kwo","given":"Paul","non-dropping-particle":"","parse-names":false,"suffix":""},{"dropping-particle":"","family":"Overley","given":"Christine A","non-dropping-particle":"","parse-names":false,"suffix":""},{"dropping-particle":"","family":"Symms","given":"Michelle","non-dropping-particle":"","parse-names":false,"suffix":""},{"dropping-particle":"","family":"Strahl","given":"Eloise","non-dropping-particle":"","parse-names":false,"suffix":""},{"dropping-particle":"","family":"Rex","given":"Douglas K","non-dropping-particle":"","parse-names":false,"suffix":""}],"container-title":"The American Journal of Gastroenterology","id":"ITEM-1","issue":"11","issued":{"date-parts":[["2003","11"]]},"page":"2440-2447","title":"Nurse-administered propofol versus midazolam and meperidine for upper endoscopy in cirrhotic patients","type":"article-journal","volume":"98"},"uris":["http://www.mendeley.com/documents/?uuid=5866beea-6a15-4c40-968d-6a3f5c587b81"]}],"mendeley":{"formattedCitation":"&lt;sup&gt;[22]&lt;/sup&gt;","plainTextFormattedCitation":"[22]","previouslyFormattedCitation":"&lt;sup&gt;[21]&lt;/sup&gt;"},"properties":{"noteIndex":0},"schema":"https://github.com/citation-style-language/schema/raw/master/csl-citation.json"}</w:instrText>
            </w:r>
            <w:r w:rsidRPr="00C10A48">
              <w:rPr>
                <w:rFonts w:ascii="Book Antiqua" w:eastAsia="Times New Roman" w:hAnsi="Book Antiqua" w:cs="Times New Roman"/>
                <w:sz w:val="24"/>
                <w:szCs w:val="24"/>
                <w:lang w:val="en-US" w:eastAsia="es-EC"/>
              </w:rPr>
              <w:fldChar w:fldCharType="separate"/>
            </w:r>
            <w:r w:rsidRPr="00C10A48">
              <w:rPr>
                <w:rFonts w:ascii="Book Antiqua" w:eastAsia="Times New Roman" w:hAnsi="Book Antiqua" w:cs="Times New Roman"/>
                <w:noProof/>
                <w:sz w:val="24"/>
                <w:szCs w:val="24"/>
                <w:vertAlign w:val="superscript"/>
                <w:lang w:val="en-US" w:eastAsia="es-EC"/>
              </w:rPr>
              <w:t>[22]</w:t>
            </w:r>
            <w:r w:rsidRPr="00C10A48">
              <w:rPr>
                <w:rFonts w:ascii="Book Antiqua" w:eastAsia="Times New Roman" w:hAnsi="Book Antiqua" w:cs="Times New Roman"/>
                <w:sz w:val="24"/>
                <w:szCs w:val="24"/>
                <w:lang w:val="en-US" w:eastAsia="es-EC"/>
              </w:rPr>
              <w:fldChar w:fldCharType="end"/>
            </w:r>
            <w:r w:rsidR="009705A1">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2003</w:t>
            </w:r>
            <w:r w:rsidR="009705A1">
              <w:rPr>
                <w:rFonts w:ascii="Book Antiqua" w:eastAsia="Times New Roman" w:hAnsi="Book Antiqua" w:cs="Times New Roman"/>
                <w:sz w:val="24"/>
                <w:szCs w:val="24"/>
                <w:lang w:val="en-US" w:eastAsia="es-EC"/>
              </w:rPr>
              <w:t>, United States</w:t>
            </w:r>
          </w:p>
        </w:tc>
        <w:tc>
          <w:tcPr>
            <w:tcW w:w="1418" w:type="dxa"/>
            <w:vMerge w:val="restart"/>
            <w:shd w:val="clear" w:color="auto" w:fill="auto"/>
            <w:noWrap/>
            <w:vAlign w:val="center"/>
            <w:hideMark/>
          </w:tcPr>
          <w:p w14:paraId="51990ED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03D8CBB9" w14:textId="2CB3A741"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F86DC3">
              <w:rPr>
                <w:rFonts w:ascii="Book Antiqua" w:eastAsia="Times New Roman" w:hAnsi="Book Antiqua" w:cs="Times New Roman"/>
                <w:sz w:val="24"/>
                <w:szCs w:val="24"/>
                <w:lang w:val="en-US" w:eastAsia="es-EC"/>
              </w:rPr>
              <w:t xml:space="preserve"> Patients over 18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confirmed hepatic cirrhosis, Child-Turcotte-Pugh A and B,</w:t>
            </w:r>
            <w:r w:rsidR="003242C9">
              <w:rPr>
                <w:rFonts w:ascii="Book Antiqua" w:eastAsia="Times New Roman" w:hAnsi="Book Antiqua" w:cs="Times New Roman"/>
                <w:sz w:val="24"/>
                <w:szCs w:val="24"/>
                <w:lang w:val="en-US" w:eastAsia="es-EC"/>
              </w:rPr>
              <w:t xml:space="preserve"> ASA I-II. </w:t>
            </w:r>
          </w:p>
          <w:p w14:paraId="77DAC6E9" w14:textId="31EBD909"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 xml:space="preserve">procedure duration, recovery time, discharge time, and adverse events.         </w:t>
            </w:r>
          </w:p>
        </w:tc>
        <w:tc>
          <w:tcPr>
            <w:tcW w:w="2268" w:type="dxa"/>
            <w:shd w:val="clear" w:color="auto" w:fill="auto"/>
            <w:vAlign w:val="center"/>
            <w:hideMark/>
          </w:tcPr>
          <w:p w14:paraId="1F0DC81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(10)</w:t>
            </w:r>
          </w:p>
        </w:tc>
        <w:tc>
          <w:tcPr>
            <w:tcW w:w="4961" w:type="dxa"/>
            <w:shd w:val="clear" w:color="auto" w:fill="auto"/>
            <w:hideMark/>
          </w:tcPr>
          <w:p w14:paraId="6EC0EB8C" w14:textId="7A56BE0E"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30-50 mg IV, followed by a 10-20 mg dosage every 15 s, at the discretion of an </w:t>
            </w:r>
            <w:proofErr w:type="spellStart"/>
            <w:r w:rsidRPr="00C10A48">
              <w:rPr>
                <w:rFonts w:ascii="Book Antiqua" w:eastAsia="Times New Roman" w:hAnsi="Book Antiqua" w:cs="Times New Roman"/>
                <w:sz w:val="24"/>
                <w:szCs w:val="24"/>
                <w:lang w:val="en-US" w:eastAsia="es-EC"/>
              </w:rPr>
              <w:t>endoscopist</w:t>
            </w:r>
            <w:proofErr w:type="spellEnd"/>
            <w:r w:rsidRPr="00C10A48">
              <w:rPr>
                <w:rFonts w:ascii="Book Antiqua" w:eastAsia="Times New Roman" w:hAnsi="Book Antiqua" w:cs="Times New Roman"/>
                <w:sz w:val="24"/>
                <w:szCs w:val="24"/>
                <w:lang w:val="en-US" w:eastAsia="es-EC"/>
              </w:rPr>
              <w:t xml:space="preserve"> or nurse, until a satisfactory level of sedation is reached.</w:t>
            </w:r>
          </w:p>
        </w:tc>
      </w:tr>
      <w:tr w:rsidR="005F2ADF" w:rsidRPr="00C10A48" w14:paraId="605C3449" w14:textId="77777777" w:rsidTr="00CA3AF2">
        <w:trPr>
          <w:trHeight w:val="435"/>
        </w:trPr>
        <w:tc>
          <w:tcPr>
            <w:tcW w:w="1838" w:type="dxa"/>
            <w:vMerge/>
            <w:vAlign w:val="center"/>
            <w:hideMark/>
          </w:tcPr>
          <w:p w14:paraId="35373C7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2317443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4EA111E0"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1437B00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(10)</w:t>
            </w:r>
          </w:p>
        </w:tc>
        <w:tc>
          <w:tcPr>
            <w:tcW w:w="4961" w:type="dxa"/>
            <w:shd w:val="clear" w:color="auto" w:fill="auto"/>
            <w:hideMark/>
          </w:tcPr>
          <w:p w14:paraId="37695E87" w14:textId="0299769B" w:rsidR="005F2ADF" w:rsidRPr="00C10A48" w:rsidRDefault="005F2ADF" w:rsidP="00F86DC3">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0.5-1 mg + meperidine (12.5-25</w:t>
            </w:r>
            <w:r w:rsidR="003D6C3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mg), with an additional dosage every 1-3 min if necessary.</w:t>
            </w:r>
          </w:p>
        </w:tc>
      </w:tr>
    </w:tbl>
    <w:p w14:paraId="2E92E479" w14:textId="10B44A0B" w:rsidR="003E7EDB" w:rsidRPr="00DF31EE" w:rsidRDefault="003E7EDB" w:rsidP="00F227A9">
      <w:pPr>
        <w:snapToGrid w:val="0"/>
        <w:spacing w:after="0" w:line="360" w:lineRule="auto"/>
        <w:jc w:val="both"/>
        <w:rPr>
          <w:rFonts w:ascii="Book Antiqua" w:eastAsia="Times New Roman" w:hAnsi="Book Antiqua" w:cs="Times New Roman"/>
          <w:sz w:val="24"/>
          <w:szCs w:val="24"/>
          <w:lang w:val="en-US" w:eastAsia="pt-BR"/>
        </w:rPr>
      </w:pPr>
      <w:r w:rsidRPr="009D6228">
        <w:rPr>
          <w:rFonts w:ascii="Book Antiqua" w:hAnsi="Book Antiqua" w:cs="Times New Roman"/>
          <w:bCs/>
          <w:sz w:val="24"/>
          <w:szCs w:val="24"/>
          <w:lang w:val="en-US"/>
        </w:rPr>
        <w:t>MHE:</w:t>
      </w:r>
      <w:r w:rsidRPr="009D6228">
        <w:rPr>
          <w:rFonts w:ascii="Book Antiqua" w:hAnsi="Book Antiqua" w:cs="Times New Roman"/>
          <w:sz w:val="24"/>
          <w:szCs w:val="24"/>
          <w:lang w:val="en-US"/>
        </w:rPr>
        <w:t xml:space="preserve"> </w:t>
      </w:r>
      <w:r w:rsidRPr="009D6228">
        <w:rPr>
          <w:rFonts w:ascii="Book Antiqua" w:eastAsia="Times New Roman" w:hAnsi="Book Antiqua" w:cs="Times New Roman"/>
          <w:caps/>
          <w:sz w:val="24"/>
          <w:szCs w:val="24"/>
          <w:lang w:val="en-US" w:eastAsia="pt-BR"/>
        </w:rPr>
        <w:t>m</w:t>
      </w:r>
      <w:r w:rsidRPr="009D6228">
        <w:rPr>
          <w:rFonts w:ascii="Book Antiqua" w:eastAsia="Times New Roman" w:hAnsi="Book Antiqua" w:cs="Times New Roman"/>
          <w:sz w:val="24"/>
          <w:szCs w:val="24"/>
          <w:lang w:val="en-US" w:eastAsia="pt-BR"/>
        </w:rPr>
        <w:t>inimal hepatic encephalopathy</w:t>
      </w:r>
      <w:r w:rsidR="009D6228" w:rsidRPr="009D6228">
        <w:rPr>
          <w:rFonts w:ascii="Book Antiqua" w:eastAsia="Times New Roman" w:hAnsi="Book Antiqua" w:cs="Times New Roman"/>
          <w:sz w:val="24"/>
          <w:szCs w:val="24"/>
          <w:lang w:val="en-US" w:eastAsia="pt-BR"/>
        </w:rPr>
        <w:t xml:space="preserve">; </w:t>
      </w:r>
      <w:r w:rsidRPr="009D6228">
        <w:rPr>
          <w:rFonts w:ascii="Book Antiqua" w:hAnsi="Book Antiqua" w:cs="Times New Roman"/>
          <w:bCs/>
          <w:sz w:val="24"/>
          <w:szCs w:val="24"/>
          <w:lang w:val="en-US"/>
        </w:rPr>
        <w:t>MELD:</w:t>
      </w:r>
      <w:r w:rsidRPr="009D6228">
        <w:rPr>
          <w:rFonts w:ascii="Book Antiqua" w:hAnsi="Book Antiqua" w:cs="Times New Roman"/>
          <w:sz w:val="24"/>
          <w:szCs w:val="24"/>
          <w:lang w:val="en-US"/>
        </w:rPr>
        <w:t xml:space="preserve"> </w:t>
      </w:r>
      <w:r w:rsidRPr="009D6228">
        <w:rPr>
          <w:rFonts w:ascii="Book Antiqua" w:eastAsia="Times New Roman" w:hAnsi="Book Antiqua" w:cs="Times New Roman"/>
          <w:caps/>
          <w:sz w:val="24"/>
          <w:szCs w:val="24"/>
          <w:lang w:val="en-US" w:eastAsia="pt-BR"/>
        </w:rPr>
        <w:t>m</w:t>
      </w:r>
      <w:r w:rsidRPr="009D6228">
        <w:rPr>
          <w:rFonts w:ascii="Book Antiqua" w:eastAsia="Times New Roman" w:hAnsi="Book Antiqua" w:cs="Times New Roman"/>
          <w:sz w:val="24"/>
          <w:szCs w:val="24"/>
          <w:lang w:val="en-US" w:eastAsia="pt-BR"/>
        </w:rPr>
        <w:t xml:space="preserve">odel for </w:t>
      </w:r>
      <w:r w:rsidRPr="009D6228">
        <w:rPr>
          <w:rFonts w:ascii="Book Antiqua" w:eastAsia="Times New Roman" w:hAnsi="Book Antiqua" w:cs="Times New Roman"/>
          <w:caps/>
          <w:sz w:val="24"/>
          <w:szCs w:val="24"/>
          <w:lang w:val="en-US" w:eastAsia="pt-BR"/>
        </w:rPr>
        <w:t>e</w:t>
      </w:r>
      <w:r w:rsidRPr="009D6228">
        <w:rPr>
          <w:rFonts w:ascii="Book Antiqua" w:eastAsia="Times New Roman" w:hAnsi="Book Antiqua" w:cs="Times New Roman"/>
          <w:sz w:val="24"/>
          <w:szCs w:val="24"/>
          <w:lang w:val="en-US" w:eastAsia="pt-BR"/>
        </w:rPr>
        <w:t>nd-</w:t>
      </w:r>
      <w:r w:rsidRPr="009D6228">
        <w:rPr>
          <w:rFonts w:ascii="Book Antiqua" w:eastAsia="Times New Roman" w:hAnsi="Book Antiqua" w:cs="Times New Roman"/>
          <w:caps/>
          <w:sz w:val="24"/>
          <w:szCs w:val="24"/>
          <w:lang w:val="en-US" w:eastAsia="pt-BR"/>
        </w:rPr>
        <w:t>s</w:t>
      </w:r>
      <w:r w:rsidRPr="009D6228">
        <w:rPr>
          <w:rFonts w:ascii="Book Antiqua" w:eastAsia="Times New Roman" w:hAnsi="Book Antiqua" w:cs="Times New Roman"/>
          <w:sz w:val="24"/>
          <w:szCs w:val="24"/>
          <w:lang w:val="en-US" w:eastAsia="pt-BR"/>
        </w:rPr>
        <w:t xml:space="preserve">tage </w:t>
      </w:r>
      <w:r w:rsidRPr="009D6228">
        <w:rPr>
          <w:rFonts w:ascii="Book Antiqua" w:eastAsia="Times New Roman" w:hAnsi="Book Antiqua" w:cs="Times New Roman"/>
          <w:caps/>
          <w:sz w:val="24"/>
          <w:szCs w:val="24"/>
          <w:lang w:val="en-US" w:eastAsia="pt-BR"/>
        </w:rPr>
        <w:t>l</w:t>
      </w:r>
      <w:r w:rsidRPr="009D6228">
        <w:rPr>
          <w:rFonts w:ascii="Book Antiqua" w:eastAsia="Times New Roman" w:hAnsi="Book Antiqua" w:cs="Times New Roman"/>
          <w:sz w:val="24"/>
          <w:szCs w:val="24"/>
          <w:lang w:val="en-US" w:eastAsia="pt-BR"/>
        </w:rPr>
        <w:t xml:space="preserve">iver </w:t>
      </w:r>
      <w:r w:rsidRPr="009D6228">
        <w:rPr>
          <w:rFonts w:ascii="Book Antiqua" w:eastAsia="Times New Roman" w:hAnsi="Book Antiqua" w:cs="Times New Roman"/>
          <w:caps/>
          <w:sz w:val="24"/>
          <w:szCs w:val="24"/>
          <w:lang w:val="en-US" w:eastAsia="pt-BR"/>
        </w:rPr>
        <w:t>d</w:t>
      </w:r>
      <w:r w:rsidRPr="009D6228">
        <w:rPr>
          <w:rFonts w:ascii="Book Antiqua" w:eastAsia="Times New Roman" w:hAnsi="Book Antiqua" w:cs="Times New Roman"/>
          <w:sz w:val="24"/>
          <w:szCs w:val="24"/>
          <w:lang w:val="en-US" w:eastAsia="pt-BR"/>
        </w:rPr>
        <w:t>ise</w:t>
      </w:r>
      <w:r w:rsidR="00DF31EE">
        <w:rPr>
          <w:rFonts w:ascii="Book Antiqua" w:eastAsia="Times New Roman" w:hAnsi="Book Antiqua" w:cs="Times New Roman"/>
          <w:sz w:val="24"/>
          <w:szCs w:val="24"/>
          <w:lang w:val="en-US" w:eastAsia="pt-BR"/>
        </w:rPr>
        <w:t>ase.</w:t>
      </w:r>
    </w:p>
    <w:sectPr w:rsidR="003E7EDB" w:rsidRPr="00DF31EE" w:rsidSect="008F0D01">
      <w:pgSz w:w="16840" w:h="11907"/>
      <w:pgMar w:top="1418" w:right="102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95F2" w14:textId="77777777" w:rsidR="00F81AC7" w:rsidRDefault="00F81AC7" w:rsidP="008F55B5">
      <w:pPr>
        <w:spacing w:after="0" w:line="240" w:lineRule="auto"/>
      </w:pPr>
      <w:r>
        <w:separator/>
      </w:r>
    </w:p>
  </w:endnote>
  <w:endnote w:type="continuationSeparator" w:id="0">
    <w:p w14:paraId="385A8C52" w14:textId="77777777" w:rsidR="00F81AC7" w:rsidRDefault="00F81AC7" w:rsidP="008F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40273"/>
      <w:docPartObj>
        <w:docPartGallery w:val="Page Numbers (Bottom of Page)"/>
        <w:docPartUnique/>
      </w:docPartObj>
    </w:sdtPr>
    <w:sdtEndPr>
      <w:rPr>
        <w:rStyle w:val="PageNumber"/>
      </w:rPr>
    </w:sdtEndPr>
    <w:sdtContent>
      <w:p w14:paraId="4FA6A1EE" w14:textId="5C16033F" w:rsidR="00BE7524" w:rsidRDefault="00BE7524" w:rsidP="00E06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1D148" w14:textId="77777777" w:rsidR="00BE7524" w:rsidRDefault="00BE7524" w:rsidP="00DA4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68095"/>
      <w:docPartObj>
        <w:docPartGallery w:val="Page Numbers (Bottom of Page)"/>
        <w:docPartUnique/>
      </w:docPartObj>
    </w:sdtPr>
    <w:sdtEndPr/>
    <w:sdtContent>
      <w:sdt>
        <w:sdtPr>
          <w:id w:val="155646865"/>
          <w:docPartObj>
            <w:docPartGallery w:val="Page Numbers (Top of Page)"/>
            <w:docPartUnique/>
          </w:docPartObj>
        </w:sdtPr>
        <w:sdtEndPr/>
        <w:sdtContent>
          <w:p w14:paraId="6996C7C0" w14:textId="5E2B4F56" w:rsidR="0039437F" w:rsidRDefault="0039437F" w:rsidP="0039437F">
            <w:pPr>
              <w:pStyle w:val="Footer"/>
              <w:jc w:val="right"/>
            </w:pPr>
            <w:r w:rsidRPr="0039437F">
              <w:rPr>
                <w:lang w:val="zh-CN" w:eastAsia="zh-CN"/>
              </w:rPr>
              <w:t xml:space="preserve"> </w:t>
            </w:r>
            <w:r w:rsidRPr="0039437F">
              <w:rPr>
                <w:bCs/>
                <w:sz w:val="24"/>
                <w:szCs w:val="24"/>
              </w:rPr>
              <w:fldChar w:fldCharType="begin"/>
            </w:r>
            <w:r w:rsidRPr="0039437F">
              <w:rPr>
                <w:bCs/>
              </w:rPr>
              <w:instrText>PAGE</w:instrText>
            </w:r>
            <w:r w:rsidRPr="0039437F">
              <w:rPr>
                <w:bCs/>
                <w:sz w:val="24"/>
                <w:szCs w:val="24"/>
              </w:rPr>
              <w:fldChar w:fldCharType="separate"/>
            </w:r>
            <w:r w:rsidR="00F86DC3">
              <w:rPr>
                <w:bCs/>
                <w:noProof/>
              </w:rPr>
              <w:t>14</w:t>
            </w:r>
            <w:r w:rsidRPr="0039437F">
              <w:rPr>
                <w:bCs/>
                <w:sz w:val="24"/>
                <w:szCs w:val="24"/>
              </w:rPr>
              <w:fldChar w:fldCharType="end"/>
            </w:r>
            <w:r w:rsidRPr="0039437F">
              <w:rPr>
                <w:lang w:val="zh-CN" w:eastAsia="zh-CN"/>
              </w:rPr>
              <w:t xml:space="preserve"> / </w:t>
            </w:r>
            <w:r w:rsidRPr="0039437F">
              <w:rPr>
                <w:bCs/>
                <w:sz w:val="24"/>
                <w:szCs w:val="24"/>
              </w:rPr>
              <w:fldChar w:fldCharType="begin"/>
            </w:r>
            <w:r w:rsidRPr="0039437F">
              <w:rPr>
                <w:bCs/>
              </w:rPr>
              <w:instrText>NUMPAGES</w:instrText>
            </w:r>
            <w:r w:rsidRPr="0039437F">
              <w:rPr>
                <w:bCs/>
                <w:sz w:val="24"/>
                <w:szCs w:val="24"/>
              </w:rPr>
              <w:fldChar w:fldCharType="separate"/>
            </w:r>
            <w:r w:rsidR="00F86DC3">
              <w:rPr>
                <w:bCs/>
                <w:noProof/>
              </w:rPr>
              <w:t>34</w:t>
            </w:r>
            <w:r w:rsidRPr="0039437F">
              <w:rPr>
                <w:bCs/>
                <w:sz w:val="24"/>
                <w:szCs w:val="24"/>
              </w:rPr>
              <w:fldChar w:fldCharType="end"/>
            </w:r>
          </w:p>
        </w:sdtContent>
      </w:sdt>
    </w:sdtContent>
  </w:sdt>
  <w:p w14:paraId="421946F6" w14:textId="0ACA13F6" w:rsidR="00BE7524" w:rsidRDefault="00BE7524" w:rsidP="0039437F">
    <w:pPr>
      <w:pStyle w:val="Footer"/>
      <w:tabs>
        <w:tab w:val="clear" w:pos="4252"/>
        <w:tab w:val="clear" w:pos="8504"/>
        <w:tab w:val="left" w:pos="668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64D5" w14:textId="77777777" w:rsidR="00F81AC7" w:rsidRDefault="00F81AC7" w:rsidP="008F55B5">
      <w:pPr>
        <w:spacing w:after="0" w:line="240" w:lineRule="auto"/>
      </w:pPr>
      <w:r>
        <w:separator/>
      </w:r>
    </w:p>
  </w:footnote>
  <w:footnote w:type="continuationSeparator" w:id="0">
    <w:p w14:paraId="2F1C8227" w14:textId="77777777" w:rsidR="00F81AC7" w:rsidRDefault="00F81AC7" w:rsidP="008F5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C9A"/>
    <w:multiLevelType w:val="multilevel"/>
    <w:tmpl w:val="C3F29BC4"/>
    <w:lvl w:ilvl="0">
      <w:start w:val="1"/>
      <w:numFmt w:val="decimal"/>
      <w:lvlText w:val="%1."/>
      <w:lvlJc w:val="left"/>
      <w:pPr>
        <w:ind w:left="720" w:hanging="360"/>
      </w:pPr>
      <w:rPr>
        <w:rFonts w:hint="default"/>
        <w:b/>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5953FB"/>
    <w:multiLevelType w:val="hybridMultilevel"/>
    <w:tmpl w:val="F748493A"/>
    <w:lvl w:ilvl="0" w:tplc="A3544596">
      <w:start w:val="3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EE1C81"/>
    <w:multiLevelType w:val="hybridMultilevel"/>
    <w:tmpl w:val="F48423C4"/>
    <w:lvl w:ilvl="0" w:tplc="EA68468C">
      <w:start w:val="3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8C186B"/>
    <w:multiLevelType w:val="hybridMultilevel"/>
    <w:tmpl w:val="A5DEB9DC"/>
    <w:lvl w:ilvl="0" w:tplc="FF087FF0">
      <w:start w:val="1"/>
      <w:numFmt w:val="decimal"/>
      <w:lvlText w:val="%1."/>
      <w:lvlJc w:val="left"/>
      <w:pPr>
        <w:ind w:left="720" w:hanging="360"/>
      </w:pPr>
      <w:rPr>
        <w:rFonts w:asciiTheme="minorHAnsi" w:eastAsia="Times New Roman" w:hAnsiTheme="minorHAnsi" w:cstheme="minorHAnsi" w:hint="default"/>
        <w:b/>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1F006E"/>
    <w:multiLevelType w:val="hybridMultilevel"/>
    <w:tmpl w:val="27426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D40C5D"/>
    <w:multiLevelType w:val="hybridMultilevel"/>
    <w:tmpl w:val="D2BC1F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DC5A74"/>
    <w:multiLevelType w:val="multilevel"/>
    <w:tmpl w:val="C3F29BC4"/>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EE5BD9"/>
    <w:multiLevelType w:val="multilevel"/>
    <w:tmpl w:val="C3F29BC4"/>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F967F9C"/>
    <w:multiLevelType w:val="hybridMultilevel"/>
    <w:tmpl w:val="F4564388"/>
    <w:lvl w:ilvl="0" w:tplc="E70A1124">
      <w:numFmt w:val="bullet"/>
      <w:lvlText w:val="-"/>
      <w:lvlJc w:val="left"/>
      <w:pPr>
        <w:ind w:left="720" w:hanging="360"/>
      </w:pPr>
      <w:rPr>
        <w:rFonts w:ascii="Calibri" w:eastAsia="Times New Roman" w:hAnsi="Calibri" w:cs="Calibri"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6186C48"/>
    <w:multiLevelType w:val="hybridMultilevel"/>
    <w:tmpl w:val="53C87358"/>
    <w:lvl w:ilvl="0" w:tplc="3996A2EA">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8943E97"/>
    <w:multiLevelType w:val="hybridMultilevel"/>
    <w:tmpl w:val="025E3F46"/>
    <w:lvl w:ilvl="0" w:tplc="E46A5E7A">
      <w:start w:val="3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9EE0F75"/>
    <w:multiLevelType w:val="hybridMultilevel"/>
    <w:tmpl w:val="14740456"/>
    <w:lvl w:ilvl="0" w:tplc="D74E568E">
      <w:start w:val="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D5D6507"/>
    <w:multiLevelType w:val="hybridMultilevel"/>
    <w:tmpl w:val="A3F808FE"/>
    <w:lvl w:ilvl="0" w:tplc="98C89B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10"/>
  </w:num>
  <w:num w:numId="6">
    <w:abstractNumId w:val="2"/>
  </w:num>
  <w:num w:numId="7">
    <w:abstractNumId w:val="1"/>
  </w:num>
  <w:num w:numId="8">
    <w:abstractNumId w:val="5"/>
  </w:num>
  <w:num w:numId="9">
    <w:abstractNumId w:val="11"/>
  </w:num>
  <w:num w:numId="10">
    <w:abstractNumId w:val="8"/>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wNLEwNzIwMjYzNDFU0lEKTi0uzszPAymwqAUA777otSwAAAA="/>
  </w:docVars>
  <w:rsids>
    <w:rsidRoot w:val="005A7589"/>
    <w:rsid w:val="000045C8"/>
    <w:rsid w:val="000050C2"/>
    <w:rsid w:val="0001003A"/>
    <w:rsid w:val="000179A7"/>
    <w:rsid w:val="00017EAD"/>
    <w:rsid w:val="00020775"/>
    <w:rsid w:val="0002184C"/>
    <w:rsid w:val="000273EC"/>
    <w:rsid w:val="00027A68"/>
    <w:rsid w:val="00030312"/>
    <w:rsid w:val="00031046"/>
    <w:rsid w:val="00034CDC"/>
    <w:rsid w:val="00036A86"/>
    <w:rsid w:val="00036AA5"/>
    <w:rsid w:val="00041085"/>
    <w:rsid w:val="0004122C"/>
    <w:rsid w:val="00055563"/>
    <w:rsid w:val="00056387"/>
    <w:rsid w:val="000566D2"/>
    <w:rsid w:val="00061510"/>
    <w:rsid w:val="00062CD7"/>
    <w:rsid w:val="00063748"/>
    <w:rsid w:val="00070D40"/>
    <w:rsid w:val="000713E1"/>
    <w:rsid w:val="00073A71"/>
    <w:rsid w:val="000740DF"/>
    <w:rsid w:val="0007500E"/>
    <w:rsid w:val="0008191D"/>
    <w:rsid w:val="0008309A"/>
    <w:rsid w:val="00090213"/>
    <w:rsid w:val="00092110"/>
    <w:rsid w:val="00093D8A"/>
    <w:rsid w:val="00094BE8"/>
    <w:rsid w:val="000954B0"/>
    <w:rsid w:val="00096C76"/>
    <w:rsid w:val="00097822"/>
    <w:rsid w:val="000A0606"/>
    <w:rsid w:val="000A0724"/>
    <w:rsid w:val="000A185E"/>
    <w:rsid w:val="000A4230"/>
    <w:rsid w:val="000A61FC"/>
    <w:rsid w:val="000A753F"/>
    <w:rsid w:val="000A7D69"/>
    <w:rsid w:val="000B0549"/>
    <w:rsid w:val="000B08B3"/>
    <w:rsid w:val="000B2235"/>
    <w:rsid w:val="000B47F5"/>
    <w:rsid w:val="000B575C"/>
    <w:rsid w:val="000B5EB4"/>
    <w:rsid w:val="000C0032"/>
    <w:rsid w:val="000C0687"/>
    <w:rsid w:val="000C32DB"/>
    <w:rsid w:val="000C6491"/>
    <w:rsid w:val="000D1261"/>
    <w:rsid w:val="000D373F"/>
    <w:rsid w:val="000D537E"/>
    <w:rsid w:val="000D6FD3"/>
    <w:rsid w:val="000E14FE"/>
    <w:rsid w:val="000E21B5"/>
    <w:rsid w:val="000E2379"/>
    <w:rsid w:val="000E6482"/>
    <w:rsid w:val="000F2C1C"/>
    <w:rsid w:val="000F38B5"/>
    <w:rsid w:val="0010077F"/>
    <w:rsid w:val="001061B6"/>
    <w:rsid w:val="001061E6"/>
    <w:rsid w:val="001133DD"/>
    <w:rsid w:val="00114857"/>
    <w:rsid w:val="00115AFD"/>
    <w:rsid w:val="00120B75"/>
    <w:rsid w:val="00123841"/>
    <w:rsid w:val="00125F1A"/>
    <w:rsid w:val="0013050A"/>
    <w:rsid w:val="00130F9D"/>
    <w:rsid w:val="001315B5"/>
    <w:rsid w:val="00131827"/>
    <w:rsid w:val="0013361F"/>
    <w:rsid w:val="001346AE"/>
    <w:rsid w:val="001366B7"/>
    <w:rsid w:val="001407F7"/>
    <w:rsid w:val="00141892"/>
    <w:rsid w:val="00141E21"/>
    <w:rsid w:val="001425EB"/>
    <w:rsid w:val="0014324D"/>
    <w:rsid w:val="001455E0"/>
    <w:rsid w:val="0014614E"/>
    <w:rsid w:val="00157123"/>
    <w:rsid w:val="00157CD1"/>
    <w:rsid w:val="001610FA"/>
    <w:rsid w:val="0016110E"/>
    <w:rsid w:val="001638CD"/>
    <w:rsid w:val="001660CA"/>
    <w:rsid w:val="00167480"/>
    <w:rsid w:val="00171E78"/>
    <w:rsid w:val="00172690"/>
    <w:rsid w:val="001778AA"/>
    <w:rsid w:val="0018055D"/>
    <w:rsid w:val="00180F46"/>
    <w:rsid w:val="001812AD"/>
    <w:rsid w:val="00181D92"/>
    <w:rsid w:val="0018292D"/>
    <w:rsid w:val="00185AD5"/>
    <w:rsid w:val="0018688F"/>
    <w:rsid w:val="0018769C"/>
    <w:rsid w:val="00192831"/>
    <w:rsid w:val="00193E81"/>
    <w:rsid w:val="0019605D"/>
    <w:rsid w:val="001961B6"/>
    <w:rsid w:val="001A51F7"/>
    <w:rsid w:val="001B3D70"/>
    <w:rsid w:val="001B45FD"/>
    <w:rsid w:val="001B46AC"/>
    <w:rsid w:val="001B56D3"/>
    <w:rsid w:val="001B56DB"/>
    <w:rsid w:val="001C1111"/>
    <w:rsid w:val="001C1FD1"/>
    <w:rsid w:val="001C3A7C"/>
    <w:rsid w:val="001C52FD"/>
    <w:rsid w:val="001C5563"/>
    <w:rsid w:val="001C5D16"/>
    <w:rsid w:val="001C5E01"/>
    <w:rsid w:val="001C69B0"/>
    <w:rsid w:val="001C7C02"/>
    <w:rsid w:val="001D00E8"/>
    <w:rsid w:val="001D395D"/>
    <w:rsid w:val="001D3C4D"/>
    <w:rsid w:val="001D4936"/>
    <w:rsid w:val="001D7739"/>
    <w:rsid w:val="001E4338"/>
    <w:rsid w:val="001E603E"/>
    <w:rsid w:val="001E77BA"/>
    <w:rsid w:val="001F088C"/>
    <w:rsid w:val="001F13BE"/>
    <w:rsid w:val="001F3EFD"/>
    <w:rsid w:val="001F49FA"/>
    <w:rsid w:val="001F4BDA"/>
    <w:rsid w:val="001F78B1"/>
    <w:rsid w:val="00212316"/>
    <w:rsid w:val="00213086"/>
    <w:rsid w:val="0021665B"/>
    <w:rsid w:val="00217354"/>
    <w:rsid w:val="00222EEA"/>
    <w:rsid w:val="0022765F"/>
    <w:rsid w:val="00230789"/>
    <w:rsid w:val="00230B84"/>
    <w:rsid w:val="00230D94"/>
    <w:rsid w:val="0023182C"/>
    <w:rsid w:val="00231A13"/>
    <w:rsid w:val="002327FE"/>
    <w:rsid w:val="00234C32"/>
    <w:rsid w:val="00235DBF"/>
    <w:rsid w:val="0024084B"/>
    <w:rsid w:val="0024304F"/>
    <w:rsid w:val="00247E1B"/>
    <w:rsid w:val="00250AA5"/>
    <w:rsid w:val="002525CF"/>
    <w:rsid w:val="00253F1B"/>
    <w:rsid w:val="0025690B"/>
    <w:rsid w:val="002601C7"/>
    <w:rsid w:val="00263E05"/>
    <w:rsid w:val="00265E4E"/>
    <w:rsid w:val="00265F68"/>
    <w:rsid w:val="00270262"/>
    <w:rsid w:val="00271FAB"/>
    <w:rsid w:val="002730ED"/>
    <w:rsid w:val="0027710F"/>
    <w:rsid w:val="00277444"/>
    <w:rsid w:val="00280748"/>
    <w:rsid w:val="00280E95"/>
    <w:rsid w:val="002833F1"/>
    <w:rsid w:val="00283445"/>
    <w:rsid w:val="0029133C"/>
    <w:rsid w:val="0029134B"/>
    <w:rsid w:val="00291493"/>
    <w:rsid w:val="00291BBE"/>
    <w:rsid w:val="00294889"/>
    <w:rsid w:val="002976C3"/>
    <w:rsid w:val="002977AD"/>
    <w:rsid w:val="002A09BE"/>
    <w:rsid w:val="002A0E9F"/>
    <w:rsid w:val="002A25EC"/>
    <w:rsid w:val="002A2C9D"/>
    <w:rsid w:val="002A4CA8"/>
    <w:rsid w:val="002A53B5"/>
    <w:rsid w:val="002A6F5F"/>
    <w:rsid w:val="002B028A"/>
    <w:rsid w:val="002B2C20"/>
    <w:rsid w:val="002B3BB2"/>
    <w:rsid w:val="002B42B1"/>
    <w:rsid w:val="002B47E0"/>
    <w:rsid w:val="002B7C75"/>
    <w:rsid w:val="002C0FF7"/>
    <w:rsid w:val="002C2681"/>
    <w:rsid w:val="002C2842"/>
    <w:rsid w:val="002C2DAF"/>
    <w:rsid w:val="002C52AD"/>
    <w:rsid w:val="002D0A21"/>
    <w:rsid w:val="002D16F3"/>
    <w:rsid w:val="002D230A"/>
    <w:rsid w:val="002D23E7"/>
    <w:rsid w:val="002D27DD"/>
    <w:rsid w:val="002D2F6C"/>
    <w:rsid w:val="002E0266"/>
    <w:rsid w:val="002E2DD3"/>
    <w:rsid w:val="002E2F0A"/>
    <w:rsid w:val="002E353C"/>
    <w:rsid w:val="002E5917"/>
    <w:rsid w:val="002E6368"/>
    <w:rsid w:val="002E670E"/>
    <w:rsid w:val="002E6770"/>
    <w:rsid w:val="002E6D0F"/>
    <w:rsid w:val="002F1DCE"/>
    <w:rsid w:val="002F257E"/>
    <w:rsid w:val="002F32E2"/>
    <w:rsid w:val="002F401C"/>
    <w:rsid w:val="002F4FEC"/>
    <w:rsid w:val="00304756"/>
    <w:rsid w:val="00304A9F"/>
    <w:rsid w:val="00304B2A"/>
    <w:rsid w:val="003066E6"/>
    <w:rsid w:val="003135C1"/>
    <w:rsid w:val="00315116"/>
    <w:rsid w:val="003242C9"/>
    <w:rsid w:val="003248EE"/>
    <w:rsid w:val="003303CF"/>
    <w:rsid w:val="003317AB"/>
    <w:rsid w:val="003359A3"/>
    <w:rsid w:val="00336552"/>
    <w:rsid w:val="0034013B"/>
    <w:rsid w:val="00341F16"/>
    <w:rsid w:val="0034278D"/>
    <w:rsid w:val="00346363"/>
    <w:rsid w:val="00346C10"/>
    <w:rsid w:val="00347902"/>
    <w:rsid w:val="00352554"/>
    <w:rsid w:val="0035483A"/>
    <w:rsid w:val="00354A95"/>
    <w:rsid w:val="00354C9F"/>
    <w:rsid w:val="00356E11"/>
    <w:rsid w:val="00360015"/>
    <w:rsid w:val="00370150"/>
    <w:rsid w:val="00371E50"/>
    <w:rsid w:val="0037345E"/>
    <w:rsid w:val="00380D55"/>
    <w:rsid w:val="00385605"/>
    <w:rsid w:val="00385836"/>
    <w:rsid w:val="0038690B"/>
    <w:rsid w:val="00392E06"/>
    <w:rsid w:val="0039437F"/>
    <w:rsid w:val="0039524C"/>
    <w:rsid w:val="003A5742"/>
    <w:rsid w:val="003A7906"/>
    <w:rsid w:val="003B44E8"/>
    <w:rsid w:val="003B4DDD"/>
    <w:rsid w:val="003B5560"/>
    <w:rsid w:val="003B7539"/>
    <w:rsid w:val="003C031E"/>
    <w:rsid w:val="003C1DC1"/>
    <w:rsid w:val="003C1E59"/>
    <w:rsid w:val="003C23B5"/>
    <w:rsid w:val="003C2D8C"/>
    <w:rsid w:val="003C395C"/>
    <w:rsid w:val="003C3A18"/>
    <w:rsid w:val="003C488C"/>
    <w:rsid w:val="003C79DC"/>
    <w:rsid w:val="003D126F"/>
    <w:rsid w:val="003D18ED"/>
    <w:rsid w:val="003D3F16"/>
    <w:rsid w:val="003D6101"/>
    <w:rsid w:val="003D6C33"/>
    <w:rsid w:val="003D6CB3"/>
    <w:rsid w:val="003D6F31"/>
    <w:rsid w:val="003E0126"/>
    <w:rsid w:val="003E2270"/>
    <w:rsid w:val="003E243E"/>
    <w:rsid w:val="003E5763"/>
    <w:rsid w:val="003E5AF0"/>
    <w:rsid w:val="003E6272"/>
    <w:rsid w:val="003E76D3"/>
    <w:rsid w:val="003E7CFE"/>
    <w:rsid w:val="003E7EDB"/>
    <w:rsid w:val="003F0582"/>
    <w:rsid w:val="003F349D"/>
    <w:rsid w:val="003F731C"/>
    <w:rsid w:val="0040075B"/>
    <w:rsid w:val="00400D99"/>
    <w:rsid w:val="004021AA"/>
    <w:rsid w:val="0040481D"/>
    <w:rsid w:val="00405C18"/>
    <w:rsid w:val="00406BF2"/>
    <w:rsid w:val="00406F49"/>
    <w:rsid w:val="004075B2"/>
    <w:rsid w:val="004110D0"/>
    <w:rsid w:val="00412179"/>
    <w:rsid w:val="00412626"/>
    <w:rsid w:val="004156FB"/>
    <w:rsid w:val="00416278"/>
    <w:rsid w:val="00417E94"/>
    <w:rsid w:val="0042087A"/>
    <w:rsid w:val="00421CB9"/>
    <w:rsid w:val="00422983"/>
    <w:rsid w:val="00422CAF"/>
    <w:rsid w:val="00424E46"/>
    <w:rsid w:val="004271A6"/>
    <w:rsid w:val="00437024"/>
    <w:rsid w:val="0044486A"/>
    <w:rsid w:val="00447319"/>
    <w:rsid w:val="00447A0E"/>
    <w:rsid w:val="00451C64"/>
    <w:rsid w:val="00452CA6"/>
    <w:rsid w:val="00453B62"/>
    <w:rsid w:val="0045508D"/>
    <w:rsid w:val="0046004B"/>
    <w:rsid w:val="00460440"/>
    <w:rsid w:val="00461738"/>
    <w:rsid w:val="00465114"/>
    <w:rsid w:val="00465D76"/>
    <w:rsid w:val="00470B88"/>
    <w:rsid w:val="00471590"/>
    <w:rsid w:val="0048393F"/>
    <w:rsid w:val="00485E80"/>
    <w:rsid w:val="00486EA5"/>
    <w:rsid w:val="00487DF1"/>
    <w:rsid w:val="0049087B"/>
    <w:rsid w:val="0049425C"/>
    <w:rsid w:val="00494D05"/>
    <w:rsid w:val="00494F52"/>
    <w:rsid w:val="004A283F"/>
    <w:rsid w:val="004A59EE"/>
    <w:rsid w:val="004A6978"/>
    <w:rsid w:val="004A6BAA"/>
    <w:rsid w:val="004A6CD0"/>
    <w:rsid w:val="004B60E2"/>
    <w:rsid w:val="004B6530"/>
    <w:rsid w:val="004B730E"/>
    <w:rsid w:val="004C1671"/>
    <w:rsid w:val="004C1E15"/>
    <w:rsid w:val="004C27F4"/>
    <w:rsid w:val="004C5EC2"/>
    <w:rsid w:val="004D3F90"/>
    <w:rsid w:val="004D478E"/>
    <w:rsid w:val="004D79D8"/>
    <w:rsid w:val="004E1A8F"/>
    <w:rsid w:val="004E36DD"/>
    <w:rsid w:val="004E41C6"/>
    <w:rsid w:val="004E522F"/>
    <w:rsid w:val="004E7158"/>
    <w:rsid w:val="004F0257"/>
    <w:rsid w:val="004F066E"/>
    <w:rsid w:val="004F3C95"/>
    <w:rsid w:val="004F45FF"/>
    <w:rsid w:val="004F6B31"/>
    <w:rsid w:val="00501458"/>
    <w:rsid w:val="005067E8"/>
    <w:rsid w:val="00507631"/>
    <w:rsid w:val="0051134C"/>
    <w:rsid w:val="00511DEA"/>
    <w:rsid w:val="0051525E"/>
    <w:rsid w:val="00515515"/>
    <w:rsid w:val="005162D7"/>
    <w:rsid w:val="00516506"/>
    <w:rsid w:val="005165B5"/>
    <w:rsid w:val="005170C1"/>
    <w:rsid w:val="00523578"/>
    <w:rsid w:val="00524994"/>
    <w:rsid w:val="00526F82"/>
    <w:rsid w:val="0053274E"/>
    <w:rsid w:val="00532916"/>
    <w:rsid w:val="0053741F"/>
    <w:rsid w:val="00540DA1"/>
    <w:rsid w:val="005414E1"/>
    <w:rsid w:val="00543F67"/>
    <w:rsid w:val="00550249"/>
    <w:rsid w:val="0055382B"/>
    <w:rsid w:val="00554E9A"/>
    <w:rsid w:val="00557884"/>
    <w:rsid w:val="00557F68"/>
    <w:rsid w:val="00561674"/>
    <w:rsid w:val="005626AE"/>
    <w:rsid w:val="00563206"/>
    <w:rsid w:val="00563D28"/>
    <w:rsid w:val="00563DAD"/>
    <w:rsid w:val="0056536E"/>
    <w:rsid w:val="00567D70"/>
    <w:rsid w:val="00571501"/>
    <w:rsid w:val="00571575"/>
    <w:rsid w:val="00573D10"/>
    <w:rsid w:val="0057506B"/>
    <w:rsid w:val="00576A2B"/>
    <w:rsid w:val="00577749"/>
    <w:rsid w:val="00580284"/>
    <w:rsid w:val="00583AD0"/>
    <w:rsid w:val="00585499"/>
    <w:rsid w:val="00586002"/>
    <w:rsid w:val="00590C24"/>
    <w:rsid w:val="005925CC"/>
    <w:rsid w:val="005930A0"/>
    <w:rsid w:val="00593B27"/>
    <w:rsid w:val="005A3BF3"/>
    <w:rsid w:val="005A5ACC"/>
    <w:rsid w:val="005A5F95"/>
    <w:rsid w:val="005A7589"/>
    <w:rsid w:val="005B4CDC"/>
    <w:rsid w:val="005B502E"/>
    <w:rsid w:val="005B5D96"/>
    <w:rsid w:val="005C2510"/>
    <w:rsid w:val="005C27BB"/>
    <w:rsid w:val="005C38D9"/>
    <w:rsid w:val="005C508A"/>
    <w:rsid w:val="005C690A"/>
    <w:rsid w:val="005C6AA9"/>
    <w:rsid w:val="005C7B0E"/>
    <w:rsid w:val="005D11E8"/>
    <w:rsid w:val="005D28E8"/>
    <w:rsid w:val="005D2F49"/>
    <w:rsid w:val="005D70A2"/>
    <w:rsid w:val="005E3223"/>
    <w:rsid w:val="005E67FE"/>
    <w:rsid w:val="005F0669"/>
    <w:rsid w:val="005F2ADF"/>
    <w:rsid w:val="005F338F"/>
    <w:rsid w:val="005F4AAF"/>
    <w:rsid w:val="005F66C4"/>
    <w:rsid w:val="005F706C"/>
    <w:rsid w:val="00600A44"/>
    <w:rsid w:val="00601B3C"/>
    <w:rsid w:val="0060553D"/>
    <w:rsid w:val="006066ED"/>
    <w:rsid w:val="00606E03"/>
    <w:rsid w:val="00607BF8"/>
    <w:rsid w:val="00610467"/>
    <w:rsid w:val="00611A3D"/>
    <w:rsid w:val="00613108"/>
    <w:rsid w:val="006132DA"/>
    <w:rsid w:val="006137A3"/>
    <w:rsid w:val="00620A55"/>
    <w:rsid w:val="006254E0"/>
    <w:rsid w:val="00630D65"/>
    <w:rsid w:val="00631A27"/>
    <w:rsid w:val="00632AB8"/>
    <w:rsid w:val="0063495A"/>
    <w:rsid w:val="00634CF4"/>
    <w:rsid w:val="006361CE"/>
    <w:rsid w:val="00644383"/>
    <w:rsid w:val="00644E7B"/>
    <w:rsid w:val="00651177"/>
    <w:rsid w:val="0065175D"/>
    <w:rsid w:val="0065245F"/>
    <w:rsid w:val="00655CE7"/>
    <w:rsid w:val="006605FF"/>
    <w:rsid w:val="00662372"/>
    <w:rsid w:val="0066272A"/>
    <w:rsid w:val="00662742"/>
    <w:rsid w:val="00665097"/>
    <w:rsid w:val="00670328"/>
    <w:rsid w:val="00670E73"/>
    <w:rsid w:val="006711E1"/>
    <w:rsid w:val="00674745"/>
    <w:rsid w:val="00675395"/>
    <w:rsid w:val="00676300"/>
    <w:rsid w:val="006764B7"/>
    <w:rsid w:val="00677A1B"/>
    <w:rsid w:val="00680B9F"/>
    <w:rsid w:val="00683A71"/>
    <w:rsid w:val="00683F27"/>
    <w:rsid w:val="00686285"/>
    <w:rsid w:val="006A060D"/>
    <w:rsid w:val="006A265D"/>
    <w:rsid w:val="006A28AA"/>
    <w:rsid w:val="006A48AF"/>
    <w:rsid w:val="006B11F5"/>
    <w:rsid w:val="006C74FA"/>
    <w:rsid w:val="006D11DF"/>
    <w:rsid w:val="006D2265"/>
    <w:rsid w:val="006D34AC"/>
    <w:rsid w:val="006D40EB"/>
    <w:rsid w:val="006D6422"/>
    <w:rsid w:val="006D6D4B"/>
    <w:rsid w:val="006E01D2"/>
    <w:rsid w:val="006E230B"/>
    <w:rsid w:val="006E3234"/>
    <w:rsid w:val="006E342E"/>
    <w:rsid w:val="006E39D5"/>
    <w:rsid w:val="006E5462"/>
    <w:rsid w:val="006E70C7"/>
    <w:rsid w:val="006F53E3"/>
    <w:rsid w:val="006F730C"/>
    <w:rsid w:val="007016F2"/>
    <w:rsid w:val="00702501"/>
    <w:rsid w:val="0070481A"/>
    <w:rsid w:val="00707AD9"/>
    <w:rsid w:val="00707E4E"/>
    <w:rsid w:val="007111DD"/>
    <w:rsid w:val="0071163B"/>
    <w:rsid w:val="0071169E"/>
    <w:rsid w:val="0071191D"/>
    <w:rsid w:val="0071446A"/>
    <w:rsid w:val="007149A0"/>
    <w:rsid w:val="00721637"/>
    <w:rsid w:val="00721E44"/>
    <w:rsid w:val="0072724A"/>
    <w:rsid w:val="00732905"/>
    <w:rsid w:val="007349B7"/>
    <w:rsid w:val="00735380"/>
    <w:rsid w:val="00740963"/>
    <w:rsid w:val="007414B9"/>
    <w:rsid w:val="0074345D"/>
    <w:rsid w:val="007435B8"/>
    <w:rsid w:val="0074382C"/>
    <w:rsid w:val="00743880"/>
    <w:rsid w:val="00744563"/>
    <w:rsid w:val="0075377B"/>
    <w:rsid w:val="007543E4"/>
    <w:rsid w:val="00755660"/>
    <w:rsid w:val="007576C9"/>
    <w:rsid w:val="00765BCE"/>
    <w:rsid w:val="0077021D"/>
    <w:rsid w:val="00770821"/>
    <w:rsid w:val="00770A57"/>
    <w:rsid w:val="0077238F"/>
    <w:rsid w:val="00773303"/>
    <w:rsid w:val="00773887"/>
    <w:rsid w:val="007738EA"/>
    <w:rsid w:val="00773C78"/>
    <w:rsid w:val="00773C86"/>
    <w:rsid w:val="00775855"/>
    <w:rsid w:val="00775F24"/>
    <w:rsid w:val="007779BD"/>
    <w:rsid w:val="0078334F"/>
    <w:rsid w:val="00786390"/>
    <w:rsid w:val="007945BC"/>
    <w:rsid w:val="00797884"/>
    <w:rsid w:val="007A0CAE"/>
    <w:rsid w:val="007A4269"/>
    <w:rsid w:val="007A57A6"/>
    <w:rsid w:val="007A633D"/>
    <w:rsid w:val="007B3308"/>
    <w:rsid w:val="007B3A0C"/>
    <w:rsid w:val="007B3AAD"/>
    <w:rsid w:val="007C0949"/>
    <w:rsid w:val="007C10F6"/>
    <w:rsid w:val="007C18F1"/>
    <w:rsid w:val="007C374B"/>
    <w:rsid w:val="007C5CC5"/>
    <w:rsid w:val="007D0AA5"/>
    <w:rsid w:val="007D4AC3"/>
    <w:rsid w:val="007D5732"/>
    <w:rsid w:val="007D6EC0"/>
    <w:rsid w:val="007D71A6"/>
    <w:rsid w:val="007D7225"/>
    <w:rsid w:val="007E07B8"/>
    <w:rsid w:val="007E6C65"/>
    <w:rsid w:val="007F040B"/>
    <w:rsid w:val="007F19A0"/>
    <w:rsid w:val="007F1D06"/>
    <w:rsid w:val="007F5299"/>
    <w:rsid w:val="007F63AC"/>
    <w:rsid w:val="00805459"/>
    <w:rsid w:val="00805ECA"/>
    <w:rsid w:val="008113E3"/>
    <w:rsid w:val="00811DF7"/>
    <w:rsid w:val="00815409"/>
    <w:rsid w:val="0081652D"/>
    <w:rsid w:val="00823782"/>
    <w:rsid w:val="00823A3A"/>
    <w:rsid w:val="008308D8"/>
    <w:rsid w:val="0083140A"/>
    <w:rsid w:val="00832345"/>
    <w:rsid w:val="008344B1"/>
    <w:rsid w:val="0083471F"/>
    <w:rsid w:val="00836AE5"/>
    <w:rsid w:val="00837CA2"/>
    <w:rsid w:val="00840CB2"/>
    <w:rsid w:val="0084295C"/>
    <w:rsid w:val="00847895"/>
    <w:rsid w:val="00847B69"/>
    <w:rsid w:val="00850581"/>
    <w:rsid w:val="00853AAE"/>
    <w:rsid w:val="008544F0"/>
    <w:rsid w:val="008546E7"/>
    <w:rsid w:val="0085672A"/>
    <w:rsid w:val="00857613"/>
    <w:rsid w:val="00857A10"/>
    <w:rsid w:val="00857A97"/>
    <w:rsid w:val="00861AAE"/>
    <w:rsid w:val="00861C8D"/>
    <w:rsid w:val="00863A69"/>
    <w:rsid w:val="00867B21"/>
    <w:rsid w:val="00871718"/>
    <w:rsid w:val="0087291F"/>
    <w:rsid w:val="008736A8"/>
    <w:rsid w:val="00873731"/>
    <w:rsid w:val="00873EF2"/>
    <w:rsid w:val="00874415"/>
    <w:rsid w:val="008766ED"/>
    <w:rsid w:val="00876752"/>
    <w:rsid w:val="0088137E"/>
    <w:rsid w:val="008813A9"/>
    <w:rsid w:val="008816C6"/>
    <w:rsid w:val="00882772"/>
    <w:rsid w:val="0088409A"/>
    <w:rsid w:val="00884FCC"/>
    <w:rsid w:val="00890689"/>
    <w:rsid w:val="0089334F"/>
    <w:rsid w:val="008936C9"/>
    <w:rsid w:val="008944FF"/>
    <w:rsid w:val="00894ECF"/>
    <w:rsid w:val="008956A9"/>
    <w:rsid w:val="00895FED"/>
    <w:rsid w:val="008A1066"/>
    <w:rsid w:val="008B7740"/>
    <w:rsid w:val="008C06E2"/>
    <w:rsid w:val="008D08CE"/>
    <w:rsid w:val="008D12EA"/>
    <w:rsid w:val="008D31BA"/>
    <w:rsid w:val="008D3D8E"/>
    <w:rsid w:val="008D3E34"/>
    <w:rsid w:val="008D5FE4"/>
    <w:rsid w:val="008D74D4"/>
    <w:rsid w:val="008E278E"/>
    <w:rsid w:val="008E6C06"/>
    <w:rsid w:val="008E76F5"/>
    <w:rsid w:val="008F03C1"/>
    <w:rsid w:val="008F0D01"/>
    <w:rsid w:val="008F55B5"/>
    <w:rsid w:val="008F618F"/>
    <w:rsid w:val="008F71D9"/>
    <w:rsid w:val="0090052C"/>
    <w:rsid w:val="00906898"/>
    <w:rsid w:val="00910493"/>
    <w:rsid w:val="00911A10"/>
    <w:rsid w:val="00912970"/>
    <w:rsid w:val="00914DB4"/>
    <w:rsid w:val="009164F8"/>
    <w:rsid w:val="0092213F"/>
    <w:rsid w:val="009320CD"/>
    <w:rsid w:val="009340B8"/>
    <w:rsid w:val="00940EB2"/>
    <w:rsid w:val="00941A6F"/>
    <w:rsid w:val="00943605"/>
    <w:rsid w:val="009469C0"/>
    <w:rsid w:val="00947502"/>
    <w:rsid w:val="0095086F"/>
    <w:rsid w:val="00950E18"/>
    <w:rsid w:val="00951922"/>
    <w:rsid w:val="009520B6"/>
    <w:rsid w:val="009532CB"/>
    <w:rsid w:val="0095771D"/>
    <w:rsid w:val="0096040E"/>
    <w:rsid w:val="00963CC3"/>
    <w:rsid w:val="00964AB1"/>
    <w:rsid w:val="00964E60"/>
    <w:rsid w:val="009659AA"/>
    <w:rsid w:val="00967F47"/>
    <w:rsid w:val="009705A1"/>
    <w:rsid w:val="00970FFC"/>
    <w:rsid w:val="00971B11"/>
    <w:rsid w:val="00971DB5"/>
    <w:rsid w:val="009737EA"/>
    <w:rsid w:val="0097636B"/>
    <w:rsid w:val="00980C19"/>
    <w:rsid w:val="00984B5F"/>
    <w:rsid w:val="00992D3F"/>
    <w:rsid w:val="009936CA"/>
    <w:rsid w:val="00994CE2"/>
    <w:rsid w:val="0099603C"/>
    <w:rsid w:val="00996B97"/>
    <w:rsid w:val="009A137D"/>
    <w:rsid w:val="009A5926"/>
    <w:rsid w:val="009A5A81"/>
    <w:rsid w:val="009A7B85"/>
    <w:rsid w:val="009B1A11"/>
    <w:rsid w:val="009B3537"/>
    <w:rsid w:val="009B460E"/>
    <w:rsid w:val="009B62CE"/>
    <w:rsid w:val="009B7D3E"/>
    <w:rsid w:val="009C060F"/>
    <w:rsid w:val="009C4441"/>
    <w:rsid w:val="009C469F"/>
    <w:rsid w:val="009D0BAA"/>
    <w:rsid w:val="009D6228"/>
    <w:rsid w:val="009E0F04"/>
    <w:rsid w:val="009E2ED2"/>
    <w:rsid w:val="009E3C6F"/>
    <w:rsid w:val="009E4324"/>
    <w:rsid w:val="009E43C6"/>
    <w:rsid w:val="009E5B08"/>
    <w:rsid w:val="009E6C8B"/>
    <w:rsid w:val="009F00E0"/>
    <w:rsid w:val="009F1FF3"/>
    <w:rsid w:val="009F346A"/>
    <w:rsid w:val="009F64B0"/>
    <w:rsid w:val="009F6F2B"/>
    <w:rsid w:val="009F7EF7"/>
    <w:rsid w:val="009F7FA3"/>
    <w:rsid w:val="00A050AA"/>
    <w:rsid w:val="00A055A9"/>
    <w:rsid w:val="00A07B97"/>
    <w:rsid w:val="00A1031C"/>
    <w:rsid w:val="00A1538D"/>
    <w:rsid w:val="00A211BD"/>
    <w:rsid w:val="00A21896"/>
    <w:rsid w:val="00A23B7A"/>
    <w:rsid w:val="00A26A6D"/>
    <w:rsid w:val="00A26DB7"/>
    <w:rsid w:val="00A32699"/>
    <w:rsid w:val="00A32E89"/>
    <w:rsid w:val="00A345B8"/>
    <w:rsid w:val="00A40ADD"/>
    <w:rsid w:val="00A426F3"/>
    <w:rsid w:val="00A47ACA"/>
    <w:rsid w:val="00A50335"/>
    <w:rsid w:val="00A51733"/>
    <w:rsid w:val="00A52E4C"/>
    <w:rsid w:val="00A53A21"/>
    <w:rsid w:val="00A559EE"/>
    <w:rsid w:val="00A57437"/>
    <w:rsid w:val="00A57EBD"/>
    <w:rsid w:val="00A61460"/>
    <w:rsid w:val="00A67135"/>
    <w:rsid w:val="00A67692"/>
    <w:rsid w:val="00A758CE"/>
    <w:rsid w:val="00A7632F"/>
    <w:rsid w:val="00A76F99"/>
    <w:rsid w:val="00A81AFF"/>
    <w:rsid w:val="00A82C93"/>
    <w:rsid w:val="00A861E9"/>
    <w:rsid w:val="00A90038"/>
    <w:rsid w:val="00A907FC"/>
    <w:rsid w:val="00A9131C"/>
    <w:rsid w:val="00A93719"/>
    <w:rsid w:val="00AA044D"/>
    <w:rsid w:val="00AA1E4E"/>
    <w:rsid w:val="00AB224B"/>
    <w:rsid w:val="00AB5280"/>
    <w:rsid w:val="00AB7F4A"/>
    <w:rsid w:val="00AC081E"/>
    <w:rsid w:val="00AC24C9"/>
    <w:rsid w:val="00AC2D46"/>
    <w:rsid w:val="00AC39F8"/>
    <w:rsid w:val="00AC459C"/>
    <w:rsid w:val="00AC558B"/>
    <w:rsid w:val="00AC5D97"/>
    <w:rsid w:val="00AD03DE"/>
    <w:rsid w:val="00AD1BF7"/>
    <w:rsid w:val="00AD4743"/>
    <w:rsid w:val="00AD5090"/>
    <w:rsid w:val="00AD5B3B"/>
    <w:rsid w:val="00AE089F"/>
    <w:rsid w:val="00AF5D96"/>
    <w:rsid w:val="00AF6557"/>
    <w:rsid w:val="00AF7AA2"/>
    <w:rsid w:val="00AF7E34"/>
    <w:rsid w:val="00B05623"/>
    <w:rsid w:val="00B05CFC"/>
    <w:rsid w:val="00B10C0F"/>
    <w:rsid w:val="00B11428"/>
    <w:rsid w:val="00B14E19"/>
    <w:rsid w:val="00B172FA"/>
    <w:rsid w:val="00B20E70"/>
    <w:rsid w:val="00B21795"/>
    <w:rsid w:val="00B24992"/>
    <w:rsid w:val="00B24F73"/>
    <w:rsid w:val="00B25359"/>
    <w:rsid w:val="00B33345"/>
    <w:rsid w:val="00B35717"/>
    <w:rsid w:val="00B36217"/>
    <w:rsid w:val="00B37A99"/>
    <w:rsid w:val="00B409B3"/>
    <w:rsid w:val="00B42565"/>
    <w:rsid w:val="00B44733"/>
    <w:rsid w:val="00B47AFC"/>
    <w:rsid w:val="00B50363"/>
    <w:rsid w:val="00B50E42"/>
    <w:rsid w:val="00B56538"/>
    <w:rsid w:val="00B60F4E"/>
    <w:rsid w:val="00B66994"/>
    <w:rsid w:val="00B66B4F"/>
    <w:rsid w:val="00B67091"/>
    <w:rsid w:val="00B67CAA"/>
    <w:rsid w:val="00B713F5"/>
    <w:rsid w:val="00B717FD"/>
    <w:rsid w:val="00B761AB"/>
    <w:rsid w:val="00B80128"/>
    <w:rsid w:val="00B808B7"/>
    <w:rsid w:val="00B80AFA"/>
    <w:rsid w:val="00B819C2"/>
    <w:rsid w:val="00B82C64"/>
    <w:rsid w:val="00B8517D"/>
    <w:rsid w:val="00B856A7"/>
    <w:rsid w:val="00B8606B"/>
    <w:rsid w:val="00B86AEB"/>
    <w:rsid w:val="00B8710E"/>
    <w:rsid w:val="00B87D95"/>
    <w:rsid w:val="00B900C1"/>
    <w:rsid w:val="00B926E3"/>
    <w:rsid w:val="00B97447"/>
    <w:rsid w:val="00BA3B18"/>
    <w:rsid w:val="00BA666B"/>
    <w:rsid w:val="00BA7D3B"/>
    <w:rsid w:val="00BB1111"/>
    <w:rsid w:val="00BB270E"/>
    <w:rsid w:val="00BB28A8"/>
    <w:rsid w:val="00BB491C"/>
    <w:rsid w:val="00BB4F85"/>
    <w:rsid w:val="00BB67CA"/>
    <w:rsid w:val="00BC201C"/>
    <w:rsid w:val="00BC4E72"/>
    <w:rsid w:val="00BC4FE1"/>
    <w:rsid w:val="00BC533C"/>
    <w:rsid w:val="00BC66D4"/>
    <w:rsid w:val="00BC780C"/>
    <w:rsid w:val="00BD0D54"/>
    <w:rsid w:val="00BD47E6"/>
    <w:rsid w:val="00BE0C55"/>
    <w:rsid w:val="00BE155F"/>
    <w:rsid w:val="00BE2300"/>
    <w:rsid w:val="00BE3784"/>
    <w:rsid w:val="00BE4B8A"/>
    <w:rsid w:val="00BE7524"/>
    <w:rsid w:val="00BF3B5F"/>
    <w:rsid w:val="00BF5029"/>
    <w:rsid w:val="00BF5AEB"/>
    <w:rsid w:val="00BF76C5"/>
    <w:rsid w:val="00C02787"/>
    <w:rsid w:val="00C0289B"/>
    <w:rsid w:val="00C04776"/>
    <w:rsid w:val="00C057C8"/>
    <w:rsid w:val="00C07842"/>
    <w:rsid w:val="00C10A48"/>
    <w:rsid w:val="00C10D00"/>
    <w:rsid w:val="00C11775"/>
    <w:rsid w:val="00C140EB"/>
    <w:rsid w:val="00C14CE3"/>
    <w:rsid w:val="00C15CEF"/>
    <w:rsid w:val="00C166BB"/>
    <w:rsid w:val="00C17E11"/>
    <w:rsid w:val="00C20CED"/>
    <w:rsid w:val="00C210AA"/>
    <w:rsid w:val="00C22DB3"/>
    <w:rsid w:val="00C22F75"/>
    <w:rsid w:val="00C252AF"/>
    <w:rsid w:val="00C3027E"/>
    <w:rsid w:val="00C312E4"/>
    <w:rsid w:val="00C33EB8"/>
    <w:rsid w:val="00C34F60"/>
    <w:rsid w:val="00C413AB"/>
    <w:rsid w:val="00C432A4"/>
    <w:rsid w:val="00C44DA8"/>
    <w:rsid w:val="00C5238C"/>
    <w:rsid w:val="00C52990"/>
    <w:rsid w:val="00C55C84"/>
    <w:rsid w:val="00C604D3"/>
    <w:rsid w:val="00C60658"/>
    <w:rsid w:val="00C63726"/>
    <w:rsid w:val="00C63794"/>
    <w:rsid w:val="00C637B6"/>
    <w:rsid w:val="00C64130"/>
    <w:rsid w:val="00C64874"/>
    <w:rsid w:val="00C6540C"/>
    <w:rsid w:val="00C66C7C"/>
    <w:rsid w:val="00C66DF3"/>
    <w:rsid w:val="00C736D0"/>
    <w:rsid w:val="00C7388A"/>
    <w:rsid w:val="00C73FC6"/>
    <w:rsid w:val="00C741B4"/>
    <w:rsid w:val="00C75991"/>
    <w:rsid w:val="00C81647"/>
    <w:rsid w:val="00C83508"/>
    <w:rsid w:val="00C85610"/>
    <w:rsid w:val="00C85775"/>
    <w:rsid w:val="00C8638F"/>
    <w:rsid w:val="00C870FE"/>
    <w:rsid w:val="00C91717"/>
    <w:rsid w:val="00C93270"/>
    <w:rsid w:val="00C94116"/>
    <w:rsid w:val="00C95F57"/>
    <w:rsid w:val="00C96799"/>
    <w:rsid w:val="00C97297"/>
    <w:rsid w:val="00CA036B"/>
    <w:rsid w:val="00CA15A2"/>
    <w:rsid w:val="00CA3AF2"/>
    <w:rsid w:val="00CA75B0"/>
    <w:rsid w:val="00CB3DEB"/>
    <w:rsid w:val="00CB49C6"/>
    <w:rsid w:val="00CB4D4B"/>
    <w:rsid w:val="00CB705D"/>
    <w:rsid w:val="00CB7DD0"/>
    <w:rsid w:val="00CC0948"/>
    <w:rsid w:val="00CC31A2"/>
    <w:rsid w:val="00CC663F"/>
    <w:rsid w:val="00CC75DA"/>
    <w:rsid w:val="00CD439B"/>
    <w:rsid w:val="00CD5D6A"/>
    <w:rsid w:val="00CE0D04"/>
    <w:rsid w:val="00CE2039"/>
    <w:rsid w:val="00CE76F8"/>
    <w:rsid w:val="00CE7FA1"/>
    <w:rsid w:val="00CF2295"/>
    <w:rsid w:val="00CF22E2"/>
    <w:rsid w:val="00CF2C82"/>
    <w:rsid w:val="00CF7574"/>
    <w:rsid w:val="00CF767A"/>
    <w:rsid w:val="00D02F3F"/>
    <w:rsid w:val="00D03116"/>
    <w:rsid w:val="00D04BD7"/>
    <w:rsid w:val="00D053DC"/>
    <w:rsid w:val="00D06523"/>
    <w:rsid w:val="00D10431"/>
    <w:rsid w:val="00D12DB9"/>
    <w:rsid w:val="00D13C55"/>
    <w:rsid w:val="00D1696D"/>
    <w:rsid w:val="00D176CB"/>
    <w:rsid w:val="00D21499"/>
    <w:rsid w:val="00D23CF1"/>
    <w:rsid w:val="00D241C4"/>
    <w:rsid w:val="00D2711B"/>
    <w:rsid w:val="00D27171"/>
    <w:rsid w:val="00D3021C"/>
    <w:rsid w:val="00D30DB0"/>
    <w:rsid w:val="00D328A1"/>
    <w:rsid w:val="00D32C1A"/>
    <w:rsid w:val="00D343A8"/>
    <w:rsid w:val="00D34547"/>
    <w:rsid w:val="00D354E2"/>
    <w:rsid w:val="00D361C8"/>
    <w:rsid w:val="00D37519"/>
    <w:rsid w:val="00D42A10"/>
    <w:rsid w:val="00D43ABC"/>
    <w:rsid w:val="00D47C8D"/>
    <w:rsid w:val="00D50178"/>
    <w:rsid w:val="00D511C2"/>
    <w:rsid w:val="00D5308B"/>
    <w:rsid w:val="00D5382E"/>
    <w:rsid w:val="00D5500E"/>
    <w:rsid w:val="00D554E0"/>
    <w:rsid w:val="00D55D35"/>
    <w:rsid w:val="00D56069"/>
    <w:rsid w:val="00D5690E"/>
    <w:rsid w:val="00D602F9"/>
    <w:rsid w:val="00D631F1"/>
    <w:rsid w:val="00D637AE"/>
    <w:rsid w:val="00D64EBD"/>
    <w:rsid w:val="00D64FDF"/>
    <w:rsid w:val="00D66415"/>
    <w:rsid w:val="00D667F6"/>
    <w:rsid w:val="00D67F43"/>
    <w:rsid w:val="00D736EE"/>
    <w:rsid w:val="00D74A1A"/>
    <w:rsid w:val="00D7505E"/>
    <w:rsid w:val="00D77C2A"/>
    <w:rsid w:val="00D77FCE"/>
    <w:rsid w:val="00D801B9"/>
    <w:rsid w:val="00D80E1B"/>
    <w:rsid w:val="00D81550"/>
    <w:rsid w:val="00D81A26"/>
    <w:rsid w:val="00D824A2"/>
    <w:rsid w:val="00D84E4F"/>
    <w:rsid w:val="00D8530E"/>
    <w:rsid w:val="00D85A81"/>
    <w:rsid w:val="00D86E44"/>
    <w:rsid w:val="00D86EE9"/>
    <w:rsid w:val="00D900C3"/>
    <w:rsid w:val="00D91BEE"/>
    <w:rsid w:val="00D949EF"/>
    <w:rsid w:val="00DA0E8E"/>
    <w:rsid w:val="00DA23A9"/>
    <w:rsid w:val="00DA26F5"/>
    <w:rsid w:val="00DA34F3"/>
    <w:rsid w:val="00DA4311"/>
    <w:rsid w:val="00DA4967"/>
    <w:rsid w:val="00DA499C"/>
    <w:rsid w:val="00DA4FC7"/>
    <w:rsid w:val="00DA6BAD"/>
    <w:rsid w:val="00DB00D6"/>
    <w:rsid w:val="00DB021B"/>
    <w:rsid w:val="00DB5AA0"/>
    <w:rsid w:val="00DC2EB5"/>
    <w:rsid w:val="00DC304D"/>
    <w:rsid w:val="00DC33F8"/>
    <w:rsid w:val="00DC46AA"/>
    <w:rsid w:val="00DD47C7"/>
    <w:rsid w:val="00DD5AD9"/>
    <w:rsid w:val="00DE0A1B"/>
    <w:rsid w:val="00DE2388"/>
    <w:rsid w:val="00DE29E7"/>
    <w:rsid w:val="00DE4B99"/>
    <w:rsid w:val="00DE6B7E"/>
    <w:rsid w:val="00DE7992"/>
    <w:rsid w:val="00DF2447"/>
    <w:rsid w:val="00DF24DC"/>
    <w:rsid w:val="00DF31EE"/>
    <w:rsid w:val="00DF63C7"/>
    <w:rsid w:val="00E008B2"/>
    <w:rsid w:val="00E03731"/>
    <w:rsid w:val="00E0659F"/>
    <w:rsid w:val="00E109C2"/>
    <w:rsid w:val="00E12015"/>
    <w:rsid w:val="00E128ED"/>
    <w:rsid w:val="00E12E3B"/>
    <w:rsid w:val="00E13E5F"/>
    <w:rsid w:val="00E1432D"/>
    <w:rsid w:val="00E16583"/>
    <w:rsid w:val="00E2029E"/>
    <w:rsid w:val="00E20772"/>
    <w:rsid w:val="00E22B7A"/>
    <w:rsid w:val="00E262F5"/>
    <w:rsid w:val="00E30C37"/>
    <w:rsid w:val="00E33097"/>
    <w:rsid w:val="00E3579C"/>
    <w:rsid w:val="00E35EB0"/>
    <w:rsid w:val="00E36FF0"/>
    <w:rsid w:val="00E439BC"/>
    <w:rsid w:val="00E457B7"/>
    <w:rsid w:val="00E472E7"/>
    <w:rsid w:val="00E47523"/>
    <w:rsid w:val="00E5727A"/>
    <w:rsid w:val="00E57735"/>
    <w:rsid w:val="00E61D35"/>
    <w:rsid w:val="00E624A0"/>
    <w:rsid w:val="00E63656"/>
    <w:rsid w:val="00E6651E"/>
    <w:rsid w:val="00E67B74"/>
    <w:rsid w:val="00E71870"/>
    <w:rsid w:val="00E732F7"/>
    <w:rsid w:val="00E73AC0"/>
    <w:rsid w:val="00E74C6D"/>
    <w:rsid w:val="00E75C37"/>
    <w:rsid w:val="00E80589"/>
    <w:rsid w:val="00E807B0"/>
    <w:rsid w:val="00E8115B"/>
    <w:rsid w:val="00E81EC7"/>
    <w:rsid w:val="00E83E29"/>
    <w:rsid w:val="00E8782B"/>
    <w:rsid w:val="00E900E9"/>
    <w:rsid w:val="00E90D14"/>
    <w:rsid w:val="00E90F2A"/>
    <w:rsid w:val="00E957E6"/>
    <w:rsid w:val="00EA06D1"/>
    <w:rsid w:val="00EA081C"/>
    <w:rsid w:val="00EA0DBA"/>
    <w:rsid w:val="00EA17D0"/>
    <w:rsid w:val="00EA60A4"/>
    <w:rsid w:val="00EA65A8"/>
    <w:rsid w:val="00EA7CD3"/>
    <w:rsid w:val="00EB1212"/>
    <w:rsid w:val="00EB4D18"/>
    <w:rsid w:val="00EB6077"/>
    <w:rsid w:val="00EB79AF"/>
    <w:rsid w:val="00EC121F"/>
    <w:rsid w:val="00EC13FF"/>
    <w:rsid w:val="00EC14D8"/>
    <w:rsid w:val="00EC3438"/>
    <w:rsid w:val="00EC398B"/>
    <w:rsid w:val="00EC465C"/>
    <w:rsid w:val="00EC5CEF"/>
    <w:rsid w:val="00ED406F"/>
    <w:rsid w:val="00ED587F"/>
    <w:rsid w:val="00ED5B38"/>
    <w:rsid w:val="00ED7CEF"/>
    <w:rsid w:val="00EE26AA"/>
    <w:rsid w:val="00EE672D"/>
    <w:rsid w:val="00EF0F6E"/>
    <w:rsid w:val="00EF13BE"/>
    <w:rsid w:val="00EF28B8"/>
    <w:rsid w:val="00EF4766"/>
    <w:rsid w:val="00EF4BE4"/>
    <w:rsid w:val="00EF4D21"/>
    <w:rsid w:val="00EF724E"/>
    <w:rsid w:val="00F00B2F"/>
    <w:rsid w:val="00F014BF"/>
    <w:rsid w:val="00F03591"/>
    <w:rsid w:val="00F03DAC"/>
    <w:rsid w:val="00F074AC"/>
    <w:rsid w:val="00F14904"/>
    <w:rsid w:val="00F2263B"/>
    <w:rsid w:val="00F227A9"/>
    <w:rsid w:val="00F24034"/>
    <w:rsid w:val="00F26942"/>
    <w:rsid w:val="00F27812"/>
    <w:rsid w:val="00F308F3"/>
    <w:rsid w:val="00F31DB5"/>
    <w:rsid w:val="00F331AB"/>
    <w:rsid w:val="00F3507D"/>
    <w:rsid w:val="00F41CA6"/>
    <w:rsid w:val="00F436D1"/>
    <w:rsid w:val="00F4474E"/>
    <w:rsid w:val="00F51914"/>
    <w:rsid w:val="00F52BFE"/>
    <w:rsid w:val="00F5525B"/>
    <w:rsid w:val="00F55E4B"/>
    <w:rsid w:val="00F569E6"/>
    <w:rsid w:val="00F56AB9"/>
    <w:rsid w:val="00F60506"/>
    <w:rsid w:val="00F60ABF"/>
    <w:rsid w:val="00F61431"/>
    <w:rsid w:val="00F616A5"/>
    <w:rsid w:val="00F62CF0"/>
    <w:rsid w:val="00F6614B"/>
    <w:rsid w:val="00F66CCF"/>
    <w:rsid w:val="00F67FFB"/>
    <w:rsid w:val="00F72B15"/>
    <w:rsid w:val="00F72D17"/>
    <w:rsid w:val="00F74647"/>
    <w:rsid w:val="00F81AC7"/>
    <w:rsid w:val="00F8559A"/>
    <w:rsid w:val="00F85F24"/>
    <w:rsid w:val="00F864A6"/>
    <w:rsid w:val="00F86DC3"/>
    <w:rsid w:val="00F934A9"/>
    <w:rsid w:val="00F948F7"/>
    <w:rsid w:val="00FA056A"/>
    <w:rsid w:val="00FA1FAC"/>
    <w:rsid w:val="00FA2774"/>
    <w:rsid w:val="00FA2F8D"/>
    <w:rsid w:val="00FA342C"/>
    <w:rsid w:val="00FA48C3"/>
    <w:rsid w:val="00FA6570"/>
    <w:rsid w:val="00FA65FF"/>
    <w:rsid w:val="00FB1FD1"/>
    <w:rsid w:val="00FB4279"/>
    <w:rsid w:val="00FB5383"/>
    <w:rsid w:val="00FB64A8"/>
    <w:rsid w:val="00FB7BE3"/>
    <w:rsid w:val="00FC202A"/>
    <w:rsid w:val="00FC4405"/>
    <w:rsid w:val="00FC45B3"/>
    <w:rsid w:val="00FC5AC2"/>
    <w:rsid w:val="00FC6704"/>
    <w:rsid w:val="00FD282A"/>
    <w:rsid w:val="00FD2F05"/>
    <w:rsid w:val="00FD539A"/>
    <w:rsid w:val="00FE048D"/>
    <w:rsid w:val="00FE16D1"/>
    <w:rsid w:val="00FE2098"/>
    <w:rsid w:val="00FE2156"/>
    <w:rsid w:val="00FE40FE"/>
    <w:rsid w:val="00FE6AED"/>
    <w:rsid w:val="00FE7083"/>
    <w:rsid w:val="00FF13A1"/>
    <w:rsid w:val="00FF29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EC558"/>
  <w15:docId w15:val="{90FE9EC8-44FF-2F48-95AB-DD89D62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A7B8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4">
    <w:name w:val="heading 4"/>
    <w:basedOn w:val="Normal"/>
    <w:next w:val="Normal"/>
    <w:link w:val="Heading4Char"/>
    <w:uiPriority w:val="9"/>
    <w:semiHidden/>
    <w:unhideWhenUsed/>
    <w:qFormat/>
    <w:rsid w:val="002408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D0"/>
    <w:pPr>
      <w:ind w:left="720"/>
      <w:contextualSpacing/>
    </w:pPr>
  </w:style>
  <w:style w:type="paragraph" w:styleId="HTMLPreformatted">
    <w:name w:val="HTML Preformatted"/>
    <w:basedOn w:val="Normal"/>
    <w:link w:val="HTMLPreformattedChar"/>
    <w:uiPriority w:val="99"/>
    <w:semiHidden/>
    <w:unhideWhenUsed/>
    <w:rsid w:val="00E4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E472E7"/>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894E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4F6B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B31"/>
    <w:rPr>
      <w:rFonts w:ascii="Times New Roman" w:hAnsi="Times New Roman" w:cs="Times New Roman"/>
      <w:sz w:val="18"/>
      <w:szCs w:val="18"/>
    </w:rPr>
  </w:style>
  <w:style w:type="paragraph" w:styleId="Header">
    <w:name w:val="header"/>
    <w:basedOn w:val="Normal"/>
    <w:link w:val="HeaderChar"/>
    <w:uiPriority w:val="99"/>
    <w:unhideWhenUsed/>
    <w:rsid w:val="008F55B5"/>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55B5"/>
  </w:style>
  <w:style w:type="paragraph" w:styleId="Footer">
    <w:name w:val="footer"/>
    <w:basedOn w:val="Normal"/>
    <w:link w:val="FooterChar"/>
    <w:uiPriority w:val="99"/>
    <w:unhideWhenUsed/>
    <w:rsid w:val="008F55B5"/>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55B5"/>
  </w:style>
  <w:style w:type="character" w:styleId="CommentReference">
    <w:name w:val="annotation reference"/>
    <w:basedOn w:val="DefaultParagraphFont"/>
    <w:uiPriority w:val="99"/>
    <w:semiHidden/>
    <w:unhideWhenUsed/>
    <w:rsid w:val="001315B5"/>
    <w:rPr>
      <w:sz w:val="16"/>
      <w:szCs w:val="16"/>
    </w:rPr>
  </w:style>
  <w:style w:type="paragraph" w:styleId="CommentText">
    <w:name w:val="annotation text"/>
    <w:basedOn w:val="Normal"/>
    <w:link w:val="CommentTextChar"/>
    <w:uiPriority w:val="99"/>
    <w:semiHidden/>
    <w:unhideWhenUsed/>
    <w:rsid w:val="001315B5"/>
    <w:pPr>
      <w:spacing w:line="240" w:lineRule="auto"/>
    </w:pPr>
    <w:rPr>
      <w:sz w:val="20"/>
      <w:szCs w:val="20"/>
    </w:rPr>
  </w:style>
  <w:style w:type="character" w:customStyle="1" w:styleId="CommentTextChar">
    <w:name w:val="Comment Text Char"/>
    <w:basedOn w:val="DefaultParagraphFont"/>
    <w:link w:val="CommentText"/>
    <w:uiPriority w:val="99"/>
    <w:semiHidden/>
    <w:rsid w:val="001315B5"/>
    <w:rPr>
      <w:sz w:val="20"/>
      <w:szCs w:val="20"/>
    </w:rPr>
  </w:style>
  <w:style w:type="paragraph" w:styleId="CommentSubject">
    <w:name w:val="annotation subject"/>
    <w:basedOn w:val="CommentText"/>
    <w:next w:val="CommentText"/>
    <w:link w:val="CommentSubjectChar"/>
    <w:uiPriority w:val="99"/>
    <w:semiHidden/>
    <w:unhideWhenUsed/>
    <w:rsid w:val="001315B5"/>
    <w:rPr>
      <w:b/>
      <w:bCs/>
    </w:rPr>
  </w:style>
  <w:style w:type="character" w:customStyle="1" w:styleId="CommentSubjectChar">
    <w:name w:val="Comment Subject Char"/>
    <w:basedOn w:val="CommentTextChar"/>
    <w:link w:val="CommentSubject"/>
    <w:uiPriority w:val="99"/>
    <w:semiHidden/>
    <w:rsid w:val="001315B5"/>
    <w:rPr>
      <w:b/>
      <w:bCs/>
      <w:sz w:val="20"/>
      <w:szCs w:val="20"/>
    </w:rPr>
  </w:style>
  <w:style w:type="character" w:styleId="Hyperlink">
    <w:name w:val="Hyperlink"/>
    <w:basedOn w:val="DefaultParagraphFont"/>
    <w:uiPriority w:val="99"/>
    <w:unhideWhenUsed/>
    <w:rsid w:val="002C2DAF"/>
    <w:rPr>
      <w:color w:val="0563C1" w:themeColor="hyperlink"/>
      <w:u w:val="single"/>
    </w:rPr>
  </w:style>
  <w:style w:type="character" w:customStyle="1" w:styleId="MenoPendente1">
    <w:name w:val="Menção Pendente1"/>
    <w:basedOn w:val="DefaultParagraphFont"/>
    <w:uiPriority w:val="99"/>
    <w:semiHidden/>
    <w:unhideWhenUsed/>
    <w:rsid w:val="002C2DAF"/>
    <w:rPr>
      <w:color w:val="605E5C"/>
      <w:shd w:val="clear" w:color="auto" w:fill="E1DFDD"/>
    </w:rPr>
  </w:style>
  <w:style w:type="character" w:customStyle="1" w:styleId="MenoPendente2">
    <w:name w:val="Menção Pendente2"/>
    <w:basedOn w:val="DefaultParagraphFont"/>
    <w:uiPriority w:val="99"/>
    <w:semiHidden/>
    <w:unhideWhenUsed/>
    <w:rsid w:val="00E732F7"/>
    <w:rPr>
      <w:color w:val="605E5C"/>
      <w:shd w:val="clear" w:color="auto" w:fill="E1DFDD"/>
    </w:rPr>
  </w:style>
  <w:style w:type="character" w:customStyle="1" w:styleId="fontstyle01">
    <w:name w:val="fontstyle01"/>
    <w:basedOn w:val="DefaultParagraphFont"/>
    <w:rsid w:val="006E3234"/>
    <w:rPr>
      <w:rFonts w:ascii="Times-Roman" w:hAnsi="Times-Roman" w:hint="default"/>
      <w:b w:val="0"/>
      <w:bCs w:val="0"/>
      <w:i w:val="0"/>
      <w:iCs w:val="0"/>
      <w:color w:val="242021"/>
      <w:sz w:val="20"/>
      <w:szCs w:val="20"/>
    </w:rPr>
  </w:style>
  <w:style w:type="character" w:customStyle="1" w:styleId="fontstyle31">
    <w:name w:val="fontstyle31"/>
    <w:basedOn w:val="DefaultParagraphFont"/>
    <w:rsid w:val="006E3234"/>
    <w:rPr>
      <w:rFonts w:ascii="Book Antiqua" w:hAnsi="Book Antiqua" w:hint="default"/>
      <w:b w:val="0"/>
      <w:bCs w:val="0"/>
      <w:i w:val="0"/>
      <w:iCs w:val="0"/>
      <w:color w:val="000000"/>
      <w:sz w:val="24"/>
      <w:szCs w:val="24"/>
    </w:rPr>
  </w:style>
  <w:style w:type="character" w:styleId="Emphasis">
    <w:name w:val="Emphasis"/>
    <w:basedOn w:val="DefaultParagraphFont"/>
    <w:uiPriority w:val="20"/>
    <w:qFormat/>
    <w:rsid w:val="006E3234"/>
    <w:rPr>
      <w:i/>
      <w:iCs/>
    </w:rPr>
  </w:style>
  <w:style w:type="paragraph" w:customStyle="1" w:styleId="Padro">
    <w:name w:val="Padrão"/>
    <w:rsid w:val="006E32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pt-BR"/>
    </w:rPr>
  </w:style>
  <w:style w:type="table" w:customStyle="1" w:styleId="PlainTable51">
    <w:name w:val="Plain Table 51"/>
    <w:basedOn w:val="TableNormal"/>
    <w:uiPriority w:val="45"/>
    <w:rsid w:val="009A7B85"/>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rsid w:val="009A7B85"/>
    <w:rPr>
      <w:rFonts w:ascii="Times New Roman" w:eastAsia="Times New Roman" w:hAnsi="Times New Roman" w:cs="Times New Roman"/>
      <w:b/>
      <w:bCs/>
      <w:color w:val="000000"/>
      <w:kern w:val="28"/>
      <w:sz w:val="24"/>
      <w:szCs w:val="24"/>
      <w:lang w:val="en-CA" w:eastAsia="en-CA"/>
    </w:rPr>
  </w:style>
  <w:style w:type="character" w:styleId="PageNumber">
    <w:name w:val="page number"/>
    <w:basedOn w:val="DefaultParagraphFont"/>
    <w:uiPriority w:val="99"/>
    <w:semiHidden/>
    <w:unhideWhenUsed/>
    <w:rsid w:val="00DA4311"/>
  </w:style>
  <w:style w:type="character" w:customStyle="1" w:styleId="label">
    <w:name w:val="label"/>
    <w:basedOn w:val="DefaultParagraphFont"/>
    <w:rsid w:val="00FA1FAC"/>
  </w:style>
  <w:style w:type="character" w:customStyle="1" w:styleId="quality-sign">
    <w:name w:val="quality-sign"/>
    <w:basedOn w:val="DefaultParagraphFont"/>
    <w:rsid w:val="00FA1FAC"/>
  </w:style>
  <w:style w:type="character" w:customStyle="1" w:styleId="quality-text">
    <w:name w:val="quality-text"/>
    <w:basedOn w:val="DefaultParagraphFont"/>
    <w:rsid w:val="00FA1FAC"/>
  </w:style>
  <w:style w:type="character" w:customStyle="1" w:styleId="comma">
    <w:name w:val="comma"/>
    <w:basedOn w:val="DefaultParagraphFont"/>
    <w:rsid w:val="00FA1FAC"/>
  </w:style>
  <w:style w:type="character" w:customStyle="1" w:styleId="cell">
    <w:name w:val="cell"/>
    <w:basedOn w:val="DefaultParagraphFont"/>
    <w:rsid w:val="00FA1FAC"/>
  </w:style>
  <w:style w:type="character" w:customStyle="1" w:styleId="cell-value">
    <w:name w:val="cell-value"/>
    <w:basedOn w:val="DefaultParagraphFont"/>
    <w:rsid w:val="00FA1FAC"/>
  </w:style>
  <w:style w:type="paragraph" w:customStyle="1" w:styleId="Ttulo2">
    <w:name w:val="Título2"/>
    <w:basedOn w:val="Normal"/>
    <w:uiPriority w:val="99"/>
    <w:semiHidden/>
    <w:rsid w:val="00FA1FAC"/>
    <w:pPr>
      <w:spacing w:before="100" w:beforeAutospacing="1" w:after="100" w:afterAutospacing="1" w:line="240" w:lineRule="auto"/>
    </w:pPr>
    <w:rPr>
      <w:rFonts w:ascii="Times New Roman" w:eastAsiaTheme="minorEastAsia" w:hAnsi="Times New Roman" w:cs="Times New Roman"/>
      <w:sz w:val="24"/>
      <w:szCs w:val="24"/>
      <w:lang w:val="es-EC" w:eastAsia="es-EC"/>
    </w:rPr>
  </w:style>
  <w:style w:type="paragraph" w:styleId="Revision">
    <w:name w:val="Revision"/>
    <w:hidden/>
    <w:uiPriority w:val="99"/>
    <w:semiHidden/>
    <w:rsid w:val="009E4324"/>
    <w:pPr>
      <w:spacing w:after="0" w:line="240" w:lineRule="auto"/>
    </w:pPr>
  </w:style>
  <w:style w:type="character" w:customStyle="1" w:styleId="UnresolvedMention1">
    <w:name w:val="Unresolved Mention1"/>
    <w:basedOn w:val="DefaultParagraphFont"/>
    <w:uiPriority w:val="99"/>
    <w:semiHidden/>
    <w:unhideWhenUsed/>
    <w:rsid w:val="002E6770"/>
    <w:rPr>
      <w:color w:val="605E5C"/>
      <w:shd w:val="clear" w:color="auto" w:fill="E1DFDD"/>
    </w:rPr>
  </w:style>
  <w:style w:type="paragraph" w:styleId="FootnoteText">
    <w:name w:val="footnote text"/>
    <w:basedOn w:val="Normal"/>
    <w:link w:val="FootnoteTextChar"/>
    <w:uiPriority w:val="99"/>
    <w:semiHidden/>
    <w:unhideWhenUsed/>
    <w:rsid w:val="00157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CD1"/>
    <w:rPr>
      <w:sz w:val="20"/>
      <w:szCs w:val="20"/>
    </w:rPr>
  </w:style>
  <w:style w:type="character" w:styleId="FootnoteReference">
    <w:name w:val="footnote reference"/>
    <w:basedOn w:val="DefaultParagraphFont"/>
    <w:uiPriority w:val="99"/>
    <w:semiHidden/>
    <w:unhideWhenUsed/>
    <w:rsid w:val="00157CD1"/>
    <w:rPr>
      <w:vertAlign w:val="superscript"/>
    </w:rPr>
  </w:style>
  <w:style w:type="character" w:customStyle="1" w:styleId="Heading4Char">
    <w:name w:val="Heading 4 Char"/>
    <w:basedOn w:val="DefaultParagraphFont"/>
    <w:link w:val="Heading4"/>
    <w:uiPriority w:val="9"/>
    <w:semiHidden/>
    <w:rsid w:val="0024084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397">
      <w:bodyDiv w:val="1"/>
      <w:marLeft w:val="0"/>
      <w:marRight w:val="0"/>
      <w:marTop w:val="0"/>
      <w:marBottom w:val="0"/>
      <w:divBdr>
        <w:top w:val="none" w:sz="0" w:space="0" w:color="auto"/>
        <w:left w:val="none" w:sz="0" w:space="0" w:color="auto"/>
        <w:bottom w:val="none" w:sz="0" w:space="0" w:color="auto"/>
        <w:right w:val="none" w:sz="0" w:space="0" w:color="auto"/>
      </w:divBdr>
    </w:div>
    <w:div w:id="39669210">
      <w:bodyDiv w:val="1"/>
      <w:marLeft w:val="0"/>
      <w:marRight w:val="0"/>
      <w:marTop w:val="0"/>
      <w:marBottom w:val="0"/>
      <w:divBdr>
        <w:top w:val="none" w:sz="0" w:space="0" w:color="auto"/>
        <w:left w:val="none" w:sz="0" w:space="0" w:color="auto"/>
        <w:bottom w:val="none" w:sz="0" w:space="0" w:color="auto"/>
        <w:right w:val="none" w:sz="0" w:space="0" w:color="auto"/>
      </w:divBdr>
    </w:div>
    <w:div w:id="49571951">
      <w:bodyDiv w:val="1"/>
      <w:marLeft w:val="0"/>
      <w:marRight w:val="0"/>
      <w:marTop w:val="0"/>
      <w:marBottom w:val="0"/>
      <w:divBdr>
        <w:top w:val="none" w:sz="0" w:space="0" w:color="auto"/>
        <w:left w:val="none" w:sz="0" w:space="0" w:color="auto"/>
        <w:bottom w:val="none" w:sz="0" w:space="0" w:color="auto"/>
        <w:right w:val="none" w:sz="0" w:space="0" w:color="auto"/>
      </w:divBdr>
    </w:div>
    <w:div w:id="180633858">
      <w:bodyDiv w:val="1"/>
      <w:marLeft w:val="0"/>
      <w:marRight w:val="0"/>
      <w:marTop w:val="0"/>
      <w:marBottom w:val="0"/>
      <w:divBdr>
        <w:top w:val="none" w:sz="0" w:space="0" w:color="auto"/>
        <w:left w:val="none" w:sz="0" w:space="0" w:color="auto"/>
        <w:bottom w:val="none" w:sz="0" w:space="0" w:color="auto"/>
        <w:right w:val="none" w:sz="0" w:space="0" w:color="auto"/>
      </w:divBdr>
    </w:div>
    <w:div w:id="192311684">
      <w:bodyDiv w:val="1"/>
      <w:marLeft w:val="0"/>
      <w:marRight w:val="0"/>
      <w:marTop w:val="0"/>
      <w:marBottom w:val="0"/>
      <w:divBdr>
        <w:top w:val="none" w:sz="0" w:space="0" w:color="auto"/>
        <w:left w:val="none" w:sz="0" w:space="0" w:color="auto"/>
        <w:bottom w:val="none" w:sz="0" w:space="0" w:color="auto"/>
        <w:right w:val="none" w:sz="0" w:space="0" w:color="auto"/>
      </w:divBdr>
    </w:div>
    <w:div w:id="199708707">
      <w:bodyDiv w:val="1"/>
      <w:marLeft w:val="0"/>
      <w:marRight w:val="0"/>
      <w:marTop w:val="0"/>
      <w:marBottom w:val="0"/>
      <w:divBdr>
        <w:top w:val="none" w:sz="0" w:space="0" w:color="auto"/>
        <w:left w:val="none" w:sz="0" w:space="0" w:color="auto"/>
        <w:bottom w:val="none" w:sz="0" w:space="0" w:color="auto"/>
        <w:right w:val="none" w:sz="0" w:space="0" w:color="auto"/>
      </w:divBdr>
    </w:div>
    <w:div w:id="375400079">
      <w:bodyDiv w:val="1"/>
      <w:marLeft w:val="0"/>
      <w:marRight w:val="0"/>
      <w:marTop w:val="0"/>
      <w:marBottom w:val="0"/>
      <w:divBdr>
        <w:top w:val="none" w:sz="0" w:space="0" w:color="auto"/>
        <w:left w:val="none" w:sz="0" w:space="0" w:color="auto"/>
        <w:bottom w:val="none" w:sz="0" w:space="0" w:color="auto"/>
        <w:right w:val="none" w:sz="0" w:space="0" w:color="auto"/>
      </w:divBdr>
      <w:divsChild>
        <w:div w:id="571235692">
          <w:marLeft w:val="0"/>
          <w:marRight w:val="0"/>
          <w:marTop w:val="0"/>
          <w:marBottom w:val="0"/>
          <w:divBdr>
            <w:top w:val="none" w:sz="0" w:space="0" w:color="auto"/>
            <w:left w:val="none" w:sz="0" w:space="0" w:color="auto"/>
            <w:bottom w:val="none" w:sz="0" w:space="0" w:color="auto"/>
            <w:right w:val="none" w:sz="0" w:space="0" w:color="auto"/>
          </w:divBdr>
          <w:divsChild>
            <w:div w:id="203904427">
              <w:marLeft w:val="0"/>
              <w:marRight w:val="0"/>
              <w:marTop w:val="0"/>
              <w:marBottom w:val="0"/>
              <w:divBdr>
                <w:top w:val="none" w:sz="0" w:space="0" w:color="auto"/>
                <w:left w:val="none" w:sz="0" w:space="0" w:color="auto"/>
                <w:bottom w:val="none" w:sz="0" w:space="0" w:color="auto"/>
                <w:right w:val="none" w:sz="0" w:space="0" w:color="auto"/>
              </w:divBdr>
              <w:divsChild>
                <w:div w:id="1141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5435">
      <w:bodyDiv w:val="1"/>
      <w:marLeft w:val="0"/>
      <w:marRight w:val="0"/>
      <w:marTop w:val="0"/>
      <w:marBottom w:val="0"/>
      <w:divBdr>
        <w:top w:val="none" w:sz="0" w:space="0" w:color="auto"/>
        <w:left w:val="none" w:sz="0" w:space="0" w:color="auto"/>
        <w:bottom w:val="none" w:sz="0" w:space="0" w:color="auto"/>
        <w:right w:val="none" w:sz="0" w:space="0" w:color="auto"/>
      </w:divBdr>
    </w:div>
    <w:div w:id="432358616">
      <w:bodyDiv w:val="1"/>
      <w:marLeft w:val="0"/>
      <w:marRight w:val="0"/>
      <w:marTop w:val="0"/>
      <w:marBottom w:val="0"/>
      <w:divBdr>
        <w:top w:val="none" w:sz="0" w:space="0" w:color="auto"/>
        <w:left w:val="none" w:sz="0" w:space="0" w:color="auto"/>
        <w:bottom w:val="none" w:sz="0" w:space="0" w:color="auto"/>
        <w:right w:val="none" w:sz="0" w:space="0" w:color="auto"/>
      </w:divBdr>
    </w:div>
    <w:div w:id="511140213">
      <w:bodyDiv w:val="1"/>
      <w:marLeft w:val="0"/>
      <w:marRight w:val="0"/>
      <w:marTop w:val="0"/>
      <w:marBottom w:val="0"/>
      <w:divBdr>
        <w:top w:val="none" w:sz="0" w:space="0" w:color="auto"/>
        <w:left w:val="none" w:sz="0" w:space="0" w:color="auto"/>
        <w:bottom w:val="none" w:sz="0" w:space="0" w:color="auto"/>
        <w:right w:val="none" w:sz="0" w:space="0" w:color="auto"/>
      </w:divBdr>
    </w:div>
    <w:div w:id="531109168">
      <w:bodyDiv w:val="1"/>
      <w:marLeft w:val="0"/>
      <w:marRight w:val="0"/>
      <w:marTop w:val="0"/>
      <w:marBottom w:val="0"/>
      <w:divBdr>
        <w:top w:val="none" w:sz="0" w:space="0" w:color="auto"/>
        <w:left w:val="none" w:sz="0" w:space="0" w:color="auto"/>
        <w:bottom w:val="none" w:sz="0" w:space="0" w:color="auto"/>
        <w:right w:val="none" w:sz="0" w:space="0" w:color="auto"/>
      </w:divBdr>
    </w:div>
    <w:div w:id="569193986">
      <w:bodyDiv w:val="1"/>
      <w:marLeft w:val="0"/>
      <w:marRight w:val="0"/>
      <w:marTop w:val="0"/>
      <w:marBottom w:val="0"/>
      <w:divBdr>
        <w:top w:val="none" w:sz="0" w:space="0" w:color="auto"/>
        <w:left w:val="none" w:sz="0" w:space="0" w:color="auto"/>
        <w:bottom w:val="none" w:sz="0" w:space="0" w:color="auto"/>
        <w:right w:val="none" w:sz="0" w:space="0" w:color="auto"/>
      </w:divBdr>
    </w:div>
    <w:div w:id="595791614">
      <w:bodyDiv w:val="1"/>
      <w:marLeft w:val="0"/>
      <w:marRight w:val="0"/>
      <w:marTop w:val="0"/>
      <w:marBottom w:val="0"/>
      <w:divBdr>
        <w:top w:val="none" w:sz="0" w:space="0" w:color="auto"/>
        <w:left w:val="none" w:sz="0" w:space="0" w:color="auto"/>
        <w:bottom w:val="none" w:sz="0" w:space="0" w:color="auto"/>
        <w:right w:val="none" w:sz="0" w:space="0" w:color="auto"/>
      </w:divBdr>
    </w:div>
    <w:div w:id="597370758">
      <w:bodyDiv w:val="1"/>
      <w:marLeft w:val="0"/>
      <w:marRight w:val="0"/>
      <w:marTop w:val="0"/>
      <w:marBottom w:val="0"/>
      <w:divBdr>
        <w:top w:val="none" w:sz="0" w:space="0" w:color="auto"/>
        <w:left w:val="none" w:sz="0" w:space="0" w:color="auto"/>
        <w:bottom w:val="none" w:sz="0" w:space="0" w:color="auto"/>
        <w:right w:val="none" w:sz="0" w:space="0" w:color="auto"/>
      </w:divBdr>
    </w:div>
    <w:div w:id="737553128">
      <w:bodyDiv w:val="1"/>
      <w:marLeft w:val="0"/>
      <w:marRight w:val="0"/>
      <w:marTop w:val="0"/>
      <w:marBottom w:val="0"/>
      <w:divBdr>
        <w:top w:val="none" w:sz="0" w:space="0" w:color="auto"/>
        <w:left w:val="none" w:sz="0" w:space="0" w:color="auto"/>
        <w:bottom w:val="none" w:sz="0" w:space="0" w:color="auto"/>
        <w:right w:val="none" w:sz="0" w:space="0" w:color="auto"/>
      </w:divBdr>
    </w:div>
    <w:div w:id="757287021">
      <w:bodyDiv w:val="1"/>
      <w:marLeft w:val="0"/>
      <w:marRight w:val="0"/>
      <w:marTop w:val="0"/>
      <w:marBottom w:val="0"/>
      <w:divBdr>
        <w:top w:val="none" w:sz="0" w:space="0" w:color="auto"/>
        <w:left w:val="none" w:sz="0" w:space="0" w:color="auto"/>
        <w:bottom w:val="none" w:sz="0" w:space="0" w:color="auto"/>
        <w:right w:val="none" w:sz="0" w:space="0" w:color="auto"/>
      </w:divBdr>
    </w:div>
    <w:div w:id="813526376">
      <w:bodyDiv w:val="1"/>
      <w:marLeft w:val="0"/>
      <w:marRight w:val="0"/>
      <w:marTop w:val="0"/>
      <w:marBottom w:val="0"/>
      <w:divBdr>
        <w:top w:val="none" w:sz="0" w:space="0" w:color="auto"/>
        <w:left w:val="none" w:sz="0" w:space="0" w:color="auto"/>
        <w:bottom w:val="none" w:sz="0" w:space="0" w:color="auto"/>
        <w:right w:val="none" w:sz="0" w:space="0" w:color="auto"/>
      </w:divBdr>
    </w:div>
    <w:div w:id="901260320">
      <w:bodyDiv w:val="1"/>
      <w:marLeft w:val="0"/>
      <w:marRight w:val="0"/>
      <w:marTop w:val="0"/>
      <w:marBottom w:val="0"/>
      <w:divBdr>
        <w:top w:val="none" w:sz="0" w:space="0" w:color="auto"/>
        <w:left w:val="none" w:sz="0" w:space="0" w:color="auto"/>
        <w:bottom w:val="none" w:sz="0" w:space="0" w:color="auto"/>
        <w:right w:val="none" w:sz="0" w:space="0" w:color="auto"/>
      </w:divBdr>
    </w:div>
    <w:div w:id="996611649">
      <w:bodyDiv w:val="1"/>
      <w:marLeft w:val="0"/>
      <w:marRight w:val="0"/>
      <w:marTop w:val="0"/>
      <w:marBottom w:val="0"/>
      <w:divBdr>
        <w:top w:val="none" w:sz="0" w:space="0" w:color="auto"/>
        <w:left w:val="none" w:sz="0" w:space="0" w:color="auto"/>
        <w:bottom w:val="none" w:sz="0" w:space="0" w:color="auto"/>
        <w:right w:val="none" w:sz="0" w:space="0" w:color="auto"/>
      </w:divBdr>
    </w:div>
    <w:div w:id="1024138759">
      <w:bodyDiv w:val="1"/>
      <w:marLeft w:val="0"/>
      <w:marRight w:val="0"/>
      <w:marTop w:val="0"/>
      <w:marBottom w:val="0"/>
      <w:divBdr>
        <w:top w:val="none" w:sz="0" w:space="0" w:color="auto"/>
        <w:left w:val="none" w:sz="0" w:space="0" w:color="auto"/>
        <w:bottom w:val="none" w:sz="0" w:space="0" w:color="auto"/>
        <w:right w:val="none" w:sz="0" w:space="0" w:color="auto"/>
      </w:divBdr>
      <w:divsChild>
        <w:div w:id="1446652359">
          <w:marLeft w:val="0"/>
          <w:marRight w:val="0"/>
          <w:marTop w:val="0"/>
          <w:marBottom w:val="0"/>
          <w:divBdr>
            <w:top w:val="none" w:sz="0" w:space="0" w:color="auto"/>
            <w:left w:val="none" w:sz="0" w:space="0" w:color="auto"/>
            <w:bottom w:val="none" w:sz="0" w:space="0" w:color="auto"/>
            <w:right w:val="none" w:sz="0" w:space="0" w:color="auto"/>
          </w:divBdr>
          <w:divsChild>
            <w:div w:id="884368146">
              <w:marLeft w:val="0"/>
              <w:marRight w:val="0"/>
              <w:marTop w:val="0"/>
              <w:marBottom w:val="0"/>
              <w:divBdr>
                <w:top w:val="none" w:sz="0" w:space="0" w:color="auto"/>
                <w:left w:val="none" w:sz="0" w:space="0" w:color="auto"/>
                <w:bottom w:val="none" w:sz="0" w:space="0" w:color="auto"/>
                <w:right w:val="none" w:sz="0" w:space="0" w:color="auto"/>
              </w:divBdr>
              <w:divsChild>
                <w:div w:id="8587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0305">
      <w:bodyDiv w:val="1"/>
      <w:marLeft w:val="0"/>
      <w:marRight w:val="0"/>
      <w:marTop w:val="0"/>
      <w:marBottom w:val="0"/>
      <w:divBdr>
        <w:top w:val="none" w:sz="0" w:space="0" w:color="auto"/>
        <w:left w:val="none" w:sz="0" w:space="0" w:color="auto"/>
        <w:bottom w:val="none" w:sz="0" w:space="0" w:color="auto"/>
        <w:right w:val="none" w:sz="0" w:space="0" w:color="auto"/>
      </w:divBdr>
    </w:div>
    <w:div w:id="1199657329">
      <w:bodyDiv w:val="1"/>
      <w:marLeft w:val="0"/>
      <w:marRight w:val="0"/>
      <w:marTop w:val="0"/>
      <w:marBottom w:val="0"/>
      <w:divBdr>
        <w:top w:val="none" w:sz="0" w:space="0" w:color="auto"/>
        <w:left w:val="none" w:sz="0" w:space="0" w:color="auto"/>
        <w:bottom w:val="none" w:sz="0" w:space="0" w:color="auto"/>
        <w:right w:val="none" w:sz="0" w:space="0" w:color="auto"/>
      </w:divBdr>
    </w:div>
    <w:div w:id="1478184123">
      <w:bodyDiv w:val="1"/>
      <w:marLeft w:val="0"/>
      <w:marRight w:val="0"/>
      <w:marTop w:val="0"/>
      <w:marBottom w:val="0"/>
      <w:divBdr>
        <w:top w:val="none" w:sz="0" w:space="0" w:color="auto"/>
        <w:left w:val="none" w:sz="0" w:space="0" w:color="auto"/>
        <w:bottom w:val="none" w:sz="0" w:space="0" w:color="auto"/>
        <w:right w:val="none" w:sz="0" w:space="0" w:color="auto"/>
      </w:divBdr>
    </w:div>
    <w:div w:id="1482043251">
      <w:bodyDiv w:val="1"/>
      <w:marLeft w:val="0"/>
      <w:marRight w:val="0"/>
      <w:marTop w:val="0"/>
      <w:marBottom w:val="0"/>
      <w:divBdr>
        <w:top w:val="none" w:sz="0" w:space="0" w:color="auto"/>
        <w:left w:val="none" w:sz="0" w:space="0" w:color="auto"/>
        <w:bottom w:val="none" w:sz="0" w:space="0" w:color="auto"/>
        <w:right w:val="none" w:sz="0" w:space="0" w:color="auto"/>
      </w:divBdr>
    </w:div>
    <w:div w:id="1494177755">
      <w:bodyDiv w:val="1"/>
      <w:marLeft w:val="0"/>
      <w:marRight w:val="0"/>
      <w:marTop w:val="0"/>
      <w:marBottom w:val="0"/>
      <w:divBdr>
        <w:top w:val="none" w:sz="0" w:space="0" w:color="auto"/>
        <w:left w:val="none" w:sz="0" w:space="0" w:color="auto"/>
        <w:bottom w:val="none" w:sz="0" w:space="0" w:color="auto"/>
        <w:right w:val="none" w:sz="0" w:space="0" w:color="auto"/>
      </w:divBdr>
    </w:div>
    <w:div w:id="1508134619">
      <w:bodyDiv w:val="1"/>
      <w:marLeft w:val="0"/>
      <w:marRight w:val="0"/>
      <w:marTop w:val="0"/>
      <w:marBottom w:val="0"/>
      <w:divBdr>
        <w:top w:val="none" w:sz="0" w:space="0" w:color="auto"/>
        <w:left w:val="none" w:sz="0" w:space="0" w:color="auto"/>
        <w:bottom w:val="none" w:sz="0" w:space="0" w:color="auto"/>
        <w:right w:val="none" w:sz="0" w:space="0" w:color="auto"/>
      </w:divBdr>
    </w:div>
    <w:div w:id="1535463682">
      <w:bodyDiv w:val="1"/>
      <w:marLeft w:val="0"/>
      <w:marRight w:val="0"/>
      <w:marTop w:val="0"/>
      <w:marBottom w:val="0"/>
      <w:divBdr>
        <w:top w:val="none" w:sz="0" w:space="0" w:color="auto"/>
        <w:left w:val="none" w:sz="0" w:space="0" w:color="auto"/>
        <w:bottom w:val="none" w:sz="0" w:space="0" w:color="auto"/>
        <w:right w:val="none" w:sz="0" w:space="0" w:color="auto"/>
      </w:divBdr>
    </w:div>
    <w:div w:id="1570844260">
      <w:bodyDiv w:val="1"/>
      <w:marLeft w:val="0"/>
      <w:marRight w:val="0"/>
      <w:marTop w:val="0"/>
      <w:marBottom w:val="0"/>
      <w:divBdr>
        <w:top w:val="none" w:sz="0" w:space="0" w:color="auto"/>
        <w:left w:val="none" w:sz="0" w:space="0" w:color="auto"/>
        <w:bottom w:val="none" w:sz="0" w:space="0" w:color="auto"/>
        <w:right w:val="none" w:sz="0" w:space="0" w:color="auto"/>
      </w:divBdr>
    </w:div>
    <w:div w:id="1609661969">
      <w:bodyDiv w:val="1"/>
      <w:marLeft w:val="0"/>
      <w:marRight w:val="0"/>
      <w:marTop w:val="0"/>
      <w:marBottom w:val="0"/>
      <w:divBdr>
        <w:top w:val="none" w:sz="0" w:space="0" w:color="auto"/>
        <w:left w:val="none" w:sz="0" w:space="0" w:color="auto"/>
        <w:bottom w:val="none" w:sz="0" w:space="0" w:color="auto"/>
        <w:right w:val="none" w:sz="0" w:space="0" w:color="auto"/>
      </w:divBdr>
      <w:divsChild>
        <w:div w:id="1740715661">
          <w:marLeft w:val="0"/>
          <w:marRight w:val="0"/>
          <w:marTop w:val="0"/>
          <w:marBottom w:val="0"/>
          <w:divBdr>
            <w:top w:val="none" w:sz="0" w:space="0" w:color="auto"/>
            <w:left w:val="none" w:sz="0" w:space="0" w:color="auto"/>
            <w:bottom w:val="none" w:sz="0" w:space="0" w:color="auto"/>
            <w:right w:val="none" w:sz="0" w:space="0" w:color="auto"/>
          </w:divBdr>
          <w:divsChild>
            <w:div w:id="1094789382">
              <w:marLeft w:val="0"/>
              <w:marRight w:val="0"/>
              <w:marTop w:val="0"/>
              <w:marBottom w:val="0"/>
              <w:divBdr>
                <w:top w:val="none" w:sz="0" w:space="0" w:color="auto"/>
                <w:left w:val="none" w:sz="0" w:space="0" w:color="auto"/>
                <w:bottom w:val="none" w:sz="0" w:space="0" w:color="auto"/>
                <w:right w:val="none" w:sz="0" w:space="0" w:color="auto"/>
              </w:divBdr>
              <w:divsChild>
                <w:div w:id="2111049087">
                  <w:marLeft w:val="0"/>
                  <w:marRight w:val="0"/>
                  <w:marTop w:val="0"/>
                  <w:marBottom w:val="0"/>
                  <w:divBdr>
                    <w:top w:val="none" w:sz="0" w:space="0" w:color="auto"/>
                    <w:left w:val="none" w:sz="0" w:space="0" w:color="auto"/>
                    <w:bottom w:val="none" w:sz="0" w:space="0" w:color="auto"/>
                    <w:right w:val="none" w:sz="0" w:space="0" w:color="auto"/>
                  </w:divBdr>
                  <w:divsChild>
                    <w:div w:id="169682626">
                      <w:marLeft w:val="0"/>
                      <w:marRight w:val="0"/>
                      <w:marTop w:val="0"/>
                      <w:marBottom w:val="0"/>
                      <w:divBdr>
                        <w:top w:val="none" w:sz="0" w:space="0" w:color="auto"/>
                        <w:left w:val="none" w:sz="0" w:space="0" w:color="auto"/>
                        <w:bottom w:val="none" w:sz="0" w:space="0" w:color="auto"/>
                        <w:right w:val="none" w:sz="0" w:space="0" w:color="auto"/>
                      </w:divBdr>
                      <w:divsChild>
                        <w:div w:id="297690046">
                          <w:marLeft w:val="0"/>
                          <w:marRight w:val="0"/>
                          <w:marTop w:val="0"/>
                          <w:marBottom w:val="0"/>
                          <w:divBdr>
                            <w:top w:val="none" w:sz="0" w:space="0" w:color="auto"/>
                            <w:left w:val="none" w:sz="0" w:space="0" w:color="auto"/>
                            <w:bottom w:val="none" w:sz="0" w:space="0" w:color="auto"/>
                            <w:right w:val="none" w:sz="0" w:space="0" w:color="auto"/>
                          </w:divBdr>
                          <w:divsChild>
                            <w:div w:id="847594184">
                              <w:marLeft w:val="0"/>
                              <w:marRight w:val="0"/>
                              <w:marTop w:val="0"/>
                              <w:marBottom w:val="0"/>
                              <w:divBdr>
                                <w:top w:val="none" w:sz="0" w:space="0" w:color="auto"/>
                                <w:left w:val="none" w:sz="0" w:space="0" w:color="auto"/>
                                <w:bottom w:val="none" w:sz="0" w:space="0" w:color="auto"/>
                                <w:right w:val="none" w:sz="0" w:space="0" w:color="auto"/>
                              </w:divBdr>
                              <w:divsChild>
                                <w:div w:id="1329361312">
                                  <w:marLeft w:val="0"/>
                                  <w:marRight w:val="0"/>
                                  <w:marTop w:val="0"/>
                                  <w:marBottom w:val="0"/>
                                  <w:divBdr>
                                    <w:top w:val="none" w:sz="0" w:space="0" w:color="auto"/>
                                    <w:left w:val="none" w:sz="0" w:space="0" w:color="auto"/>
                                    <w:bottom w:val="none" w:sz="0" w:space="0" w:color="auto"/>
                                    <w:right w:val="none" w:sz="0" w:space="0" w:color="auto"/>
                                  </w:divBdr>
                                  <w:divsChild>
                                    <w:div w:id="1181892935">
                                      <w:marLeft w:val="0"/>
                                      <w:marRight w:val="0"/>
                                      <w:marTop w:val="0"/>
                                      <w:marBottom w:val="0"/>
                                      <w:divBdr>
                                        <w:top w:val="none" w:sz="0" w:space="0" w:color="auto"/>
                                        <w:left w:val="none" w:sz="0" w:space="0" w:color="auto"/>
                                        <w:bottom w:val="none" w:sz="0" w:space="0" w:color="auto"/>
                                        <w:right w:val="none" w:sz="0" w:space="0" w:color="auto"/>
                                      </w:divBdr>
                                      <w:divsChild>
                                        <w:div w:id="1957902051">
                                          <w:marLeft w:val="0"/>
                                          <w:marRight w:val="0"/>
                                          <w:marTop w:val="0"/>
                                          <w:marBottom w:val="0"/>
                                          <w:divBdr>
                                            <w:top w:val="none" w:sz="0" w:space="0" w:color="auto"/>
                                            <w:left w:val="none" w:sz="0" w:space="0" w:color="auto"/>
                                            <w:bottom w:val="none" w:sz="0" w:space="0" w:color="auto"/>
                                            <w:right w:val="none" w:sz="0" w:space="0" w:color="auto"/>
                                          </w:divBdr>
                                          <w:divsChild>
                                            <w:div w:id="951209442">
                                              <w:marLeft w:val="0"/>
                                              <w:marRight w:val="0"/>
                                              <w:marTop w:val="0"/>
                                              <w:marBottom w:val="0"/>
                                              <w:divBdr>
                                                <w:top w:val="none" w:sz="0" w:space="0" w:color="auto"/>
                                                <w:left w:val="none" w:sz="0" w:space="0" w:color="auto"/>
                                                <w:bottom w:val="none" w:sz="0" w:space="0" w:color="auto"/>
                                                <w:right w:val="none" w:sz="0" w:space="0" w:color="auto"/>
                                              </w:divBdr>
                                              <w:divsChild>
                                                <w:div w:id="1551459089">
                                                  <w:marLeft w:val="0"/>
                                                  <w:marRight w:val="0"/>
                                                  <w:marTop w:val="0"/>
                                                  <w:marBottom w:val="0"/>
                                                  <w:divBdr>
                                                    <w:top w:val="none" w:sz="0" w:space="0" w:color="auto"/>
                                                    <w:left w:val="none" w:sz="0" w:space="0" w:color="auto"/>
                                                    <w:bottom w:val="none" w:sz="0" w:space="0" w:color="auto"/>
                                                    <w:right w:val="none" w:sz="0" w:space="0" w:color="auto"/>
                                                  </w:divBdr>
                                                  <w:divsChild>
                                                    <w:div w:id="1559515951">
                                                      <w:marLeft w:val="0"/>
                                                      <w:marRight w:val="0"/>
                                                      <w:marTop w:val="0"/>
                                                      <w:marBottom w:val="0"/>
                                                      <w:divBdr>
                                                        <w:top w:val="none" w:sz="0" w:space="0" w:color="auto"/>
                                                        <w:left w:val="none" w:sz="0" w:space="0" w:color="auto"/>
                                                        <w:bottom w:val="none" w:sz="0" w:space="0" w:color="auto"/>
                                                        <w:right w:val="none" w:sz="0" w:space="0" w:color="auto"/>
                                                      </w:divBdr>
                                                      <w:divsChild>
                                                        <w:div w:id="1076395032">
                                                          <w:marLeft w:val="0"/>
                                                          <w:marRight w:val="0"/>
                                                          <w:marTop w:val="0"/>
                                                          <w:marBottom w:val="0"/>
                                                          <w:divBdr>
                                                            <w:top w:val="none" w:sz="0" w:space="0" w:color="auto"/>
                                                            <w:left w:val="none" w:sz="0" w:space="0" w:color="auto"/>
                                                            <w:bottom w:val="none" w:sz="0" w:space="0" w:color="auto"/>
                                                            <w:right w:val="none" w:sz="0" w:space="0" w:color="auto"/>
                                                          </w:divBdr>
                                                          <w:divsChild>
                                                            <w:div w:id="12956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823417">
      <w:bodyDiv w:val="1"/>
      <w:marLeft w:val="0"/>
      <w:marRight w:val="0"/>
      <w:marTop w:val="0"/>
      <w:marBottom w:val="0"/>
      <w:divBdr>
        <w:top w:val="none" w:sz="0" w:space="0" w:color="auto"/>
        <w:left w:val="none" w:sz="0" w:space="0" w:color="auto"/>
        <w:bottom w:val="none" w:sz="0" w:space="0" w:color="auto"/>
        <w:right w:val="none" w:sz="0" w:space="0" w:color="auto"/>
      </w:divBdr>
    </w:div>
    <w:div w:id="1691101215">
      <w:bodyDiv w:val="1"/>
      <w:marLeft w:val="0"/>
      <w:marRight w:val="0"/>
      <w:marTop w:val="0"/>
      <w:marBottom w:val="0"/>
      <w:divBdr>
        <w:top w:val="none" w:sz="0" w:space="0" w:color="auto"/>
        <w:left w:val="none" w:sz="0" w:space="0" w:color="auto"/>
        <w:bottom w:val="none" w:sz="0" w:space="0" w:color="auto"/>
        <w:right w:val="none" w:sz="0" w:space="0" w:color="auto"/>
      </w:divBdr>
    </w:div>
    <w:div w:id="1905027249">
      <w:bodyDiv w:val="1"/>
      <w:marLeft w:val="0"/>
      <w:marRight w:val="0"/>
      <w:marTop w:val="0"/>
      <w:marBottom w:val="0"/>
      <w:divBdr>
        <w:top w:val="none" w:sz="0" w:space="0" w:color="auto"/>
        <w:left w:val="none" w:sz="0" w:space="0" w:color="auto"/>
        <w:bottom w:val="none" w:sz="0" w:space="0" w:color="auto"/>
        <w:right w:val="none" w:sz="0" w:space="0" w:color="auto"/>
      </w:divBdr>
    </w:div>
    <w:div w:id="1925646074">
      <w:bodyDiv w:val="1"/>
      <w:marLeft w:val="0"/>
      <w:marRight w:val="0"/>
      <w:marTop w:val="0"/>
      <w:marBottom w:val="0"/>
      <w:divBdr>
        <w:top w:val="none" w:sz="0" w:space="0" w:color="auto"/>
        <w:left w:val="none" w:sz="0" w:space="0" w:color="auto"/>
        <w:bottom w:val="none" w:sz="0" w:space="0" w:color="auto"/>
        <w:right w:val="none" w:sz="0" w:space="0" w:color="auto"/>
      </w:divBdr>
    </w:div>
    <w:div w:id="1949239399">
      <w:bodyDiv w:val="1"/>
      <w:marLeft w:val="0"/>
      <w:marRight w:val="0"/>
      <w:marTop w:val="0"/>
      <w:marBottom w:val="0"/>
      <w:divBdr>
        <w:top w:val="none" w:sz="0" w:space="0" w:color="auto"/>
        <w:left w:val="none" w:sz="0" w:space="0" w:color="auto"/>
        <w:bottom w:val="none" w:sz="0" w:space="0" w:color="auto"/>
        <w:right w:val="none" w:sz="0" w:space="0" w:color="auto"/>
      </w:divBdr>
    </w:div>
    <w:div w:id="1987734678">
      <w:bodyDiv w:val="1"/>
      <w:marLeft w:val="0"/>
      <w:marRight w:val="0"/>
      <w:marTop w:val="0"/>
      <w:marBottom w:val="0"/>
      <w:divBdr>
        <w:top w:val="none" w:sz="0" w:space="0" w:color="auto"/>
        <w:left w:val="none" w:sz="0" w:space="0" w:color="auto"/>
        <w:bottom w:val="none" w:sz="0" w:space="0" w:color="auto"/>
        <w:right w:val="none" w:sz="0" w:space="0" w:color="auto"/>
      </w:divBdr>
    </w:div>
    <w:div w:id="2095544025">
      <w:bodyDiv w:val="1"/>
      <w:marLeft w:val="0"/>
      <w:marRight w:val="0"/>
      <w:marTop w:val="0"/>
      <w:marBottom w:val="0"/>
      <w:divBdr>
        <w:top w:val="none" w:sz="0" w:space="0" w:color="auto"/>
        <w:left w:val="none" w:sz="0" w:space="0" w:color="auto"/>
        <w:bottom w:val="none" w:sz="0" w:space="0" w:color="auto"/>
        <w:right w:val="none" w:sz="0" w:space="0" w:color="auto"/>
      </w:divBdr>
    </w:div>
    <w:div w:id="2102212510">
      <w:bodyDiv w:val="1"/>
      <w:marLeft w:val="0"/>
      <w:marRight w:val="0"/>
      <w:marTop w:val="0"/>
      <w:marBottom w:val="0"/>
      <w:divBdr>
        <w:top w:val="none" w:sz="0" w:space="0" w:color="auto"/>
        <w:left w:val="none" w:sz="0" w:space="0" w:color="auto"/>
        <w:bottom w:val="none" w:sz="0" w:space="0" w:color="auto"/>
        <w:right w:val="none" w:sz="0" w:space="0" w:color="auto"/>
      </w:divBdr>
    </w:div>
    <w:div w:id="21213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C1B5-7CC1-D341-A554-C0DC004F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126872</Words>
  <Characters>723175</Characters>
  <Application>Microsoft Office Word</Application>
  <DocSecurity>0</DocSecurity>
  <Lines>6026</Lines>
  <Paragraphs>1696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ide</dc:creator>
  <cp:keywords/>
  <dc:description/>
  <cp:lastModifiedBy>Na Ma</cp:lastModifiedBy>
  <cp:revision>2</cp:revision>
  <dcterms:created xsi:type="dcterms:W3CDTF">2020-07-18T22:21:00Z</dcterms:created>
  <dcterms:modified xsi:type="dcterms:W3CDTF">2020-07-18T22:21:00Z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http://www.zotero.org/styles/chicago-note-bibliography</vt:lpwstr>
  </property>
  <property fmtid="{D5CDD505-2E9C-101B-9397-08002B2CF9AE}" pid="5" name="Mendeley Recent Style Name 1_1">
    <vt:lpwstr>Chicago Manual of Style 17th edition (note)</vt:lpwstr>
  </property>
  <property fmtid="{D5CDD505-2E9C-101B-9397-08002B2CF9AE}" pid="6" name="Mendeley Recent Style Id 2_1">
    <vt:lpwstr>http://www.zotero.org/styles/endoscopy</vt:lpwstr>
  </property>
  <property fmtid="{D5CDD505-2E9C-101B-9397-08002B2CF9AE}" pid="7" name="Mendeley Recent Style Name 2_1">
    <vt:lpwstr>Endoscopy</vt:lpwstr>
  </property>
  <property fmtid="{D5CDD505-2E9C-101B-9397-08002B2CF9AE}" pid="8" name="Mendeley Recent Style Id 3_1">
    <vt:lpwstr>http://www.zotero.org/styles/endoscopy-international-open</vt:lpwstr>
  </property>
  <property fmtid="{D5CDD505-2E9C-101B-9397-08002B2CF9AE}" pid="9" name="Mendeley Recent Style Name 3_1">
    <vt:lpwstr>Endoscopy International Open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http://www.zotero.org/styles/travel-medicine-and-infectious-disease</vt:lpwstr>
  </property>
  <property fmtid="{D5CDD505-2E9C-101B-9397-08002B2CF9AE}" pid="15" name="Mendeley Recent Style Name 6_1">
    <vt:lpwstr>Travel Medicine and Infectious Disease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http://csl.mendeley.com/styles/491730191/vancouver-superscript</vt:lpwstr>
  </property>
  <property fmtid="{D5CDD505-2E9C-101B-9397-08002B2CF9AE}" pid="19" name="Mendeley Recent Style Name 8_1">
    <vt:lpwstr>Vancouver (superscript) - Igor Ribeiro</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8939e676-c892-3e2d-9991-ddd80c921c92</vt:lpwstr>
  </property>
  <property fmtid="{D5CDD505-2E9C-101B-9397-08002B2CF9AE}" pid="24" name="Mendeley Citation Style_1">
    <vt:lpwstr>http://www.zotero.org/styles/world-journal-of-gastroenterology</vt:lpwstr>
  </property>
</Properties>
</file>