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3A34E" w14:textId="77777777" w:rsidR="00A77B3E" w:rsidRDefault="006E0E2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45AC9AD0" w14:textId="77777777" w:rsidR="00A77B3E" w:rsidRDefault="006E0E2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56073</w:t>
      </w:r>
    </w:p>
    <w:p w14:paraId="09BBEF3D" w14:textId="77777777" w:rsidR="00A77B3E" w:rsidRDefault="006E0E2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D5AA31" w14:textId="77777777" w:rsidR="00A77B3E" w:rsidRDefault="00A77B3E">
      <w:pPr>
        <w:spacing w:line="360" w:lineRule="auto"/>
        <w:jc w:val="both"/>
      </w:pPr>
    </w:p>
    <w:p w14:paraId="64EEC1A9" w14:textId="69921AC7" w:rsidR="00A77B3E" w:rsidRDefault="0016663A">
      <w:pPr>
        <w:spacing w:line="360" w:lineRule="auto"/>
        <w:jc w:val="both"/>
      </w:pPr>
      <w:bookmarkStart w:id="0" w:name="_Hlk49952691"/>
      <w:r w:rsidRPr="0016663A">
        <w:rPr>
          <w:rFonts w:ascii="Book Antiqua" w:eastAsia="Book Antiqua" w:hAnsi="Book Antiqua" w:cs="Book Antiqua"/>
          <w:b/>
          <w:bCs/>
          <w:color w:val="000000"/>
          <w:szCs w:val="20"/>
        </w:rPr>
        <w:t>Albumin-bound paclitaxel</w:t>
      </w:r>
      <w:r w:rsidR="006E0E22">
        <w:rPr>
          <w:rFonts w:ascii="Book Antiqua" w:eastAsia="Book Antiqua" w:hAnsi="Book Antiqua" w:cs="Book Antiqua"/>
          <w:b/>
          <w:color w:val="000000"/>
        </w:rPr>
        <w:t xml:space="preserve"> as new treatment for metastatic </w:t>
      </w:r>
      <w:proofErr w:type="spellStart"/>
      <w:r w:rsidR="006E0E22">
        <w:rPr>
          <w:rFonts w:ascii="Book Antiqua" w:eastAsia="Book Antiqua" w:hAnsi="Book Antiqua" w:cs="Book Antiqua"/>
          <w:b/>
          <w:color w:val="000000"/>
        </w:rPr>
        <w:t>cholangiocarcinoma</w:t>
      </w:r>
      <w:proofErr w:type="spellEnd"/>
      <w:r w:rsidR="006E0E22">
        <w:rPr>
          <w:rFonts w:ascii="Book Antiqua" w:eastAsia="Book Antiqua" w:hAnsi="Book Antiqua" w:cs="Book Antiqua"/>
          <w:b/>
          <w:color w:val="000000"/>
        </w:rPr>
        <w:t xml:space="preserve">: </w:t>
      </w:r>
      <w:r>
        <w:rPr>
          <w:rFonts w:ascii="Book Antiqua" w:eastAsia="Book Antiqua" w:hAnsi="Book Antiqua" w:cs="Book Antiqua"/>
          <w:b/>
          <w:color w:val="000000"/>
        </w:rPr>
        <w:t xml:space="preserve">A </w:t>
      </w:r>
      <w:r w:rsidR="006E0E22">
        <w:rPr>
          <w:rFonts w:ascii="Book Antiqua" w:eastAsia="Book Antiqua" w:hAnsi="Book Antiqua" w:cs="Book Antiqua"/>
          <w:b/>
          <w:color w:val="000000"/>
        </w:rPr>
        <w:t>case report</w:t>
      </w:r>
    </w:p>
    <w:bookmarkEnd w:id="0"/>
    <w:p w14:paraId="36886283" w14:textId="77777777" w:rsidR="00A77B3E" w:rsidRDefault="00A77B3E">
      <w:pPr>
        <w:spacing w:line="360" w:lineRule="auto"/>
        <w:jc w:val="both"/>
      </w:pPr>
    </w:p>
    <w:p w14:paraId="29380792" w14:textId="7B821501" w:rsidR="00A77B3E" w:rsidRPr="00662197" w:rsidRDefault="0016663A">
      <w:pPr>
        <w:spacing w:line="360" w:lineRule="auto"/>
        <w:jc w:val="both"/>
        <w:rPr>
          <w:lang w:val="es-ES"/>
        </w:rPr>
      </w:pPr>
      <w:r w:rsidRPr="00662197">
        <w:rPr>
          <w:rFonts w:ascii="Book Antiqua" w:eastAsia="Book Antiqua" w:hAnsi="Book Antiqua" w:cs="Book Antiqua"/>
          <w:color w:val="000000"/>
          <w:lang w:val="es-ES"/>
        </w:rPr>
        <w:t xml:space="preserve">Martin Huertas R </w:t>
      </w:r>
      <w:r w:rsidRPr="00662197">
        <w:rPr>
          <w:rFonts w:ascii="Book Antiqua" w:eastAsia="Book Antiqua" w:hAnsi="Book Antiqua" w:cs="Book Antiqua"/>
          <w:i/>
          <w:iCs/>
          <w:color w:val="000000"/>
          <w:lang w:val="es-ES"/>
        </w:rPr>
        <w:t>et al</w:t>
      </w:r>
      <w:r w:rsidRPr="00662197">
        <w:rPr>
          <w:rFonts w:ascii="Book Antiqua" w:eastAsia="Book Antiqua" w:hAnsi="Book Antiqua" w:cs="Book Antiqua"/>
          <w:color w:val="000000"/>
          <w:lang w:val="es-ES"/>
        </w:rPr>
        <w:t xml:space="preserve">. </w:t>
      </w:r>
      <w:r w:rsidR="006E0E22" w:rsidRPr="00662197">
        <w:rPr>
          <w:rFonts w:ascii="Book Antiqua" w:eastAsia="Book Antiqua" w:hAnsi="Book Antiqua" w:cs="Book Antiqua"/>
          <w:color w:val="000000"/>
          <w:lang w:val="es-ES"/>
        </w:rPr>
        <w:t>Nab</w:t>
      </w:r>
      <w:r w:rsidRPr="00662197">
        <w:rPr>
          <w:rFonts w:ascii="Book Antiqua" w:eastAsia="Book Antiqua" w:hAnsi="Book Antiqua" w:cs="Book Antiqua"/>
          <w:color w:val="000000"/>
          <w:lang w:val="es-ES"/>
        </w:rPr>
        <w:t>-</w:t>
      </w:r>
      <w:r w:rsidR="006E0E22" w:rsidRPr="00662197">
        <w:rPr>
          <w:rFonts w:ascii="Book Antiqua" w:eastAsia="Book Antiqua" w:hAnsi="Book Antiqua" w:cs="Book Antiqua"/>
          <w:color w:val="000000"/>
          <w:lang w:val="es-ES"/>
        </w:rPr>
        <w:t>paclitaxel for cholangiocarcinoma treatment</w:t>
      </w:r>
    </w:p>
    <w:p w14:paraId="6587268E" w14:textId="77777777" w:rsidR="00A77B3E" w:rsidRPr="00662197" w:rsidRDefault="00A77B3E">
      <w:pPr>
        <w:spacing w:line="360" w:lineRule="auto"/>
        <w:jc w:val="both"/>
        <w:rPr>
          <w:lang w:val="es-ES"/>
        </w:rPr>
      </w:pPr>
    </w:p>
    <w:p w14:paraId="0CDF1079" w14:textId="77777777" w:rsidR="00A77B3E" w:rsidRPr="00662197" w:rsidRDefault="006E0E22">
      <w:pPr>
        <w:spacing w:line="360" w:lineRule="auto"/>
        <w:jc w:val="both"/>
        <w:rPr>
          <w:lang w:val="es-ES"/>
        </w:rPr>
      </w:pPr>
      <w:r w:rsidRPr="00662197">
        <w:rPr>
          <w:rFonts w:ascii="Book Antiqua" w:eastAsia="Book Antiqua" w:hAnsi="Book Antiqua" w:cs="Book Antiqua"/>
          <w:color w:val="000000"/>
          <w:lang w:val="es-ES"/>
        </w:rPr>
        <w:t>Roberto Martin Huertas, Raquel Fuentes-Mateos, Juan Jose Serrano Domingo, Elena Corral de la Fuente, Mercedes Rodríguez-Garrote</w:t>
      </w:r>
    </w:p>
    <w:p w14:paraId="6487A13C" w14:textId="77777777" w:rsidR="00A77B3E" w:rsidRPr="00662197" w:rsidRDefault="00A77B3E">
      <w:pPr>
        <w:spacing w:line="360" w:lineRule="auto"/>
        <w:jc w:val="both"/>
        <w:rPr>
          <w:lang w:val="es-ES"/>
        </w:rPr>
      </w:pPr>
    </w:p>
    <w:p w14:paraId="42416C3D" w14:textId="77777777" w:rsidR="00A77B3E" w:rsidRPr="00662197" w:rsidRDefault="006E0E22">
      <w:pPr>
        <w:spacing w:line="360" w:lineRule="auto"/>
        <w:jc w:val="both"/>
        <w:rPr>
          <w:lang w:val="es-ES"/>
        </w:rPr>
      </w:pPr>
      <w:r w:rsidRPr="00662197">
        <w:rPr>
          <w:rFonts w:ascii="Book Antiqua" w:eastAsia="Book Antiqua" w:hAnsi="Book Antiqua" w:cs="Book Antiqua"/>
          <w:b/>
          <w:bCs/>
          <w:color w:val="000000"/>
          <w:lang w:val="es-ES"/>
        </w:rPr>
        <w:t xml:space="preserve">Roberto Martin Huertas, Raquel Fuentes-Mateos, Juan Jose Serrano Domingo, Elena Corral de la Fuente, Mercedes Rodríguez-Garrote, </w:t>
      </w:r>
      <w:r w:rsidRPr="00662197">
        <w:rPr>
          <w:rFonts w:ascii="Book Antiqua" w:eastAsia="Book Antiqua" w:hAnsi="Book Antiqua" w:cs="Book Antiqua"/>
          <w:color w:val="000000"/>
          <w:lang w:val="es-ES"/>
        </w:rPr>
        <w:t>Medical Oncology Department, Hospital Universitario Ramon y Cajal, Madrid 28034, Spain</w:t>
      </w:r>
    </w:p>
    <w:p w14:paraId="62E23A26" w14:textId="77777777" w:rsidR="00A77B3E" w:rsidRPr="00662197" w:rsidRDefault="00A77B3E">
      <w:pPr>
        <w:spacing w:line="360" w:lineRule="auto"/>
        <w:jc w:val="both"/>
        <w:rPr>
          <w:lang w:val="es-ES"/>
        </w:rPr>
      </w:pPr>
    </w:p>
    <w:p w14:paraId="1BDDA36A" w14:textId="77777777" w:rsidR="00A77B3E" w:rsidRDefault="006E0E22">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0"/>
        </w:rPr>
        <w:t>All authors contributed equally to this case report and all of them gave final approval for its publication.</w:t>
      </w:r>
    </w:p>
    <w:p w14:paraId="2D9D5770" w14:textId="77777777" w:rsidR="00A77B3E" w:rsidRDefault="00A77B3E">
      <w:pPr>
        <w:spacing w:line="360" w:lineRule="auto"/>
        <w:jc w:val="both"/>
      </w:pPr>
    </w:p>
    <w:p w14:paraId="08302CD2" w14:textId="26270FC2" w:rsidR="00A77B3E" w:rsidRDefault="006E0E22">
      <w:pPr>
        <w:spacing w:line="360" w:lineRule="auto"/>
        <w:jc w:val="both"/>
      </w:pPr>
      <w:r>
        <w:rPr>
          <w:rFonts w:ascii="Book Antiqua" w:eastAsia="Book Antiqua" w:hAnsi="Book Antiqua" w:cs="Book Antiqua"/>
          <w:b/>
          <w:bCs/>
          <w:color w:val="000000"/>
        </w:rPr>
        <w:t xml:space="preserve">Corresponding author: Roberto Martin </w:t>
      </w:r>
      <w:proofErr w:type="spellStart"/>
      <w:r>
        <w:rPr>
          <w:rFonts w:ascii="Book Antiqua" w:eastAsia="Book Antiqua" w:hAnsi="Book Antiqua" w:cs="Book Antiqua"/>
          <w:b/>
          <w:bCs/>
          <w:color w:val="000000"/>
        </w:rPr>
        <w:t>Huertas</w:t>
      </w:r>
      <w:proofErr w:type="spellEnd"/>
      <w:r>
        <w:rPr>
          <w:rFonts w:ascii="Book Antiqua" w:eastAsia="Book Antiqua" w:hAnsi="Book Antiqua" w:cs="Book Antiqua"/>
          <w:b/>
          <w:bCs/>
          <w:color w:val="000000"/>
        </w:rPr>
        <w:t xml:space="preserve">, MD, </w:t>
      </w:r>
      <w:r>
        <w:rPr>
          <w:rFonts w:ascii="Book Antiqua" w:eastAsia="Book Antiqua" w:hAnsi="Book Antiqua" w:cs="Book Antiqua"/>
          <w:color w:val="000000"/>
        </w:rPr>
        <w:t xml:space="preserve">Medical Oncology Department, Hospital </w:t>
      </w:r>
      <w:proofErr w:type="spellStart"/>
      <w:r>
        <w:rPr>
          <w:rFonts w:ascii="Book Antiqua" w:eastAsia="Book Antiqua" w:hAnsi="Book Antiqua" w:cs="Book Antiqua"/>
          <w:color w:val="000000"/>
        </w:rPr>
        <w:t>Universitario</w:t>
      </w:r>
      <w:proofErr w:type="spellEnd"/>
      <w:r>
        <w:rPr>
          <w:rFonts w:ascii="Book Antiqua" w:eastAsia="Book Antiqua" w:hAnsi="Book Antiqua" w:cs="Book Antiqua"/>
          <w:color w:val="000000"/>
        </w:rPr>
        <w:t xml:space="preserve"> Ramon y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Ctra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Colmenar</w:t>
      </w:r>
      <w:proofErr w:type="spellEnd"/>
      <w:r>
        <w:rPr>
          <w:rFonts w:ascii="Book Antiqua" w:eastAsia="Book Antiqua" w:hAnsi="Book Antiqua" w:cs="Book Antiqua"/>
          <w:color w:val="000000"/>
        </w:rPr>
        <w:t xml:space="preserve"> Viejo km. 9100, Madrid 28034, Spain. robertomartinhuertas@outlook.com</w:t>
      </w:r>
    </w:p>
    <w:p w14:paraId="3B34328E" w14:textId="77777777" w:rsidR="00A77B3E" w:rsidRDefault="00A77B3E">
      <w:pPr>
        <w:spacing w:line="360" w:lineRule="auto"/>
        <w:jc w:val="both"/>
      </w:pPr>
    </w:p>
    <w:p w14:paraId="5C844940" w14:textId="77777777" w:rsidR="00A77B3E" w:rsidRDefault="006E0E2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4, 2020</w:t>
      </w:r>
    </w:p>
    <w:p w14:paraId="59FB0A05" w14:textId="77777777" w:rsidR="00A77B3E" w:rsidRDefault="006E0E2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31, 2020</w:t>
      </w:r>
    </w:p>
    <w:p w14:paraId="0EBC3FA1" w14:textId="7736C5F4" w:rsidR="00A77B3E" w:rsidRDefault="006E0E22">
      <w:pPr>
        <w:spacing w:line="360" w:lineRule="auto"/>
        <w:jc w:val="both"/>
      </w:pPr>
      <w:r>
        <w:rPr>
          <w:rFonts w:ascii="Book Antiqua" w:eastAsia="Book Antiqua" w:hAnsi="Book Antiqua" w:cs="Book Antiqua"/>
          <w:b/>
          <w:bCs/>
          <w:color w:val="000000"/>
        </w:rPr>
        <w:t xml:space="preserve">Accepted: </w:t>
      </w:r>
      <w:r w:rsidR="00583BAC" w:rsidRPr="00583BAC">
        <w:rPr>
          <w:rFonts w:ascii="Book Antiqua" w:eastAsia="Book Antiqua" w:hAnsi="Book Antiqua" w:cs="Book Antiqua"/>
          <w:bCs/>
          <w:color w:val="000000"/>
        </w:rPr>
        <w:t xml:space="preserve">September </w:t>
      </w:r>
      <w:r w:rsidR="005D0F29">
        <w:rPr>
          <w:rFonts w:ascii="Book Antiqua" w:eastAsia="Book Antiqua" w:hAnsi="Book Antiqua" w:cs="Book Antiqua"/>
          <w:bCs/>
          <w:color w:val="000000"/>
        </w:rPr>
        <w:t>8</w:t>
      </w:r>
      <w:r w:rsidR="00583BAC" w:rsidRPr="00583BAC">
        <w:rPr>
          <w:rFonts w:ascii="Book Antiqua" w:eastAsia="Book Antiqua" w:hAnsi="Book Antiqua" w:cs="Book Antiqua"/>
          <w:bCs/>
          <w:color w:val="000000"/>
        </w:rPr>
        <w:t>, 2020</w:t>
      </w:r>
    </w:p>
    <w:p w14:paraId="66E1C6D9" w14:textId="2F9D1168" w:rsidR="00A77B3E" w:rsidRDefault="006E0E22">
      <w:pPr>
        <w:spacing w:line="360" w:lineRule="auto"/>
        <w:jc w:val="both"/>
      </w:pPr>
      <w:r>
        <w:rPr>
          <w:rFonts w:ascii="Book Antiqua" w:eastAsia="Book Antiqua" w:hAnsi="Book Antiqua" w:cs="Book Antiqua"/>
          <w:b/>
          <w:bCs/>
          <w:color w:val="000000"/>
        </w:rPr>
        <w:t xml:space="preserve">Published online: </w:t>
      </w:r>
      <w:r w:rsidR="00EB69E6" w:rsidRPr="00EB69E6">
        <w:rPr>
          <w:rFonts w:ascii="Book Antiqua" w:eastAsia="宋体" w:hAnsi="Book Antiqua"/>
          <w:color w:val="000000"/>
          <w:shd w:val="clear" w:color="auto" w:fill="FFFFFF"/>
        </w:rPr>
        <w:t>October 24</w:t>
      </w:r>
      <w:r w:rsidR="00EB69E6" w:rsidRPr="00EB69E6">
        <w:rPr>
          <w:rFonts w:ascii="Book Antiqua" w:eastAsia="宋体" w:hAnsi="Book Antiqua" w:hint="eastAsia"/>
          <w:color w:val="000000"/>
          <w:shd w:val="clear" w:color="auto" w:fill="FFFFFF"/>
          <w:lang w:eastAsia="zh-CN"/>
        </w:rPr>
        <w:t>, 2020</w:t>
      </w:r>
    </w:p>
    <w:p w14:paraId="7E9657FB"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8BA40A0" w14:textId="77777777" w:rsidR="00A77B3E" w:rsidRDefault="006E0E22">
      <w:pPr>
        <w:spacing w:line="360" w:lineRule="auto"/>
        <w:jc w:val="both"/>
      </w:pPr>
      <w:r>
        <w:rPr>
          <w:rFonts w:ascii="Book Antiqua" w:eastAsia="Book Antiqua" w:hAnsi="Book Antiqua" w:cs="Book Antiqua"/>
          <w:b/>
          <w:color w:val="000000"/>
        </w:rPr>
        <w:lastRenderedPageBreak/>
        <w:t>Abstract</w:t>
      </w:r>
    </w:p>
    <w:p w14:paraId="4C4E317C" w14:textId="77777777" w:rsidR="00A77B3E" w:rsidRDefault="006E0E22">
      <w:pPr>
        <w:spacing w:line="360" w:lineRule="auto"/>
        <w:jc w:val="both"/>
      </w:pPr>
      <w:r>
        <w:rPr>
          <w:rFonts w:ascii="Book Antiqua" w:eastAsia="Book Antiqua" w:hAnsi="Book Antiqua" w:cs="Book Antiqua"/>
          <w:color w:val="000000"/>
        </w:rPr>
        <w:t>BACKGROUND</w:t>
      </w:r>
    </w:p>
    <w:p w14:paraId="6ECD4972" w14:textId="4394452A" w:rsidR="00A77B3E" w:rsidRDefault="006E0E22">
      <w:pPr>
        <w:spacing w:line="360" w:lineRule="auto"/>
        <w:jc w:val="both"/>
      </w:pPr>
      <w:proofErr w:type="spellStart"/>
      <w:r>
        <w:rPr>
          <w:rFonts w:ascii="Book Antiqua" w:eastAsia="Book Antiqua" w:hAnsi="Book Antiqua" w:cs="Book Antiqua"/>
          <w:color w:val="000000"/>
          <w:szCs w:val="20"/>
        </w:rPr>
        <w:t>Cholangiocarcinomas</w:t>
      </w:r>
      <w:proofErr w:type="spellEnd"/>
      <w:r>
        <w:rPr>
          <w:rFonts w:ascii="Book Antiqua" w:eastAsia="Book Antiqua" w:hAnsi="Book Antiqua" w:cs="Book Antiqua"/>
          <w:color w:val="000000"/>
          <w:szCs w:val="20"/>
        </w:rPr>
        <w:t xml:space="preserve"> are rare and very aggressive tumors. Most patients have advanced-stage or </w:t>
      </w:r>
      <w:proofErr w:type="spellStart"/>
      <w:r>
        <w:rPr>
          <w:rFonts w:ascii="Book Antiqua" w:eastAsia="Book Antiqua" w:hAnsi="Book Antiqua" w:cs="Book Antiqua"/>
          <w:color w:val="000000"/>
          <w:szCs w:val="20"/>
        </w:rPr>
        <w:t>unresectable</w:t>
      </w:r>
      <w:proofErr w:type="spellEnd"/>
      <w:r>
        <w:rPr>
          <w:rFonts w:ascii="Book Antiqua" w:eastAsia="Book Antiqua" w:hAnsi="Book Antiqua" w:cs="Book Antiqua"/>
          <w:color w:val="000000"/>
          <w:szCs w:val="20"/>
        </w:rPr>
        <w:t xml:space="preserve"> disease at presentation, and the systemic therapies have limited efficacy. Albumin-bound paclitaxel (nab-paclitaxel) is a solvent-free </w:t>
      </w:r>
      <w:proofErr w:type="spellStart"/>
      <w:r>
        <w:rPr>
          <w:rFonts w:ascii="Book Antiqua" w:eastAsia="Book Antiqua" w:hAnsi="Book Antiqua" w:cs="Book Antiqua"/>
          <w:color w:val="000000"/>
          <w:szCs w:val="20"/>
        </w:rPr>
        <w:t>taxane</w:t>
      </w:r>
      <w:proofErr w:type="spellEnd"/>
      <w:r>
        <w:rPr>
          <w:rFonts w:ascii="Book Antiqua" w:eastAsia="Book Antiqua" w:hAnsi="Book Antiqua" w:cs="Book Antiqua"/>
          <w:color w:val="000000"/>
          <w:szCs w:val="20"/>
        </w:rPr>
        <w:t xml:space="preserve"> that has been approved for the treatment of some cancers such as breast, non-small cell lung and pancreatic </w:t>
      </w:r>
      <w:proofErr w:type="gramStart"/>
      <w:r>
        <w:rPr>
          <w:rFonts w:ascii="Book Antiqua" w:eastAsia="Book Antiqua" w:hAnsi="Book Antiqua" w:cs="Book Antiqua"/>
          <w:color w:val="000000"/>
          <w:szCs w:val="20"/>
        </w:rPr>
        <w:t>cancer,</w:t>
      </w:r>
      <w:proofErr w:type="gramEnd"/>
      <w:r>
        <w:rPr>
          <w:rFonts w:ascii="Book Antiqua" w:eastAsia="Book Antiqua" w:hAnsi="Book Antiqua" w:cs="Book Antiqua"/>
          <w:color w:val="000000"/>
          <w:szCs w:val="20"/>
        </w:rPr>
        <w:t xml:space="preserve"> however it has not been applied to treat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We have both preclinical and clinical evidence of the efficacy of nab-paclitaxel in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yet no phase 3 trials have been made.</w:t>
      </w:r>
    </w:p>
    <w:p w14:paraId="54878DBA" w14:textId="77777777" w:rsidR="00A77B3E" w:rsidRDefault="00A77B3E">
      <w:pPr>
        <w:spacing w:line="360" w:lineRule="auto"/>
        <w:jc w:val="both"/>
      </w:pPr>
    </w:p>
    <w:p w14:paraId="6F550763" w14:textId="77777777" w:rsidR="00A77B3E" w:rsidRDefault="006E0E22">
      <w:pPr>
        <w:spacing w:line="360" w:lineRule="auto"/>
        <w:jc w:val="both"/>
      </w:pPr>
      <w:r>
        <w:rPr>
          <w:rFonts w:ascii="Book Antiqua" w:eastAsia="Book Antiqua" w:hAnsi="Book Antiqua" w:cs="Book Antiqua"/>
          <w:color w:val="000000"/>
        </w:rPr>
        <w:t>CASE SUMMARY</w:t>
      </w:r>
    </w:p>
    <w:p w14:paraId="2C09539B" w14:textId="77777777" w:rsidR="00A77B3E" w:rsidRDefault="006E0E22">
      <w:pPr>
        <w:spacing w:line="360" w:lineRule="auto"/>
        <w:jc w:val="both"/>
      </w:pPr>
      <w:r>
        <w:rPr>
          <w:rFonts w:ascii="Book Antiqua" w:eastAsia="Book Antiqua" w:hAnsi="Book Antiqua" w:cs="Book Antiqua"/>
          <w:color w:val="000000"/>
          <w:szCs w:val="20"/>
        </w:rPr>
        <w:t xml:space="preserve">A 63-year-old man was diagnosed in December 2016 with stage III B intrahepatic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Surgery was performed, followed by adjuvant chemotherapy treatment with </w:t>
      </w:r>
      <w:proofErr w:type="spellStart"/>
      <w:r>
        <w:rPr>
          <w:rFonts w:ascii="Book Antiqua" w:eastAsia="Book Antiqua" w:hAnsi="Book Antiqua" w:cs="Book Antiqua"/>
          <w:color w:val="000000"/>
          <w:szCs w:val="20"/>
        </w:rPr>
        <w:t>capecitabine</w:t>
      </w:r>
      <w:proofErr w:type="spellEnd"/>
      <w:r>
        <w:rPr>
          <w:rFonts w:ascii="Book Antiqua" w:eastAsia="Book Antiqua" w:hAnsi="Book Antiqua" w:cs="Book Antiqua"/>
          <w:color w:val="000000"/>
          <w:szCs w:val="20"/>
        </w:rPr>
        <w:t xml:space="preserve"> and gemcitabine; although, the gemcitabine was suspended due to allergic reaction after two cycles. In April 2019, metastatic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relapse was diagnosed, and a first-line treatment with FOLFOX scheme was started. Eight cycles were administered, producing an initial clinical improvement and decrease in blood tumor marker levels. Radiological and serological progression was noted in September 2019. As a second-line treatment, FOLFIRI was not recommended due to risk of worsening the patient’s tumor-related diarrhea. A combination therapy with gemcitabine was not feasible, as the patient had previously suffered from an allergic reaction to this treatment. We decided to use nab-paclitaxel as a second-line treatment, and four cycles were administered. Both clinical and serological responses were observed, and a radiological mixed response was also noted.</w:t>
      </w:r>
    </w:p>
    <w:p w14:paraId="7CD937D9" w14:textId="77777777" w:rsidR="00A77B3E" w:rsidRDefault="00A77B3E">
      <w:pPr>
        <w:spacing w:line="360" w:lineRule="auto"/>
        <w:jc w:val="both"/>
      </w:pPr>
    </w:p>
    <w:p w14:paraId="3440782B" w14:textId="77777777" w:rsidR="00A77B3E" w:rsidRDefault="006E0E22">
      <w:pPr>
        <w:spacing w:line="360" w:lineRule="auto"/>
        <w:jc w:val="both"/>
      </w:pPr>
      <w:r>
        <w:rPr>
          <w:rFonts w:ascii="Book Antiqua" w:eastAsia="Book Antiqua" w:hAnsi="Book Antiqua" w:cs="Book Antiqua"/>
          <w:color w:val="000000"/>
        </w:rPr>
        <w:t>CONCLUSION</w:t>
      </w:r>
    </w:p>
    <w:p w14:paraId="284ED8AC" w14:textId="77777777" w:rsidR="00A77B3E" w:rsidRDefault="006E0E22">
      <w:pPr>
        <w:spacing w:line="360" w:lineRule="auto"/>
        <w:jc w:val="both"/>
      </w:pPr>
      <w:r>
        <w:rPr>
          <w:rFonts w:ascii="Book Antiqua" w:eastAsia="Book Antiqua" w:hAnsi="Book Antiqua" w:cs="Book Antiqua"/>
          <w:color w:val="000000"/>
          <w:szCs w:val="20"/>
        </w:rPr>
        <w:t xml:space="preserve">Advanced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could be treated with nab-paclitaxel </w:t>
      </w:r>
      <w:proofErr w:type="spellStart"/>
      <w:r>
        <w:rPr>
          <w:rFonts w:ascii="Book Antiqua" w:eastAsia="Book Antiqua" w:hAnsi="Book Antiqua" w:cs="Book Antiqua"/>
          <w:color w:val="000000"/>
          <w:szCs w:val="20"/>
        </w:rPr>
        <w:t>monotherapy</w:t>
      </w:r>
      <w:proofErr w:type="spellEnd"/>
      <w:r>
        <w:rPr>
          <w:rFonts w:ascii="Book Antiqua" w:eastAsia="Book Antiqua" w:hAnsi="Book Antiqua" w:cs="Book Antiqua"/>
          <w:color w:val="000000"/>
          <w:szCs w:val="20"/>
        </w:rPr>
        <w:t>, which should be studied in combination with other types of treatment (chemotherapy, fibroblast growth factor receptor inhibitors).</w:t>
      </w:r>
    </w:p>
    <w:p w14:paraId="73DB0A29" w14:textId="77777777" w:rsidR="00A77B3E" w:rsidRDefault="00A77B3E">
      <w:pPr>
        <w:spacing w:line="360" w:lineRule="auto"/>
        <w:jc w:val="both"/>
      </w:pPr>
    </w:p>
    <w:p w14:paraId="3521B245" w14:textId="1FB2C785" w:rsidR="00A77B3E" w:rsidRDefault="006E0E22">
      <w:pPr>
        <w:spacing w:line="360" w:lineRule="auto"/>
        <w:jc w:val="both"/>
      </w:pPr>
      <w:r>
        <w:rPr>
          <w:rFonts w:ascii="Book Antiqua" w:eastAsia="Book Antiqua" w:hAnsi="Book Antiqua" w:cs="Book Antiqua"/>
          <w:b/>
          <w:bCs/>
          <w:color w:val="000000"/>
        </w:rPr>
        <w:t xml:space="preserve">Key </w:t>
      </w:r>
      <w:r w:rsidRPr="005507E0">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Chemotherapy; Albumin-</w:t>
      </w:r>
      <w:r w:rsidR="002A5DD9">
        <w:rPr>
          <w:rFonts w:ascii="Book Antiqua" w:eastAsia="Book Antiqua" w:hAnsi="Book Antiqua" w:cs="Book Antiqua"/>
          <w:color w:val="000000"/>
        </w:rPr>
        <w:t>b</w:t>
      </w:r>
      <w:r>
        <w:rPr>
          <w:rFonts w:ascii="Book Antiqua" w:eastAsia="Book Antiqua" w:hAnsi="Book Antiqua" w:cs="Book Antiqua"/>
          <w:color w:val="000000"/>
        </w:rPr>
        <w:t xml:space="preserve">ound </w:t>
      </w:r>
      <w:r w:rsidR="002A5DD9">
        <w:rPr>
          <w:rFonts w:ascii="Book Antiqua" w:eastAsia="Book Antiqua" w:hAnsi="Book Antiqua" w:cs="Book Antiqua"/>
          <w:color w:val="000000"/>
        </w:rPr>
        <w:t>p</w:t>
      </w:r>
      <w:r>
        <w:rPr>
          <w:rFonts w:ascii="Book Antiqua" w:eastAsia="Book Antiqua" w:hAnsi="Book Antiqua" w:cs="Book Antiqua"/>
          <w:color w:val="000000"/>
        </w:rPr>
        <w:t xml:space="preserve">aclitaxel; Case </w:t>
      </w:r>
      <w:r w:rsidR="002A5DD9">
        <w:rPr>
          <w:rFonts w:ascii="Book Antiqua" w:eastAsia="Book Antiqua" w:hAnsi="Book Antiqua" w:cs="Book Antiqua"/>
          <w:color w:val="000000"/>
        </w:rPr>
        <w:t>r</w:t>
      </w:r>
      <w:r>
        <w:rPr>
          <w:rFonts w:ascii="Book Antiqua" w:eastAsia="Book Antiqua" w:hAnsi="Book Antiqua" w:cs="Book Antiqua"/>
          <w:color w:val="000000"/>
        </w:rPr>
        <w:t>eport; Metastatic; Clinical trial</w:t>
      </w:r>
    </w:p>
    <w:p w14:paraId="68C0BFC7" w14:textId="77777777" w:rsidR="00A77B3E" w:rsidRDefault="00A77B3E">
      <w:pPr>
        <w:spacing w:line="360" w:lineRule="auto"/>
        <w:jc w:val="both"/>
      </w:pPr>
    </w:p>
    <w:p w14:paraId="6516FF64" w14:textId="3A8DE71C" w:rsidR="002A6120" w:rsidRDefault="002A6120">
      <w:pPr>
        <w:spacing w:line="360" w:lineRule="auto"/>
        <w:jc w:val="both"/>
        <w:rPr>
          <w:rFonts w:ascii="Book Antiqua" w:hAnsi="Book Antiqua" w:cs="Book Antiqua" w:hint="eastAsia"/>
          <w:color w:val="000000"/>
          <w:lang w:eastAsia="zh-CN"/>
        </w:rPr>
      </w:pPr>
      <w:r w:rsidRPr="002A6120">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6E0E22">
        <w:rPr>
          <w:rFonts w:ascii="Book Antiqua" w:eastAsia="Book Antiqua" w:hAnsi="Book Antiqua" w:cs="Book Antiqua"/>
          <w:color w:val="000000"/>
        </w:rPr>
        <w:t xml:space="preserve">Martin </w:t>
      </w:r>
      <w:proofErr w:type="spellStart"/>
      <w:r w:rsidR="006E0E22">
        <w:rPr>
          <w:rFonts w:ascii="Book Antiqua" w:eastAsia="Book Antiqua" w:hAnsi="Book Antiqua" w:cs="Book Antiqua"/>
          <w:color w:val="000000"/>
        </w:rPr>
        <w:t>Huertas</w:t>
      </w:r>
      <w:proofErr w:type="spellEnd"/>
      <w:r w:rsidR="006E0E22">
        <w:rPr>
          <w:rFonts w:ascii="Book Antiqua" w:eastAsia="Book Antiqua" w:hAnsi="Book Antiqua" w:cs="Book Antiqua"/>
          <w:color w:val="000000"/>
        </w:rPr>
        <w:t xml:space="preserve"> R, Fuentes-</w:t>
      </w:r>
      <w:proofErr w:type="spellStart"/>
      <w:r w:rsidR="006E0E22">
        <w:rPr>
          <w:rFonts w:ascii="Book Antiqua" w:eastAsia="Book Antiqua" w:hAnsi="Book Antiqua" w:cs="Book Antiqua"/>
          <w:color w:val="000000"/>
        </w:rPr>
        <w:t>Mateos</w:t>
      </w:r>
      <w:proofErr w:type="spellEnd"/>
      <w:r w:rsidR="006E0E22">
        <w:rPr>
          <w:rFonts w:ascii="Book Antiqua" w:eastAsia="Book Antiqua" w:hAnsi="Book Antiqua" w:cs="Book Antiqua"/>
          <w:color w:val="000000"/>
        </w:rPr>
        <w:t xml:space="preserve"> R, Serrano Domingo JJ, Corral de la </w:t>
      </w:r>
      <w:proofErr w:type="spellStart"/>
      <w:r w:rsidR="006E0E22">
        <w:rPr>
          <w:rFonts w:ascii="Book Antiqua" w:eastAsia="Book Antiqua" w:hAnsi="Book Antiqua" w:cs="Book Antiqua"/>
          <w:color w:val="000000"/>
        </w:rPr>
        <w:t>Fuente</w:t>
      </w:r>
      <w:proofErr w:type="spellEnd"/>
      <w:r w:rsidR="006E0E22">
        <w:rPr>
          <w:rFonts w:ascii="Book Antiqua" w:eastAsia="Book Antiqua" w:hAnsi="Book Antiqua" w:cs="Book Antiqua"/>
          <w:color w:val="000000"/>
        </w:rPr>
        <w:t xml:space="preserve"> E, Rodríguez-Garrote M. </w:t>
      </w:r>
      <w:r w:rsidR="002A5DD9" w:rsidRPr="002A5DD9">
        <w:rPr>
          <w:rFonts w:ascii="Book Antiqua" w:eastAsia="Book Antiqua" w:hAnsi="Book Antiqua" w:cs="Book Antiqua"/>
          <w:color w:val="000000"/>
        </w:rPr>
        <w:t xml:space="preserve">Albumin-bound paclitaxel as new treatment for metastatic </w:t>
      </w:r>
      <w:proofErr w:type="spellStart"/>
      <w:r w:rsidR="002A5DD9" w:rsidRPr="002A5DD9">
        <w:rPr>
          <w:rFonts w:ascii="Book Antiqua" w:eastAsia="Book Antiqua" w:hAnsi="Book Antiqua" w:cs="Book Antiqua"/>
          <w:color w:val="000000"/>
        </w:rPr>
        <w:t>cholangiocarcinoma</w:t>
      </w:r>
      <w:proofErr w:type="spellEnd"/>
      <w:r w:rsidR="002A5DD9" w:rsidRPr="002A5DD9">
        <w:rPr>
          <w:rFonts w:ascii="Book Antiqua" w:eastAsia="Book Antiqua" w:hAnsi="Book Antiqua" w:cs="Book Antiqua"/>
          <w:color w:val="000000"/>
        </w:rPr>
        <w:t>: A case report</w:t>
      </w:r>
      <w:r w:rsidR="006E0E22">
        <w:rPr>
          <w:rFonts w:ascii="Book Antiqua" w:eastAsia="Book Antiqua" w:hAnsi="Book Antiqua" w:cs="Book Antiqua"/>
          <w:color w:val="000000"/>
        </w:rPr>
        <w:t xml:space="preserve">. </w:t>
      </w:r>
      <w:r w:rsidR="006E0E22">
        <w:rPr>
          <w:rFonts w:ascii="Book Antiqua" w:eastAsia="Book Antiqua" w:hAnsi="Book Antiqua" w:cs="Book Antiqua"/>
          <w:i/>
          <w:iCs/>
          <w:color w:val="000000"/>
        </w:rPr>
        <w:t xml:space="preserve">World J </w:t>
      </w:r>
      <w:proofErr w:type="spellStart"/>
      <w:r w:rsidR="006E0E22">
        <w:rPr>
          <w:rFonts w:ascii="Book Antiqua" w:eastAsia="Book Antiqua" w:hAnsi="Book Antiqua" w:cs="Book Antiqua"/>
          <w:i/>
          <w:iCs/>
          <w:color w:val="000000"/>
        </w:rPr>
        <w:t>Clin</w:t>
      </w:r>
      <w:proofErr w:type="spellEnd"/>
      <w:r w:rsidR="006E0E22">
        <w:rPr>
          <w:rFonts w:ascii="Book Antiqua" w:eastAsia="Book Antiqua" w:hAnsi="Book Antiqua" w:cs="Book Antiqua"/>
          <w:i/>
          <w:iCs/>
          <w:color w:val="000000"/>
        </w:rPr>
        <w:t xml:space="preserve"> </w:t>
      </w:r>
      <w:proofErr w:type="spellStart"/>
      <w:r w:rsidR="006E0E22">
        <w:rPr>
          <w:rFonts w:ascii="Book Antiqua" w:eastAsia="Book Antiqua" w:hAnsi="Book Antiqua" w:cs="Book Antiqua"/>
          <w:i/>
          <w:iCs/>
          <w:color w:val="000000"/>
        </w:rPr>
        <w:t>Oncol</w:t>
      </w:r>
      <w:proofErr w:type="spellEnd"/>
      <w:r w:rsidR="006E0E22">
        <w:rPr>
          <w:rFonts w:ascii="Book Antiqua" w:eastAsia="Book Antiqua" w:hAnsi="Book Antiqua" w:cs="Book Antiqua"/>
          <w:color w:val="000000"/>
        </w:rPr>
        <w:t xml:space="preserve"> 2020; </w:t>
      </w:r>
      <w:r w:rsidR="00EB69E6" w:rsidRPr="00EB69E6">
        <w:rPr>
          <w:rFonts w:ascii="Book Antiqua" w:eastAsia="Book Antiqua" w:hAnsi="Book Antiqua" w:cs="Book Antiqua"/>
          <w:color w:val="000000"/>
        </w:rPr>
        <w:t>11(</w:t>
      </w:r>
      <w:r w:rsidR="00EB69E6" w:rsidRPr="00EB69E6">
        <w:rPr>
          <w:rFonts w:ascii="Book Antiqua" w:eastAsia="宋体" w:hAnsi="Book Antiqua" w:cs="Book Antiqua" w:hint="eastAsia"/>
          <w:color w:val="000000"/>
          <w:lang w:eastAsia="zh-CN"/>
        </w:rPr>
        <w:t>10</w:t>
      </w:r>
      <w:r w:rsidR="00EB69E6" w:rsidRPr="00EB69E6">
        <w:rPr>
          <w:rFonts w:ascii="Book Antiqua" w:eastAsia="Book Antiqua" w:hAnsi="Book Antiqua" w:cs="Book Antiqua"/>
          <w:color w:val="000000"/>
        </w:rPr>
        <w:t xml:space="preserve">): </w:t>
      </w:r>
      <w:r>
        <w:rPr>
          <w:rFonts w:ascii="Book Antiqua" w:hAnsi="Book Antiqua" w:cs="Book Antiqua" w:hint="eastAsia"/>
          <w:color w:val="000000"/>
          <w:lang w:eastAsia="zh-CN"/>
        </w:rPr>
        <w:t>844</w:t>
      </w:r>
      <w:r w:rsidR="00EB69E6" w:rsidRPr="00EB69E6">
        <w:rPr>
          <w:rFonts w:ascii="Book Antiqua" w:eastAsia="Book Antiqua" w:hAnsi="Book Antiqua" w:cs="Book Antiqua"/>
          <w:color w:val="000000"/>
        </w:rPr>
        <w:t>-</w:t>
      </w:r>
      <w:r>
        <w:rPr>
          <w:rFonts w:ascii="Book Antiqua" w:hAnsi="Book Antiqua" w:cs="Book Antiqua" w:hint="eastAsia"/>
          <w:color w:val="000000"/>
          <w:lang w:eastAsia="zh-CN"/>
        </w:rPr>
        <w:t>853</w:t>
      </w:r>
      <w:r w:rsidR="00EB69E6" w:rsidRPr="00EB69E6">
        <w:rPr>
          <w:rFonts w:ascii="Book Antiqua" w:eastAsia="Book Antiqua" w:hAnsi="Book Antiqua" w:cs="Book Antiqua"/>
          <w:color w:val="000000"/>
        </w:rPr>
        <w:t xml:space="preserve"> </w:t>
      </w:r>
    </w:p>
    <w:p w14:paraId="30B8331F" w14:textId="2E4E529B" w:rsidR="002A6120" w:rsidRDefault="00EB69E6">
      <w:pPr>
        <w:spacing w:line="360" w:lineRule="auto"/>
        <w:jc w:val="both"/>
        <w:rPr>
          <w:rFonts w:ascii="Book Antiqua" w:hAnsi="Book Antiqua" w:cs="Book Antiqua" w:hint="eastAsia"/>
          <w:color w:val="000000"/>
          <w:lang w:eastAsia="zh-CN"/>
        </w:rPr>
      </w:pPr>
      <w:r w:rsidRPr="002A6120">
        <w:rPr>
          <w:rFonts w:ascii="Book Antiqua" w:hAnsi="Book Antiqua" w:cs="Book Antiqua"/>
          <w:b/>
          <w:color w:val="000000"/>
          <w:lang w:eastAsia="zh-CN"/>
        </w:rPr>
        <w:t>URL:</w:t>
      </w:r>
      <w:r w:rsidRPr="00EB69E6">
        <w:rPr>
          <w:rFonts w:ascii="Book Antiqua" w:eastAsia="Book Antiqua" w:hAnsi="Book Antiqua" w:cs="Book Antiqua"/>
          <w:color w:val="000000"/>
        </w:rPr>
        <w:t xml:space="preserve"> </w:t>
      </w:r>
      <w:r w:rsidR="002A6120" w:rsidRPr="002A6120">
        <w:rPr>
          <w:rFonts w:ascii="Book Antiqua" w:eastAsia="Book Antiqua" w:hAnsi="Book Antiqua" w:cs="Book Antiqua"/>
          <w:color w:val="000000"/>
        </w:rPr>
        <w:t>https://www.wjgnet.com/2218-4333/full/v11/i</w:t>
      </w:r>
      <w:r w:rsidR="002A6120" w:rsidRPr="002A6120">
        <w:rPr>
          <w:rFonts w:ascii="Book Antiqua" w:eastAsia="宋体" w:hAnsi="Book Antiqua" w:cs="Book Antiqua" w:hint="eastAsia"/>
          <w:color w:val="000000"/>
          <w:lang w:eastAsia="zh-CN"/>
        </w:rPr>
        <w:t>10</w:t>
      </w:r>
      <w:r w:rsidR="002A6120" w:rsidRPr="002A6120">
        <w:rPr>
          <w:rFonts w:ascii="Book Antiqua" w:eastAsia="Book Antiqua" w:hAnsi="Book Antiqua" w:cs="Book Antiqua"/>
          <w:color w:val="000000"/>
        </w:rPr>
        <w:t>/</w:t>
      </w:r>
      <w:r w:rsidR="002A6120">
        <w:rPr>
          <w:rFonts w:ascii="Book Antiqua" w:hAnsi="Book Antiqua" w:cs="Book Antiqua" w:hint="eastAsia"/>
          <w:color w:val="000000"/>
          <w:lang w:eastAsia="zh-CN"/>
        </w:rPr>
        <w:t>844</w:t>
      </w:r>
      <w:r w:rsidR="002A6120" w:rsidRPr="002A6120">
        <w:rPr>
          <w:rFonts w:ascii="Book Antiqua" w:eastAsia="Book Antiqua" w:hAnsi="Book Antiqua" w:cs="Book Antiqua"/>
          <w:color w:val="000000"/>
        </w:rPr>
        <w:t>.htm</w:t>
      </w:r>
      <w:r w:rsidRPr="00EB69E6">
        <w:rPr>
          <w:rFonts w:ascii="Book Antiqua" w:eastAsia="Book Antiqua" w:hAnsi="Book Antiqua" w:cs="Book Antiqua"/>
          <w:color w:val="000000"/>
        </w:rPr>
        <w:t xml:space="preserve"> </w:t>
      </w:r>
    </w:p>
    <w:p w14:paraId="458A36C5" w14:textId="3D945752" w:rsidR="00A77B3E" w:rsidRPr="002A6120" w:rsidRDefault="00EB69E6">
      <w:pPr>
        <w:spacing w:line="360" w:lineRule="auto"/>
        <w:jc w:val="both"/>
        <w:rPr>
          <w:rFonts w:hint="eastAsia"/>
          <w:lang w:eastAsia="zh-CN"/>
        </w:rPr>
      </w:pPr>
      <w:r w:rsidRPr="002A6120">
        <w:rPr>
          <w:rFonts w:ascii="Book Antiqua" w:hAnsi="Book Antiqua" w:cs="Book Antiqua"/>
          <w:b/>
          <w:color w:val="000000"/>
          <w:lang w:eastAsia="zh-CN"/>
        </w:rPr>
        <w:t>DOI:</w:t>
      </w:r>
      <w:r w:rsidRPr="00EB69E6">
        <w:rPr>
          <w:rFonts w:ascii="Book Antiqua" w:eastAsia="Book Antiqua" w:hAnsi="Book Antiqua" w:cs="Book Antiqua"/>
          <w:color w:val="000000"/>
        </w:rPr>
        <w:t xml:space="preserve"> https://dx.doi.org/10.5306/wjco.v11.i</w:t>
      </w:r>
      <w:r w:rsidRPr="00EB69E6">
        <w:rPr>
          <w:rFonts w:ascii="Book Antiqua" w:eastAsia="宋体" w:hAnsi="Book Antiqua" w:cs="Book Antiqua" w:hint="eastAsia"/>
          <w:color w:val="000000"/>
          <w:lang w:eastAsia="zh-CN"/>
        </w:rPr>
        <w:t>10</w:t>
      </w:r>
      <w:r w:rsidRPr="00EB69E6">
        <w:rPr>
          <w:rFonts w:ascii="Book Antiqua" w:eastAsia="Book Antiqua" w:hAnsi="Book Antiqua" w:cs="Book Antiqua"/>
          <w:color w:val="000000"/>
        </w:rPr>
        <w:t>.</w:t>
      </w:r>
      <w:r w:rsidR="002A6120">
        <w:rPr>
          <w:rFonts w:ascii="Book Antiqua" w:hAnsi="Book Antiqua" w:cs="Book Antiqua" w:hint="eastAsia"/>
          <w:color w:val="000000"/>
          <w:lang w:eastAsia="zh-CN"/>
        </w:rPr>
        <w:t>844</w:t>
      </w:r>
      <w:bookmarkStart w:id="1" w:name="_GoBack"/>
      <w:bookmarkEnd w:id="1"/>
    </w:p>
    <w:p w14:paraId="6263F89C" w14:textId="77777777" w:rsidR="00A77B3E" w:rsidRDefault="00A77B3E">
      <w:pPr>
        <w:spacing w:line="360" w:lineRule="auto"/>
        <w:jc w:val="both"/>
      </w:pPr>
    </w:p>
    <w:p w14:paraId="6F69D286" w14:textId="27E98B26" w:rsidR="00A77B3E" w:rsidRDefault="006E0E22">
      <w:pPr>
        <w:spacing w:line="360" w:lineRule="auto"/>
        <w:jc w:val="both"/>
      </w:pPr>
      <w:r>
        <w:rPr>
          <w:rFonts w:ascii="Book Antiqua" w:eastAsia="Book Antiqua" w:hAnsi="Book Antiqua" w:cs="Book Antiqua"/>
          <w:b/>
          <w:bCs/>
          <w:color w:val="000000"/>
        </w:rPr>
        <w:t xml:space="preserve">Core </w:t>
      </w:r>
      <w:r w:rsidRPr="005507E0">
        <w:rPr>
          <w:rFonts w:ascii="Book Antiqua" w:eastAsia="Book Antiqua" w:hAnsi="Book Antiqua" w:cs="Book Antiqua"/>
          <w:b/>
          <w:bCs/>
          <w:caps/>
          <w:color w:val="000000"/>
        </w:rPr>
        <w:t>t</w:t>
      </w:r>
      <w:r>
        <w:rPr>
          <w:rFonts w:ascii="Book Antiqua" w:eastAsia="Book Antiqua" w:hAnsi="Book Antiqua" w:cs="Book Antiqua"/>
          <w:b/>
          <w:bCs/>
          <w:color w:val="000000"/>
        </w:rPr>
        <w:t xml:space="preserve">ip: </w:t>
      </w:r>
      <w:proofErr w:type="spellStart"/>
      <w:r>
        <w:rPr>
          <w:rFonts w:ascii="Book Antiqua" w:eastAsia="Book Antiqua" w:hAnsi="Book Antiqua" w:cs="Book Antiqua"/>
          <w:color w:val="000000"/>
        </w:rPr>
        <w:t>Cholangiocarcinomas</w:t>
      </w:r>
      <w:proofErr w:type="spellEnd"/>
      <w:r>
        <w:rPr>
          <w:rFonts w:ascii="Book Antiqua" w:eastAsia="Book Antiqua" w:hAnsi="Book Antiqua" w:cs="Book Antiqua"/>
          <w:color w:val="000000"/>
        </w:rPr>
        <w:t xml:space="preserve"> are very aggres</w:t>
      </w:r>
      <w:r w:rsidR="00CB2004">
        <w:rPr>
          <w:rFonts w:ascii="Book Antiqua" w:eastAsia="Book Antiqua" w:hAnsi="Book Antiqua" w:cs="Book Antiqua"/>
          <w:color w:val="000000"/>
        </w:rPr>
        <w:t>s</w:t>
      </w:r>
      <w:r>
        <w:rPr>
          <w:rFonts w:ascii="Book Antiqua" w:eastAsia="Book Antiqua" w:hAnsi="Book Antiqua" w:cs="Book Antiqua"/>
          <w:color w:val="000000"/>
        </w:rPr>
        <w:t xml:space="preserve">ive tumors. Most patients have advanced-stage disease at presentation and the efficacy of systemic therapies for this setting is limited. Albumin bound paclitaxel (nab-paclitaxel) has been approved in some cancers but not in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We present a clinical case of metastatic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treatment with second-line nab</w:t>
      </w:r>
      <w:r w:rsidR="00CB2004">
        <w:rPr>
          <w:rFonts w:ascii="Book Antiqua" w:eastAsia="Book Antiqua" w:hAnsi="Book Antiqua" w:cs="Book Antiqua"/>
          <w:color w:val="000000"/>
        </w:rPr>
        <w:t>-</w:t>
      </w:r>
      <w:r>
        <w:rPr>
          <w:rFonts w:ascii="Book Antiqua" w:eastAsia="Book Antiqua" w:hAnsi="Book Antiqua" w:cs="Book Antiqua"/>
          <w:color w:val="000000"/>
        </w:rPr>
        <w:t>paclitaxel and we review the preclinical and clinical evidence about its useful in these tumors.</w:t>
      </w:r>
    </w:p>
    <w:p w14:paraId="49BE61A7" w14:textId="19388E06" w:rsidR="00A77B3E" w:rsidRDefault="00CB2004">
      <w:pPr>
        <w:spacing w:line="360" w:lineRule="auto"/>
        <w:jc w:val="both"/>
      </w:pPr>
      <w:r>
        <w:rPr>
          <w:rFonts w:ascii="Book Antiqua" w:eastAsia="Book Antiqua" w:hAnsi="Book Antiqua" w:cs="Book Antiqua"/>
          <w:b/>
          <w:caps/>
          <w:color w:val="000000"/>
          <w:u w:val="single"/>
        </w:rPr>
        <w:br w:type="page"/>
      </w:r>
      <w:r w:rsidR="006E0E22">
        <w:rPr>
          <w:rFonts w:ascii="Book Antiqua" w:eastAsia="Book Antiqua" w:hAnsi="Book Antiqua" w:cs="Book Antiqua"/>
          <w:b/>
          <w:caps/>
          <w:color w:val="000000"/>
          <w:u w:val="single"/>
        </w:rPr>
        <w:lastRenderedPageBreak/>
        <w:t>INTRODUCTION</w:t>
      </w:r>
    </w:p>
    <w:p w14:paraId="27B530FD" w14:textId="77777777" w:rsidR="00A77B3E" w:rsidRDefault="006E0E22">
      <w:pPr>
        <w:spacing w:line="360" w:lineRule="auto"/>
        <w:jc w:val="both"/>
      </w:pP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(CC) is a tumor that arises from epithelial bile duct cells. Intrahepatic CC originates above second-order bile ducts, whereas the cystic duct is the anatomical point of distinction between </w:t>
      </w:r>
      <w:proofErr w:type="spellStart"/>
      <w:r>
        <w:rPr>
          <w:rFonts w:ascii="Book Antiqua" w:eastAsia="Book Antiqua" w:hAnsi="Book Antiqua" w:cs="Book Antiqua"/>
          <w:color w:val="000000"/>
          <w:szCs w:val="20"/>
        </w:rPr>
        <w:t>perihilar</w:t>
      </w:r>
      <w:proofErr w:type="spellEnd"/>
      <w:r>
        <w:rPr>
          <w:rFonts w:ascii="Book Antiqua" w:eastAsia="Book Antiqua" w:hAnsi="Book Antiqua" w:cs="Book Antiqua"/>
          <w:color w:val="000000"/>
          <w:szCs w:val="20"/>
        </w:rPr>
        <w:t xml:space="preserve"> and distal (</w:t>
      </w:r>
      <w:proofErr w:type="spellStart"/>
      <w:r>
        <w:rPr>
          <w:rFonts w:ascii="Book Antiqua" w:eastAsia="Book Antiqua" w:hAnsi="Book Antiqua" w:cs="Book Antiqua"/>
          <w:color w:val="000000"/>
          <w:szCs w:val="20"/>
        </w:rPr>
        <w:t>extrahepatic</w:t>
      </w:r>
      <w:proofErr w:type="spellEnd"/>
      <w:r>
        <w:rPr>
          <w:rFonts w:ascii="Book Antiqua" w:eastAsia="Book Antiqua" w:hAnsi="Book Antiqua" w:cs="Book Antiqua"/>
          <w:color w:val="000000"/>
          <w:szCs w:val="20"/>
        </w:rPr>
        <w:t xml:space="preserve">) </w:t>
      </w:r>
      <w:proofErr w:type="gramStart"/>
      <w:r>
        <w:rPr>
          <w:rFonts w:ascii="Book Antiqua" w:eastAsia="Book Antiqua" w:hAnsi="Book Antiqua" w:cs="Book Antiqua"/>
          <w:color w:val="000000"/>
          <w:szCs w:val="20"/>
        </w:rPr>
        <w:t>CC</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w:t>
      </w:r>
      <w:r>
        <w:rPr>
          <w:rFonts w:ascii="Book Antiqua" w:eastAsia="Book Antiqua" w:hAnsi="Book Antiqua" w:cs="Book Antiqua"/>
          <w:color w:val="000000"/>
          <w:szCs w:val="20"/>
        </w:rPr>
        <w:t>.</w:t>
      </w:r>
    </w:p>
    <w:p w14:paraId="6D253445" w14:textId="4036B4F1" w:rsidR="00A77B3E" w:rsidRDefault="006E0E22" w:rsidP="00380E7E">
      <w:pPr>
        <w:spacing w:line="360" w:lineRule="auto"/>
        <w:ind w:firstLineChars="100" w:firstLine="240"/>
        <w:jc w:val="both"/>
      </w:pPr>
      <w:r>
        <w:rPr>
          <w:rFonts w:ascii="Book Antiqua" w:eastAsia="Book Antiqua" w:hAnsi="Book Antiqua" w:cs="Book Antiqua"/>
          <w:color w:val="000000"/>
          <w:szCs w:val="20"/>
        </w:rPr>
        <w:t xml:space="preserve">This tumor type accounts for less than 3% of all gastrointestinal </w:t>
      </w:r>
      <w:proofErr w:type="gramStart"/>
      <w:r>
        <w:rPr>
          <w:rFonts w:ascii="Book Antiqua" w:eastAsia="Book Antiqua" w:hAnsi="Book Antiqua" w:cs="Book Antiqua"/>
          <w:color w:val="000000"/>
          <w:szCs w:val="20"/>
        </w:rPr>
        <w:t>cancers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Considering its location, intrahepatic disease is less frequent (between 10</w:t>
      </w:r>
      <w:r w:rsidR="006F44CC">
        <w:rPr>
          <w:rFonts w:ascii="Book Antiqua" w:eastAsia="Book Antiqua" w:hAnsi="Book Antiqua" w:cs="Book Antiqua"/>
          <w:color w:val="000000"/>
          <w:shd w:val="clear" w:color="auto" w:fill="FFFFFF"/>
        </w:rPr>
        <w:t>%</w:t>
      </w:r>
      <w:r w:rsidR="00380E7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20% of cases), whereas distal disease is more common (40% of total cases) and </w:t>
      </w:r>
      <w:proofErr w:type="spellStart"/>
      <w:r>
        <w:rPr>
          <w:rFonts w:ascii="Book Antiqua" w:eastAsia="Book Antiqua" w:hAnsi="Book Antiqua" w:cs="Book Antiqua"/>
          <w:color w:val="000000"/>
          <w:szCs w:val="20"/>
        </w:rPr>
        <w:t>perihilar</w:t>
      </w:r>
      <w:proofErr w:type="spellEnd"/>
      <w:r>
        <w:rPr>
          <w:rFonts w:ascii="Book Antiqua" w:eastAsia="Book Antiqua" w:hAnsi="Book Antiqua" w:cs="Book Antiqua"/>
          <w:color w:val="000000"/>
          <w:szCs w:val="20"/>
        </w:rPr>
        <w:t xml:space="preserve"> disease is most common (50% of cases</w:t>
      </w:r>
      <w:proofErr w:type="gramStart"/>
      <w:r>
        <w:rPr>
          <w:rFonts w:ascii="Book Antiqua" w:eastAsia="Book Antiqua" w:hAnsi="Book Antiqua" w:cs="Book Antiqua"/>
          <w:color w:val="000000"/>
          <w:szCs w:val="20"/>
        </w:rPr>
        <w:t>)</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3]</w:t>
      </w:r>
      <w:r>
        <w:rPr>
          <w:rFonts w:ascii="Book Antiqua" w:eastAsia="Book Antiqua" w:hAnsi="Book Antiqua" w:cs="Book Antiqua"/>
          <w:color w:val="000000"/>
          <w:szCs w:val="20"/>
        </w:rPr>
        <w:t>. However, the international classification (</w:t>
      </w:r>
      <w:r>
        <w:rPr>
          <w:rFonts w:ascii="Book Antiqua" w:eastAsia="Book Antiqua" w:hAnsi="Book Antiqua" w:cs="Book Antiqua"/>
          <w:i/>
          <w:iCs/>
          <w:color w:val="000000"/>
          <w:szCs w:val="20"/>
        </w:rPr>
        <w:t>i.e.</w:t>
      </w:r>
      <w:r w:rsidR="00380E7E" w:rsidRPr="00380E7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the ICD) of CC does not distinguish between </w:t>
      </w:r>
      <w:proofErr w:type="spellStart"/>
      <w:r>
        <w:rPr>
          <w:rFonts w:ascii="Book Antiqua" w:eastAsia="Book Antiqua" w:hAnsi="Book Antiqua" w:cs="Book Antiqua"/>
          <w:color w:val="000000"/>
          <w:szCs w:val="20"/>
        </w:rPr>
        <w:t>perihilar</w:t>
      </w:r>
      <w:proofErr w:type="spellEnd"/>
      <w:r>
        <w:rPr>
          <w:rFonts w:ascii="Book Antiqua" w:eastAsia="Book Antiqua" w:hAnsi="Book Antiqua" w:cs="Book Antiqua"/>
          <w:color w:val="000000"/>
          <w:szCs w:val="20"/>
        </w:rPr>
        <w:t xml:space="preserve"> and distal </w:t>
      </w:r>
      <w:proofErr w:type="gramStart"/>
      <w:r>
        <w:rPr>
          <w:rFonts w:ascii="Book Antiqua" w:eastAsia="Book Antiqua" w:hAnsi="Book Antiqua" w:cs="Book Antiqua"/>
          <w:color w:val="000000"/>
          <w:szCs w:val="20"/>
        </w:rPr>
        <w:t>CC</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xml:space="preserve">. Also, the American Cancer Society groups intrahepatic bile duct cancers together with primary liver cancers, while placing </w:t>
      </w:r>
      <w:proofErr w:type="spellStart"/>
      <w:r>
        <w:rPr>
          <w:rFonts w:ascii="Book Antiqua" w:eastAsia="Book Antiqua" w:hAnsi="Book Antiqua" w:cs="Book Antiqua"/>
          <w:color w:val="000000"/>
          <w:szCs w:val="20"/>
        </w:rPr>
        <w:t>extrahepatic</w:t>
      </w:r>
      <w:proofErr w:type="spellEnd"/>
      <w:r>
        <w:rPr>
          <w:rFonts w:ascii="Book Antiqua" w:eastAsia="Book Antiqua" w:hAnsi="Book Antiqua" w:cs="Book Antiqua"/>
          <w:color w:val="000000"/>
          <w:szCs w:val="20"/>
        </w:rPr>
        <w:t xml:space="preserve"> biliary cancers in a separate category that includes gallbladder cancer. Thus, incidence data on CC subtypes according to location are difficult to </w:t>
      </w:r>
      <w:proofErr w:type="gramStart"/>
      <w:r>
        <w:rPr>
          <w:rFonts w:ascii="Book Antiqua" w:eastAsia="Book Antiqua" w:hAnsi="Book Antiqua" w:cs="Book Antiqua"/>
          <w:color w:val="000000"/>
          <w:szCs w:val="20"/>
        </w:rPr>
        <w:t>interpret</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w:t>
      </w:r>
    </w:p>
    <w:p w14:paraId="47533D84" w14:textId="2722069A" w:rsidR="00A77B3E" w:rsidRDefault="006E0E22" w:rsidP="001D5350">
      <w:pPr>
        <w:spacing w:line="360" w:lineRule="auto"/>
        <w:ind w:firstLineChars="100" w:firstLine="240"/>
        <w:jc w:val="both"/>
      </w:pPr>
      <w:r>
        <w:rPr>
          <w:rFonts w:ascii="Book Antiqua" w:eastAsia="Book Antiqua" w:hAnsi="Book Antiqua" w:cs="Book Antiqua"/>
          <w:color w:val="000000"/>
          <w:szCs w:val="20"/>
        </w:rPr>
        <w:t xml:space="preserve">The incidence of intrahepatic CC is rising in the United States and </w:t>
      </w:r>
      <w:proofErr w:type="gramStart"/>
      <w:r>
        <w:rPr>
          <w:rFonts w:ascii="Book Antiqua" w:eastAsia="Book Antiqua" w:hAnsi="Book Antiqua" w:cs="Book Antiqua"/>
          <w:color w:val="000000"/>
          <w:szCs w:val="20"/>
        </w:rPr>
        <w:t>Europe</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6-8]</w:t>
      </w:r>
      <w:r>
        <w:rPr>
          <w:rFonts w:ascii="Book Antiqua" w:eastAsia="Book Antiqua" w:hAnsi="Book Antiqua" w:cs="Book Antiqua"/>
          <w:color w:val="000000"/>
          <w:szCs w:val="20"/>
        </w:rPr>
        <w:t>, although the proportion of early stage or smaller size lesions remains low without an observed increase</w:t>
      </w:r>
      <w:r>
        <w:rPr>
          <w:rFonts w:ascii="Book Antiqua" w:eastAsia="Book Antiqua" w:hAnsi="Book Antiqua" w:cs="Book Antiqua"/>
          <w:color w:val="000000"/>
          <w:szCs w:val="25"/>
          <w:vertAlign w:val="superscript"/>
        </w:rPr>
        <w:t>[7]</w:t>
      </w:r>
      <w:r>
        <w:rPr>
          <w:rFonts w:ascii="Book Antiqua" w:eastAsia="Book Antiqua" w:hAnsi="Book Antiqua" w:cs="Book Antiqua"/>
          <w:color w:val="000000"/>
          <w:szCs w:val="20"/>
        </w:rPr>
        <w:t xml:space="preserve">. The increasing incidence of intrahepatic CC may be due to new diagnostic methods for obstructive jaundice, or may be related to a concomitant increase in certain risk factors (cirrhosis, alcoholic liver disease, hepatitis C virus infection). </w:t>
      </w:r>
      <w:proofErr w:type="spellStart"/>
      <w:r>
        <w:rPr>
          <w:rFonts w:ascii="Book Antiqua" w:eastAsia="Book Antiqua" w:hAnsi="Book Antiqua" w:cs="Book Antiqua"/>
          <w:color w:val="000000"/>
          <w:szCs w:val="20"/>
        </w:rPr>
        <w:t>Extrahepatic</w:t>
      </w:r>
      <w:proofErr w:type="spellEnd"/>
      <w:r>
        <w:rPr>
          <w:rFonts w:ascii="Book Antiqua" w:eastAsia="Book Antiqua" w:hAnsi="Book Antiqua" w:cs="Book Antiqua"/>
          <w:color w:val="000000"/>
          <w:szCs w:val="20"/>
        </w:rPr>
        <w:t xml:space="preserve"> CC incidence is declining, and some of these differences may be due to changes in the </w:t>
      </w:r>
      <w:proofErr w:type="gramStart"/>
      <w:r>
        <w:rPr>
          <w:rFonts w:ascii="Book Antiqua" w:eastAsia="Book Antiqua" w:hAnsi="Book Antiqua" w:cs="Book Antiqua"/>
          <w:color w:val="000000"/>
          <w:szCs w:val="20"/>
        </w:rPr>
        <w:t>ICD</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w:t>
      </w:r>
    </w:p>
    <w:p w14:paraId="5F6BD3EF" w14:textId="77777777" w:rsidR="00A77B3E" w:rsidRDefault="006E0E22" w:rsidP="001D5350">
      <w:pPr>
        <w:spacing w:line="360" w:lineRule="auto"/>
        <w:ind w:firstLineChars="100" w:firstLine="240"/>
        <w:jc w:val="both"/>
      </w:pPr>
      <w:r>
        <w:rPr>
          <w:rFonts w:ascii="Book Antiqua" w:eastAsia="Book Antiqua" w:hAnsi="Book Antiqua" w:cs="Book Antiqua"/>
          <w:color w:val="000000"/>
          <w:szCs w:val="20"/>
        </w:rPr>
        <w:t xml:space="preserve">CCs are aggressive tumors, and only </w:t>
      </w:r>
      <w:proofErr w:type="gramStart"/>
      <w:r>
        <w:rPr>
          <w:rFonts w:ascii="Book Antiqua" w:eastAsia="Book Antiqua" w:hAnsi="Book Antiqua" w:cs="Book Antiqua"/>
          <w:color w:val="000000"/>
          <w:szCs w:val="20"/>
        </w:rPr>
        <w:t>a minority of patients (approximately 35%) have</w:t>
      </w:r>
      <w:proofErr w:type="gramEnd"/>
      <w:r>
        <w:rPr>
          <w:rFonts w:ascii="Book Antiqua" w:eastAsia="Book Antiqua" w:hAnsi="Book Antiqua" w:cs="Book Antiqua"/>
          <w:color w:val="000000"/>
          <w:szCs w:val="20"/>
        </w:rPr>
        <w:t xml:space="preserve"> early-stage disease that is amenable to surgical resection with curative intent. Most patients have advanced-stage disease at </w:t>
      </w:r>
      <w:proofErr w:type="gramStart"/>
      <w:r>
        <w:rPr>
          <w:rFonts w:ascii="Book Antiqua" w:eastAsia="Book Antiqua" w:hAnsi="Book Antiqua" w:cs="Book Antiqua"/>
          <w:color w:val="000000"/>
          <w:szCs w:val="20"/>
        </w:rPr>
        <w:t>presentation</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10]</w:t>
      </w:r>
      <w:r>
        <w:rPr>
          <w:rFonts w:ascii="Book Antiqua" w:eastAsia="Book Antiqua" w:hAnsi="Book Antiqua" w:cs="Book Antiqua"/>
          <w:color w:val="000000"/>
          <w:szCs w:val="20"/>
        </w:rPr>
        <w:t>, and the available systemic therapies for these patients have demonstrated limited efficacy; the median overall survival time with the current standard-of-care first-line chemotherapy (</w:t>
      </w:r>
      <w:proofErr w:type="spellStart"/>
      <w:r>
        <w:rPr>
          <w:rFonts w:ascii="Book Antiqua" w:eastAsia="Book Antiqua" w:hAnsi="Book Antiqua" w:cs="Book Antiqua"/>
          <w:color w:val="000000"/>
          <w:szCs w:val="20"/>
        </w:rPr>
        <w:t>cisplatin</w:t>
      </w:r>
      <w:proofErr w:type="spellEnd"/>
      <w:r>
        <w:rPr>
          <w:rFonts w:ascii="Book Antiqua" w:eastAsia="Book Antiqua" w:hAnsi="Book Antiqua" w:cs="Book Antiqua"/>
          <w:color w:val="000000"/>
          <w:szCs w:val="20"/>
        </w:rPr>
        <w:t xml:space="preserve"> and gemcitabine) is less than 1 year</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The development of new therapies is therefore essential.</w:t>
      </w:r>
    </w:p>
    <w:p w14:paraId="46AE4FA4" w14:textId="77777777" w:rsidR="00A77B3E" w:rsidRDefault="006E0E22" w:rsidP="001D5350">
      <w:pPr>
        <w:spacing w:line="360" w:lineRule="auto"/>
        <w:ind w:firstLineChars="100" w:firstLine="240"/>
        <w:jc w:val="both"/>
      </w:pPr>
      <w:r>
        <w:rPr>
          <w:rFonts w:ascii="Book Antiqua" w:eastAsia="Book Antiqua" w:hAnsi="Book Antiqua" w:cs="Book Antiqua"/>
          <w:color w:val="000000"/>
          <w:szCs w:val="20"/>
        </w:rPr>
        <w:t xml:space="preserve">Albumin-bound paclitaxel (nab-paclitaxel), a solvent-free </w:t>
      </w:r>
      <w:proofErr w:type="spellStart"/>
      <w:r>
        <w:rPr>
          <w:rFonts w:ascii="Book Antiqua" w:eastAsia="Book Antiqua" w:hAnsi="Book Antiqua" w:cs="Book Antiqua"/>
          <w:color w:val="000000"/>
          <w:szCs w:val="20"/>
        </w:rPr>
        <w:t>taxane</w:t>
      </w:r>
      <w:proofErr w:type="spellEnd"/>
      <w:r>
        <w:rPr>
          <w:rFonts w:ascii="Book Antiqua" w:eastAsia="Book Antiqua" w:hAnsi="Book Antiqua" w:cs="Book Antiqua"/>
          <w:color w:val="000000"/>
          <w:szCs w:val="20"/>
        </w:rPr>
        <w:t>, has been demonstrated to produce higher response rates and improved tolerability than solvent-</w:t>
      </w:r>
      <w:r>
        <w:rPr>
          <w:rFonts w:ascii="Book Antiqua" w:eastAsia="Book Antiqua" w:hAnsi="Book Antiqua" w:cs="Book Antiqua"/>
          <w:color w:val="000000"/>
          <w:szCs w:val="20"/>
        </w:rPr>
        <w:lastRenderedPageBreak/>
        <w:t xml:space="preserve">based formulations in patients with advanced metastatic breast cancer or non-small-cell lung cancer, among others tumor types. Additionally, it has not yet been proven to be efficacious in CC-based phase 3 clinical </w:t>
      </w:r>
      <w:proofErr w:type="gramStart"/>
      <w:r>
        <w:rPr>
          <w:rFonts w:ascii="Book Antiqua" w:eastAsia="Book Antiqua" w:hAnsi="Book Antiqua" w:cs="Book Antiqua"/>
          <w:color w:val="000000"/>
          <w:szCs w:val="20"/>
        </w:rPr>
        <w:t>trials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w:t>
      </w:r>
    </w:p>
    <w:p w14:paraId="28321BEC" w14:textId="4AAA17BC" w:rsidR="00A77B3E" w:rsidRDefault="006E0E22" w:rsidP="001D5350">
      <w:pPr>
        <w:spacing w:line="360" w:lineRule="auto"/>
        <w:ind w:firstLineChars="100" w:firstLine="240"/>
        <w:jc w:val="both"/>
      </w:pPr>
      <w:r>
        <w:rPr>
          <w:rFonts w:ascii="Book Antiqua" w:eastAsia="Book Antiqua" w:hAnsi="Book Antiqua" w:cs="Book Antiqua"/>
          <w:color w:val="000000"/>
          <w:szCs w:val="20"/>
        </w:rPr>
        <w:t>In this study, we present what is, to our knowledge, one of the first published cases in the literature on the use of nab-paclitaxel as treatment for metastatic CC. We demonstrate that this therapy achieves a significant clinical and serological response, and we thus encourage studying this drug as a new treatment option for patients with poor CC prognoses.</w:t>
      </w:r>
    </w:p>
    <w:p w14:paraId="2566024E" w14:textId="77777777" w:rsidR="00A77B3E" w:rsidRDefault="00A77B3E" w:rsidP="001D5350">
      <w:pPr>
        <w:spacing w:line="360" w:lineRule="auto"/>
        <w:jc w:val="both"/>
      </w:pPr>
    </w:p>
    <w:p w14:paraId="55732E72" w14:textId="77777777" w:rsidR="00A77B3E" w:rsidRDefault="006E0E22">
      <w:pPr>
        <w:spacing w:line="360" w:lineRule="auto"/>
        <w:jc w:val="both"/>
      </w:pPr>
      <w:r>
        <w:rPr>
          <w:rFonts w:ascii="Book Antiqua" w:eastAsia="Book Antiqua" w:hAnsi="Book Antiqua" w:cs="Book Antiqua"/>
          <w:b/>
          <w:caps/>
          <w:color w:val="000000"/>
          <w:u w:val="single"/>
        </w:rPr>
        <w:t>CASE PRESENTATION</w:t>
      </w:r>
    </w:p>
    <w:p w14:paraId="3EC9A986" w14:textId="77777777" w:rsidR="00A77B3E" w:rsidRDefault="006E0E22">
      <w:pPr>
        <w:spacing w:line="360" w:lineRule="auto"/>
        <w:jc w:val="both"/>
      </w:pPr>
      <w:r>
        <w:rPr>
          <w:rFonts w:ascii="Book Antiqua" w:eastAsia="Book Antiqua" w:hAnsi="Book Antiqua" w:cs="Book Antiqua"/>
          <w:b/>
          <w:i/>
          <w:color w:val="000000"/>
        </w:rPr>
        <w:t>Chief complaints</w:t>
      </w:r>
    </w:p>
    <w:p w14:paraId="597958EA" w14:textId="7D81CE9A" w:rsidR="00A77B3E" w:rsidRDefault="006E0E2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0"/>
        </w:rPr>
        <w:t xml:space="preserve">In December 2016, a 63-year-old male underwent a magnetic resonance cholangiography as an assessment for cholecystectomy surgery. A possible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was reported, appearing as a 20 mm </w:t>
      </w:r>
      <w:proofErr w:type="spellStart"/>
      <w:r>
        <w:rPr>
          <w:rFonts w:ascii="Book Antiqua" w:eastAsia="Book Antiqua" w:hAnsi="Book Antiqua" w:cs="Book Antiqua"/>
          <w:color w:val="000000"/>
          <w:szCs w:val="20"/>
        </w:rPr>
        <w:t>hypodense</w:t>
      </w:r>
      <w:proofErr w:type="spellEnd"/>
      <w:r>
        <w:rPr>
          <w:rFonts w:ascii="Book Antiqua" w:eastAsia="Book Antiqua" w:hAnsi="Book Antiqua" w:cs="Book Antiqua"/>
          <w:color w:val="000000"/>
          <w:szCs w:val="20"/>
        </w:rPr>
        <w:t xml:space="preserve"> intrahepatic mass at the right liver lobe. Confluence of the hepatic ducts was observed (Figure 1)</w:t>
      </w:r>
      <w:r w:rsidR="002F3FA6">
        <w:rPr>
          <w:rFonts w:ascii="Book Antiqua" w:eastAsia="Book Antiqua" w:hAnsi="Book Antiqua" w:cs="Book Antiqua"/>
          <w:color w:val="000000"/>
        </w:rPr>
        <w:t>.</w:t>
      </w:r>
    </w:p>
    <w:p w14:paraId="77DFF203" w14:textId="77777777" w:rsidR="00662197" w:rsidRDefault="00662197">
      <w:pPr>
        <w:spacing w:line="360" w:lineRule="auto"/>
        <w:jc w:val="both"/>
      </w:pPr>
    </w:p>
    <w:p w14:paraId="15C9196E" w14:textId="77777777" w:rsidR="00A77B3E" w:rsidRDefault="006E0E22">
      <w:pPr>
        <w:spacing w:line="360" w:lineRule="auto"/>
        <w:jc w:val="both"/>
      </w:pPr>
      <w:r>
        <w:rPr>
          <w:rFonts w:ascii="Book Antiqua" w:eastAsia="Book Antiqua" w:hAnsi="Book Antiqua" w:cs="Book Antiqua"/>
          <w:b/>
          <w:i/>
          <w:color w:val="000000"/>
        </w:rPr>
        <w:t>History of present illness</w:t>
      </w:r>
    </w:p>
    <w:p w14:paraId="5EE153CC" w14:textId="4AE6507C" w:rsidR="00A77B3E" w:rsidRDefault="006E0E22">
      <w:pPr>
        <w:spacing w:line="360" w:lineRule="auto"/>
        <w:jc w:val="both"/>
      </w:pPr>
      <w:r>
        <w:rPr>
          <w:rFonts w:ascii="Book Antiqua" w:eastAsia="Book Antiqua" w:hAnsi="Book Antiqua" w:cs="Book Antiqua"/>
          <w:color w:val="000000"/>
        </w:rPr>
        <w:t>In August 2018, a significant elevation of CA19-9 (294.4 IU/mL</w:t>
      </w:r>
      <w:r w:rsidR="002F3FA6">
        <w:rPr>
          <w:rFonts w:ascii="Book Antiqua" w:eastAsia="Book Antiqua" w:hAnsi="Book Antiqua" w:cs="Book Antiqua"/>
          <w:color w:val="000000"/>
        </w:rPr>
        <w:t>,</w:t>
      </w:r>
      <w:r>
        <w:rPr>
          <w:rFonts w:ascii="Book Antiqua" w:eastAsia="Book Antiqua" w:hAnsi="Book Antiqua" w:cs="Book Antiqua"/>
          <w:color w:val="000000"/>
        </w:rPr>
        <w:t xml:space="preserve"> Figure 2) was reported, although no relapse was observed in the </w:t>
      </w:r>
      <w:r w:rsidR="002F3FA6">
        <w:rPr>
          <w:rFonts w:ascii="Book Antiqua" w:eastAsia="Book Antiqua" w:hAnsi="Book Antiqua" w:cs="Book Antiqua"/>
          <w:color w:val="000000"/>
        </w:rPr>
        <w:t>c</w:t>
      </w:r>
      <w:r w:rsidR="002F3FA6" w:rsidRPr="002F3FA6">
        <w:rPr>
          <w:rFonts w:ascii="Book Antiqua" w:eastAsia="Book Antiqua" w:hAnsi="Book Antiqua" w:cs="Book Antiqua"/>
          <w:color w:val="000000"/>
        </w:rPr>
        <w:t xml:space="preserve">omputed tomography </w:t>
      </w:r>
      <w:r w:rsidR="002F3FA6">
        <w:rPr>
          <w:rFonts w:ascii="Book Antiqua" w:eastAsia="Book Antiqua" w:hAnsi="Book Antiqua" w:cs="Book Antiqua"/>
          <w:color w:val="000000"/>
        </w:rPr>
        <w:t>(</w:t>
      </w:r>
      <w:r>
        <w:rPr>
          <w:rFonts w:ascii="Book Antiqua" w:eastAsia="Book Antiqua" w:hAnsi="Book Antiqua" w:cs="Book Antiqua"/>
          <w:color w:val="000000"/>
        </w:rPr>
        <w:t>CT</w:t>
      </w:r>
      <w:r w:rsidR="002F3FA6">
        <w:rPr>
          <w:rFonts w:ascii="Book Antiqua" w:eastAsia="Book Antiqua" w:hAnsi="Book Antiqua" w:cs="Book Antiqua"/>
          <w:color w:val="000000"/>
        </w:rPr>
        <w:t>)</w:t>
      </w:r>
      <w:r>
        <w:rPr>
          <w:rFonts w:ascii="Book Antiqua" w:eastAsia="Book Antiqua" w:hAnsi="Book Antiqua" w:cs="Book Antiqua"/>
          <w:color w:val="000000"/>
        </w:rPr>
        <w:t xml:space="preserve"> scan. The patient was asymptomatic, and the liver blood test results were similar to those presented after surgery </w:t>
      </w:r>
      <w:r w:rsidR="002F3FA6">
        <w:rPr>
          <w:rFonts w:ascii="Book Antiqua" w:eastAsia="Book Antiqua" w:hAnsi="Book Antiqua" w:cs="Book Antiqua"/>
          <w:color w:val="000000"/>
        </w:rPr>
        <w:t>[</w:t>
      </w:r>
      <w:r>
        <w:rPr>
          <w:rFonts w:ascii="Book Antiqua" w:eastAsia="Book Antiqua" w:hAnsi="Book Antiqua" w:cs="Book Antiqua"/>
          <w:color w:val="000000"/>
        </w:rPr>
        <w:t xml:space="preserve">aspartate aminotransferase </w:t>
      </w:r>
      <w:r w:rsidR="002F3FA6">
        <w:rPr>
          <w:rFonts w:ascii="Book Antiqua" w:eastAsia="Book Antiqua" w:hAnsi="Book Antiqua" w:cs="Book Antiqua"/>
          <w:color w:val="000000"/>
        </w:rPr>
        <w:t>(</w:t>
      </w:r>
      <w:r>
        <w:rPr>
          <w:rFonts w:ascii="Book Antiqua" w:eastAsia="Book Antiqua" w:hAnsi="Book Antiqua" w:cs="Book Antiqua"/>
          <w:color w:val="000000"/>
        </w:rPr>
        <w:t>AST</w:t>
      </w:r>
      <w:r w:rsidR="002F3FA6">
        <w:rPr>
          <w:rFonts w:ascii="Book Antiqua" w:eastAsia="Book Antiqua" w:hAnsi="Book Antiqua" w:cs="Book Antiqua"/>
          <w:color w:val="000000"/>
        </w:rPr>
        <w:t>)</w:t>
      </w:r>
      <w:r>
        <w:rPr>
          <w:rFonts w:ascii="Book Antiqua" w:eastAsia="Book Antiqua" w:hAnsi="Book Antiqua" w:cs="Book Antiqua"/>
          <w:color w:val="000000"/>
        </w:rPr>
        <w:t xml:space="preserve"> 56 U/L, alanine aminotransferase </w:t>
      </w:r>
      <w:r w:rsidR="002F3FA6">
        <w:rPr>
          <w:rFonts w:ascii="Book Antiqua" w:eastAsia="Book Antiqua" w:hAnsi="Book Antiqua" w:cs="Book Antiqua"/>
          <w:color w:val="000000"/>
        </w:rPr>
        <w:t>(</w:t>
      </w:r>
      <w:r>
        <w:rPr>
          <w:rFonts w:ascii="Book Antiqua" w:eastAsia="Book Antiqua" w:hAnsi="Book Antiqua" w:cs="Book Antiqua"/>
          <w:color w:val="000000"/>
        </w:rPr>
        <w:t>ALT</w:t>
      </w:r>
      <w:r w:rsidR="002F3FA6">
        <w:rPr>
          <w:rFonts w:ascii="Book Antiqua" w:eastAsia="Book Antiqua" w:hAnsi="Book Antiqua" w:cs="Book Antiqua"/>
          <w:color w:val="000000"/>
        </w:rPr>
        <w:t>)</w:t>
      </w:r>
      <w:r>
        <w:rPr>
          <w:rFonts w:ascii="Book Antiqua" w:eastAsia="Book Antiqua" w:hAnsi="Book Antiqua" w:cs="Book Antiqua"/>
          <w:color w:val="000000"/>
        </w:rPr>
        <w:t xml:space="preserve"> 97 U/L, gamma-</w:t>
      </w:r>
      <w:proofErr w:type="spellStart"/>
      <w:r>
        <w:rPr>
          <w:rFonts w:ascii="Book Antiqua" w:eastAsia="Book Antiqua" w:hAnsi="Book Antiqua" w:cs="Book Antiqua"/>
          <w:color w:val="000000"/>
        </w:rPr>
        <w:t>glutamyltransferase</w:t>
      </w:r>
      <w:proofErr w:type="spellEnd"/>
      <w:r>
        <w:rPr>
          <w:rFonts w:ascii="Book Antiqua" w:eastAsia="Book Antiqua" w:hAnsi="Book Antiqua" w:cs="Book Antiqua"/>
          <w:color w:val="000000"/>
        </w:rPr>
        <w:t xml:space="preserve"> </w:t>
      </w:r>
      <w:r w:rsidR="002F3FA6">
        <w:rPr>
          <w:rFonts w:ascii="Book Antiqua" w:eastAsia="Book Antiqua" w:hAnsi="Book Antiqua" w:cs="Book Antiqua"/>
          <w:color w:val="000000"/>
        </w:rPr>
        <w:t>(</w:t>
      </w:r>
      <w:r>
        <w:rPr>
          <w:rFonts w:ascii="Book Antiqua" w:eastAsia="Book Antiqua" w:hAnsi="Book Antiqua" w:cs="Book Antiqua"/>
          <w:color w:val="000000"/>
        </w:rPr>
        <w:t>GGT</w:t>
      </w:r>
      <w:r w:rsidR="002F3FA6">
        <w:rPr>
          <w:rFonts w:ascii="Book Antiqua" w:eastAsia="Book Antiqua" w:hAnsi="Book Antiqua" w:cs="Book Antiqua"/>
          <w:color w:val="000000"/>
        </w:rPr>
        <w:t>)</w:t>
      </w:r>
      <w:r>
        <w:rPr>
          <w:rFonts w:ascii="Book Antiqua" w:eastAsia="Book Antiqua" w:hAnsi="Book Antiqua" w:cs="Book Antiqua"/>
          <w:color w:val="000000"/>
        </w:rPr>
        <w:t xml:space="preserve"> 455 U/L, </w:t>
      </w:r>
      <w:proofErr w:type="gramStart"/>
      <w:r>
        <w:rPr>
          <w:rFonts w:ascii="Book Antiqua" w:eastAsia="Book Antiqua" w:hAnsi="Book Antiqua" w:cs="Book Antiqua"/>
          <w:color w:val="000000"/>
        </w:rPr>
        <w:t>alkaline</w:t>
      </w:r>
      <w:proofErr w:type="gramEnd"/>
      <w:r>
        <w:rPr>
          <w:rFonts w:ascii="Book Antiqua" w:eastAsia="Book Antiqua" w:hAnsi="Book Antiqua" w:cs="Book Antiqua"/>
          <w:color w:val="000000"/>
        </w:rPr>
        <w:t xml:space="preserve"> phosphatase </w:t>
      </w:r>
      <w:r w:rsidR="002F3FA6">
        <w:rPr>
          <w:rFonts w:ascii="Book Antiqua" w:eastAsia="Book Antiqua" w:hAnsi="Book Antiqua" w:cs="Book Antiqua"/>
          <w:color w:val="000000"/>
        </w:rPr>
        <w:t>(</w:t>
      </w:r>
      <w:r>
        <w:rPr>
          <w:rFonts w:ascii="Book Antiqua" w:eastAsia="Book Antiqua" w:hAnsi="Book Antiqua" w:cs="Book Antiqua"/>
          <w:color w:val="000000"/>
        </w:rPr>
        <w:t>FA</w:t>
      </w:r>
      <w:r w:rsidR="002F3FA6">
        <w:rPr>
          <w:rFonts w:ascii="Book Antiqua" w:eastAsia="Book Antiqua" w:hAnsi="Book Antiqua" w:cs="Book Antiqua"/>
          <w:color w:val="000000"/>
        </w:rPr>
        <w:t>)</w:t>
      </w:r>
      <w:r>
        <w:rPr>
          <w:rFonts w:ascii="Book Antiqua" w:eastAsia="Book Antiqua" w:hAnsi="Book Antiqua" w:cs="Book Antiqua"/>
          <w:color w:val="000000"/>
        </w:rPr>
        <w:t xml:space="preserve"> 187 U/L</w:t>
      </w:r>
      <w:r w:rsidR="002F3FA6">
        <w:rPr>
          <w:rFonts w:ascii="Book Antiqua" w:eastAsia="Book Antiqua" w:hAnsi="Book Antiqua" w:cs="Book Antiqua"/>
          <w:color w:val="000000"/>
        </w:rPr>
        <w:t>]</w:t>
      </w:r>
      <w:r>
        <w:rPr>
          <w:rFonts w:ascii="Book Antiqua" w:eastAsia="Book Antiqua" w:hAnsi="Book Antiqua" w:cs="Book Antiqua"/>
          <w:color w:val="000000"/>
        </w:rPr>
        <w:t>. Close monitoring was implemented.</w:t>
      </w:r>
    </w:p>
    <w:p w14:paraId="055893DA" w14:textId="6260805A" w:rsidR="00A77B3E" w:rsidRDefault="006E0E22" w:rsidP="002F3FA6">
      <w:pPr>
        <w:spacing w:line="360" w:lineRule="auto"/>
        <w:ind w:firstLineChars="100" w:firstLine="240"/>
        <w:jc w:val="both"/>
      </w:pPr>
      <w:r>
        <w:rPr>
          <w:rFonts w:ascii="Book Antiqua" w:eastAsia="Book Antiqua" w:hAnsi="Book Antiqua" w:cs="Book Antiqua"/>
          <w:color w:val="000000"/>
        </w:rPr>
        <w:t>In September 2018, CA19-9 continued to increase (513.2 IU/mL</w:t>
      </w:r>
      <w:r w:rsidR="002F3FA6">
        <w:rPr>
          <w:rFonts w:ascii="Book Antiqua" w:eastAsia="Book Antiqua" w:hAnsi="Book Antiqua" w:cs="Book Antiqua"/>
          <w:color w:val="000000"/>
        </w:rPr>
        <w:t xml:space="preserve">, </w:t>
      </w:r>
      <w:r>
        <w:rPr>
          <w:rFonts w:ascii="Book Antiqua" w:eastAsia="Book Antiqua" w:hAnsi="Book Antiqua" w:cs="Book Antiqua"/>
          <w:color w:val="000000"/>
        </w:rPr>
        <w:t>Figure 2). However, the CT scan did not reveal disease relapse. In January 2019, the patient was admitted for cholangitis. A magnetic resonance cholangiography was performed, and no changes were observed in the liver. After discharge in February 2019, close follow-up was continued.</w:t>
      </w:r>
    </w:p>
    <w:p w14:paraId="322CC466" w14:textId="59851D2D" w:rsidR="00A77B3E" w:rsidRDefault="006E0E22" w:rsidP="002F3FA6">
      <w:pPr>
        <w:spacing w:line="360" w:lineRule="auto"/>
        <w:ind w:firstLineChars="100" w:firstLine="240"/>
        <w:jc w:val="both"/>
      </w:pPr>
      <w:r>
        <w:rPr>
          <w:rFonts w:ascii="Book Antiqua" w:eastAsia="Book Antiqua" w:hAnsi="Book Antiqua" w:cs="Book Antiqua"/>
          <w:color w:val="000000"/>
        </w:rPr>
        <w:lastRenderedPageBreak/>
        <w:t>During the following months, the patient experienced clinical deterioration, which included stomach-ache, dyspepsia, and loss of 4 kg of weight. A slight deterioration in the liver blood test was seen (AST 83 U/L, ALT 125 U/L, GGT 1580 U/L, FA 308 U/L) and a progressive rise in CA19-9 was also observed (from 671.3 IU/mL in February 2019 to 3220.9 IU/mL at the end of April 2019</w:t>
      </w:r>
      <w:r w:rsidR="002F3FA6">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 A </w:t>
      </w:r>
      <w:r w:rsidR="00E252D3">
        <w:rPr>
          <w:rFonts w:ascii="Book Antiqua" w:eastAsia="Book Antiqua" w:hAnsi="Book Antiqua" w:cs="Book Antiqua"/>
          <w:color w:val="000000"/>
        </w:rPr>
        <w:t>thorax-abdomen-pelvis computerized tomography (</w:t>
      </w:r>
      <w:r>
        <w:rPr>
          <w:rFonts w:ascii="Book Antiqua" w:eastAsia="Book Antiqua" w:hAnsi="Book Antiqua" w:cs="Book Antiqua"/>
          <w:color w:val="000000"/>
        </w:rPr>
        <w:t>TAP</w:t>
      </w:r>
      <w:r w:rsidR="00E252D3">
        <w:rPr>
          <w:rFonts w:ascii="Book Antiqua" w:eastAsia="Book Antiqua" w:hAnsi="Book Antiqua" w:cs="Book Antiqua"/>
          <w:color w:val="000000"/>
        </w:rPr>
        <w:t>-</w:t>
      </w:r>
      <w:r>
        <w:rPr>
          <w:rFonts w:ascii="Book Antiqua" w:eastAsia="Book Antiqua" w:hAnsi="Book Antiqua" w:cs="Book Antiqua"/>
          <w:color w:val="000000"/>
        </w:rPr>
        <w:t>CT</w:t>
      </w:r>
      <w:r w:rsidR="00E252D3">
        <w:rPr>
          <w:rFonts w:ascii="Book Antiqua" w:eastAsia="Book Antiqua" w:hAnsi="Book Antiqua" w:cs="Book Antiqua"/>
          <w:color w:val="000000"/>
        </w:rPr>
        <w:t>)</w:t>
      </w:r>
      <w:r>
        <w:rPr>
          <w:rFonts w:ascii="Book Antiqua" w:eastAsia="Book Antiqua" w:hAnsi="Book Antiqua" w:cs="Book Antiqua"/>
          <w:color w:val="000000"/>
        </w:rPr>
        <w:t xml:space="preserve"> scan was requested, and no disease relapse was observed. Given the high suspicion of relapse, a positron emission tomography-CT was performed in April 2019. Multiple supraclavicular,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and bilateral </w:t>
      </w:r>
      <w:proofErr w:type="spellStart"/>
      <w:r>
        <w:rPr>
          <w:rFonts w:ascii="Book Antiqua" w:eastAsia="Book Antiqua" w:hAnsi="Book Antiqua" w:cs="Book Antiqua"/>
          <w:color w:val="000000"/>
        </w:rPr>
        <w:t>hilar</w:t>
      </w:r>
      <w:proofErr w:type="spellEnd"/>
      <w:r>
        <w:rPr>
          <w:rFonts w:ascii="Book Antiqua" w:eastAsia="Book Antiqua" w:hAnsi="Book Antiqua" w:cs="Book Antiqua"/>
          <w:color w:val="000000"/>
        </w:rPr>
        <w:t xml:space="preserve"> lymphadenopathies, as well as segment </w:t>
      </w:r>
      <w:proofErr w:type="spellStart"/>
      <w:r>
        <w:rPr>
          <w:rFonts w:ascii="Book Antiqua" w:eastAsia="Book Antiqua" w:hAnsi="Book Antiqua" w:cs="Book Antiqua"/>
          <w:color w:val="000000"/>
        </w:rPr>
        <w:t>IVa</w:t>
      </w:r>
      <w:proofErr w:type="spellEnd"/>
      <w:r>
        <w:rPr>
          <w:rFonts w:ascii="Book Antiqua" w:eastAsia="Book Antiqua" w:hAnsi="Book Antiqua" w:cs="Book Antiqua"/>
          <w:color w:val="000000"/>
        </w:rPr>
        <w:t xml:space="preserve"> liver nodes and increased soft tissue in the celiac trunk region; all showed increased metabolic activity (Figure 3).</w:t>
      </w:r>
    </w:p>
    <w:p w14:paraId="7A774B5A" w14:textId="5CAB3B7A" w:rsidR="00A77B3E" w:rsidRDefault="006E0E22" w:rsidP="007C6267">
      <w:pPr>
        <w:spacing w:line="360" w:lineRule="auto"/>
        <w:ind w:firstLineChars="100" w:firstLine="240"/>
        <w:jc w:val="both"/>
      </w:pPr>
      <w:r>
        <w:rPr>
          <w:rFonts w:ascii="Book Antiqua" w:eastAsia="Book Antiqua" w:hAnsi="Book Antiqua" w:cs="Book Antiqua"/>
          <w:color w:val="000000"/>
          <w:szCs w:val="20"/>
        </w:rPr>
        <w:t xml:space="preserve">After 25 </w:t>
      </w:r>
      <w:proofErr w:type="spellStart"/>
      <w:proofErr w:type="gramStart"/>
      <w:r>
        <w:rPr>
          <w:rFonts w:ascii="Book Antiqua" w:eastAsia="Book Antiqua" w:hAnsi="Book Antiqua" w:cs="Book Antiqua"/>
          <w:color w:val="000000"/>
          <w:szCs w:val="20"/>
        </w:rPr>
        <w:t>mo</w:t>
      </w:r>
      <w:proofErr w:type="spellEnd"/>
      <w:proofErr w:type="gramEnd"/>
      <w:r>
        <w:rPr>
          <w:rFonts w:ascii="Book Antiqua" w:eastAsia="Book Antiqua" w:hAnsi="Book Antiqua" w:cs="Book Antiqua"/>
          <w:color w:val="000000"/>
          <w:szCs w:val="20"/>
        </w:rPr>
        <w:t xml:space="preserve"> without signs of radiological disease, a relapse of stage IV intrahepatic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was diagnosed. We recommended that the patient begin </w:t>
      </w:r>
      <w:proofErr w:type="gramStart"/>
      <w:r>
        <w:rPr>
          <w:rFonts w:ascii="Book Antiqua" w:eastAsia="Book Antiqua" w:hAnsi="Book Antiqua" w:cs="Book Antiqua"/>
          <w:color w:val="000000"/>
          <w:szCs w:val="20"/>
        </w:rPr>
        <w:t>a first</w:t>
      </w:r>
      <w:proofErr w:type="gramEnd"/>
      <w:r>
        <w:rPr>
          <w:rFonts w:ascii="Book Antiqua" w:eastAsia="Book Antiqua" w:hAnsi="Book Antiqua" w:cs="Book Antiqua"/>
          <w:color w:val="000000"/>
          <w:szCs w:val="20"/>
        </w:rPr>
        <w:t xml:space="preserve">-line chemotherapy with </w:t>
      </w:r>
      <w:proofErr w:type="spellStart"/>
      <w:r>
        <w:rPr>
          <w:rFonts w:ascii="Book Antiqua" w:eastAsia="Book Antiqua" w:hAnsi="Book Antiqua" w:cs="Book Antiqua"/>
          <w:color w:val="000000"/>
          <w:szCs w:val="20"/>
        </w:rPr>
        <w:t>cisplatin</w:t>
      </w:r>
      <w:proofErr w:type="spellEnd"/>
      <w:r>
        <w:rPr>
          <w:rFonts w:ascii="Book Antiqua" w:eastAsia="Book Antiqua" w:hAnsi="Book Antiqua" w:cs="Book Antiqua"/>
          <w:color w:val="000000"/>
          <w:szCs w:val="20"/>
        </w:rPr>
        <w:t xml:space="preserve"> and gemcitabine at the usual doses. However, since a poor tolerance to gemcitabine was previously presented, we decided to instead begin with the FOLFOX6 treatment scheme.</w:t>
      </w:r>
    </w:p>
    <w:p w14:paraId="4D92B4C7" w14:textId="26B0890E" w:rsidR="00A77B3E" w:rsidRDefault="006E0E22" w:rsidP="007C626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FOLFOX6 treatment began in April 2019. Initial clinical improvement in cancer-related asthenia was observed, as well as a significant decrease in CA19-9 blood levels (from 3592 IU/mL in May 2019, after two cycles of FOLFOX, to 1138.8 IU/mL in August 2019, after eight cycles of FOLFOX</w:t>
      </w:r>
      <w:r w:rsidR="007C6267">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 Grade 1 neurotoxicity and grade 1 rectal bleeding from hemorrhoids were the principal clinical chemotherapy-related toxicities that occurred. After cycle 4, grade 1 </w:t>
      </w:r>
      <w:proofErr w:type="spellStart"/>
      <w:r>
        <w:rPr>
          <w:rFonts w:ascii="Book Antiqua" w:eastAsia="Book Antiqua" w:hAnsi="Book Antiqua" w:cs="Book Antiqua"/>
          <w:color w:val="000000"/>
        </w:rPr>
        <w:t>thrombopenia</w:t>
      </w:r>
      <w:proofErr w:type="spellEnd"/>
      <w:r>
        <w:rPr>
          <w:rFonts w:ascii="Book Antiqua" w:eastAsia="Book Antiqua" w:hAnsi="Book Antiqua" w:cs="Book Antiqua"/>
          <w:color w:val="000000"/>
        </w:rPr>
        <w:t xml:space="preserve"> was presented, and cycles 5, 6, and 7 were scheduled without a 5-fluorouracil bolus. Grade 2 </w:t>
      </w:r>
      <w:proofErr w:type="spellStart"/>
      <w:r>
        <w:rPr>
          <w:rFonts w:ascii="Book Antiqua" w:eastAsia="Book Antiqua" w:hAnsi="Book Antiqua" w:cs="Book Antiqua"/>
          <w:color w:val="000000"/>
        </w:rPr>
        <w:t>thrombopenia</w:t>
      </w:r>
      <w:proofErr w:type="spellEnd"/>
      <w:r>
        <w:rPr>
          <w:rFonts w:ascii="Book Antiqua" w:eastAsia="Book Antiqua" w:hAnsi="Book Antiqua" w:cs="Book Antiqua"/>
          <w:color w:val="000000"/>
        </w:rPr>
        <w:t xml:space="preserve"> was then observed, and the administration of cycle 8 was delayed for 1 wk. In July 2019, CT scans were performed (prior to cycle 8) and segment IV liver nodes were not identified, as reported in the previous study (Figure 4). However, a small amount of free fluid in the pelvis, as well as a thickening of the peritoneal leaves, appeared. A mixed response was also considered. Given the improving clinical status of the patient, the same treatment was continued, and cycle 8 was administered with a 10% decrease in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dose.</w:t>
      </w:r>
    </w:p>
    <w:p w14:paraId="5D86AA96" w14:textId="77777777" w:rsidR="00DA7582" w:rsidRDefault="00DA7582" w:rsidP="00DA7582">
      <w:pPr>
        <w:spacing w:line="360" w:lineRule="auto"/>
        <w:jc w:val="both"/>
      </w:pPr>
    </w:p>
    <w:p w14:paraId="68CF339E" w14:textId="77777777" w:rsidR="00DA7582" w:rsidRDefault="00DA7582" w:rsidP="00DA7582">
      <w:pPr>
        <w:spacing w:line="360" w:lineRule="auto"/>
        <w:jc w:val="both"/>
      </w:pPr>
      <w:r>
        <w:rPr>
          <w:rFonts w:ascii="Book Antiqua" w:eastAsia="Book Antiqua" w:hAnsi="Book Antiqua" w:cs="Book Antiqua"/>
          <w:b/>
          <w:i/>
          <w:color w:val="000000"/>
        </w:rPr>
        <w:lastRenderedPageBreak/>
        <w:t>History of past illness</w:t>
      </w:r>
    </w:p>
    <w:p w14:paraId="6FFC2384" w14:textId="77777777" w:rsidR="00DA7582" w:rsidRDefault="00DA7582" w:rsidP="00DA7582">
      <w:pPr>
        <w:spacing w:line="360" w:lineRule="auto"/>
        <w:jc w:val="both"/>
      </w:pPr>
      <w:r>
        <w:rPr>
          <w:rFonts w:ascii="Book Antiqua" w:eastAsia="Book Antiqua" w:hAnsi="Book Antiqua" w:cs="Book Antiqua"/>
          <w:color w:val="000000"/>
        </w:rPr>
        <w:t>The patient was referred to our center for surgical evaluation. A TAP-CT scan and blood tests were performed. Distant metastases were not observed, and CA19-9 tumor markers were found to be elevated (3494 IU/mL, Figure 2).</w:t>
      </w:r>
    </w:p>
    <w:p w14:paraId="36EB671B" w14:textId="77777777" w:rsidR="00DA7582" w:rsidRDefault="00DA7582" w:rsidP="00DA7582">
      <w:pPr>
        <w:spacing w:line="360" w:lineRule="auto"/>
        <w:ind w:firstLineChars="100" w:firstLine="240"/>
        <w:jc w:val="both"/>
      </w:pPr>
      <w:r>
        <w:rPr>
          <w:rFonts w:ascii="Book Antiqua" w:eastAsia="Book Antiqua" w:hAnsi="Book Antiqua" w:cs="Book Antiqua"/>
          <w:color w:val="000000"/>
          <w:szCs w:val="20"/>
        </w:rPr>
        <w:t xml:space="preserve">In March 2017, after a right portal embolization was performed that caused compensatory hypertrophy in the left liver lobe, the patient underwent surgery. A </w:t>
      </w:r>
      <w:proofErr w:type="spellStart"/>
      <w:r>
        <w:rPr>
          <w:rFonts w:ascii="Book Antiqua" w:eastAsia="Book Antiqua" w:hAnsi="Book Antiqua" w:cs="Book Antiqua"/>
          <w:color w:val="000000"/>
          <w:szCs w:val="20"/>
        </w:rPr>
        <w:t>hilar</w:t>
      </w:r>
      <w:proofErr w:type="spellEnd"/>
      <w:r>
        <w:rPr>
          <w:rFonts w:ascii="Book Antiqua" w:eastAsia="Book Antiqua" w:hAnsi="Book Antiqua" w:cs="Book Antiqua"/>
          <w:color w:val="000000"/>
          <w:szCs w:val="20"/>
        </w:rPr>
        <w:t xml:space="preserve"> tumor with right portal involvement was found. Resection of the </w:t>
      </w:r>
      <w:proofErr w:type="spellStart"/>
      <w:r>
        <w:rPr>
          <w:rFonts w:ascii="Book Antiqua" w:eastAsia="Book Antiqua" w:hAnsi="Book Antiqua" w:cs="Book Antiqua"/>
          <w:color w:val="000000"/>
          <w:szCs w:val="20"/>
        </w:rPr>
        <w:t>extrahepatic</w:t>
      </w:r>
      <w:proofErr w:type="spellEnd"/>
      <w:r>
        <w:rPr>
          <w:rFonts w:ascii="Book Antiqua" w:eastAsia="Book Antiqua" w:hAnsi="Book Antiqua" w:cs="Book Antiqua"/>
          <w:color w:val="000000"/>
          <w:szCs w:val="20"/>
        </w:rPr>
        <w:t xml:space="preserve"> bile duct with right </w:t>
      </w:r>
      <w:proofErr w:type="spellStart"/>
      <w:r>
        <w:rPr>
          <w:rFonts w:ascii="Book Antiqua" w:eastAsia="Book Antiqua" w:hAnsi="Book Antiqua" w:cs="Book Antiqua"/>
          <w:color w:val="000000"/>
          <w:szCs w:val="20"/>
        </w:rPr>
        <w:t>trisegmentectomy</w:t>
      </w:r>
      <w:proofErr w:type="spellEnd"/>
      <w:r>
        <w:rPr>
          <w:rFonts w:ascii="Book Antiqua" w:eastAsia="Book Antiqua" w:hAnsi="Book Antiqua" w:cs="Book Antiqua"/>
          <w:color w:val="000000"/>
          <w:szCs w:val="20"/>
        </w:rPr>
        <w:t xml:space="preserve"> extended to segment 1 and portal resection were both performed.</w:t>
      </w:r>
    </w:p>
    <w:p w14:paraId="7FDF3CDD" w14:textId="77777777" w:rsidR="00DA7582" w:rsidRDefault="00DA7582" w:rsidP="00DA7582">
      <w:pPr>
        <w:spacing w:line="360" w:lineRule="auto"/>
        <w:ind w:firstLineChars="100" w:firstLine="240"/>
        <w:jc w:val="both"/>
      </w:pPr>
      <w:r>
        <w:rPr>
          <w:rFonts w:ascii="Book Antiqua" w:eastAsia="Book Antiqua" w:hAnsi="Book Antiqua" w:cs="Book Antiqua"/>
          <w:color w:val="000000"/>
          <w:szCs w:val="20"/>
        </w:rPr>
        <w:t xml:space="preserve">The pathology report revealed a moderately differentiated intrahepatic </w:t>
      </w:r>
      <w:proofErr w:type="spellStart"/>
      <w:r>
        <w:rPr>
          <w:rFonts w:ascii="Book Antiqua" w:eastAsia="Book Antiqua" w:hAnsi="Book Antiqua" w:cs="Book Antiqua"/>
          <w:color w:val="000000"/>
          <w:szCs w:val="20"/>
        </w:rPr>
        <w:t>hilar</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infiltrating the liver parenchyma, </w:t>
      </w:r>
      <w:proofErr w:type="spellStart"/>
      <w:r>
        <w:rPr>
          <w:rFonts w:ascii="Book Antiqua" w:eastAsia="Book Antiqua" w:hAnsi="Book Antiqua" w:cs="Book Antiqua"/>
          <w:color w:val="000000"/>
          <w:szCs w:val="20"/>
        </w:rPr>
        <w:t>perihilar</w:t>
      </w:r>
      <w:proofErr w:type="spellEnd"/>
      <w:r>
        <w:rPr>
          <w:rFonts w:ascii="Book Antiqua" w:eastAsia="Book Antiqua" w:hAnsi="Book Antiqua" w:cs="Book Antiqua"/>
          <w:color w:val="000000"/>
          <w:szCs w:val="20"/>
        </w:rPr>
        <w:t xml:space="preserve"> adipose tissue, cystic duct, and gallbladder neck. Frequent </w:t>
      </w:r>
      <w:proofErr w:type="spellStart"/>
      <w:r>
        <w:rPr>
          <w:rFonts w:ascii="Book Antiqua" w:eastAsia="Book Antiqua" w:hAnsi="Book Antiqua" w:cs="Book Antiqua"/>
          <w:color w:val="000000"/>
          <w:szCs w:val="20"/>
        </w:rPr>
        <w:t>perineural</w:t>
      </w:r>
      <w:proofErr w:type="spellEnd"/>
      <w:r>
        <w:rPr>
          <w:rFonts w:ascii="Book Antiqua" w:eastAsia="Book Antiqua" w:hAnsi="Book Antiqua" w:cs="Book Antiqua"/>
          <w:color w:val="000000"/>
          <w:szCs w:val="20"/>
        </w:rPr>
        <w:t xml:space="preserve"> infiltration and vascular invasion were also observed. The tumor had metastasized in one of the four lymph nodes that were isolated from the hilum, which affected the resection margin of the surgical piece.</w:t>
      </w:r>
    </w:p>
    <w:p w14:paraId="322EE41F" w14:textId="77777777" w:rsidR="00DA7582" w:rsidRDefault="00DA7582" w:rsidP="00DA7582">
      <w:pPr>
        <w:spacing w:line="360" w:lineRule="auto"/>
        <w:ind w:firstLineChars="100" w:firstLine="240"/>
        <w:jc w:val="both"/>
      </w:pPr>
      <w:r>
        <w:rPr>
          <w:rFonts w:ascii="Book Antiqua" w:eastAsia="Book Antiqua" w:hAnsi="Book Antiqua" w:cs="Book Antiqua"/>
          <w:color w:val="000000"/>
          <w:szCs w:val="20"/>
        </w:rPr>
        <w:t xml:space="preserve">Stage III B (pT3N1M0) intrahepatic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a R1 resection, was diagnosed and the patient was referred to the Medical Oncology Department. Adjuvant chemotherapy treatment with </w:t>
      </w:r>
      <w:proofErr w:type="spellStart"/>
      <w:r>
        <w:rPr>
          <w:rFonts w:ascii="Book Antiqua" w:eastAsia="Book Antiqua" w:hAnsi="Book Antiqua" w:cs="Book Antiqua"/>
          <w:color w:val="000000"/>
          <w:szCs w:val="20"/>
        </w:rPr>
        <w:t>capecitabine</w:t>
      </w:r>
      <w:proofErr w:type="spellEnd"/>
      <w:r>
        <w:rPr>
          <w:rFonts w:ascii="Book Antiqua" w:eastAsia="Book Antiqua" w:hAnsi="Book Antiqua" w:cs="Book Antiqua"/>
          <w:color w:val="000000"/>
          <w:szCs w:val="20"/>
        </w:rPr>
        <w:t xml:space="preserve"> 1660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on days 1 to 21 and gemcitabine 1000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on days 1, 8 and 15 every 28 d, given for six cycles, was started. The patient received this treatment between May and November 2017. However, gemcitabine was suspended in July 2017 due to an allergic reaction. After completion of the adjuvant treatment, the follow-up period began.</w:t>
      </w:r>
    </w:p>
    <w:p w14:paraId="6D246593" w14:textId="037B5D3A" w:rsidR="00A77B3E" w:rsidRDefault="00A77B3E" w:rsidP="00DF727D">
      <w:pPr>
        <w:spacing w:line="360" w:lineRule="auto"/>
        <w:jc w:val="both"/>
      </w:pPr>
    </w:p>
    <w:p w14:paraId="2859B948" w14:textId="77777777" w:rsidR="00A77B3E" w:rsidRDefault="006E0E22">
      <w:pPr>
        <w:spacing w:line="360" w:lineRule="auto"/>
        <w:jc w:val="both"/>
      </w:pPr>
      <w:r>
        <w:rPr>
          <w:rFonts w:ascii="Book Antiqua" w:eastAsia="Book Antiqua" w:hAnsi="Book Antiqua" w:cs="Book Antiqua"/>
          <w:b/>
          <w:i/>
          <w:color w:val="000000"/>
        </w:rPr>
        <w:t>Physical examination</w:t>
      </w:r>
    </w:p>
    <w:p w14:paraId="1525C2D2" w14:textId="5397A82D" w:rsidR="00A77B3E" w:rsidRDefault="006E0E22">
      <w:pPr>
        <w:spacing w:line="360" w:lineRule="auto"/>
        <w:jc w:val="both"/>
      </w:pPr>
      <w:r>
        <w:rPr>
          <w:rFonts w:ascii="Book Antiqua" w:eastAsia="Book Antiqua" w:hAnsi="Book Antiqua" w:cs="Book Antiqua"/>
          <w:color w:val="000000"/>
          <w:szCs w:val="20"/>
        </w:rPr>
        <w:t>Despite initial clinical improvement, a progressive clinical deterioration was then presented, with an increase in asthenia. Grade 2 diarrhea (</w:t>
      </w:r>
      <w:r w:rsidR="00E72212">
        <w:rPr>
          <w:rFonts w:ascii="Book Antiqua" w:hAnsi="Book Antiqua"/>
          <w:color w:val="000000" w:themeColor="text1"/>
        </w:rPr>
        <w:t>Table</w:t>
      </w:r>
      <w:r>
        <w:rPr>
          <w:rFonts w:ascii="Book Antiqua" w:eastAsia="Book Antiqua" w:hAnsi="Book Antiqua" w:cs="Book Antiqua"/>
          <w:color w:val="000000"/>
          <w:szCs w:val="20"/>
        </w:rPr>
        <w:t xml:space="preserve"> 1) and minimal effort dyspnea also appeared. Abdominal examination was normal, and hypoventilation in the right lower lung lobe was auscultated. Cycle 9 was not prescribed, due to grade 1 </w:t>
      </w:r>
      <w:proofErr w:type="spellStart"/>
      <w:r>
        <w:rPr>
          <w:rFonts w:ascii="Book Antiqua" w:eastAsia="Book Antiqua" w:hAnsi="Book Antiqua" w:cs="Book Antiqua"/>
          <w:color w:val="000000"/>
          <w:szCs w:val="20"/>
        </w:rPr>
        <w:t>thrombopenia</w:t>
      </w:r>
      <w:proofErr w:type="spellEnd"/>
      <w:r>
        <w:rPr>
          <w:rFonts w:ascii="Book Antiqua" w:eastAsia="Book Antiqua" w:hAnsi="Book Antiqua" w:cs="Book Antiqua"/>
          <w:color w:val="000000"/>
          <w:szCs w:val="20"/>
        </w:rPr>
        <w:t xml:space="preserve"> and persistent grade 2 neutropenia.</w:t>
      </w:r>
    </w:p>
    <w:p w14:paraId="64AFA696" w14:textId="77777777" w:rsidR="00A77B3E" w:rsidRDefault="00A77B3E">
      <w:pPr>
        <w:spacing w:line="360" w:lineRule="auto"/>
        <w:jc w:val="both"/>
      </w:pPr>
    </w:p>
    <w:p w14:paraId="4196C074" w14:textId="77777777" w:rsidR="00A77B3E" w:rsidRDefault="006E0E22">
      <w:pPr>
        <w:spacing w:line="360" w:lineRule="auto"/>
        <w:jc w:val="both"/>
      </w:pPr>
      <w:r>
        <w:rPr>
          <w:rFonts w:ascii="Book Antiqua" w:eastAsia="Book Antiqua" w:hAnsi="Book Antiqua" w:cs="Book Antiqua"/>
          <w:b/>
          <w:i/>
          <w:color w:val="000000"/>
        </w:rPr>
        <w:lastRenderedPageBreak/>
        <w:t>Laboratory examinations</w:t>
      </w:r>
    </w:p>
    <w:p w14:paraId="4F61F490" w14:textId="1947CBE5" w:rsidR="00A77B3E" w:rsidRDefault="006E0E22">
      <w:pPr>
        <w:spacing w:line="360" w:lineRule="auto"/>
        <w:jc w:val="both"/>
      </w:pPr>
      <w:r>
        <w:rPr>
          <w:rFonts w:ascii="Book Antiqua" w:eastAsia="Book Antiqua" w:hAnsi="Book Antiqua" w:cs="Book Antiqua"/>
          <w:color w:val="000000"/>
        </w:rPr>
        <w:t>Serological progression was observed: CA19-9 blood levels rose to 2023 IU/mL (with a previous rise in August 2019 of 1138.8 IU/mL</w:t>
      </w:r>
      <w:r w:rsidR="000079EA">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 and </w:t>
      </w: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xml:space="preserve"> antigen (CEA) blood levels also rose to 5 IU/mL (high CEA levels had not previously occurred). Regarding liver blood testing, AST levels were 74 U/L, ALT levels were 70 U/L, GGT levels were 849 U/L, and FA levels were 440 U/L. The remaining biochemistry parameters were normal, with the exception of grade 1 </w:t>
      </w:r>
      <w:proofErr w:type="spellStart"/>
      <w:r>
        <w:rPr>
          <w:rFonts w:ascii="Book Antiqua" w:eastAsia="Book Antiqua" w:hAnsi="Book Antiqua" w:cs="Book Antiqua"/>
          <w:color w:val="000000"/>
        </w:rPr>
        <w:t>hypoalbuminemia</w:t>
      </w:r>
      <w:proofErr w:type="spellEnd"/>
      <w:r>
        <w:rPr>
          <w:rFonts w:ascii="Book Antiqua" w:eastAsia="Book Antiqua" w:hAnsi="Book Antiqua" w:cs="Book Antiqua"/>
          <w:color w:val="000000"/>
        </w:rPr>
        <w:t>.</w:t>
      </w:r>
    </w:p>
    <w:p w14:paraId="7BF00AA8" w14:textId="77777777" w:rsidR="00A77B3E" w:rsidRDefault="00A77B3E">
      <w:pPr>
        <w:spacing w:line="360" w:lineRule="auto"/>
        <w:jc w:val="both"/>
      </w:pPr>
    </w:p>
    <w:p w14:paraId="42D5C0C6" w14:textId="77777777" w:rsidR="00A77B3E" w:rsidRDefault="006E0E22">
      <w:pPr>
        <w:spacing w:line="360" w:lineRule="auto"/>
        <w:jc w:val="both"/>
      </w:pPr>
      <w:r>
        <w:rPr>
          <w:rFonts w:ascii="Book Antiqua" w:eastAsia="Book Antiqua" w:hAnsi="Book Antiqua" w:cs="Book Antiqua"/>
          <w:b/>
          <w:i/>
          <w:color w:val="000000"/>
        </w:rPr>
        <w:t>Imaging examinations</w:t>
      </w:r>
    </w:p>
    <w:p w14:paraId="1D513B95" w14:textId="7C9DD281" w:rsidR="00A77B3E" w:rsidRDefault="006E0E22">
      <w:pPr>
        <w:spacing w:line="360" w:lineRule="auto"/>
        <w:jc w:val="both"/>
      </w:pPr>
      <w:r>
        <w:rPr>
          <w:rFonts w:ascii="Book Antiqua" w:eastAsia="Book Antiqua" w:hAnsi="Book Antiqua" w:cs="Book Antiqua"/>
          <w:color w:val="000000"/>
          <w:szCs w:val="20"/>
        </w:rPr>
        <w:t xml:space="preserve">Given the suspicion of disease progression, a new CT scan was performed in early September 2019. Both peritoneal </w:t>
      </w:r>
      <w:proofErr w:type="spellStart"/>
      <w:r>
        <w:rPr>
          <w:rFonts w:ascii="Book Antiqua" w:eastAsia="Book Antiqua" w:hAnsi="Book Antiqua" w:cs="Book Antiqua"/>
          <w:color w:val="000000"/>
          <w:szCs w:val="20"/>
        </w:rPr>
        <w:t>carcinomatosis</w:t>
      </w:r>
      <w:proofErr w:type="spellEnd"/>
      <w:r>
        <w:rPr>
          <w:rFonts w:ascii="Book Antiqua" w:eastAsia="Book Antiqua" w:hAnsi="Book Antiqua" w:cs="Book Antiqua"/>
          <w:color w:val="000000"/>
          <w:szCs w:val="20"/>
        </w:rPr>
        <w:t xml:space="preserve"> (Figure 5) and pleural involvement were confirmed by one last cytological study (</w:t>
      </w:r>
      <w:r w:rsidR="00E72212">
        <w:rPr>
          <w:rFonts w:ascii="Book Antiqua" w:eastAsia="Book Antiqua" w:hAnsi="Book Antiqua" w:cs="Book Antiqua"/>
          <w:color w:val="000000"/>
          <w:szCs w:val="20"/>
        </w:rPr>
        <w:t>Table</w:t>
      </w:r>
      <w:r>
        <w:rPr>
          <w:rFonts w:ascii="Book Antiqua" w:eastAsia="Book Antiqua" w:hAnsi="Book Antiqua" w:cs="Book Antiqua"/>
          <w:color w:val="000000"/>
          <w:szCs w:val="20"/>
        </w:rPr>
        <w:t xml:space="preserve"> 2).</w:t>
      </w:r>
    </w:p>
    <w:p w14:paraId="506779D3" w14:textId="77777777" w:rsidR="00A77B3E" w:rsidRDefault="00A77B3E">
      <w:pPr>
        <w:spacing w:line="360" w:lineRule="auto"/>
        <w:jc w:val="both"/>
      </w:pPr>
    </w:p>
    <w:p w14:paraId="2CB9846C" w14:textId="77777777" w:rsidR="00A77B3E" w:rsidRDefault="006E0E22">
      <w:pPr>
        <w:spacing w:line="360" w:lineRule="auto"/>
        <w:jc w:val="both"/>
      </w:pPr>
      <w:r>
        <w:rPr>
          <w:rFonts w:ascii="Book Antiqua" w:eastAsia="Book Antiqua" w:hAnsi="Book Antiqua" w:cs="Book Antiqua"/>
          <w:b/>
          <w:bCs/>
          <w:i/>
          <w:iCs/>
          <w:color w:val="000000"/>
        </w:rPr>
        <w:t>Genetic testing</w:t>
      </w:r>
    </w:p>
    <w:p w14:paraId="6419E4DF" w14:textId="4DA19BFE" w:rsidR="00A77B3E" w:rsidRDefault="006E0E22">
      <w:pPr>
        <w:spacing w:line="360" w:lineRule="auto"/>
        <w:jc w:val="both"/>
      </w:pPr>
      <w:r>
        <w:rPr>
          <w:rFonts w:ascii="Book Antiqua" w:eastAsia="Book Antiqua" w:hAnsi="Book Antiqua" w:cs="Book Antiqua"/>
          <w:color w:val="000000"/>
        </w:rPr>
        <w:t xml:space="preserve">Massive genetic analysis of the tumor using next-generation sequencing (NGS) was requested. Several alterations could be identified in some genes, such as </w:t>
      </w:r>
      <w:r w:rsidRPr="00E72212">
        <w:rPr>
          <w:rFonts w:ascii="Book Antiqua" w:eastAsia="Book Antiqua" w:hAnsi="Book Antiqua" w:cs="Book Antiqua"/>
          <w:i/>
          <w:iCs/>
          <w:color w:val="000000"/>
        </w:rPr>
        <w:t>RNF43</w:t>
      </w:r>
      <w:r>
        <w:rPr>
          <w:rFonts w:ascii="Book Antiqua" w:eastAsia="Book Antiqua" w:hAnsi="Book Antiqua" w:cs="Book Antiqua"/>
          <w:color w:val="000000"/>
        </w:rPr>
        <w:t xml:space="preserve">, </w:t>
      </w:r>
      <w:r w:rsidRPr="00E72212">
        <w:rPr>
          <w:rFonts w:ascii="Book Antiqua" w:eastAsia="Book Antiqua" w:hAnsi="Book Antiqua" w:cs="Book Antiqua"/>
          <w:i/>
          <w:iCs/>
          <w:color w:val="000000"/>
        </w:rPr>
        <w:t>PTCH1</w:t>
      </w:r>
      <w:r>
        <w:rPr>
          <w:rFonts w:ascii="Book Antiqua" w:eastAsia="Book Antiqua" w:hAnsi="Book Antiqua" w:cs="Book Antiqua"/>
          <w:color w:val="000000"/>
        </w:rPr>
        <w:t xml:space="preserve">, </w:t>
      </w:r>
      <w:r w:rsidRPr="00E72212">
        <w:rPr>
          <w:rFonts w:ascii="Book Antiqua" w:eastAsia="Book Antiqua" w:hAnsi="Book Antiqua" w:cs="Book Antiqua"/>
          <w:i/>
          <w:iCs/>
          <w:color w:val="000000"/>
        </w:rPr>
        <w:t>ATM</w:t>
      </w:r>
      <w:r>
        <w:rPr>
          <w:rFonts w:ascii="Book Antiqua" w:eastAsia="Book Antiqua" w:hAnsi="Book Antiqua" w:cs="Book Antiqua"/>
          <w:color w:val="000000"/>
        </w:rPr>
        <w:t xml:space="preserve"> and </w:t>
      </w:r>
      <w:r w:rsidRPr="00E72212">
        <w:rPr>
          <w:rFonts w:ascii="Book Antiqua" w:eastAsia="Book Antiqua" w:hAnsi="Book Antiqua" w:cs="Book Antiqua"/>
          <w:i/>
          <w:iCs/>
          <w:color w:val="000000"/>
        </w:rPr>
        <w:t>ARID1A,</w:t>
      </w:r>
      <w:r>
        <w:rPr>
          <w:rFonts w:ascii="Book Antiqua" w:eastAsia="Book Antiqua" w:hAnsi="Book Antiqua" w:cs="Book Antiqua"/>
          <w:color w:val="000000"/>
        </w:rPr>
        <w:t xml:space="preserve"> as well as in variants of unknown significance. Microsatellite instability was not found. Given the clinical deterioration, we decided to begin chemotherapy prior to obtaining these test results.</w:t>
      </w:r>
    </w:p>
    <w:p w14:paraId="69C5D37A" w14:textId="77777777" w:rsidR="00A77B3E" w:rsidRDefault="00A77B3E">
      <w:pPr>
        <w:spacing w:line="360" w:lineRule="auto"/>
        <w:jc w:val="both"/>
      </w:pPr>
    </w:p>
    <w:p w14:paraId="654ED406" w14:textId="77777777" w:rsidR="00A77B3E" w:rsidRDefault="006E0E22">
      <w:pPr>
        <w:spacing w:line="360" w:lineRule="auto"/>
        <w:jc w:val="both"/>
      </w:pPr>
      <w:r>
        <w:rPr>
          <w:rFonts w:ascii="Book Antiqua" w:eastAsia="Book Antiqua" w:hAnsi="Book Antiqua" w:cs="Book Antiqua"/>
          <w:b/>
          <w:caps/>
          <w:color w:val="000000"/>
          <w:u w:val="single"/>
        </w:rPr>
        <w:t>FINAL DIAGNOSIS</w:t>
      </w:r>
    </w:p>
    <w:p w14:paraId="1C28C8D1" w14:textId="784FA2DF" w:rsidR="00A77B3E" w:rsidRDefault="006E0E22">
      <w:pPr>
        <w:spacing w:line="360" w:lineRule="auto"/>
        <w:jc w:val="both"/>
      </w:pPr>
      <w:r>
        <w:rPr>
          <w:rFonts w:ascii="Book Antiqua" w:eastAsia="Book Antiqua" w:hAnsi="Book Antiqua" w:cs="Book Antiqua"/>
          <w:color w:val="000000"/>
          <w:szCs w:val="20"/>
        </w:rPr>
        <w:t xml:space="preserve">Massive genetic analysis of the tumor using NGS was requested. Several alterations could be identified in some genes, such as </w:t>
      </w:r>
      <w:r w:rsidRPr="00623E82">
        <w:rPr>
          <w:rFonts w:ascii="Book Antiqua" w:eastAsia="Book Antiqua" w:hAnsi="Book Antiqua" w:cs="Book Antiqua"/>
          <w:i/>
          <w:iCs/>
          <w:color w:val="000000"/>
          <w:szCs w:val="20"/>
        </w:rPr>
        <w:t>RNF43</w:t>
      </w:r>
      <w:r>
        <w:rPr>
          <w:rFonts w:ascii="Book Antiqua" w:eastAsia="Book Antiqua" w:hAnsi="Book Antiqua" w:cs="Book Antiqua"/>
          <w:color w:val="000000"/>
          <w:szCs w:val="20"/>
        </w:rPr>
        <w:t xml:space="preserve">, </w:t>
      </w:r>
      <w:r w:rsidRPr="00623E82">
        <w:rPr>
          <w:rFonts w:ascii="Book Antiqua" w:eastAsia="Book Antiqua" w:hAnsi="Book Antiqua" w:cs="Book Antiqua"/>
          <w:i/>
          <w:iCs/>
          <w:color w:val="000000"/>
          <w:szCs w:val="20"/>
        </w:rPr>
        <w:t>PTCH1</w:t>
      </w:r>
      <w:r>
        <w:rPr>
          <w:rFonts w:ascii="Book Antiqua" w:eastAsia="Book Antiqua" w:hAnsi="Book Antiqua" w:cs="Book Antiqua"/>
          <w:color w:val="000000"/>
          <w:szCs w:val="20"/>
        </w:rPr>
        <w:t xml:space="preserve">, </w:t>
      </w:r>
      <w:r w:rsidRPr="00623E82">
        <w:rPr>
          <w:rFonts w:ascii="Book Antiqua" w:eastAsia="Book Antiqua" w:hAnsi="Book Antiqua" w:cs="Book Antiqua"/>
          <w:i/>
          <w:iCs/>
          <w:color w:val="000000"/>
          <w:szCs w:val="20"/>
        </w:rPr>
        <w:t>ATM</w:t>
      </w:r>
      <w:r>
        <w:rPr>
          <w:rFonts w:ascii="Book Antiqua" w:eastAsia="Book Antiqua" w:hAnsi="Book Antiqua" w:cs="Book Antiqua"/>
          <w:color w:val="000000"/>
          <w:szCs w:val="20"/>
        </w:rPr>
        <w:t xml:space="preserve"> and </w:t>
      </w:r>
      <w:r w:rsidRPr="00623E82">
        <w:rPr>
          <w:rFonts w:ascii="Book Antiqua" w:eastAsia="Book Antiqua" w:hAnsi="Book Antiqua" w:cs="Book Antiqua"/>
          <w:i/>
          <w:iCs/>
          <w:color w:val="000000"/>
          <w:szCs w:val="20"/>
        </w:rPr>
        <w:t>ARID1A</w:t>
      </w:r>
      <w:r>
        <w:rPr>
          <w:rFonts w:ascii="Book Antiqua" w:eastAsia="Book Antiqua" w:hAnsi="Book Antiqua" w:cs="Book Antiqua"/>
          <w:color w:val="000000"/>
          <w:szCs w:val="20"/>
        </w:rPr>
        <w:t>, as well as in variants of unknown significance. Microsatellite instability was not found. Given the clinical deterioration, we decided to begin chemotherapy prior to obtaining these test results.</w:t>
      </w:r>
    </w:p>
    <w:p w14:paraId="63ACBD36" w14:textId="77777777" w:rsidR="00A77B3E" w:rsidRDefault="00A77B3E">
      <w:pPr>
        <w:spacing w:line="360" w:lineRule="auto"/>
        <w:jc w:val="both"/>
      </w:pPr>
    </w:p>
    <w:p w14:paraId="74E39ECD" w14:textId="77777777" w:rsidR="00A77B3E" w:rsidRDefault="006E0E22">
      <w:pPr>
        <w:spacing w:line="360" w:lineRule="auto"/>
        <w:jc w:val="both"/>
      </w:pPr>
      <w:r>
        <w:rPr>
          <w:rFonts w:ascii="Book Antiqua" w:eastAsia="Book Antiqua" w:hAnsi="Book Antiqua" w:cs="Book Antiqua"/>
          <w:b/>
          <w:caps/>
          <w:color w:val="000000"/>
          <w:u w:val="single"/>
        </w:rPr>
        <w:t>TREATMENT</w:t>
      </w:r>
    </w:p>
    <w:p w14:paraId="5B5004AC" w14:textId="22284404" w:rsidR="00A77B3E" w:rsidRDefault="006E0E22">
      <w:pPr>
        <w:spacing w:line="360" w:lineRule="auto"/>
        <w:jc w:val="both"/>
      </w:pPr>
      <w:r>
        <w:rPr>
          <w:rFonts w:ascii="Book Antiqua" w:eastAsia="Book Antiqua" w:hAnsi="Book Antiqua" w:cs="Book Antiqua"/>
          <w:color w:val="000000"/>
          <w:szCs w:val="20"/>
        </w:rPr>
        <w:lastRenderedPageBreak/>
        <w:t xml:space="preserve">Stage IV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with peritoneal and pleural progression to FOLFOX is presented. There are limited therapeutic options available. We decided to use nab-paclitaxel in the place of other options for specific reasons. On the one hand, we did not recommend that the patient receive FOLFIRI because of the potential risk of worsening his diarrhea. On the other hand, a combination treatment with gemcitabine was not feasible due to his previous allergic reaction to gemcitabine.</w:t>
      </w:r>
    </w:p>
    <w:p w14:paraId="27D03166" w14:textId="77777777" w:rsidR="00A77B3E" w:rsidRDefault="00A77B3E">
      <w:pPr>
        <w:spacing w:line="360" w:lineRule="auto"/>
        <w:jc w:val="both"/>
      </w:pPr>
    </w:p>
    <w:p w14:paraId="7903D3A5" w14:textId="77777777" w:rsidR="00A77B3E" w:rsidRDefault="006E0E22">
      <w:pPr>
        <w:spacing w:line="360" w:lineRule="auto"/>
        <w:jc w:val="both"/>
      </w:pPr>
      <w:r>
        <w:rPr>
          <w:rFonts w:ascii="Book Antiqua" w:eastAsia="Book Antiqua" w:hAnsi="Book Antiqua" w:cs="Book Antiqua"/>
          <w:b/>
          <w:caps/>
          <w:color w:val="000000"/>
          <w:u w:val="single"/>
        </w:rPr>
        <w:t>OUTCOME AND FOLLOW-UP</w:t>
      </w:r>
    </w:p>
    <w:p w14:paraId="22DB469F" w14:textId="37476708" w:rsidR="00A77B3E" w:rsidRDefault="006E0E22">
      <w:pPr>
        <w:spacing w:line="360" w:lineRule="auto"/>
        <w:jc w:val="both"/>
      </w:pPr>
      <w:r>
        <w:rPr>
          <w:rFonts w:ascii="Book Antiqua" w:eastAsia="Book Antiqua" w:hAnsi="Book Antiqua" w:cs="Book Antiqua"/>
          <w:color w:val="000000"/>
          <w:szCs w:val="20"/>
        </w:rPr>
        <w:t>Second-line treatment with nab-paclitaxel at the same doses as used for pancreatic cancer (125 mg/m</w:t>
      </w:r>
      <w:r>
        <w:rPr>
          <w:rFonts w:ascii="Book Antiqua" w:eastAsia="Book Antiqua" w:hAnsi="Book Antiqua" w:cs="Book Antiqua"/>
          <w:color w:val="000000"/>
          <w:szCs w:val="25"/>
          <w:vertAlign w:val="superscript"/>
        </w:rPr>
        <w:t xml:space="preserve">2 </w:t>
      </w:r>
      <w:r>
        <w:rPr>
          <w:rFonts w:ascii="Book Antiqua" w:eastAsia="Book Antiqua" w:hAnsi="Book Antiqua" w:cs="Book Antiqua"/>
          <w:color w:val="000000"/>
          <w:szCs w:val="20"/>
        </w:rPr>
        <w:t>on days 1, 8 and 15 every 28 d) was started, although without the associated gemcitabine.</w:t>
      </w:r>
    </w:p>
    <w:p w14:paraId="513107F8" w14:textId="59B5293D" w:rsidR="00A77B3E" w:rsidRDefault="006E0E22" w:rsidP="007472F0">
      <w:pPr>
        <w:spacing w:line="360" w:lineRule="auto"/>
        <w:ind w:firstLineChars="100" w:firstLine="240"/>
        <w:jc w:val="both"/>
      </w:pPr>
      <w:r>
        <w:rPr>
          <w:rFonts w:ascii="Book Antiqua" w:eastAsia="Book Antiqua" w:hAnsi="Book Antiqua" w:cs="Book Antiqua"/>
          <w:color w:val="000000"/>
          <w:szCs w:val="20"/>
        </w:rPr>
        <w:t xml:space="preserve">On cycle 1 day 8, grade 3 neutropenia </w:t>
      </w:r>
      <w:proofErr w:type="gramStart"/>
      <w:r>
        <w:rPr>
          <w:rFonts w:ascii="Book Antiqua" w:eastAsia="Book Antiqua" w:hAnsi="Book Antiqua" w:cs="Book Antiqua"/>
          <w:color w:val="000000"/>
          <w:szCs w:val="20"/>
        </w:rPr>
        <w:t>(910 neutrophils/mL)</w:t>
      </w:r>
      <w:proofErr w:type="gramEnd"/>
      <w:r>
        <w:rPr>
          <w:rFonts w:ascii="Book Antiqua" w:eastAsia="Book Antiqua" w:hAnsi="Book Antiqua" w:cs="Book Antiqua"/>
          <w:color w:val="000000"/>
          <w:szCs w:val="20"/>
        </w:rPr>
        <w:t xml:space="preserve"> and grade 1 </w:t>
      </w:r>
      <w:proofErr w:type="spellStart"/>
      <w:r>
        <w:rPr>
          <w:rFonts w:ascii="Book Antiqua" w:eastAsia="Book Antiqua" w:hAnsi="Book Antiqua" w:cs="Book Antiqua"/>
          <w:color w:val="000000"/>
          <w:szCs w:val="20"/>
        </w:rPr>
        <w:t>thrombopenia</w:t>
      </w:r>
      <w:proofErr w:type="spellEnd"/>
      <w:r>
        <w:rPr>
          <w:rFonts w:ascii="Book Antiqua" w:eastAsia="Book Antiqua" w:hAnsi="Book Antiqua" w:cs="Book Antiqua"/>
          <w:color w:val="000000"/>
          <w:szCs w:val="20"/>
        </w:rPr>
        <w:t xml:space="preserve"> (97500 platelets/mL) were observed, and so the treatment with a reduction of one dose level (100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was prescribed. On cycle 1 day 15, platelets had recovered </w:t>
      </w:r>
      <w:proofErr w:type="gramStart"/>
      <w:r>
        <w:rPr>
          <w:rFonts w:ascii="Book Antiqua" w:eastAsia="Book Antiqua" w:hAnsi="Book Antiqua" w:cs="Book Antiqua"/>
          <w:color w:val="000000"/>
          <w:szCs w:val="20"/>
        </w:rPr>
        <w:t>(150000 platelets/mL)</w:t>
      </w:r>
      <w:proofErr w:type="gramEnd"/>
      <w:r>
        <w:rPr>
          <w:rFonts w:ascii="Book Antiqua" w:eastAsia="Book Antiqua" w:hAnsi="Book Antiqua" w:cs="Book Antiqua"/>
          <w:color w:val="000000"/>
          <w:szCs w:val="20"/>
        </w:rPr>
        <w:t xml:space="preserve"> but neutrophils had declined (630 neutrophils/mL). We decided to prescribe a treatment with the same dose level (100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w:t>
      </w:r>
      <w:proofErr w:type="gramStart"/>
      <w:r>
        <w:rPr>
          <w:rFonts w:ascii="Book Antiqua" w:eastAsia="Book Antiqua" w:hAnsi="Book Antiqua" w:cs="Book Antiqua"/>
          <w:color w:val="000000"/>
          <w:szCs w:val="20"/>
        </w:rPr>
        <w:t>,</w:t>
      </w:r>
      <w:proofErr w:type="gramEnd"/>
      <w:r>
        <w:rPr>
          <w:rFonts w:ascii="Book Antiqua" w:eastAsia="Book Antiqua" w:hAnsi="Book Antiqua" w:cs="Book Antiqua"/>
          <w:color w:val="000000"/>
          <w:szCs w:val="20"/>
        </w:rPr>
        <w:t xml:space="preserve"> however we also prescribed two injected doses of granulocyte colony-stimulating factor (GCSF).</w:t>
      </w:r>
    </w:p>
    <w:p w14:paraId="610B9680" w14:textId="242D416E" w:rsidR="00A77B3E" w:rsidRDefault="006E0E22" w:rsidP="007472F0">
      <w:pPr>
        <w:spacing w:line="360" w:lineRule="auto"/>
        <w:ind w:firstLineChars="100" w:firstLine="240"/>
        <w:jc w:val="both"/>
      </w:pPr>
      <w:r>
        <w:rPr>
          <w:rFonts w:ascii="Book Antiqua" w:eastAsia="Book Antiqua" w:hAnsi="Book Antiqua" w:cs="Book Antiqua"/>
          <w:color w:val="000000"/>
        </w:rPr>
        <w:t xml:space="preserve">On cycle 2 day 1, the patient reported clinical improvements with less asthenia, a 1 kg increase in weight, diarrheal improvements, and slight dyspnea improvements. CA19-9 blood levels rose to 2917.6 IU/mL (CA19-9 </w:t>
      </w:r>
      <w:r w:rsidR="007472F0">
        <w:rPr>
          <w:rFonts w:ascii="Book Antiqua" w:eastAsia="Book Antiqua" w:hAnsi="Book Antiqua" w:cs="Book Antiqua"/>
          <w:color w:val="000000"/>
        </w:rPr>
        <w:t>l</w:t>
      </w:r>
      <w:r>
        <w:rPr>
          <w:rFonts w:ascii="Book Antiqua" w:eastAsia="Book Antiqua" w:hAnsi="Book Antiqua" w:cs="Book Antiqua"/>
          <w:color w:val="000000"/>
        </w:rPr>
        <w:t>evels prior to the start of nab-paclitaxel were 2023.1 IU/mL</w:t>
      </w:r>
      <w:r w:rsidR="007472F0">
        <w:rPr>
          <w:rFonts w:ascii="Book Antiqua" w:eastAsia="Book Antiqua" w:hAnsi="Book Antiqua" w:cs="Book Antiqua"/>
          <w:color w:val="000000"/>
        </w:rPr>
        <w:t xml:space="preserve">, </w:t>
      </w:r>
      <w:r>
        <w:rPr>
          <w:rFonts w:ascii="Book Antiqua" w:eastAsia="Book Antiqua" w:hAnsi="Book Antiqua" w:cs="Book Antiqua"/>
          <w:color w:val="000000"/>
        </w:rPr>
        <w:t>Figure 2), and neutrophil and platelet levels were normal. Given the clinical improvements observed, we decided to continue the treatment. Cycle 2 days 1, 8 and 15 at 100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without GCSF, were scheduled.</w:t>
      </w:r>
    </w:p>
    <w:p w14:paraId="14998B70" w14:textId="7D593942" w:rsidR="00A77B3E" w:rsidRDefault="006E0E22" w:rsidP="007472F0">
      <w:pPr>
        <w:spacing w:line="360" w:lineRule="auto"/>
        <w:ind w:firstLineChars="100" w:firstLine="240"/>
        <w:jc w:val="both"/>
      </w:pPr>
      <w:r>
        <w:rPr>
          <w:rFonts w:ascii="Book Antiqua" w:eastAsia="Book Antiqua" w:hAnsi="Book Antiqua" w:cs="Book Antiqua"/>
          <w:color w:val="000000"/>
          <w:szCs w:val="20"/>
        </w:rPr>
        <w:t>Four cycles of nab-paclitaxel at 100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doses were administered (except for cycle 1 day 1). GCSF treatment was not needed (except cycle 1 day 15). Neutropenia below 1500 neutrophils/mL and </w:t>
      </w:r>
      <w:proofErr w:type="spellStart"/>
      <w:r>
        <w:rPr>
          <w:rFonts w:ascii="Book Antiqua" w:eastAsia="Book Antiqua" w:hAnsi="Book Antiqua" w:cs="Book Antiqua"/>
          <w:color w:val="000000"/>
          <w:szCs w:val="20"/>
        </w:rPr>
        <w:t>thrombopenia</w:t>
      </w:r>
      <w:proofErr w:type="spellEnd"/>
      <w:r>
        <w:rPr>
          <w:rFonts w:ascii="Book Antiqua" w:eastAsia="Book Antiqua" w:hAnsi="Book Antiqua" w:cs="Book Antiqua"/>
          <w:color w:val="000000"/>
          <w:szCs w:val="20"/>
        </w:rPr>
        <w:t xml:space="preserve"> below 10000 platelets/mL were not detected by blood tests prior to cycles 2, 3 and 4, so the hematological tolerance was considered to be excellent.</w:t>
      </w:r>
    </w:p>
    <w:p w14:paraId="6187007B" w14:textId="77777777" w:rsidR="00A77B3E" w:rsidRDefault="00A77B3E" w:rsidP="007472F0">
      <w:pPr>
        <w:spacing w:line="360" w:lineRule="auto"/>
        <w:jc w:val="both"/>
      </w:pPr>
    </w:p>
    <w:p w14:paraId="132A62C0" w14:textId="77777777" w:rsidR="00A77B3E" w:rsidRDefault="006E0E22">
      <w:pPr>
        <w:spacing w:line="360" w:lineRule="auto"/>
        <w:jc w:val="both"/>
      </w:pPr>
      <w:r>
        <w:rPr>
          <w:rFonts w:ascii="Book Antiqua" w:eastAsia="Book Antiqua" w:hAnsi="Book Antiqua" w:cs="Book Antiqua"/>
          <w:b/>
          <w:caps/>
          <w:color w:val="000000"/>
          <w:u w:val="single"/>
        </w:rPr>
        <w:t>DISCUSSION</w:t>
      </w:r>
    </w:p>
    <w:p w14:paraId="5C1B2116" w14:textId="2E5CB509" w:rsidR="00A77B3E" w:rsidRDefault="006E0E22">
      <w:pPr>
        <w:spacing w:line="360" w:lineRule="auto"/>
        <w:jc w:val="both"/>
      </w:pPr>
      <w:r>
        <w:rPr>
          <w:rFonts w:ascii="Book Antiqua" w:eastAsia="Book Antiqua" w:hAnsi="Book Antiqua" w:cs="Book Antiqua"/>
          <w:color w:val="000000"/>
        </w:rPr>
        <w:t xml:space="preserve">This clinical case is one of the first published concerning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treatment using nab-paclitaxel </w:t>
      </w:r>
      <w:proofErr w:type="spellStart"/>
      <w:r>
        <w:rPr>
          <w:rFonts w:ascii="Book Antiqua" w:eastAsia="Book Antiqua" w:hAnsi="Book Antiqua" w:cs="Book Antiqua"/>
          <w:color w:val="000000"/>
        </w:rPr>
        <w:t>monotherapy</w:t>
      </w:r>
      <w:proofErr w:type="spellEnd"/>
      <w:r>
        <w:rPr>
          <w:rFonts w:ascii="Book Antiqua" w:eastAsia="Book Antiqua" w:hAnsi="Book Antiqua" w:cs="Book Antiqua"/>
          <w:color w:val="000000"/>
        </w:rPr>
        <w:t xml:space="preserve">. Nab-paclitaxel has only been approved as a </w:t>
      </w:r>
      <w:proofErr w:type="spellStart"/>
      <w:r>
        <w:rPr>
          <w:rFonts w:ascii="Book Antiqua" w:eastAsia="Book Antiqua" w:hAnsi="Book Antiqua" w:cs="Book Antiqua"/>
          <w:color w:val="000000"/>
        </w:rPr>
        <w:t>monotherapy</w:t>
      </w:r>
      <w:proofErr w:type="spellEnd"/>
      <w:r>
        <w:rPr>
          <w:rFonts w:ascii="Book Antiqua" w:eastAsia="Book Antiqua" w:hAnsi="Book Antiqua" w:cs="Book Antiqua"/>
          <w:color w:val="000000"/>
        </w:rPr>
        <w:t xml:space="preserve"> for breast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sidR="007472F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In addition, it has proven to be useful when scheduled </w:t>
      </w:r>
      <w:proofErr w:type="gramStart"/>
      <w:r>
        <w:rPr>
          <w:rFonts w:ascii="Book Antiqua" w:eastAsia="Book Antiqua" w:hAnsi="Book Antiqua" w:cs="Book Antiqua"/>
          <w:color w:val="000000"/>
        </w:rPr>
        <w:t>weekly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sidR="007472F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In the remaining settings, a combination with other drugs (gemcitabine, carboplatin) was always required.</w:t>
      </w:r>
    </w:p>
    <w:p w14:paraId="17D131D2" w14:textId="38F9154C" w:rsidR="00A77B3E" w:rsidRDefault="006E0E22" w:rsidP="007472F0">
      <w:pPr>
        <w:spacing w:line="360" w:lineRule="auto"/>
        <w:ind w:firstLineChars="100" w:firstLine="240"/>
        <w:jc w:val="both"/>
      </w:pPr>
      <w:r>
        <w:rPr>
          <w:rFonts w:ascii="Book Antiqua" w:eastAsia="Book Antiqua" w:hAnsi="Book Antiqua" w:cs="Book Antiqua"/>
          <w:color w:val="000000"/>
        </w:rPr>
        <w:t xml:space="preserve">The only data on the efficacy of nab-paclitaxel in metastatic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was phase 2 clinical trials but was part of a combination treatment in this </w:t>
      </w:r>
      <w:proofErr w:type="gramStart"/>
      <w:r>
        <w:rPr>
          <w:rFonts w:ascii="Book Antiqua" w:eastAsia="Book Antiqua" w:hAnsi="Book Antiqua" w:cs="Book Antiqua"/>
          <w:color w:val="000000"/>
        </w:rPr>
        <w:t>case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sidR="007472F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In addition, a retrospective registry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and preclinical studies have also been performed</w:t>
      </w:r>
      <w:r>
        <w:rPr>
          <w:rFonts w:ascii="Book Antiqua" w:eastAsia="Book Antiqua" w:hAnsi="Book Antiqua" w:cs="Book Antiqua"/>
          <w:color w:val="000000"/>
          <w:szCs w:val="20"/>
          <w:vertAlign w:val="superscript"/>
        </w:rPr>
        <w:t>[20</w:t>
      </w:r>
      <w:r w:rsidR="007472F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However, no prospective evidence from phase 3 clinical trials has been found.</w:t>
      </w:r>
    </w:p>
    <w:p w14:paraId="4F70FD2F" w14:textId="5E0253FC" w:rsidR="00A77B3E" w:rsidRDefault="006E0E22" w:rsidP="007472F0">
      <w:pPr>
        <w:spacing w:line="360" w:lineRule="auto"/>
        <w:ind w:firstLineChars="100" w:firstLine="240"/>
        <w:jc w:val="both"/>
      </w:pPr>
      <w:r>
        <w:rPr>
          <w:rFonts w:ascii="Book Antiqua" w:eastAsia="Book Antiqua" w:hAnsi="Book Antiqua" w:cs="Book Antiqua"/>
          <w:color w:val="000000"/>
        </w:rPr>
        <w:t xml:space="preserve">A combination of nab-paclitaxel with gemcitabine, as used in pancreatic cancer, is potentially more effective in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in terms of disease control than nab-paclitaxel alone. In the phase 2 trials of first-line nab-paclitaxel combinations, the disease control rate is higher than 50% and ranges from 66% (in combination with gemcitabine</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to 84% (in combination with gemcitabine and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However, our patient received nab-paclitaxel as a </w:t>
      </w:r>
      <w:proofErr w:type="spellStart"/>
      <w:r>
        <w:rPr>
          <w:rFonts w:ascii="Book Antiqua" w:eastAsia="Book Antiqua" w:hAnsi="Book Antiqua" w:cs="Book Antiqua"/>
          <w:color w:val="000000"/>
        </w:rPr>
        <w:t>monotherapy</w:t>
      </w:r>
      <w:proofErr w:type="spellEnd"/>
      <w:r>
        <w:rPr>
          <w:rFonts w:ascii="Book Antiqua" w:eastAsia="Book Antiqua" w:hAnsi="Book Antiqua" w:cs="Book Antiqua"/>
          <w:color w:val="000000"/>
        </w:rPr>
        <w:t xml:space="preserve"> and second-line treatment after platinum-containing chemotherapy, which can explain the reduced efficacy of nab-paclitaxel in this context. We decided to use weekly nab-paclitaxel based on data from the combination of weekly nab-paclitaxel and gemcitabine regimens for pancreatic cancer, and also from data showing the efficacy of weekly nab-paclitaxel </w:t>
      </w:r>
      <w:proofErr w:type="spellStart"/>
      <w:r>
        <w:rPr>
          <w:rFonts w:ascii="Book Antiqua" w:eastAsia="Book Antiqua" w:hAnsi="Book Antiqua" w:cs="Book Antiqua"/>
          <w:color w:val="000000"/>
        </w:rPr>
        <w:t>monotherapy</w:t>
      </w:r>
      <w:proofErr w:type="spellEnd"/>
      <w:r>
        <w:rPr>
          <w:rFonts w:ascii="Book Antiqua" w:eastAsia="Book Antiqua" w:hAnsi="Book Antiqua" w:cs="Book Antiqua"/>
          <w:color w:val="000000"/>
        </w:rPr>
        <w:t xml:space="preserve"> for breast cancer.</w:t>
      </w:r>
    </w:p>
    <w:p w14:paraId="3CADE13F" w14:textId="77777777" w:rsidR="00A77B3E" w:rsidRDefault="006E0E22" w:rsidP="007472F0">
      <w:pPr>
        <w:spacing w:line="360" w:lineRule="auto"/>
        <w:ind w:firstLineChars="100" w:firstLine="240"/>
        <w:jc w:val="both"/>
      </w:pPr>
      <w:r>
        <w:rPr>
          <w:rFonts w:ascii="Book Antiqua" w:eastAsia="Book Antiqua" w:hAnsi="Book Antiqua" w:cs="Book Antiqua"/>
          <w:color w:val="000000"/>
        </w:rPr>
        <w:t xml:space="preserve">Achievement of a clinical and serological response was shown by a decrease in CA19-9 as well as improved liver function tests. There was also a mixed radiological response observed after four cycles of nab-paclitaxel. Therefore, we can consider that, although a new lesion appeared, the disease is controlled due to the shrinking or stabilization of most lesions. In a highly aggressive disease such as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 clinical response can be considered to be a clinical benefit and, therefore, a justification to </w:t>
      </w:r>
      <w:r>
        <w:rPr>
          <w:rFonts w:ascii="Book Antiqua" w:eastAsia="Book Antiqua" w:hAnsi="Book Antiqua" w:cs="Book Antiqua"/>
          <w:color w:val="000000"/>
        </w:rPr>
        <w:lastRenderedPageBreak/>
        <w:t xml:space="preserve">continue treatment, despite the fact that a strict radiological response was not achieved. The objective of treatment for this patient was improving his quality of life, which was observed. Therefore, while we have evidence of the biological activity of nab-paclitaxel in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a partial radiological response was not observed.</w:t>
      </w:r>
    </w:p>
    <w:p w14:paraId="75A6FA50" w14:textId="62D7A246" w:rsidR="00A77B3E" w:rsidRDefault="006E0E22" w:rsidP="007472F0">
      <w:pPr>
        <w:spacing w:line="360" w:lineRule="auto"/>
        <w:ind w:firstLineChars="100" w:firstLine="240"/>
        <w:jc w:val="both"/>
      </w:pPr>
      <w:r>
        <w:rPr>
          <w:rFonts w:ascii="Book Antiqua" w:eastAsia="Book Antiqua" w:hAnsi="Book Antiqua" w:cs="Book Antiqua"/>
          <w:color w:val="000000"/>
        </w:rPr>
        <w:t xml:space="preserve">We also have preclinical evidence of the efficacy of nab-paclitaxel in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In one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primary cultures prepared from human mixed and </w:t>
      </w:r>
      <w:proofErr w:type="spellStart"/>
      <w:r>
        <w:rPr>
          <w:rFonts w:ascii="Book Antiqua" w:eastAsia="Book Antiqua" w:hAnsi="Book Antiqua" w:cs="Book Antiqua"/>
          <w:color w:val="000000"/>
        </w:rPr>
        <w:t>mucin</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specimens were evaluated for cell proliferation and apoptosis after incubation with increasing concentrations of different drugs. Nab-paclitaxel showed an inhibitory effect on cell proliferation in both mixed- and </w:t>
      </w:r>
      <w:proofErr w:type="spellStart"/>
      <w:r>
        <w:rPr>
          <w:rFonts w:ascii="Book Antiqua" w:eastAsia="Book Antiqua" w:hAnsi="Book Antiqua" w:cs="Book Antiqua"/>
          <w:color w:val="000000"/>
        </w:rPr>
        <w:t>mucin</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primary cultures. Additionally, nab-paclitaxel induced a significant increase in apoptotic activity in only </w:t>
      </w:r>
      <w:proofErr w:type="spellStart"/>
      <w:r>
        <w:rPr>
          <w:rFonts w:ascii="Book Antiqua" w:eastAsia="Book Antiqua" w:hAnsi="Book Antiqua" w:cs="Book Antiqua"/>
          <w:color w:val="000000"/>
        </w:rPr>
        <w:t>mucin</w:t>
      </w:r>
      <w:proofErr w:type="spellEnd"/>
      <w:r>
        <w:rPr>
          <w:rFonts w:ascii="Book Antiqua" w:eastAsia="Book Antiqua" w:hAnsi="Book Antiqua" w:cs="Book Antiqua"/>
          <w:color w:val="000000"/>
        </w:rPr>
        <w:t xml:space="preserve">-intrahepatic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In another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the inhibitory effect of paclitaxel and nab-paclitaxel in different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cell lines was studied, revealing that both drugs induced anti-proliferative effects. Furthermore, a toxin-induced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rat model was used to evaluate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tumor activity of paclitaxel, nab-paclitaxel and gemcitabine plus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regimen. Only nab-paclitaxel and gemcitabine plus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induced antitumor effect in the rat model. Compared with paclitaxel, nab-paclitaxel demonstrated increased effectiveness in reducing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tumor formation by disrupting the </w:t>
      </w:r>
      <w:proofErr w:type="spellStart"/>
      <w:r>
        <w:rPr>
          <w:rFonts w:ascii="Book Antiqua" w:eastAsia="Book Antiqua" w:hAnsi="Book Antiqua" w:cs="Book Antiqua"/>
          <w:color w:val="000000"/>
        </w:rPr>
        <w:t>desmoplastic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w:t>
      </w:r>
    </w:p>
    <w:p w14:paraId="21DDB365" w14:textId="77777777" w:rsidR="00A77B3E" w:rsidRDefault="006E0E22" w:rsidP="007472F0">
      <w:pPr>
        <w:spacing w:line="360" w:lineRule="auto"/>
        <w:ind w:firstLineChars="100" w:firstLine="240"/>
        <w:jc w:val="both"/>
      </w:pPr>
      <w:r>
        <w:rPr>
          <w:rFonts w:ascii="Book Antiqua" w:eastAsia="Book Antiqua" w:hAnsi="Book Antiqua" w:cs="Book Antiqua"/>
          <w:color w:val="000000"/>
        </w:rPr>
        <w:t xml:space="preserve">The genomic alterations identified in our patient’s tumor by NGS do not appear to be related to nab-paclitaxel efficacy. In addition, we have no molecular markers that predict nab-paclitaxel activity in metastatic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as we do for other tumor types.</w:t>
      </w:r>
    </w:p>
    <w:p w14:paraId="5137E58F" w14:textId="2BAFDCA0" w:rsidR="00A77B3E" w:rsidRDefault="006E0E22" w:rsidP="007B2D8E">
      <w:pPr>
        <w:spacing w:line="360" w:lineRule="auto"/>
        <w:ind w:firstLineChars="100" w:firstLine="240"/>
        <w:jc w:val="both"/>
      </w:pPr>
      <w:r>
        <w:rPr>
          <w:rFonts w:ascii="Book Antiqua" w:eastAsia="Book Antiqua" w:hAnsi="Book Antiqua" w:cs="Book Antiqua"/>
          <w:color w:val="000000"/>
        </w:rPr>
        <w:t xml:space="preserve">In a study evaluating the response of breast cancer to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chemotherapy in the </w:t>
      </w:r>
      <w:proofErr w:type="spellStart"/>
      <w:r>
        <w:rPr>
          <w:rFonts w:ascii="Book Antiqua" w:eastAsia="Book Antiqua" w:hAnsi="Book Antiqua" w:cs="Book Antiqua"/>
          <w:color w:val="000000"/>
        </w:rPr>
        <w:t>GeparSepto</w:t>
      </w:r>
      <w:proofErr w:type="spellEnd"/>
      <w:r>
        <w:rPr>
          <w:rFonts w:ascii="Book Antiqua" w:eastAsia="Book Antiqua" w:hAnsi="Book Antiqua" w:cs="Book Antiqua"/>
          <w:color w:val="000000"/>
        </w:rPr>
        <w:t xml:space="preserve"> trial according to the genomic alterations revealed by NGS, there was an increased response to nab-paclitaxel that was only observed in PIK3CA wild-type breast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The presence or absence of fibroblast growth factor receptor (FGFR) amplifications, a pathway that is aberrantly activated in 15</w:t>
      </w:r>
      <w:r w:rsidR="006F44CC">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-20% of intrahepatic </w:t>
      </w:r>
      <w:proofErr w:type="spellStart"/>
      <w:proofErr w:type="gramStart"/>
      <w:r>
        <w:rPr>
          <w:rFonts w:ascii="Book Antiqua" w:eastAsia="Book Antiqua" w:hAnsi="Book Antiqua" w:cs="Book Antiqua"/>
          <w:color w:val="000000"/>
        </w:rPr>
        <w:t>cholangiocarcinomas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was not related to the nab-paclitaxel response in </w:t>
      </w:r>
      <w:r>
        <w:rPr>
          <w:rFonts w:ascii="Book Antiqua" w:eastAsia="Book Antiqua" w:hAnsi="Book Antiqua" w:cs="Book Antiqua"/>
          <w:color w:val="000000"/>
        </w:rPr>
        <w:lastRenderedPageBreak/>
        <w:t xml:space="preserve">this study. In non-small cell lung cancer, </w:t>
      </w:r>
      <w:proofErr w:type="spellStart"/>
      <w:r>
        <w:rPr>
          <w:rFonts w:ascii="Book Antiqua" w:eastAsia="Book Antiqua" w:hAnsi="Book Antiqua" w:cs="Book Antiqua"/>
          <w:color w:val="000000"/>
        </w:rPr>
        <w:t>nintedanib</w:t>
      </w:r>
      <w:proofErr w:type="spellEnd"/>
      <w:r>
        <w:rPr>
          <w:rFonts w:ascii="Book Antiqua" w:eastAsia="Book Antiqua" w:hAnsi="Book Antiqua" w:cs="Book Antiqua"/>
          <w:color w:val="000000"/>
        </w:rPr>
        <w:t xml:space="preserve"> is the only approved agent that targets the FGFR axis. This agent is limited to adenocarcinoma and is used in combination with </w:t>
      </w:r>
      <w:proofErr w:type="spellStart"/>
      <w:r>
        <w:rPr>
          <w:rFonts w:ascii="Book Antiqua" w:eastAsia="Book Antiqua" w:hAnsi="Book Antiqua" w:cs="Book Antiqua"/>
          <w:color w:val="000000"/>
        </w:rPr>
        <w:t>docetaxel</w:t>
      </w:r>
      <w:proofErr w:type="spellEnd"/>
      <w:r>
        <w:rPr>
          <w:rFonts w:ascii="Book Antiqua" w:eastAsia="Book Antiqua" w:hAnsi="Book Antiqua" w:cs="Book Antiqua"/>
          <w:color w:val="000000"/>
        </w:rPr>
        <w:t xml:space="preserve">, according to the results of LUME-Lung 1 </w:t>
      </w:r>
      <w:proofErr w:type="gramStart"/>
      <w:r>
        <w:rPr>
          <w:rFonts w:ascii="Book Antiqua" w:eastAsia="Book Antiqua" w:hAnsi="Book Antiqua" w:cs="Book Antiqua"/>
          <w:color w:val="000000"/>
        </w:rPr>
        <w:t>trial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Based on this trial, a combination of a </w:t>
      </w:r>
      <w:proofErr w:type="spellStart"/>
      <w:r>
        <w:rPr>
          <w:rFonts w:ascii="Book Antiqua" w:eastAsia="Book Antiqua" w:hAnsi="Book Antiqua" w:cs="Book Antiqua"/>
          <w:color w:val="000000"/>
        </w:rPr>
        <w:t>taxane</w:t>
      </w:r>
      <w:proofErr w:type="spellEnd"/>
      <w:r>
        <w:rPr>
          <w:rFonts w:ascii="Book Antiqua" w:eastAsia="Book Antiqua" w:hAnsi="Book Antiqua" w:cs="Book Antiqua"/>
          <w:color w:val="000000"/>
        </w:rPr>
        <w:t xml:space="preserve">, such as nab-paclitaxel, and an FGFR inhibitor in patients with FGFR amplifications would be a viable option for future use in metastatic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patients.</w:t>
      </w:r>
    </w:p>
    <w:p w14:paraId="686E7DCE" w14:textId="77777777" w:rsidR="00A77B3E" w:rsidRDefault="00A77B3E">
      <w:pPr>
        <w:spacing w:line="360" w:lineRule="auto"/>
        <w:jc w:val="both"/>
      </w:pPr>
    </w:p>
    <w:p w14:paraId="71DD4663" w14:textId="77777777" w:rsidR="00A77B3E" w:rsidRDefault="006E0E22">
      <w:pPr>
        <w:spacing w:line="360" w:lineRule="auto"/>
        <w:jc w:val="both"/>
      </w:pPr>
      <w:r>
        <w:rPr>
          <w:rFonts w:ascii="Book Antiqua" w:eastAsia="Book Antiqua" w:hAnsi="Book Antiqua" w:cs="Book Antiqua"/>
          <w:b/>
          <w:caps/>
          <w:color w:val="000000"/>
          <w:u w:val="single"/>
        </w:rPr>
        <w:t>CONCLUSION</w:t>
      </w:r>
    </w:p>
    <w:p w14:paraId="143FD0D1" w14:textId="548DB95E" w:rsidR="00A77B3E" w:rsidRDefault="00A51AFE" w:rsidP="00A51AFE">
      <w:pPr>
        <w:spacing w:line="360" w:lineRule="auto"/>
        <w:jc w:val="both"/>
      </w:pPr>
      <w:r w:rsidRPr="00A51AFE">
        <w:rPr>
          <w:rFonts w:ascii="Book Antiqua" w:eastAsia="Book Antiqua" w:hAnsi="Book Antiqua" w:cs="Book Antiqua"/>
          <w:color w:val="000000"/>
          <w:szCs w:val="20"/>
        </w:rPr>
        <w:t xml:space="preserve">Nab-paclitaxel </w:t>
      </w:r>
      <w:proofErr w:type="spellStart"/>
      <w:r w:rsidRPr="00A51AFE">
        <w:rPr>
          <w:rFonts w:ascii="Book Antiqua" w:eastAsia="Book Antiqua" w:hAnsi="Book Antiqua" w:cs="Book Antiqua"/>
          <w:color w:val="000000"/>
          <w:szCs w:val="20"/>
        </w:rPr>
        <w:t>monotherapy</w:t>
      </w:r>
      <w:proofErr w:type="spellEnd"/>
      <w:r w:rsidRPr="00A51AFE">
        <w:rPr>
          <w:rFonts w:ascii="Book Antiqua" w:eastAsia="Book Antiqua" w:hAnsi="Book Antiqua" w:cs="Book Antiqua"/>
          <w:color w:val="000000"/>
          <w:szCs w:val="20"/>
        </w:rPr>
        <w:t xml:space="preserve"> could be a viable treatment option for patients with advanced </w:t>
      </w:r>
      <w:proofErr w:type="spellStart"/>
      <w:r w:rsidRPr="00A51AFE">
        <w:rPr>
          <w:rFonts w:ascii="Book Antiqua" w:eastAsia="Book Antiqua" w:hAnsi="Book Antiqua" w:cs="Book Antiqua"/>
          <w:color w:val="000000"/>
          <w:szCs w:val="20"/>
        </w:rPr>
        <w:t>cholangiocarcinoma</w:t>
      </w:r>
      <w:proofErr w:type="spellEnd"/>
      <w:r w:rsidRPr="00A51AFE">
        <w:rPr>
          <w:rFonts w:ascii="Book Antiqua" w:eastAsia="Book Antiqua" w:hAnsi="Book Antiqua" w:cs="Book Antiqua"/>
          <w:color w:val="000000"/>
          <w:szCs w:val="20"/>
        </w:rPr>
        <w:t xml:space="preserve"> in later lines of treatment, after they have already progressed to standard therapies. This therapy has demonstrated preliminary efficacy in preclinical models. In addition, according to phase 2 clinical trial results, nab-paclitaxel is a potential first-line treatment in combination with </w:t>
      </w:r>
      <w:proofErr w:type="gramStart"/>
      <w:r w:rsidRPr="00A51AFE">
        <w:rPr>
          <w:rFonts w:ascii="Book Antiqua" w:eastAsia="Book Antiqua" w:hAnsi="Book Antiqua" w:cs="Book Antiqua"/>
          <w:color w:val="000000"/>
          <w:szCs w:val="20"/>
        </w:rPr>
        <w:t>either gemcitabine</w:t>
      </w:r>
      <w:proofErr w:type="gramEnd"/>
      <w:r w:rsidRPr="00A51AFE">
        <w:rPr>
          <w:rFonts w:ascii="Book Antiqua" w:eastAsia="Book Antiqua" w:hAnsi="Book Antiqua" w:cs="Book Antiqua"/>
          <w:color w:val="000000"/>
          <w:szCs w:val="20"/>
        </w:rPr>
        <w:t xml:space="preserve"> or gemcitabine plus </w:t>
      </w:r>
      <w:proofErr w:type="spellStart"/>
      <w:r w:rsidRPr="00A51AFE">
        <w:rPr>
          <w:rFonts w:ascii="Book Antiqua" w:eastAsia="Book Antiqua" w:hAnsi="Book Antiqua" w:cs="Book Antiqua"/>
          <w:color w:val="000000"/>
          <w:szCs w:val="20"/>
        </w:rPr>
        <w:t>cisplatin</w:t>
      </w:r>
      <w:proofErr w:type="spellEnd"/>
      <w:r w:rsidRPr="00A51AFE">
        <w:rPr>
          <w:rFonts w:ascii="Book Antiqua" w:eastAsia="Book Antiqua" w:hAnsi="Book Antiqua" w:cs="Book Antiqua"/>
          <w:color w:val="000000"/>
          <w:szCs w:val="20"/>
        </w:rPr>
        <w:t xml:space="preserve">. Nab-paclitaxel should be studied as a potential treatment for metastatic </w:t>
      </w:r>
      <w:proofErr w:type="spellStart"/>
      <w:r w:rsidRPr="00A51AFE">
        <w:rPr>
          <w:rFonts w:ascii="Book Antiqua" w:eastAsia="Book Antiqua" w:hAnsi="Book Antiqua" w:cs="Book Antiqua"/>
          <w:color w:val="000000"/>
          <w:szCs w:val="20"/>
        </w:rPr>
        <w:t>cholangiocarcinoma</w:t>
      </w:r>
      <w:proofErr w:type="spellEnd"/>
      <w:r w:rsidRPr="00A51AFE">
        <w:rPr>
          <w:rFonts w:ascii="Book Antiqua" w:eastAsia="Book Antiqua" w:hAnsi="Book Antiqua" w:cs="Book Antiqua"/>
          <w:color w:val="000000"/>
          <w:szCs w:val="20"/>
        </w:rPr>
        <w:t xml:space="preserve"> in combination with not only chemotherapy but also with FGFR inhibitors. This is based on available efficacy data for a combination of </w:t>
      </w:r>
      <w:proofErr w:type="spellStart"/>
      <w:r w:rsidRPr="00A51AFE">
        <w:rPr>
          <w:rFonts w:ascii="Book Antiqua" w:eastAsia="Book Antiqua" w:hAnsi="Book Antiqua" w:cs="Book Antiqua"/>
          <w:color w:val="000000"/>
          <w:szCs w:val="20"/>
        </w:rPr>
        <w:t>taxane</w:t>
      </w:r>
      <w:proofErr w:type="spellEnd"/>
      <w:r w:rsidRPr="00A51AFE">
        <w:rPr>
          <w:rFonts w:ascii="Book Antiqua" w:eastAsia="Book Antiqua" w:hAnsi="Book Antiqua" w:cs="Book Antiqua"/>
          <w:color w:val="000000"/>
          <w:szCs w:val="20"/>
        </w:rPr>
        <w:t xml:space="preserve"> and FGFR inhibitor that has been used in other cancers. This approach could therefore be an interesting alternative to be explored over the next years.</w:t>
      </w:r>
    </w:p>
    <w:p w14:paraId="6F3A8BA9" w14:textId="77777777" w:rsidR="00A77B3E" w:rsidRDefault="00A77B3E" w:rsidP="00A51AFE">
      <w:pPr>
        <w:spacing w:line="360" w:lineRule="auto"/>
        <w:jc w:val="both"/>
      </w:pPr>
    </w:p>
    <w:p w14:paraId="340CB2E7" w14:textId="77777777" w:rsidR="00A77B3E" w:rsidRDefault="006E0E22">
      <w:pPr>
        <w:spacing w:line="360" w:lineRule="auto"/>
        <w:jc w:val="both"/>
      </w:pPr>
      <w:r>
        <w:rPr>
          <w:rFonts w:ascii="Book Antiqua" w:eastAsia="Book Antiqua" w:hAnsi="Book Antiqua" w:cs="Book Antiqua"/>
          <w:b/>
          <w:caps/>
          <w:color w:val="000000"/>
          <w:u w:val="single"/>
        </w:rPr>
        <w:t>ACKNOWLEDGEMENTS</w:t>
      </w:r>
    </w:p>
    <w:p w14:paraId="66381FF5" w14:textId="239F793F" w:rsidR="00A77B3E" w:rsidRDefault="006E0E22">
      <w:pPr>
        <w:spacing w:line="360" w:lineRule="auto"/>
        <w:jc w:val="both"/>
      </w:pPr>
      <w:r>
        <w:rPr>
          <w:rFonts w:ascii="Book Antiqua" w:eastAsia="Book Antiqua" w:hAnsi="Book Antiqua" w:cs="Book Antiqua"/>
          <w:color w:val="000000"/>
          <w:szCs w:val="20"/>
        </w:rPr>
        <w:t>The authors thank the patient and his family for their collaboration.</w:t>
      </w:r>
    </w:p>
    <w:p w14:paraId="122EE441" w14:textId="77777777" w:rsidR="00A77B3E" w:rsidRDefault="00A77B3E">
      <w:pPr>
        <w:spacing w:line="360" w:lineRule="auto"/>
        <w:jc w:val="both"/>
      </w:pPr>
    </w:p>
    <w:p w14:paraId="2BF75AD2" w14:textId="77777777" w:rsidR="00A77B3E" w:rsidRDefault="006E0E22">
      <w:pPr>
        <w:spacing w:line="360" w:lineRule="auto"/>
        <w:jc w:val="both"/>
      </w:pPr>
      <w:r>
        <w:rPr>
          <w:rFonts w:ascii="Book Antiqua" w:eastAsia="Book Antiqua" w:hAnsi="Book Antiqua" w:cs="Book Antiqua"/>
          <w:b/>
          <w:color w:val="000000"/>
        </w:rPr>
        <w:t>REFERENCES</w:t>
      </w:r>
    </w:p>
    <w:p w14:paraId="4B63EF86" w14:textId="77777777" w:rsidR="00A77B3E" w:rsidRDefault="006E0E22">
      <w:pPr>
        <w:spacing w:line="360" w:lineRule="auto"/>
        <w:jc w:val="both"/>
      </w:pPr>
      <w:proofErr w:type="gramStart"/>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Rizvi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Gores GJ.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Pathogenesis, diagnosis, and management of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1215-1229 [PMID: 24140396 DOI: 10.1053/j.gastro.2013.10.013]</w:t>
      </w:r>
    </w:p>
    <w:p w14:paraId="53E8BB39" w14:textId="77777777" w:rsidR="00A77B3E" w:rsidRDefault="006E0E22">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Vauthey</w:t>
      </w:r>
      <w:proofErr w:type="spellEnd"/>
      <w:r>
        <w:rPr>
          <w:rFonts w:ascii="Book Antiqua" w:eastAsia="Book Antiqua" w:hAnsi="Book Antiqua" w:cs="Book Antiqua"/>
          <w:b/>
          <w:bCs/>
          <w:color w:val="000000"/>
        </w:rPr>
        <w:t xml:space="preserve"> JN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Recent advances in the management of </w:t>
      </w:r>
      <w:proofErr w:type="spellStart"/>
      <w:r>
        <w:rPr>
          <w:rFonts w:ascii="Book Antiqua" w:eastAsia="Book Antiqua" w:hAnsi="Book Antiqua" w:cs="Book Antiqua"/>
          <w:color w:val="000000"/>
        </w:rPr>
        <w:t>cholangiocarcinomas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1994; </w:t>
      </w:r>
      <w:r>
        <w:rPr>
          <w:rFonts w:ascii="Book Antiqua" w:eastAsia="Book Antiqua" w:hAnsi="Book Antiqua" w:cs="Book Antiqua"/>
          <w:b/>
          <w:bCs/>
          <w:color w:val="000000"/>
        </w:rPr>
        <w:t>14</w:t>
      </w:r>
      <w:r>
        <w:rPr>
          <w:rFonts w:ascii="Book Antiqua" w:eastAsia="Book Antiqua" w:hAnsi="Book Antiqua" w:cs="Book Antiqua"/>
          <w:color w:val="000000"/>
        </w:rPr>
        <w:t>: 109-114 [PMID: 8047893 DOI: 10.1055/s-2007-1007302]</w:t>
      </w:r>
    </w:p>
    <w:p w14:paraId="226367DB" w14:textId="77777777" w:rsidR="00A77B3E" w:rsidRDefault="006E0E22">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DeOliveira</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Cunningham SC, Cameron JL, </w:t>
      </w:r>
      <w:proofErr w:type="spellStart"/>
      <w:r>
        <w:rPr>
          <w:rFonts w:ascii="Book Antiqua" w:eastAsia="Book Antiqua" w:hAnsi="Book Antiqua" w:cs="Book Antiqua"/>
          <w:color w:val="000000"/>
        </w:rPr>
        <w:t>Kamangar</w:t>
      </w:r>
      <w:proofErr w:type="spellEnd"/>
      <w:r>
        <w:rPr>
          <w:rFonts w:ascii="Book Antiqua" w:eastAsia="Book Antiqua" w:hAnsi="Book Antiqua" w:cs="Book Antiqua"/>
          <w:color w:val="000000"/>
        </w:rPr>
        <w:t xml:space="preserve"> F, Winter JM,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MA, Yeo CJ,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thirty-one-year experience with 564 patients at a single institution.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245</w:t>
      </w:r>
      <w:r>
        <w:rPr>
          <w:rFonts w:ascii="Book Antiqua" w:eastAsia="Book Antiqua" w:hAnsi="Book Antiqua" w:cs="Book Antiqua"/>
          <w:color w:val="000000"/>
        </w:rPr>
        <w:t>: 755-762 [PMID: 17457168 DOI: 10.1097/01.sla.0000251366.62632.d3]</w:t>
      </w:r>
    </w:p>
    <w:p w14:paraId="5A93F07C" w14:textId="4BFD0899" w:rsidR="00A77B3E" w:rsidRDefault="006E0E22">
      <w:pPr>
        <w:spacing w:line="360" w:lineRule="auto"/>
        <w:jc w:val="both"/>
      </w:pPr>
      <w:r w:rsidRPr="00662197">
        <w:rPr>
          <w:rFonts w:ascii="Book Antiqua" w:eastAsia="Book Antiqua" w:hAnsi="Book Antiqua" w:cs="Book Antiqua"/>
          <w:color w:val="000000"/>
          <w:lang w:val="es-ES"/>
        </w:rPr>
        <w:t xml:space="preserve">4 </w:t>
      </w:r>
      <w:r w:rsidRPr="00662197">
        <w:rPr>
          <w:rFonts w:ascii="Book Antiqua" w:eastAsia="Book Antiqua" w:hAnsi="Book Antiqua" w:cs="Book Antiqua"/>
          <w:b/>
          <w:bCs/>
          <w:color w:val="000000"/>
          <w:lang w:val="es-ES"/>
        </w:rPr>
        <w:t>Nakeeb A</w:t>
      </w:r>
      <w:r w:rsidRPr="00662197">
        <w:rPr>
          <w:rFonts w:ascii="Book Antiqua" w:eastAsia="Book Antiqua" w:hAnsi="Book Antiqua" w:cs="Book Antiqua"/>
          <w:color w:val="000000"/>
          <w:lang w:val="es-ES"/>
        </w:rPr>
        <w:t xml:space="preserve">, Pitt HA, Sohn TA, Coleman J, Abrams RA, Piantadosi S, Hruban RH, Lillemoe KD, Yeo CJ, Cameron JL. </w:t>
      </w:r>
      <w:proofErr w:type="spellStart"/>
      <w:proofErr w:type="gram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A spectrum of intrahepatic, </w:t>
      </w:r>
      <w:proofErr w:type="spellStart"/>
      <w:r>
        <w:rPr>
          <w:rFonts w:ascii="Book Antiqua" w:eastAsia="Book Antiqua" w:hAnsi="Book Antiqua" w:cs="Book Antiqua"/>
          <w:color w:val="000000"/>
        </w:rPr>
        <w:t>perihilar</w:t>
      </w:r>
      <w:proofErr w:type="spellEnd"/>
      <w:r>
        <w:rPr>
          <w:rFonts w:ascii="Book Antiqua" w:eastAsia="Book Antiqua" w:hAnsi="Book Antiqua" w:cs="Book Antiqua"/>
          <w:color w:val="000000"/>
        </w:rPr>
        <w:t>, and distal tumors.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224</w:t>
      </w:r>
      <w:r>
        <w:rPr>
          <w:rFonts w:ascii="Book Antiqua" w:eastAsia="Book Antiqua" w:hAnsi="Book Antiqua" w:cs="Book Antiqua"/>
          <w:color w:val="000000"/>
        </w:rPr>
        <w:t>: 463-</w:t>
      </w:r>
      <w:r w:rsidR="004E4534">
        <w:rPr>
          <w:rFonts w:ascii="Book Antiqua" w:eastAsia="Book Antiqua" w:hAnsi="Book Antiqua" w:cs="Book Antiqua"/>
          <w:color w:val="000000"/>
        </w:rPr>
        <w:t>4</w:t>
      </w:r>
      <w:r>
        <w:rPr>
          <w:rFonts w:ascii="Book Antiqua" w:eastAsia="Book Antiqua" w:hAnsi="Book Antiqua" w:cs="Book Antiqua"/>
          <w:color w:val="000000"/>
        </w:rPr>
        <w:t>73; discussion 473-</w:t>
      </w:r>
      <w:r w:rsidR="004E4534">
        <w:rPr>
          <w:rFonts w:ascii="Book Antiqua" w:eastAsia="Book Antiqua" w:hAnsi="Book Antiqua" w:cs="Book Antiqua"/>
          <w:color w:val="000000"/>
        </w:rPr>
        <w:t>47</w:t>
      </w:r>
      <w:r>
        <w:rPr>
          <w:rFonts w:ascii="Book Antiqua" w:eastAsia="Book Antiqua" w:hAnsi="Book Antiqua" w:cs="Book Antiqua"/>
          <w:color w:val="000000"/>
        </w:rPr>
        <w:t>5 [PMID: 8857851 DOI: 10.1097/00000658-199610000-00005]</w:t>
      </w:r>
    </w:p>
    <w:p w14:paraId="787D9A2A" w14:textId="792C34B7" w:rsidR="00A77B3E" w:rsidRDefault="006E0E22">
      <w:pPr>
        <w:spacing w:line="360" w:lineRule="auto"/>
        <w:jc w:val="both"/>
      </w:pPr>
      <w:r w:rsidRPr="008C7C4E">
        <w:rPr>
          <w:rFonts w:ascii="Book Antiqua" w:eastAsia="Book Antiqua" w:hAnsi="Book Antiqua" w:cs="Book Antiqua"/>
          <w:color w:val="000000"/>
        </w:rPr>
        <w:t xml:space="preserve">5 </w:t>
      </w:r>
      <w:r w:rsidRPr="008C7C4E">
        <w:rPr>
          <w:rFonts w:ascii="Book Antiqua" w:eastAsia="Book Antiqua" w:hAnsi="Book Antiqua" w:cs="Book Antiqua"/>
          <w:b/>
          <w:color w:val="000000"/>
        </w:rPr>
        <w:t xml:space="preserve">American Cancer </w:t>
      </w:r>
      <w:proofErr w:type="gramStart"/>
      <w:r w:rsidRPr="008C7C4E">
        <w:rPr>
          <w:rFonts w:ascii="Book Antiqua" w:eastAsia="Book Antiqua" w:hAnsi="Book Antiqua" w:cs="Book Antiqua"/>
          <w:b/>
          <w:color w:val="000000"/>
        </w:rPr>
        <w:t>Society</w:t>
      </w:r>
      <w:proofErr w:type="gramEnd"/>
      <w:r w:rsidRPr="008C7C4E">
        <w:rPr>
          <w:rFonts w:ascii="Book Antiqua" w:eastAsia="Book Antiqua" w:hAnsi="Book Antiqua" w:cs="Book Antiqua"/>
          <w:b/>
          <w:color w:val="000000"/>
        </w:rPr>
        <w:t xml:space="preserve">. </w:t>
      </w:r>
      <w:proofErr w:type="gramStart"/>
      <w:r w:rsidRPr="008C7C4E">
        <w:rPr>
          <w:rFonts w:ascii="Book Antiqua" w:eastAsia="Book Antiqua" w:hAnsi="Book Antiqua" w:cs="Book Antiqua"/>
          <w:bCs/>
          <w:color w:val="000000"/>
        </w:rPr>
        <w:t>Cancer Statics Center.</w:t>
      </w:r>
      <w:proofErr w:type="gramEnd"/>
      <w:r w:rsidRPr="008C7C4E">
        <w:rPr>
          <w:rFonts w:ascii="Book Antiqua" w:eastAsia="Book Antiqua" w:hAnsi="Book Antiqua" w:cs="Book Antiqua"/>
          <w:bCs/>
          <w:color w:val="000000"/>
        </w:rPr>
        <w:t xml:space="preserve"> </w:t>
      </w:r>
      <w:r w:rsidR="004C4D64" w:rsidRPr="008C7C4E">
        <w:rPr>
          <w:rFonts w:ascii="Book Antiqua" w:eastAsia="Book Antiqua" w:hAnsi="Book Antiqua" w:cs="Book Antiqua"/>
          <w:bCs/>
          <w:color w:val="000000"/>
        </w:rPr>
        <w:t>2020</w:t>
      </w:r>
      <w:r w:rsidR="00446D12" w:rsidRPr="008C7C4E">
        <w:rPr>
          <w:rFonts w:ascii="Book Antiqua" w:eastAsia="Book Antiqua" w:hAnsi="Book Antiqua" w:cs="Book Antiqua"/>
          <w:bCs/>
          <w:color w:val="000000"/>
        </w:rPr>
        <w:t>.</w:t>
      </w:r>
      <w:r w:rsidR="004C4D64" w:rsidRPr="008C7C4E">
        <w:rPr>
          <w:rFonts w:ascii="Book Antiqua" w:eastAsia="Book Antiqua" w:hAnsi="Book Antiqua" w:cs="Book Antiqua"/>
          <w:bCs/>
          <w:color w:val="000000"/>
        </w:rPr>
        <w:t xml:space="preserve"> </w:t>
      </w:r>
      <w:r w:rsidRPr="008C7C4E">
        <w:rPr>
          <w:rFonts w:ascii="Book Antiqua" w:eastAsia="Book Antiqua" w:hAnsi="Book Antiqua" w:cs="Book Antiqua"/>
          <w:bCs/>
          <w:color w:val="000000"/>
        </w:rPr>
        <w:t xml:space="preserve">Available </w:t>
      </w:r>
      <w:r w:rsidR="004C4D64" w:rsidRPr="008C7C4E">
        <w:rPr>
          <w:rFonts w:ascii="Book Antiqua" w:eastAsia="Book Antiqua" w:hAnsi="Book Antiqua" w:cs="Book Antiqua"/>
          <w:bCs/>
          <w:color w:val="000000"/>
        </w:rPr>
        <w:t>from</w:t>
      </w:r>
      <w:r w:rsidRPr="008C7C4E">
        <w:rPr>
          <w:rFonts w:ascii="Book Antiqua" w:eastAsia="Book Antiqua" w:hAnsi="Book Antiqua" w:cs="Book Antiqua"/>
          <w:bCs/>
          <w:color w:val="000000"/>
        </w:rPr>
        <w:t xml:space="preserve">: </w:t>
      </w:r>
      <w:r w:rsidR="008C7C4E">
        <w:rPr>
          <w:rFonts w:ascii="Book Antiqua" w:hAnsi="Book Antiqua" w:cs="Book Antiqua" w:hint="eastAsia"/>
          <w:bCs/>
          <w:color w:val="000000"/>
          <w:lang w:eastAsia="zh-CN"/>
        </w:rPr>
        <w:t xml:space="preserve">URL: </w:t>
      </w:r>
      <w:r w:rsidR="00446D12" w:rsidRPr="008C7C4E">
        <w:rPr>
          <w:rFonts w:ascii="Book Antiqua" w:eastAsia="Book Antiqua" w:hAnsi="Book Antiqua" w:cs="Book Antiqua"/>
          <w:bCs/>
        </w:rPr>
        <w:t>https://cancerstatisticscenter.cancer.org</w:t>
      </w:r>
      <w:r w:rsidR="00446D12">
        <w:rPr>
          <w:rFonts w:ascii="Book Antiqua" w:eastAsia="Book Antiqua" w:hAnsi="Book Antiqua" w:cs="Book Antiqua"/>
          <w:bCs/>
          <w:color w:val="000000"/>
        </w:rPr>
        <w:t xml:space="preserve"> </w:t>
      </w:r>
    </w:p>
    <w:p w14:paraId="0590244A" w14:textId="77777777" w:rsidR="00A77B3E" w:rsidRDefault="006E0E22">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Patel T</w:t>
      </w:r>
      <w:r>
        <w:rPr>
          <w:rFonts w:ascii="Book Antiqua" w:eastAsia="Book Antiqua" w:hAnsi="Book Antiqua" w:cs="Book Antiqua"/>
          <w:color w:val="000000"/>
        </w:rPr>
        <w:t xml:space="preserve">. Increasing incidence and mortality of primary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in the United States.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1353-1357 [PMID: 11391522 DOI: 10.1053/jhep.2001.25087]</w:t>
      </w:r>
    </w:p>
    <w:p w14:paraId="05CCD512" w14:textId="77777777" w:rsidR="00A77B3E" w:rsidRDefault="006E0E2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Shaib</w:t>
      </w:r>
      <w:proofErr w:type="spellEnd"/>
      <w:r>
        <w:rPr>
          <w:rFonts w:ascii="Book Antiqua" w:eastAsia="Book Antiqua" w:hAnsi="Book Antiqua" w:cs="Book Antiqua"/>
          <w:b/>
          <w:bCs/>
          <w:color w:val="000000"/>
        </w:rPr>
        <w:t xml:space="preserve"> YH</w:t>
      </w:r>
      <w:r>
        <w:rPr>
          <w:rFonts w:ascii="Book Antiqua" w:eastAsia="Book Antiqua" w:hAnsi="Book Antiqua" w:cs="Book Antiqua"/>
          <w:color w:val="000000"/>
        </w:rPr>
        <w:t xml:space="preserve">, Davila JA, </w:t>
      </w:r>
      <w:proofErr w:type="spellStart"/>
      <w:r>
        <w:rPr>
          <w:rFonts w:ascii="Book Antiqua" w:eastAsia="Book Antiqua" w:hAnsi="Book Antiqua" w:cs="Book Antiqua"/>
          <w:color w:val="000000"/>
        </w:rPr>
        <w:t>McGlynn</w:t>
      </w:r>
      <w:proofErr w:type="spellEnd"/>
      <w:r>
        <w:rPr>
          <w:rFonts w:ascii="Book Antiqua" w:eastAsia="Book Antiqua" w:hAnsi="Book Antiqua" w:cs="Book Antiqua"/>
          <w:color w:val="000000"/>
        </w:rPr>
        <w:t xml:space="preserve"> K,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HB. Rising incidence of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in the United States: a true increase?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472-477 [PMID: 15123362 DOI: 10.1016/j.jhep.2003.11.030]</w:t>
      </w:r>
    </w:p>
    <w:p w14:paraId="1E16D122" w14:textId="77777777" w:rsidR="00A77B3E" w:rsidRDefault="006E0E22">
      <w:pPr>
        <w:spacing w:line="360" w:lineRule="auto"/>
        <w:jc w:val="both"/>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Patel T</w:t>
      </w:r>
      <w:r>
        <w:rPr>
          <w:rFonts w:ascii="Book Antiqua" w:eastAsia="Book Antiqua" w:hAnsi="Book Antiqua" w:cs="Book Antiqua"/>
          <w:color w:val="000000"/>
        </w:rPr>
        <w:t>. Worldwide trends in mortality from biliary tract malignancies.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2</w:t>
      </w:r>
      <w:r>
        <w:rPr>
          <w:rFonts w:ascii="Book Antiqua" w:eastAsia="Book Antiqua" w:hAnsi="Book Antiqua" w:cs="Book Antiqua"/>
          <w:color w:val="000000"/>
        </w:rPr>
        <w:t>: 10 [PMID: 11991810 DOI: 10.1186/1471-2407-2-10]</w:t>
      </w:r>
    </w:p>
    <w:p w14:paraId="6C61C4AA" w14:textId="77777777" w:rsidR="00A77B3E" w:rsidRDefault="006E0E22">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Welzel</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McGlynn</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Hsing</w:t>
      </w:r>
      <w:proofErr w:type="spellEnd"/>
      <w:r>
        <w:rPr>
          <w:rFonts w:ascii="Book Antiqua" w:eastAsia="Book Antiqua" w:hAnsi="Book Antiqua" w:cs="Book Antiqua"/>
          <w:color w:val="000000"/>
        </w:rPr>
        <w:t xml:space="preserve"> AW, O'Brien TR, Pfeiffer RM. Impact of classification of </w:t>
      </w:r>
      <w:proofErr w:type="spellStart"/>
      <w:r>
        <w:rPr>
          <w:rFonts w:ascii="Book Antiqua" w:eastAsia="Book Antiqua" w:hAnsi="Book Antiqua" w:cs="Book Antiqua"/>
          <w:color w:val="000000"/>
        </w:rPr>
        <w:t>hilar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cholangiocarcinomas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Klatskin</w:t>
      </w:r>
      <w:proofErr w:type="spellEnd"/>
      <w:r>
        <w:rPr>
          <w:rFonts w:ascii="Book Antiqua" w:eastAsia="Book Antiqua" w:hAnsi="Book Antiqua" w:cs="Book Antiqua"/>
          <w:color w:val="000000"/>
        </w:rPr>
        <w:t xml:space="preserve"> tumors) on the incidence of intra- and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in the United States.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Cancer </w:t>
      </w:r>
      <w:proofErr w:type="spellStart"/>
      <w:r>
        <w:rPr>
          <w:rFonts w:ascii="Book Antiqua" w:eastAsia="Book Antiqua" w:hAnsi="Book Antiqua" w:cs="Book Antiqua"/>
          <w:i/>
          <w:iCs/>
          <w:color w:val="000000"/>
        </w:rPr>
        <w:t>Inst</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98</w:t>
      </w:r>
      <w:r>
        <w:rPr>
          <w:rFonts w:ascii="Book Antiqua" w:eastAsia="Book Antiqua" w:hAnsi="Book Antiqua" w:cs="Book Antiqua"/>
          <w:color w:val="000000"/>
        </w:rPr>
        <w:t>: 873-875 [PMID: 16788161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/djj234]</w:t>
      </w:r>
    </w:p>
    <w:p w14:paraId="7DC29A40" w14:textId="10636AE7" w:rsidR="00A77B3E" w:rsidRDefault="006E0E2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Jarnagin</w:t>
      </w:r>
      <w:proofErr w:type="spellEnd"/>
      <w:r>
        <w:rPr>
          <w:rFonts w:ascii="Book Antiqua" w:eastAsia="Book Antiqua" w:hAnsi="Book Antiqua" w:cs="Book Antiqua"/>
          <w:b/>
          <w:bCs/>
          <w:color w:val="000000"/>
        </w:rPr>
        <w:t xml:space="preserve"> WR</w:t>
      </w:r>
      <w:r>
        <w:rPr>
          <w:rFonts w:ascii="Book Antiqua" w:eastAsia="Book Antiqua" w:hAnsi="Book Antiqua" w:cs="Book Antiqua"/>
          <w:color w:val="000000"/>
        </w:rPr>
        <w:t xml:space="preserve">, Fong Y,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Burke EC, </w:t>
      </w:r>
      <w:proofErr w:type="spellStart"/>
      <w:r>
        <w:rPr>
          <w:rFonts w:ascii="Book Antiqua" w:eastAsia="Book Antiqua" w:hAnsi="Book Antiqua" w:cs="Book Antiqua"/>
          <w:color w:val="000000"/>
        </w:rPr>
        <w:t>Bodniewicz</w:t>
      </w:r>
      <w:proofErr w:type="spellEnd"/>
      <w:r>
        <w:rPr>
          <w:rFonts w:ascii="Book Antiqua" w:eastAsia="Book Antiqua" w:hAnsi="Book Antiqua" w:cs="Book Antiqua"/>
          <w:color w:val="000000"/>
        </w:rPr>
        <w:t xml:space="preserve"> BS J, Youssef BA M,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w:t>
      </w:r>
      <w:proofErr w:type="gramStart"/>
      <w:r>
        <w:rPr>
          <w:rFonts w:ascii="Book Antiqua" w:eastAsia="Book Antiqua" w:hAnsi="Book Antiqua" w:cs="Book Antiqua"/>
          <w:color w:val="000000"/>
        </w:rPr>
        <w:t xml:space="preserve">Staging,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and outcome in 225 patients with </w:t>
      </w:r>
      <w:proofErr w:type="spellStart"/>
      <w:r>
        <w:rPr>
          <w:rFonts w:ascii="Book Antiqua" w:eastAsia="Book Antiqua" w:hAnsi="Book Antiqua" w:cs="Book Antiqua"/>
          <w:color w:val="000000"/>
        </w:rPr>
        <w:t>hilar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234</w:t>
      </w:r>
      <w:r>
        <w:rPr>
          <w:rFonts w:ascii="Book Antiqua" w:eastAsia="Book Antiqua" w:hAnsi="Book Antiqua" w:cs="Book Antiqua"/>
          <w:color w:val="000000"/>
        </w:rPr>
        <w:t>: 507-</w:t>
      </w:r>
      <w:r w:rsidR="0009353D">
        <w:rPr>
          <w:rFonts w:ascii="Book Antiqua" w:eastAsia="Book Antiqua" w:hAnsi="Book Antiqua" w:cs="Book Antiqua"/>
          <w:color w:val="000000"/>
        </w:rPr>
        <w:t>5</w:t>
      </w:r>
      <w:r>
        <w:rPr>
          <w:rFonts w:ascii="Book Antiqua" w:eastAsia="Book Antiqua" w:hAnsi="Book Antiqua" w:cs="Book Antiqua"/>
          <w:color w:val="000000"/>
        </w:rPr>
        <w:t>17; discussion 517-</w:t>
      </w:r>
      <w:r w:rsidR="001C7C48">
        <w:rPr>
          <w:rFonts w:ascii="Book Antiqua" w:eastAsia="Book Antiqua" w:hAnsi="Book Antiqua" w:cs="Book Antiqua"/>
          <w:color w:val="000000"/>
        </w:rPr>
        <w:t>51</w:t>
      </w:r>
      <w:r>
        <w:rPr>
          <w:rFonts w:ascii="Book Antiqua" w:eastAsia="Book Antiqua" w:hAnsi="Book Antiqua" w:cs="Book Antiqua"/>
          <w:color w:val="000000"/>
        </w:rPr>
        <w:t>9 [PMID: 11573044 DOI: 10.1097/00000658-200110000-00010]</w:t>
      </w:r>
    </w:p>
    <w:p w14:paraId="2DA48A0E" w14:textId="6EE06443" w:rsidR="00A77B3E" w:rsidRDefault="006E0E2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Valle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Palmer DH, Cunningham D, </w:t>
      </w:r>
      <w:proofErr w:type="spellStart"/>
      <w:r>
        <w:rPr>
          <w:rFonts w:ascii="Book Antiqua" w:eastAsia="Book Antiqua" w:hAnsi="Book Antiqua" w:cs="Book Antiqua"/>
          <w:color w:val="000000"/>
        </w:rPr>
        <w:t>Anthoney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Maraveyas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Madhusudan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Iveson</w:t>
      </w:r>
      <w:proofErr w:type="spellEnd"/>
      <w:r>
        <w:rPr>
          <w:rFonts w:ascii="Book Antiqua" w:eastAsia="Book Antiqua" w:hAnsi="Book Antiqua" w:cs="Book Antiqua"/>
          <w:color w:val="000000"/>
        </w:rPr>
        <w:t xml:space="preserve"> T, Hughes S, Pereira SP, </w:t>
      </w:r>
      <w:proofErr w:type="spellStart"/>
      <w:r>
        <w:rPr>
          <w:rFonts w:ascii="Book Antiqua" w:eastAsia="Book Antiqua" w:hAnsi="Book Antiqua" w:cs="Book Antiqua"/>
          <w:color w:val="000000"/>
        </w:rPr>
        <w:t>Roughton</w:t>
      </w:r>
      <w:proofErr w:type="spellEnd"/>
      <w:r>
        <w:rPr>
          <w:rFonts w:ascii="Book Antiqua" w:eastAsia="Book Antiqua" w:hAnsi="Book Antiqua" w:cs="Book Antiqua"/>
          <w:color w:val="000000"/>
        </w:rPr>
        <w:t xml:space="preserve"> M, Bridgewater J; ABC-02 </w:t>
      </w:r>
      <w:r>
        <w:rPr>
          <w:rFonts w:ascii="Book Antiqua" w:eastAsia="Book Antiqua" w:hAnsi="Book Antiqua" w:cs="Book Antiqua"/>
          <w:color w:val="000000"/>
        </w:rPr>
        <w:lastRenderedPageBreak/>
        <w:t xml:space="preserve">Trial Investigators. </w:t>
      </w:r>
      <w:proofErr w:type="spellStart"/>
      <w:proofErr w:type="gram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plus gemcitabine </w:t>
      </w:r>
      <w:r>
        <w:rPr>
          <w:rFonts w:ascii="Book Antiqua" w:eastAsia="Book Antiqua" w:hAnsi="Book Antiqua" w:cs="Book Antiqua"/>
          <w:i/>
          <w:iCs/>
          <w:color w:val="000000"/>
        </w:rPr>
        <w:t>v</w:t>
      </w:r>
      <w:r w:rsidR="001C7C48">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gemcitabine for biliary tract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1273-1281 [PMID: 20375404 DOI: 10.1056/NEJMoa0908721]</w:t>
      </w:r>
    </w:p>
    <w:p w14:paraId="1C50F7DB" w14:textId="77777777" w:rsidR="00A77B3E" w:rsidRDefault="006E0E22">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Yardley DA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nab-Paclitaxel</w:t>
      </w:r>
      <w:proofErr w:type="gramEnd"/>
      <w:r>
        <w:rPr>
          <w:rFonts w:ascii="Book Antiqua" w:eastAsia="Book Antiqua" w:hAnsi="Book Antiqua" w:cs="Book Antiqua"/>
          <w:color w:val="000000"/>
        </w:rPr>
        <w:t xml:space="preserve"> mechanisms of action and delivery. </w:t>
      </w:r>
      <w:r>
        <w:rPr>
          <w:rFonts w:ascii="Book Antiqua" w:eastAsia="Book Antiqua" w:hAnsi="Book Antiqua" w:cs="Book Antiqua"/>
          <w:i/>
          <w:iCs/>
          <w:color w:val="000000"/>
        </w:rPr>
        <w:t>J Control Release</w:t>
      </w:r>
      <w:r>
        <w:rPr>
          <w:rFonts w:ascii="Book Antiqua" w:eastAsia="Book Antiqua" w:hAnsi="Book Antiqua" w:cs="Book Antiqua"/>
          <w:color w:val="000000"/>
        </w:rPr>
        <w:t xml:space="preserve"> 2013; </w:t>
      </w:r>
      <w:r>
        <w:rPr>
          <w:rFonts w:ascii="Book Antiqua" w:eastAsia="Book Antiqua" w:hAnsi="Book Antiqua" w:cs="Book Antiqua"/>
          <w:b/>
          <w:bCs/>
          <w:color w:val="000000"/>
        </w:rPr>
        <w:t>170</w:t>
      </w:r>
      <w:r>
        <w:rPr>
          <w:rFonts w:ascii="Book Antiqua" w:eastAsia="Book Antiqua" w:hAnsi="Book Antiqua" w:cs="Book Antiqua"/>
          <w:color w:val="000000"/>
        </w:rPr>
        <w:t>: 365-372 [PMID: 23770008 DOI: 10.1016/j.jconrel.2013.05.041]</w:t>
      </w:r>
    </w:p>
    <w:p w14:paraId="69414BF2" w14:textId="77777777" w:rsidR="00A77B3E" w:rsidRDefault="006E0E2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Gradishar</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Tjulandin</w:t>
      </w:r>
      <w:proofErr w:type="spellEnd"/>
      <w:r>
        <w:rPr>
          <w:rFonts w:ascii="Book Antiqua" w:eastAsia="Book Antiqua" w:hAnsi="Book Antiqua" w:cs="Book Antiqua"/>
          <w:color w:val="000000"/>
        </w:rPr>
        <w:t xml:space="preserve"> S, Davidson N, Shaw H, Desai N, </w:t>
      </w:r>
      <w:proofErr w:type="spellStart"/>
      <w:r>
        <w:rPr>
          <w:rFonts w:ascii="Book Antiqua" w:eastAsia="Book Antiqua" w:hAnsi="Book Antiqua" w:cs="Book Antiqua"/>
          <w:color w:val="000000"/>
        </w:rPr>
        <w:t>Bhar</w:t>
      </w:r>
      <w:proofErr w:type="spellEnd"/>
      <w:r>
        <w:rPr>
          <w:rFonts w:ascii="Book Antiqua" w:eastAsia="Book Antiqua" w:hAnsi="Book Antiqua" w:cs="Book Antiqua"/>
          <w:color w:val="000000"/>
        </w:rPr>
        <w:t xml:space="preserve"> P, Hawkins M, O'Shaughnessy J. Phase III trial of nanoparticle albumin-bound paclitaxel compared with </w:t>
      </w:r>
      <w:proofErr w:type="spellStart"/>
      <w:r>
        <w:rPr>
          <w:rFonts w:ascii="Book Antiqua" w:eastAsia="Book Antiqua" w:hAnsi="Book Antiqua" w:cs="Book Antiqua"/>
          <w:color w:val="000000"/>
        </w:rPr>
        <w:t>polyethylated</w:t>
      </w:r>
      <w:proofErr w:type="spellEnd"/>
      <w:r>
        <w:rPr>
          <w:rFonts w:ascii="Book Antiqua" w:eastAsia="Book Antiqua" w:hAnsi="Book Antiqua" w:cs="Book Antiqua"/>
          <w:color w:val="000000"/>
        </w:rPr>
        <w:t xml:space="preserve"> castor oil-based paclitaxel in women with breast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7794-7803 [PMID: 16172456 DOI: 10.1200/JCO.2005.04.937]</w:t>
      </w:r>
    </w:p>
    <w:p w14:paraId="090B7662" w14:textId="0A983F84" w:rsidR="00A77B3E" w:rsidRDefault="006E0E2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Aigner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Marmé</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Smetanay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Schuetz</w:t>
      </w:r>
      <w:proofErr w:type="spellEnd"/>
      <w:r>
        <w:rPr>
          <w:rFonts w:ascii="Book Antiqua" w:eastAsia="Book Antiqua" w:hAnsi="Book Antiqua" w:cs="Book Antiqua"/>
          <w:color w:val="000000"/>
        </w:rPr>
        <w:t xml:space="preserve"> F, Jaeger D, </w:t>
      </w:r>
      <w:proofErr w:type="spellStart"/>
      <w:r>
        <w:rPr>
          <w:rFonts w:ascii="Book Antiqua" w:eastAsia="Book Antiqua" w:hAnsi="Book Antiqua" w:cs="Book Antiqua"/>
          <w:color w:val="000000"/>
        </w:rPr>
        <w:t>Schneeweiss</w:t>
      </w:r>
      <w:proofErr w:type="spellEnd"/>
      <w:r>
        <w:rPr>
          <w:rFonts w:ascii="Book Antiqua" w:eastAsia="Book Antiqua" w:hAnsi="Book Antiqua" w:cs="Book Antiqua"/>
          <w:color w:val="000000"/>
        </w:rPr>
        <w:t xml:space="preserve"> A. Nab-Paclitaxel </w:t>
      </w:r>
      <w:proofErr w:type="spellStart"/>
      <w:r>
        <w:rPr>
          <w:rFonts w:ascii="Book Antiqua" w:eastAsia="Book Antiqua" w:hAnsi="Book Antiqua" w:cs="Book Antiqua"/>
          <w:color w:val="000000"/>
        </w:rPr>
        <w:t>monotherapy</w:t>
      </w:r>
      <w:proofErr w:type="spellEnd"/>
      <w:r>
        <w:rPr>
          <w:rFonts w:ascii="Book Antiqua" w:eastAsia="Book Antiqua" w:hAnsi="Book Antiqua" w:cs="Book Antiqua"/>
          <w:color w:val="000000"/>
        </w:rPr>
        <w:t xml:space="preserve"> as a treatment of patients with metastatic breast cancer in routine clinical practice.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3407-3413</w:t>
      </w:r>
      <w:r w:rsidR="008C7C4E">
        <w:rPr>
          <w:rFonts w:ascii="Book Antiqua" w:hAnsi="Book Antiqua" w:cs="Book Antiqua" w:hint="eastAsia"/>
          <w:color w:val="000000"/>
          <w:lang w:eastAsia="zh-CN"/>
        </w:rPr>
        <w:t xml:space="preserve"> </w:t>
      </w:r>
      <w:r>
        <w:rPr>
          <w:rFonts w:ascii="Book Antiqua" w:eastAsia="Book Antiqua" w:hAnsi="Book Antiqua" w:cs="Book Antiqua"/>
          <w:color w:val="000000"/>
        </w:rPr>
        <w:t>[PMID: 23898112]</w:t>
      </w:r>
    </w:p>
    <w:p w14:paraId="17C93D8F" w14:textId="77777777" w:rsidR="00A77B3E" w:rsidRDefault="006E0E22">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Gradishar</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Krasnojon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Cheporov</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Makhson</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Manikhas</w:t>
      </w:r>
      <w:proofErr w:type="spellEnd"/>
      <w:r>
        <w:rPr>
          <w:rFonts w:ascii="Book Antiqua" w:eastAsia="Book Antiqua" w:hAnsi="Book Antiqua" w:cs="Book Antiqua"/>
          <w:color w:val="000000"/>
        </w:rPr>
        <w:t xml:space="preserve"> GM, Clawson A, </w:t>
      </w:r>
      <w:proofErr w:type="spellStart"/>
      <w:r>
        <w:rPr>
          <w:rFonts w:ascii="Book Antiqua" w:eastAsia="Book Antiqua" w:hAnsi="Book Antiqua" w:cs="Book Antiqua"/>
          <w:color w:val="000000"/>
        </w:rPr>
        <w:t>Bhar</w:t>
      </w:r>
      <w:proofErr w:type="spellEnd"/>
      <w:r>
        <w:rPr>
          <w:rFonts w:ascii="Book Antiqua" w:eastAsia="Book Antiqua" w:hAnsi="Book Antiqua" w:cs="Book Antiqua"/>
          <w:color w:val="000000"/>
        </w:rPr>
        <w:t xml:space="preserve"> P. Significantly longer progression-free survival with nab-paclitaxel compared with </w:t>
      </w:r>
      <w:proofErr w:type="spellStart"/>
      <w:r>
        <w:rPr>
          <w:rFonts w:ascii="Book Antiqua" w:eastAsia="Book Antiqua" w:hAnsi="Book Antiqua" w:cs="Book Antiqua"/>
          <w:color w:val="000000"/>
        </w:rPr>
        <w:t>docetaxel</w:t>
      </w:r>
      <w:proofErr w:type="spellEnd"/>
      <w:r>
        <w:rPr>
          <w:rFonts w:ascii="Book Antiqua" w:eastAsia="Book Antiqua" w:hAnsi="Book Antiqua" w:cs="Book Antiqua"/>
          <w:color w:val="000000"/>
        </w:rPr>
        <w:t xml:space="preserve"> as first-line therapy for metastatic breast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3611-3619 [PMID: 19470941 DOI: 10.1200/JCO.2008.18.5397]</w:t>
      </w:r>
    </w:p>
    <w:p w14:paraId="1E4B5405" w14:textId="77777777" w:rsidR="00A77B3E" w:rsidRDefault="006E0E2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Gradishar</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Krasnojon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Cheporov</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Makhson</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Manikhas</w:t>
      </w:r>
      <w:proofErr w:type="spellEnd"/>
      <w:r>
        <w:rPr>
          <w:rFonts w:ascii="Book Antiqua" w:eastAsia="Book Antiqua" w:hAnsi="Book Antiqua" w:cs="Book Antiqua"/>
          <w:color w:val="000000"/>
        </w:rPr>
        <w:t xml:space="preserve"> GM, Clawson A, </w:t>
      </w:r>
      <w:proofErr w:type="spellStart"/>
      <w:r>
        <w:rPr>
          <w:rFonts w:ascii="Book Antiqua" w:eastAsia="Book Antiqua" w:hAnsi="Book Antiqua" w:cs="Book Antiqua"/>
          <w:color w:val="000000"/>
        </w:rPr>
        <w:t>Bhar</w:t>
      </w:r>
      <w:proofErr w:type="spellEnd"/>
      <w:r>
        <w:rPr>
          <w:rFonts w:ascii="Book Antiqua" w:eastAsia="Book Antiqua" w:hAnsi="Book Antiqua" w:cs="Book Antiqua"/>
          <w:color w:val="000000"/>
        </w:rPr>
        <w:t xml:space="preserve"> P, McGuire JR, Iglesias J. Phase II trial of nab-paclitaxel compared with </w:t>
      </w:r>
      <w:proofErr w:type="spellStart"/>
      <w:r>
        <w:rPr>
          <w:rFonts w:ascii="Book Antiqua" w:eastAsia="Book Antiqua" w:hAnsi="Book Antiqua" w:cs="Book Antiqua"/>
          <w:color w:val="000000"/>
        </w:rPr>
        <w:t>docetaxel</w:t>
      </w:r>
      <w:proofErr w:type="spellEnd"/>
      <w:r>
        <w:rPr>
          <w:rFonts w:ascii="Book Antiqua" w:eastAsia="Book Antiqua" w:hAnsi="Book Antiqua" w:cs="Book Antiqua"/>
          <w:color w:val="000000"/>
        </w:rPr>
        <w:t xml:space="preserve"> as first-line chemotherapy in patients with metastatic breast cancer: final analysis of overall survival.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Breast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313-321 [PMID: 22728026 DOI: 10.1016/j.clbc.2012.05.001]</w:t>
      </w:r>
    </w:p>
    <w:p w14:paraId="4AE2F8B7" w14:textId="77777777" w:rsidR="00A77B3E" w:rsidRDefault="006E0E22">
      <w:pPr>
        <w:spacing w:line="360" w:lineRule="auto"/>
        <w:jc w:val="both"/>
      </w:pPr>
      <w:proofErr w:type="gramStart"/>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Sahai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Catalano PJ, </w:t>
      </w:r>
      <w:proofErr w:type="spellStart"/>
      <w:r>
        <w:rPr>
          <w:rFonts w:ascii="Book Antiqua" w:eastAsia="Book Antiqua" w:hAnsi="Book Antiqua" w:cs="Book Antiqua"/>
          <w:color w:val="000000"/>
        </w:rPr>
        <w:t>Zalupski</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Lubner</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Menge</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Nimeiri</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Munshi</w:t>
      </w:r>
      <w:proofErr w:type="spellEnd"/>
      <w:r>
        <w:rPr>
          <w:rFonts w:ascii="Book Antiqua" w:eastAsia="Book Antiqua" w:hAnsi="Book Antiqua" w:cs="Book Antiqua"/>
          <w:color w:val="000000"/>
        </w:rPr>
        <w:t xml:space="preserve"> HG, Benson AB 3rd, </w:t>
      </w:r>
      <w:proofErr w:type="spellStart"/>
      <w:r>
        <w:rPr>
          <w:rFonts w:ascii="Book Antiqua" w:eastAsia="Book Antiqua" w:hAnsi="Book Antiqua" w:cs="Book Antiqua"/>
          <w:color w:val="000000"/>
        </w:rPr>
        <w:t>O'Dwyer</w:t>
      </w:r>
      <w:proofErr w:type="spellEnd"/>
      <w:r>
        <w:rPr>
          <w:rFonts w:ascii="Book Antiqua" w:eastAsia="Book Antiqua" w:hAnsi="Book Antiqua" w:cs="Book Antiqua"/>
          <w:color w:val="000000"/>
        </w:rPr>
        <w:t xml:space="preserve"> PJ.</w:t>
      </w:r>
      <w:proofErr w:type="gramEnd"/>
      <w:r>
        <w:rPr>
          <w:rFonts w:ascii="Book Antiqua" w:eastAsia="Book Antiqua" w:hAnsi="Book Antiqua" w:cs="Book Antiqua"/>
          <w:color w:val="000000"/>
        </w:rPr>
        <w:t xml:space="preserve"> Nab-Paclitaxel and Gemcitabine as First-line Treatment of Advanced or Metastatic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 Phase 2 Clinical Trial.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1707-1712 [PMID: 30178032 DOI: 10.1001/jamaoncol.2018.3277]</w:t>
      </w:r>
    </w:p>
    <w:p w14:paraId="006C6777" w14:textId="77777777" w:rsidR="00A77B3E" w:rsidRDefault="006E0E22">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Shroff</w:t>
      </w:r>
      <w:proofErr w:type="spellEnd"/>
      <w:r>
        <w:rPr>
          <w:rFonts w:ascii="Book Antiqua" w:eastAsia="Book Antiqua" w:hAnsi="Book Antiqua" w:cs="Book Antiqua"/>
          <w:b/>
          <w:bCs/>
          <w:color w:val="000000"/>
        </w:rPr>
        <w:t xml:space="preserve"> RT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Javle</w:t>
      </w:r>
      <w:proofErr w:type="spellEnd"/>
      <w:r>
        <w:rPr>
          <w:rFonts w:ascii="Book Antiqua" w:eastAsia="Book Antiqua" w:hAnsi="Book Antiqua" w:cs="Book Antiqua"/>
          <w:color w:val="000000"/>
        </w:rPr>
        <w:t xml:space="preserve"> MM, Xiao L, </w:t>
      </w:r>
      <w:proofErr w:type="spellStart"/>
      <w:r>
        <w:rPr>
          <w:rFonts w:ascii="Book Antiqua" w:eastAsia="Book Antiqua" w:hAnsi="Book Antiqua" w:cs="Book Antiqua"/>
          <w:color w:val="000000"/>
        </w:rPr>
        <w:t>Kaseb</w:t>
      </w:r>
      <w:proofErr w:type="spellEnd"/>
      <w:r>
        <w:rPr>
          <w:rFonts w:ascii="Book Antiqua" w:eastAsia="Book Antiqua" w:hAnsi="Book Antiqua" w:cs="Book Antiqua"/>
          <w:color w:val="000000"/>
        </w:rPr>
        <w:t xml:space="preserve"> AO, </w:t>
      </w:r>
      <w:proofErr w:type="spellStart"/>
      <w:r>
        <w:rPr>
          <w:rFonts w:ascii="Book Antiqua" w:eastAsia="Book Antiqua" w:hAnsi="Book Antiqua" w:cs="Book Antiqua"/>
          <w:color w:val="000000"/>
        </w:rPr>
        <w:t>Varadhachary</w:t>
      </w:r>
      <w:proofErr w:type="spellEnd"/>
      <w:r>
        <w:rPr>
          <w:rFonts w:ascii="Book Antiqua" w:eastAsia="Book Antiqua" w:hAnsi="Book Antiqua" w:cs="Book Antiqua"/>
          <w:color w:val="000000"/>
        </w:rPr>
        <w:t xml:space="preserve"> GR, Wolff RA, </w:t>
      </w:r>
      <w:proofErr w:type="spellStart"/>
      <w:r>
        <w:rPr>
          <w:rFonts w:ascii="Book Antiqua" w:eastAsia="Book Antiqua" w:hAnsi="Book Antiqua" w:cs="Book Antiqua"/>
          <w:color w:val="000000"/>
        </w:rPr>
        <w:t>Raghav</w:t>
      </w:r>
      <w:proofErr w:type="spellEnd"/>
      <w:r>
        <w:rPr>
          <w:rFonts w:ascii="Book Antiqua" w:eastAsia="Book Antiqua" w:hAnsi="Book Antiqua" w:cs="Book Antiqua"/>
          <w:color w:val="000000"/>
        </w:rPr>
        <w:t xml:space="preserve"> KPS, Iwasaki M, </w:t>
      </w:r>
      <w:proofErr w:type="spellStart"/>
      <w:r>
        <w:rPr>
          <w:rFonts w:ascii="Book Antiqua" w:eastAsia="Book Antiqua" w:hAnsi="Book Antiqua" w:cs="Book Antiqua"/>
          <w:color w:val="000000"/>
        </w:rPr>
        <w:t>Masci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Ramanathan</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Bekaii</w:t>
      </w:r>
      <w:proofErr w:type="spellEnd"/>
      <w:r>
        <w:rPr>
          <w:rFonts w:ascii="Book Antiqua" w:eastAsia="Book Antiqua" w:hAnsi="Book Antiqua" w:cs="Book Antiqua"/>
          <w:color w:val="000000"/>
        </w:rPr>
        <w:t xml:space="preserve">-Saab TS, </w:t>
      </w:r>
      <w:proofErr w:type="spellStart"/>
      <w:r>
        <w:rPr>
          <w:rFonts w:ascii="Book Antiqua" w:eastAsia="Book Antiqua" w:hAnsi="Book Antiqua" w:cs="Book Antiqua"/>
          <w:color w:val="000000"/>
        </w:rPr>
        <w:t>Borad</w:t>
      </w:r>
      <w:proofErr w:type="spellEnd"/>
      <w:r>
        <w:rPr>
          <w:rFonts w:ascii="Book Antiqua" w:eastAsia="Book Antiqua" w:hAnsi="Book Antiqua" w:cs="Book Antiqua"/>
          <w:color w:val="000000"/>
        </w:rPr>
        <w:t xml:space="preserve"> MJ. Gemcitabine,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and nab-Paclitaxel for the Treatment of Advanced Biliary Tract Cancers: A Phase 2 Clinical Trial.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824-830 [PMID: 30998813 DOI: 10.1001/jamaoncol.2019.0270]</w:t>
      </w:r>
    </w:p>
    <w:p w14:paraId="59C9F1AF" w14:textId="77777777" w:rsidR="00A77B3E" w:rsidRDefault="006E0E22">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Unseld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Weigl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Kornek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Stranzl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Bianconi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Brunauer</w:t>
      </w:r>
      <w:proofErr w:type="spellEnd"/>
      <w:r>
        <w:rPr>
          <w:rFonts w:ascii="Book Antiqua" w:eastAsia="Book Antiqua" w:hAnsi="Book Antiqua" w:cs="Book Antiqua"/>
          <w:color w:val="000000"/>
        </w:rPr>
        <w:t xml:space="preserve"> G, Steger G, Zielinski CC, </w:t>
      </w:r>
      <w:proofErr w:type="spellStart"/>
      <w:r>
        <w:rPr>
          <w:rFonts w:ascii="Book Antiqua" w:eastAsia="Book Antiqua" w:hAnsi="Book Antiqua" w:cs="Book Antiqua"/>
          <w:color w:val="000000"/>
        </w:rPr>
        <w:t>Prager</w:t>
      </w:r>
      <w:proofErr w:type="spellEnd"/>
      <w:r>
        <w:rPr>
          <w:rFonts w:ascii="Book Antiqua" w:eastAsia="Book Antiqua" w:hAnsi="Book Antiqua" w:cs="Book Antiqua"/>
          <w:color w:val="000000"/>
        </w:rPr>
        <w:t xml:space="preserve"> GW. Nab-paclitaxel as alternative treatment regimen in advanced </w:t>
      </w:r>
      <w:proofErr w:type="spellStart"/>
      <w:r>
        <w:rPr>
          <w:rFonts w:ascii="Book Antiqua" w:eastAsia="Book Antiqua" w:hAnsi="Book Antiqua" w:cs="Book Antiqua"/>
          <w:color w:val="000000"/>
        </w:rPr>
        <w:t>cholangiocellular</w:t>
      </w:r>
      <w:proofErr w:type="spellEnd"/>
      <w:r>
        <w:rPr>
          <w:rFonts w:ascii="Book Antiqua" w:eastAsia="Book Antiqua" w:hAnsi="Book Antiqua" w:cs="Book Antiqua"/>
          <w:color w:val="000000"/>
        </w:rPr>
        <w:t xml:space="preserve">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588-594 [PMID: 27563449 DOI: 10.21037/jgo.2016.05.01]</w:t>
      </w:r>
    </w:p>
    <w:p w14:paraId="33499BEB" w14:textId="77777777" w:rsidR="00A77B3E" w:rsidRDefault="006E0E22">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Fraveto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Cardinale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Bragazzi</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Giuliante</w:t>
      </w:r>
      <w:proofErr w:type="spellEnd"/>
      <w:r>
        <w:rPr>
          <w:rFonts w:ascii="Book Antiqua" w:eastAsia="Book Antiqua" w:hAnsi="Book Antiqua" w:cs="Book Antiqua"/>
          <w:color w:val="000000"/>
        </w:rPr>
        <w:t xml:space="preserve"> F, De Rose AM, </w:t>
      </w:r>
      <w:proofErr w:type="spellStart"/>
      <w:r>
        <w:rPr>
          <w:rFonts w:ascii="Book Antiqua" w:eastAsia="Book Antiqua" w:hAnsi="Book Antiqua" w:cs="Book Antiqua"/>
          <w:color w:val="000000"/>
        </w:rPr>
        <w:t>Grazi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Napoletano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Semeraro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Lustri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Costantini</w:t>
      </w:r>
      <w:proofErr w:type="spellEnd"/>
      <w:r>
        <w:rPr>
          <w:rFonts w:ascii="Book Antiqua" w:eastAsia="Book Antiqua" w:hAnsi="Book Antiqua" w:cs="Book Antiqua"/>
          <w:color w:val="000000"/>
        </w:rPr>
        <w:t xml:space="preserve"> D, Nevi L, Di </w:t>
      </w:r>
      <w:proofErr w:type="spellStart"/>
      <w:r>
        <w:rPr>
          <w:rFonts w:ascii="Book Antiqua" w:eastAsia="Book Antiqua" w:hAnsi="Book Antiqua" w:cs="Book Antiqua"/>
          <w:color w:val="000000"/>
        </w:rPr>
        <w:t>Matteo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Renzi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Carpino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Gaudio</w:t>
      </w:r>
      <w:proofErr w:type="spellEnd"/>
      <w:r>
        <w:rPr>
          <w:rFonts w:ascii="Book Antiqua" w:eastAsia="Book Antiqua" w:hAnsi="Book Antiqua" w:cs="Book Antiqua"/>
          <w:color w:val="000000"/>
        </w:rPr>
        <w:t xml:space="preserve"> E, Alvaro D. Sensitivity of Human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Subtypes to Chemotherapeutics and Molecular Targeted Agents: A Study on Primary Cell Cultures.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e0142124 [PMID: 26571380 DOI: 10.1371/journal.pone.0142124]</w:t>
      </w:r>
    </w:p>
    <w:p w14:paraId="29EF6768" w14:textId="77777777" w:rsidR="00A77B3E" w:rsidRDefault="006E0E22">
      <w:pPr>
        <w:spacing w:line="360" w:lineRule="auto"/>
        <w:jc w:val="both"/>
      </w:pPr>
      <w:proofErr w:type="gramStart"/>
      <w:r>
        <w:rPr>
          <w:rFonts w:ascii="Book Antiqua" w:eastAsia="Book Antiqua" w:hAnsi="Book Antiqua" w:cs="Book Antiqua"/>
          <w:color w:val="000000"/>
        </w:rPr>
        <w:t xml:space="preserve">21 </w:t>
      </w:r>
      <w:r>
        <w:rPr>
          <w:rFonts w:ascii="Book Antiqua" w:eastAsia="Book Antiqua" w:hAnsi="Book Antiqua" w:cs="Book Antiqua"/>
          <w:b/>
          <w:bCs/>
          <w:color w:val="000000"/>
        </w:rPr>
        <w:t>Chang PM</w:t>
      </w:r>
      <w:r>
        <w:rPr>
          <w:rFonts w:ascii="Book Antiqua" w:eastAsia="Book Antiqua" w:hAnsi="Book Antiqua" w:cs="Book Antiqua"/>
          <w:color w:val="000000"/>
        </w:rPr>
        <w:t xml:space="preserve">, Cheng CT, Wu RC, Chung YH, Chiang KC,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TS, Liu CY, Chen MH, Chen MH,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CN.</w:t>
      </w:r>
      <w:proofErr w:type="gramEnd"/>
      <w:r>
        <w:rPr>
          <w:rFonts w:ascii="Book Antiqua" w:eastAsia="Book Antiqua" w:hAnsi="Book Antiqua" w:cs="Book Antiqua"/>
          <w:color w:val="000000"/>
        </w:rPr>
        <w:t xml:space="preserve"> Nab-paclitaxel is effective against intrahepatic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via disruption of </w:t>
      </w:r>
      <w:proofErr w:type="spellStart"/>
      <w:r>
        <w:rPr>
          <w:rFonts w:ascii="Book Antiqua" w:eastAsia="Book Antiqua" w:hAnsi="Book Antiqua" w:cs="Book Antiqua"/>
          <w:color w:val="000000"/>
        </w:rPr>
        <w:t>desmoplastic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566-572 [PMID: 29963132 DOI: 10.3892/ol.2018.8690]</w:t>
      </w:r>
    </w:p>
    <w:p w14:paraId="605EBCDF" w14:textId="77777777" w:rsidR="00A77B3E" w:rsidRDefault="006E0E2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Loibl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Treue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Budczies</w:t>
      </w:r>
      <w:proofErr w:type="spellEnd"/>
      <w:r>
        <w:rPr>
          <w:rFonts w:ascii="Book Antiqua" w:eastAsia="Book Antiqua" w:hAnsi="Book Antiqua" w:cs="Book Antiqua"/>
          <w:color w:val="000000"/>
        </w:rPr>
        <w:t xml:space="preserve"> J, Weber K, </w:t>
      </w:r>
      <w:proofErr w:type="spellStart"/>
      <w:r>
        <w:rPr>
          <w:rFonts w:ascii="Book Antiqua" w:eastAsia="Book Antiqua" w:hAnsi="Book Antiqua" w:cs="Book Antiqua"/>
          <w:color w:val="000000"/>
        </w:rPr>
        <w:t>Stenzinger</w:t>
      </w:r>
      <w:proofErr w:type="spellEnd"/>
      <w:r>
        <w:rPr>
          <w:rFonts w:ascii="Book Antiqua" w:eastAsia="Book Antiqua" w:hAnsi="Book Antiqua" w:cs="Book Antiqua"/>
          <w:color w:val="000000"/>
        </w:rPr>
        <w:t xml:space="preserve"> A, Schmitt WD, </w:t>
      </w:r>
      <w:proofErr w:type="spellStart"/>
      <w:r>
        <w:rPr>
          <w:rFonts w:ascii="Book Antiqua" w:eastAsia="Book Antiqua" w:hAnsi="Book Antiqua" w:cs="Book Antiqua"/>
          <w:color w:val="000000"/>
        </w:rPr>
        <w:t>Weichert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Jank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Furlanetto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Klauschen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Karn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Pfarr</w:t>
      </w:r>
      <w:proofErr w:type="spellEnd"/>
      <w:r>
        <w:rPr>
          <w:rFonts w:ascii="Book Antiqua" w:eastAsia="Book Antiqua" w:hAnsi="Book Antiqua" w:cs="Book Antiqua"/>
          <w:color w:val="000000"/>
        </w:rPr>
        <w:t xml:space="preserve"> N, von </w:t>
      </w:r>
      <w:proofErr w:type="spellStart"/>
      <w:r>
        <w:rPr>
          <w:rFonts w:ascii="Book Antiqua" w:eastAsia="Book Antiqua" w:hAnsi="Book Antiqua" w:cs="Book Antiqua"/>
          <w:color w:val="000000"/>
        </w:rPr>
        <w:t>Minckwitz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Möbs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Jackisch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Sers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Schneeweiss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Fasching</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Schem</w:t>
      </w:r>
      <w:proofErr w:type="spellEnd"/>
      <w:r>
        <w:rPr>
          <w:rFonts w:ascii="Book Antiqua" w:eastAsia="Book Antiqua" w:hAnsi="Book Antiqua" w:cs="Book Antiqua"/>
          <w:color w:val="000000"/>
        </w:rPr>
        <w:t xml:space="preserve"> C, Hummel M, van </w:t>
      </w:r>
      <w:proofErr w:type="spellStart"/>
      <w:r>
        <w:rPr>
          <w:rFonts w:ascii="Book Antiqua" w:eastAsia="Book Antiqua" w:hAnsi="Book Antiqua" w:cs="Book Antiqua"/>
          <w:color w:val="000000"/>
        </w:rPr>
        <w:t>Mackelenbergh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Nekljudova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Untch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Denkert</w:t>
      </w:r>
      <w:proofErr w:type="spellEnd"/>
      <w:r>
        <w:rPr>
          <w:rFonts w:ascii="Book Antiqua" w:eastAsia="Book Antiqua" w:hAnsi="Book Antiqua" w:cs="Book Antiqua"/>
          <w:color w:val="000000"/>
        </w:rPr>
        <w:t xml:space="preserve"> C. Mutational Diversity and Therapy Response in Breast Cancer: A Sequencing Analysis in the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GeparSepto</w:t>
      </w:r>
      <w:proofErr w:type="spellEnd"/>
      <w:r>
        <w:rPr>
          <w:rFonts w:ascii="Book Antiqua" w:eastAsia="Book Antiqua" w:hAnsi="Book Antiqua" w:cs="Book Antiqua"/>
          <w:color w:val="000000"/>
        </w:rPr>
        <w:t xml:space="preserve"> Trial.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3986-3995 [PMID: 30979740 DOI: 10.1158/1078-0432.CCR-18-3258]</w:t>
      </w:r>
    </w:p>
    <w:p w14:paraId="2D80AAC7" w14:textId="77777777" w:rsidR="00A77B3E" w:rsidRDefault="006E0E22">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Krook</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Lenyo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Wilberding</w:t>
      </w:r>
      <w:proofErr w:type="spellEnd"/>
      <w:r>
        <w:rPr>
          <w:rFonts w:ascii="Book Antiqua" w:eastAsia="Book Antiqua" w:hAnsi="Book Antiqua" w:cs="Book Antiqua"/>
          <w:color w:val="000000"/>
        </w:rPr>
        <w:t xml:space="preserve"> M, Barker H, </w:t>
      </w:r>
      <w:proofErr w:type="spellStart"/>
      <w:r>
        <w:rPr>
          <w:rFonts w:ascii="Book Antiqua" w:eastAsia="Book Antiqua" w:hAnsi="Book Antiqua" w:cs="Book Antiqua"/>
          <w:color w:val="000000"/>
        </w:rPr>
        <w:t>Dantuono</w:t>
      </w:r>
      <w:proofErr w:type="spellEnd"/>
      <w:r>
        <w:rPr>
          <w:rFonts w:ascii="Book Antiqua" w:eastAsia="Book Antiqua" w:hAnsi="Book Antiqua" w:cs="Book Antiqua"/>
          <w:color w:val="000000"/>
        </w:rPr>
        <w:t xml:space="preserve"> M, Bailey KM, Chen HZ, </w:t>
      </w:r>
      <w:proofErr w:type="spellStart"/>
      <w:r>
        <w:rPr>
          <w:rFonts w:ascii="Book Antiqua" w:eastAsia="Book Antiqua" w:hAnsi="Book Antiqua" w:cs="Book Antiqua"/>
          <w:color w:val="000000"/>
        </w:rPr>
        <w:t>Reeser</w:t>
      </w:r>
      <w:proofErr w:type="spellEnd"/>
      <w:r>
        <w:rPr>
          <w:rFonts w:ascii="Book Antiqua" w:eastAsia="Book Antiqua" w:hAnsi="Book Antiqua" w:cs="Book Antiqua"/>
          <w:color w:val="000000"/>
        </w:rPr>
        <w:t xml:space="preserve"> JW, Wing MR, </w:t>
      </w:r>
      <w:proofErr w:type="spellStart"/>
      <w:r>
        <w:rPr>
          <w:rFonts w:ascii="Book Antiqua" w:eastAsia="Book Antiqua" w:hAnsi="Book Antiqua" w:cs="Book Antiqua"/>
          <w:color w:val="000000"/>
        </w:rPr>
        <w:t>Miya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Samorodnitsky</w:t>
      </w:r>
      <w:proofErr w:type="spellEnd"/>
      <w:r>
        <w:rPr>
          <w:rFonts w:ascii="Book Antiqua" w:eastAsia="Book Antiqua" w:hAnsi="Book Antiqua" w:cs="Book Antiqua"/>
          <w:color w:val="000000"/>
        </w:rPr>
        <w:t xml:space="preserve"> E, Smith AM, Dao T, Martin DM, </w:t>
      </w:r>
      <w:proofErr w:type="spellStart"/>
      <w:r>
        <w:rPr>
          <w:rFonts w:ascii="Book Antiqua" w:eastAsia="Book Antiqua" w:hAnsi="Book Antiqua" w:cs="Book Antiqua"/>
          <w:color w:val="000000"/>
        </w:rPr>
        <w:t>Ciombor</w:t>
      </w:r>
      <w:proofErr w:type="spellEnd"/>
      <w:r>
        <w:rPr>
          <w:rFonts w:ascii="Book Antiqua" w:eastAsia="Book Antiqua" w:hAnsi="Book Antiqua" w:cs="Book Antiqua"/>
          <w:color w:val="000000"/>
        </w:rPr>
        <w:t xml:space="preserve"> KK, Hays J, Freud AG, </w:t>
      </w:r>
      <w:proofErr w:type="spellStart"/>
      <w:r>
        <w:rPr>
          <w:rFonts w:ascii="Book Antiqua" w:eastAsia="Book Antiqua" w:hAnsi="Book Antiqua" w:cs="Book Antiqua"/>
          <w:color w:val="000000"/>
        </w:rPr>
        <w:t>Roychowdhury</w:t>
      </w:r>
      <w:proofErr w:type="spellEnd"/>
      <w:r>
        <w:rPr>
          <w:rFonts w:ascii="Book Antiqua" w:eastAsia="Book Antiqua" w:hAnsi="Book Antiqua" w:cs="Book Antiqua"/>
          <w:color w:val="000000"/>
        </w:rPr>
        <w:t xml:space="preserve"> S. Efficacy of FGFR Inhibitors and Combination Therapies for Acquired Resistance in FGFR2-Fusion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847-857 [PMID: 31911531 DOI: 10.1158/1535-7163.MCT-19-0631]</w:t>
      </w:r>
    </w:p>
    <w:p w14:paraId="3C24601F" w14:textId="77777777" w:rsidR="00A77B3E" w:rsidRDefault="006E0E22">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Tsironis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Ziogas</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Kyriazoglou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Lykka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Koutsoukos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Bamias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Dimopoulos</w:t>
      </w:r>
      <w:proofErr w:type="spellEnd"/>
      <w:r>
        <w:rPr>
          <w:rFonts w:ascii="Book Antiqua" w:eastAsia="Book Antiqua" w:hAnsi="Book Antiqua" w:cs="Book Antiqua"/>
          <w:color w:val="000000"/>
        </w:rPr>
        <w:t xml:space="preserve"> MA. Breakthroughs in the treatment of advanced squamous-cell NSCLC: not the neglected sibling anymore?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143 [PMID: 29862232 DOI: 10.21037/atm.2018.02.18]</w:t>
      </w:r>
    </w:p>
    <w:p w14:paraId="5A88583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BACC604" w14:textId="77777777" w:rsidR="00A77B3E" w:rsidRDefault="006E0E22">
      <w:pPr>
        <w:spacing w:line="360" w:lineRule="auto"/>
        <w:jc w:val="both"/>
      </w:pPr>
      <w:r>
        <w:rPr>
          <w:rFonts w:ascii="Book Antiqua" w:eastAsia="Book Antiqua" w:hAnsi="Book Antiqua" w:cs="Book Antiqua"/>
          <w:b/>
          <w:color w:val="000000"/>
        </w:rPr>
        <w:lastRenderedPageBreak/>
        <w:t>Footnotes</w:t>
      </w:r>
    </w:p>
    <w:p w14:paraId="6E355C58" w14:textId="77777777" w:rsidR="00A77B3E" w:rsidRDefault="006E0E22">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szCs w:val="20"/>
        </w:rPr>
        <w:t>The patient gave informed consent and the identifiers have been removed prior to submission for publication.</w:t>
      </w:r>
    </w:p>
    <w:p w14:paraId="10249475" w14:textId="77777777" w:rsidR="00A77B3E" w:rsidRDefault="00A77B3E">
      <w:pPr>
        <w:spacing w:line="360" w:lineRule="auto"/>
        <w:jc w:val="both"/>
      </w:pPr>
    </w:p>
    <w:p w14:paraId="666002FA" w14:textId="77777777" w:rsidR="00A77B3E" w:rsidRDefault="006E0E22">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0"/>
          <w:shd w:val="clear" w:color="auto" w:fill="FFFFFF"/>
        </w:rPr>
        <w:t>The authors declare no conflicts of interest.</w:t>
      </w:r>
    </w:p>
    <w:p w14:paraId="0C5F0CB0" w14:textId="77777777" w:rsidR="00A77B3E" w:rsidRDefault="00A77B3E">
      <w:pPr>
        <w:spacing w:line="360" w:lineRule="auto"/>
        <w:jc w:val="both"/>
      </w:pPr>
    </w:p>
    <w:p w14:paraId="35766393" w14:textId="77777777" w:rsidR="00A77B3E" w:rsidRDefault="006E0E2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rPr>
        <w:t>The authors have read the CARE Checklist (2016), and the manuscript was prepared and revised according to the CARE Checklist (2016).</w:t>
      </w:r>
    </w:p>
    <w:p w14:paraId="19D6DB9E" w14:textId="77777777" w:rsidR="00A77B3E" w:rsidRDefault="00A77B3E">
      <w:pPr>
        <w:spacing w:line="360" w:lineRule="auto"/>
        <w:jc w:val="both"/>
      </w:pPr>
    </w:p>
    <w:p w14:paraId="62B3EE60" w14:textId="77777777" w:rsidR="00A77B3E" w:rsidRDefault="006E0E2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CCB8A3" w14:textId="77777777" w:rsidR="00A77B3E" w:rsidRDefault="00A77B3E">
      <w:pPr>
        <w:spacing w:line="360" w:lineRule="auto"/>
        <w:jc w:val="both"/>
      </w:pPr>
    </w:p>
    <w:p w14:paraId="67D3FDEF" w14:textId="050CE7FF" w:rsidR="00A77B3E" w:rsidRDefault="006E0E2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53049">
        <w:rPr>
          <w:rFonts w:ascii="Book Antiqua" w:eastAsia="Book Antiqua" w:hAnsi="Book Antiqua" w:cs="Book Antiqua"/>
          <w:color w:val="000000"/>
        </w:rPr>
        <w:t>m</w:t>
      </w:r>
      <w:r>
        <w:rPr>
          <w:rFonts w:ascii="Book Antiqua" w:eastAsia="Book Antiqua" w:hAnsi="Book Antiqua" w:cs="Book Antiqua"/>
          <w:color w:val="000000"/>
        </w:rPr>
        <w:t>anuscript</w:t>
      </w:r>
    </w:p>
    <w:p w14:paraId="4AC1A6EB" w14:textId="77777777" w:rsidR="00A77B3E" w:rsidRDefault="00A77B3E">
      <w:pPr>
        <w:spacing w:line="360" w:lineRule="auto"/>
        <w:jc w:val="both"/>
      </w:pPr>
    </w:p>
    <w:p w14:paraId="022D7132" w14:textId="77777777" w:rsidR="00A77B3E" w:rsidRDefault="006E0E2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4, 2020</w:t>
      </w:r>
    </w:p>
    <w:p w14:paraId="245C4D41" w14:textId="77777777" w:rsidR="00A77B3E" w:rsidRDefault="006E0E2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040C720A" w14:textId="3884EDD7" w:rsidR="00A77B3E" w:rsidRDefault="006E0E22">
      <w:pPr>
        <w:spacing w:line="360" w:lineRule="auto"/>
        <w:jc w:val="both"/>
      </w:pPr>
      <w:r>
        <w:rPr>
          <w:rFonts w:ascii="Book Antiqua" w:eastAsia="Book Antiqua" w:hAnsi="Book Antiqua" w:cs="Book Antiqua"/>
          <w:b/>
          <w:color w:val="000000"/>
        </w:rPr>
        <w:t xml:space="preserve">Article in press: </w:t>
      </w:r>
      <w:r w:rsidR="00EB69E6" w:rsidRPr="00583BAC">
        <w:rPr>
          <w:rFonts w:ascii="Book Antiqua" w:eastAsia="Book Antiqua" w:hAnsi="Book Antiqua" w:cs="Book Antiqua"/>
          <w:bCs/>
          <w:color w:val="000000"/>
        </w:rPr>
        <w:t xml:space="preserve">September </w:t>
      </w:r>
      <w:r w:rsidR="00EB69E6">
        <w:rPr>
          <w:rFonts w:ascii="Book Antiqua" w:eastAsia="Book Antiqua" w:hAnsi="Book Antiqua" w:cs="Book Antiqua"/>
          <w:bCs/>
          <w:color w:val="000000"/>
        </w:rPr>
        <w:t>8</w:t>
      </w:r>
      <w:r w:rsidR="00EB69E6" w:rsidRPr="00583BAC">
        <w:rPr>
          <w:rFonts w:ascii="Book Antiqua" w:eastAsia="Book Antiqua" w:hAnsi="Book Antiqua" w:cs="Book Antiqua"/>
          <w:bCs/>
          <w:color w:val="000000"/>
        </w:rPr>
        <w:t>, 2020</w:t>
      </w:r>
    </w:p>
    <w:p w14:paraId="6C7F8F52" w14:textId="77777777" w:rsidR="00A77B3E" w:rsidRDefault="00A77B3E">
      <w:pPr>
        <w:spacing w:line="360" w:lineRule="auto"/>
        <w:jc w:val="both"/>
      </w:pPr>
    </w:p>
    <w:p w14:paraId="74AA24A3" w14:textId="1CFF4282" w:rsidR="00A77B3E" w:rsidRDefault="006E0E2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3E4C7820" w14:textId="77777777" w:rsidR="00A77B3E" w:rsidRDefault="006E0E2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16A947A8" w14:textId="77777777" w:rsidR="00A77B3E" w:rsidRDefault="006E0E22">
      <w:pPr>
        <w:spacing w:line="360" w:lineRule="auto"/>
        <w:jc w:val="both"/>
      </w:pPr>
      <w:r>
        <w:rPr>
          <w:rFonts w:ascii="Book Antiqua" w:eastAsia="Book Antiqua" w:hAnsi="Book Antiqua" w:cs="Book Antiqua"/>
          <w:b/>
          <w:color w:val="000000"/>
        </w:rPr>
        <w:t>Peer-review report’s scientific quality classification</w:t>
      </w:r>
    </w:p>
    <w:p w14:paraId="772EBE50" w14:textId="77777777" w:rsidR="00A77B3E" w:rsidRDefault="006E0E22">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747EB70" w14:textId="77777777" w:rsidR="00A77B3E" w:rsidRDefault="006E0E22">
      <w:pPr>
        <w:spacing w:line="360" w:lineRule="auto"/>
        <w:jc w:val="both"/>
      </w:pPr>
      <w:r>
        <w:rPr>
          <w:rFonts w:ascii="Book Antiqua" w:eastAsia="Book Antiqua" w:hAnsi="Book Antiqua" w:cs="Book Antiqua"/>
          <w:color w:val="000000"/>
        </w:rPr>
        <w:t>Grade B (Very good): B, B</w:t>
      </w:r>
    </w:p>
    <w:p w14:paraId="7D200292" w14:textId="77777777" w:rsidR="00A77B3E" w:rsidRDefault="006E0E22">
      <w:pPr>
        <w:spacing w:line="360" w:lineRule="auto"/>
        <w:jc w:val="both"/>
      </w:pPr>
      <w:r>
        <w:rPr>
          <w:rFonts w:ascii="Book Antiqua" w:eastAsia="Book Antiqua" w:hAnsi="Book Antiqua" w:cs="Book Antiqua"/>
          <w:color w:val="000000"/>
        </w:rPr>
        <w:t>Grade C (Good): 0</w:t>
      </w:r>
    </w:p>
    <w:p w14:paraId="500FA7E7" w14:textId="77777777" w:rsidR="00A77B3E" w:rsidRDefault="006E0E22">
      <w:pPr>
        <w:spacing w:line="360" w:lineRule="auto"/>
        <w:jc w:val="both"/>
      </w:pPr>
      <w:r>
        <w:rPr>
          <w:rFonts w:ascii="Book Antiqua" w:eastAsia="Book Antiqua" w:hAnsi="Book Antiqua" w:cs="Book Antiqua"/>
          <w:color w:val="000000"/>
        </w:rPr>
        <w:lastRenderedPageBreak/>
        <w:t>Grade D (Fair): 0</w:t>
      </w:r>
    </w:p>
    <w:p w14:paraId="03A93558" w14:textId="77777777" w:rsidR="00A77B3E" w:rsidRDefault="006E0E22">
      <w:pPr>
        <w:spacing w:line="360" w:lineRule="auto"/>
        <w:jc w:val="both"/>
      </w:pPr>
      <w:r>
        <w:rPr>
          <w:rFonts w:ascii="Book Antiqua" w:eastAsia="Book Antiqua" w:hAnsi="Book Antiqua" w:cs="Book Antiqua"/>
          <w:color w:val="000000"/>
        </w:rPr>
        <w:t>Grade E (Poor): E</w:t>
      </w:r>
    </w:p>
    <w:p w14:paraId="0D701E14" w14:textId="77777777" w:rsidR="00A77B3E" w:rsidRDefault="00A77B3E">
      <w:pPr>
        <w:spacing w:line="360" w:lineRule="auto"/>
        <w:jc w:val="both"/>
      </w:pPr>
    </w:p>
    <w:p w14:paraId="66DE77EE" w14:textId="46EFEEED" w:rsidR="00020E5A" w:rsidRPr="00020E5A" w:rsidRDefault="006E0E2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Donadon</w:t>
      </w:r>
      <w:proofErr w:type="spellEnd"/>
      <w:r>
        <w:rPr>
          <w:rFonts w:ascii="Book Antiqua" w:eastAsia="Book Antiqua" w:hAnsi="Book Antiqua" w:cs="Book Antiqua"/>
          <w:color w:val="000000"/>
        </w:rPr>
        <w:t xml:space="preserve"> M, Fu TL, Perini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020E5A" w:rsidRPr="00020E5A">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020E5A">
        <w:rPr>
          <w:rFonts w:ascii="Book Antiqua" w:hAnsi="Book Antiqua" w:cs="Book Antiqua" w:hint="eastAsia"/>
          <w:b/>
          <w:color w:val="000000"/>
          <w:lang w:eastAsia="zh-CN"/>
        </w:rPr>
        <w:t xml:space="preserve"> </w:t>
      </w:r>
      <w:r w:rsidR="00020E5A" w:rsidRPr="00020E5A">
        <w:rPr>
          <w:rFonts w:ascii="Book Antiqua" w:hAnsi="Book Antiqua" w:cs="Book Antiqua" w:hint="eastAsia"/>
          <w:color w:val="000000"/>
          <w:lang w:eastAsia="zh-CN"/>
        </w:rPr>
        <w:t>Wang LL</w:t>
      </w:r>
    </w:p>
    <w:p w14:paraId="7C2CCF40" w14:textId="77777777" w:rsidR="00020E5A" w:rsidRPr="00020E5A" w:rsidRDefault="00020E5A">
      <w:pPr>
        <w:spacing w:line="360" w:lineRule="auto"/>
        <w:jc w:val="both"/>
        <w:rPr>
          <w:rFonts w:ascii="Book Antiqua" w:hAnsi="Book Antiqua" w:cs="Book Antiqua"/>
          <w:b/>
          <w:color w:val="000000"/>
          <w:lang w:eastAsia="zh-CN"/>
        </w:rPr>
      </w:pPr>
    </w:p>
    <w:p w14:paraId="213EA615" w14:textId="7FABC836" w:rsidR="00A77B3E" w:rsidRDefault="006E0E22">
      <w:pPr>
        <w:spacing w:line="360" w:lineRule="auto"/>
        <w:jc w:val="both"/>
      </w:pPr>
      <w:r>
        <w:rPr>
          <w:rFonts w:ascii="Book Antiqua" w:eastAsia="Book Antiqua" w:hAnsi="Book Antiqua" w:cs="Book Antiqua"/>
          <w:b/>
          <w:color w:val="000000"/>
        </w:rPr>
        <w:t xml:space="preserve"> </w:t>
      </w:r>
      <w:r w:rsidR="00A77B3E">
        <w:br w:type="page"/>
      </w:r>
      <w:r>
        <w:rPr>
          <w:rFonts w:ascii="Book Antiqua" w:eastAsia="Book Antiqua" w:hAnsi="Book Antiqua" w:cs="Book Antiqua"/>
          <w:b/>
          <w:color w:val="000000"/>
        </w:rPr>
        <w:lastRenderedPageBreak/>
        <w:t>Figure Legends</w:t>
      </w:r>
    </w:p>
    <w:p w14:paraId="25B32121" w14:textId="74DE3D23" w:rsidR="009C08AE" w:rsidRDefault="009C08AE">
      <w:pPr>
        <w:spacing w:line="360" w:lineRule="auto"/>
        <w:jc w:val="both"/>
      </w:pPr>
      <w:r>
        <w:rPr>
          <w:noProof/>
          <w:lang w:eastAsia="zh-CN"/>
        </w:rPr>
        <w:drawing>
          <wp:inline distT="0" distB="0" distL="0" distR="0" wp14:anchorId="0CDC6E24" wp14:editId="3CD355E9">
            <wp:extent cx="2942352" cy="20275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9925" cy="2032801"/>
                    </a:xfrm>
                    <a:prstGeom prst="rect">
                      <a:avLst/>
                    </a:prstGeom>
                  </pic:spPr>
                </pic:pic>
              </a:graphicData>
            </a:graphic>
          </wp:inline>
        </w:drawing>
      </w:r>
    </w:p>
    <w:p w14:paraId="7F766097" w14:textId="706B353F" w:rsidR="009C08AE" w:rsidRPr="009C08AE" w:rsidRDefault="006E0E22">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1 </w:t>
      </w:r>
      <w:r w:rsidR="009C08AE" w:rsidRPr="009C08AE">
        <w:rPr>
          <w:rFonts w:ascii="Book Antiqua" w:eastAsia="Book Antiqua" w:hAnsi="Book Antiqua" w:cs="Book Antiqua"/>
          <w:b/>
          <w:bCs/>
          <w:color w:val="000000"/>
        </w:rPr>
        <w:t>Computed tomography</w:t>
      </w:r>
      <w:r>
        <w:rPr>
          <w:rFonts w:ascii="Book Antiqua" w:eastAsia="Book Antiqua" w:hAnsi="Book Antiqua" w:cs="Book Antiqua"/>
          <w:b/>
          <w:bCs/>
          <w:color w:val="000000"/>
          <w:szCs w:val="20"/>
        </w:rPr>
        <w:t xml:space="preserve"> scan performed in December 2016.</w:t>
      </w:r>
      <w:r w:rsidRPr="009C08AE">
        <w:rPr>
          <w:rFonts w:ascii="Book Antiqua" w:eastAsia="Book Antiqua" w:hAnsi="Book Antiqua" w:cs="Book Antiqua"/>
          <w:color w:val="000000"/>
          <w:szCs w:val="20"/>
        </w:rPr>
        <w:t xml:space="preserve"> A 20 mm </w:t>
      </w:r>
      <w:proofErr w:type="spellStart"/>
      <w:r w:rsidRPr="009C08AE">
        <w:rPr>
          <w:rFonts w:ascii="Book Antiqua" w:eastAsia="Book Antiqua" w:hAnsi="Book Antiqua" w:cs="Book Antiqua"/>
          <w:color w:val="000000"/>
          <w:szCs w:val="20"/>
        </w:rPr>
        <w:t>hypodense</w:t>
      </w:r>
      <w:proofErr w:type="spellEnd"/>
      <w:r w:rsidRPr="009C08AE">
        <w:rPr>
          <w:rFonts w:ascii="Book Antiqua" w:eastAsia="Book Antiqua" w:hAnsi="Book Antiqua" w:cs="Book Antiqua"/>
          <w:color w:val="000000"/>
          <w:szCs w:val="20"/>
        </w:rPr>
        <w:t xml:space="preserve"> intrahepatic mass at the right lobe, possible </w:t>
      </w:r>
      <w:proofErr w:type="spellStart"/>
      <w:r w:rsidRPr="009C08AE">
        <w:rPr>
          <w:rFonts w:ascii="Book Antiqua" w:eastAsia="Book Antiqua" w:hAnsi="Book Antiqua" w:cs="Book Antiqua"/>
          <w:color w:val="000000"/>
          <w:szCs w:val="20"/>
        </w:rPr>
        <w:t>cholangiocarcinoma</w:t>
      </w:r>
      <w:proofErr w:type="spellEnd"/>
      <w:r w:rsidRPr="009C08AE">
        <w:rPr>
          <w:rFonts w:ascii="Book Antiqua" w:eastAsia="Book Antiqua" w:hAnsi="Book Antiqua" w:cs="Book Antiqua"/>
          <w:color w:val="000000"/>
          <w:szCs w:val="20"/>
        </w:rPr>
        <w:t>, was reported.</w:t>
      </w:r>
    </w:p>
    <w:p w14:paraId="7B646B7A" w14:textId="48CB3259" w:rsidR="00A77B3E" w:rsidRDefault="009C08AE">
      <w:pPr>
        <w:spacing w:line="360" w:lineRule="auto"/>
        <w:jc w:val="both"/>
      </w:pPr>
      <w:r>
        <w:rPr>
          <w:rFonts w:ascii="Book Antiqua" w:eastAsia="Book Antiqua" w:hAnsi="Book Antiqua" w:cs="Book Antiqua"/>
          <w:b/>
          <w:bCs/>
          <w:color w:val="000000"/>
          <w:szCs w:val="20"/>
        </w:rPr>
        <w:br w:type="page"/>
      </w:r>
      <w:r w:rsidR="00CB1BB9">
        <w:rPr>
          <w:noProof/>
          <w:lang w:eastAsia="zh-CN"/>
        </w:rPr>
        <w:lastRenderedPageBreak/>
        <w:drawing>
          <wp:inline distT="0" distB="0" distL="0" distR="0" wp14:anchorId="36576F3A" wp14:editId="557A7D84">
            <wp:extent cx="5920740" cy="30668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8675" cy="3081286"/>
                    </a:xfrm>
                    <a:prstGeom prst="rect">
                      <a:avLst/>
                    </a:prstGeom>
                  </pic:spPr>
                </pic:pic>
              </a:graphicData>
            </a:graphic>
          </wp:inline>
        </w:drawing>
      </w:r>
    </w:p>
    <w:p w14:paraId="567C1371" w14:textId="0DD6C733" w:rsidR="00CB1BB9" w:rsidRDefault="006E0E22">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2 Evolution of CA19-9 blood levels (IU/mL). </w:t>
      </w:r>
      <w:r>
        <w:rPr>
          <w:rFonts w:ascii="Book Antiqua" w:eastAsia="Book Antiqua" w:hAnsi="Book Antiqua" w:cs="Book Antiqua"/>
          <w:color w:val="000000"/>
          <w:szCs w:val="20"/>
        </w:rPr>
        <w:t xml:space="preserve">Yellow: CA19-9 </w:t>
      </w:r>
      <w:r w:rsidR="00CB1BB9">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evels of localized </w:t>
      </w:r>
      <w:proofErr w:type="spellStart"/>
      <w:r>
        <w:rPr>
          <w:rFonts w:ascii="Book Antiqua" w:eastAsia="Book Antiqua" w:hAnsi="Book Antiqua" w:cs="Book Antiqua"/>
          <w:color w:val="000000"/>
          <w:szCs w:val="20"/>
        </w:rPr>
        <w:t>cholangiocarcinoma</w:t>
      </w:r>
      <w:proofErr w:type="spellEnd"/>
      <w:r>
        <w:rPr>
          <w:rFonts w:ascii="Book Antiqua" w:eastAsia="Book Antiqua" w:hAnsi="Book Antiqua" w:cs="Book Antiqua"/>
          <w:color w:val="000000"/>
          <w:szCs w:val="20"/>
        </w:rPr>
        <w:t xml:space="preserve"> at diagnosis, after surgery, and during follow-up; Cyan: CA19-9 </w:t>
      </w:r>
      <w:r w:rsidR="00CB1BB9">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evels during FOLFOX treatment; Magenta: CA19-9 </w:t>
      </w:r>
      <w:r w:rsidR="00CB1BB9">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evels during </w:t>
      </w:r>
      <w:r w:rsidR="00CB1BB9">
        <w:rPr>
          <w:rFonts w:ascii="Book Antiqua" w:eastAsia="Book Antiqua" w:hAnsi="Book Antiqua" w:cs="Book Antiqua"/>
          <w:color w:val="000000"/>
          <w:szCs w:val="20"/>
        </w:rPr>
        <w:t>albumin-bound paclitaxel</w:t>
      </w:r>
      <w:r>
        <w:rPr>
          <w:rFonts w:ascii="Book Antiqua" w:eastAsia="Book Antiqua" w:hAnsi="Book Antiqua" w:cs="Book Antiqua"/>
          <w:color w:val="000000"/>
          <w:szCs w:val="20"/>
        </w:rPr>
        <w:t xml:space="preserve"> treatment.</w:t>
      </w:r>
    </w:p>
    <w:p w14:paraId="7102B415" w14:textId="28EE187C" w:rsidR="00A77B3E" w:rsidRDefault="00CB1BB9">
      <w:pPr>
        <w:spacing w:line="360" w:lineRule="auto"/>
        <w:jc w:val="both"/>
      </w:pPr>
      <w:r>
        <w:rPr>
          <w:rFonts w:ascii="Book Antiqua" w:eastAsia="Book Antiqua" w:hAnsi="Book Antiqua" w:cs="Book Antiqua"/>
          <w:color w:val="000000"/>
          <w:szCs w:val="20"/>
        </w:rPr>
        <w:br w:type="page"/>
      </w:r>
      <w:r w:rsidR="00FB0289">
        <w:rPr>
          <w:noProof/>
          <w:lang w:eastAsia="zh-CN"/>
        </w:rPr>
        <w:lastRenderedPageBreak/>
        <w:drawing>
          <wp:inline distT="0" distB="0" distL="0" distR="0" wp14:anchorId="512E1307" wp14:editId="418F504D">
            <wp:extent cx="5943600" cy="2292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92350"/>
                    </a:xfrm>
                    <a:prstGeom prst="rect">
                      <a:avLst/>
                    </a:prstGeom>
                  </pic:spPr>
                </pic:pic>
              </a:graphicData>
            </a:graphic>
          </wp:inline>
        </w:drawing>
      </w:r>
    </w:p>
    <w:p w14:paraId="0FC38843" w14:textId="61AF627A" w:rsidR="00FB0289" w:rsidRPr="00FB0289" w:rsidRDefault="006E0E22">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3 Positron emission tomography-</w:t>
      </w:r>
      <w:r w:rsidR="00FB0289">
        <w:rPr>
          <w:rFonts w:ascii="Book Antiqua" w:eastAsia="Book Antiqua" w:hAnsi="Book Antiqua" w:cs="Book Antiqua"/>
          <w:b/>
          <w:bCs/>
          <w:color w:val="000000"/>
        </w:rPr>
        <w:t>c</w:t>
      </w:r>
      <w:r w:rsidR="00FB0289" w:rsidRPr="009C08AE">
        <w:rPr>
          <w:rFonts w:ascii="Book Antiqua" w:eastAsia="Book Antiqua" w:hAnsi="Book Antiqua" w:cs="Book Antiqua"/>
          <w:b/>
          <w:bCs/>
          <w:color w:val="000000"/>
        </w:rPr>
        <w:t>omputed tomography</w:t>
      </w:r>
      <w:r>
        <w:rPr>
          <w:rFonts w:ascii="Book Antiqua" w:eastAsia="Book Antiqua" w:hAnsi="Book Antiqua" w:cs="Book Antiqua"/>
          <w:b/>
          <w:bCs/>
          <w:color w:val="000000"/>
          <w:szCs w:val="20"/>
        </w:rPr>
        <w:t xml:space="preserve"> performed in April 2019. </w:t>
      </w:r>
      <w:proofErr w:type="spellStart"/>
      <w:r w:rsidRPr="00FB0289">
        <w:rPr>
          <w:rFonts w:ascii="Book Antiqua" w:eastAsia="Book Antiqua" w:hAnsi="Book Antiqua" w:cs="Book Antiqua"/>
          <w:color w:val="000000"/>
          <w:szCs w:val="20"/>
        </w:rPr>
        <w:t>Cholangiocarcinoma</w:t>
      </w:r>
      <w:proofErr w:type="spellEnd"/>
      <w:r w:rsidRPr="00FB0289">
        <w:rPr>
          <w:rFonts w:ascii="Book Antiqua" w:eastAsia="Book Antiqua" w:hAnsi="Book Antiqua" w:cs="Book Antiqua"/>
          <w:color w:val="000000"/>
          <w:szCs w:val="20"/>
        </w:rPr>
        <w:t xml:space="preserve"> relapse in segment </w:t>
      </w:r>
      <w:proofErr w:type="spellStart"/>
      <w:r w:rsidRPr="00FB0289">
        <w:rPr>
          <w:rFonts w:ascii="Book Antiqua" w:eastAsia="Book Antiqua" w:hAnsi="Book Antiqua" w:cs="Book Antiqua"/>
          <w:color w:val="000000"/>
          <w:szCs w:val="20"/>
        </w:rPr>
        <w:t>IVa</w:t>
      </w:r>
      <w:proofErr w:type="spellEnd"/>
      <w:r w:rsidRPr="00FB0289">
        <w:rPr>
          <w:rFonts w:ascii="Book Antiqua" w:eastAsia="Book Antiqua" w:hAnsi="Book Antiqua" w:cs="Book Antiqua"/>
          <w:color w:val="000000"/>
          <w:szCs w:val="20"/>
        </w:rPr>
        <w:t xml:space="preserve"> liver node (before FOLFOX6 treatment).</w:t>
      </w:r>
    </w:p>
    <w:p w14:paraId="5B4F24EA" w14:textId="6F785C9D" w:rsidR="00A77B3E" w:rsidRDefault="00FB0289">
      <w:pPr>
        <w:spacing w:line="360" w:lineRule="auto"/>
        <w:jc w:val="both"/>
      </w:pPr>
      <w:r>
        <w:rPr>
          <w:rFonts w:ascii="Book Antiqua" w:eastAsia="Book Antiqua" w:hAnsi="Book Antiqua" w:cs="Book Antiqua"/>
          <w:b/>
          <w:bCs/>
          <w:color w:val="000000"/>
          <w:szCs w:val="20"/>
        </w:rPr>
        <w:br w:type="page"/>
      </w:r>
      <w:r w:rsidR="00CF299F">
        <w:rPr>
          <w:noProof/>
          <w:lang w:eastAsia="zh-CN"/>
        </w:rPr>
        <w:lastRenderedPageBreak/>
        <w:drawing>
          <wp:inline distT="0" distB="0" distL="0" distR="0" wp14:anchorId="7785E273" wp14:editId="349CC022">
            <wp:extent cx="5943600" cy="19538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53895"/>
                    </a:xfrm>
                    <a:prstGeom prst="rect">
                      <a:avLst/>
                    </a:prstGeom>
                  </pic:spPr>
                </pic:pic>
              </a:graphicData>
            </a:graphic>
          </wp:inline>
        </w:drawing>
      </w:r>
    </w:p>
    <w:p w14:paraId="06481627" w14:textId="387C0711" w:rsidR="00CF299F" w:rsidRDefault="006E0E22">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szCs w:val="20"/>
        </w:rPr>
        <w:t xml:space="preserve">Figure 4 </w:t>
      </w:r>
      <w:r w:rsidR="00CF299F">
        <w:rPr>
          <w:rFonts w:ascii="Book Antiqua" w:eastAsia="Book Antiqua" w:hAnsi="Book Antiqua" w:cs="Book Antiqua"/>
          <w:b/>
          <w:bCs/>
          <w:color w:val="000000"/>
        </w:rPr>
        <w:t>C</w:t>
      </w:r>
      <w:r w:rsidR="00CF299F" w:rsidRPr="009C08AE">
        <w:rPr>
          <w:rFonts w:ascii="Book Antiqua" w:eastAsia="Book Antiqua" w:hAnsi="Book Antiqua" w:cs="Book Antiqua"/>
          <w:b/>
          <w:bCs/>
          <w:color w:val="000000"/>
        </w:rPr>
        <w:t>omputed tomography</w:t>
      </w:r>
      <w:r>
        <w:rPr>
          <w:rFonts w:ascii="Book Antiqua" w:eastAsia="Book Antiqua" w:hAnsi="Book Antiqua" w:cs="Book Antiqua"/>
          <w:b/>
          <w:bCs/>
          <w:color w:val="000000"/>
          <w:szCs w:val="20"/>
        </w:rPr>
        <w:t xml:space="preserve"> scans performed in July 2019 (left, after seven cycles of FOLFOX6 treatment, where a complete response of disease in segment IV liver is shown) and April 2019 (right, before FOLFOX6 treatment, where segment IV liver node metastasis is seen).</w:t>
      </w:r>
    </w:p>
    <w:p w14:paraId="16869449" w14:textId="0FA612EB" w:rsidR="00A77B3E" w:rsidRDefault="00CF299F">
      <w:pPr>
        <w:spacing w:line="360" w:lineRule="auto"/>
        <w:jc w:val="both"/>
      </w:pPr>
      <w:r>
        <w:rPr>
          <w:rFonts w:ascii="Book Antiqua" w:eastAsia="Book Antiqua" w:hAnsi="Book Antiqua" w:cs="Book Antiqua"/>
          <w:b/>
          <w:bCs/>
          <w:color w:val="000000"/>
          <w:szCs w:val="20"/>
        </w:rPr>
        <w:br w:type="page"/>
      </w:r>
      <w:r w:rsidR="00BF6A97">
        <w:rPr>
          <w:noProof/>
          <w:lang w:eastAsia="zh-CN"/>
        </w:rPr>
        <w:lastRenderedPageBreak/>
        <w:drawing>
          <wp:inline distT="0" distB="0" distL="0" distR="0" wp14:anchorId="71307512" wp14:editId="59F04089">
            <wp:extent cx="3009560" cy="2234317"/>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2493" cy="2243919"/>
                    </a:xfrm>
                    <a:prstGeom prst="rect">
                      <a:avLst/>
                    </a:prstGeom>
                  </pic:spPr>
                </pic:pic>
              </a:graphicData>
            </a:graphic>
          </wp:inline>
        </w:drawing>
      </w:r>
    </w:p>
    <w:p w14:paraId="43F37E40" w14:textId="445B2081" w:rsidR="00BF6A97" w:rsidRPr="00BF6A97" w:rsidRDefault="006E0E22">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5 </w:t>
      </w:r>
      <w:r w:rsidR="00BF6A97">
        <w:rPr>
          <w:rFonts w:ascii="Book Antiqua" w:eastAsia="Book Antiqua" w:hAnsi="Book Antiqua" w:cs="Book Antiqua"/>
          <w:b/>
          <w:bCs/>
          <w:color w:val="000000"/>
        </w:rPr>
        <w:t>C</w:t>
      </w:r>
      <w:r w:rsidR="00BF6A97" w:rsidRPr="009C08AE">
        <w:rPr>
          <w:rFonts w:ascii="Book Antiqua" w:eastAsia="Book Antiqua" w:hAnsi="Book Antiqua" w:cs="Book Antiqua"/>
          <w:b/>
          <w:bCs/>
          <w:color w:val="000000"/>
        </w:rPr>
        <w:t>omputed tomography</w:t>
      </w:r>
      <w:r>
        <w:rPr>
          <w:rFonts w:ascii="Book Antiqua" w:eastAsia="Book Antiqua" w:hAnsi="Book Antiqua" w:cs="Book Antiqua"/>
          <w:b/>
          <w:bCs/>
          <w:color w:val="000000"/>
          <w:szCs w:val="20"/>
        </w:rPr>
        <w:t xml:space="preserve"> scan performed in September 2019. </w:t>
      </w:r>
      <w:proofErr w:type="gramStart"/>
      <w:r w:rsidRPr="00BF6A97">
        <w:rPr>
          <w:rFonts w:ascii="Book Antiqua" w:eastAsia="Book Antiqua" w:hAnsi="Book Antiqua" w:cs="Book Antiqua"/>
          <w:color w:val="000000"/>
          <w:szCs w:val="20"/>
        </w:rPr>
        <w:t xml:space="preserve">Peritoneal </w:t>
      </w:r>
      <w:proofErr w:type="spellStart"/>
      <w:r w:rsidRPr="00BF6A97">
        <w:rPr>
          <w:rFonts w:ascii="Book Antiqua" w:eastAsia="Book Antiqua" w:hAnsi="Book Antiqua" w:cs="Book Antiqua"/>
          <w:color w:val="000000"/>
          <w:szCs w:val="20"/>
        </w:rPr>
        <w:t>carcinomatosis</w:t>
      </w:r>
      <w:proofErr w:type="spellEnd"/>
      <w:r w:rsidRPr="00BF6A97">
        <w:rPr>
          <w:rFonts w:ascii="Book Antiqua" w:eastAsia="Book Antiqua" w:hAnsi="Book Antiqua" w:cs="Book Antiqua"/>
          <w:color w:val="000000"/>
          <w:szCs w:val="20"/>
        </w:rPr>
        <w:t xml:space="preserve"> (before </w:t>
      </w:r>
      <w:r w:rsidR="00BF6A97">
        <w:rPr>
          <w:rFonts w:ascii="Book Antiqua" w:eastAsia="Book Antiqua" w:hAnsi="Book Antiqua" w:cs="Book Antiqua"/>
          <w:color w:val="000000"/>
          <w:szCs w:val="20"/>
        </w:rPr>
        <w:t>albumin-bound paclitaxel</w:t>
      </w:r>
      <w:r w:rsidRPr="00BF6A97">
        <w:rPr>
          <w:rFonts w:ascii="Book Antiqua" w:eastAsia="Book Antiqua" w:hAnsi="Book Antiqua" w:cs="Book Antiqua"/>
          <w:color w:val="000000"/>
          <w:szCs w:val="20"/>
        </w:rPr>
        <w:t xml:space="preserve"> treatment).</w:t>
      </w:r>
      <w:proofErr w:type="gramEnd"/>
    </w:p>
    <w:p w14:paraId="6F3F2CE5" w14:textId="09D0FAC7" w:rsidR="00A77B3E" w:rsidRDefault="00BF6A97">
      <w:pPr>
        <w:spacing w:line="360" w:lineRule="auto"/>
        <w:jc w:val="both"/>
      </w:pPr>
      <w:r>
        <w:rPr>
          <w:rFonts w:ascii="Book Antiqua" w:eastAsia="Book Antiqua" w:hAnsi="Book Antiqua" w:cs="Book Antiqua"/>
          <w:b/>
          <w:bCs/>
          <w:color w:val="000000"/>
          <w:szCs w:val="20"/>
        </w:rPr>
        <w:br w:type="page"/>
      </w:r>
      <w:r w:rsidR="00DC1910">
        <w:rPr>
          <w:noProof/>
          <w:lang w:eastAsia="zh-CN"/>
        </w:rPr>
        <w:lastRenderedPageBreak/>
        <w:drawing>
          <wp:inline distT="0" distB="0" distL="0" distR="0" wp14:anchorId="3131518D" wp14:editId="146833A4">
            <wp:extent cx="3261025" cy="2051437"/>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3052" cy="2065294"/>
                    </a:xfrm>
                    <a:prstGeom prst="rect">
                      <a:avLst/>
                    </a:prstGeom>
                  </pic:spPr>
                </pic:pic>
              </a:graphicData>
            </a:graphic>
          </wp:inline>
        </w:drawing>
      </w:r>
    </w:p>
    <w:p w14:paraId="65AA509D" w14:textId="095AFFF8" w:rsidR="009D32B0" w:rsidRDefault="006E0E22">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szCs w:val="20"/>
        </w:rPr>
        <w:t xml:space="preserve">Figure 6 </w:t>
      </w:r>
      <w:r w:rsidR="00DC1910">
        <w:rPr>
          <w:rFonts w:ascii="Book Antiqua" w:eastAsia="Book Antiqua" w:hAnsi="Book Antiqua" w:cs="Book Antiqua"/>
          <w:b/>
          <w:bCs/>
          <w:color w:val="000000"/>
        </w:rPr>
        <w:t>C</w:t>
      </w:r>
      <w:r w:rsidR="00DC1910" w:rsidRPr="009C08AE">
        <w:rPr>
          <w:rFonts w:ascii="Book Antiqua" w:eastAsia="Book Antiqua" w:hAnsi="Book Antiqua" w:cs="Book Antiqua"/>
          <w:b/>
          <w:bCs/>
          <w:color w:val="000000"/>
        </w:rPr>
        <w:t>omputed tomography</w:t>
      </w:r>
      <w:r>
        <w:rPr>
          <w:rFonts w:ascii="Book Antiqua" w:eastAsia="Book Antiqua" w:hAnsi="Book Antiqua" w:cs="Book Antiqua"/>
          <w:b/>
          <w:bCs/>
          <w:color w:val="000000"/>
          <w:szCs w:val="20"/>
        </w:rPr>
        <w:t xml:space="preserve"> scan performed after four cycles of </w:t>
      </w:r>
      <w:r w:rsidR="00DC1910" w:rsidRPr="00DC1910">
        <w:rPr>
          <w:rFonts w:ascii="Book Antiqua" w:eastAsia="Book Antiqua" w:hAnsi="Book Antiqua" w:cs="Book Antiqua"/>
          <w:b/>
          <w:bCs/>
          <w:color w:val="000000"/>
          <w:szCs w:val="20"/>
        </w:rPr>
        <w:t>albumin-bound paclitaxel</w:t>
      </w:r>
      <w:r w:rsidRPr="00DC1910">
        <w:rPr>
          <w:rFonts w:ascii="Book Antiqua" w:eastAsia="Book Antiqua" w:hAnsi="Book Antiqua" w:cs="Book Antiqua"/>
          <w:b/>
          <w:bCs/>
          <w:color w:val="000000"/>
          <w:szCs w:val="20"/>
        </w:rPr>
        <w:t>,</w:t>
      </w:r>
      <w:r>
        <w:rPr>
          <w:rFonts w:ascii="Book Antiqua" w:eastAsia="Book Antiqua" w:hAnsi="Book Antiqua" w:cs="Book Antiqua"/>
          <w:b/>
          <w:bCs/>
          <w:color w:val="000000"/>
          <w:szCs w:val="20"/>
        </w:rPr>
        <w:t xml:space="preserve"> where a mixed response was observed.</w:t>
      </w:r>
    </w:p>
    <w:p w14:paraId="47EDD040" w14:textId="1E190A10" w:rsidR="00A77B3E" w:rsidRDefault="009D32B0">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szCs w:val="20"/>
        </w:rPr>
        <w:br w:type="page"/>
      </w:r>
      <w:r w:rsidR="007E73C4" w:rsidRPr="007E73C4">
        <w:rPr>
          <w:rFonts w:ascii="Book Antiqua" w:eastAsia="Book Antiqua" w:hAnsi="Book Antiqua" w:cs="Book Antiqua"/>
          <w:b/>
          <w:bCs/>
          <w:color w:val="000000"/>
          <w:szCs w:val="20"/>
        </w:rPr>
        <w:lastRenderedPageBreak/>
        <w:t>Table 1 Diarrhea lab work</w:t>
      </w:r>
    </w:p>
    <w:tbl>
      <w:tblPr>
        <w:tblW w:w="9498" w:type="dxa"/>
        <w:tblCellMar>
          <w:left w:w="70" w:type="dxa"/>
          <w:right w:w="70" w:type="dxa"/>
        </w:tblCellMar>
        <w:tblLook w:val="04A0" w:firstRow="1" w:lastRow="0" w:firstColumn="1" w:lastColumn="0" w:noHBand="0" w:noVBand="1"/>
      </w:tblPr>
      <w:tblGrid>
        <w:gridCol w:w="5840"/>
        <w:gridCol w:w="3658"/>
      </w:tblGrid>
      <w:tr w:rsidR="007E73C4" w:rsidRPr="007E73C4" w14:paraId="31BE3C43" w14:textId="77777777" w:rsidTr="008033BD">
        <w:trPr>
          <w:trHeight w:val="310"/>
        </w:trPr>
        <w:tc>
          <w:tcPr>
            <w:tcW w:w="9498" w:type="dxa"/>
            <w:gridSpan w:val="2"/>
            <w:tcBorders>
              <w:top w:val="single" w:sz="2" w:space="0" w:color="000000"/>
              <w:bottom w:val="single" w:sz="2" w:space="0" w:color="000000"/>
            </w:tcBorders>
            <w:shd w:val="clear" w:color="auto" w:fill="auto"/>
            <w:noWrap/>
            <w:vAlign w:val="center"/>
            <w:hideMark/>
          </w:tcPr>
          <w:p w14:paraId="76839A2A" w14:textId="77777777" w:rsidR="007E73C4" w:rsidRPr="007E73C4" w:rsidRDefault="007E73C4" w:rsidP="008033BD">
            <w:pPr>
              <w:snapToGrid w:val="0"/>
              <w:spacing w:line="360" w:lineRule="auto"/>
              <w:rPr>
                <w:rFonts w:ascii="Book Antiqua" w:eastAsia="Times New Roman" w:hAnsi="Book Antiqua"/>
                <w:b/>
                <w:bCs/>
              </w:rPr>
            </w:pPr>
            <w:r w:rsidRPr="007E73C4">
              <w:rPr>
                <w:rFonts w:ascii="Book Antiqua" w:eastAsia="Times New Roman" w:hAnsi="Book Antiqua"/>
                <w:b/>
                <w:bCs/>
              </w:rPr>
              <w:t>Diarrhea lab work</w:t>
            </w:r>
          </w:p>
        </w:tc>
      </w:tr>
      <w:tr w:rsidR="007E73C4" w:rsidRPr="007E73C4" w14:paraId="58AC058D" w14:textId="77777777" w:rsidTr="008033BD">
        <w:trPr>
          <w:trHeight w:val="310"/>
        </w:trPr>
        <w:tc>
          <w:tcPr>
            <w:tcW w:w="5840" w:type="dxa"/>
            <w:tcBorders>
              <w:top w:val="single" w:sz="2" w:space="0" w:color="000000"/>
            </w:tcBorders>
            <w:shd w:val="clear" w:color="auto" w:fill="auto"/>
            <w:noWrap/>
            <w:vAlign w:val="center"/>
            <w:hideMark/>
          </w:tcPr>
          <w:p w14:paraId="6A1AABAE"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Hormonal and enzymatic study</w:t>
            </w:r>
          </w:p>
        </w:tc>
        <w:tc>
          <w:tcPr>
            <w:tcW w:w="3658" w:type="dxa"/>
            <w:tcBorders>
              <w:top w:val="single" w:sz="2" w:space="0" w:color="000000"/>
            </w:tcBorders>
            <w:shd w:val="clear" w:color="auto" w:fill="auto"/>
            <w:noWrap/>
            <w:vAlign w:val="center"/>
            <w:hideMark/>
          </w:tcPr>
          <w:p w14:paraId="1C392E25"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Normal range</w:t>
            </w:r>
          </w:p>
        </w:tc>
      </w:tr>
      <w:tr w:rsidR="007E73C4" w:rsidRPr="007E73C4" w14:paraId="26BF2935" w14:textId="77777777" w:rsidTr="008033BD">
        <w:trPr>
          <w:trHeight w:val="310"/>
        </w:trPr>
        <w:tc>
          <w:tcPr>
            <w:tcW w:w="5840" w:type="dxa"/>
            <w:shd w:val="clear" w:color="auto" w:fill="auto"/>
            <w:noWrap/>
            <w:vAlign w:val="center"/>
            <w:hideMark/>
          </w:tcPr>
          <w:p w14:paraId="5A5DD055" w14:textId="77777777" w:rsidR="007E73C4" w:rsidRPr="007E73C4" w:rsidRDefault="007E73C4" w:rsidP="007E73C4">
            <w:pPr>
              <w:snapToGrid w:val="0"/>
              <w:spacing w:line="360" w:lineRule="auto"/>
              <w:rPr>
                <w:rFonts w:ascii="Book Antiqua" w:eastAsia="Times New Roman" w:hAnsi="Book Antiqua"/>
              </w:rPr>
            </w:pPr>
            <w:proofErr w:type="spellStart"/>
            <w:r w:rsidRPr="007E73C4">
              <w:rPr>
                <w:rFonts w:ascii="Book Antiqua" w:eastAsia="Times New Roman" w:hAnsi="Book Antiqua"/>
              </w:rPr>
              <w:t>Thyrotropin</w:t>
            </w:r>
            <w:proofErr w:type="spellEnd"/>
            <w:r w:rsidRPr="007E73C4">
              <w:rPr>
                <w:rFonts w:ascii="Book Antiqua" w:eastAsia="Times New Roman" w:hAnsi="Book Antiqua"/>
              </w:rPr>
              <w:t>, TSH</w:t>
            </w:r>
          </w:p>
        </w:tc>
        <w:tc>
          <w:tcPr>
            <w:tcW w:w="3658" w:type="dxa"/>
            <w:shd w:val="clear" w:color="auto" w:fill="auto"/>
            <w:noWrap/>
            <w:vAlign w:val="center"/>
            <w:hideMark/>
          </w:tcPr>
          <w:p w14:paraId="5C0E2C1D" w14:textId="07BF73B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 xml:space="preserve">0.888 </w:t>
            </w:r>
            <w:r>
              <w:rPr>
                <w:rFonts w:ascii="Book Antiqua" w:eastAsia="Times New Roman" w:hAnsi="Book Antiqua"/>
              </w:rPr>
              <w:t>µ</w:t>
            </w:r>
            <w:r w:rsidRPr="007E73C4">
              <w:rPr>
                <w:rFonts w:ascii="Book Antiqua" w:eastAsia="Times New Roman" w:hAnsi="Book Antiqua"/>
              </w:rPr>
              <w:t>IU/mL</w:t>
            </w:r>
          </w:p>
        </w:tc>
      </w:tr>
      <w:tr w:rsidR="007E73C4" w:rsidRPr="007E73C4" w14:paraId="49B2857C" w14:textId="77777777" w:rsidTr="008033BD">
        <w:trPr>
          <w:trHeight w:val="310"/>
        </w:trPr>
        <w:tc>
          <w:tcPr>
            <w:tcW w:w="5840" w:type="dxa"/>
            <w:shd w:val="clear" w:color="auto" w:fill="auto"/>
            <w:noWrap/>
            <w:vAlign w:val="center"/>
            <w:hideMark/>
          </w:tcPr>
          <w:p w14:paraId="0E9C9379"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Free T4</w:t>
            </w:r>
          </w:p>
        </w:tc>
        <w:tc>
          <w:tcPr>
            <w:tcW w:w="3658" w:type="dxa"/>
            <w:shd w:val="clear" w:color="auto" w:fill="auto"/>
            <w:noWrap/>
            <w:vAlign w:val="center"/>
            <w:hideMark/>
          </w:tcPr>
          <w:p w14:paraId="27D24BCB"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 xml:space="preserve">1.10 </w:t>
            </w:r>
            <w:proofErr w:type="spellStart"/>
            <w:r w:rsidRPr="007E73C4">
              <w:rPr>
                <w:rFonts w:ascii="Book Antiqua" w:eastAsia="Times New Roman" w:hAnsi="Book Antiqua"/>
              </w:rPr>
              <w:t>ng</w:t>
            </w:r>
            <w:proofErr w:type="spellEnd"/>
            <w:r w:rsidRPr="007E73C4">
              <w:rPr>
                <w:rFonts w:ascii="Book Antiqua" w:eastAsia="Times New Roman" w:hAnsi="Book Antiqua"/>
              </w:rPr>
              <w:t>/</w:t>
            </w:r>
            <w:proofErr w:type="spellStart"/>
            <w:r w:rsidRPr="007E73C4">
              <w:rPr>
                <w:rFonts w:ascii="Book Antiqua" w:eastAsia="Times New Roman" w:hAnsi="Book Antiqua"/>
              </w:rPr>
              <w:t>dL</w:t>
            </w:r>
            <w:proofErr w:type="spellEnd"/>
          </w:p>
        </w:tc>
      </w:tr>
      <w:tr w:rsidR="007E73C4" w:rsidRPr="007E73C4" w14:paraId="3574C4F7" w14:textId="77777777" w:rsidTr="008033BD">
        <w:trPr>
          <w:trHeight w:val="310"/>
        </w:trPr>
        <w:tc>
          <w:tcPr>
            <w:tcW w:w="5840" w:type="dxa"/>
            <w:shd w:val="clear" w:color="auto" w:fill="auto"/>
            <w:noWrap/>
            <w:vAlign w:val="center"/>
            <w:hideMark/>
          </w:tcPr>
          <w:p w14:paraId="60B7BE9C"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Free T3</w:t>
            </w:r>
          </w:p>
        </w:tc>
        <w:tc>
          <w:tcPr>
            <w:tcW w:w="3658" w:type="dxa"/>
            <w:shd w:val="clear" w:color="auto" w:fill="auto"/>
            <w:noWrap/>
            <w:vAlign w:val="center"/>
            <w:hideMark/>
          </w:tcPr>
          <w:p w14:paraId="04185B57"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 xml:space="preserve">2.57 </w:t>
            </w:r>
            <w:proofErr w:type="spellStart"/>
            <w:r w:rsidRPr="007E73C4">
              <w:rPr>
                <w:rFonts w:ascii="Book Antiqua" w:eastAsia="Times New Roman" w:hAnsi="Book Antiqua"/>
              </w:rPr>
              <w:t>pg</w:t>
            </w:r>
            <w:proofErr w:type="spellEnd"/>
            <w:r w:rsidRPr="007E73C4">
              <w:rPr>
                <w:rFonts w:ascii="Book Antiqua" w:eastAsia="Times New Roman" w:hAnsi="Book Antiqua"/>
              </w:rPr>
              <w:t>/mL</w:t>
            </w:r>
          </w:p>
        </w:tc>
      </w:tr>
      <w:tr w:rsidR="007E73C4" w:rsidRPr="007E73C4" w14:paraId="18E2DCC0" w14:textId="77777777" w:rsidTr="008033BD">
        <w:trPr>
          <w:trHeight w:val="310"/>
        </w:trPr>
        <w:tc>
          <w:tcPr>
            <w:tcW w:w="5840" w:type="dxa"/>
            <w:shd w:val="clear" w:color="auto" w:fill="auto"/>
            <w:noWrap/>
            <w:vAlign w:val="center"/>
            <w:hideMark/>
          </w:tcPr>
          <w:p w14:paraId="5BB4FF96"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Serum cortisol</w:t>
            </w:r>
          </w:p>
        </w:tc>
        <w:tc>
          <w:tcPr>
            <w:tcW w:w="3658" w:type="dxa"/>
            <w:shd w:val="clear" w:color="auto" w:fill="auto"/>
            <w:noWrap/>
            <w:vAlign w:val="center"/>
            <w:hideMark/>
          </w:tcPr>
          <w:p w14:paraId="49BDFEC0" w14:textId="4871FC18"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 xml:space="preserve">16.50 </w:t>
            </w:r>
            <w:r>
              <w:rPr>
                <w:rFonts w:ascii="Book Antiqua" w:eastAsia="Times New Roman" w:hAnsi="Book Antiqua"/>
              </w:rPr>
              <w:t>µ</w:t>
            </w:r>
            <w:r w:rsidRPr="007E73C4">
              <w:rPr>
                <w:rFonts w:ascii="Book Antiqua" w:eastAsia="Times New Roman" w:hAnsi="Book Antiqua"/>
              </w:rPr>
              <w:t>g/</w:t>
            </w:r>
            <w:proofErr w:type="spellStart"/>
            <w:r w:rsidRPr="007E73C4">
              <w:rPr>
                <w:rFonts w:ascii="Book Antiqua" w:eastAsia="Times New Roman" w:hAnsi="Book Antiqua"/>
              </w:rPr>
              <w:t>dL</w:t>
            </w:r>
            <w:proofErr w:type="spellEnd"/>
          </w:p>
        </w:tc>
      </w:tr>
      <w:tr w:rsidR="007E73C4" w:rsidRPr="007E73C4" w14:paraId="6041B79F" w14:textId="77777777" w:rsidTr="008033BD">
        <w:trPr>
          <w:trHeight w:val="310"/>
        </w:trPr>
        <w:tc>
          <w:tcPr>
            <w:tcW w:w="5840" w:type="dxa"/>
            <w:shd w:val="clear" w:color="auto" w:fill="auto"/>
            <w:noWrap/>
            <w:vAlign w:val="center"/>
            <w:hideMark/>
          </w:tcPr>
          <w:p w14:paraId="523B72C9"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ACTH</w:t>
            </w:r>
          </w:p>
        </w:tc>
        <w:tc>
          <w:tcPr>
            <w:tcW w:w="3658" w:type="dxa"/>
            <w:shd w:val="clear" w:color="auto" w:fill="auto"/>
            <w:noWrap/>
            <w:vAlign w:val="center"/>
            <w:hideMark/>
          </w:tcPr>
          <w:p w14:paraId="4DAF7C55"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 xml:space="preserve">34.38 </w:t>
            </w:r>
            <w:proofErr w:type="spellStart"/>
            <w:r w:rsidRPr="007E73C4">
              <w:rPr>
                <w:rFonts w:ascii="Book Antiqua" w:eastAsia="Times New Roman" w:hAnsi="Book Antiqua"/>
              </w:rPr>
              <w:t>pg</w:t>
            </w:r>
            <w:proofErr w:type="spellEnd"/>
            <w:r w:rsidRPr="007E73C4">
              <w:rPr>
                <w:rFonts w:ascii="Book Antiqua" w:eastAsia="Times New Roman" w:hAnsi="Book Antiqua"/>
              </w:rPr>
              <w:t>/mL</w:t>
            </w:r>
          </w:p>
        </w:tc>
      </w:tr>
      <w:tr w:rsidR="007E73C4" w:rsidRPr="007E73C4" w14:paraId="546891C4" w14:textId="77777777" w:rsidTr="008033BD">
        <w:trPr>
          <w:trHeight w:val="310"/>
        </w:trPr>
        <w:tc>
          <w:tcPr>
            <w:tcW w:w="5840" w:type="dxa"/>
            <w:shd w:val="clear" w:color="auto" w:fill="auto"/>
            <w:noWrap/>
            <w:vAlign w:val="center"/>
            <w:hideMark/>
          </w:tcPr>
          <w:p w14:paraId="542E3A6F"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 xml:space="preserve">Pancreatic </w:t>
            </w:r>
            <w:proofErr w:type="spellStart"/>
            <w:r w:rsidRPr="007E73C4">
              <w:rPr>
                <w:rFonts w:ascii="Book Antiqua" w:eastAsia="Times New Roman" w:hAnsi="Book Antiqua"/>
              </w:rPr>
              <w:t>elastase</w:t>
            </w:r>
            <w:proofErr w:type="spellEnd"/>
            <w:r w:rsidRPr="007E73C4">
              <w:rPr>
                <w:rFonts w:ascii="Book Antiqua" w:eastAsia="Times New Roman" w:hAnsi="Book Antiqua"/>
              </w:rPr>
              <w:t xml:space="preserve"> E1</w:t>
            </w:r>
          </w:p>
        </w:tc>
        <w:tc>
          <w:tcPr>
            <w:tcW w:w="3658" w:type="dxa"/>
            <w:shd w:val="clear" w:color="auto" w:fill="auto"/>
            <w:noWrap/>
            <w:vAlign w:val="center"/>
            <w:hideMark/>
          </w:tcPr>
          <w:p w14:paraId="0C848ED7" w14:textId="6FE2AAFA"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 xml:space="preserve">More than 437 </w:t>
            </w:r>
            <w:r>
              <w:rPr>
                <w:rFonts w:ascii="Book Antiqua" w:eastAsia="Times New Roman" w:hAnsi="Book Antiqua"/>
              </w:rPr>
              <w:t>µ</w:t>
            </w:r>
            <w:r w:rsidRPr="007E73C4">
              <w:rPr>
                <w:rFonts w:ascii="Book Antiqua" w:eastAsia="Times New Roman" w:hAnsi="Book Antiqua"/>
              </w:rPr>
              <w:t>g/g of dry stool</w:t>
            </w:r>
          </w:p>
        </w:tc>
      </w:tr>
      <w:tr w:rsidR="007E73C4" w:rsidRPr="007E73C4" w14:paraId="33A6D74F" w14:textId="77777777" w:rsidTr="008033BD">
        <w:trPr>
          <w:trHeight w:val="310"/>
        </w:trPr>
        <w:tc>
          <w:tcPr>
            <w:tcW w:w="5840" w:type="dxa"/>
            <w:shd w:val="clear" w:color="auto" w:fill="auto"/>
            <w:noWrap/>
            <w:vAlign w:val="center"/>
            <w:hideMark/>
          </w:tcPr>
          <w:p w14:paraId="4AACE6DE"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Microbiology study</w:t>
            </w:r>
          </w:p>
        </w:tc>
        <w:tc>
          <w:tcPr>
            <w:tcW w:w="3658" w:type="dxa"/>
            <w:shd w:val="clear" w:color="auto" w:fill="auto"/>
            <w:noWrap/>
            <w:vAlign w:val="center"/>
            <w:hideMark/>
          </w:tcPr>
          <w:p w14:paraId="6621A43E"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No pathogenic microorganisms identified</w:t>
            </w:r>
          </w:p>
        </w:tc>
      </w:tr>
      <w:tr w:rsidR="007E73C4" w:rsidRPr="007E73C4" w14:paraId="3B3BE129" w14:textId="77777777" w:rsidTr="008033BD">
        <w:trPr>
          <w:trHeight w:val="310"/>
        </w:trPr>
        <w:tc>
          <w:tcPr>
            <w:tcW w:w="5840" w:type="dxa"/>
            <w:shd w:val="clear" w:color="auto" w:fill="auto"/>
            <w:noWrap/>
            <w:vAlign w:val="center"/>
            <w:hideMark/>
          </w:tcPr>
          <w:p w14:paraId="229EC40C"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Stool culture</w:t>
            </w:r>
          </w:p>
        </w:tc>
        <w:tc>
          <w:tcPr>
            <w:tcW w:w="3658" w:type="dxa"/>
            <w:shd w:val="clear" w:color="auto" w:fill="auto"/>
            <w:noWrap/>
            <w:vAlign w:val="center"/>
            <w:hideMark/>
          </w:tcPr>
          <w:p w14:paraId="3FD3CBBD"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Usual bacterial flora in the sample</w:t>
            </w:r>
          </w:p>
        </w:tc>
      </w:tr>
      <w:tr w:rsidR="007E73C4" w:rsidRPr="007E73C4" w14:paraId="21B1991F" w14:textId="77777777" w:rsidTr="008033BD">
        <w:trPr>
          <w:trHeight w:val="310"/>
        </w:trPr>
        <w:tc>
          <w:tcPr>
            <w:tcW w:w="5840" w:type="dxa"/>
            <w:shd w:val="clear" w:color="auto" w:fill="auto"/>
            <w:noWrap/>
            <w:vAlign w:val="center"/>
            <w:hideMark/>
          </w:tcPr>
          <w:p w14:paraId="0339B106"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i/>
                <w:iCs/>
              </w:rPr>
              <w:t xml:space="preserve">Clostridium </w:t>
            </w:r>
            <w:proofErr w:type="spellStart"/>
            <w:r w:rsidRPr="007E73C4">
              <w:rPr>
                <w:rFonts w:ascii="Book Antiqua" w:eastAsia="Times New Roman" w:hAnsi="Book Antiqua"/>
                <w:i/>
                <w:iCs/>
              </w:rPr>
              <w:t>difficile</w:t>
            </w:r>
            <w:proofErr w:type="spellEnd"/>
            <w:r w:rsidRPr="007E73C4">
              <w:rPr>
                <w:rFonts w:ascii="Book Antiqua" w:eastAsia="Times New Roman" w:hAnsi="Book Antiqua"/>
              </w:rPr>
              <w:t xml:space="preserve"> toxin/glutamate dehydrogenase</w:t>
            </w:r>
          </w:p>
        </w:tc>
        <w:tc>
          <w:tcPr>
            <w:tcW w:w="3658" w:type="dxa"/>
            <w:shd w:val="clear" w:color="auto" w:fill="auto"/>
            <w:noWrap/>
            <w:vAlign w:val="center"/>
            <w:hideMark/>
          </w:tcPr>
          <w:p w14:paraId="5748DF76"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Negative</w:t>
            </w:r>
          </w:p>
        </w:tc>
      </w:tr>
      <w:tr w:rsidR="007E73C4" w:rsidRPr="007E73C4" w14:paraId="62C66EDD" w14:textId="77777777" w:rsidTr="008033BD">
        <w:trPr>
          <w:trHeight w:val="310"/>
        </w:trPr>
        <w:tc>
          <w:tcPr>
            <w:tcW w:w="5840" w:type="dxa"/>
            <w:shd w:val="clear" w:color="auto" w:fill="auto"/>
            <w:noWrap/>
            <w:vAlign w:val="center"/>
            <w:hideMark/>
          </w:tcPr>
          <w:p w14:paraId="354C1048"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Autoimmunity study</w:t>
            </w:r>
          </w:p>
        </w:tc>
        <w:tc>
          <w:tcPr>
            <w:tcW w:w="3658" w:type="dxa"/>
            <w:shd w:val="clear" w:color="auto" w:fill="auto"/>
            <w:noWrap/>
            <w:vAlign w:val="center"/>
            <w:hideMark/>
          </w:tcPr>
          <w:p w14:paraId="421961B7"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Negative for celiac disease</w:t>
            </w:r>
          </w:p>
        </w:tc>
      </w:tr>
      <w:tr w:rsidR="007E73C4" w:rsidRPr="007E73C4" w14:paraId="6ADA54D8" w14:textId="77777777" w:rsidTr="008033BD">
        <w:trPr>
          <w:trHeight w:val="310"/>
        </w:trPr>
        <w:tc>
          <w:tcPr>
            <w:tcW w:w="5840" w:type="dxa"/>
            <w:tcBorders>
              <w:bottom w:val="single" w:sz="2" w:space="0" w:color="000000"/>
            </w:tcBorders>
            <w:shd w:val="clear" w:color="auto" w:fill="auto"/>
            <w:noWrap/>
            <w:vAlign w:val="center"/>
            <w:hideMark/>
          </w:tcPr>
          <w:p w14:paraId="7197F5C4"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Anti-</w:t>
            </w:r>
            <w:proofErr w:type="spellStart"/>
            <w:r w:rsidRPr="007E73C4">
              <w:rPr>
                <w:rFonts w:ascii="Book Antiqua" w:eastAsia="Times New Roman" w:hAnsi="Book Antiqua"/>
              </w:rPr>
              <w:t>transglutaminase</w:t>
            </w:r>
            <w:proofErr w:type="spellEnd"/>
            <w:r w:rsidRPr="007E73C4">
              <w:rPr>
                <w:rFonts w:ascii="Book Antiqua" w:eastAsia="Times New Roman" w:hAnsi="Book Antiqua"/>
              </w:rPr>
              <w:t xml:space="preserve"> immunoglobulin-A antibodies</w:t>
            </w:r>
          </w:p>
        </w:tc>
        <w:tc>
          <w:tcPr>
            <w:tcW w:w="3658" w:type="dxa"/>
            <w:tcBorders>
              <w:bottom w:val="single" w:sz="2" w:space="0" w:color="000000"/>
            </w:tcBorders>
            <w:shd w:val="clear" w:color="auto" w:fill="auto"/>
            <w:noWrap/>
            <w:vAlign w:val="center"/>
            <w:hideMark/>
          </w:tcPr>
          <w:p w14:paraId="6DBC461A"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3.63 UA/mL</w:t>
            </w:r>
          </w:p>
        </w:tc>
      </w:tr>
    </w:tbl>
    <w:p w14:paraId="41A3D0DE" w14:textId="4F412318" w:rsidR="007466F8" w:rsidRDefault="007E73C4">
      <w:pPr>
        <w:spacing w:line="360" w:lineRule="auto"/>
        <w:jc w:val="both"/>
        <w:rPr>
          <w:rFonts w:ascii="Book Antiqua" w:hAnsi="Book Antiqua"/>
        </w:rPr>
      </w:pPr>
      <w:r w:rsidRPr="007E73C4">
        <w:rPr>
          <w:rFonts w:ascii="Book Antiqua" w:hAnsi="Book Antiqua"/>
        </w:rPr>
        <w:t xml:space="preserve">We carried out a detailed study of diarrhea to rule out non-cancer-related causes. We confirmed that diarrhea was a symptom of the patient’s cancer (peritoneal </w:t>
      </w:r>
      <w:proofErr w:type="spellStart"/>
      <w:r w:rsidRPr="007E73C4">
        <w:rPr>
          <w:rFonts w:ascii="Book Antiqua" w:hAnsi="Book Antiqua"/>
        </w:rPr>
        <w:t>carcinomatosis</w:t>
      </w:r>
      <w:proofErr w:type="spellEnd"/>
      <w:r w:rsidRPr="007E73C4">
        <w:rPr>
          <w:rFonts w:ascii="Book Antiqua" w:hAnsi="Book Antiqua"/>
        </w:rPr>
        <w:t>). ACTH: Adrenocorticotropic hormone; TSH: Thyroid-stimulating hormone.</w:t>
      </w:r>
    </w:p>
    <w:p w14:paraId="0B54CCCA" w14:textId="4C8B456E" w:rsidR="007E73C4" w:rsidRPr="007466F8" w:rsidRDefault="007466F8">
      <w:pPr>
        <w:spacing w:line="360" w:lineRule="auto"/>
        <w:jc w:val="both"/>
        <w:rPr>
          <w:rFonts w:ascii="Book Antiqua" w:hAnsi="Book Antiqua"/>
          <w:b/>
          <w:bCs/>
        </w:rPr>
      </w:pPr>
      <w:r>
        <w:rPr>
          <w:rFonts w:ascii="Book Antiqua" w:hAnsi="Book Antiqua"/>
        </w:rPr>
        <w:br w:type="page"/>
      </w:r>
      <w:r w:rsidRPr="007466F8">
        <w:rPr>
          <w:rFonts w:ascii="Book Antiqua" w:hAnsi="Book Antiqua"/>
          <w:b/>
          <w:bCs/>
        </w:rPr>
        <w:lastRenderedPageBreak/>
        <w:t>Table 2 Pleural effusion study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820"/>
      </w:tblGrid>
      <w:tr w:rsidR="007466F8" w:rsidRPr="0078502C" w14:paraId="25521F62" w14:textId="77777777" w:rsidTr="00E63085">
        <w:trPr>
          <w:trHeight w:val="301"/>
        </w:trPr>
        <w:tc>
          <w:tcPr>
            <w:tcW w:w="9464" w:type="dxa"/>
            <w:gridSpan w:val="2"/>
            <w:tcBorders>
              <w:top w:val="single" w:sz="2" w:space="0" w:color="000000"/>
              <w:bottom w:val="single" w:sz="2" w:space="0" w:color="000000"/>
            </w:tcBorders>
            <w:shd w:val="clear" w:color="auto" w:fill="auto"/>
            <w:noWrap/>
            <w:vAlign w:val="center"/>
            <w:hideMark/>
          </w:tcPr>
          <w:p w14:paraId="1661143D" w14:textId="77777777" w:rsidR="007466F8" w:rsidRPr="0078502C" w:rsidRDefault="007466F8" w:rsidP="00A12135">
            <w:pPr>
              <w:snapToGrid w:val="0"/>
              <w:spacing w:line="360" w:lineRule="auto"/>
              <w:rPr>
                <w:rFonts w:ascii="Book Antiqua" w:hAnsi="Book Antiqua"/>
                <w:b/>
                <w:lang w:val="en-US"/>
              </w:rPr>
            </w:pPr>
            <w:r w:rsidRPr="0078502C">
              <w:rPr>
                <w:rFonts w:ascii="Book Antiqua" w:hAnsi="Book Antiqua"/>
                <w:b/>
                <w:lang w:val="en-US"/>
              </w:rPr>
              <w:t>Pleural effusion study</w:t>
            </w:r>
          </w:p>
        </w:tc>
      </w:tr>
      <w:tr w:rsidR="007466F8" w:rsidRPr="0078502C" w14:paraId="19114564" w14:textId="77777777" w:rsidTr="00E63085">
        <w:trPr>
          <w:trHeight w:val="400"/>
        </w:trPr>
        <w:tc>
          <w:tcPr>
            <w:tcW w:w="9464" w:type="dxa"/>
            <w:gridSpan w:val="2"/>
            <w:tcBorders>
              <w:top w:val="single" w:sz="2" w:space="0" w:color="000000"/>
            </w:tcBorders>
            <w:shd w:val="clear" w:color="auto" w:fill="auto"/>
            <w:noWrap/>
            <w:vAlign w:val="center"/>
            <w:hideMark/>
          </w:tcPr>
          <w:p w14:paraId="5A8AC76B"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Pleural effusion biochemistry</w:t>
            </w:r>
          </w:p>
        </w:tc>
      </w:tr>
      <w:tr w:rsidR="007466F8" w:rsidRPr="0078502C" w14:paraId="066E503C" w14:textId="77777777" w:rsidTr="00E63085">
        <w:trPr>
          <w:trHeight w:val="310"/>
        </w:trPr>
        <w:tc>
          <w:tcPr>
            <w:tcW w:w="4644" w:type="dxa"/>
            <w:shd w:val="clear" w:color="auto" w:fill="auto"/>
            <w:noWrap/>
            <w:vAlign w:val="center"/>
            <w:hideMark/>
          </w:tcPr>
          <w:p w14:paraId="469FC7EC"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Glucose</w:t>
            </w:r>
          </w:p>
        </w:tc>
        <w:tc>
          <w:tcPr>
            <w:tcW w:w="4820" w:type="dxa"/>
            <w:shd w:val="clear" w:color="auto" w:fill="auto"/>
            <w:noWrap/>
            <w:vAlign w:val="center"/>
            <w:hideMark/>
          </w:tcPr>
          <w:p w14:paraId="7AC58438"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92 mg/</w:t>
            </w:r>
            <w:proofErr w:type="spellStart"/>
            <w:r w:rsidRPr="0078502C">
              <w:rPr>
                <w:rFonts w:ascii="Book Antiqua" w:hAnsi="Book Antiqua"/>
                <w:lang w:val="en-US"/>
              </w:rPr>
              <w:t>dL</w:t>
            </w:r>
            <w:proofErr w:type="spellEnd"/>
          </w:p>
        </w:tc>
      </w:tr>
      <w:tr w:rsidR="007466F8" w:rsidRPr="0078502C" w14:paraId="48CF8FD4" w14:textId="77777777" w:rsidTr="00E63085">
        <w:trPr>
          <w:trHeight w:val="310"/>
        </w:trPr>
        <w:tc>
          <w:tcPr>
            <w:tcW w:w="4644" w:type="dxa"/>
            <w:shd w:val="clear" w:color="auto" w:fill="auto"/>
            <w:noWrap/>
            <w:vAlign w:val="center"/>
            <w:hideMark/>
          </w:tcPr>
          <w:p w14:paraId="5108B2E3"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Total proteins</w:t>
            </w:r>
          </w:p>
        </w:tc>
        <w:tc>
          <w:tcPr>
            <w:tcW w:w="4820" w:type="dxa"/>
            <w:shd w:val="clear" w:color="auto" w:fill="auto"/>
            <w:noWrap/>
            <w:vAlign w:val="center"/>
            <w:hideMark/>
          </w:tcPr>
          <w:p w14:paraId="55C384EE"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4.1 g/</w:t>
            </w:r>
            <w:proofErr w:type="spellStart"/>
            <w:r w:rsidRPr="0078502C">
              <w:rPr>
                <w:rFonts w:ascii="Book Antiqua" w:hAnsi="Book Antiqua"/>
                <w:lang w:val="en-US"/>
              </w:rPr>
              <w:t>dL</w:t>
            </w:r>
            <w:proofErr w:type="spellEnd"/>
          </w:p>
        </w:tc>
      </w:tr>
      <w:tr w:rsidR="007466F8" w:rsidRPr="0078502C" w14:paraId="27481CC6" w14:textId="77777777" w:rsidTr="00E63085">
        <w:trPr>
          <w:trHeight w:val="310"/>
        </w:trPr>
        <w:tc>
          <w:tcPr>
            <w:tcW w:w="4644" w:type="dxa"/>
            <w:shd w:val="clear" w:color="auto" w:fill="auto"/>
            <w:noWrap/>
            <w:vAlign w:val="center"/>
            <w:hideMark/>
          </w:tcPr>
          <w:p w14:paraId="5DCD8B09"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Albumin</w:t>
            </w:r>
          </w:p>
        </w:tc>
        <w:tc>
          <w:tcPr>
            <w:tcW w:w="4820" w:type="dxa"/>
            <w:shd w:val="clear" w:color="auto" w:fill="auto"/>
            <w:noWrap/>
            <w:vAlign w:val="center"/>
            <w:hideMark/>
          </w:tcPr>
          <w:p w14:paraId="315BBC00"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2.7 g/</w:t>
            </w:r>
            <w:proofErr w:type="spellStart"/>
            <w:r w:rsidRPr="0078502C">
              <w:rPr>
                <w:rFonts w:ascii="Book Antiqua" w:hAnsi="Book Antiqua"/>
                <w:lang w:val="en-US"/>
              </w:rPr>
              <w:t>dL</w:t>
            </w:r>
            <w:proofErr w:type="spellEnd"/>
          </w:p>
        </w:tc>
      </w:tr>
      <w:tr w:rsidR="007466F8" w:rsidRPr="0078502C" w14:paraId="2D490844" w14:textId="77777777" w:rsidTr="00E63085">
        <w:trPr>
          <w:trHeight w:val="310"/>
        </w:trPr>
        <w:tc>
          <w:tcPr>
            <w:tcW w:w="4644" w:type="dxa"/>
            <w:shd w:val="clear" w:color="auto" w:fill="auto"/>
            <w:noWrap/>
            <w:vAlign w:val="center"/>
            <w:hideMark/>
          </w:tcPr>
          <w:p w14:paraId="1484AA6E"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Lactate dehydrogenase</w:t>
            </w:r>
          </w:p>
        </w:tc>
        <w:tc>
          <w:tcPr>
            <w:tcW w:w="4820" w:type="dxa"/>
            <w:shd w:val="clear" w:color="auto" w:fill="auto"/>
            <w:noWrap/>
            <w:vAlign w:val="center"/>
            <w:hideMark/>
          </w:tcPr>
          <w:p w14:paraId="408AF0EA"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137 IU/L</w:t>
            </w:r>
          </w:p>
        </w:tc>
      </w:tr>
      <w:tr w:rsidR="007466F8" w:rsidRPr="0078502C" w14:paraId="7081978D" w14:textId="77777777" w:rsidTr="00E63085">
        <w:trPr>
          <w:trHeight w:val="310"/>
        </w:trPr>
        <w:tc>
          <w:tcPr>
            <w:tcW w:w="4644" w:type="dxa"/>
            <w:shd w:val="clear" w:color="auto" w:fill="auto"/>
            <w:noWrap/>
            <w:vAlign w:val="center"/>
            <w:hideMark/>
          </w:tcPr>
          <w:p w14:paraId="65CEE893"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Cholesterol</w:t>
            </w:r>
          </w:p>
        </w:tc>
        <w:tc>
          <w:tcPr>
            <w:tcW w:w="4820" w:type="dxa"/>
            <w:shd w:val="clear" w:color="auto" w:fill="auto"/>
            <w:noWrap/>
            <w:vAlign w:val="center"/>
            <w:hideMark/>
          </w:tcPr>
          <w:p w14:paraId="4DBD415E"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12 mg/</w:t>
            </w:r>
            <w:proofErr w:type="spellStart"/>
            <w:r w:rsidRPr="0078502C">
              <w:rPr>
                <w:rFonts w:ascii="Book Antiqua" w:hAnsi="Book Antiqua"/>
                <w:lang w:val="en-US"/>
              </w:rPr>
              <w:t>dL</w:t>
            </w:r>
            <w:proofErr w:type="spellEnd"/>
          </w:p>
        </w:tc>
      </w:tr>
      <w:tr w:rsidR="007466F8" w:rsidRPr="0078502C" w14:paraId="206CB101" w14:textId="77777777" w:rsidTr="00E63085">
        <w:trPr>
          <w:trHeight w:val="620"/>
        </w:trPr>
        <w:tc>
          <w:tcPr>
            <w:tcW w:w="4644" w:type="dxa"/>
            <w:shd w:val="clear" w:color="auto" w:fill="auto"/>
            <w:noWrap/>
            <w:vAlign w:val="center"/>
            <w:hideMark/>
          </w:tcPr>
          <w:p w14:paraId="369FE559"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Triglycerides</w:t>
            </w:r>
          </w:p>
        </w:tc>
        <w:tc>
          <w:tcPr>
            <w:tcW w:w="4820" w:type="dxa"/>
            <w:shd w:val="clear" w:color="auto" w:fill="auto"/>
            <w:noWrap/>
            <w:vAlign w:val="center"/>
            <w:hideMark/>
          </w:tcPr>
          <w:p w14:paraId="2F2E5B2E"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182 mg/</w:t>
            </w:r>
            <w:proofErr w:type="spellStart"/>
            <w:r w:rsidRPr="0078502C">
              <w:rPr>
                <w:rFonts w:ascii="Book Antiqua" w:hAnsi="Book Antiqua"/>
                <w:lang w:val="en-US"/>
              </w:rPr>
              <w:t>dL</w:t>
            </w:r>
            <w:proofErr w:type="spellEnd"/>
          </w:p>
        </w:tc>
      </w:tr>
      <w:tr w:rsidR="007466F8" w:rsidRPr="0078502C" w14:paraId="17870A1A" w14:textId="77777777" w:rsidTr="00E63085">
        <w:trPr>
          <w:trHeight w:val="419"/>
        </w:trPr>
        <w:tc>
          <w:tcPr>
            <w:tcW w:w="4644" w:type="dxa"/>
            <w:shd w:val="clear" w:color="auto" w:fill="auto"/>
            <w:noWrap/>
            <w:vAlign w:val="center"/>
            <w:hideMark/>
          </w:tcPr>
          <w:p w14:paraId="04CF3D2C"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 xml:space="preserve">Adenosine </w:t>
            </w:r>
            <w:proofErr w:type="spellStart"/>
            <w:r w:rsidRPr="0078502C">
              <w:rPr>
                <w:rFonts w:ascii="Book Antiqua" w:hAnsi="Book Antiqua" w:cs="Times New Roman"/>
                <w:lang w:val="en-US"/>
              </w:rPr>
              <w:t>deaminase</w:t>
            </w:r>
            <w:proofErr w:type="spellEnd"/>
          </w:p>
        </w:tc>
        <w:tc>
          <w:tcPr>
            <w:tcW w:w="4820" w:type="dxa"/>
            <w:shd w:val="clear" w:color="auto" w:fill="auto"/>
            <w:noWrap/>
            <w:vAlign w:val="center"/>
            <w:hideMark/>
          </w:tcPr>
          <w:p w14:paraId="1D6A713E"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Not available</w:t>
            </w:r>
          </w:p>
        </w:tc>
      </w:tr>
      <w:tr w:rsidR="007466F8" w:rsidRPr="0078502C" w14:paraId="0BAE3930" w14:textId="77777777" w:rsidTr="00E63085">
        <w:trPr>
          <w:trHeight w:val="397"/>
        </w:trPr>
        <w:tc>
          <w:tcPr>
            <w:tcW w:w="9464" w:type="dxa"/>
            <w:gridSpan w:val="2"/>
            <w:shd w:val="clear" w:color="auto" w:fill="auto"/>
            <w:noWrap/>
            <w:vAlign w:val="center"/>
            <w:hideMark/>
          </w:tcPr>
          <w:p w14:paraId="329B523A"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 xml:space="preserve">Pleural effusion </w:t>
            </w:r>
            <w:proofErr w:type="spellStart"/>
            <w:r w:rsidRPr="0078502C">
              <w:rPr>
                <w:rFonts w:ascii="Book Antiqua" w:hAnsi="Book Antiqua"/>
                <w:lang w:val="en-US"/>
              </w:rPr>
              <w:t>hemogram</w:t>
            </w:r>
            <w:proofErr w:type="spellEnd"/>
          </w:p>
        </w:tc>
      </w:tr>
      <w:tr w:rsidR="007466F8" w:rsidRPr="0078502C" w14:paraId="66AA0120" w14:textId="77777777" w:rsidTr="00E63085">
        <w:trPr>
          <w:trHeight w:val="310"/>
        </w:trPr>
        <w:tc>
          <w:tcPr>
            <w:tcW w:w="4644" w:type="dxa"/>
            <w:shd w:val="clear" w:color="auto" w:fill="auto"/>
            <w:noWrap/>
            <w:vAlign w:val="center"/>
            <w:hideMark/>
          </w:tcPr>
          <w:p w14:paraId="35D4B02B"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Hemoglobin</w:t>
            </w:r>
          </w:p>
        </w:tc>
        <w:tc>
          <w:tcPr>
            <w:tcW w:w="4820" w:type="dxa"/>
            <w:shd w:val="clear" w:color="auto" w:fill="auto"/>
            <w:noWrap/>
            <w:vAlign w:val="center"/>
            <w:hideMark/>
          </w:tcPr>
          <w:p w14:paraId="3B773145"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0.2 g/</w:t>
            </w:r>
            <w:proofErr w:type="spellStart"/>
            <w:r w:rsidRPr="0078502C">
              <w:rPr>
                <w:rFonts w:ascii="Book Antiqua" w:hAnsi="Book Antiqua"/>
                <w:lang w:val="en-US"/>
              </w:rPr>
              <w:t>dL</w:t>
            </w:r>
            <w:proofErr w:type="spellEnd"/>
          </w:p>
        </w:tc>
      </w:tr>
      <w:tr w:rsidR="007466F8" w:rsidRPr="0078502C" w14:paraId="59E5E9D9" w14:textId="77777777" w:rsidTr="00E63085">
        <w:trPr>
          <w:trHeight w:val="310"/>
        </w:trPr>
        <w:tc>
          <w:tcPr>
            <w:tcW w:w="4644" w:type="dxa"/>
            <w:shd w:val="clear" w:color="auto" w:fill="auto"/>
            <w:noWrap/>
            <w:vAlign w:val="center"/>
            <w:hideMark/>
          </w:tcPr>
          <w:p w14:paraId="22FA1965"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Platelets</w:t>
            </w:r>
          </w:p>
        </w:tc>
        <w:tc>
          <w:tcPr>
            <w:tcW w:w="4820" w:type="dxa"/>
            <w:shd w:val="clear" w:color="auto" w:fill="auto"/>
            <w:noWrap/>
            <w:vAlign w:val="center"/>
            <w:hideMark/>
          </w:tcPr>
          <w:p w14:paraId="6FACF953" w14:textId="1DE0439B"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2600</w:t>
            </w:r>
            <w:r w:rsidR="00E63085">
              <w:rPr>
                <w:rFonts w:ascii="Book Antiqua" w:hAnsi="Book Antiqua"/>
                <w:lang w:val="en-US"/>
              </w:rPr>
              <w:t>/</w:t>
            </w:r>
            <w:r w:rsidRPr="0078502C">
              <w:rPr>
                <w:rFonts w:ascii="Book Antiqua" w:eastAsia="Times New Roman" w:hAnsi="Book Antiqua" w:cs="Times New Roman"/>
                <w:lang w:val="en-US"/>
              </w:rPr>
              <w:t>µ</w:t>
            </w:r>
            <w:r w:rsidRPr="0078502C">
              <w:rPr>
                <w:rFonts w:ascii="Book Antiqua" w:hAnsi="Book Antiqua"/>
                <w:lang w:val="en-US"/>
              </w:rPr>
              <w:t>L</w:t>
            </w:r>
          </w:p>
        </w:tc>
      </w:tr>
      <w:tr w:rsidR="007466F8" w:rsidRPr="0078502C" w14:paraId="3504046F" w14:textId="77777777" w:rsidTr="00E63085">
        <w:trPr>
          <w:trHeight w:val="310"/>
        </w:trPr>
        <w:tc>
          <w:tcPr>
            <w:tcW w:w="4644" w:type="dxa"/>
            <w:shd w:val="clear" w:color="auto" w:fill="auto"/>
            <w:noWrap/>
            <w:vAlign w:val="center"/>
            <w:hideMark/>
          </w:tcPr>
          <w:p w14:paraId="64491E0B"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White blood cells</w:t>
            </w:r>
          </w:p>
        </w:tc>
        <w:tc>
          <w:tcPr>
            <w:tcW w:w="4820" w:type="dxa"/>
            <w:shd w:val="clear" w:color="auto" w:fill="auto"/>
            <w:noWrap/>
            <w:vAlign w:val="center"/>
            <w:hideMark/>
          </w:tcPr>
          <w:p w14:paraId="641281A2" w14:textId="53D15813"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850</w:t>
            </w:r>
            <w:r w:rsidR="00E63085">
              <w:rPr>
                <w:rFonts w:ascii="Book Antiqua" w:hAnsi="Book Antiqua"/>
                <w:lang w:val="en-US"/>
              </w:rPr>
              <w:t>/</w:t>
            </w:r>
            <w:r w:rsidRPr="0078502C">
              <w:rPr>
                <w:rFonts w:ascii="Book Antiqua" w:eastAsia="Times New Roman" w:hAnsi="Book Antiqua" w:cs="Times New Roman"/>
                <w:lang w:val="en-US"/>
              </w:rPr>
              <w:t>µ</w:t>
            </w:r>
            <w:r w:rsidRPr="0078502C">
              <w:rPr>
                <w:rFonts w:ascii="Book Antiqua" w:hAnsi="Book Antiqua"/>
                <w:lang w:val="en-US"/>
              </w:rPr>
              <w:t>L</w:t>
            </w:r>
          </w:p>
        </w:tc>
      </w:tr>
      <w:tr w:rsidR="007466F8" w:rsidRPr="0078502C" w14:paraId="0B2AAA62" w14:textId="77777777" w:rsidTr="00E63085">
        <w:trPr>
          <w:trHeight w:val="253"/>
        </w:trPr>
        <w:tc>
          <w:tcPr>
            <w:tcW w:w="4644" w:type="dxa"/>
            <w:shd w:val="clear" w:color="auto" w:fill="auto"/>
            <w:noWrap/>
            <w:vAlign w:val="center"/>
            <w:hideMark/>
          </w:tcPr>
          <w:p w14:paraId="762AF555"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Neutrophils</w:t>
            </w:r>
          </w:p>
        </w:tc>
        <w:tc>
          <w:tcPr>
            <w:tcW w:w="4820" w:type="dxa"/>
            <w:shd w:val="clear" w:color="auto" w:fill="auto"/>
            <w:noWrap/>
            <w:vAlign w:val="center"/>
            <w:hideMark/>
          </w:tcPr>
          <w:p w14:paraId="6912A401"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0</w:t>
            </w:r>
          </w:p>
        </w:tc>
      </w:tr>
      <w:tr w:rsidR="007466F8" w:rsidRPr="0078502C" w14:paraId="38E37CB6" w14:textId="77777777" w:rsidTr="00E63085">
        <w:trPr>
          <w:trHeight w:val="310"/>
        </w:trPr>
        <w:tc>
          <w:tcPr>
            <w:tcW w:w="4644" w:type="dxa"/>
            <w:shd w:val="clear" w:color="auto" w:fill="auto"/>
            <w:noWrap/>
            <w:vAlign w:val="center"/>
            <w:hideMark/>
          </w:tcPr>
          <w:p w14:paraId="7ED73A47"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Lymphocytes</w:t>
            </w:r>
          </w:p>
        </w:tc>
        <w:tc>
          <w:tcPr>
            <w:tcW w:w="4820" w:type="dxa"/>
            <w:shd w:val="clear" w:color="auto" w:fill="auto"/>
            <w:noWrap/>
            <w:vAlign w:val="center"/>
            <w:hideMark/>
          </w:tcPr>
          <w:p w14:paraId="21E3BD57" w14:textId="4934B17B"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800</w:t>
            </w:r>
            <w:r w:rsidR="00E63085">
              <w:rPr>
                <w:rFonts w:ascii="Book Antiqua" w:hAnsi="Book Antiqua"/>
                <w:lang w:val="en-US"/>
              </w:rPr>
              <w:t>/</w:t>
            </w:r>
            <w:r w:rsidRPr="0078502C">
              <w:rPr>
                <w:rFonts w:ascii="Book Antiqua" w:eastAsia="Times New Roman" w:hAnsi="Book Antiqua" w:cs="Times New Roman"/>
                <w:lang w:val="en-US"/>
              </w:rPr>
              <w:t>µ</w:t>
            </w:r>
            <w:r w:rsidRPr="0078502C">
              <w:rPr>
                <w:rFonts w:ascii="Book Antiqua" w:hAnsi="Book Antiqua"/>
                <w:lang w:val="en-US"/>
              </w:rPr>
              <w:t>L</w:t>
            </w:r>
          </w:p>
        </w:tc>
      </w:tr>
      <w:tr w:rsidR="007466F8" w:rsidRPr="0078502C" w14:paraId="0C791F59" w14:textId="77777777" w:rsidTr="00E63085">
        <w:trPr>
          <w:trHeight w:val="310"/>
        </w:trPr>
        <w:tc>
          <w:tcPr>
            <w:tcW w:w="9464" w:type="dxa"/>
            <w:gridSpan w:val="2"/>
            <w:shd w:val="clear" w:color="auto" w:fill="auto"/>
            <w:noWrap/>
            <w:vAlign w:val="center"/>
            <w:hideMark/>
          </w:tcPr>
          <w:p w14:paraId="0A341E3F"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Blood test biochemistry</w:t>
            </w:r>
          </w:p>
        </w:tc>
      </w:tr>
      <w:tr w:rsidR="007466F8" w:rsidRPr="0078502C" w14:paraId="26C1D031" w14:textId="77777777" w:rsidTr="00E63085">
        <w:trPr>
          <w:trHeight w:val="310"/>
        </w:trPr>
        <w:tc>
          <w:tcPr>
            <w:tcW w:w="4644" w:type="dxa"/>
            <w:shd w:val="clear" w:color="auto" w:fill="auto"/>
            <w:noWrap/>
            <w:vAlign w:val="center"/>
            <w:hideMark/>
          </w:tcPr>
          <w:p w14:paraId="1DB43F40"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Glucose</w:t>
            </w:r>
          </w:p>
        </w:tc>
        <w:tc>
          <w:tcPr>
            <w:tcW w:w="4820" w:type="dxa"/>
            <w:shd w:val="clear" w:color="auto" w:fill="auto"/>
            <w:noWrap/>
            <w:vAlign w:val="center"/>
            <w:hideMark/>
          </w:tcPr>
          <w:p w14:paraId="26EB2A48"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86 mg/</w:t>
            </w:r>
            <w:proofErr w:type="spellStart"/>
            <w:r w:rsidRPr="0078502C">
              <w:rPr>
                <w:rFonts w:ascii="Book Antiqua" w:hAnsi="Book Antiqua"/>
                <w:lang w:val="en-US"/>
              </w:rPr>
              <w:t>dL</w:t>
            </w:r>
            <w:proofErr w:type="spellEnd"/>
          </w:p>
        </w:tc>
      </w:tr>
      <w:tr w:rsidR="007466F8" w:rsidRPr="0078502C" w14:paraId="5913C6B9" w14:textId="77777777" w:rsidTr="00E63085">
        <w:trPr>
          <w:trHeight w:val="310"/>
        </w:trPr>
        <w:tc>
          <w:tcPr>
            <w:tcW w:w="4644" w:type="dxa"/>
            <w:shd w:val="clear" w:color="auto" w:fill="auto"/>
            <w:noWrap/>
            <w:vAlign w:val="center"/>
            <w:hideMark/>
          </w:tcPr>
          <w:p w14:paraId="745CBEF1"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Total proteins</w:t>
            </w:r>
          </w:p>
        </w:tc>
        <w:tc>
          <w:tcPr>
            <w:tcW w:w="4820" w:type="dxa"/>
            <w:shd w:val="clear" w:color="auto" w:fill="auto"/>
            <w:noWrap/>
            <w:vAlign w:val="center"/>
            <w:hideMark/>
          </w:tcPr>
          <w:p w14:paraId="251606E8"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6 g/</w:t>
            </w:r>
            <w:proofErr w:type="spellStart"/>
            <w:r w:rsidRPr="0078502C">
              <w:rPr>
                <w:rFonts w:ascii="Book Antiqua" w:hAnsi="Book Antiqua"/>
                <w:lang w:val="en-US"/>
              </w:rPr>
              <w:t>dL</w:t>
            </w:r>
            <w:proofErr w:type="spellEnd"/>
          </w:p>
        </w:tc>
      </w:tr>
      <w:tr w:rsidR="007466F8" w:rsidRPr="0078502C" w14:paraId="4F1EE19B" w14:textId="77777777" w:rsidTr="00E63085">
        <w:trPr>
          <w:trHeight w:val="310"/>
        </w:trPr>
        <w:tc>
          <w:tcPr>
            <w:tcW w:w="4644" w:type="dxa"/>
            <w:shd w:val="clear" w:color="auto" w:fill="auto"/>
            <w:noWrap/>
            <w:vAlign w:val="center"/>
            <w:hideMark/>
          </w:tcPr>
          <w:p w14:paraId="66BB9C3E"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Albumin</w:t>
            </w:r>
          </w:p>
        </w:tc>
        <w:tc>
          <w:tcPr>
            <w:tcW w:w="4820" w:type="dxa"/>
            <w:shd w:val="clear" w:color="auto" w:fill="auto"/>
            <w:noWrap/>
            <w:vAlign w:val="center"/>
            <w:hideMark/>
          </w:tcPr>
          <w:p w14:paraId="4665EC16"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3.5 g/</w:t>
            </w:r>
            <w:proofErr w:type="spellStart"/>
            <w:r w:rsidRPr="0078502C">
              <w:rPr>
                <w:rFonts w:ascii="Book Antiqua" w:hAnsi="Book Antiqua"/>
                <w:lang w:val="en-US"/>
              </w:rPr>
              <w:t>dL</w:t>
            </w:r>
            <w:proofErr w:type="spellEnd"/>
          </w:p>
        </w:tc>
      </w:tr>
      <w:tr w:rsidR="007466F8" w:rsidRPr="0078502C" w14:paraId="16E01C4E" w14:textId="77777777" w:rsidTr="00E63085">
        <w:trPr>
          <w:trHeight w:val="310"/>
        </w:trPr>
        <w:tc>
          <w:tcPr>
            <w:tcW w:w="4644" w:type="dxa"/>
            <w:shd w:val="clear" w:color="auto" w:fill="auto"/>
            <w:noWrap/>
            <w:vAlign w:val="center"/>
            <w:hideMark/>
          </w:tcPr>
          <w:p w14:paraId="6EC1DA70"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Lactate dehydrogenase</w:t>
            </w:r>
          </w:p>
        </w:tc>
        <w:tc>
          <w:tcPr>
            <w:tcW w:w="4820" w:type="dxa"/>
            <w:shd w:val="clear" w:color="auto" w:fill="auto"/>
            <w:noWrap/>
            <w:vAlign w:val="center"/>
            <w:hideMark/>
          </w:tcPr>
          <w:p w14:paraId="1DE5E071"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208 IU/L</w:t>
            </w:r>
          </w:p>
        </w:tc>
      </w:tr>
      <w:tr w:rsidR="007466F8" w:rsidRPr="0078502C" w14:paraId="225785FE" w14:textId="77777777" w:rsidTr="00E63085">
        <w:trPr>
          <w:trHeight w:val="441"/>
        </w:trPr>
        <w:tc>
          <w:tcPr>
            <w:tcW w:w="4644" w:type="dxa"/>
            <w:shd w:val="clear" w:color="auto" w:fill="auto"/>
            <w:noWrap/>
            <w:vAlign w:val="center"/>
            <w:hideMark/>
          </w:tcPr>
          <w:p w14:paraId="2EAA9A3A"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Cholesterol</w:t>
            </w:r>
          </w:p>
        </w:tc>
        <w:tc>
          <w:tcPr>
            <w:tcW w:w="4820" w:type="dxa"/>
            <w:shd w:val="clear" w:color="auto" w:fill="auto"/>
            <w:noWrap/>
            <w:vAlign w:val="center"/>
            <w:hideMark/>
          </w:tcPr>
          <w:p w14:paraId="61EB7E42"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195 mg/</w:t>
            </w:r>
            <w:proofErr w:type="spellStart"/>
            <w:r w:rsidRPr="0078502C">
              <w:rPr>
                <w:rFonts w:ascii="Book Antiqua" w:hAnsi="Book Antiqua"/>
                <w:lang w:val="en-US"/>
              </w:rPr>
              <w:t>dL</w:t>
            </w:r>
            <w:proofErr w:type="spellEnd"/>
          </w:p>
        </w:tc>
      </w:tr>
      <w:tr w:rsidR="007466F8" w:rsidRPr="0078502C" w14:paraId="31C62C90" w14:textId="77777777" w:rsidTr="00E63085">
        <w:trPr>
          <w:trHeight w:val="310"/>
        </w:trPr>
        <w:tc>
          <w:tcPr>
            <w:tcW w:w="4644" w:type="dxa"/>
            <w:shd w:val="clear" w:color="auto" w:fill="auto"/>
            <w:noWrap/>
            <w:vAlign w:val="center"/>
            <w:hideMark/>
          </w:tcPr>
          <w:p w14:paraId="12BC16DA"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Triglycerides</w:t>
            </w:r>
          </w:p>
        </w:tc>
        <w:tc>
          <w:tcPr>
            <w:tcW w:w="4820" w:type="dxa"/>
            <w:shd w:val="clear" w:color="auto" w:fill="auto"/>
            <w:noWrap/>
            <w:vAlign w:val="center"/>
            <w:hideMark/>
          </w:tcPr>
          <w:p w14:paraId="54C557CD"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122 mg/</w:t>
            </w:r>
            <w:proofErr w:type="spellStart"/>
            <w:r w:rsidRPr="0078502C">
              <w:rPr>
                <w:rFonts w:ascii="Book Antiqua" w:hAnsi="Book Antiqua"/>
                <w:lang w:val="en-US"/>
              </w:rPr>
              <w:t>dL</w:t>
            </w:r>
            <w:proofErr w:type="spellEnd"/>
          </w:p>
        </w:tc>
      </w:tr>
      <w:tr w:rsidR="007466F8" w:rsidRPr="0078502C" w14:paraId="1A677C23" w14:textId="77777777" w:rsidTr="00E63085">
        <w:trPr>
          <w:trHeight w:val="310"/>
        </w:trPr>
        <w:tc>
          <w:tcPr>
            <w:tcW w:w="4644" w:type="dxa"/>
            <w:shd w:val="clear" w:color="auto" w:fill="auto"/>
            <w:noWrap/>
            <w:vAlign w:val="center"/>
            <w:hideMark/>
          </w:tcPr>
          <w:p w14:paraId="1AA86908"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Microbiology study</w:t>
            </w:r>
          </w:p>
        </w:tc>
        <w:tc>
          <w:tcPr>
            <w:tcW w:w="4820" w:type="dxa"/>
            <w:shd w:val="clear" w:color="auto" w:fill="auto"/>
            <w:noWrap/>
            <w:vAlign w:val="center"/>
            <w:hideMark/>
          </w:tcPr>
          <w:p w14:paraId="49D20DC8" w14:textId="77777777" w:rsidR="007466F8" w:rsidRPr="0078502C" w:rsidRDefault="007466F8" w:rsidP="0078502C">
            <w:pPr>
              <w:snapToGrid w:val="0"/>
              <w:spacing w:line="360" w:lineRule="auto"/>
              <w:rPr>
                <w:rFonts w:ascii="Book Antiqua" w:hAnsi="Book Antiqua"/>
                <w:bCs/>
                <w:lang w:val="en-US"/>
              </w:rPr>
            </w:pPr>
            <w:r w:rsidRPr="0078502C">
              <w:rPr>
                <w:rFonts w:ascii="Book Antiqua" w:hAnsi="Book Antiqua"/>
                <w:bCs/>
                <w:lang w:val="en-US"/>
              </w:rPr>
              <w:t>No pathogenic microorganisms identified</w:t>
            </w:r>
          </w:p>
        </w:tc>
      </w:tr>
      <w:tr w:rsidR="007466F8" w:rsidRPr="0078502C" w14:paraId="08BEF384" w14:textId="77777777" w:rsidTr="00E63085">
        <w:trPr>
          <w:trHeight w:val="1183"/>
        </w:trPr>
        <w:tc>
          <w:tcPr>
            <w:tcW w:w="4644" w:type="dxa"/>
            <w:shd w:val="clear" w:color="auto" w:fill="auto"/>
            <w:noWrap/>
            <w:vAlign w:val="center"/>
            <w:hideMark/>
          </w:tcPr>
          <w:p w14:paraId="0F121353"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Light’s criteria</w:t>
            </w:r>
          </w:p>
        </w:tc>
        <w:tc>
          <w:tcPr>
            <w:tcW w:w="4820" w:type="dxa"/>
            <w:shd w:val="clear" w:color="auto" w:fill="auto"/>
            <w:noWrap/>
            <w:vAlign w:val="center"/>
            <w:hideMark/>
          </w:tcPr>
          <w:p w14:paraId="437C0B01" w14:textId="71DB223E" w:rsidR="007466F8" w:rsidRPr="0078502C" w:rsidRDefault="007466F8" w:rsidP="0078502C">
            <w:pPr>
              <w:snapToGrid w:val="0"/>
              <w:spacing w:line="360" w:lineRule="auto"/>
              <w:rPr>
                <w:rFonts w:ascii="Book Antiqua" w:hAnsi="Book Antiqua"/>
                <w:bCs/>
                <w:lang w:val="en-US"/>
              </w:rPr>
            </w:pPr>
            <w:r w:rsidRPr="0078502C">
              <w:rPr>
                <w:rFonts w:ascii="Book Antiqua" w:hAnsi="Book Antiqua"/>
                <w:bCs/>
                <w:lang w:val="en-US"/>
              </w:rPr>
              <w:t>The pleural effusion meets two of three of Light’s criteria for exudate, and is compatible with cancer.</w:t>
            </w:r>
          </w:p>
        </w:tc>
      </w:tr>
      <w:tr w:rsidR="007466F8" w:rsidRPr="0078502C" w14:paraId="7EA3F7FB" w14:textId="77777777" w:rsidTr="00E63085">
        <w:trPr>
          <w:trHeight w:val="310"/>
        </w:trPr>
        <w:tc>
          <w:tcPr>
            <w:tcW w:w="4644" w:type="dxa"/>
            <w:shd w:val="clear" w:color="auto" w:fill="auto"/>
            <w:noWrap/>
            <w:vAlign w:val="center"/>
            <w:hideMark/>
          </w:tcPr>
          <w:p w14:paraId="2090D3BD" w14:textId="77777777" w:rsidR="007466F8" w:rsidRPr="0078502C" w:rsidRDefault="007466F8" w:rsidP="0078502C">
            <w:pPr>
              <w:snapToGrid w:val="0"/>
              <w:spacing w:line="360" w:lineRule="auto"/>
              <w:rPr>
                <w:rFonts w:ascii="Book Antiqua" w:hAnsi="Book Antiqua" w:cs="Times New Roman"/>
                <w:lang w:val="en-US"/>
              </w:rPr>
            </w:pPr>
            <w:r w:rsidRPr="0078502C">
              <w:rPr>
                <w:rFonts w:ascii="Book Antiqua" w:hAnsi="Book Antiqua" w:cs="Times New Roman"/>
                <w:lang w:val="en-US"/>
              </w:rPr>
              <w:t>Ratio pleural/serum proteins</w:t>
            </w:r>
          </w:p>
        </w:tc>
        <w:tc>
          <w:tcPr>
            <w:tcW w:w="4820" w:type="dxa"/>
            <w:shd w:val="clear" w:color="auto" w:fill="auto"/>
            <w:noWrap/>
            <w:vAlign w:val="center"/>
            <w:hideMark/>
          </w:tcPr>
          <w:p w14:paraId="6F17C9C2"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0.68 (&gt; 0.5)</w:t>
            </w:r>
          </w:p>
        </w:tc>
      </w:tr>
      <w:tr w:rsidR="007466F8" w:rsidRPr="0078502C" w14:paraId="3B35FC2D" w14:textId="77777777" w:rsidTr="00E63085">
        <w:trPr>
          <w:trHeight w:val="831"/>
        </w:trPr>
        <w:tc>
          <w:tcPr>
            <w:tcW w:w="4644" w:type="dxa"/>
            <w:shd w:val="clear" w:color="auto" w:fill="auto"/>
            <w:noWrap/>
            <w:vAlign w:val="center"/>
            <w:hideMark/>
          </w:tcPr>
          <w:p w14:paraId="736D5696" w14:textId="77777777" w:rsidR="007466F8" w:rsidRPr="0078502C" w:rsidRDefault="007466F8" w:rsidP="0078502C">
            <w:pPr>
              <w:snapToGrid w:val="0"/>
              <w:spacing w:line="360" w:lineRule="auto"/>
              <w:rPr>
                <w:rFonts w:ascii="Book Antiqua" w:hAnsi="Book Antiqua" w:cs="Times New Roman"/>
                <w:lang w:val="en-US"/>
              </w:rPr>
            </w:pPr>
            <w:r w:rsidRPr="0078502C">
              <w:rPr>
                <w:rFonts w:ascii="Book Antiqua" w:hAnsi="Book Antiqua" w:cs="Times New Roman"/>
                <w:lang w:val="en-US"/>
              </w:rPr>
              <w:lastRenderedPageBreak/>
              <w:t>Ratio pleural/serum proteins</w:t>
            </w:r>
          </w:p>
        </w:tc>
        <w:tc>
          <w:tcPr>
            <w:tcW w:w="4820" w:type="dxa"/>
            <w:shd w:val="clear" w:color="auto" w:fill="auto"/>
            <w:noWrap/>
            <w:vAlign w:val="center"/>
            <w:hideMark/>
          </w:tcPr>
          <w:p w14:paraId="449FA2D1"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0.65 (&gt; 0.6)</w:t>
            </w:r>
          </w:p>
        </w:tc>
      </w:tr>
      <w:tr w:rsidR="007466F8" w:rsidRPr="0078502C" w14:paraId="7D205E79" w14:textId="77777777" w:rsidTr="00E63085">
        <w:trPr>
          <w:trHeight w:val="817"/>
        </w:trPr>
        <w:tc>
          <w:tcPr>
            <w:tcW w:w="4644" w:type="dxa"/>
            <w:tcBorders>
              <w:bottom w:val="single" w:sz="2" w:space="0" w:color="000000"/>
            </w:tcBorders>
            <w:shd w:val="clear" w:color="auto" w:fill="auto"/>
            <w:noWrap/>
            <w:vAlign w:val="center"/>
            <w:hideMark/>
          </w:tcPr>
          <w:p w14:paraId="2118126E" w14:textId="77777777" w:rsidR="007466F8" w:rsidRPr="0078502C" w:rsidRDefault="007466F8" w:rsidP="0078502C">
            <w:pPr>
              <w:snapToGrid w:val="0"/>
              <w:spacing w:line="360" w:lineRule="auto"/>
              <w:rPr>
                <w:rFonts w:ascii="Book Antiqua" w:hAnsi="Book Antiqua" w:cs="Times New Roman"/>
                <w:lang w:val="en-US"/>
              </w:rPr>
            </w:pPr>
            <w:r w:rsidRPr="0078502C">
              <w:rPr>
                <w:rFonts w:ascii="Book Antiqua" w:hAnsi="Book Antiqua" w:cs="Times New Roman"/>
                <w:lang w:val="en-US"/>
              </w:rPr>
              <w:t>Pleural effusion lactate dehydrogenase &gt; 2/3 upper limit of normal</w:t>
            </w:r>
          </w:p>
        </w:tc>
        <w:tc>
          <w:tcPr>
            <w:tcW w:w="4820" w:type="dxa"/>
            <w:tcBorders>
              <w:bottom w:val="single" w:sz="2" w:space="0" w:color="000000"/>
            </w:tcBorders>
            <w:shd w:val="clear" w:color="auto" w:fill="auto"/>
            <w:noWrap/>
            <w:vAlign w:val="center"/>
            <w:hideMark/>
          </w:tcPr>
          <w:p w14:paraId="3387D5C3"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No</w:t>
            </w:r>
          </w:p>
        </w:tc>
      </w:tr>
    </w:tbl>
    <w:p w14:paraId="5C9C7498" w14:textId="557632ED" w:rsidR="007466F8" w:rsidRPr="007466F8" w:rsidRDefault="007466F8">
      <w:pPr>
        <w:spacing w:line="360" w:lineRule="auto"/>
        <w:jc w:val="both"/>
        <w:rPr>
          <w:rFonts w:ascii="Book Antiqua" w:hAnsi="Book Antiqua"/>
        </w:rPr>
      </w:pPr>
      <w:r w:rsidRPr="007466F8">
        <w:rPr>
          <w:rFonts w:ascii="Book Antiqua" w:hAnsi="Book Antiqua"/>
        </w:rPr>
        <w:t>We conducted an extensive study of pleural fluid to rule out non-cancer-related causes. The presence of cancer cells in the pleural effusion was confirmed by cytology.</w:t>
      </w:r>
    </w:p>
    <w:sectPr w:rsidR="007466F8" w:rsidRPr="007466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16BE2" w14:textId="77777777" w:rsidR="009D6B65" w:rsidRDefault="009D6B65" w:rsidP="007466F8">
      <w:r>
        <w:separator/>
      </w:r>
    </w:p>
  </w:endnote>
  <w:endnote w:type="continuationSeparator" w:id="0">
    <w:p w14:paraId="52C76945" w14:textId="77777777" w:rsidR="009D6B65" w:rsidRDefault="009D6B65" w:rsidP="0074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860909"/>
      <w:docPartObj>
        <w:docPartGallery w:val="Page Numbers (Bottom of Page)"/>
        <w:docPartUnique/>
      </w:docPartObj>
    </w:sdtPr>
    <w:sdtEndPr/>
    <w:sdtContent>
      <w:sdt>
        <w:sdtPr>
          <w:id w:val="-1705238520"/>
          <w:docPartObj>
            <w:docPartGallery w:val="Page Numbers (Top of Page)"/>
            <w:docPartUnique/>
          </w:docPartObj>
        </w:sdtPr>
        <w:sdtEndPr/>
        <w:sdtContent>
          <w:p w14:paraId="5E9F8D90" w14:textId="49631D03" w:rsidR="007466F8" w:rsidRDefault="007466F8" w:rsidP="007466F8">
            <w:pPr>
              <w:pStyle w:val="a6"/>
              <w:jc w:val="right"/>
            </w:pPr>
            <w:r>
              <w:rPr>
                <w:lang w:val="zh-CN" w:eastAsia="zh-CN"/>
              </w:rPr>
              <w:t xml:space="preserve"> </w:t>
            </w:r>
            <w:r w:rsidRPr="007466F8">
              <w:rPr>
                <w:rFonts w:ascii="Book Antiqua" w:hAnsi="Book Antiqua"/>
                <w:sz w:val="21"/>
                <w:szCs w:val="21"/>
              </w:rPr>
              <w:fldChar w:fldCharType="begin"/>
            </w:r>
            <w:r w:rsidRPr="007466F8">
              <w:rPr>
                <w:rFonts w:ascii="Book Antiqua" w:hAnsi="Book Antiqua"/>
                <w:sz w:val="21"/>
                <w:szCs w:val="21"/>
              </w:rPr>
              <w:instrText>PAGE</w:instrText>
            </w:r>
            <w:r w:rsidRPr="007466F8">
              <w:rPr>
                <w:rFonts w:ascii="Book Antiqua" w:hAnsi="Book Antiqua"/>
                <w:sz w:val="21"/>
                <w:szCs w:val="21"/>
              </w:rPr>
              <w:fldChar w:fldCharType="separate"/>
            </w:r>
            <w:r w:rsidR="002A6120">
              <w:rPr>
                <w:rFonts w:ascii="Book Antiqua" w:hAnsi="Book Antiqua"/>
                <w:noProof/>
                <w:sz w:val="21"/>
                <w:szCs w:val="21"/>
              </w:rPr>
              <w:t>3</w:t>
            </w:r>
            <w:r w:rsidRPr="007466F8">
              <w:rPr>
                <w:rFonts w:ascii="Book Antiqua" w:hAnsi="Book Antiqua"/>
                <w:sz w:val="21"/>
                <w:szCs w:val="21"/>
              </w:rPr>
              <w:fldChar w:fldCharType="end"/>
            </w:r>
            <w:r w:rsidRPr="007466F8">
              <w:rPr>
                <w:rFonts w:ascii="Book Antiqua" w:hAnsi="Book Antiqua"/>
                <w:sz w:val="21"/>
                <w:szCs w:val="21"/>
                <w:lang w:val="zh-CN" w:eastAsia="zh-CN"/>
              </w:rPr>
              <w:t xml:space="preserve"> / </w:t>
            </w:r>
            <w:r w:rsidRPr="007466F8">
              <w:rPr>
                <w:rFonts w:ascii="Book Antiqua" w:hAnsi="Book Antiqua"/>
                <w:sz w:val="21"/>
                <w:szCs w:val="21"/>
              </w:rPr>
              <w:fldChar w:fldCharType="begin"/>
            </w:r>
            <w:r w:rsidRPr="007466F8">
              <w:rPr>
                <w:rFonts w:ascii="Book Antiqua" w:hAnsi="Book Antiqua"/>
                <w:sz w:val="21"/>
                <w:szCs w:val="21"/>
              </w:rPr>
              <w:instrText>NUMPAGES</w:instrText>
            </w:r>
            <w:r w:rsidRPr="007466F8">
              <w:rPr>
                <w:rFonts w:ascii="Book Antiqua" w:hAnsi="Book Antiqua"/>
                <w:sz w:val="21"/>
                <w:szCs w:val="21"/>
              </w:rPr>
              <w:fldChar w:fldCharType="separate"/>
            </w:r>
            <w:r w:rsidR="002A6120">
              <w:rPr>
                <w:rFonts w:ascii="Book Antiqua" w:hAnsi="Book Antiqua"/>
                <w:noProof/>
                <w:sz w:val="21"/>
                <w:szCs w:val="21"/>
              </w:rPr>
              <w:t>26</w:t>
            </w:r>
            <w:r w:rsidRPr="007466F8">
              <w:rPr>
                <w:rFonts w:ascii="Book Antiqua" w:hAnsi="Book Antiqua"/>
                <w:sz w:val="21"/>
                <w:szCs w:val="21"/>
              </w:rPr>
              <w:fldChar w:fldCharType="end"/>
            </w:r>
          </w:p>
        </w:sdtContent>
      </w:sdt>
    </w:sdtContent>
  </w:sdt>
  <w:p w14:paraId="6AB04B89" w14:textId="77777777" w:rsidR="007466F8" w:rsidRDefault="007466F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3903E" w14:textId="77777777" w:rsidR="009D6B65" w:rsidRDefault="009D6B65" w:rsidP="007466F8">
      <w:r>
        <w:separator/>
      </w:r>
    </w:p>
  </w:footnote>
  <w:footnote w:type="continuationSeparator" w:id="0">
    <w:p w14:paraId="67428F78" w14:textId="77777777" w:rsidR="009D6B65" w:rsidRDefault="009D6B65" w:rsidP="007466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9EA"/>
    <w:rsid w:val="00020E5A"/>
    <w:rsid w:val="0003325C"/>
    <w:rsid w:val="00037851"/>
    <w:rsid w:val="0008052F"/>
    <w:rsid w:val="0009353D"/>
    <w:rsid w:val="000A0D46"/>
    <w:rsid w:val="000A0DF0"/>
    <w:rsid w:val="000C665B"/>
    <w:rsid w:val="001064CA"/>
    <w:rsid w:val="00110CFE"/>
    <w:rsid w:val="00111306"/>
    <w:rsid w:val="00134F1D"/>
    <w:rsid w:val="0016663A"/>
    <w:rsid w:val="00174156"/>
    <w:rsid w:val="00187685"/>
    <w:rsid w:val="001C7C48"/>
    <w:rsid w:val="001D5350"/>
    <w:rsid w:val="00241989"/>
    <w:rsid w:val="00253049"/>
    <w:rsid w:val="00274BDF"/>
    <w:rsid w:val="00292913"/>
    <w:rsid w:val="002A5DD9"/>
    <w:rsid w:val="002A6120"/>
    <w:rsid w:val="002F37E6"/>
    <w:rsid w:val="002F3FA6"/>
    <w:rsid w:val="00380E7E"/>
    <w:rsid w:val="003970ED"/>
    <w:rsid w:val="003E55FB"/>
    <w:rsid w:val="003E59FA"/>
    <w:rsid w:val="00444A78"/>
    <w:rsid w:val="00446D12"/>
    <w:rsid w:val="00494414"/>
    <w:rsid w:val="00495403"/>
    <w:rsid w:val="004C4D64"/>
    <w:rsid w:val="004E4534"/>
    <w:rsid w:val="004E5ACB"/>
    <w:rsid w:val="00534603"/>
    <w:rsid w:val="005507E0"/>
    <w:rsid w:val="00552F6C"/>
    <w:rsid w:val="00560167"/>
    <w:rsid w:val="00565433"/>
    <w:rsid w:val="0056723A"/>
    <w:rsid w:val="005819CC"/>
    <w:rsid w:val="00583BAC"/>
    <w:rsid w:val="00584C62"/>
    <w:rsid w:val="0058640E"/>
    <w:rsid w:val="005A7D18"/>
    <w:rsid w:val="005D06D5"/>
    <w:rsid w:val="005D0F29"/>
    <w:rsid w:val="005D7ABF"/>
    <w:rsid w:val="005D7B7D"/>
    <w:rsid w:val="00616687"/>
    <w:rsid w:val="00623E82"/>
    <w:rsid w:val="006258A9"/>
    <w:rsid w:val="00662197"/>
    <w:rsid w:val="006E0E22"/>
    <w:rsid w:val="006F44CC"/>
    <w:rsid w:val="007053CB"/>
    <w:rsid w:val="007466F8"/>
    <w:rsid w:val="007472F0"/>
    <w:rsid w:val="00772C04"/>
    <w:rsid w:val="0078502C"/>
    <w:rsid w:val="007A743A"/>
    <w:rsid w:val="007B2D8E"/>
    <w:rsid w:val="007C6267"/>
    <w:rsid w:val="007E73C4"/>
    <w:rsid w:val="008033BD"/>
    <w:rsid w:val="008136E9"/>
    <w:rsid w:val="00820448"/>
    <w:rsid w:val="00836F98"/>
    <w:rsid w:val="008B28F0"/>
    <w:rsid w:val="008B3C2B"/>
    <w:rsid w:val="008C7C4E"/>
    <w:rsid w:val="008F1A9B"/>
    <w:rsid w:val="009603BE"/>
    <w:rsid w:val="00967699"/>
    <w:rsid w:val="009C08AE"/>
    <w:rsid w:val="009D32B0"/>
    <w:rsid w:val="009D6B65"/>
    <w:rsid w:val="009F4AF9"/>
    <w:rsid w:val="00A12135"/>
    <w:rsid w:val="00A34B9A"/>
    <w:rsid w:val="00A51AFE"/>
    <w:rsid w:val="00A77B3E"/>
    <w:rsid w:val="00AD7C43"/>
    <w:rsid w:val="00B10DD7"/>
    <w:rsid w:val="00B47BFD"/>
    <w:rsid w:val="00B7658B"/>
    <w:rsid w:val="00B907C6"/>
    <w:rsid w:val="00BB3420"/>
    <w:rsid w:val="00BF6A97"/>
    <w:rsid w:val="00C0624E"/>
    <w:rsid w:val="00C259B9"/>
    <w:rsid w:val="00C71E53"/>
    <w:rsid w:val="00CA2A55"/>
    <w:rsid w:val="00CB1BB9"/>
    <w:rsid w:val="00CB2004"/>
    <w:rsid w:val="00CF299F"/>
    <w:rsid w:val="00D13662"/>
    <w:rsid w:val="00D21282"/>
    <w:rsid w:val="00D350CB"/>
    <w:rsid w:val="00D50933"/>
    <w:rsid w:val="00D536D1"/>
    <w:rsid w:val="00DA5787"/>
    <w:rsid w:val="00DA7582"/>
    <w:rsid w:val="00DC1910"/>
    <w:rsid w:val="00DD0936"/>
    <w:rsid w:val="00DD4666"/>
    <w:rsid w:val="00DF3AB2"/>
    <w:rsid w:val="00DF727D"/>
    <w:rsid w:val="00E13D1D"/>
    <w:rsid w:val="00E252D3"/>
    <w:rsid w:val="00E63085"/>
    <w:rsid w:val="00E72212"/>
    <w:rsid w:val="00E76425"/>
    <w:rsid w:val="00EB69E6"/>
    <w:rsid w:val="00EC22DF"/>
    <w:rsid w:val="00EE1D6D"/>
    <w:rsid w:val="00F27A16"/>
    <w:rsid w:val="00F558D6"/>
    <w:rsid w:val="00F66FEE"/>
    <w:rsid w:val="00FB0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E36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F44CC"/>
    <w:rPr>
      <w:sz w:val="18"/>
      <w:szCs w:val="18"/>
    </w:rPr>
  </w:style>
  <w:style w:type="character" w:customStyle="1" w:styleId="Char">
    <w:name w:val="批注框文本 Char"/>
    <w:basedOn w:val="a0"/>
    <w:link w:val="a3"/>
    <w:rsid w:val="006F44CC"/>
    <w:rPr>
      <w:sz w:val="18"/>
      <w:szCs w:val="18"/>
    </w:rPr>
  </w:style>
  <w:style w:type="table" w:styleId="a4">
    <w:name w:val="Table Grid"/>
    <w:basedOn w:val="a1"/>
    <w:uiPriority w:val="39"/>
    <w:rsid w:val="007466F8"/>
    <w:rPr>
      <w:rFonts w:asciiTheme="minorHAnsi" w:hAnsiTheme="minorHAnsi" w:cstheme="minorBid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nhideWhenUsed/>
    <w:rsid w:val="007466F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466F8"/>
    <w:rPr>
      <w:sz w:val="18"/>
      <w:szCs w:val="18"/>
    </w:rPr>
  </w:style>
  <w:style w:type="paragraph" w:styleId="a6">
    <w:name w:val="footer"/>
    <w:basedOn w:val="a"/>
    <w:link w:val="Char1"/>
    <w:uiPriority w:val="99"/>
    <w:unhideWhenUsed/>
    <w:rsid w:val="007466F8"/>
    <w:pPr>
      <w:tabs>
        <w:tab w:val="center" w:pos="4153"/>
        <w:tab w:val="right" w:pos="8306"/>
      </w:tabs>
      <w:snapToGrid w:val="0"/>
    </w:pPr>
    <w:rPr>
      <w:sz w:val="18"/>
      <w:szCs w:val="18"/>
    </w:rPr>
  </w:style>
  <w:style w:type="character" w:customStyle="1" w:styleId="Char1">
    <w:name w:val="页脚 Char"/>
    <w:basedOn w:val="a0"/>
    <w:link w:val="a6"/>
    <w:uiPriority w:val="99"/>
    <w:rsid w:val="007466F8"/>
    <w:rPr>
      <w:sz w:val="18"/>
      <w:szCs w:val="18"/>
    </w:rPr>
  </w:style>
  <w:style w:type="character" w:styleId="a7">
    <w:name w:val="Hyperlink"/>
    <w:basedOn w:val="a0"/>
    <w:unhideWhenUsed/>
    <w:rsid w:val="00446D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F44CC"/>
    <w:rPr>
      <w:sz w:val="18"/>
      <w:szCs w:val="18"/>
    </w:rPr>
  </w:style>
  <w:style w:type="character" w:customStyle="1" w:styleId="Char">
    <w:name w:val="批注框文本 Char"/>
    <w:basedOn w:val="a0"/>
    <w:link w:val="a3"/>
    <w:rsid w:val="006F44CC"/>
    <w:rPr>
      <w:sz w:val="18"/>
      <w:szCs w:val="18"/>
    </w:rPr>
  </w:style>
  <w:style w:type="table" w:styleId="a4">
    <w:name w:val="Table Grid"/>
    <w:basedOn w:val="a1"/>
    <w:uiPriority w:val="39"/>
    <w:rsid w:val="007466F8"/>
    <w:rPr>
      <w:rFonts w:asciiTheme="minorHAnsi" w:hAnsiTheme="minorHAnsi" w:cstheme="minorBid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nhideWhenUsed/>
    <w:rsid w:val="007466F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466F8"/>
    <w:rPr>
      <w:sz w:val="18"/>
      <w:szCs w:val="18"/>
    </w:rPr>
  </w:style>
  <w:style w:type="paragraph" w:styleId="a6">
    <w:name w:val="footer"/>
    <w:basedOn w:val="a"/>
    <w:link w:val="Char1"/>
    <w:uiPriority w:val="99"/>
    <w:unhideWhenUsed/>
    <w:rsid w:val="007466F8"/>
    <w:pPr>
      <w:tabs>
        <w:tab w:val="center" w:pos="4153"/>
        <w:tab w:val="right" w:pos="8306"/>
      </w:tabs>
      <w:snapToGrid w:val="0"/>
    </w:pPr>
    <w:rPr>
      <w:sz w:val="18"/>
      <w:szCs w:val="18"/>
    </w:rPr>
  </w:style>
  <w:style w:type="character" w:customStyle="1" w:styleId="Char1">
    <w:name w:val="页脚 Char"/>
    <w:basedOn w:val="a0"/>
    <w:link w:val="a6"/>
    <w:uiPriority w:val="99"/>
    <w:rsid w:val="007466F8"/>
    <w:rPr>
      <w:sz w:val="18"/>
      <w:szCs w:val="18"/>
    </w:rPr>
  </w:style>
  <w:style w:type="character" w:styleId="a7">
    <w:name w:val="Hyperlink"/>
    <w:basedOn w:val="a0"/>
    <w:unhideWhenUsed/>
    <w:rsid w:val="00446D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BB893-73D9-444E-BC4C-1BD1E1FC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26</Pages>
  <Words>4860</Words>
  <Characters>27706</Characters>
  <Application>Microsoft Office Word</Application>
  <DocSecurity>0</DocSecurity>
  <Lines>230</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MH</dc:creator>
  <cp:lastModifiedBy>马玉杰</cp:lastModifiedBy>
  <cp:revision>10</cp:revision>
  <dcterms:created xsi:type="dcterms:W3CDTF">2020-09-08T17:45:00Z</dcterms:created>
  <dcterms:modified xsi:type="dcterms:W3CDTF">2020-10-20T11:37:00Z</dcterms:modified>
</cp:coreProperties>
</file>