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5F86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Name of Journal: </w:t>
      </w:r>
      <w:r w:rsidRPr="00982AA9">
        <w:rPr>
          <w:rFonts w:ascii="Book Antiqua" w:eastAsia="Book Antiqua" w:hAnsi="Book Antiqua" w:cs="Book Antiqua"/>
          <w:i/>
          <w:color w:val="000000"/>
        </w:rPr>
        <w:t>World Journal of Gastroenterology</w:t>
      </w:r>
    </w:p>
    <w:p w14:paraId="15D6A05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NO: </w:t>
      </w:r>
      <w:r w:rsidRPr="00982AA9">
        <w:rPr>
          <w:rFonts w:ascii="Book Antiqua" w:eastAsia="Book Antiqua" w:hAnsi="Book Antiqua" w:cs="Book Antiqua"/>
          <w:color w:val="000000"/>
        </w:rPr>
        <w:t>56120</w:t>
      </w:r>
    </w:p>
    <w:p w14:paraId="65D11FA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Type: </w:t>
      </w:r>
      <w:r w:rsidRPr="00982AA9">
        <w:rPr>
          <w:rFonts w:ascii="Book Antiqua" w:eastAsia="Book Antiqua" w:hAnsi="Book Antiqua" w:cs="Book Antiqua"/>
          <w:color w:val="000000"/>
        </w:rPr>
        <w:t>ORIGINAL ARTICLE</w:t>
      </w:r>
    </w:p>
    <w:p w14:paraId="22B8873D" w14:textId="77777777" w:rsidR="00A77B3E" w:rsidRPr="00982AA9" w:rsidRDefault="00A77B3E" w:rsidP="00982AA9">
      <w:pPr>
        <w:spacing w:line="360" w:lineRule="auto"/>
        <w:jc w:val="both"/>
        <w:rPr>
          <w:rFonts w:ascii="Book Antiqua" w:hAnsi="Book Antiqua"/>
        </w:rPr>
      </w:pPr>
    </w:p>
    <w:p w14:paraId="1C28F7C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Prospective Study</w:t>
      </w:r>
    </w:p>
    <w:p w14:paraId="6AB5F46A" w14:textId="77777777" w:rsidR="00A77B3E" w:rsidRPr="00982AA9" w:rsidRDefault="00752719" w:rsidP="00982AA9">
      <w:pPr>
        <w:spacing w:line="360" w:lineRule="auto"/>
        <w:jc w:val="both"/>
        <w:rPr>
          <w:rFonts w:ascii="Book Antiqua" w:hAnsi="Book Antiqua" w:cs="Book Antiqua"/>
          <w:b/>
          <w:bCs/>
          <w:color w:val="000000"/>
          <w:lang w:eastAsia="zh-CN"/>
        </w:rPr>
      </w:pPr>
      <w:r w:rsidRPr="00982AA9">
        <w:rPr>
          <w:rFonts w:ascii="Book Antiqua" w:eastAsia="Book Antiqua" w:hAnsi="Book Antiqua" w:cs="Book Antiqua"/>
          <w:b/>
          <w:bCs/>
          <w:color w:val="000000"/>
        </w:rPr>
        <w:t>Risk prediction rule for advanced neoplasia on screening colonoscopy for average-risk individuals</w:t>
      </w:r>
    </w:p>
    <w:p w14:paraId="616E7B05" w14:textId="77777777" w:rsidR="00752719" w:rsidRPr="00982AA9" w:rsidRDefault="00752719" w:rsidP="00982AA9">
      <w:pPr>
        <w:spacing w:line="360" w:lineRule="auto"/>
        <w:jc w:val="both"/>
        <w:rPr>
          <w:rFonts w:ascii="Book Antiqua" w:hAnsi="Book Antiqua"/>
          <w:lang w:eastAsia="zh-CN"/>
        </w:rPr>
      </w:pPr>
    </w:p>
    <w:p w14:paraId="667259F6" w14:textId="77777777" w:rsidR="00A77B3E" w:rsidRPr="00982AA9" w:rsidRDefault="00602F8F" w:rsidP="00982AA9">
      <w:pPr>
        <w:spacing w:line="360" w:lineRule="auto"/>
        <w:jc w:val="both"/>
        <w:rPr>
          <w:rFonts w:ascii="Book Antiqua" w:hAnsi="Book Antiqua" w:cs="Book Antiqua"/>
          <w:color w:val="000000"/>
          <w:lang w:eastAsia="zh-CN"/>
        </w:rPr>
      </w:pPr>
      <w:bookmarkStart w:id="0" w:name="OLE_LINK25"/>
      <w:bookmarkStart w:id="1" w:name="OLE_LINK26"/>
      <w:r w:rsidRPr="00982AA9">
        <w:rPr>
          <w:rFonts w:ascii="Book Antiqua" w:eastAsia="Book Antiqua" w:hAnsi="Book Antiqua" w:cs="Book Antiqua"/>
          <w:color w:val="000000"/>
        </w:rPr>
        <w:t>Sharara AI</w:t>
      </w:r>
      <w:r w:rsidR="00CF7AD0">
        <w:rPr>
          <w:rFonts w:ascii="Book Antiqua" w:eastAsia="Book Antiqua" w:hAnsi="Book Antiqua" w:cs="Book Antiqua"/>
          <w:color w:val="000000"/>
        </w:rPr>
        <w:t xml:space="preserve"> </w:t>
      </w:r>
      <w:r w:rsidRPr="00982AA9">
        <w:rPr>
          <w:rFonts w:ascii="Book Antiqua" w:hAnsi="Book Antiqua" w:cs="Book Antiqua"/>
          <w:i/>
          <w:color w:val="000000"/>
          <w:lang w:eastAsia="zh-CN"/>
        </w:rPr>
        <w:t>et al</w:t>
      </w:r>
      <w:r w:rsidRPr="00982AA9">
        <w:rPr>
          <w:rFonts w:ascii="Book Antiqua" w:hAnsi="Book Antiqua" w:cs="Book Antiqua"/>
          <w:color w:val="000000"/>
          <w:lang w:eastAsia="zh-CN"/>
        </w:rPr>
        <w:t xml:space="preserve">. </w:t>
      </w:r>
      <w:r w:rsidR="00752719" w:rsidRPr="00982AA9">
        <w:rPr>
          <w:rFonts w:ascii="Book Antiqua" w:eastAsia="Book Antiqua" w:hAnsi="Book Antiqua" w:cs="Book Antiqua"/>
          <w:color w:val="000000"/>
        </w:rPr>
        <w:t>Risk prediction rule for advanced neoplasia</w:t>
      </w:r>
    </w:p>
    <w:bookmarkEnd w:id="0"/>
    <w:bookmarkEnd w:id="1"/>
    <w:p w14:paraId="4BF228D4" w14:textId="77777777" w:rsidR="00602F8F" w:rsidRPr="00982AA9" w:rsidRDefault="00602F8F" w:rsidP="00982AA9">
      <w:pPr>
        <w:spacing w:line="360" w:lineRule="auto"/>
        <w:jc w:val="both"/>
        <w:rPr>
          <w:rFonts w:ascii="Book Antiqua" w:hAnsi="Book Antiqua"/>
          <w:lang w:eastAsia="zh-CN"/>
        </w:rPr>
      </w:pPr>
    </w:p>
    <w:p w14:paraId="24152D86" w14:textId="77777777" w:rsidR="00A77B3E" w:rsidRPr="00982AA9" w:rsidRDefault="005844A9" w:rsidP="00982AA9">
      <w:pPr>
        <w:spacing w:line="360" w:lineRule="auto"/>
        <w:jc w:val="both"/>
        <w:rPr>
          <w:rFonts w:ascii="Book Antiqua" w:hAnsi="Book Antiqua" w:cs="Book Antiqua"/>
          <w:color w:val="000000"/>
          <w:lang w:eastAsia="zh-CN"/>
        </w:rPr>
      </w:pPr>
      <w:r w:rsidRPr="00982AA9">
        <w:rPr>
          <w:rFonts w:ascii="Book Antiqua" w:eastAsia="Book Antiqua" w:hAnsi="Book Antiqua" w:cs="Book Antiqua"/>
          <w:color w:val="000000"/>
        </w:rPr>
        <w:t>Ala I Sharara, Ali El Mokahal, Ali H Harb, Natalia Khalaf, Fayez S Sarkis, Mustapha M El-Halabi, Nabil M Mansour, Ahmad Malli, Robert Habib</w:t>
      </w:r>
    </w:p>
    <w:p w14:paraId="5B8045B8" w14:textId="77777777" w:rsidR="005844A9" w:rsidRPr="00982AA9" w:rsidRDefault="005844A9" w:rsidP="00982AA9">
      <w:pPr>
        <w:spacing w:line="360" w:lineRule="auto"/>
        <w:jc w:val="both"/>
        <w:rPr>
          <w:rFonts w:ascii="Book Antiqua" w:hAnsi="Book Antiqua"/>
          <w:lang w:eastAsia="zh-CN"/>
        </w:rPr>
      </w:pPr>
    </w:p>
    <w:p w14:paraId="62FF8E1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Ala I Sharara, </w:t>
      </w:r>
      <w:r w:rsidR="00C22708" w:rsidRPr="00982AA9">
        <w:rPr>
          <w:rFonts w:ascii="Book Antiqua" w:eastAsia="Book Antiqua" w:hAnsi="Book Antiqua" w:cs="Book Antiqua"/>
          <w:b/>
          <w:bCs/>
          <w:color w:val="000000"/>
        </w:rPr>
        <w:t>Ali El Mokahal,</w:t>
      </w:r>
      <w:r w:rsidR="00C22708">
        <w:rPr>
          <w:rFonts w:ascii="Book Antiqua" w:eastAsia="Book Antiqua" w:hAnsi="Book Antiqua" w:cs="Book Antiqua"/>
          <w:b/>
          <w:bCs/>
          <w:color w:val="000000"/>
        </w:rPr>
        <w:t xml:space="preserve"> </w:t>
      </w:r>
      <w:r w:rsidRPr="00982AA9">
        <w:rPr>
          <w:rFonts w:ascii="Book Antiqua" w:eastAsia="Book Antiqua" w:hAnsi="Book Antiqua" w:cs="Book Antiqua"/>
          <w:color w:val="000000"/>
        </w:rPr>
        <w:t>Division of Gastroenterology, Department of Internal Medicine, American University of Beirut Medical Center, Beirut 1107 2020, Lebanon</w:t>
      </w:r>
    </w:p>
    <w:p w14:paraId="00FAF7EE" w14:textId="77777777" w:rsidR="00A77B3E" w:rsidRPr="00982AA9" w:rsidRDefault="00A77B3E" w:rsidP="00982AA9">
      <w:pPr>
        <w:spacing w:line="360" w:lineRule="auto"/>
        <w:jc w:val="both"/>
        <w:rPr>
          <w:rFonts w:ascii="Book Antiqua" w:hAnsi="Book Antiqua"/>
        </w:rPr>
      </w:pPr>
    </w:p>
    <w:p w14:paraId="3706045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Ali H Harb, </w:t>
      </w:r>
      <w:r w:rsidRPr="00982AA9">
        <w:rPr>
          <w:rFonts w:ascii="Book Antiqua" w:eastAsia="Book Antiqua" w:hAnsi="Book Antiqua" w:cs="Book Antiqua"/>
          <w:color w:val="000000"/>
        </w:rPr>
        <w:t xml:space="preserve">Digestive and Liver Diseases Division, University of Texas-Southwestern, Dallas, </w:t>
      </w:r>
      <w:r w:rsidR="00D40601">
        <w:rPr>
          <w:rFonts w:ascii="Book Antiqua" w:eastAsia="Book Antiqua" w:hAnsi="Book Antiqua" w:cs="Book Antiqua"/>
          <w:color w:val="000000"/>
        </w:rPr>
        <w:t>T</w:t>
      </w:r>
      <w:r w:rsidR="00D40601" w:rsidRPr="00D40601">
        <w:rPr>
          <w:rFonts w:ascii="Book Antiqua" w:eastAsia="Book Antiqua" w:hAnsi="Book Antiqua" w:cs="Book Antiqua"/>
          <w:caps/>
          <w:color w:val="000000"/>
        </w:rPr>
        <w:t>x</w:t>
      </w:r>
      <w:r w:rsidR="00D40601">
        <w:rPr>
          <w:rFonts w:ascii="Book Antiqua" w:eastAsia="Book Antiqua" w:hAnsi="Book Antiqua" w:cs="Book Antiqua"/>
          <w:color w:val="000000"/>
        </w:rPr>
        <w:t xml:space="preserve"> </w:t>
      </w:r>
      <w:r w:rsidRPr="00982AA9">
        <w:rPr>
          <w:rFonts w:ascii="Book Antiqua" w:eastAsia="Book Antiqua" w:hAnsi="Book Antiqua" w:cs="Book Antiqua"/>
          <w:color w:val="000000"/>
        </w:rPr>
        <w:t>75390, United States</w:t>
      </w:r>
    </w:p>
    <w:p w14:paraId="7CE1046C" w14:textId="77777777" w:rsidR="00A77B3E" w:rsidRPr="00982AA9" w:rsidRDefault="00A77B3E" w:rsidP="00982AA9">
      <w:pPr>
        <w:spacing w:line="360" w:lineRule="auto"/>
        <w:jc w:val="both"/>
        <w:rPr>
          <w:rFonts w:ascii="Book Antiqua" w:hAnsi="Book Antiqua"/>
        </w:rPr>
      </w:pPr>
    </w:p>
    <w:p w14:paraId="5F739CD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Natalia Khalaf, </w:t>
      </w:r>
      <w:r w:rsidRPr="00982AA9">
        <w:rPr>
          <w:rFonts w:ascii="Book Antiqua" w:eastAsia="Book Antiqua" w:hAnsi="Book Antiqua" w:cs="Book Antiqua"/>
          <w:color w:val="000000"/>
        </w:rPr>
        <w:t xml:space="preserve">Division of Gastroenterology, Department of Internal Medicine, Baylor College of Medicine, Houston, </w:t>
      </w:r>
      <w:r w:rsidR="00D40601">
        <w:rPr>
          <w:rFonts w:ascii="Book Antiqua" w:eastAsia="Book Antiqua" w:hAnsi="Book Antiqua" w:cs="Book Antiqua"/>
          <w:color w:val="000000"/>
        </w:rPr>
        <w:t>T</w:t>
      </w:r>
      <w:r w:rsidR="00D40601" w:rsidRPr="00D40601">
        <w:rPr>
          <w:rFonts w:ascii="Book Antiqua" w:eastAsia="Book Antiqua" w:hAnsi="Book Antiqua" w:cs="Book Antiqua"/>
          <w:caps/>
          <w:color w:val="000000"/>
        </w:rPr>
        <w:t>x</w:t>
      </w:r>
      <w:r w:rsidR="00D40601" w:rsidRPr="00982AA9">
        <w:rPr>
          <w:rFonts w:ascii="Book Antiqua" w:eastAsia="Book Antiqua" w:hAnsi="Book Antiqua" w:cs="Book Antiqua"/>
          <w:color w:val="000000"/>
        </w:rPr>
        <w:t xml:space="preserve"> </w:t>
      </w:r>
      <w:r w:rsidRPr="00982AA9">
        <w:rPr>
          <w:rFonts w:ascii="Book Antiqua" w:eastAsia="Book Antiqua" w:hAnsi="Book Antiqua" w:cs="Book Antiqua"/>
          <w:color w:val="000000"/>
        </w:rPr>
        <w:t>77030, United States</w:t>
      </w:r>
    </w:p>
    <w:p w14:paraId="7154DCD0" w14:textId="77777777" w:rsidR="00A77B3E" w:rsidRPr="00982AA9" w:rsidRDefault="00A77B3E" w:rsidP="00982AA9">
      <w:pPr>
        <w:spacing w:line="360" w:lineRule="auto"/>
        <w:jc w:val="both"/>
        <w:rPr>
          <w:rFonts w:ascii="Book Antiqua" w:hAnsi="Book Antiqua"/>
        </w:rPr>
      </w:pPr>
    </w:p>
    <w:p w14:paraId="5FA8094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Fayez S Sarkis, </w:t>
      </w:r>
      <w:r w:rsidRPr="00982AA9">
        <w:rPr>
          <w:rFonts w:ascii="Book Antiqua" w:eastAsia="Book Antiqua" w:hAnsi="Book Antiqua" w:cs="Book Antiqua"/>
          <w:color w:val="000000"/>
        </w:rPr>
        <w:t xml:space="preserve">Division of Gastroenterology and Hepatology, University of Kansas Medical Center, Kansas City, </w:t>
      </w:r>
      <w:r w:rsidR="00A82C24" w:rsidRPr="00A82C24">
        <w:rPr>
          <w:rFonts w:ascii="Book Antiqua" w:eastAsia="Book Antiqua" w:hAnsi="Book Antiqua" w:cs="Book Antiqua"/>
          <w:color w:val="000000"/>
        </w:rPr>
        <w:t xml:space="preserve">MO </w:t>
      </w:r>
      <w:r w:rsidRPr="00982AA9">
        <w:rPr>
          <w:rFonts w:ascii="Book Antiqua" w:eastAsia="Book Antiqua" w:hAnsi="Book Antiqua" w:cs="Book Antiqua"/>
          <w:color w:val="000000"/>
        </w:rPr>
        <w:t>66160, United States</w:t>
      </w:r>
    </w:p>
    <w:p w14:paraId="4C79C4FC" w14:textId="77777777" w:rsidR="00A77B3E" w:rsidRPr="00982AA9" w:rsidRDefault="00A77B3E" w:rsidP="00982AA9">
      <w:pPr>
        <w:spacing w:line="360" w:lineRule="auto"/>
        <w:jc w:val="both"/>
        <w:rPr>
          <w:rFonts w:ascii="Book Antiqua" w:hAnsi="Book Antiqua"/>
        </w:rPr>
      </w:pPr>
    </w:p>
    <w:p w14:paraId="7686D49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Mustapha M El-Halabi, </w:t>
      </w:r>
      <w:r w:rsidRPr="00982AA9">
        <w:rPr>
          <w:rFonts w:ascii="Book Antiqua" w:eastAsia="Book Antiqua" w:hAnsi="Book Antiqua" w:cs="Book Antiqua"/>
          <w:color w:val="000000"/>
        </w:rPr>
        <w:t xml:space="preserve">Division of Gastroenterology, St Elizabeth Healthcare, Crestview Hills, </w:t>
      </w:r>
      <w:r w:rsidR="00A82C24" w:rsidRPr="00A82C24">
        <w:rPr>
          <w:rFonts w:ascii="Book Antiqua" w:eastAsia="Book Antiqua" w:hAnsi="Book Antiqua" w:cs="Book Antiqua"/>
          <w:color w:val="000000"/>
        </w:rPr>
        <w:t xml:space="preserve">KY </w:t>
      </w:r>
      <w:r w:rsidRPr="00982AA9">
        <w:rPr>
          <w:rFonts w:ascii="Book Antiqua" w:eastAsia="Book Antiqua" w:hAnsi="Book Antiqua" w:cs="Book Antiqua"/>
          <w:color w:val="000000"/>
        </w:rPr>
        <w:t>41017, United States</w:t>
      </w:r>
    </w:p>
    <w:p w14:paraId="2D972F14" w14:textId="77777777" w:rsidR="00A77B3E" w:rsidRPr="00982AA9" w:rsidRDefault="00A77B3E" w:rsidP="00982AA9">
      <w:pPr>
        <w:spacing w:line="360" w:lineRule="auto"/>
        <w:jc w:val="both"/>
        <w:rPr>
          <w:rFonts w:ascii="Book Antiqua" w:hAnsi="Book Antiqua"/>
        </w:rPr>
      </w:pPr>
    </w:p>
    <w:p w14:paraId="1BF5D3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lastRenderedPageBreak/>
        <w:t xml:space="preserve">Nabil M Mansour, </w:t>
      </w:r>
      <w:r w:rsidRPr="00982AA9">
        <w:rPr>
          <w:rFonts w:ascii="Book Antiqua" w:eastAsia="Book Antiqua" w:hAnsi="Book Antiqua" w:cs="Book Antiqua"/>
          <w:color w:val="000000"/>
        </w:rPr>
        <w:t>Department of Internal Medicine, Section of Gastroenterology and Hepatology, Baylor College of Medicine, Houston, TX 77030, United States</w:t>
      </w:r>
    </w:p>
    <w:p w14:paraId="40D20320" w14:textId="77777777" w:rsidR="00A77B3E" w:rsidRPr="00982AA9" w:rsidRDefault="00A77B3E" w:rsidP="00982AA9">
      <w:pPr>
        <w:spacing w:line="360" w:lineRule="auto"/>
        <w:jc w:val="both"/>
        <w:rPr>
          <w:rFonts w:ascii="Book Antiqua" w:hAnsi="Book Antiqua"/>
        </w:rPr>
      </w:pPr>
    </w:p>
    <w:p w14:paraId="53CEAC4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Ahmad Malli, </w:t>
      </w:r>
      <w:r w:rsidRPr="00982AA9">
        <w:rPr>
          <w:rFonts w:ascii="Book Antiqua" w:eastAsia="Book Antiqua" w:hAnsi="Book Antiqua" w:cs="Book Antiqua"/>
          <w:color w:val="000000"/>
        </w:rPr>
        <w:t>Gastroenterology, Hennepin Healthcare, Minneapolis, MN 55404, United States</w:t>
      </w:r>
    </w:p>
    <w:p w14:paraId="3AB40ED6" w14:textId="77777777" w:rsidR="00A77B3E" w:rsidRPr="00982AA9" w:rsidRDefault="00A77B3E" w:rsidP="00982AA9">
      <w:pPr>
        <w:spacing w:line="360" w:lineRule="auto"/>
        <w:jc w:val="both"/>
        <w:rPr>
          <w:rFonts w:ascii="Book Antiqua" w:hAnsi="Book Antiqua"/>
        </w:rPr>
      </w:pPr>
    </w:p>
    <w:p w14:paraId="28AA08E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Robert Habib, </w:t>
      </w:r>
      <w:r w:rsidRPr="00982AA9">
        <w:rPr>
          <w:rFonts w:ascii="Book Antiqua" w:eastAsia="Book Antiqua" w:hAnsi="Book Antiqua" w:cs="Book Antiqua"/>
          <w:color w:val="000000"/>
        </w:rPr>
        <w:t>Department of Internal Medicine, American University of Beirut, Beirut 1107 2020, Lebanon</w:t>
      </w:r>
    </w:p>
    <w:p w14:paraId="1E253621" w14:textId="77777777" w:rsidR="00A77B3E" w:rsidRPr="00982AA9" w:rsidRDefault="00A77B3E" w:rsidP="00982AA9">
      <w:pPr>
        <w:spacing w:line="360" w:lineRule="auto"/>
        <w:jc w:val="both"/>
        <w:rPr>
          <w:rFonts w:ascii="Book Antiqua" w:hAnsi="Book Antiqua"/>
        </w:rPr>
      </w:pPr>
    </w:p>
    <w:p w14:paraId="149A5526" w14:textId="77777777" w:rsidR="00A77B3E" w:rsidRPr="00D76235" w:rsidRDefault="00AC667B" w:rsidP="00982AA9">
      <w:pPr>
        <w:spacing w:line="360" w:lineRule="auto"/>
        <w:jc w:val="both"/>
        <w:rPr>
          <w:rFonts w:ascii="Book Antiqua" w:eastAsia="Book Antiqua" w:hAnsi="Book Antiqua" w:cs="Book Antiqua"/>
          <w:color w:val="000000"/>
        </w:rPr>
      </w:pPr>
      <w:r w:rsidRPr="00982AA9">
        <w:rPr>
          <w:rFonts w:ascii="Book Antiqua" w:eastAsia="Book Antiqua" w:hAnsi="Book Antiqua" w:cs="Book Antiqua"/>
          <w:b/>
          <w:bCs/>
          <w:color w:val="000000"/>
        </w:rPr>
        <w:t>Author contributions:</w:t>
      </w:r>
      <w:r w:rsidR="00042D6F" w:rsidRPr="00982AA9">
        <w:rPr>
          <w:rFonts w:ascii="Book Antiqua" w:hAnsi="Book Antiqua"/>
        </w:rPr>
        <w:t xml:space="preserve"> </w:t>
      </w:r>
      <w:r w:rsidR="005844A9" w:rsidRPr="00982AA9">
        <w:rPr>
          <w:rFonts w:ascii="Book Antiqua" w:eastAsia="Book Antiqua" w:hAnsi="Book Antiqua" w:cs="Book Antiqua"/>
          <w:color w:val="000000"/>
        </w:rPr>
        <w:t>Sharara AI</w:t>
      </w:r>
      <w:r w:rsidR="00AC4F10">
        <w:rPr>
          <w:rFonts w:ascii="Book Antiqua" w:eastAsia="Book Antiqua" w:hAnsi="Book Antiqua" w:cs="Book Antiqua"/>
          <w:color w:val="000000"/>
        </w:rPr>
        <w:t xml:space="preserve"> </w:t>
      </w:r>
      <w:r w:rsidR="00AC4F10" w:rsidRPr="00AC4F10">
        <w:rPr>
          <w:rFonts w:ascii="Book Antiqua" w:eastAsia="Book Antiqua" w:hAnsi="Book Antiqua" w:cs="Book Antiqua"/>
          <w:bCs/>
          <w:color w:val="000000"/>
        </w:rPr>
        <w:t xml:space="preserve">contributed to </w:t>
      </w:r>
      <w:r w:rsidR="00AC4F10" w:rsidRPr="00982AA9">
        <w:rPr>
          <w:rFonts w:ascii="Book Antiqua" w:eastAsia="Book Antiqua" w:hAnsi="Book Antiqua" w:cs="Book Antiqua"/>
          <w:color w:val="000000"/>
        </w:rPr>
        <w:t>s</w:t>
      </w:r>
      <w:r w:rsidR="005844A9" w:rsidRPr="00982AA9">
        <w:rPr>
          <w:rFonts w:ascii="Book Antiqua" w:eastAsia="Book Antiqua" w:hAnsi="Book Antiqua" w:cs="Book Antiqua"/>
          <w:color w:val="000000"/>
        </w:rPr>
        <w:t xml:space="preserve">tudy conception, design and supervision; oversight of data collection and interpretation; review of literature; drafting of the manuscript; </w:t>
      </w:r>
      <w:r w:rsidR="00AC4F10" w:rsidRPr="00982AA9">
        <w:rPr>
          <w:rFonts w:ascii="Book Antiqua" w:eastAsia="Book Antiqua" w:hAnsi="Book Antiqua" w:cs="Book Antiqua"/>
          <w:color w:val="000000"/>
        </w:rPr>
        <w:t>g</w:t>
      </w:r>
      <w:r w:rsidR="005844A9" w:rsidRPr="00982AA9">
        <w:rPr>
          <w:rFonts w:ascii="Book Antiqua" w:eastAsia="Book Antiqua" w:hAnsi="Book Antiqua" w:cs="Book Antiqua"/>
          <w:color w:val="000000"/>
        </w:rPr>
        <w:t>uarantor of the study; El Mokahal A</w:t>
      </w:r>
      <w:r w:rsidR="00785179">
        <w:rPr>
          <w:rFonts w:ascii="Book Antiqua" w:eastAsia="Book Antiqua" w:hAnsi="Book Antiqua" w:cs="Book Antiqua"/>
          <w:color w:val="000000"/>
        </w:rPr>
        <w:t xml:space="preserve"> and </w:t>
      </w:r>
      <w:r w:rsidR="005844A9" w:rsidRPr="00982AA9">
        <w:rPr>
          <w:rFonts w:ascii="Book Antiqua" w:eastAsia="Book Antiqua" w:hAnsi="Book Antiqua" w:cs="Book Antiqua"/>
          <w:color w:val="000000"/>
        </w:rPr>
        <w:t>Harb AH</w:t>
      </w:r>
      <w:r w:rsidR="00785179">
        <w:rPr>
          <w:rFonts w:ascii="Book Antiqua" w:eastAsia="Book Antiqua" w:hAnsi="Book Antiqua" w:cs="Book Antiqua"/>
          <w:color w:val="000000"/>
        </w:rPr>
        <w:t xml:space="preserve"> </w:t>
      </w:r>
      <w:r w:rsidR="00785179" w:rsidRPr="00AC4F10">
        <w:rPr>
          <w:rFonts w:ascii="Book Antiqua" w:eastAsia="Book Antiqua" w:hAnsi="Book Antiqua" w:cs="Book Antiqua"/>
          <w:bCs/>
          <w:color w:val="000000"/>
        </w:rPr>
        <w:t xml:space="preserve">contributed to </w:t>
      </w:r>
      <w:r w:rsidR="00785179"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eview of the literature, regulatory administration, data entry and analysis</w:t>
      </w:r>
      <w:r w:rsidR="00855FBE">
        <w:rPr>
          <w:rFonts w:ascii="Book Antiqua" w:eastAsia="Book Antiqua" w:hAnsi="Book Antiqua" w:cs="Book Antiqua"/>
          <w:color w:val="000000"/>
        </w:rPr>
        <w:t xml:space="preserve">, </w:t>
      </w:r>
      <w:r w:rsidR="00855FBE" w:rsidRPr="00982AA9">
        <w:rPr>
          <w:rFonts w:ascii="Book Antiqua" w:eastAsia="Book Antiqua" w:hAnsi="Book Antiqua" w:cs="Book Antiqua"/>
          <w:color w:val="000000"/>
        </w:rPr>
        <w:t>d</w:t>
      </w:r>
      <w:r w:rsidR="005844A9" w:rsidRPr="00982AA9">
        <w:rPr>
          <w:rFonts w:ascii="Book Antiqua" w:eastAsia="Book Antiqua" w:hAnsi="Book Antiqua" w:cs="Book Antiqua"/>
          <w:color w:val="000000"/>
        </w:rPr>
        <w:t>rafting and critical review of the manuscript; Khalaf N</w:t>
      </w:r>
      <w:r w:rsidR="0015478E">
        <w:rPr>
          <w:rFonts w:ascii="Book Antiqua" w:eastAsia="Book Antiqua" w:hAnsi="Book Antiqua" w:cs="Book Antiqua"/>
          <w:color w:val="000000"/>
        </w:rPr>
        <w:t xml:space="preserve"> </w:t>
      </w:r>
      <w:r w:rsidR="0015478E" w:rsidRPr="00AC4F10">
        <w:rPr>
          <w:rFonts w:ascii="Book Antiqua" w:eastAsia="Book Antiqua" w:hAnsi="Book Antiqua" w:cs="Book Antiqua"/>
          <w:bCs/>
          <w:color w:val="000000"/>
        </w:rPr>
        <w:t xml:space="preserve">contributed to </w:t>
      </w:r>
      <w:r w:rsidR="0015478E"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eview of the literature, data analysis, critical review and editing of the manuscript; Sarkis F, El-Halabi MM, Mansour NM</w:t>
      </w:r>
      <w:r w:rsidR="0015478E">
        <w:rPr>
          <w:rFonts w:ascii="Book Antiqua" w:eastAsia="Book Antiqua" w:hAnsi="Book Antiqua" w:cs="Book Antiqua"/>
          <w:color w:val="000000"/>
        </w:rPr>
        <w:t xml:space="preserve"> and </w:t>
      </w:r>
      <w:r w:rsidR="005844A9" w:rsidRPr="00982AA9">
        <w:rPr>
          <w:rFonts w:ascii="Book Antiqua" w:eastAsia="Book Antiqua" w:hAnsi="Book Antiqua" w:cs="Book Antiqua"/>
          <w:color w:val="000000"/>
        </w:rPr>
        <w:t>Malli A</w:t>
      </w:r>
      <w:r w:rsidR="0015478E">
        <w:rPr>
          <w:rFonts w:ascii="Book Antiqua" w:eastAsia="Book Antiqua" w:hAnsi="Book Antiqua" w:cs="Book Antiqua"/>
          <w:color w:val="000000"/>
        </w:rPr>
        <w:t xml:space="preserve"> </w:t>
      </w:r>
      <w:r w:rsidR="0015478E" w:rsidRPr="00AC4F10">
        <w:rPr>
          <w:rFonts w:ascii="Book Antiqua" w:eastAsia="Book Antiqua" w:hAnsi="Book Antiqua" w:cs="Book Antiqua"/>
          <w:bCs/>
          <w:color w:val="000000"/>
        </w:rPr>
        <w:t xml:space="preserve">contributed to </w:t>
      </w:r>
      <w:r w:rsidR="0015478E" w:rsidRPr="00982AA9">
        <w:rPr>
          <w:rFonts w:ascii="Book Antiqua" w:eastAsia="Book Antiqua" w:hAnsi="Book Antiqua" w:cs="Book Antiqua"/>
          <w:color w:val="000000"/>
        </w:rPr>
        <w:t>r</w:t>
      </w:r>
      <w:r w:rsidR="005844A9" w:rsidRPr="00982AA9">
        <w:rPr>
          <w:rFonts w:ascii="Book Antiqua" w:eastAsia="Book Antiqua" w:hAnsi="Book Antiqua" w:cs="Book Antiqua"/>
          <w:color w:val="000000"/>
        </w:rPr>
        <w:t>egulatory administration, data entry and analysis, critical review and editing of the manuscript; Habib R</w:t>
      </w:r>
      <w:r w:rsidR="00C6616B">
        <w:rPr>
          <w:rFonts w:ascii="Book Antiqua" w:eastAsia="Book Antiqua" w:hAnsi="Book Antiqua" w:cs="Book Antiqua"/>
          <w:color w:val="000000"/>
        </w:rPr>
        <w:t xml:space="preserve"> </w:t>
      </w:r>
      <w:r w:rsidR="00C6616B" w:rsidRPr="00AC4F10">
        <w:rPr>
          <w:rFonts w:ascii="Book Antiqua" w:eastAsia="Book Antiqua" w:hAnsi="Book Antiqua" w:cs="Book Antiqua"/>
          <w:bCs/>
          <w:color w:val="000000"/>
        </w:rPr>
        <w:t xml:space="preserve">contributed to </w:t>
      </w:r>
      <w:r w:rsidR="00C6616B" w:rsidRPr="00982AA9">
        <w:rPr>
          <w:rFonts w:ascii="Book Antiqua" w:eastAsia="Book Antiqua" w:hAnsi="Book Antiqua" w:cs="Book Antiqua"/>
          <w:color w:val="000000"/>
        </w:rPr>
        <w:t>i</w:t>
      </w:r>
      <w:r w:rsidR="005844A9" w:rsidRPr="00982AA9">
        <w:rPr>
          <w:rFonts w:ascii="Book Antiqua" w:eastAsia="Book Antiqua" w:hAnsi="Book Antiqua" w:cs="Book Antiqua"/>
          <w:color w:val="000000"/>
        </w:rPr>
        <w:t xml:space="preserve">nterpretation of data, statistical expertise, critical review and editing of the manuscript; </w:t>
      </w:r>
      <w:r w:rsidR="00D76235" w:rsidRPr="00982AA9">
        <w:rPr>
          <w:rFonts w:ascii="Book Antiqua" w:eastAsia="Book Antiqua" w:hAnsi="Book Antiqua" w:cs="Book Antiqua"/>
          <w:color w:val="000000"/>
        </w:rPr>
        <w:t>a</w:t>
      </w:r>
      <w:r w:rsidR="005844A9" w:rsidRPr="00982AA9">
        <w:rPr>
          <w:rFonts w:ascii="Book Antiqua" w:eastAsia="Book Antiqua" w:hAnsi="Book Antiqua" w:cs="Book Antiqua"/>
          <w:color w:val="000000"/>
        </w:rPr>
        <w:t>ll authors have read and approved the final manuscript.</w:t>
      </w:r>
    </w:p>
    <w:p w14:paraId="7FC15F61" w14:textId="77777777" w:rsidR="00A77B3E" w:rsidRPr="00982AA9" w:rsidRDefault="00A77B3E" w:rsidP="00982AA9">
      <w:pPr>
        <w:spacing w:line="360" w:lineRule="auto"/>
        <w:jc w:val="both"/>
        <w:rPr>
          <w:rFonts w:ascii="Book Antiqua" w:hAnsi="Book Antiqua"/>
        </w:rPr>
      </w:pPr>
    </w:p>
    <w:p w14:paraId="3874FE81" w14:textId="26F0C9E0"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Corresponding author: Ala I Sharara, AGAF, FACG, FRCP, MD, Attending Doctor, Professor, </w:t>
      </w:r>
      <w:r w:rsidRPr="00982AA9">
        <w:rPr>
          <w:rFonts w:ascii="Book Antiqua" w:eastAsia="Book Antiqua" w:hAnsi="Book Antiqua" w:cs="Book Antiqua"/>
          <w:color w:val="000000"/>
        </w:rPr>
        <w:t>Division of Gastroenterology, Department of Internal Medicine, American University of Beirut Medical Center, Cairo Street, PO</w:t>
      </w:r>
      <w:r w:rsidR="00834DDF">
        <w:rPr>
          <w:rFonts w:ascii="Book Antiqua" w:eastAsia="Book Antiqua" w:hAnsi="Book Antiqua" w:cs="Book Antiqua"/>
          <w:color w:val="000000"/>
        </w:rPr>
        <w:t xml:space="preserve"> </w:t>
      </w:r>
      <w:r w:rsidRPr="00982AA9">
        <w:rPr>
          <w:rFonts w:ascii="Book Antiqua" w:eastAsia="Book Antiqua" w:hAnsi="Book Antiqua" w:cs="Book Antiqua"/>
          <w:color w:val="000000"/>
        </w:rPr>
        <w:t>Box 11-0236/16-B, Beirut 1107 2020, Lebanon. as08@aub.edu.lb</w:t>
      </w:r>
    </w:p>
    <w:p w14:paraId="7B5474D9" w14:textId="77777777" w:rsidR="00A77B3E" w:rsidRPr="00982AA9" w:rsidRDefault="00A77B3E" w:rsidP="00982AA9">
      <w:pPr>
        <w:spacing w:line="360" w:lineRule="auto"/>
        <w:jc w:val="both"/>
        <w:rPr>
          <w:rFonts w:ascii="Book Antiqua" w:hAnsi="Book Antiqua"/>
        </w:rPr>
      </w:pPr>
    </w:p>
    <w:p w14:paraId="7213AEC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Received: </w:t>
      </w:r>
      <w:r w:rsidRPr="00982AA9">
        <w:rPr>
          <w:rFonts w:ascii="Book Antiqua" w:eastAsia="Book Antiqua" w:hAnsi="Book Antiqua" w:cs="Book Antiqua"/>
          <w:color w:val="000000"/>
        </w:rPr>
        <w:t>April 17, 2020</w:t>
      </w:r>
    </w:p>
    <w:p w14:paraId="7825E5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Revised: </w:t>
      </w:r>
      <w:r w:rsidRPr="00982AA9">
        <w:rPr>
          <w:rFonts w:ascii="Book Antiqua" w:eastAsia="Book Antiqua" w:hAnsi="Book Antiqua" w:cs="Book Antiqua"/>
          <w:color w:val="000000"/>
        </w:rPr>
        <w:t>May 20, 2020</w:t>
      </w:r>
    </w:p>
    <w:p w14:paraId="60F4C398" w14:textId="5E8A5D0D"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Accepted: </w:t>
      </w:r>
      <w:r w:rsidR="007E3A6E">
        <w:rPr>
          <w:rFonts w:ascii="Book Antiqua" w:hAnsi="Book Antiqua" w:cs="Arial"/>
          <w:color w:val="000000" w:themeColor="text1"/>
          <w:shd w:val="clear" w:color="auto" w:fill="FFFFFF"/>
        </w:rPr>
        <w:t>September 12, 2020</w:t>
      </w:r>
    </w:p>
    <w:p w14:paraId="29009056" w14:textId="21B3D1D9"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Published online: </w:t>
      </w:r>
      <w:r w:rsidR="00116D7F">
        <w:rPr>
          <w:rFonts w:ascii="Book Antiqua" w:hAnsi="Book Antiqua" w:cs="Arial" w:hint="eastAsia"/>
          <w:color w:val="000000" w:themeColor="text1"/>
          <w:shd w:val="clear" w:color="auto" w:fill="FFFFFF"/>
          <w:lang w:eastAsia="zh-CN"/>
        </w:rPr>
        <w:t>October</w:t>
      </w:r>
      <w:r w:rsidR="00116D7F">
        <w:rPr>
          <w:rFonts w:ascii="Book Antiqua" w:hAnsi="Book Antiqua" w:cs="Arial"/>
          <w:color w:val="000000" w:themeColor="text1"/>
          <w:shd w:val="clear" w:color="auto" w:fill="FFFFFF"/>
        </w:rPr>
        <w:t xml:space="preserve"> </w:t>
      </w:r>
      <w:r w:rsidR="00116D7F">
        <w:rPr>
          <w:rFonts w:ascii="Book Antiqua" w:hAnsi="Book Antiqua" w:cs="Arial" w:hint="eastAsia"/>
          <w:color w:val="000000" w:themeColor="text1"/>
          <w:shd w:val="clear" w:color="auto" w:fill="FFFFFF"/>
          <w:lang w:eastAsia="zh-CN"/>
        </w:rPr>
        <w:t>7</w:t>
      </w:r>
      <w:r w:rsidR="00116D7F">
        <w:rPr>
          <w:rFonts w:ascii="Book Antiqua" w:hAnsi="Book Antiqua" w:cs="Arial"/>
          <w:color w:val="000000" w:themeColor="text1"/>
          <w:shd w:val="clear" w:color="auto" w:fill="FFFFFF"/>
        </w:rPr>
        <w:t xml:space="preserve"> 2020</w:t>
      </w:r>
    </w:p>
    <w:p w14:paraId="15ADFF39" w14:textId="77777777" w:rsidR="00A77B3E" w:rsidRPr="00982AA9" w:rsidRDefault="00A77B3E" w:rsidP="00982AA9">
      <w:pPr>
        <w:spacing w:line="360" w:lineRule="auto"/>
        <w:jc w:val="both"/>
        <w:rPr>
          <w:rFonts w:ascii="Book Antiqua" w:hAnsi="Book Antiqua"/>
        </w:rPr>
        <w:sectPr w:rsidR="00A77B3E" w:rsidRPr="00982AA9">
          <w:footerReference w:type="default" r:id="rId7"/>
          <w:pgSz w:w="12240" w:h="15840"/>
          <w:pgMar w:top="1440" w:right="1440" w:bottom="1440" w:left="1440" w:header="720" w:footer="720" w:gutter="0"/>
          <w:cols w:space="720"/>
          <w:docGrid w:linePitch="360"/>
        </w:sectPr>
      </w:pPr>
    </w:p>
    <w:p w14:paraId="4F24E83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lastRenderedPageBreak/>
        <w:t>Abstract</w:t>
      </w:r>
    </w:p>
    <w:p w14:paraId="55EDCD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BACKGROUND</w:t>
      </w:r>
    </w:p>
    <w:p w14:paraId="1EF4EF8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In resource-limited countries, risk stratification can be used to optimize colorectal cancer screening. Few prospective risk prediction models exist for advanced neoplasia (AN) in true average-risk individuals.</w:t>
      </w:r>
    </w:p>
    <w:p w14:paraId="3594CC94" w14:textId="77777777" w:rsidR="00A77B3E" w:rsidRPr="00982AA9" w:rsidRDefault="00A77B3E" w:rsidP="00982AA9">
      <w:pPr>
        <w:spacing w:line="360" w:lineRule="auto"/>
        <w:jc w:val="both"/>
        <w:rPr>
          <w:rFonts w:ascii="Book Antiqua" w:hAnsi="Book Antiqua"/>
        </w:rPr>
      </w:pPr>
    </w:p>
    <w:p w14:paraId="287923C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AIM</w:t>
      </w:r>
    </w:p>
    <w:p w14:paraId="4A5D82B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To create and internally validate a risk prediction model for detection of AN in average-risk individuals.</w:t>
      </w:r>
    </w:p>
    <w:p w14:paraId="006CC45C" w14:textId="77777777" w:rsidR="00A77B3E" w:rsidRPr="00982AA9" w:rsidRDefault="00A77B3E" w:rsidP="00982AA9">
      <w:pPr>
        <w:spacing w:line="360" w:lineRule="auto"/>
        <w:jc w:val="both"/>
        <w:rPr>
          <w:rFonts w:ascii="Book Antiqua" w:hAnsi="Book Antiqua"/>
        </w:rPr>
      </w:pPr>
    </w:p>
    <w:p w14:paraId="67B5A60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METHODS</w:t>
      </w:r>
    </w:p>
    <w:p w14:paraId="3EAF6BF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Prospective study of asymptomatic individuals undergoing first screening colonoscopy. Detailed characteristics including diet, exercise and medications were collected. Multivariate logistic regression was used to elucidate risk factors for AN (adenoma ≥1 cm, villous histology, high-grade dysplasia or carcinoma). The model was validated through bootstrapping, and discrimination and calibration of the model were assessed.</w:t>
      </w:r>
    </w:p>
    <w:p w14:paraId="6ACE50C6" w14:textId="77777777" w:rsidR="00A77B3E" w:rsidRPr="00982AA9" w:rsidRDefault="00A77B3E" w:rsidP="00982AA9">
      <w:pPr>
        <w:spacing w:line="360" w:lineRule="auto"/>
        <w:jc w:val="both"/>
        <w:rPr>
          <w:rFonts w:ascii="Book Antiqua" w:hAnsi="Book Antiqua"/>
        </w:rPr>
      </w:pPr>
    </w:p>
    <w:p w14:paraId="07FDBEE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RESULTS</w:t>
      </w:r>
    </w:p>
    <w:p w14:paraId="2C91913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980 consecutive individuals (51% F; 49% M) were enrolled. Adenoma and AN detection rates were 36.6% (F 29%: M 45%; </w:t>
      </w:r>
      <w:r w:rsidRPr="00982AA9">
        <w:rPr>
          <w:rFonts w:ascii="Book Antiqua" w:eastAsia="Book Antiqua" w:hAnsi="Book Antiqua" w:cs="Book Antiqua"/>
          <w:i/>
          <w:iCs/>
          <w:color w:val="000000"/>
        </w:rPr>
        <w:t xml:space="preserve">P </w:t>
      </w:r>
      <w:r w:rsidRPr="00D40601">
        <w:rPr>
          <w:rFonts w:ascii="Book Antiqua" w:eastAsia="Book Antiqua" w:hAnsi="Book Antiqua" w:cs="Book Antiqua"/>
          <w:iCs/>
          <w:color w:val="000000"/>
        </w:rPr>
        <w:t>&lt;</w:t>
      </w:r>
      <w:r w:rsidR="00D40601" w:rsidRPr="00D40601">
        <w:rPr>
          <w:rFonts w:ascii="Book Antiqua" w:eastAsia="Book Antiqua" w:hAnsi="Book Antiqua" w:cs="Book Antiqua"/>
          <w:iCs/>
          <w:color w:val="000000"/>
        </w:rPr>
        <w:t xml:space="preserve"> </w:t>
      </w:r>
      <w:r w:rsidRPr="00D40601">
        <w:rPr>
          <w:rFonts w:ascii="Book Antiqua" w:eastAsia="Book Antiqua" w:hAnsi="Book Antiqua" w:cs="Book Antiqua"/>
          <w:iCs/>
          <w:color w:val="000000"/>
        </w:rPr>
        <w:t>0.001</w:t>
      </w:r>
      <w:r w:rsidRPr="00982AA9">
        <w:rPr>
          <w:rFonts w:ascii="Book Antiqua" w:eastAsia="Book Antiqua" w:hAnsi="Book Antiqua" w:cs="Book Antiqua"/>
          <w:color w:val="000000"/>
        </w:rPr>
        <w:t>) and 5.1% (F 3.8%; M 6.5%) respectively. On multivariate anal</w:t>
      </w:r>
      <w:r w:rsidR="00330773" w:rsidRPr="00982AA9">
        <w:rPr>
          <w:rFonts w:ascii="Book Antiqua" w:eastAsia="Book Antiqua" w:hAnsi="Book Antiqua" w:cs="Book Antiqua"/>
          <w:color w:val="000000"/>
        </w:rPr>
        <w:t>ysis, predictors of AN [OR (95%</w:t>
      </w:r>
      <w:r w:rsidRPr="00982AA9">
        <w:rPr>
          <w:rFonts w:ascii="Book Antiqua" w:eastAsia="Book Antiqua" w:hAnsi="Book Antiqua" w:cs="Book Antiqua"/>
          <w:color w:val="000000"/>
        </w:rPr>
        <w:t xml:space="preserve">CI)] were age [1.036 (1.00-1.07); </w:t>
      </w:r>
      <w:r w:rsidRPr="00982AA9">
        <w:rPr>
          <w:rFonts w:ascii="Book Antiqua" w:eastAsia="Book Antiqua" w:hAnsi="Book Antiqua" w:cs="Book Antiqua"/>
          <w:i/>
          <w:iCs/>
          <w:color w:val="000000"/>
        </w:rPr>
        <w:t>P</w:t>
      </w:r>
      <w:r w:rsidR="00D36F82" w:rsidRPr="00982AA9">
        <w:rPr>
          <w:rFonts w:ascii="Book Antiqua" w:hAnsi="Book Antiqua" w:cs="Book Antiqua"/>
          <w:i/>
          <w:iCs/>
          <w:color w:val="000000"/>
          <w:lang w:eastAsia="zh-CN"/>
        </w:rPr>
        <w:t xml:space="preserve"> </w:t>
      </w:r>
      <w:r w:rsidRPr="00982AA9">
        <w:rPr>
          <w:rFonts w:ascii="Book Antiqua" w:eastAsia="Book Antiqua" w:hAnsi="Book Antiqua" w:cs="Book Antiqua"/>
          <w:i/>
          <w:iCs/>
          <w:color w:val="000000"/>
        </w:rPr>
        <w:t>=</w:t>
      </w:r>
      <w:r w:rsidR="00D36F82" w:rsidRPr="00982AA9">
        <w:rPr>
          <w:rFonts w:ascii="Book Antiqua" w:hAnsi="Book Antiqua" w:cs="Book Antiqua"/>
          <w:i/>
          <w:iCs/>
          <w:color w:val="000000"/>
          <w:lang w:eastAsia="zh-CN"/>
        </w:rPr>
        <w:t xml:space="preserve"> </w:t>
      </w:r>
      <w:r w:rsidRPr="00982AA9">
        <w:rPr>
          <w:rFonts w:ascii="Book Antiqua" w:eastAsia="Book Antiqua" w:hAnsi="Book Antiqua" w:cs="Book Antiqua"/>
          <w:iCs/>
          <w:color w:val="000000"/>
        </w:rPr>
        <w:t>0.048</w:t>
      </w:r>
      <w:r w:rsidRPr="00982AA9">
        <w:rPr>
          <w:rFonts w:ascii="Book Antiqua" w:eastAsia="Book Antiqua" w:hAnsi="Book Antiqua" w:cs="Book Antiqua"/>
          <w:color w:val="000000"/>
        </w:rPr>
        <w:t xml:space="preserve">], BMI [overweight 2.21 (0.98-5.00); obese 3.54 (1.48-8.50);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 xml:space="preserve">0.018], smoking [&lt; 40 pack-years 2.01 (1.01-4.01); ≥ 40 pack-years 3.96 (1.86-8.42); </w:t>
      </w:r>
      <w:r w:rsidRPr="00982AA9">
        <w:rPr>
          <w:rFonts w:ascii="Book Antiqua" w:eastAsia="Book Antiqua" w:hAnsi="Book Antiqua" w:cs="Book Antiqua"/>
          <w:i/>
          <w:iCs/>
          <w:color w:val="000000"/>
        </w:rPr>
        <w:t>P =</w:t>
      </w:r>
      <w:r w:rsidRPr="00982AA9">
        <w:rPr>
          <w:rFonts w:ascii="Book Antiqua" w:eastAsia="Book Antiqua" w:hAnsi="Book Antiqua" w:cs="Book Antiqua"/>
          <w:color w:val="000000"/>
        </w:rPr>
        <w:t xml:space="preserve"> 0.002], and daily red meat consumption [2.02 (0.92-4.42)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0.079]. Nomograms of AN risk were developed in terms of risk factors and age separately for normal, overweight and obese individuals. The model had good discrimination and calibration.</w:t>
      </w:r>
    </w:p>
    <w:p w14:paraId="677DAB86" w14:textId="77777777" w:rsidR="00A77B3E" w:rsidRPr="00982AA9" w:rsidRDefault="00A77B3E" w:rsidP="00982AA9">
      <w:pPr>
        <w:spacing w:line="360" w:lineRule="auto"/>
        <w:jc w:val="both"/>
        <w:rPr>
          <w:rFonts w:ascii="Book Antiqua" w:hAnsi="Book Antiqua"/>
        </w:rPr>
      </w:pPr>
    </w:p>
    <w:p w14:paraId="5B2A0FC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CONCLUSION</w:t>
      </w:r>
    </w:p>
    <w:p w14:paraId="77ABB51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The prevalence of adenoma and AN in average-risk Lebanese individuals is similar to the West. Age, smoking, and BMI are important predictors of AN, with obesity being particularly powerful. Though external validation is needed, this model provides an important platform for improved risk-stratification for screening programs in regions where universal screening is not currently employed.</w:t>
      </w:r>
    </w:p>
    <w:p w14:paraId="114FC406" w14:textId="77777777" w:rsidR="00A77B3E" w:rsidRPr="00982AA9" w:rsidRDefault="00A77B3E" w:rsidP="00982AA9">
      <w:pPr>
        <w:spacing w:line="360" w:lineRule="auto"/>
        <w:jc w:val="both"/>
        <w:rPr>
          <w:rFonts w:ascii="Book Antiqua" w:hAnsi="Book Antiqua"/>
        </w:rPr>
      </w:pPr>
    </w:p>
    <w:p w14:paraId="3C1FCD5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Key </w:t>
      </w:r>
      <w:r w:rsidR="005844A9" w:rsidRPr="00982AA9">
        <w:rPr>
          <w:rFonts w:ascii="Book Antiqua" w:eastAsia="Book Antiqua" w:hAnsi="Book Antiqua" w:cs="Book Antiqua"/>
          <w:b/>
          <w:bCs/>
          <w:color w:val="000000"/>
        </w:rPr>
        <w:t>W</w:t>
      </w:r>
      <w:r w:rsidRPr="00982AA9">
        <w:rPr>
          <w:rFonts w:ascii="Book Antiqua" w:eastAsia="Book Antiqua" w:hAnsi="Book Antiqua" w:cs="Book Antiqua"/>
          <w:b/>
          <w:bCs/>
          <w:color w:val="000000"/>
        </w:rPr>
        <w:t xml:space="preserve">ords: </w:t>
      </w:r>
      <w:r w:rsidRPr="00982AA9">
        <w:rPr>
          <w:rFonts w:ascii="Book Antiqua" w:eastAsia="Book Antiqua" w:hAnsi="Book Antiqua" w:cs="Book Antiqua"/>
          <w:color w:val="000000"/>
        </w:rPr>
        <w:t>Colon; Adenoma; Cancer; Risk factors</w:t>
      </w:r>
    </w:p>
    <w:p w14:paraId="2B15F839" w14:textId="77777777" w:rsidR="00A77B3E" w:rsidRPr="00982AA9" w:rsidRDefault="00A77B3E" w:rsidP="00982AA9">
      <w:pPr>
        <w:spacing w:line="360" w:lineRule="auto"/>
        <w:jc w:val="both"/>
        <w:rPr>
          <w:rFonts w:ascii="Book Antiqua" w:hAnsi="Book Antiqua"/>
        </w:rPr>
      </w:pPr>
    </w:p>
    <w:p w14:paraId="4493CEF9" w14:textId="77777777" w:rsidR="00116D7F" w:rsidRDefault="00116D7F" w:rsidP="00116D7F">
      <w:pPr>
        <w:spacing w:line="360" w:lineRule="auto"/>
        <w:jc w:val="both"/>
        <w:rPr>
          <w:rFonts w:ascii="Book Antiqua" w:hAnsi="Book Antiqua" w:cs="Book Antiqua" w:hint="eastAsia"/>
          <w:color w:val="000000"/>
          <w:lang w:eastAsia="zh-CN"/>
        </w:rPr>
      </w:pPr>
      <w:r w:rsidRPr="00116D7F">
        <w:rPr>
          <w:rFonts w:ascii="Book Antiqua" w:hAnsi="Book Antiqua" w:cs="Book Antiqua" w:hint="eastAsia"/>
          <w:b/>
          <w:color w:val="000000"/>
          <w:lang w:eastAsia="zh-CN"/>
        </w:rPr>
        <w:t xml:space="preserve">Citation: </w:t>
      </w:r>
      <w:r w:rsidRPr="00982AA9">
        <w:rPr>
          <w:rFonts w:ascii="Book Antiqua" w:eastAsia="Book Antiqua" w:hAnsi="Book Antiqua" w:cs="Book Antiqua"/>
          <w:color w:val="000000"/>
        </w:rPr>
        <w:t xml:space="preserve">Sharara AI, El Mokahal A, Harb AH, Khalaf N, Sarkis FS, M El-Halabi M, Mansour NM, Malli A, Habib R. Novel risk prediction rule for advanced neoplasia at first screening colonoscopy for average-risk individuals. </w:t>
      </w:r>
      <w:r w:rsidRPr="00982AA9">
        <w:rPr>
          <w:rFonts w:ascii="Book Antiqua" w:eastAsia="Book Antiqua" w:hAnsi="Book Antiqua" w:cs="Book Antiqua"/>
          <w:i/>
          <w:iCs/>
          <w:color w:val="000000"/>
        </w:rPr>
        <w:t>World J Gastroenterol</w:t>
      </w:r>
      <w:r w:rsidRPr="00982AA9">
        <w:rPr>
          <w:rFonts w:ascii="Book Antiqua" w:eastAsia="Book Antiqua" w:hAnsi="Book Antiqua" w:cs="Book Antiqua"/>
          <w:color w:val="000000"/>
        </w:rPr>
        <w:t xml:space="preserve"> 2020; </w:t>
      </w:r>
      <w:r w:rsidRPr="00BC1C2C">
        <w:rPr>
          <w:rFonts w:ascii="Book Antiqua" w:eastAsia="Book Antiqua" w:hAnsi="Book Antiqua" w:cs="Book Antiqua"/>
          <w:color w:val="000000"/>
        </w:rPr>
        <w:t xml:space="preserve">26(37): </w:t>
      </w:r>
      <w:r>
        <w:rPr>
          <w:rFonts w:ascii="Book Antiqua" w:hAnsi="Book Antiqua" w:cs="Book Antiqua" w:hint="eastAsia"/>
          <w:color w:val="000000"/>
          <w:lang w:eastAsia="zh-CN"/>
        </w:rPr>
        <w:t>5705</w:t>
      </w:r>
      <w:r w:rsidRPr="00BC1C2C">
        <w:rPr>
          <w:rFonts w:ascii="Book Antiqua" w:eastAsia="Book Antiqua" w:hAnsi="Book Antiqua" w:cs="Book Antiqua"/>
          <w:color w:val="000000"/>
        </w:rPr>
        <w:t>-</w:t>
      </w:r>
      <w:r>
        <w:rPr>
          <w:rFonts w:ascii="Book Antiqua" w:hAnsi="Book Antiqua" w:cs="Book Antiqua" w:hint="eastAsia"/>
          <w:color w:val="000000"/>
          <w:lang w:eastAsia="zh-CN"/>
        </w:rPr>
        <w:t>5717</w:t>
      </w:r>
      <w:r w:rsidRPr="00BC1C2C">
        <w:rPr>
          <w:rFonts w:ascii="Book Antiqua" w:eastAsia="Book Antiqua" w:hAnsi="Book Antiqua" w:cs="Book Antiqua"/>
          <w:color w:val="000000"/>
        </w:rPr>
        <w:t xml:space="preserve">  </w:t>
      </w:r>
    </w:p>
    <w:p w14:paraId="1A4B1748" w14:textId="77777777" w:rsidR="00116D7F" w:rsidRDefault="00116D7F" w:rsidP="00116D7F">
      <w:pPr>
        <w:spacing w:line="360" w:lineRule="auto"/>
        <w:jc w:val="both"/>
        <w:rPr>
          <w:rFonts w:ascii="Book Antiqua" w:hAnsi="Book Antiqua" w:cs="Book Antiqua" w:hint="eastAsia"/>
          <w:color w:val="000000"/>
          <w:lang w:eastAsia="zh-CN"/>
        </w:rPr>
      </w:pPr>
      <w:r w:rsidRPr="00116D7F">
        <w:rPr>
          <w:rFonts w:ascii="Book Antiqua" w:eastAsia="Book Antiqua" w:hAnsi="Book Antiqua" w:cs="Book Antiqua"/>
          <w:b/>
          <w:color w:val="000000"/>
        </w:rPr>
        <w:t>URL:</w:t>
      </w:r>
      <w:r w:rsidRPr="00BC1C2C">
        <w:rPr>
          <w:rFonts w:ascii="Book Antiqua" w:eastAsia="Book Antiqua" w:hAnsi="Book Antiqua" w:cs="Book Antiqua"/>
          <w:color w:val="000000"/>
        </w:rPr>
        <w:t xml:space="preserve"> https://www.wjgnet.com/1007-9327/full/v26/i37/</w:t>
      </w:r>
      <w:r>
        <w:rPr>
          <w:rFonts w:ascii="Book Antiqua" w:hAnsi="Book Antiqua" w:cs="Book Antiqua" w:hint="eastAsia"/>
          <w:color w:val="000000"/>
          <w:lang w:eastAsia="zh-CN"/>
        </w:rPr>
        <w:t>5705</w:t>
      </w:r>
      <w:r w:rsidRPr="00BC1C2C">
        <w:rPr>
          <w:rFonts w:ascii="Book Antiqua" w:eastAsia="Book Antiqua" w:hAnsi="Book Antiqua" w:cs="Book Antiqua"/>
          <w:color w:val="000000"/>
        </w:rPr>
        <w:t xml:space="preserve">.htm  </w:t>
      </w:r>
    </w:p>
    <w:p w14:paraId="01D6CA48" w14:textId="4DC8DB2E" w:rsidR="00116D7F" w:rsidRPr="00C30ADD" w:rsidRDefault="00116D7F" w:rsidP="00116D7F">
      <w:pPr>
        <w:spacing w:line="360" w:lineRule="auto"/>
        <w:jc w:val="both"/>
        <w:rPr>
          <w:rFonts w:ascii="Book Antiqua" w:hAnsi="Book Antiqua" w:hint="eastAsia"/>
          <w:lang w:eastAsia="zh-CN"/>
        </w:rPr>
      </w:pPr>
      <w:r w:rsidRPr="00116D7F">
        <w:rPr>
          <w:rFonts w:ascii="Book Antiqua" w:eastAsia="Book Antiqua" w:hAnsi="Book Antiqua" w:cs="Book Antiqua"/>
          <w:b/>
          <w:color w:val="000000"/>
        </w:rPr>
        <w:t xml:space="preserve">DOI: </w:t>
      </w:r>
      <w:r w:rsidRPr="00BC1C2C">
        <w:rPr>
          <w:rFonts w:ascii="Book Antiqua" w:eastAsia="Book Antiqua" w:hAnsi="Book Antiqua" w:cs="Book Antiqua"/>
          <w:color w:val="000000"/>
        </w:rPr>
        <w:t>https://dx.doi.org/10.3748/wjg.v26.i37.</w:t>
      </w:r>
      <w:r>
        <w:rPr>
          <w:rFonts w:ascii="Book Antiqua" w:hAnsi="Book Antiqua" w:cs="Book Antiqua" w:hint="eastAsia"/>
          <w:color w:val="000000"/>
          <w:lang w:eastAsia="zh-CN"/>
        </w:rPr>
        <w:t>5705</w:t>
      </w:r>
    </w:p>
    <w:p w14:paraId="2FBE3F12" w14:textId="77777777" w:rsidR="00A77B3E" w:rsidRPr="00982AA9" w:rsidRDefault="00A77B3E" w:rsidP="00982AA9">
      <w:pPr>
        <w:spacing w:line="360" w:lineRule="auto"/>
        <w:jc w:val="both"/>
        <w:rPr>
          <w:rFonts w:ascii="Book Antiqua" w:hAnsi="Book Antiqua"/>
        </w:rPr>
      </w:pPr>
    </w:p>
    <w:p w14:paraId="30866F6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Core </w:t>
      </w:r>
      <w:r w:rsidR="005844A9" w:rsidRPr="00982AA9">
        <w:rPr>
          <w:rFonts w:ascii="Book Antiqua" w:eastAsia="Book Antiqua" w:hAnsi="Book Antiqua" w:cs="Book Antiqua"/>
          <w:b/>
          <w:bCs/>
          <w:color w:val="000000"/>
        </w:rPr>
        <w:t>T</w:t>
      </w:r>
      <w:r w:rsidRPr="00982AA9">
        <w:rPr>
          <w:rFonts w:ascii="Book Antiqua" w:eastAsia="Book Antiqua" w:hAnsi="Book Antiqua" w:cs="Book Antiqua"/>
          <w:b/>
          <w:bCs/>
          <w:color w:val="000000"/>
        </w:rPr>
        <w:t xml:space="preserve">ip: </w:t>
      </w:r>
      <w:r w:rsidRPr="00982AA9">
        <w:rPr>
          <w:rFonts w:ascii="Book Antiqua" w:eastAsia="Book Antiqua" w:hAnsi="Book Antiqua" w:cs="Book Antiqua"/>
          <w:color w:val="000000"/>
        </w:rPr>
        <w:t>Colonoscopy is a powerful tool for colorectal cancer screening, but its wide adoption may incur a large burden on healthcare systems. Risk stratification may be an attractive strategy particularly in resource-constrained settings. Previously developed risk calculators have important limitations including retrospective design and/or inclusion of at-risk individuals such as those with a positive family history. Using 4 easy-to-obtain baseline variables (BMI, smoking, age, and red meat consumption), we present a risk calculator for advanced neoplasia in true average-risk individuals. This simple tool can be used to stratify patients for colorectal cancer screening but requires external validation.</w:t>
      </w:r>
    </w:p>
    <w:p w14:paraId="306BADE9" w14:textId="77777777" w:rsidR="00A77B3E" w:rsidRPr="00982AA9" w:rsidRDefault="00330773" w:rsidP="00982AA9">
      <w:pPr>
        <w:spacing w:line="360" w:lineRule="auto"/>
        <w:jc w:val="both"/>
        <w:rPr>
          <w:rFonts w:ascii="Book Antiqua" w:hAnsi="Book Antiqua"/>
        </w:rPr>
      </w:pPr>
      <w:r w:rsidRPr="00982AA9">
        <w:rPr>
          <w:rFonts w:ascii="Book Antiqua" w:hAnsi="Book Antiqua"/>
        </w:rPr>
        <w:br w:type="page"/>
      </w:r>
      <w:r w:rsidR="00AC667B" w:rsidRPr="00982AA9">
        <w:rPr>
          <w:rFonts w:ascii="Book Antiqua" w:eastAsia="Book Antiqua" w:hAnsi="Book Antiqua" w:cs="Book Antiqua"/>
          <w:b/>
          <w:caps/>
          <w:color w:val="000000"/>
          <w:u w:val="single"/>
        </w:rPr>
        <w:lastRenderedPageBreak/>
        <w:t>INTRODUCTION</w:t>
      </w:r>
    </w:p>
    <w:p w14:paraId="2DFB9D0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Colorectal </w:t>
      </w:r>
      <w:r w:rsidR="003F2E8B" w:rsidRPr="00982AA9">
        <w:rPr>
          <w:rFonts w:ascii="Book Antiqua" w:eastAsia="Book Antiqua" w:hAnsi="Book Antiqua" w:cs="Book Antiqua"/>
          <w:color w:val="000000"/>
        </w:rPr>
        <w:t>c</w:t>
      </w:r>
      <w:r w:rsidRPr="00982AA9">
        <w:rPr>
          <w:rFonts w:ascii="Book Antiqua" w:eastAsia="Book Antiqua" w:hAnsi="Book Antiqua" w:cs="Book Antiqua"/>
          <w:color w:val="000000"/>
        </w:rPr>
        <w:t>ancer (CRC) carries a large burden of cancer-related morbidity and mortality. In 2018, CRC was the 3</w:t>
      </w:r>
      <w:r w:rsidRPr="00982AA9">
        <w:rPr>
          <w:rFonts w:ascii="Book Antiqua" w:eastAsia="Book Antiqua" w:hAnsi="Book Antiqua" w:cs="Book Antiqua"/>
          <w:color w:val="000000"/>
          <w:vertAlign w:val="superscript"/>
        </w:rPr>
        <w:t>rd</w:t>
      </w:r>
      <w:r w:rsidRPr="00982AA9">
        <w:rPr>
          <w:rFonts w:ascii="Book Antiqua" w:eastAsia="Book Antiqua" w:hAnsi="Book Antiqua" w:cs="Book Antiqua"/>
          <w:color w:val="000000"/>
        </w:rPr>
        <w:t xml:space="preserve"> most common malignancy and the 2</w:t>
      </w:r>
      <w:r w:rsidRPr="00982AA9">
        <w:rPr>
          <w:rFonts w:ascii="Book Antiqua" w:eastAsia="Book Antiqua" w:hAnsi="Book Antiqua" w:cs="Book Antiqua"/>
          <w:color w:val="000000"/>
          <w:vertAlign w:val="superscript"/>
        </w:rPr>
        <w:t>nd</w:t>
      </w:r>
      <w:r w:rsidRPr="00982AA9">
        <w:rPr>
          <w:rFonts w:ascii="Book Antiqua" w:eastAsia="Book Antiqua" w:hAnsi="Book Antiqua" w:cs="Book Antiqua"/>
          <w:color w:val="000000"/>
        </w:rPr>
        <w:t xml:space="preserve"> deadliest cancer, with more t</w:t>
      </w:r>
      <w:r w:rsidR="003A4550" w:rsidRPr="00982AA9">
        <w:rPr>
          <w:rFonts w:ascii="Book Antiqua" w:eastAsia="Book Antiqua" w:hAnsi="Book Antiqua" w:cs="Book Antiqua"/>
          <w:color w:val="000000"/>
        </w:rPr>
        <w:t>han 1</w:t>
      </w:r>
      <w:r w:rsidR="003F2822" w:rsidRPr="00982AA9">
        <w:rPr>
          <w:rFonts w:ascii="Book Antiqua" w:eastAsia="Book Antiqua" w:hAnsi="Book Antiqua" w:cs="Book Antiqua"/>
          <w:color w:val="000000"/>
        </w:rPr>
        <w:t>800</w:t>
      </w:r>
      <w:r w:rsidR="003A4550" w:rsidRPr="00982AA9">
        <w:rPr>
          <w:rFonts w:ascii="Book Antiqua" w:eastAsia="Book Antiqua" w:hAnsi="Book Antiqua" w:cs="Book Antiqua"/>
          <w:color w:val="000000"/>
        </w:rPr>
        <w:t>000 new cases and 881</w:t>
      </w:r>
      <w:r w:rsidRPr="00982AA9">
        <w:rPr>
          <w:rFonts w:ascii="Book Antiqua" w:eastAsia="Book Antiqua" w:hAnsi="Book Antiqua" w:cs="Book Antiqua"/>
          <w:color w:val="000000"/>
        </w:rPr>
        <w:t>000 attributable deaths worldwide</w:t>
      </w:r>
      <w:r w:rsidRPr="00982AA9">
        <w:rPr>
          <w:rFonts w:ascii="Book Antiqua" w:eastAsia="Book Antiqua" w:hAnsi="Book Antiqua" w:cs="Book Antiqua"/>
          <w:color w:val="000000"/>
          <w:vertAlign w:val="superscript"/>
        </w:rPr>
        <w:t>[1]</w:t>
      </w:r>
      <w:r w:rsidRPr="00982AA9">
        <w:rPr>
          <w:rFonts w:ascii="Book Antiqua" w:eastAsia="Book Antiqua" w:hAnsi="Book Antiqua" w:cs="Book Antiqua"/>
          <w:color w:val="000000"/>
        </w:rPr>
        <w:t>. The lifetime risk of CRC in patients at average risk is estimated to be 4.2% in women and 4.6% in men without screening</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The pathogenesis of CRC is characterized by its slow progression from a benign preneoplastic lesion to a malignant carcinoma, with an estimated natural history of over 10 years for this process to occur</w:t>
      </w:r>
      <w:r w:rsidR="003F2822" w:rsidRPr="00982AA9">
        <w:rPr>
          <w:rFonts w:ascii="Book Antiqua" w:eastAsia="Book Antiqua" w:hAnsi="Book Antiqua" w:cs="Book Antiqua"/>
          <w:color w:val="000000"/>
          <w:vertAlign w:val="superscript"/>
        </w:rPr>
        <w:t>[3]</w:t>
      </w:r>
      <w:r w:rsidRPr="00982AA9">
        <w:rPr>
          <w:rFonts w:ascii="Book Antiqua" w:eastAsia="Book Antiqua" w:hAnsi="Book Antiqua" w:cs="Book Antiqua"/>
          <w:color w:val="000000"/>
        </w:rPr>
        <w:t>. This allows for prevention by removing precursors prior to malignant transformation, as well as early treatment by detecting the neoplastic lesion at an early stage</w:t>
      </w:r>
      <w:r w:rsidRPr="00982AA9">
        <w:rPr>
          <w:rFonts w:ascii="Book Antiqua" w:eastAsia="Book Antiqua" w:hAnsi="Book Antiqua" w:cs="Book Antiqua"/>
          <w:color w:val="000000"/>
          <w:vertAlign w:val="superscript"/>
        </w:rPr>
        <w:t>[4]</w:t>
      </w:r>
      <w:r w:rsidRPr="00982AA9">
        <w:rPr>
          <w:rFonts w:ascii="Book Antiqua" w:eastAsia="Book Antiqua" w:hAnsi="Book Antiqua" w:cs="Book Antiqua"/>
          <w:color w:val="000000"/>
        </w:rPr>
        <w:t>. Advanced adenomas have a 25</w:t>
      </w:r>
      <w:r w:rsidR="004B124B" w:rsidRPr="00982AA9">
        <w:rPr>
          <w:rFonts w:ascii="Book Antiqua" w:eastAsia="Book Antiqua" w:hAnsi="Book Antiqua" w:cs="Book Antiqua"/>
          <w:color w:val="000000"/>
        </w:rPr>
        <w:t>%</w:t>
      </w:r>
      <w:r w:rsidRPr="00982AA9">
        <w:rPr>
          <w:rFonts w:ascii="Book Antiqua" w:eastAsia="Book Antiqua" w:hAnsi="Book Antiqua" w:cs="Book Antiqua"/>
          <w:color w:val="000000"/>
        </w:rPr>
        <w:t>-40% cumulative 10-year risk of progression to CRC depending on patient age</w:t>
      </w:r>
      <w:r w:rsidRPr="00982AA9">
        <w:rPr>
          <w:rFonts w:ascii="Book Antiqua" w:eastAsia="Book Antiqua" w:hAnsi="Book Antiqua" w:cs="Book Antiqua"/>
          <w:color w:val="000000"/>
          <w:vertAlign w:val="superscript"/>
        </w:rPr>
        <w:t>[5]</w:t>
      </w:r>
      <w:r w:rsidRPr="00982AA9">
        <w:rPr>
          <w:rFonts w:ascii="Book Antiqua" w:eastAsia="Book Antiqua" w:hAnsi="Book Antiqua" w:cs="Book Antiqua"/>
          <w:color w:val="000000"/>
        </w:rPr>
        <w:t>. Survival is related to stage at diagnosis</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thus earlier detection leads to better outcomes. </w:t>
      </w:r>
    </w:p>
    <w:p w14:paraId="28C4307F"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Screening through the use of fecal occult blood tests (FOBT), sigmoidoscopy and colonoscopy have been found to decrease both the incidence and mortality of CRC</w:t>
      </w:r>
      <w:r w:rsidR="003F2822" w:rsidRPr="00982AA9">
        <w:rPr>
          <w:rFonts w:ascii="Book Antiqua" w:eastAsia="Book Antiqua" w:hAnsi="Book Antiqua" w:cs="Book Antiqua"/>
          <w:color w:val="000000"/>
          <w:vertAlign w:val="superscript"/>
        </w:rPr>
        <w:t>[6]</w:t>
      </w:r>
      <w:r w:rsidRPr="00982AA9">
        <w:rPr>
          <w:rFonts w:ascii="Book Antiqua" w:eastAsia="Book Antiqua" w:hAnsi="Book Antiqua" w:cs="Book Antiqua"/>
          <w:color w:val="000000"/>
        </w:rPr>
        <w:t xml:space="preserve">. Screening programs have been instituted in many countries around the world. Published guidelines from multiple medical societies recommend screening all average-risk adults beginning at age 50, with the most commonly used modalities being colonoscopy and stool-based tests such an annual fecal immunohistochemistry testing (FIT) or </w:t>
      </w:r>
      <w:r w:rsidR="00AE298F" w:rsidRPr="00982AA9">
        <w:rPr>
          <w:rFonts w:ascii="Book Antiqua" w:eastAsia="Book Antiqua" w:hAnsi="Book Antiqua" w:cs="Book Antiqua"/>
          <w:color w:val="000000"/>
        </w:rPr>
        <w:t>FOBT</w:t>
      </w:r>
      <w:r w:rsidRPr="00982AA9">
        <w:rPr>
          <w:rFonts w:ascii="Book Antiqua" w:eastAsia="Book Antiqua" w:hAnsi="Book Antiqua" w:cs="Book Antiqua"/>
          <w:color w:val="000000"/>
        </w:rPr>
        <w:t>. Less commonly employed methods of screening include flexible sigmoidoscopy, virtual colonoscopy and multi-targeted stool DNA testing. Some recommend earlier screening for patients depending on race and/or family history, but these recommendations do not employ risk stratification based on other risk factors of advanced neoplasia (AN) or CRC. Notably, resource-sensitive guidelines for screening have been recently published by the American Society of Clinical Oncology</w:t>
      </w:r>
      <w:r w:rsidR="003F2822" w:rsidRPr="00982AA9">
        <w:rPr>
          <w:rFonts w:ascii="Book Antiqua" w:eastAsia="Book Antiqua" w:hAnsi="Book Antiqua" w:cs="Book Antiqua"/>
          <w:color w:val="000000"/>
          <w:vertAlign w:val="superscript"/>
        </w:rPr>
        <w:t>[6-9]</w:t>
      </w:r>
      <w:r w:rsidRPr="00982AA9">
        <w:rPr>
          <w:rFonts w:ascii="Book Antiqua" w:eastAsia="Book Antiqua" w:hAnsi="Book Antiqua" w:cs="Book Antiqua"/>
          <w:color w:val="000000"/>
        </w:rPr>
        <w:t>. These guidelines recommend screening average risk individuals with colonoscopy only as an option in optimal settings</w:t>
      </w:r>
      <w:r w:rsidR="003F2822" w:rsidRPr="00982AA9">
        <w:rPr>
          <w:rFonts w:ascii="Book Antiqua" w:eastAsia="Book Antiqua" w:hAnsi="Book Antiqua" w:cs="Book Antiqua"/>
          <w:color w:val="000000"/>
          <w:vertAlign w:val="superscript"/>
        </w:rPr>
        <w:t>[10]</w:t>
      </w:r>
      <w:r w:rsidRPr="00982AA9">
        <w:rPr>
          <w:rFonts w:ascii="Book Antiqua" w:eastAsia="Book Antiqua" w:hAnsi="Book Antiqua" w:cs="Book Antiqua"/>
          <w:color w:val="000000"/>
        </w:rPr>
        <w:t>. In resource limited settings, screening through FIT, FOBT or a combination of sigmoidoscopy and FIT is recommended</w:t>
      </w:r>
      <w:r w:rsidR="00446B21" w:rsidRPr="00982AA9">
        <w:rPr>
          <w:rFonts w:ascii="Book Antiqua" w:eastAsia="Book Antiqua" w:hAnsi="Book Antiqua" w:cs="Book Antiqua"/>
          <w:color w:val="000000"/>
          <w:vertAlign w:val="superscript"/>
        </w:rPr>
        <w:t>[10]</w:t>
      </w:r>
      <w:r w:rsidRPr="00982AA9">
        <w:rPr>
          <w:rFonts w:ascii="Book Antiqua" w:eastAsia="Book Antiqua" w:hAnsi="Book Antiqua" w:cs="Book Antiqua"/>
          <w:color w:val="000000"/>
        </w:rPr>
        <w:t>.</w:t>
      </w:r>
    </w:p>
    <w:p w14:paraId="098543E5"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lastRenderedPageBreak/>
        <w:t xml:space="preserve">The Center for Disease Control and Prevention reports that 68.8% of age-eligible patients in the </w:t>
      </w:r>
      <w:r w:rsidR="00C66102" w:rsidRPr="00982AA9">
        <w:rPr>
          <w:rFonts w:ascii="Book Antiqua" w:eastAsia="Book Antiqua" w:hAnsi="Book Antiqua" w:cs="Book Antiqua"/>
          <w:color w:val="000000"/>
        </w:rPr>
        <w:t>United States</w:t>
      </w:r>
      <w:r w:rsidRPr="00982AA9">
        <w:rPr>
          <w:rFonts w:ascii="Book Antiqua" w:eastAsia="Book Antiqua" w:hAnsi="Book Antiqua" w:cs="Book Antiqua"/>
          <w:color w:val="000000"/>
        </w:rPr>
        <w:t xml:space="preserve"> were screened in 2018</w:t>
      </w:r>
      <w:r w:rsidRPr="00982AA9">
        <w:rPr>
          <w:rFonts w:ascii="Book Antiqua" w:eastAsia="Book Antiqua" w:hAnsi="Book Antiqua" w:cs="Book Antiqua"/>
          <w:color w:val="000000"/>
          <w:vertAlign w:val="superscript"/>
        </w:rPr>
        <w:t>[11]</w:t>
      </w:r>
      <w:r w:rsidRPr="00982AA9">
        <w:rPr>
          <w:rFonts w:ascii="Book Antiqua" w:eastAsia="Book Antiqua" w:hAnsi="Book Antiqua" w:cs="Book Antiqua"/>
          <w:color w:val="000000"/>
        </w:rPr>
        <w:t>. However, screening rates around the world are not homogenous, with rates of 55% in Canada and 36% in France</w:t>
      </w:r>
      <w:r w:rsidR="00446B21" w:rsidRPr="00982AA9">
        <w:rPr>
          <w:rFonts w:ascii="Book Antiqua" w:eastAsia="Book Antiqua" w:hAnsi="Book Antiqua" w:cs="Book Antiqua"/>
          <w:color w:val="000000"/>
          <w:vertAlign w:val="superscript"/>
        </w:rPr>
        <w:t>[12,13]</w:t>
      </w:r>
      <w:r w:rsidRPr="00982AA9">
        <w:rPr>
          <w:rFonts w:ascii="Book Antiqua" w:eastAsia="Book Antiqua" w:hAnsi="Book Antiqua" w:cs="Book Antiqua"/>
          <w:color w:val="000000"/>
        </w:rPr>
        <w:t>. In Lebanon, CRC inc</w:t>
      </w:r>
      <w:r w:rsidR="00446B21" w:rsidRPr="00982AA9">
        <w:rPr>
          <w:rFonts w:ascii="Book Antiqua" w:eastAsia="Book Antiqua" w:hAnsi="Book Antiqua" w:cs="Book Antiqua"/>
          <w:color w:val="000000"/>
        </w:rPr>
        <w:t>idence is 12.6 and 10.7 per 100</w:t>
      </w:r>
      <w:r w:rsidRPr="00982AA9">
        <w:rPr>
          <w:rFonts w:ascii="Book Antiqua" w:eastAsia="Book Antiqua" w:hAnsi="Book Antiqua" w:cs="Book Antiqua"/>
          <w:color w:val="000000"/>
        </w:rPr>
        <w:t>000 for men and women respectively</w:t>
      </w:r>
      <w:r w:rsidRPr="00982AA9">
        <w:rPr>
          <w:rFonts w:ascii="Book Antiqua" w:eastAsia="Book Antiqua" w:hAnsi="Book Antiqua" w:cs="Book Antiqua"/>
          <w:color w:val="000000"/>
          <w:vertAlign w:val="superscript"/>
        </w:rPr>
        <w:t>[14]</w:t>
      </w:r>
      <w:r w:rsidRPr="00982AA9">
        <w:rPr>
          <w:rFonts w:ascii="Book Antiqua" w:eastAsia="Book Antiqua" w:hAnsi="Book Antiqua" w:cs="Book Antiqua"/>
          <w:color w:val="000000"/>
        </w:rPr>
        <w:t>, with an increasing trend possibly d</w:t>
      </w:r>
      <w:r w:rsidR="00453F42" w:rsidRPr="00982AA9">
        <w:rPr>
          <w:rFonts w:ascii="Book Antiqua" w:eastAsia="Book Antiqua" w:hAnsi="Book Antiqua" w:cs="Book Antiqua"/>
          <w:color w:val="000000"/>
        </w:rPr>
        <w:t>ue to the increasing prevalence</w:t>
      </w:r>
      <w:r w:rsidRPr="00982AA9">
        <w:rPr>
          <w:rFonts w:ascii="Book Antiqua" w:eastAsia="Book Antiqua" w:hAnsi="Book Antiqua" w:cs="Book Antiqua"/>
          <w:color w:val="000000"/>
        </w:rPr>
        <w:t xml:space="preserve"> of risk factors such as obesity, tobacco use and increasing life expectancy. This is the second highest incidence rate of colorectal cancer in the Middle East and North Africa (MENA) region </w:t>
      </w:r>
      <w:r w:rsidRPr="00982AA9">
        <w:rPr>
          <w:rFonts w:ascii="Book Antiqua" w:eastAsia="Book Antiqua" w:hAnsi="Book Antiqua" w:cs="Book Antiqua"/>
          <w:color w:val="000000"/>
          <w:vertAlign w:val="superscript"/>
        </w:rPr>
        <w:t>[14]</w:t>
      </w:r>
      <w:r w:rsidRPr="00982AA9">
        <w:rPr>
          <w:rFonts w:ascii="Book Antiqua" w:eastAsia="Book Antiqua" w:hAnsi="Book Antiqua" w:cs="Book Antiqua"/>
          <w:color w:val="000000"/>
        </w:rPr>
        <w:t>. No formal study has evaluated the percentage of age-eligible patients who have received colorectal cancer screening, but one study reported a rate of 15% in an inpatient cohort aged 25 and older</w:t>
      </w:r>
      <w:r w:rsidRPr="00982AA9">
        <w:rPr>
          <w:rFonts w:ascii="Book Antiqua" w:eastAsia="Book Antiqua" w:hAnsi="Book Antiqua" w:cs="Book Antiqua"/>
          <w:color w:val="000000"/>
          <w:vertAlign w:val="superscript"/>
        </w:rPr>
        <w:t>[15]</w:t>
      </w:r>
      <w:r w:rsidRPr="00982AA9">
        <w:rPr>
          <w:rFonts w:ascii="Book Antiqua" w:eastAsia="Book Antiqua" w:hAnsi="Book Antiqua" w:cs="Book Antiqua"/>
          <w:color w:val="000000"/>
        </w:rPr>
        <w:t>. This makes improved enrollment in screening programs and the subsequent detection of adenomas and AN of crucial importance in Lebanon and similar regions where no national screening programs have been formally implemented.</w:t>
      </w:r>
    </w:p>
    <w:p w14:paraId="588A4DC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Clinically usable risk assessment tools are powerful strategies by which healthcare systems and individual providers in resource-limited settings can optimize AN</w:t>
      </w:r>
      <w:r w:rsidR="003F2E8B">
        <w:rPr>
          <w:rFonts w:ascii="Book Antiqua" w:eastAsia="Book Antiqua" w:hAnsi="Book Antiqua" w:cs="Book Antiqua"/>
          <w:color w:val="000000"/>
        </w:rPr>
        <w:t xml:space="preserve"> </w:t>
      </w:r>
      <w:r w:rsidRPr="00982AA9">
        <w:rPr>
          <w:rFonts w:ascii="Book Antiqua" w:eastAsia="Book Antiqua" w:hAnsi="Book Antiqua" w:cs="Book Antiqua"/>
          <w:color w:val="000000"/>
        </w:rPr>
        <w:t>and early CRC detection strategies. Recently, the Lebanese Society of Gastroenterology and the Ministry of Health issued CRC screening guidelines</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 As new programs can often result in enormous burden on the healthcare system and difficulty with implementation</w:t>
      </w:r>
      <w:r w:rsidRPr="00982AA9">
        <w:rPr>
          <w:rFonts w:ascii="Book Antiqua" w:eastAsia="Book Antiqua" w:hAnsi="Book Antiqua" w:cs="Book Antiqua"/>
          <w:color w:val="000000"/>
          <w:vertAlign w:val="superscript"/>
        </w:rPr>
        <w:t>[17]</w:t>
      </w:r>
      <w:r w:rsidRPr="00982AA9">
        <w:rPr>
          <w:rFonts w:ascii="Book Antiqua" w:eastAsia="Book Antiqua" w:hAnsi="Book Antiqua" w:cs="Book Antiqua"/>
          <w:color w:val="000000"/>
        </w:rPr>
        <w:t xml:space="preserve">, especially in </w:t>
      </w:r>
      <w:r w:rsidR="00453F42" w:rsidRPr="00982AA9">
        <w:rPr>
          <w:rFonts w:ascii="Book Antiqua" w:eastAsia="Book Antiqua" w:hAnsi="Book Antiqua" w:cs="Book Antiqua"/>
          <w:color w:val="000000"/>
        </w:rPr>
        <w:t>more remote regions, we set out</w:t>
      </w:r>
      <w:r w:rsidRPr="00982AA9">
        <w:rPr>
          <w:rFonts w:ascii="Book Antiqua" w:eastAsia="Book Antiqua" w:hAnsi="Book Antiqua" w:cs="Book Antiqua"/>
          <w:color w:val="000000"/>
        </w:rPr>
        <w:t xml:space="preserve"> to develop a risk prediction model for AN and CRC risk on screening colonoscopy based on easy to assess, previously validated clinical risk factors given the lack of such tools in Lebanon, the broader MENA region and similar healthcare systems. Quantifying the effect of risk factors on the detection of AN will provide a tailored tool that highlights high-risk characteristics and allow physicians and public health agencies to more efficiently target those at highest risk for both engagement in screening programs and discussion regarding risk factor modification.</w:t>
      </w:r>
    </w:p>
    <w:p w14:paraId="4CD7B8B8" w14:textId="77777777" w:rsidR="00A77B3E" w:rsidRPr="00982AA9" w:rsidRDefault="00A77B3E" w:rsidP="00982AA9">
      <w:pPr>
        <w:spacing w:line="360" w:lineRule="auto"/>
        <w:jc w:val="both"/>
        <w:rPr>
          <w:rFonts w:ascii="Book Antiqua" w:hAnsi="Book Antiqua"/>
        </w:rPr>
      </w:pPr>
    </w:p>
    <w:p w14:paraId="0AD63F5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MATERIALS AND METHODS</w:t>
      </w:r>
    </w:p>
    <w:p w14:paraId="5849A86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Setting</w:t>
      </w:r>
    </w:p>
    <w:p w14:paraId="1CCF4F0B" w14:textId="77777777" w:rsidR="00A77B3E" w:rsidRPr="00982AA9" w:rsidRDefault="00AC667B" w:rsidP="00982AA9">
      <w:pPr>
        <w:spacing w:line="360" w:lineRule="auto"/>
        <w:jc w:val="both"/>
        <w:rPr>
          <w:rFonts w:ascii="Book Antiqua" w:hAnsi="Book Antiqua"/>
          <w:lang w:eastAsia="zh-CN"/>
        </w:rPr>
      </w:pPr>
      <w:r w:rsidRPr="00982AA9">
        <w:rPr>
          <w:rFonts w:ascii="Book Antiqua" w:eastAsia="Book Antiqua" w:hAnsi="Book Antiqua" w:cs="Book Antiqua"/>
          <w:color w:val="000000"/>
        </w:rPr>
        <w:lastRenderedPageBreak/>
        <w:t>This was a prospective cohort study conducted at the American University of Beirut Medical Center (AUBMC). Over a 5-year period, 980 consecutive average-risk, asymptomatic patients scheduled for screening colonoscopy were prospectively enrolled in the study if they were aged 50 years or above and presenting for first-time screening. Patients were excluded if they had a prior history of colonoscopy, known colon polyps, inflammatory bowel disease, had undergone previous colonic resection or had family history of CRC or AN in any first-degree relative or two or more second degree relatives at any age. Diagnostic colonoscopies done for symptoms such as bleeding or abdominal pain were excluded. 92% of endoscopic examinations were performed by 4 senior attendings with &gt;</w:t>
      </w:r>
      <w:r w:rsidR="00DB6173"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10 years of experience. Only patients with an adequate bowel preparation (defined as excellent or good on the Aronchick scale)</w:t>
      </w:r>
      <w:r w:rsidRPr="00982AA9">
        <w:rPr>
          <w:rFonts w:ascii="Book Antiqua" w:eastAsia="Book Antiqua" w:hAnsi="Book Antiqua" w:cs="Book Antiqua"/>
          <w:color w:val="000000"/>
          <w:vertAlign w:val="superscript"/>
        </w:rPr>
        <w:t>[18]</w:t>
      </w:r>
      <w:r w:rsidRPr="00982AA9">
        <w:rPr>
          <w:rFonts w:ascii="Book Antiqua" w:eastAsia="Book Antiqua" w:hAnsi="Book Antiqua" w:cs="Book Antiqua"/>
          <w:color w:val="000000"/>
        </w:rPr>
        <w:t xml:space="preserve"> were included. The study protocol was approved by the AUBMC Institutional Review Board and all patients provided informed consent. AUBMC is an urban, private not-for-profit, academic tertiary care center in Beirut, Lebanon. </w:t>
      </w:r>
    </w:p>
    <w:p w14:paraId="58180C9F" w14:textId="77777777" w:rsidR="00A77B3E" w:rsidRPr="00982AA9" w:rsidRDefault="00A77B3E" w:rsidP="00982AA9">
      <w:pPr>
        <w:spacing w:line="360" w:lineRule="auto"/>
        <w:jc w:val="both"/>
        <w:rPr>
          <w:rFonts w:ascii="Book Antiqua" w:hAnsi="Book Antiqua"/>
        </w:rPr>
      </w:pPr>
    </w:p>
    <w:p w14:paraId="2DA90F5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Data collection</w:t>
      </w:r>
    </w:p>
    <w:p w14:paraId="49BF80A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The study coordinator approached eligible patients prior to their procedure, obtained informed consent and then interviewed the patients using a paper-based questionnaire. This questionnaire included questions on 18 factors on the following categories: Demographics, Tobacco and alcohol use, Dietary Patterns, and concomitant medical history and medication use. We specifically inquired about the use of medications and supplements such as aspirin, nonsteroidal anti-inflammatory drugs, oral contraceptive pills/hormone replacement therapy and calcium supplements. We also inquired about the consumption of poultry, red meat, dairy and vegetables. </w:t>
      </w:r>
    </w:p>
    <w:p w14:paraId="52B7A25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Information on withdrawal time, quality of bowel preparation, location, size, number and histology of polyps was collected. AN was defined as a tubular adenoma or serrated lesion ≥</w:t>
      </w:r>
      <w:r w:rsidR="00470F7F"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10 mm in size, any adenoma with villous features, or any lesion with high-grade dysplasia or carcinoma</w:t>
      </w:r>
      <w:r w:rsidRPr="00982AA9">
        <w:rPr>
          <w:rFonts w:ascii="Book Antiqua" w:eastAsia="Book Antiqua" w:hAnsi="Book Antiqua" w:cs="Book Antiqua"/>
          <w:i/>
          <w:iCs/>
          <w:color w:val="000000"/>
        </w:rPr>
        <w:t>.</w:t>
      </w:r>
      <w:r w:rsidRPr="00982AA9">
        <w:rPr>
          <w:rFonts w:ascii="Book Antiqua" w:eastAsia="Book Antiqua" w:hAnsi="Book Antiqua" w:cs="Book Antiqua"/>
          <w:color w:val="000000"/>
        </w:rPr>
        <w:t xml:space="preserve"> In cases of multiple polyps, classification was based on the most advanced histology. </w:t>
      </w:r>
    </w:p>
    <w:p w14:paraId="69DCDB38" w14:textId="77777777" w:rsidR="00A77B3E" w:rsidRPr="00982AA9" w:rsidRDefault="00A77B3E" w:rsidP="00982AA9">
      <w:pPr>
        <w:spacing w:line="360" w:lineRule="auto"/>
        <w:jc w:val="both"/>
        <w:rPr>
          <w:rFonts w:ascii="Book Antiqua" w:hAnsi="Book Antiqua"/>
        </w:rPr>
      </w:pPr>
    </w:p>
    <w:p w14:paraId="58D2E2D6" w14:textId="77777777" w:rsidR="003F2E8B" w:rsidRDefault="003F2E8B" w:rsidP="00982AA9">
      <w:pPr>
        <w:spacing w:line="360" w:lineRule="auto"/>
        <w:jc w:val="both"/>
        <w:rPr>
          <w:rFonts w:ascii="Book Antiqua" w:eastAsia="Book Antiqua" w:hAnsi="Book Antiqua" w:cs="Book Antiqua"/>
          <w:b/>
          <w:bCs/>
          <w:i/>
          <w:iCs/>
          <w:color w:val="000000"/>
        </w:rPr>
      </w:pPr>
      <w:r w:rsidRPr="003F2E8B">
        <w:rPr>
          <w:rFonts w:ascii="Book Antiqua" w:eastAsia="Book Antiqua" w:hAnsi="Book Antiqua" w:cs="Book Antiqua"/>
          <w:b/>
          <w:bCs/>
          <w:i/>
          <w:iCs/>
          <w:color w:val="000000"/>
        </w:rPr>
        <w:t>Statistical</w:t>
      </w:r>
      <w:r>
        <w:rPr>
          <w:rFonts w:ascii="Book Antiqua" w:eastAsia="Book Antiqua" w:hAnsi="Book Antiqua" w:cs="Book Antiqua"/>
          <w:b/>
          <w:bCs/>
          <w:i/>
          <w:iCs/>
          <w:color w:val="000000"/>
        </w:rPr>
        <w:t xml:space="preserve"> </w:t>
      </w:r>
      <w:r w:rsidRPr="003F2E8B">
        <w:rPr>
          <w:rFonts w:ascii="Book Antiqua" w:eastAsia="Book Antiqua" w:hAnsi="Book Antiqua" w:cs="Book Antiqua"/>
          <w:b/>
          <w:bCs/>
          <w:i/>
          <w:iCs/>
          <w:color w:val="000000"/>
        </w:rPr>
        <w:t xml:space="preserve">analysis </w:t>
      </w:r>
    </w:p>
    <w:p w14:paraId="2D55105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Patients’ socio-demographics, clinical and dietary habits and colonoscopy results were compared by univariate analysis for patients with and without confirmed AN. Continuous variables were summarized as mean ± </w:t>
      </w:r>
      <w:r w:rsidR="00DC5108" w:rsidRPr="00982AA9">
        <w:rPr>
          <w:rFonts w:ascii="Book Antiqua" w:hAnsi="Book Antiqua" w:cs="Book Antiqua"/>
          <w:color w:val="000000"/>
          <w:lang w:eastAsia="zh-CN"/>
        </w:rPr>
        <w:t>SD</w:t>
      </w:r>
      <w:r w:rsidRPr="00982AA9">
        <w:rPr>
          <w:rFonts w:ascii="Book Antiqua" w:eastAsia="Book Antiqua" w:hAnsi="Book Antiqua" w:cs="Book Antiqua"/>
          <w:color w:val="000000"/>
        </w:rPr>
        <w:t xml:space="preserve"> and as median + interquartile range. </w:t>
      </w:r>
      <w:r w:rsidR="00453F42" w:rsidRPr="00982AA9">
        <w:rPr>
          <w:rFonts w:ascii="Book Antiqua" w:eastAsia="Book Antiqua" w:hAnsi="Book Antiqua" w:cs="Book Antiqua"/>
          <w:color w:val="000000"/>
        </w:rPr>
        <w:t>C</w:t>
      </w:r>
      <w:r w:rsidRPr="00982AA9">
        <w:rPr>
          <w:rFonts w:ascii="Book Antiqua" w:eastAsia="Book Antiqua" w:hAnsi="Book Antiqua" w:cs="Book Antiqua"/>
          <w:color w:val="000000"/>
        </w:rPr>
        <w:t>ategorical factors were summarized as counts and percentages (%). Group comparisons of qualitative variables were performed using</w:t>
      </w:r>
      <w:r w:rsidR="006F21E5" w:rsidRPr="00982AA9">
        <w:rPr>
          <w:rFonts w:ascii="Book Antiqua" w:hAnsi="Book Antiqua" w:cs="Book Antiqua"/>
          <w:color w:val="000000"/>
          <w:lang w:eastAsia="zh-CN"/>
        </w:rPr>
        <w:t xml:space="preserve"> </w:t>
      </w:r>
      <w:r w:rsidR="006F21E5" w:rsidRPr="00982AA9">
        <w:rPr>
          <w:rFonts w:ascii="Book Antiqua" w:eastAsia="Book Antiqua" w:hAnsi="Book Antiqua" w:cs="Book Antiqua"/>
          <w:i/>
          <w:color w:val="000000"/>
        </w:rPr>
        <w:t>χ</w:t>
      </w:r>
      <w:r w:rsidR="006F21E5"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tests and Analysis of variance (ANOVA) tests as applicable, and post-hoc analyses were also conducted. For comparisons of quantitative variables, independent </w:t>
      </w:r>
      <w:r w:rsidRPr="00982AA9">
        <w:rPr>
          <w:rFonts w:ascii="Book Antiqua" w:eastAsia="Book Antiqua" w:hAnsi="Book Antiqua" w:cs="Book Antiqua"/>
          <w:i/>
          <w:color w:val="000000"/>
        </w:rPr>
        <w:t>t</w:t>
      </w:r>
      <w:r w:rsidRPr="00982AA9">
        <w:rPr>
          <w:rFonts w:ascii="Book Antiqua" w:eastAsia="Book Antiqua" w:hAnsi="Book Antiqua" w:cs="Book Antiqua"/>
          <w:color w:val="000000"/>
        </w:rPr>
        <w:t>-test or Mann Whitney tests were used b</w:t>
      </w:r>
      <w:r w:rsidR="00453F42" w:rsidRPr="00982AA9">
        <w:rPr>
          <w:rFonts w:ascii="Book Antiqua" w:eastAsia="Book Antiqua" w:hAnsi="Book Antiqua" w:cs="Book Antiqua"/>
          <w:color w:val="000000"/>
        </w:rPr>
        <w:t xml:space="preserve">ased on the normality of data. </w:t>
      </w:r>
      <w:r w:rsidRPr="00982AA9">
        <w:rPr>
          <w:rFonts w:ascii="Book Antiqua" w:eastAsia="Book Antiqua" w:hAnsi="Book Antiqua" w:cs="Book Antiqua"/>
          <w:color w:val="000000"/>
        </w:rPr>
        <w:t xml:space="preserve">A two-sided </w:t>
      </w:r>
      <w:r w:rsidRPr="00982AA9">
        <w:rPr>
          <w:rFonts w:ascii="Book Antiqua" w:eastAsia="Book Antiqua" w:hAnsi="Book Antiqua" w:cs="Book Antiqua"/>
          <w:i/>
          <w:iCs/>
          <w:color w:val="000000"/>
        </w:rPr>
        <w:t>P</w:t>
      </w:r>
      <w:r w:rsidR="00CB1BF4"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value less than 0.05 was used to indicate statistical significance. Statistical analyses were conducted using IBM Statistical Package for Social Sciences (SPSS), version 24 (IBM SPSS Statistics for Windows, Version 24.0. Armonk, NY: IBM Corp). A backward multivariable binary logistic regression was used to determine independent predictors of AN in the study population. For each risk factor, we derived odds ratios (OR) and corresponding 95% confidence intervals (CIs). Model results were confirmed in forward fashion </w:t>
      </w:r>
      <w:r w:rsidRPr="00982AA9">
        <w:rPr>
          <w:rFonts w:ascii="Book Antiqua" w:eastAsia="Book Antiqua" w:hAnsi="Book Antiqua" w:cs="Book Antiqua"/>
          <w:i/>
          <w:color w:val="000000"/>
        </w:rPr>
        <w:t>via</w:t>
      </w:r>
      <w:r w:rsidRPr="00982AA9">
        <w:rPr>
          <w:rFonts w:ascii="Book Antiqua" w:eastAsia="Book Antiqua" w:hAnsi="Book Antiqua" w:cs="Book Antiqua"/>
          <w:color w:val="000000"/>
        </w:rPr>
        <w:t xml:space="preserve"> bootstrapping 1000 times and were used to d</w:t>
      </w:r>
      <w:r w:rsidR="00E748D4" w:rsidRPr="00982AA9">
        <w:rPr>
          <w:rFonts w:ascii="Book Antiqua" w:eastAsia="Book Antiqua" w:hAnsi="Book Antiqua" w:cs="Book Antiqua"/>
          <w:color w:val="000000"/>
        </w:rPr>
        <w:t>erive the adjusted ORs with 95%</w:t>
      </w:r>
      <w:r w:rsidRPr="00982AA9">
        <w:rPr>
          <w:rFonts w:ascii="Book Antiqua" w:eastAsia="Book Antiqua" w:hAnsi="Book Antiqua" w:cs="Book Antiqua"/>
          <w:color w:val="000000"/>
        </w:rPr>
        <w:t>CIs for all predictor variables.</w:t>
      </w:r>
    </w:p>
    <w:p w14:paraId="3361E42E"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 xml:space="preserve">The discriminatory ability of this model was assessed using the area under the Receiver-Operator-Characteristic (ROC) curve. Model calibration was examined using observed versus expected AN rate in logistic regression model derived probability of AN decile groups. The robustness of the model estimates was further tested using a 1000 bootstrap from which the corresponding </w:t>
      </w:r>
      <w:r w:rsidRPr="00982AA9">
        <w:rPr>
          <w:rFonts w:ascii="Book Antiqua" w:eastAsia="Book Antiqua" w:hAnsi="Book Antiqua" w:cs="Book Antiqua"/>
          <w:i/>
          <w:iCs/>
          <w:color w:val="000000"/>
        </w:rPr>
        <w:t>P</w:t>
      </w:r>
      <w:r w:rsidR="00AC3A48" w:rsidRPr="00982AA9">
        <w:rPr>
          <w:rFonts w:ascii="Book Antiqua" w:hAnsi="Book Antiqua" w:cs="Book Antiqua"/>
          <w:color w:val="000000"/>
          <w:lang w:eastAsia="zh-CN"/>
        </w:rPr>
        <w:t xml:space="preserve"> </w:t>
      </w:r>
      <w:r w:rsidR="00AC3A48" w:rsidRPr="00982AA9">
        <w:rPr>
          <w:rFonts w:ascii="Book Antiqua" w:eastAsia="Book Antiqua" w:hAnsi="Book Antiqua" w:cs="Book Antiqua"/>
          <w:color w:val="000000"/>
        </w:rPr>
        <w:t>values and 95%</w:t>
      </w:r>
      <w:r w:rsidRPr="00982AA9">
        <w:rPr>
          <w:rFonts w:ascii="Book Antiqua" w:eastAsia="Book Antiqua" w:hAnsi="Book Antiqua" w:cs="Book Antiqua"/>
          <w:color w:val="000000"/>
        </w:rPr>
        <w:t>CIs were derived and compared to those derived by the backward model. The multivariate model coefficients were used to calculate % Risk of (AN) in nomogram format as a function of patient age and separately for normal body mass index (BMI), overweight and obese patients. The model coefficients were then used to develop a risk calculator. The risk calculator provides an output percentage risk of AN as a function of patient age, BMI, smoking status and daily consumption of red meat.</w:t>
      </w:r>
    </w:p>
    <w:p w14:paraId="4D7B801E" w14:textId="77777777" w:rsidR="00A77B3E" w:rsidRPr="00982AA9" w:rsidRDefault="00A77B3E" w:rsidP="00982AA9">
      <w:pPr>
        <w:spacing w:line="360" w:lineRule="auto"/>
        <w:jc w:val="both"/>
        <w:rPr>
          <w:rFonts w:ascii="Book Antiqua" w:hAnsi="Book Antiqua"/>
        </w:rPr>
      </w:pPr>
    </w:p>
    <w:p w14:paraId="15EEDCB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RESULTS</w:t>
      </w:r>
    </w:p>
    <w:p w14:paraId="0795F57B" w14:textId="77777777" w:rsidR="00D635CA" w:rsidRPr="00982AA9" w:rsidRDefault="00AC667B" w:rsidP="00982AA9">
      <w:pPr>
        <w:spacing w:line="360" w:lineRule="auto"/>
        <w:jc w:val="both"/>
        <w:rPr>
          <w:rFonts w:ascii="Book Antiqua" w:hAnsi="Book Antiqua" w:cs="Book Antiqua"/>
          <w:b/>
          <w:bCs/>
          <w:i/>
          <w:iCs/>
          <w:color w:val="000000"/>
          <w:lang w:eastAsia="zh-CN"/>
        </w:rPr>
      </w:pPr>
      <w:r w:rsidRPr="00982AA9">
        <w:rPr>
          <w:rFonts w:ascii="Book Antiqua" w:eastAsia="Book Antiqua" w:hAnsi="Book Antiqua" w:cs="Book Antiqua"/>
          <w:b/>
          <w:bCs/>
          <w:i/>
          <w:iCs/>
          <w:color w:val="000000"/>
        </w:rPr>
        <w:t xml:space="preserve">Patient </w:t>
      </w:r>
      <w:r w:rsidR="00BE2D34" w:rsidRPr="00982AA9">
        <w:rPr>
          <w:rFonts w:ascii="Book Antiqua" w:eastAsia="Book Antiqua" w:hAnsi="Book Antiqua" w:cs="Book Antiqua"/>
          <w:b/>
          <w:bCs/>
          <w:i/>
          <w:iCs/>
          <w:color w:val="000000"/>
        </w:rPr>
        <w:t>c</w:t>
      </w:r>
      <w:r w:rsidRPr="00982AA9">
        <w:rPr>
          <w:rFonts w:ascii="Book Antiqua" w:eastAsia="Book Antiqua" w:hAnsi="Book Antiqua" w:cs="Book Antiqua"/>
          <w:b/>
          <w:bCs/>
          <w:i/>
          <w:iCs/>
          <w:color w:val="000000"/>
        </w:rPr>
        <w:t>haracteristics</w:t>
      </w:r>
    </w:p>
    <w:p w14:paraId="1EF72E7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The characteristics of the patients enrolled are listed in </w:t>
      </w:r>
      <w:r w:rsidR="00D635CA" w:rsidRPr="00982AA9">
        <w:rPr>
          <w:rFonts w:ascii="Book Antiqua" w:hAnsi="Book Antiqua" w:cs="Book Antiqua"/>
          <w:color w:val="000000"/>
          <w:lang w:eastAsia="zh-CN"/>
        </w:rPr>
        <w:t>T</w:t>
      </w:r>
      <w:r w:rsidRPr="00982AA9">
        <w:rPr>
          <w:rFonts w:ascii="Book Antiqua" w:eastAsia="Book Antiqua" w:hAnsi="Book Antiqua" w:cs="Book Antiqua"/>
          <w:color w:val="000000"/>
        </w:rPr>
        <w:t xml:space="preserve">able 1. The mean age of the patients was 61 </w:t>
      </w:r>
      <w:r w:rsidRPr="00982AA9">
        <w:rPr>
          <w:rFonts w:ascii="Book Antiqua" w:eastAsia="Book Antiqua" w:hAnsi="Book Antiqua" w:cs="Book Antiqua"/>
          <w:color w:val="000000"/>
          <w:shd w:val="clear" w:color="auto" w:fill="FFFFFF"/>
        </w:rPr>
        <w:t xml:space="preserve">± 8 years; </w:t>
      </w:r>
      <w:r w:rsidRPr="00982AA9">
        <w:rPr>
          <w:rFonts w:ascii="Book Antiqua" w:eastAsia="Book Antiqua" w:hAnsi="Book Antiqua" w:cs="Book Antiqua"/>
          <w:color w:val="000000"/>
        </w:rPr>
        <w:t>501 females (51.1%) and 479 (48.9%) males were enrolled. Of those, 330 patients had a BMI &lt; 25 kg/m</w:t>
      </w:r>
      <w:r w:rsidRPr="00982AA9">
        <w:rPr>
          <w:rFonts w:ascii="Book Antiqua" w:eastAsia="Book Antiqua" w:hAnsi="Book Antiqua" w:cs="Book Antiqua"/>
          <w:color w:val="000000"/>
          <w:vertAlign w:val="superscript"/>
        </w:rPr>
        <w:t xml:space="preserve">2 </w:t>
      </w:r>
      <w:r w:rsidRPr="00982AA9">
        <w:rPr>
          <w:rFonts w:ascii="Book Antiqua" w:eastAsia="Book Antiqua" w:hAnsi="Book Antiqua" w:cs="Book Antiqua"/>
          <w:color w:val="000000"/>
        </w:rPr>
        <w:t>(34%), 454 (46%) had a BMI between 25 and 30 kg/m</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196 (20%) had a BMI &gt; 30 kg/m</w:t>
      </w:r>
      <w:r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More than half the patients (53%) were smokers. Daily red meat consumption was reported by 9.2% of the enrolled patients and 10.2% consumed alcohol daily.</w:t>
      </w:r>
    </w:p>
    <w:p w14:paraId="0BBEBA0B" w14:textId="77777777" w:rsidR="00A77B3E" w:rsidRPr="00982AA9" w:rsidRDefault="00A77B3E" w:rsidP="00982AA9">
      <w:pPr>
        <w:spacing w:line="360" w:lineRule="auto"/>
        <w:jc w:val="both"/>
        <w:rPr>
          <w:rFonts w:ascii="Book Antiqua" w:hAnsi="Book Antiqua"/>
        </w:rPr>
      </w:pPr>
    </w:p>
    <w:p w14:paraId="2EF3E28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Colonoscopy and Pathology Findings</w:t>
      </w:r>
    </w:p>
    <w:p w14:paraId="5D47420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Of the 980 patients enrolled, 62.7% were found to have no polyp, 36.6% had tubular adenomas, 3.5% had adenoma ≥</w:t>
      </w:r>
      <w:r w:rsidR="00A73183"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1 cm, 1.4% had villous histology, and 0.8% had carcinoma. The overall adenoma detection rate was 36.6% (F 29%: M 45%; </w:t>
      </w:r>
      <w:r w:rsidRPr="00982AA9">
        <w:rPr>
          <w:rFonts w:ascii="Book Antiqua" w:eastAsia="Book Antiqua" w:hAnsi="Book Antiqua" w:cs="Book Antiqua"/>
          <w:i/>
          <w:color w:val="000000"/>
        </w:rPr>
        <w:t>P</w:t>
      </w:r>
      <w:r w:rsidRPr="00982AA9">
        <w:rPr>
          <w:rFonts w:ascii="Book Antiqua" w:eastAsia="Book Antiqua" w:hAnsi="Book Antiqua" w:cs="Book Antiqua"/>
          <w:color w:val="000000"/>
        </w:rPr>
        <w:t xml:space="preserve"> &lt;0.001). In total, 50 patients were found to have AN, making up 5.1% of the patients (F 3.8%; M 6.5%) enrolled in the study. The distribution of the adenomas was as follows: 29.2% of the patients had right sided adenomas, 37.7% had left sided adenomas, and 33.1% had adenomas on both sides. </w:t>
      </w:r>
    </w:p>
    <w:p w14:paraId="11BC8AE4" w14:textId="77777777" w:rsidR="00A77B3E" w:rsidRPr="00982AA9" w:rsidRDefault="00A77B3E" w:rsidP="00982AA9">
      <w:pPr>
        <w:spacing w:line="360" w:lineRule="auto"/>
        <w:jc w:val="both"/>
        <w:rPr>
          <w:rFonts w:ascii="Book Antiqua" w:hAnsi="Book Antiqua"/>
        </w:rPr>
      </w:pPr>
    </w:p>
    <w:p w14:paraId="092914D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 xml:space="preserve">Univariate </w:t>
      </w:r>
      <w:r w:rsidR="00323284" w:rsidRPr="00982AA9">
        <w:rPr>
          <w:rFonts w:ascii="Book Antiqua" w:eastAsia="Book Antiqua" w:hAnsi="Book Antiqua" w:cs="Book Antiqua"/>
          <w:b/>
          <w:bCs/>
          <w:i/>
          <w:iCs/>
          <w:color w:val="000000"/>
        </w:rPr>
        <w:t xml:space="preserve">analysis of risk factors </w:t>
      </w:r>
      <w:r w:rsidRPr="00982AA9">
        <w:rPr>
          <w:rFonts w:ascii="Book Antiqua" w:eastAsia="Book Antiqua" w:hAnsi="Book Antiqua" w:cs="Book Antiqua"/>
          <w:b/>
          <w:bCs/>
          <w:i/>
          <w:iCs/>
          <w:color w:val="000000"/>
        </w:rPr>
        <w:t>for AN</w:t>
      </w:r>
    </w:p>
    <w:p w14:paraId="08111E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The following factors were found to be significantly associated with AN risk on univariate analysis (Table 1): BMI both when categorized into obese, overweight and normal, and when taken as a continuous variable. Daily red meat consumption, smoking as a qualitative variable and pack years smoked (both when grouped and when treated as a numeric variable), and exercise. Factors that were not associated with AN risk were age, alcohol consumption, or the presence of diabetes.</w:t>
      </w:r>
    </w:p>
    <w:p w14:paraId="13CEB629" w14:textId="77777777" w:rsidR="00A77B3E" w:rsidRPr="00982AA9" w:rsidRDefault="00A77B3E" w:rsidP="00982AA9">
      <w:pPr>
        <w:spacing w:line="360" w:lineRule="auto"/>
        <w:jc w:val="both"/>
        <w:rPr>
          <w:rFonts w:ascii="Book Antiqua" w:hAnsi="Book Antiqua"/>
        </w:rPr>
      </w:pPr>
    </w:p>
    <w:p w14:paraId="7C2F04A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i/>
          <w:iCs/>
          <w:color w:val="000000"/>
        </w:rPr>
        <w:t xml:space="preserve">Development of a </w:t>
      </w:r>
      <w:r w:rsidR="00323284" w:rsidRPr="00982AA9">
        <w:rPr>
          <w:rFonts w:ascii="Book Antiqua" w:eastAsia="Book Antiqua" w:hAnsi="Book Antiqua" w:cs="Book Antiqua"/>
          <w:b/>
          <w:bCs/>
          <w:i/>
          <w:iCs/>
          <w:color w:val="000000"/>
        </w:rPr>
        <w:t xml:space="preserve">risk model for </w:t>
      </w:r>
      <w:r w:rsidRPr="00982AA9">
        <w:rPr>
          <w:rFonts w:ascii="Book Antiqua" w:eastAsia="Book Antiqua" w:hAnsi="Book Antiqua" w:cs="Book Antiqua"/>
          <w:b/>
          <w:bCs/>
          <w:i/>
          <w:iCs/>
          <w:color w:val="000000"/>
        </w:rPr>
        <w:t>AN</w:t>
      </w:r>
    </w:p>
    <w:p w14:paraId="32D3737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We used backward binary logistic regression. Variables were removed from our model in case the </w:t>
      </w:r>
      <w:r w:rsidRPr="00982AA9">
        <w:rPr>
          <w:rFonts w:ascii="Book Antiqua" w:eastAsia="Book Antiqua" w:hAnsi="Book Antiqua" w:cs="Book Antiqua"/>
          <w:i/>
          <w:color w:val="000000"/>
        </w:rPr>
        <w:t xml:space="preserve">P </w:t>
      </w:r>
      <w:r w:rsidRPr="00982AA9">
        <w:rPr>
          <w:rFonts w:ascii="Book Antiqua" w:eastAsia="Book Antiqua" w:hAnsi="Book Antiqua" w:cs="Book Antiqua"/>
          <w:color w:val="000000"/>
        </w:rPr>
        <w:t>value found on logistic regression was ≥ 1. BMI values were grouped into 3 categories (&lt;</w:t>
      </w:r>
      <w:r w:rsidR="00B44B0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25, 25-30 and &gt;</w:t>
      </w:r>
      <w:r w:rsidR="00B44B0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30), smoking was quantified by pack years and age was taken as a continuous variable. Daily red meat consumption was categorized as yes or no. Independent predictors of AN were age [OR = 1.036 (CI = 1.00-107),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0.048</w:t>
      </w:r>
      <w:r w:rsidR="00F466E8" w:rsidRPr="00982AA9">
        <w:rPr>
          <w:rFonts w:ascii="Book Antiqua" w:eastAsia="Book Antiqua" w:hAnsi="Book Antiqua" w:cs="Book Antiqua"/>
          <w:color w:val="000000"/>
        </w:rPr>
        <w:t>], higher BMI (</w:t>
      </w:r>
      <w:r w:rsidR="00F466E8" w:rsidRPr="00982AA9">
        <w:rPr>
          <w:rFonts w:ascii="Book Antiqua" w:eastAsia="Book Antiqua" w:hAnsi="Book Antiqua" w:cs="Book Antiqua"/>
          <w:i/>
          <w:color w:val="000000"/>
        </w:rPr>
        <w:t>vs</w:t>
      </w:r>
      <w:r w:rsidRPr="00982AA9">
        <w:rPr>
          <w:rFonts w:ascii="Book Antiqua" w:eastAsia="Book Antiqua" w:hAnsi="Book Antiqua" w:cs="Book Antiqua"/>
          <w:color w:val="000000"/>
        </w:rPr>
        <w:t xml:space="preserve"> Normal BMI ≤ 25) if [Overweight: OR = 2.21 (CI = 0.98-5.00); Obese: OR = 3.54 (CI = 1.48-8.50)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0.018</w:t>
      </w:r>
      <w:r w:rsidRPr="00982AA9">
        <w:rPr>
          <w:rFonts w:ascii="Book Antiqua" w:eastAsia="Book Antiqua" w:hAnsi="Book Antiqua" w:cs="Book Antiqua"/>
          <w:color w:val="000000"/>
        </w:rPr>
        <w:t>], tobacco pack-years [&lt;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40: OR = 2.01 (1.01-4.01); ≥</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40: 3.96</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(1.86-8.42);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0.002</w:t>
      </w:r>
      <w:r w:rsidRPr="00982AA9">
        <w:rPr>
          <w:rFonts w:ascii="Book Antiqua" w:eastAsia="Book Antiqua" w:hAnsi="Book Antiqua" w:cs="Book Antiqua"/>
          <w:color w:val="000000"/>
        </w:rPr>
        <w:t>] and daily read meat consumption [OR</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2.02 (0.92-4.42)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iCs/>
          <w:color w:val="000000"/>
        </w:rPr>
        <w:t>0.079</w:t>
      </w:r>
      <w:r w:rsidRPr="00982AA9">
        <w:rPr>
          <w:rFonts w:ascii="Book Antiqua" w:eastAsia="Book Antiqua" w:hAnsi="Book Antiqua" w:cs="Book Antiqua"/>
          <w:color w:val="000000"/>
        </w:rPr>
        <w:t>] (Table 2).</w:t>
      </w:r>
    </w:p>
    <w:p w14:paraId="750221A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Internal validation of the model was done </w:t>
      </w:r>
      <w:r w:rsidRPr="00982AA9">
        <w:rPr>
          <w:rFonts w:ascii="Book Antiqua" w:eastAsia="Book Antiqua" w:hAnsi="Book Antiqua" w:cs="Book Antiqua"/>
          <w:i/>
          <w:color w:val="000000"/>
        </w:rPr>
        <w:t>via</w:t>
      </w:r>
      <w:r w:rsidRPr="00982AA9">
        <w:rPr>
          <w:rFonts w:ascii="Book Antiqua" w:eastAsia="Book Antiqua" w:hAnsi="Book Antiqua" w:cs="Book Antiqua"/>
          <w:color w:val="000000"/>
        </w:rPr>
        <w:t xml:space="preserve"> bootstrapping and the results are shown in </w:t>
      </w:r>
      <w:r w:rsidR="00F466E8" w:rsidRPr="00982AA9">
        <w:rPr>
          <w:rFonts w:ascii="Book Antiqua" w:eastAsia="Book Antiqua" w:hAnsi="Book Antiqua" w:cs="Book Antiqua"/>
          <w:color w:val="000000"/>
        </w:rPr>
        <w:t>T</w:t>
      </w:r>
      <w:r w:rsidRPr="00982AA9">
        <w:rPr>
          <w:rFonts w:ascii="Book Antiqua" w:eastAsia="Book Antiqua" w:hAnsi="Book Antiqua" w:cs="Book Antiqua"/>
          <w:color w:val="000000"/>
        </w:rPr>
        <w:t>able 2. The discrimination of the model was then assessed by the Area Under the Curve (AUC) of the ROC (Figure 1). We found an AUC of 0.73 (CI</w:t>
      </w:r>
      <w:r w:rsidR="00314121"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 0.66-0.79, </w:t>
      </w:r>
      <w:r w:rsidRPr="00982AA9">
        <w:rPr>
          <w:rFonts w:ascii="Book Antiqua" w:eastAsia="Book Antiqua" w:hAnsi="Book Antiqua" w:cs="Book Antiqua"/>
          <w:i/>
          <w:color w:val="000000"/>
        </w:rPr>
        <w:t>P</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&lt;</w:t>
      </w:r>
      <w:r w:rsidR="00F466E8"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0.001). Model calibration was assessed by plotting obse</w:t>
      </w:r>
      <w:r w:rsidR="00C70B19" w:rsidRPr="00982AA9">
        <w:rPr>
          <w:rFonts w:ascii="Book Antiqua" w:eastAsia="Book Antiqua" w:hAnsi="Book Antiqua" w:cs="Book Antiqua"/>
          <w:color w:val="000000"/>
        </w:rPr>
        <w:t xml:space="preserve">rved </w:t>
      </w:r>
      <w:r w:rsidR="00C70B19" w:rsidRPr="00982AA9">
        <w:rPr>
          <w:rFonts w:ascii="Book Antiqua" w:eastAsia="Book Antiqua" w:hAnsi="Book Antiqua" w:cs="Book Antiqua"/>
          <w:i/>
          <w:color w:val="000000"/>
        </w:rPr>
        <w:t>vs</w:t>
      </w:r>
      <w:r w:rsidR="00F466E8" w:rsidRPr="00982AA9">
        <w:rPr>
          <w:rFonts w:ascii="Book Antiqua" w:eastAsia="Book Antiqua" w:hAnsi="Book Antiqua" w:cs="Book Antiqua"/>
          <w:color w:val="000000"/>
        </w:rPr>
        <w:t xml:space="preserve"> expected results of AN</w:t>
      </w:r>
      <w:r w:rsidRPr="00982AA9">
        <w:rPr>
          <w:rFonts w:ascii="Book Antiqua" w:eastAsia="Book Antiqua" w:hAnsi="Book Antiqua" w:cs="Book Antiqua"/>
          <w:color w:val="000000"/>
        </w:rPr>
        <w:t xml:space="preserve"> (Figure 2). A linear trend of y = 0.9204x + 0.0041 was found, with an </w:t>
      </w:r>
      <w:r w:rsidRPr="00982AA9">
        <w:rPr>
          <w:rFonts w:ascii="Book Antiqua" w:eastAsia="Book Antiqua" w:hAnsi="Book Antiqua" w:cs="Book Antiqua"/>
          <w:i/>
          <w:color w:val="000000"/>
        </w:rPr>
        <w:t>R</w:t>
      </w:r>
      <w:r w:rsidRPr="00982AA9">
        <w:rPr>
          <w:rFonts w:ascii="Book Antiqua" w:eastAsia="Book Antiqua" w:hAnsi="Book Antiqua" w:cs="Book Antiqua"/>
          <w:color w:val="000000"/>
          <w:vertAlign w:val="superscript"/>
        </w:rPr>
        <w:t xml:space="preserve">2 </w:t>
      </w:r>
      <w:r w:rsidRPr="00982AA9">
        <w:rPr>
          <w:rFonts w:ascii="Book Antiqua" w:eastAsia="Book Antiqua" w:hAnsi="Book Antiqua" w:cs="Book Antiqua"/>
          <w:color w:val="000000"/>
        </w:rPr>
        <w:t>of 0.8509. Using the β coefficients derived from the regression, the percent risk of AN was then calculated through a 4-factor model (age, BMI, smoking, pack years). We plotted the percent risk of AN as a function of age for the 3 separate categories of BMI, and we plotted multiple lines to show the effects of pack years smoked and the daily consumption of red meat. (Figure 3) Finally, we used the β coefficients derived by multivariate analysis to construct a risk calculator for the detection of advanced neoplasia for individuals undergoing initial screening with endoscopy. We published this risk calculator (Risk Calculator for Advanced Neoplasia for Average Risk Individuals Undergoing Screening Colonoscopy) online at http://anriskcalc.000webhostapp.com.</w:t>
      </w:r>
    </w:p>
    <w:p w14:paraId="6DD1FA0D" w14:textId="77777777" w:rsidR="00A77B3E" w:rsidRPr="00982AA9" w:rsidRDefault="00A77B3E" w:rsidP="00982AA9">
      <w:pPr>
        <w:spacing w:line="360" w:lineRule="auto"/>
        <w:jc w:val="both"/>
        <w:rPr>
          <w:rFonts w:ascii="Book Antiqua" w:hAnsi="Book Antiqua"/>
        </w:rPr>
      </w:pPr>
    </w:p>
    <w:p w14:paraId="2B72C4A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DISCUSSION</w:t>
      </w:r>
    </w:p>
    <w:p w14:paraId="6CEE0A5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This cross-sectional prospective study resulted in the development of the first internally validated risk assessment tool for predicting presence of AN in an average risk cohort from the MENA region. Previous studies on Middle Eastern populations had only assessed the factors associated with development of CRC and not AN in case control studies</w:t>
      </w:r>
      <w:r w:rsidR="00446B21" w:rsidRPr="00982AA9">
        <w:rPr>
          <w:rFonts w:ascii="Book Antiqua" w:eastAsia="Book Antiqua" w:hAnsi="Book Antiqua" w:cs="Book Antiqua"/>
          <w:color w:val="000000"/>
          <w:vertAlign w:val="superscript"/>
        </w:rPr>
        <w:t>[19-21]</w:t>
      </w:r>
      <w:r w:rsidRPr="00982AA9">
        <w:rPr>
          <w:rFonts w:ascii="Book Antiqua" w:eastAsia="Book Antiqua" w:hAnsi="Book Antiqua" w:cs="Book Antiqua"/>
          <w:color w:val="000000"/>
        </w:rPr>
        <w:t xml:space="preserve">. Our model has good discriminatory ability through internal validation by </w:t>
      </w:r>
      <w:r w:rsidRPr="00982AA9">
        <w:rPr>
          <w:rFonts w:ascii="Book Antiqua" w:eastAsia="Book Antiqua" w:hAnsi="Book Antiqua" w:cs="Book Antiqua"/>
          <w:color w:val="000000"/>
        </w:rPr>
        <w:lastRenderedPageBreak/>
        <w:t>bootstrapping. The AUCs of similar models have ranged from 0.65-0.75, showing that the discriminatory ability of the developed model is on the higher end of this range</w:t>
      </w:r>
      <w:r w:rsidRPr="00982AA9">
        <w:rPr>
          <w:rFonts w:ascii="Book Antiqua" w:eastAsia="Book Antiqua" w:hAnsi="Book Antiqua" w:cs="Book Antiqua"/>
          <w:color w:val="000000"/>
          <w:vertAlign w:val="superscript"/>
        </w:rPr>
        <w:t>[19]</w:t>
      </w:r>
      <w:r w:rsidRPr="00982AA9">
        <w:rPr>
          <w:rFonts w:ascii="Book Antiqua" w:eastAsia="Book Antiqua" w:hAnsi="Book Antiqua" w:cs="Book Antiqua"/>
          <w:color w:val="000000"/>
        </w:rPr>
        <w:t>. The model was also found to be well calibrated, meaning that the probabilities predicted matched the empirically derived probabilities well. We found that age, smoking and BMI were the most important risk factors for the detection of AN. These are well established risk factors that have been used in many models of colon cancer risk with biological plausibility previously explored</w:t>
      </w:r>
      <w:r w:rsidR="0081767A" w:rsidRPr="00982AA9">
        <w:rPr>
          <w:rFonts w:ascii="Book Antiqua" w:eastAsia="Book Antiqua" w:hAnsi="Book Antiqua" w:cs="Book Antiqua"/>
          <w:color w:val="000000"/>
          <w:vertAlign w:val="superscript"/>
        </w:rPr>
        <w:t>[15,</w:t>
      </w:r>
      <w:r w:rsidRPr="00982AA9">
        <w:rPr>
          <w:rFonts w:ascii="Book Antiqua" w:eastAsia="Book Antiqua" w:hAnsi="Book Antiqua" w:cs="Book Antiqua"/>
          <w:color w:val="000000"/>
          <w:vertAlign w:val="superscript"/>
        </w:rPr>
        <w:t>19]</w:t>
      </w:r>
      <w:r w:rsidRPr="00982AA9">
        <w:rPr>
          <w:rFonts w:ascii="Book Antiqua" w:eastAsia="Book Antiqua" w:hAnsi="Book Antiqua" w:cs="Book Antiqua"/>
          <w:color w:val="000000"/>
        </w:rPr>
        <w:t>.</w:t>
      </w:r>
    </w:p>
    <w:p w14:paraId="03105C45" w14:textId="77777777" w:rsidR="00A77B3E" w:rsidRPr="00982AA9" w:rsidRDefault="00AC667B" w:rsidP="00982AA9">
      <w:pPr>
        <w:spacing w:line="360" w:lineRule="auto"/>
        <w:ind w:firstLineChars="200" w:firstLine="480"/>
        <w:jc w:val="both"/>
        <w:rPr>
          <w:rFonts w:ascii="Book Antiqua" w:hAnsi="Book Antiqua"/>
          <w:lang w:eastAsia="zh-CN"/>
        </w:rPr>
      </w:pPr>
      <w:r w:rsidRPr="00982AA9">
        <w:rPr>
          <w:rFonts w:ascii="Book Antiqua" w:eastAsia="Book Antiqua" w:hAnsi="Book Antiqua" w:cs="Book Antiqua"/>
          <w:color w:val="000000"/>
        </w:rPr>
        <w:t>We chose to exclude any patients who underwent prior CRC screening, and patients with a positive family history. As previously argued</w:t>
      </w:r>
      <w:r w:rsidRPr="00982AA9">
        <w:rPr>
          <w:rFonts w:ascii="Book Antiqua" w:eastAsia="Book Antiqua" w:hAnsi="Book Antiqua" w:cs="Book Antiqua"/>
          <w:color w:val="000000"/>
          <w:vertAlign w:val="superscript"/>
        </w:rPr>
        <w:t>[22]</w:t>
      </w:r>
      <w:r w:rsidRPr="00982AA9">
        <w:rPr>
          <w:rFonts w:ascii="Book Antiqua" w:eastAsia="Book Antiqua" w:hAnsi="Book Antiqua" w:cs="Book Antiqua"/>
          <w:color w:val="000000"/>
        </w:rPr>
        <w:t xml:space="preserve">, prior colonoscopy is an extremely powerful surveillance tool that is able to overshadow any baseline risk stratification. A family history positive for CRC has a similar impact. Including these patient populations serves as a significant source of bias when attempting to develop risk prediction models for true average-risk individuals. In our review of the literature (Table 3), we found that of the 22 risk prediction models for average-risk individuals </w:t>
      </w:r>
      <w:r w:rsidR="007F5590" w:rsidRPr="00982AA9">
        <w:rPr>
          <w:rFonts w:ascii="Book Antiqua" w:eastAsia="Book Antiqua" w:hAnsi="Book Antiqua" w:cs="Book Antiqua"/>
          <w:color w:val="000000"/>
        </w:rPr>
        <w:t>undergoing screening colonoscopy</w:t>
      </w:r>
      <w:r w:rsidR="007F5590" w:rsidRPr="00982AA9">
        <w:rPr>
          <w:rFonts w:ascii="Book Antiqua" w:eastAsia="Book Antiqua" w:hAnsi="Book Antiqua" w:cs="Book Antiqua"/>
          <w:color w:val="000000"/>
          <w:vertAlign w:val="superscript"/>
        </w:rPr>
        <w:t>[24-29,33-48]</w:t>
      </w:r>
      <w:r w:rsidR="007F5590" w:rsidRPr="00982AA9">
        <w:rPr>
          <w:rFonts w:ascii="Book Antiqua" w:eastAsia="Book Antiqua" w:hAnsi="Book Antiqua" w:cs="Book Antiqua"/>
          <w:color w:val="000000"/>
        </w:rPr>
        <w:t>, only 2 excluded patients who underwent a prior colonoscopy and those with a family history of colon cancer</w:t>
      </w:r>
      <w:r w:rsidR="007F5590" w:rsidRPr="00982AA9">
        <w:rPr>
          <w:rFonts w:ascii="Book Antiqua" w:eastAsia="Book Antiqua" w:hAnsi="Book Antiqua" w:cs="Book Antiqua"/>
          <w:color w:val="000000"/>
          <w:vertAlign w:val="superscript"/>
        </w:rPr>
        <w:t>[34,41]</w:t>
      </w:r>
      <w:r w:rsidR="007F5590" w:rsidRPr="00982AA9">
        <w:rPr>
          <w:rFonts w:ascii="Book Antiqua" w:eastAsia="Book Antiqua" w:hAnsi="Book Antiqua" w:cs="Book Antiqua"/>
          <w:color w:val="000000"/>
        </w:rPr>
        <w:t>. One was based on a retrospective study, limiting the ability to assess the influence of life-style factors</w:t>
      </w:r>
      <w:r w:rsidR="007F5590" w:rsidRPr="00982AA9">
        <w:rPr>
          <w:rFonts w:ascii="Book Antiqua" w:eastAsia="Book Antiqua" w:hAnsi="Book Antiqua" w:cs="Book Antiqua"/>
          <w:color w:val="000000"/>
          <w:vertAlign w:val="superscript"/>
        </w:rPr>
        <w:t>[41]</w:t>
      </w:r>
      <w:r w:rsidR="007F5590" w:rsidRPr="00982AA9">
        <w:rPr>
          <w:rFonts w:ascii="Book Antiqua" w:eastAsia="Book Antiqua" w:hAnsi="Book Antiqua" w:cs="Book Antiqua"/>
          <w:color w:val="000000"/>
        </w:rPr>
        <w:t>, while the second enrolled any patient above the age of 20</w:t>
      </w:r>
      <w:r w:rsidR="007F5590" w:rsidRPr="00982AA9">
        <w:rPr>
          <w:rFonts w:ascii="Book Antiqua" w:eastAsia="Book Antiqua" w:hAnsi="Book Antiqua" w:cs="Book Antiqua"/>
          <w:color w:val="000000"/>
          <w:vertAlign w:val="superscript"/>
        </w:rPr>
        <w:t>[34]</w:t>
      </w:r>
      <w:r w:rsidR="007F5590" w:rsidRPr="00982AA9">
        <w:rPr>
          <w:rFonts w:ascii="Book Antiqua" w:eastAsia="Book Antiqua" w:hAnsi="Book Antiqua" w:cs="Book Antiqua"/>
          <w:color w:val="000000"/>
        </w:rPr>
        <w:t xml:space="preserve">, inconsistent with guidelines-based recommendations for CRC screening. </w:t>
      </w:r>
    </w:p>
    <w:p w14:paraId="25B06576"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Although the association between age and AN was not found to be a strong one when analyzed as the variable of interest in logistic regression it remains a well-known important predictor of AN, clearly demonstrated by the nomograms in Figure 3, in which the risk of AN increases after age of 50, with steeper slope after the age of 65.</w:t>
      </w:r>
    </w:p>
    <w:p w14:paraId="7B3121A7"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Our data also supports age as a risk factor for AN with an additive effect when combined with other risk factors such as increasing BMI and smoking. Age has been used in all 17 risk prediction models identified by a systematic review</w:t>
      </w:r>
      <w:r w:rsidRPr="00982AA9">
        <w:rPr>
          <w:rFonts w:ascii="Book Antiqua" w:eastAsia="Book Antiqua" w:hAnsi="Book Antiqua" w:cs="Book Antiqua"/>
          <w:color w:val="000000"/>
          <w:vertAlign w:val="superscript"/>
        </w:rPr>
        <w:t>[23]</w:t>
      </w:r>
      <w:r w:rsidRPr="00982AA9">
        <w:rPr>
          <w:rFonts w:ascii="Book Antiqua" w:eastAsia="Book Antiqua" w:hAnsi="Book Antiqua" w:cs="Book Antiqua"/>
          <w:color w:val="000000"/>
        </w:rPr>
        <w:t>. The effect of age in our study is considerably weaker than in other models</w:t>
      </w:r>
      <w:r w:rsidRPr="00982AA9">
        <w:rPr>
          <w:rFonts w:ascii="Book Antiqua" w:eastAsia="Book Antiqua" w:hAnsi="Book Antiqua" w:cs="Book Antiqua"/>
          <w:color w:val="000000"/>
          <w:vertAlign w:val="superscript"/>
        </w:rPr>
        <w:t>[24-26]</w:t>
      </w:r>
      <w:r w:rsidRPr="00982AA9">
        <w:rPr>
          <w:rFonts w:ascii="Book Antiqua" w:eastAsia="Book Antiqua" w:hAnsi="Book Antiqua" w:cs="Book Antiqua"/>
          <w:color w:val="000000"/>
        </w:rPr>
        <w:t xml:space="preserve"> however, in all of those models, patients were included if their age was greater than 40, while in our study patients were only included if they were older than 50, and the age spread was fairly </w:t>
      </w:r>
      <w:r w:rsidRPr="00982AA9">
        <w:rPr>
          <w:rFonts w:ascii="Book Antiqua" w:eastAsia="Book Antiqua" w:hAnsi="Book Antiqua" w:cs="Book Antiqua"/>
          <w:color w:val="000000"/>
        </w:rPr>
        <w:lastRenderedPageBreak/>
        <w:t>narrow (mean 60 ± 8) limiting our ability to capture the full effect of age on AN risk. Since more than 90% of cases of CRC occur after the age of 50</w:t>
      </w:r>
      <w:r w:rsidRPr="00982AA9">
        <w:rPr>
          <w:rFonts w:ascii="Book Antiqua" w:eastAsia="Book Antiqua" w:hAnsi="Book Antiqua" w:cs="Book Antiqua"/>
          <w:color w:val="000000"/>
          <w:vertAlign w:val="superscript"/>
        </w:rPr>
        <w:t>[27]</w:t>
      </w:r>
      <w:r w:rsidRPr="00982AA9">
        <w:rPr>
          <w:rFonts w:ascii="Book Antiqua" w:eastAsia="Book Antiqua" w:hAnsi="Book Antiqua" w:cs="Book Antiqua"/>
          <w:color w:val="000000"/>
        </w:rPr>
        <w:t xml:space="preserve"> this may have made the effect of age more pronounced in the other studies, and this may account for the discrepancy with our model. The Lebanese Ministry of Public Health has put forth screening guidelines </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 xml:space="preserve"> that state that screening for average risk patients should be done with FIT testing annually from age 50-75</w:t>
      </w:r>
      <w:r w:rsidRPr="00982AA9">
        <w:rPr>
          <w:rFonts w:ascii="Book Antiqua" w:eastAsia="Book Antiqua" w:hAnsi="Book Antiqua" w:cs="Book Antiqua"/>
          <w:color w:val="000000"/>
          <w:vertAlign w:val="superscript"/>
        </w:rPr>
        <w:t>[16]</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however, the guidelines do not take into consideration risk factors other than age and conditions that predispose to the development of CRC, a gap our findings help fill. </w:t>
      </w:r>
    </w:p>
    <w:p w14:paraId="26E506F2"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We found a strong increase in the risk of CRC with increased cumulative exposure to smoking. Smoking more than 40 pack-years was associated with a 4-fold increase in the odds of AN, making it the strongest risk factor in our study. This finding is particularly striking when we note that amongst our study population, 46.9% of the patients reported to be smokers</w:t>
      </w:r>
      <w:r w:rsidRPr="00982AA9">
        <w:rPr>
          <w:rFonts w:ascii="Book Antiqua" w:eastAsia="Book Antiqua" w:hAnsi="Book Antiqua" w:cs="Book Antiqua"/>
          <w:color w:val="000000"/>
          <w:vertAlign w:val="superscript"/>
        </w:rPr>
        <w:t>[28]</w:t>
      </w:r>
      <w:r w:rsidRPr="00982AA9">
        <w:rPr>
          <w:rFonts w:ascii="Book Antiqua" w:eastAsia="Book Antiqua" w:hAnsi="Book Antiqua" w:cs="Book Antiqua"/>
          <w:color w:val="000000"/>
        </w:rPr>
        <w:t>. The large prevalence of smoking may explain the discrepancy in the effect of smoking in our model compared to other models in which it seems to carry less influence on risk</w:t>
      </w:r>
      <w:r w:rsidR="0081767A" w:rsidRPr="00982AA9">
        <w:rPr>
          <w:rFonts w:ascii="Book Antiqua" w:eastAsia="Book Antiqua" w:hAnsi="Book Antiqua" w:cs="Book Antiqua"/>
          <w:color w:val="000000"/>
          <w:vertAlign w:val="superscript"/>
        </w:rPr>
        <w:t>[25-27,</w:t>
      </w:r>
      <w:r w:rsidRPr="00982AA9">
        <w:rPr>
          <w:rFonts w:ascii="Book Antiqua" w:eastAsia="Book Antiqua" w:hAnsi="Book Antiqua" w:cs="Book Antiqua"/>
          <w:color w:val="000000"/>
          <w:vertAlign w:val="superscript"/>
        </w:rPr>
        <w:t>29]</w:t>
      </w:r>
      <w:r w:rsidRPr="00982AA9">
        <w:rPr>
          <w:rFonts w:ascii="Book Antiqua" w:eastAsia="Book Antiqua" w:hAnsi="Book Antiqua" w:cs="Book Antiqua"/>
          <w:color w:val="000000"/>
        </w:rPr>
        <w:t>. BMI was another factor found to significantly influence the risk of development of AN. Overweight individuals (BMI 25-30) have 2 times the odds of developing AN, though this did not attain statistical significance. However, obese individuals (BMI &gt; 30) had a 3.5 times increased risk of developing AN, and this was found to be statistically significant, supporting the influence of BMI on risk in our population. This effect seems to be much larger than those found in other prediction models</w:t>
      </w:r>
      <w:r w:rsidRPr="00982AA9">
        <w:rPr>
          <w:rFonts w:ascii="Book Antiqua" w:eastAsia="Book Antiqua" w:hAnsi="Book Antiqua" w:cs="Book Antiqua"/>
          <w:color w:val="000000"/>
          <w:vertAlign w:val="superscript"/>
        </w:rPr>
        <w:t>[24-26]</w:t>
      </w:r>
      <w:r w:rsidRPr="00982AA9">
        <w:rPr>
          <w:rFonts w:ascii="Book Antiqua" w:eastAsia="Book Antiqua" w:hAnsi="Book Antiqua" w:cs="Book Antiqua"/>
          <w:color w:val="000000"/>
        </w:rPr>
        <w:t>.</w:t>
      </w:r>
      <w:r w:rsidR="006933CF"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Our study population had an average BMI of 26.7, and approximately two-thirds of participants were ob</w:t>
      </w:r>
      <w:r w:rsidR="0081767A" w:rsidRPr="00982AA9">
        <w:rPr>
          <w:rFonts w:ascii="Book Antiqua" w:eastAsia="Book Antiqua" w:hAnsi="Book Antiqua" w:cs="Book Antiqua"/>
          <w:color w:val="000000"/>
        </w:rPr>
        <w:t xml:space="preserve">ese or overweight. For Betes </w:t>
      </w:r>
      <w:r w:rsidR="0081767A" w:rsidRPr="00982AA9">
        <w:rPr>
          <w:rFonts w:ascii="Book Antiqua" w:eastAsia="Book Antiqua" w:hAnsi="Book Antiqua" w:cs="Book Antiqua"/>
          <w:i/>
          <w:color w:val="000000"/>
        </w:rPr>
        <w:t>et</w:t>
      </w:r>
      <w:r w:rsidRPr="00982AA9">
        <w:rPr>
          <w:rFonts w:ascii="Book Antiqua" w:eastAsia="Book Antiqua" w:hAnsi="Book Antiqua" w:cs="Book Antiqua"/>
          <w:i/>
          <w:color w:val="000000"/>
        </w:rPr>
        <w:t xml:space="preserve"> al</w:t>
      </w:r>
      <w:r w:rsidRPr="00982AA9">
        <w:rPr>
          <w:rFonts w:ascii="Book Antiqua" w:eastAsia="Book Antiqua" w:hAnsi="Book Antiqua" w:cs="Book Antiqua"/>
          <w:color w:val="000000"/>
          <w:vertAlign w:val="superscript"/>
        </w:rPr>
        <w:t>[25]</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the average BMI was 27 kg/m</w:t>
      </w:r>
      <w:r w:rsidRPr="00982AA9">
        <w:rPr>
          <w:rFonts w:ascii="Book Antiqua" w:eastAsia="Book Antiqua" w:hAnsi="Book Antiqua" w:cs="Book Antiqua"/>
          <w:color w:val="000000"/>
          <w:vertAlign w:val="superscript"/>
        </w:rPr>
        <w:t>2</w:t>
      </w:r>
      <w:r w:rsidR="00B502DC" w:rsidRPr="00982AA9">
        <w:rPr>
          <w:rFonts w:ascii="Book Antiqua" w:eastAsia="Book Antiqua" w:hAnsi="Book Antiqua" w:cs="Book Antiqua"/>
          <w:color w:val="000000"/>
        </w:rPr>
        <w:t xml:space="preserve">, while Kamniski </w:t>
      </w:r>
      <w:r w:rsidR="00B502DC" w:rsidRPr="00982AA9">
        <w:rPr>
          <w:rFonts w:ascii="Book Antiqua" w:eastAsia="Book Antiqua" w:hAnsi="Book Antiqua" w:cs="Book Antiqua"/>
          <w:i/>
          <w:color w:val="000000"/>
        </w:rPr>
        <w:t>et</w:t>
      </w:r>
      <w:r w:rsidRPr="00982AA9">
        <w:rPr>
          <w:rFonts w:ascii="Book Antiqua" w:eastAsia="Book Antiqua" w:hAnsi="Book Antiqua" w:cs="Book Antiqua"/>
          <w:i/>
          <w:color w:val="000000"/>
        </w:rPr>
        <w:t xml:space="preserve"> </w:t>
      </w:r>
      <w:r w:rsidR="00B502DC" w:rsidRPr="00982AA9">
        <w:rPr>
          <w:rFonts w:ascii="Book Antiqua" w:eastAsia="Book Antiqua" w:hAnsi="Book Antiqua" w:cs="Book Antiqua"/>
          <w:i/>
          <w:color w:val="000000"/>
        </w:rPr>
        <w:t>al</w:t>
      </w:r>
      <w:r w:rsidRPr="00982AA9">
        <w:rPr>
          <w:rFonts w:ascii="Book Antiqua" w:eastAsia="Book Antiqua" w:hAnsi="Book Antiqua" w:cs="Book Antiqua"/>
          <w:color w:val="000000"/>
          <w:vertAlign w:val="superscript"/>
        </w:rPr>
        <w:t>[29]</w:t>
      </w:r>
      <w:r w:rsidRPr="00982AA9">
        <w:rPr>
          <w:rFonts w:ascii="Book Antiqua" w:eastAsia="Book Antiqua" w:hAnsi="Book Antiqua" w:cs="Book Antiqua"/>
          <w:color w:val="000000"/>
        </w:rPr>
        <w:t xml:space="preserve"> had a nearly identical distribution of BMI to our study. Indeed, the effect of BMI seems to be magnified amongst our population. A pooled analysis on the effect of obesity on the detection of adenomas showed an OR of 1.47, and our odds ratio was much larger than any of the studies in the systematic review</w:t>
      </w:r>
      <w:r w:rsidRPr="00982AA9">
        <w:rPr>
          <w:rFonts w:ascii="Book Antiqua" w:eastAsia="Book Antiqua" w:hAnsi="Book Antiqua" w:cs="Book Antiqua"/>
          <w:color w:val="000000"/>
          <w:vertAlign w:val="superscript"/>
        </w:rPr>
        <w:t>[30]</w:t>
      </w:r>
      <w:r w:rsidRPr="00982AA9">
        <w:rPr>
          <w:rFonts w:ascii="Book Antiqua" w:eastAsia="Book Antiqua" w:hAnsi="Book Antiqua" w:cs="Book Antiqua"/>
          <w:color w:val="000000"/>
        </w:rPr>
        <w:t>. Although reasons for this are unclear, this points to the importance of BMI as a risk factor in our population.</w:t>
      </w:r>
    </w:p>
    <w:p w14:paraId="3B482E62"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lastRenderedPageBreak/>
        <w:t>Red meat consumption was found to correlate with AN on univariate analysis when participants were cate</w:t>
      </w:r>
      <w:r w:rsidR="00317039" w:rsidRPr="00982AA9">
        <w:rPr>
          <w:rFonts w:ascii="Book Antiqua" w:eastAsia="Book Antiqua" w:hAnsi="Book Antiqua" w:cs="Book Antiqua"/>
          <w:color w:val="000000"/>
        </w:rPr>
        <w:t xml:space="preserve">gorized by daily consumption </w:t>
      </w:r>
      <w:r w:rsidR="00317039" w:rsidRPr="00982AA9">
        <w:rPr>
          <w:rFonts w:ascii="Book Antiqua" w:eastAsia="Book Antiqua" w:hAnsi="Book Antiqua" w:cs="Book Antiqua"/>
          <w:i/>
          <w:color w:val="000000"/>
        </w:rPr>
        <w:t>vs</w:t>
      </w:r>
      <w:r w:rsidRPr="00982AA9">
        <w:rPr>
          <w:rFonts w:ascii="Book Antiqua" w:eastAsia="Book Antiqua" w:hAnsi="Book Antiqua" w:cs="Book Antiqua"/>
          <w:color w:val="000000"/>
        </w:rPr>
        <w:t xml:space="preserve"> not, but not when participants were subcategorized by frequency of consumption. This either suggests that our study was not powered to adequately detect subtle differences in red meat intake, or possibly that red meat consumption only causes a significant effect when larger quantities are consumed. Other factors that were not found to correlate with risk of AN were alcohol use and the presence of diabetes, in contrast to findings of prior studies</w:t>
      </w:r>
      <w:r w:rsidRPr="00982AA9">
        <w:rPr>
          <w:rFonts w:ascii="Book Antiqua" w:eastAsia="Book Antiqua" w:hAnsi="Book Antiqua" w:cs="Book Antiqua"/>
          <w:color w:val="000000"/>
          <w:vertAlign w:val="superscript"/>
        </w:rPr>
        <w:t>[31]</w:t>
      </w:r>
      <w:r w:rsidRPr="00982AA9">
        <w:rPr>
          <w:rFonts w:ascii="Book Antiqua" w:eastAsia="Book Antiqua" w:hAnsi="Book Antiqua" w:cs="Book Antiqua"/>
          <w:color w:val="000000"/>
        </w:rPr>
        <w:t xml:space="preserve"> Regarding alcohol use, 18% of patients with AN reported intake of at least one drink daily, compared to 9.8% of those with no AN, a non-significant difference. Similarly, 12% of those with AN reported diabetes, compared to 8% with no AN. Likely we were not able to find an association between these factors and AN risk due to overall low prevalence of exposure in our study population, due in part to differences in lifestyle between our population and other previously studied populations. </w:t>
      </w:r>
    </w:p>
    <w:p w14:paraId="5B282F7B"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The overall prevalence of AN in our cohort was 5.1%, which is comparable to rates reported in the U</w:t>
      </w:r>
      <w:r w:rsidR="00323284">
        <w:rPr>
          <w:rFonts w:ascii="Book Antiqua" w:eastAsia="Book Antiqua" w:hAnsi="Book Antiqua" w:cs="Book Antiqua"/>
          <w:color w:val="000000"/>
        </w:rPr>
        <w:t xml:space="preserve">nited </w:t>
      </w:r>
      <w:r w:rsidRPr="00982AA9">
        <w:rPr>
          <w:rFonts w:ascii="Book Antiqua" w:eastAsia="Book Antiqua" w:hAnsi="Book Antiqua" w:cs="Book Antiqua"/>
          <w:color w:val="000000"/>
        </w:rPr>
        <w:t>S</w:t>
      </w:r>
      <w:r w:rsidR="00323284">
        <w:rPr>
          <w:rFonts w:ascii="Book Antiqua" w:eastAsia="Book Antiqua" w:hAnsi="Book Antiqua" w:cs="Book Antiqua"/>
          <w:color w:val="000000"/>
        </w:rPr>
        <w:t>tates</w:t>
      </w:r>
      <w:r w:rsidRPr="00982AA9">
        <w:rPr>
          <w:rFonts w:ascii="Book Antiqua" w:eastAsia="Book Antiqua" w:hAnsi="Book Antiqua" w:cs="Book Antiqua"/>
          <w:color w:val="000000"/>
          <w:vertAlign w:val="superscript"/>
        </w:rPr>
        <w:t>[32]</w:t>
      </w:r>
      <w:r w:rsidRPr="00982AA9">
        <w:rPr>
          <w:rFonts w:ascii="Book Antiqua" w:eastAsia="Book Antiqua" w:hAnsi="Book Antiqua" w:cs="Book Antiqua"/>
          <w:color w:val="000000"/>
        </w:rPr>
        <w:t>, Europe</w:t>
      </w:r>
      <w:r w:rsidR="0081767A" w:rsidRPr="00982AA9">
        <w:rPr>
          <w:rFonts w:ascii="Book Antiqua" w:eastAsia="Book Antiqua" w:hAnsi="Book Antiqua" w:cs="Book Antiqua"/>
          <w:color w:val="000000"/>
          <w:vertAlign w:val="superscript"/>
        </w:rPr>
        <w:t>[25,</w:t>
      </w:r>
      <w:r w:rsidRPr="00982AA9">
        <w:rPr>
          <w:rFonts w:ascii="Book Antiqua" w:eastAsia="Book Antiqua" w:hAnsi="Book Antiqua" w:cs="Book Antiqua"/>
          <w:color w:val="000000"/>
          <w:vertAlign w:val="superscript"/>
        </w:rPr>
        <w:t>29]</w:t>
      </w:r>
      <w:r w:rsidR="00317039"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and Asia</w:t>
      </w:r>
      <w:r w:rsidR="0081767A" w:rsidRPr="00982AA9">
        <w:rPr>
          <w:rFonts w:ascii="Book Antiqua" w:eastAsia="Book Antiqua" w:hAnsi="Book Antiqua" w:cs="Book Antiqua"/>
          <w:color w:val="000000"/>
          <w:vertAlign w:val="superscript"/>
        </w:rPr>
        <w:t>[26,</w:t>
      </w:r>
      <w:r w:rsidRPr="00982AA9">
        <w:rPr>
          <w:rFonts w:ascii="Book Antiqua" w:eastAsia="Book Antiqua" w:hAnsi="Book Antiqua" w:cs="Book Antiqua"/>
          <w:color w:val="000000"/>
          <w:vertAlign w:val="superscript"/>
        </w:rPr>
        <w:t>27]</w:t>
      </w:r>
      <w:r w:rsidRPr="00982AA9">
        <w:rPr>
          <w:rFonts w:ascii="Book Antiqua" w:eastAsia="Book Antiqua" w:hAnsi="Book Antiqua" w:cs="Book Antiqua"/>
          <w:color w:val="000000"/>
        </w:rPr>
        <w:t>. In a country like Lebanon, where resources are scarce and there is no formal national screening program for CRC, the costs of screening colonoscopy for an average-risk population may be too great to bear at the current time. In resource-limited contexts, risk stratification models could play an important role in prioritizing delivery of care. For instance, our predictive model show that the risk of advanced neoplasia in a 65 year old non-smoker male with a BMI &lt;</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25 is approximately 2%, while the risk for a 65 year old male with a BMI between 25-30 who has smoked between 10-40 pack years and consumes meat red meat daily is approximately 14%, </w:t>
      </w:r>
      <w:r w:rsidRPr="00982AA9">
        <w:rPr>
          <w:rFonts w:ascii="Book Antiqua" w:eastAsia="Book Antiqua" w:hAnsi="Book Antiqua" w:cs="Book Antiqua"/>
          <w:i/>
          <w:color w:val="000000"/>
        </w:rPr>
        <w:t>i.e.</w:t>
      </w:r>
      <w:r w:rsidR="00243ED6" w:rsidRPr="00243ED6">
        <w:rPr>
          <w:rFonts w:ascii="Book Antiqua" w:eastAsia="Book Antiqua" w:hAnsi="Book Antiqua" w:cs="Book Antiqua"/>
          <w:color w:val="000000"/>
        </w:rPr>
        <w:t xml:space="preserve">, </w:t>
      </w:r>
      <w:r w:rsidRPr="00982AA9">
        <w:rPr>
          <w:rFonts w:ascii="Book Antiqua" w:eastAsia="Book Antiqua" w:hAnsi="Book Antiqua" w:cs="Book Antiqua"/>
          <w:color w:val="000000"/>
        </w:rPr>
        <w:t xml:space="preserve">more than 7 times the risk of the first patient. However, most published guidelines on screening with colonoscopy do not distinguish between these 2 hypothetical patients. In resource-limited settings, it may be advantageous to reserve screening colonoscopy for patients found to be at high-risk through risk stratification models, while screening low risk patients with FIT testing for cost-effectiveness. The presented model can be considered a prototype tool for underserved countries, as CRC incidence is increasing in developing countries, and has particularly </w:t>
      </w:r>
      <w:r w:rsidRPr="00982AA9">
        <w:rPr>
          <w:rFonts w:ascii="Book Antiqua" w:eastAsia="Book Antiqua" w:hAnsi="Book Antiqua" w:cs="Book Antiqua"/>
          <w:color w:val="000000"/>
        </w:rPr>
        <w:lastRenderedPageBreak/>
        <w:t>been increasing in Lebanon, which currently has the second highest rate of CRC in the MENA region</w:t>
      </w:r>
      <w:r w:rsidR="0081767A" w:rsidRPr="00982AA9">
        <w:rPr>
          <w:rFonts w:ascii="Book Antiqua" w:eastAsia="Book Antiqua" w:hAnsi="Book Antiqua" w:cs="Book Antiqua"/>
          <w:color w:val="000000"/>
          <w:vertAlign w:val="superscript"/>
        </w:rPr>
        <w:t>[11]</w:t>
      </w:r>
      <w:r w:rsidRPr="00982AA9">
        <w:rPr>
          <w:rFonts w:ascii="Book Antiqua" w:eastAsia="Book Antiqua" w:hAnsi="Book Antiqua" w:cs="Book Antiqua"/>
          <w:color w:val="000000"/>
        </w:rPr>
        <w:t xml:space="preserve">. </w:t>
      </w:r>
    </w:p>
    <w:p w14:paraId="2FB25F45" w14:textId="77777777" w:rsidR="00A77B3E" w:rsidRPr="00982AA9" w:rsidRDefault="00AC667B" w:rsidP="00982AA9">
      <w:pPr>
        <w:spacing w:line="360" w:lineRule="auto"/>
        <w:ind w:firstLineChars="200" w:firstLine="480"/>
        <w:jc w:val="both"/>
        <w:rPr>
          <w:rFonts w:ascii="Book Antiqua" w:hAnsi="Book Antiqua"/>
        </w:rPr>
      </w:pPr>
      <w:r w:rsidRPr="00982AA9">
        <w:rPr>
          <w:rFonts w:ascii="Book Antiqua" w:eastAsia="Book Antiqua" w:hAnsi="Book Antiqua" w:cs="Book Antiqua"/>
          <w:color w:val="000000"/>
        </w:rPr>
        <w:t>Our study has important strengths and a few limitations. The sample size is large for a country the size of Lebanon constituting 1:1000 of the at-risk population aged 50-75 in Lebanon (</w:t>
      </w:r>
      <w:r w:rsidR="00243ED6" w:rsidRPr="00243ED6">
        <w:rPr>
          <w:rFonts w:ascii="Book Antiqua" w:eastAsia="Book Antiqua" w:hAnsi="Book Antiqua" w:cs="Book Antiqua"/>
          <w:i/>
          <w:color w:val="000000"/>
        </w:rPr>
        <w:t>n</w:t>
      </w:r>
      <w:r w:rsidR="00243ED6" w:rsidRPr="00243ED6">
        <w:rPr>
          <w:rFonts w:ascii="Book Antiqua" w:hAnsi="Book Antiqua" w:cs="Book Antiqua"/>
          <w:i/>
          <w:color w:val="000000"/>
          <w:lang w:eastAsia="zh-CN"/>
        </w:rPr>
        <w:t xml:space="preserve"> </w:t>
      </w:r>
      <w:r w:rsidRPr="00982AA9">
        <w:rPr>
          <w:rFonts w:ascii="Book Antiqua" w:eastAsia="Book Antiqua" w:hAnsi="Book Antiqua" w:cs="Book Antiqua"/>
          <w:color w:val="000000"/>
        </w:rPr>
        <w:t>=</w:t>
      </w:r>
      <w:r w:rsidR="0081767A" w:rsidRPr="00982AA9">
        <w:rPr>
          <w:rFonts w:ascii="Book Antiqua" w:hAnsi="Book Antiqua" w:cs="Book Antiqua"/>
          <w:color w:val="000000"/>
          <w:lang w:eastAsia="zh-CN"/>
        </w:rPr>
        <w:t xml:space="preserve"> </w:t>
      </w:r>
      <w:r w:rsidR="0081767A" w:rsidRPr="00982AA9">
        <w:rPr>
          <w:rFonts w:ascii="Book Antiqua" w:eastAsia="Book Antiqua" w:hAnsi="Book Antiqua" w:cs="Book Antiqua"/>
          <w:color w:val="000000"/>
        </w:rPr>
        <w:t>798</w:t>
      </w:r>
      <w:r w:rsidRPr="00982AA9">
        <w:rPr>
          <w:rFonts w:ascii="Book Antiqua" w:eastAsia="Book Antiqua" w:hAnsi="Book Antiqua" w:cs="Book Antiqua"/>
          <w:color w:val="000000"/>
        </w:rPr>
        <w:t>440)</w:t>
      </w:r>
      <w:r w:rsidRPr="00982AA9">
        <w:rPr>
          <w:rFonts w:ascii="Book Antiqua" w:eastAsia="Book Antiqua" w:hAnsi="Book Antiqua" w:cs="Book Antiqua"/>
          <w:color w:val="000000"/>
          <w:vertAlign w:val="superscript"/>
        </w:rPr>
        <w:t>[16]</w:t>
      </w:r>
      <w:r w:rsidRPr="00982AA9">
        <w:rPr>
          <w:rFonts w:ascii="Book Antiqua" w:eastAsia="Book Antiqua" w:hAnsi="Book Antiqua" w:cs="Book Antiqua"/>
          <w:color w:val="000000"/>
        </w:rPr>
        <w:t>.</w:t>
      </w:r>
      <w:r w:rsidR="0081767A"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The variables used in our model are easy to ascertain clinically and often already elicited by healthcare professionals as they require only history taking, weight and height measurements in order to quantify the risk. In addition to stratification leading to more efficient CRC screening, this model can be used to educate patients on the magnitude of their risks, potentially spurring them to take an active role in modifiable risk factor modification. Our study is subject to some limitations. While internal model validation was performed, external validation in a separate population is needed to optimize model performance and increase generalizability. This study was only conducted at one large hospital, where the majority of patients have private insurance. Thus, patients from low socioeconomic status may have not been adequately represented in our sample. The patient population was also derived from patients willing to undergo screening colonoscopy, and so we may have excluded less health-conscious patients from our study. These patients may be less likely to have lifestyle-related risk factors to their health and excluding these patients may have led us to underestimate the effect of these risk factors on the presence of AN. </w:t>
      </w:r>
    </w:p>
    <w:p w14:paraId="68FDAEE2" w14:textId="77777777" w:rsidR="00A77B3E" w:rsidRPr="00982AA9" w:rsidRDefault="00A77B3E" w:rsidP="00982AA9">
      <w:pPr>
        <w:spacing w:line="360" w:lineRule="auto"/>
        <w:jc w:val="both"/>
        <w:rPr>
          <w:rFonts w:ascii="Book Antiqua" w:hAnsi="Book Antiqua"/>
        </w:rPr>
      </w:pPr>
    </w:p>
    <w:p w14:paraId="672B059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CONCLUSION</w:t>
      </w:r>
    </w:p>
    <w:p w14:paraId="78835F5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This prospective cross-sectional study identified age, obesity, smoking, and daily red meat consumption as significant predictors of advanced colorectal neoplasia in a multivariate-logarithmic analysis. Our prediction rule was internally validated by bootstrapping, and this model exhibited good calibration and discrimination. This model, available through a free online calculator, may aid in risk-stratifying patients presenting for screening for CRC in Lebanon, with the caveat that external validation is still required for this model.</w:t>
      </w:r>
    </w:p>
    <w:p w14:paraId="62EE018B" w14:textId="77777777" w:rsidR="00A77B3E" w:rsidRPr="00982AA9" w:rsidRDefault="00A77B3E" w:rsidP="00982AA9">
      <w:pPr>
        <w:spacing w:line="360" w:lineRule="auto"/>
        <w:jc w:val="both"/>
        <w:rPr>
          <w:rFonts w:ascii="Book Antiqua" w:hAnsi="Book Antiqua"/>
        </w:rPr>
      </w:pPr>
    </w:p>
    <w:p w14:paraId="5FBE297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ARTICLE HIGHLIGHTS</w:t>
      </w:r>
    </w:p>
    <w:p w14:paraId="1D493FE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background</w:t>
      </w:r>
    </w:p>
    <w:p w14:paraId="1E26397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Colorectal cancer is the third leading cause of cancer globally. Screening for colorectal cancer has been shown to decrease colon cancer mortality. While colonoscopy is the best modality to screen for colon cancer, it is also the most expensive. In resource-limited countries, risk stratification may be useful to optimize colorectal cancer screening. </w:t>
      </w:r>
    </w:p>
    <w:p w14:paraId="3B7695CB" w14:textId="77777777" w:rsidR="00A77B3E" w:rsidRPr="00982AA9" w:rsidRDefault="00A77B3E" w:rsidP="00982AA9">
      <w:pPr>
        <w:spacing w:line="360" w:lineRule="auto"/>
        <w:jc w:val="both"/>
        <w:rPr>
          <w:rFonts w:ascii="Book Antiqua" w:hAnsi="Book Antiqua"/>
        </w:rPr>
      </w:pPr>
    </w:p>
    <w:p w14:paraId="4F5D5C3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motivation</w:t>
      </w:r>
    </w:p>
    <w:p w14:paraId="4BA8AC0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Few prospective risk prediction models exist for advanced neoplasia (AN) in true average-risk individuals. </w:t>
      </w:r>
    </w:p>
    <w:p w14:paraId="20DBC1BD" w14:textId="77777777" w:rsidR="00A77B3E" w:rsidRPr="00982AA9" w:rsidRDefault="00A77B3E" w:rsidP="00982AA9">
      <w:pPr>
        <w:spacing w:line="360" w:lineRule="auto"/>
        <w:jc w:val="both"/>
        <w:rPr>
          <w:rFonts w:ascii="Book Antiqua" w:hAnsi="Book Antiqua"/>
        </w:rPr>
      </w:pPr>
    </w:p>
    <w:p w14:paraId="29A4308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objectives</w:t>
      </w:r>
    </w:p>
    <w:p w14:paraId="1AE7503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To create a validated risk prediction model to predict advanced neoplasia in average risk patients. </w:t>
      </w:r>
    </w:p>
    <w:p w14:paraId="36FE04C9" w14:textId="77777777" w:rsidR="00A77B3E" w:rsidRPr="00982AA9" w:rsidRDefault="00A77B3E" w:rsidP="00982AA9">
      <w:pPr>
        <w:spacing w:line="360" w:lineRule="auto"/>
        <w:jc w:val="both"/>
        <w:rPr>
          <w:rFonts w:ascii="Book Antiqua" w:hAnsi="Book Antiqua"/>
        </w:rPr>
      </w:pPr>
    </w:p>
    <w:p w14:paraId="4A0A57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methods</w:t>
      </w:r>
    </w:p>
    <w:p w14:paraId="09CEAA5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980 consecutive, average-risk, asymptomatic patients undergoing their first screening colonoscopy were prospectively enrolled. We completed a detailed assessment of risk factors, and collected results of endoscopy findings from the endoscopy and pathology reports. Group comparisons of categorical factors were done using</w:t>
      </w:r>
      <w:r w:rsidR="002366D0" w:rsidRPr="00982AA9">
        <w:rPr>
          <w:rFonts w:ascii="Book Antiqua" w:hAnsi="Book Antiqua" w:cs="Book Antiqua"/>
          <w:color w:val="000000"/>
          <w:lang w:eastAsia="zh-CN"/>
        </w:rPr>
        <w:t xml:space="preserve"> </w:t>
      </w:r>
      <w:r w:rsidR="002366D0" w:rsidRPr="00982AA9">
        <w:rPr>
          <w:rFonts w:ascii="Book Antiqua" w:eastAsia="Book Antiqua" w:hAnsi="Book Antiqua" w:cs="Book Antiqua"/>
          <w:i/>
          <w:color w:val="000000"/>
        </w:rPr>
        <w:t>χ</w:t>
      </w:r>
      <w:r w:rsidR="002366D0"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and for quantitative variables independent t-test or Mann Whitney tests were used based on normality of data. Multivariate logistic regression analysis was performed to identify independent predictors of AN in our cohort. Discriminatory ability of the model was assessed through the area under the curve (AUC) of the receiver-operator-characteristic curve. Model calibration was examined through observed </w:t>
      </w:r>
      <w:r w:rsidRPr="00982AA9">
        <w:rPr>
          <w:rFonts w:ascii="Book Antiqua" w:eastAsia="Book Antiqua" w:hAnsi="Book Antiqua" w:cs="Book Antiqua"/>
          <w:i/>
          <w:iCs/>
          <w:color w:val="000000"/>
        </w:rPr>
        <w:t>vs</w:t>
      </w:r>
      <w:r w:rsidRPr="00982AA9">
        <w:rPr>
          <w:rFonts w:ascii="Book Antiqua" w:eastAsia="Book Antiqua" w:hAnsi="Book Antiqua" w:cs="Book Antiqua"/>
          <w:color w:val="000000"/>
        </w:rPr>
        <w:t xml:space="preserve"> expected rates of advanced neoplasia as the derived probability of AN decile groups. Internal validation of the model was done by bootstrapping. The multivariate model coefficients were used to </w:t>
      </w:r>
      <w:r w:rsidRPr="00982AA9">
        <w:rPr>
          <w:rFonts w:ascii="Book Antiqua" w:eastAsia="Book Antiqua" w:hAnsi="Book Antiqua" w:cs="Book Antiqua"/>
          <w:color w:val="000000"/>
        </w:rPr>
        <w:lastRenderedPageBreak/>
        <w:t>present the percent risk of AN in nomogram format as a function of age and separately for different categories of BMI. The model coefficients were then used to develop a risk calculator.</w:t>
      </w:r>
    </w:p>
    <w:p w14:paraId="5868F8A9" w14:textId="77777777" w:rsidR="00A77B3E" w:rsidRPr="00982AA9" w:rsidRDefault="00A77B3E" w:rsidP="00982AA9">
      <w:pPr>
        <w:spacing w:line="360" w:lineRule="auto"/>
        <w:jc w:val="both"/>
        <w:rPr>
          <w:rFonts w:ascii="Book Antiqua" w:hAnsi="Book Antiqua"/>
        </w:rPr>
      </w:pPr>
    </w:p>
    <w:p w14:paraId="4E18425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results</w:t>
      </w:r>
    </w:p>
    <w:p w14:paraId="13B4C5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Adenoma detection and advanced neoplasia detection rates were 36.6% (F 29%: M 45%;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color w:val="000000"/>
        </w:rPr>
        <w:t xml:space="preserve">&lt; 0.001) and 5.1% (F 3.8%; M 6.5%) respectively. On multivariate analysis, the predictors of AN were age [1.036 (1.00-1.07); </w:t>
      </w:r>
      <w:r w:rsidRPr="00982AA9">
        <w:rPr>
          <w:rFonts w:ascii="Book Antiqua" w:eastAsia="Book Antiqua" w:hAnsi="Book Antiqua" w:cs="Book Antiqua"/>
          <w:i/>
          <w:iCs/>
          <w:color w:val="000000"/>
        </w:rPr>
        <w:t xml:space="preserve">P </w:t>
      </w:r>
      <w:r w:rsidRPr="00982AA9">
        <w:rPr>
          <w:rFonts w:ascii="Book Antiqua" w:eastAsia="Book Antiqua" w:hAnsi="Book Antiqua" w:cs="Book Antiqua"/>
          <w:color w:val="000000"/>
        </w:rPr>
        <w:t xml:space="preserve">= 0.048], BMI [overweight 2.21 (0.98-5.00); obese 3.54 (1.48-8.50);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color w:val="000000"/>
        </w:rPr>
        <w:t>0.018], smoking [&lt;</w:t>
      </w:r>
      <w:r w:rsidR="00F62C59"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40 pack-years 2.01 (1.01-4.01); ≥ 40 pack-years 3.96 (1.86-8.42); </w:t>
      </w:r>
      <w:r w:rsidRPr="00982AA9">
        <w:rPr>
          <w:rFonts w:ascii="Book Antiqua" w:eastAsia="Book Antiqua" w:hAnsi="Book Antiqua" w:cs="Book Antiqua"/>
          <w:i/>
          <w:iCs/>
          <w:color w:val="000000"/>
        </w:rPr>
        <w:t>P</w:t>
      </w:r>
      <w:r w:rsidR="00EF52B5" w:rsidRPr="00982AA9">
        <w:rPr>
          <w:rFonts w:ascii="Book Antiqua" w:hAnsi="Book Antiqua" w:cs="Book Antiqua"/>
          <w:i/>
          <w:iCs/>
          <w:color w:val="000000"/>
          <w:lang w:eastAsia="zh-CN"/>
        </w:rPr>
        <w:t xml:space="preserve"> </w:t>
      </w:r>
      <w:r w:rsidRPr="00982AA9">
        <w:rPr>
          <w:rFonts w:ascii="Book Antiqua" w:eastAsia="Book Antiqua" w:hAnsi="Book Antiqua" w:cs="Book Antiqua"/>
          <w:i/>
          <w:iCs/>
          <w:color w:val="000000"/>
        </w:rPr>
        <w:t>=</w:t>
      </w:r>
      <w:r w:rsidR="00EF52B5" w:rsidRPr="00982AA9">
        <w:rPr>
          <w:rFonts w:ascii="Book Antiqua" w:hAnsi="Book Antiqua" w:cs="Book Antiqua"/>
          <w:i/>
          <w:iCs/>
          <w:color w:val="000000"/>
          <w:lang w:eastAsia="zh-CN"/>
        </w:rPr>
        <w:t xml:space="preserve"> </w:t>
      </w:r>
      <w:r w:rsidRPr="00982AA9">
        <w:rPr>
          <w:rFonts w:ascii="Book Antiqua" w:eastAsia="Book Antiqua" w:hAnsi="Book Antiqua" w:cs="Book Antiqua"/>
          <w:iCs/>
          <w:color w:val="000000"/>
        </w:rPr>
        <w:t>0.002</w:t>
      </w:r>
      <w:r w:rsidRPr="00982AA9">
        <w:rPr>
          <w:rFonts w:ascii="Book Antiqua" w:eastAsia="Book Antiqua" w:hAnsi="Book Antiqua" w:cs="Book Antiqua"/>
          <w:color w:val="000000"/>
        </w:rPr>
        <w:t xml:space="preserve">], and daily red meat consumption [2.02 (0.92-4.42) </w:t>
      </w:r>
      <w:r w:rsidRPr="00982AA9">
        <w:rPr>
          <w:rFonts w:ascii="Book Antiqua" w:eastAsia="Book Antiqua" w:hAnsi="Book Antiqua" w:cs="Book Antiqua"/>
          <w:i/>
          <w:iCs/>
          <w:color w:val="000000"/>
        </w:rPr>
        <w:t xml:space="preserve">P = </w:t>
      </w:r>
      <w:r w:rsidRPr="00982AA9">
        <w:rPr>
          <w:rFonts w:ascii="Book Antiqua" w:eastAsia="Book Antiqua" w:hAnsi="Book Antiqua" w:cs="Book Antiqua"/>
          <w:iCs/>
          <w:color w:val="000000"/>
        </w:rPr>
        <w:t>0.079</w:t>
      </w:r>
      <w:r w:rsidRPr="00982AA9">
        <w:rPr>
          <w:rFonts w:ascii="Book Antiqua" w:eastAsia="Book Antiqua" w:hAnsi="Book Antiqua" w:cs="Book Antiqua"/>
          <w:color w:val="000000"/>
        </w:rPr>
        <w:t>]. The model had an AUC = 0.73 (CI</w:t>
      </w:r>
      <w:r w:rsidR="00314121"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 0.66-0.79, </w:t>
      </w:r>
      <w:r w:rsidRPr="00982AA9">
        <w:rPr>
          <w:rFonts w:ascii="Book Antiqua" w:eastAsia="Book Antiqua" w:hAnsi="Book Antiqua" w:cs="Book Antiqua"/>
          <w:i/>
          <w:iCs/>
          <w:color w:val="000000"/>
        </w:rPr>
        <w:t>P</w:t>
      </w:r>
      <w:r w:rsidRPr="00982AA9">
        <w:rPr>
          <w:rFonts w:ascii="Book Antiqua" w:eastAsia="Book Antiqua" w:hAnsi="Book Antiqua" w:cs="Book Antiqua"/>
          <w:color w:val="000000"/>
        </w:rPr>
        <w:t>&lt;</w:t>
      </w:r>
      <w:r w:rsidR="008A1936" w:rsidRPr="00982AA9">
        <w:rPr>
          <w:rFonts w:ascii="Book Antiqua" w:hAnsi="Book Antiqua" w:cs="Book Antiqua"/>
          <w:color w:val="000000"/>
          <w:lang w:eastAsia="zh-CN"/>
        </w:rPr>
        <w:t xml:space="preserve"> </w:t>
      </w:r>
      <w:r w:rsidRPr="00982AA9">
        <w:rPr>
          <w:rFonts w:ascii="Book Antiqua" w:eastAsia="Book Antiqua" w:hAnsi="Book Antiqua" w:cs="Book Antiqua"/>
          <w:color w:val="000000"/>
        </w:rPr>
        <w:t xml:space="preserve">0.001) and </w:t>
      </w:r>
      <w:r w:rsidR="008A1936" w:rsidRPr="00982AA9">
        <w:rPr>
          <w:rFonts w:ascii="Book Antiqua" w:eastAsia="Book Antiqua" w:hAnsi="Book Antiqua" w:cs="Book Antiqua"/>
          <w:i/>
          <w:color w:val="000000"/>
        </w:rPr>
        <w:t>R</w:t>
      </w:r>
      <w:r w:rsidR="008A1936" w:rsidRPr="00982AA9">
        <w:rPr>
          <w:rFonts w:ascii="Book Antiqua" w:eastAsia="Book Antiqua" w:hAnsi="Book Antiqua" w:cs="Book Antiqua"/>
          <w:color w:val="000000"/>
          <w:vertAlign w:val="superscript"/>
        </w:rPr>
        <w:t>2</w:t>
      </w:r>
      <w:r w:rsidRPr="00982AA9">
        <w:rPr>
          <w:rFonts w:ascii="Book Antiqua" w:eastAsia="Book Antiqua" w:hAnsi="Book Antiqua" w:cs="Book Antiqua"/>
          <w:color w:val="000000"/>
        </w:rPr>
        <w:t xml:space="preserve"> = 0.8509.</w:t>
      </w:r>
    </w:p>
    <w:p w14:paraId="190A1340" w14:textId="77777777" w:rsidR="00A77B3E" w:rsidRPr="00982AA9" w:rsidRDefault="00A77B3E" w:rsidP="00982AA9">
      <w:pPr>
        <w:spacing w:line="360" w:lineRule="auto"/>
        <w:jc w:val="both"/>
        <w:rPr>
          <w:rFonts w:ascii="Book Antiqua" w:hAnsi="Book Antiqua"/>
        </w:rPr>
      </w:pPr>
    </w:p>
    <w:p w14:paraId="32913DD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conclusions</w:t>
      </w:r>
    </w:p>
    <w:p w14:paraId="08FF294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The prevalence of adenoma and AN in the average-risk Lebanese population is 5.1%, similar to those in the West. Age, smoking and BMI are important predictors of AN in our study cohort, and our model had good calibration and discrimination. </w:t>
      </w:r>
    </w:p>
    <w:p w14:paraId="3FDFEC33" w14:textId="77777777" w:rsidR="00A77B3E" w:rsidRPr="00982AA9" w:rsidRDefault="00A77B3E" w:rsidP="00982AA9">
      <w:pPr>
        <w:spacing w:line="360" w:lineRule="auto"/>
        <w:jc w:val="both"/>
        <w:rPr>
          <w:rFonts w:ascii="Book Antiqua" w:hAnsi="Book Antiqua"/>
        </w:rPr>
      </w:pPr>
    </w:p>
    <w:p w14:paraId="0C75451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i/>
          <w:color w:val="000000"/>
        </w:rPr>
        <w:t>Research perspectives</w:t>
      </w:r>
    </w:p>
    <w:p w14:paraId="09E8075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In this project, we developed a risk prediction tool for advanced neoplasia at first screening colonoscopy for average risk individuals. We provide an important platform for improved risk-stratification for screening programs in resource limiting settings, although external validation of our model is needed.</w:t>
      </w:r>
    </w:p>
    <w:p w14:paraId="256DED0C" w14:textId="77777777" w:rsidR="00A77B3E" w:rsidRPr="00982AA9" w:rsidRDefault="00A77B3E" w:rsidP="00982AA9">
      <w:pPr>
        <w:spacing w:line="360" w:lineRule="auto"/>
        <w:jc w:val="both"/>
        <w:rPr>
          <w:rFonts w:ascii="Book Antiqua" w:hAnsi="Book Antiqua"/>
        </w:rPr>
      </w:pPr>
    </w:p>
    <w:p w14:paraId="052B9C7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aps/>
          <w:color w:val="000000"/>
          <w:u w:val="single"/>
        </w:rPr>
        <w:t>ACKNOWLEDGEMENTS</w:t>
      </w:r>
    </w:p>
    <w:p w14:paraId="751D1534" w14:textId="77777777" w:rsidR="00A77B3E" w:rsidRPr="0038368F" w:rsidRDefault="00AC667B" w:rsidP="00982AA9">
      <w:pPr>
        <w:spacing w:line="360" w:lineRule="auto"/>
        <w:jc w:val="both"/>
        <w:rPr>
          <w:rFonts w:ascii="Book Antiqua" w:hAnsi="Book Antiqua"/>
          <w:lang w:eastAsia="zh-CN"/>
        </w:rPr>
      </w:pPr>
      <w:r w:rsidRPr="00982AA9">
        <w:rPr>
          <w:rFonts w:ascii="Book Antiqua" w:eastAsia="Book Antiqua" w:hAnsi="Book Antiqua" w:cs="Book Antiqua"/>
          <w:color w:val="000000"/>
        </w:rPr>
        <w:t>The authors would like to thank the following clinicians for contributing their patients to the study: Kassem Barada, Fadi Mourad, Assaad Soweid</w:t>
      </w:r>
      <w:r w:rsidR="0038368F">
        <w:rPr>
          <w:rFonts w:ascii="Book Antiqua" w:hAnsi="Book Antiqua" w:cs="Book Antiqua" w:hint="eastAsia"/>
          <w:color w:val="000000"/>
          <w:lang w:eastAsia="zh-CN"/>
        </w:rPr>
        <w:t>.</w:t>
      </w:r>
    </w:p>
    <w:p w14:paraId="77C365A5" w14:textId="77777777" w:rsidR="00A77B3E" w:rsidRPr="00982AA9" w:rsidRDefault="00A77B3E" w:rsidP="00982AA9">
      <w:pPr>
        <w:spacing w:line="360" w:lineRule="auto"/>
        <w:jc w:val="both"/>
        <w:rPr>
          <w:rFonts w:ascii="Book Antiqua" w:hAnsi="Book Antiqua"/>
        </w:rPr>
      </w:pPr>
    </w:p>
    <w:p w14:paraId="1E1F71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REFERENCES</w:t>
      </w:r>
    </w:p>
    <w:p w14:paraId="3755711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1 </w:t>
      </w:r>
      <w:r w:rsidRPr="00982AA9">
        <w:rPr>
          <w:rFonts w:ascii="Book Antiqua" w:eastAsia="Book Antiqua" w:hAnsi="Book Antiqua" w:cs="Book Antiqua"/>
          <w:b/>
          <w:bCs/>
          <w:color w:val="000000"/>
        </w:rPr>
        <w:t>Bray F</w:t>
      </w:r>
      <w:r w:rsidRPr="00982AA9">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68</w:t>
      </w:r>
      <w:r w:rsidRPr="00982AA9">
        <w:rPr>
          <w:rFonts w:ascii="Book Antiqua" w:eastAsia="Book Antiqua" w:hAnsi="Book Antiqua" w:cs="Book Antiqua"/>
          <w:color w:val="000000"/>
        </w:rPr>
        <w:t>: 394-424 [PMID: 30207593 DOI: 10.3322/caac.21492]</w:t>
      </w:r>
    </w:p>
    <w:p w14:paraId="63DF706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 </w:t>
      </w:r>
      <w:r w:rsidRPr="00982AA9">
        <w:rPr>
          <w:rFonts w:ascii="Book Antiqua" w:eastAsia="Book Antiqua" w:hAnsi="Book Antiqua" w:cs="Book Antiqua"/>
          <w:b/>
          <w:bCs/>
          <w:color w:val="000000"/>
        </w:rPr>
        <w:t>Siegel RL</w:t>
      </w:r>
      <w:r w:rsidRPr="00982AA9">
        <w:rPr>
          <w:rFonts w:ascii="Book Antiqua" w:eastAsia="Book Antiqua" w:hAnsi="Book Antiqua" w:cs="Book Antiqua"/>
          <w:color w:val="000000"/>
        </w:rPr>
        <w:t xml:space="preserve">, Miller KD, Fedewa SA, Ahnen DJ, Meester RGS, Barzi A, Jemal A. Colorectal cancer statistics, 2017.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67</w:t>
      </w:r>
      <w:r w:rsidRPr="00982AA9">
        <w:rPr>
          <w:rFonts w:ascii="Book Antiqua" w:eastAsia="Book Antiqua" w:hAnsi="Book Antiqua" w:cs="Book Antiqua"/>
          <w:color w:val="000000"/>
        </w:rPr>
        <w:t>: 177-193 [PMID: 28248415 DOI: 10.3322/caac.21395]</w:t>
      </w:r>
    </w:p>
    <w:p w14:paraId="0DE796A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 </w:t>
      </w:r>
      <w:r w:rsidRPr="00982AA9">
        <w:rPr>
          <w:rFonts w:ascii="Book Antiqua" w:eastAsia="Book Antiqua" w:hAnsi="Book Antiqua" w:cs="Book Antiqua"/>
          <w:b/>
          <w:bCs/>
          <w:color w:val="000000"/>
        </w:rPr>
        <w:t>Morson B</w:t>
      </w:r>
      <w:r w:rsidRPr="00982AA9">
        <w:rPr>
          <w:rFonts w:ascii="Book Antiqua" w:eastAsia="Book Antiqua" w:hAnsi="Book Antiqua" w:cs="Book Antiqua"/>
          <w:color w:val="000000"/>
        </w:rPr>
        <w:t xml:space="preserve">. President's address. The polyp-cancer sequence in the large bowel. </w:t>
      </w:r>
      <w:r w:rsidRPr="00982AA9">
        <w:rPr>
          <w:rFonts w:ascii="Book Antiqua" w:eastAsia="Book Antiqua" w:hAnsi="Book Antiqua" w:cs="Book Antiqua"/>
          <w:i/>
          <w:iCs/>
          <w:color w:val="000000"/>
        </w:rPr>
        <w:t>Proc R Soc Med</w:t>
      </w:r>
      <w:r w:rsidRPr="00982AA9">
        <w:rPr>
          <w:rFonts w:ascii="Book Antiqua" w:eastAsia="Book Antiqua" w:hAnsi="Book Antiqua" w:cs="Book Antiqua"/>
          <w:color w:val="000000"/>
        </w:rPr>
        <w:t xml:space="preserve"> 1974; </w:t>
      </w:r>
      <w:r w:rsidRPr="00982AA9">
        <w:rPr>
          <w:rFonts w:ascii="Book Antiqua" w:eastAsia="Book Antiqua" w:hAnsi="Book Antiqua" w:cs="Book Antiqua"/>
          <w:b/>
          <w:bCs/>
          <w:color w:val="000000"/>
        </w:rPr>
        <w:t>67</w:t>
      </w:r>
      <w:r w:rsidRPr="00982AA9">
        <w:rPr>
          <w:rFonts w:ascii="Book Antiqua" w:eastAsia="Book Antiqua" w:hAnsi="Book Antiqua" w:cs="Book Antiqua"/>
          <w:color w:val="000000"/>
        </w:rPr>
        <w:t>: 451-457 [PMID: 4853754 DOI: 10.1177/00359157740676p115]</w:t>
      </w:r>
    </w:p>
    <w:p w14:paraId="088B54D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 </w:t>
      </w:r>
      <w:r w:rsidRPr="00982AA9">
        <w:rPr>
          <w:rFonts w:ascii="Book Antiqua" w:eastAsia="Book Antiqua" w:hAnsi="Book Antiqua" w:cs="Book Antiqua"/>
          <w:b/>
          <w:bCs/>
          <w:color w:val="000000"/>
        </w:rPr>
        <w:t>Grady WM</w:t>
      </w:r>
      <w:r w:rsidRPr="00982AA9">
        <w:rPr>
          <w:rFonts w:ascii="Book Antiqua" w:eastAsia="Book Antiqua" w:hAnsi="Book Antiqua" w:cs="Book Antiqua"/>
          <w:color w:val="000000"/>
        </w:rPr>
        <w:t xml:space="preserve">, Markowitz SD. The molecular pathogenesis of colorectal cancer and its potential application to colorectal cancer screening. </w:t>
      </w:r>
      <w:r w:rsidRPr="00982AA9">
        <w:rPr>
          <w:rFonts w:ascii="Book Antiqua" w:eastAsia="Book Antiqua" w:hAnsi="Book Antiqua" w:cs="Book Antiqua"/>
          <w:i/>
          <w:iCs/>
          <w:color w:val="000000"/>
        </w:rPr>
        <w:t>Dig Dis Sci</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60</w:t>
      </w:r>
      <w:r w:rsidRPr="00982AA9">
        <w:rPr>
          <w:rFonts w:ascii="Book Antiqua" w:eastAsia="Book Antiqua" w:hAnsi="Book Antiqua" w:cs="Book Antiqua"/>
          <w:color w:val="000000"/>
        </w:rPr>
        <w:t>: 762-772 [PMID: 25492499 DOI: 10.1007/s10620-014-3444-4]</w:t>
      </w:r>
    </w:p>
    <w:p w14:paraId="6442A39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5 </w:t>
      </w:r>
      <w:r w:rsidRPr="00982AA9">
        <w:rPr>
          <w:rFonts w:ascii="Book Antiqua" w:eastAsia="Book Antiqua" w:hAnsi="Book Antiqua" w:cs="Book Antiqua"/>
          <w:b/>
          <w:bCs/>
          <w:color w:val="000000"/>
        </w:rPr>
        <w:t>Brenner H</w:t>
      </w:r>
      <w:r w:rsidRPr="00982AA9">
        <w:rPr>
          <w:rFonts w:ascii="Book Antiqua" w:eastAsia="Book Antiqua" w:hAnsi="Book Antiqua" w:cs="Book Antiqua"/>
          <w:color w:val="000000"/>
        </w:rPr>
        <w:t xml:space="preserve">, Hoffmeister M, Stegmaier C, Brenner G, Altenhofen L, Haug U. Risk of progression of advanced adenomas to colorectal cancer by age and sex: estimates based on 840,149 screening colonoscopies.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2007; </w:t>
      </w:r>
      <w:r w:rsidRPr="00982AA9">
        <w:rPr>
          <w:rFonts w:ascii="Book Antiqua" w:eastAsia="Book Antiqua" w:hAnsi="Book Antiqua" w:cs="Book Antiqua"/>
          <w:b/>
          <w:bCs/>
          <w:color w:val="000000"/>
        </w:rPr>
        <w:t>56</w:t>
      </w:r>
      <w:r w:rsidRPr="00982AA9">
        <w:rPr>
          <w:rFonts w:ascii="Book Antiqua" w:eastAsia="Book Antiqua" w:hAnsi="Book Antiqua" w:cs="Book Antiqua"/>
          <w:color w:val="000000"/>
        </w:rPr>
        <w:t>: 1585-1589 [PMID: 17591622 DOI: 10.1136/gut.2007.122739]</w:t>
      </w:r>
    </w:p>
    <w:p w14:paraId="6B8A5F0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6 </w:t>
      </w:r>
      <w:r w:rsidRPr="00982AA9">
        <w:rPr>
          <w:rFonts w:ascii="Book Antiqua" w:eastAsia="Book Antiqua" w:hAnsi="Book Antiqua" w:cs="Book Antiqua"/>
          <w:b/>
          <w:bCs/>
          <w:color w:val="000000"/>
        </w:rPr>
        <w:t>Rex DK</w:t>
      </w:r>
      <w:r w:rsidRPr="00982AA9">
        <w:rPr>
          <w:rFonts w:ascii="Book Antiqua" w:eastAsia="Book Antiqua" w:hAnsi="Book Antiqua" w:cs="Book Antiqua"/>
          <w:color w:val="000000"/>
        </w:rPr>
        <w:t xml:space="preserve">, Boland CR, Dominitz JA, Giardiello FM, Johnson DA, Kaltenbach T, Levin TR, Lieberman D, Robertson DJ. Colorectal Cancer Screening: Recommendations for Physicians and Patients From the U.S. Multi-Society Task Force on Colorectal Cancer. </w:t>
      </w:r>
      <w:r w:rsidRPr="00982AA9">
        <w:rPr>
          <w:rFonts w:ascii="Book Antiqua" w:eastAsia="Book Antiqua" w:hAnsi="Book Antiqua" w:cs="Book Antiqua"/>
          <w:i/>
          <w:iCs/>
          <w:color w:val="000000"/>
        </w:rPr>
        <w:t>Gastroenterology</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153</w:t>
      </w:r>
      <w:r w:rsidRPr="00982AA9">
        <w:rPr>
          <w:rFonts w:ascii="Book Antiqua" w:eastAsia="Book Antiqua" w:hAnsi="Book Antiqua" w:cs="Book Antiqua"/>
          <w:color w:val="000000"/>
        </w:rPr>
        <w:t>: 307-323 [PMID: 28600072 DOI: 10.1053/j.gastro.2017.05.013]</w:t>
      </w:r>
    </w:p>
    <w:p w14:paraId="366D39F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7 </w:t>
      </w:r>
      <w:r w:rsidRPr="00982AA9">
        <w:rPr>
          <w:rFonts w:ascii="Book Antiqua" w:eastAsia="Book Antiqua" w:hAnsi="Book Antiqua" w:cs="Book Antiqua"/>
          <w:b/>
          <w:bCs/>
          <w:color w:val="000000"/>
        </w:rPr>
        <w:t>Wolf AMD</w:t>
      </w:r>
      <w:r w:rsidRPr="00982AA9">
        <w:rPr>
          <w:rFonts w:ascii="Book Antiqua" w:eastAsia="Book Antiqua" w:hAnsi="Book Antiqua" w:cs="Book Antiqua"/>
          <w:color w:val="000000"/>
        </w:rPr>
        <w:t xml:space="preserve">, Fontham ETH, Church TR, Flowers CR, Guerra CE, LaMonte SJ, Etzioni R, McKenna MT, Oeffinger KC, Shih YT, Walter LC, Andrews KS, Brawley OW, Brooks D, Fedewa SA, Manassaram-Baptiste D, Siegel RL, Wender RC, Smith RA. Colorectal cancer screening for average-risk adults: 2018 guideline update from the American Cancer Society. </w:t>
      </w:r>
      <w:r w:rsidRPr="00982AA9">
        <w:rPr>
          <w:rFonts w:ascii="Book Antiqua" w:eastAsia="Book Antiqua" w:hAnsi="Book Antiqua" w:cs="Book Antiqua"/>
          <w:i/>
          <w:iCs/>
          <w:color w:val="000000"/>
        </w:rPr>
        <w:t>CA Cancer J Clin</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68</w:t>
      </w:r>
      <w:r w:rsidRPr="00982AA9">
        <w:rPr>
          <w:rFonts w:ascii="Book Antiqua" w:eastAsia="Book Antiqua" w:hAnsi="Book Antiqua" w:cs="Book Antiqua"/>
          <w:color w:val="000000"/>
        </w:rPr>
        <w:t>: 250-281 [PMID: 29846947 DOI: 10.3322/caac.21457]</w:t>
      </w:r>
    </w:p>
    <w:p w14:paraId="17563E4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8 </w:t>
      </w:r>
      <w:r w:rsidRPr="00982AA9">
        <w:rPr>
          <w:rFonts w:ascii="Book Antiqua" w:eastAsia="Book Antiqua" w:hAnsi="Book Antiqua" w:cs="Book Antiqua"/>
          <w:b/>
          <w:bCs/>
          <w:color w:val="000000"/>
        </w:rPr>
        <w:t>US Preventive Services Task Force</w:t>
      </w:r>
      <w:r w:rsidRPr="00982AA9">
        <w:rPr>
          <w:rFonts w:ascii="Book Antiqua" w:eastAsia="Book Antiqua" w:hAnsi="Book Antiqua" w:cs="Book Antiqua"/>
          <w:color w:val="000000"/>
        </w:rPr>
        <w:t xml:space="preserve">, Bibbins-Domingo K, Grossman DC, Curry SJ, Davidson KW, Epling JW Jr, García FAR, Gillman MW, Harper DM, Kemper AR, Krist AH, Kurth AE, Landefeld CS, Mangione CM, Owens DK, Phillips WR, Phipps MG, </w:t>
      </w:r>
      <w:r w:rsidRPr="00982AA9">
        <w:rPr>
          <w:rFonts w:ascii="Book Antiqua" w:eastAsia="Book Antiqua" w:hAnsi="Book Antiqua" w:cs="Book Antiqua"/>
          <w:color w:val="000000"/>
        </w:rPr>
        <w:lastRenderedPageBreak/>
        <w:t xml:space="preserve">Pignone MP, Siu AL. Screening for Colorectal Cancer: US Preventive Services Task Force Recommendation Statement. </w:t>
      </w:r>
      <w:r w:rsidRPr="00982AA9">
        <w:rPr>
          <w:rFonts w:ascii="Book Antiqua" w:eastAsia="Book Antiqua" w:hAnsi="Book Antiqua" w:cs="Book Antiqua"/>
          <w:i/>
          <w:iCs/>
          <w:color w:val="000000"/>
        </w:rPr>
        <w:t>JAMA</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315</w:t>
      </w:r>
      <w:r w:rsidRPr="00982AA9">
        <w:rPr>
          <w:rFonts w:ascii="Book Antiqua" w:eastAsia="Book Antiqua" w:hAnsi="Book Antiqua" w:cs="Book Antiqua"/>
          <w:color w:val="000000"/>
        </w:rPr>
        <w:t>: 2564-2575 [PMID: 27304597 DOI: 10.1001/jama.2016.5989]</w:t>
      </w:r>
    </w:p>
    <w:p w14:paraId="62A1144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9 </w:t>
      </w:r>
      <w:r w:rsidRPr="00982AA9">
        <w:rPr>
          <w:rFonts w:ascii="Book Antiqua" w:eastAsia="Book Antiqua" w:hAnsi="Book Antiqua" w:cs="Book Antiqua"/>
          <w:b/>
          <w:bCs/>
          <w:color w:val="000000"/>
        </w:rPr>
        <w:t>Qaseem A</w:t>
      </w:r>
      <w:r w:rsidRPr="00982AA9">
        <w:rPr>
          <w:rFonts w:ascii="Book Antiqua" w:eastAsia="Book Antiqua" w:hAnsi="Book Antiqua" w:cs="Book Antiqua"/>
          <w:color w:val="000000"/>
        </w:rPr>
        <w:t xml:space="preserve">, Denberg TD, Hopkins RH Jr, Humphrey LL, Levine J, Sweet DE, Shekelle P; Clinical Guidelines Committee of the American College of Physicians. Screening for colorectal cancer: a guidance statement from the American College of Physicians. </w:t>
      </w:r>
      <w:r w:rsidRPr="00982AA9">
        <w:rPr>
          <w:rFonts w:ascii="Book Antiqua" w:eastAsia="Book Antiqua" w:hAnsi="Book Antiqua" w:cs="Book Antiqua"/>
          <w:i/>
          <w:iCs/>
          <w:color w:val="000000"/>
        </w:rPr>
        <w:t>Ann Intern Med</w:t>
      </w:r>
      <w:r w:rsidRPr="00982AA9">
        <w:rPr>
          <w:rFonts w:ascii="Book Antiqua" w:eastAsia="Book Antiqua" w:hAnsi="Book Antiqua" w:cs="Book Antiqua"/>
          <w:color w:val="000000"/>
        </w:rPr>
        <w:t xml:space="preserve"> 2012; </w:t>
      </w:r>
      <w:r w:rsidRPr="00982AA9">
        <w:rPr>
          <w:rFonts w:ascii="Book Antiqua" w:eastAsia="Book Antiqua" w:hAnsi="Book Antiqua" w:cs="Book Antiqua"/>
          <w:b/>
          <w:bCs/>
          <w:color w:val="000000"/>
        </w:rPr>
        <w:t>156</w:t>
      </w:r>
      <w:r w:rsidRPr="00982AA9">
        <w:rPr>
          <w:rFonts w:ascii="Book Antiqua" w:eastAsia="Book Antiqua" w:hAnsi="Book Antiqua" w:cs="Book Antiqua"/>
          <w:color w:val="000000"/>
        </w:rPr>
        <w:t>: 378-386 [PMID: 22393133 DOI: 10.7326/0003-4819-156-5-201203060-00010]</w:t>
      </w:r>
    </w:p>
    <w:p w14:paraId="589478E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10 </w:t>
      </w:r>
      <w:r w:rsidRPr="00982AA9">
        <w:rPr>
          <w:rFonts w:ascii="Book Antiqua" w:eastAsia="Book Antiqua" w:hAnsi="Book Antiqua" w:cs="Book Antiqua"/>
          <w:b/>
          <w:bCs/>
          <w:color w:val="000000"/>
        </w:rPr>
        <w:t>Lopes G</w:t>
      </w:r>
      <w:r w:rsidRPr="00982AA9">
        <w:rPr>
          <w:rFonts w:ascii="Book Antiqua" w:eastAsia="Book Antiqua" w:hAnsi="Book Antiqua" w:cs="Book Antiqua"/>
          <w:color w:val="000000"/>
        </w:rPr>
        <w:t xml:space="preserve">, Stern MC, Temin S, Sharara AI, Cervantes A, Costas-Chavarri A, Engineer R, Hamashima C, Ho GF, Huitzil FD, Moghani MM, Nandakumar G, Shah MA, Teh C, Manjarrez SEV, Verjee A, Yantiss R, Correa MC. Early Detection for Colorectal Cancer: ASCO Resource-Stratified Guideline. </w:t>
      </w:r>
      <w:r w:rsidRPr="00982AA9">
        <w:rPr>
          <w:rFonts w:ascii="Book Antiqua" w:eastAsia="Book Antiqua" w:hAnsi="Book Antiqua" w:cs="Book Antiqua"/>
          <w:i/>
          <w:iCs/>
          <w:color w:val="000000"/>
        </w:rPr>
        <w:t>J Glob Oncol</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5</w:t>
      </w:r>
      <w:r w:rsidRPr="00982AA9">
        <w:rPr>
          <w:rFonts w:ascii="Book Antiqua" w:eastAsia="Book Antiqua" w:hAnsi="Book Antiqua" w:cs="Book Antiqua"/>
          <w:color w:val="000000"/>
        </w:rPr>
        <w:t>: 1-22 [PMID: 30802159 DOI: 10.1200/jgo.18.00213]</w:t>
      </w:r>
    </w:p>
    <w:p w14:paraId="52EF393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11 Division of Cancer Prevention and Control CfDCaP. Colorectal Cancer Statistics. 2019</w:t>
      </w:r>
    </w:p>
    <w:p w14:paraId="3E71EFA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12 </w:t>
      </w:r>
      <w:r w:rsidRPr="00982AA9">
        <w:rPr>
          <w:rFonts w:ascii="Book Antiqua" w:eastAsia="Book Antiqua" w:hAnsi="Book Antiqua" w:cs="Book Antiqua"/>
          <w:b/>
          <w:bCs/>
          <w:color w:val="000000"/>
        </w:rPr>
        <w:t>Navarro M</w:t>
      </w:r>
      <w:r w:rsidRPr="00982AA9">
        <w:rPr>
          <w:rFonts w:ascii="Book Antiqua" w:eastAsia="Book Antiqua" w:hAnsi="Book Antiqua" w:cs="Book Antiqua"/>
          <w:color w:val="000000"/>
        </w:rPr>
        <w:t xml:space="preserve">, Nicolas A, Ferrandez A, Lanas A. Colorectal cancer population screening programs worldwide in 2016: An update. </w:t>
      </w:r>
      <w:r w:rsidRPr="00982AA9">
        <w:rPr>
          <w:rFonts w:ascii="Book Antiqua" w:eastAsia="Book Antiqua" w:hAnsi="Book Antiqua" w:cs="Book Antiqua"/>
          <w:i/>
          <w:iCs/>
          <w:color w:val="000000"/>
        </w:rPr>
        <w:t>World J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23</w:t>
      </w:r>
      <w:r w:rsidRPr="00982AA9">
        <w:rPr>
          <w:rFonts w:ascii="Book Antiqua" w:eastAsia="Book Antiqua" w:hAnsi="Book Antiqua" w:cs="Book Antiqua"/>
          <w:color w:val="000000"/>
        </w:rPr>
        <w:t>: 3632-3642 [PMID: 28611516 DOI: 10.3748/wjg.v23.i20.3632]</w:t>
      </w:r>
    </w:p>
    <w:p w14:paraId="3402E3B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13 </w:t>
      </w:r>
      <w:r w:rsidRPr="00982AA9">
        <w:rPr>
          <w:rFonts w:ascii="Book Antiqua" w:eastAsia="Book Antiqua" w:hAnsi="Book Antiqua" w:cs="Book Antiqua"/>
          <w:b/>
          <w:bCs/>
          <w:color w:val="000000"/>
        </w:rPr>
        <w:t>Singh H</w:t>
      </w:r>
      <w:r w:rsidRPr="00982AA9">
        <w:rPr>
          <w:rFonts w:ascii="Book Antiqua" w:eastAsia="Book Antiqua" w:hAnsi="Book Antiqua" w:cs="Book Antiqua"/>
          <w:color w:val="000000"/>
        </w:rPr>
        <w:t xml:space="preserve">, Bernstein CN, Samadder JN, Ahmed R. Screening rates for colorectal cancer in Canada: a cross-sectional study. </w:t>
      </w:r>
      <w:r w:rsidRPr="00982AA9">
        <w:rPr>
          <w:rFonts w:ascii="Book Antiqua" w:eastAsia="Book Antiqua" w:hAnsi="Book Antiqua" w:cs="Book Antiqua"/>
          <w:i/>
          <w:iCs/>
          <w:color w:val="000000"/>
        </w:rPr>
        <w:t>CMAJ Open</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3</w:t>
      </w:r>
      <w:r w:rsidRPr="00982AA9">
        <w:rPr>
          <w:rFonts w:ascii="Book Antiqua" w:eastAsia="Book Antiqua" w:hAnsi="Book Antiqua" w:cs="Book Antiqua"/>
          <w:color w:val="000000"/>
        </w:rPr>
        <w:t>: E149-E157 [PMID: 26389092 DOI: 10.9778/cmajo.20140073]</w:t>
      </w:r>
    </w:p>
    <w:p w14:paraId="6DE75A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14 </w:t>
      </w:r>
      <w:r w:rsidRPr="00982AA9">
        <w:rPr>
          <w:rFonts w:ascii="Book Antiqua" w:eastAsia="Book Antiqua" w:hAnsi="Book Antiqua" w:cs="Book Antiqua"/>
          <w:b/>
          <w:bCs/>
          <w:color w:val="000000"/>
        </w:rPr>
        <w:t>Khachfe HH</w:t>
      </w:r>
      <w:r w:rsidRPr="00982AA9">
        <w:rPr>
          <w:rFonts w:ascii="Book Antiqua" w:eastAsia="Book Antiqua" w:hAnsi="Book Antiqua" w:cs="Book Antiqua"/>
          <w:color w:val="000000"/>
        </w:rPr>
        <w:t xml:space="preserve">, Salhab HA, Fares MY, Khachfe HM. Probing the Colorectal Cancer Incidence in Lebanon: an 11-Year Epidemiological Study. </w:t>
      </w:r>
      <w:r w:rsidRPr="00982AA9">
        <w:rPr>
          <w:rFonts w:ascii="Book Antiqua" w:eastAsia="Book Antiqua" w:hAnsi="Book Antiqua" w:cs="Book Antiqua"/>
          <w:i/>
          <w:iCs/>
          <w:color w:val="000000"/>
        </w:rPr>
        <w:t>J Gastrointest Cancer</w:t>
      </w:r>
      <w:r w:rsidRPr="00982AA9">
        <w:rPr>
          <w:rFonts w:ascii="Book Antiqua" w:eastAsia="Book Antiqua" w:hAnsi="Book Antiqua" w:cs="Book Antiqua"/>
          <w:color w:val="000000"/>
        </w:rPr>
        <w:t xml:space="preserve"> 2020; </w:t>
      </w:r>
      <w:r w:rsidRPr="00982AA9">
        <w:rPr>
          <w:rFonts w:ascii="Book Antiqua" w:eastAsia="Book Antiqua" w:hAnsi="Book Antiqua" w:cs="Book Antiqua"/>
          <w:b/>
          <w:bCs/>
          <w:color w:val="000000"/>
        </w:rPr>
        <w:t>51</w:t>
      </w:r>
      <w:r w:rsidRPr="00982AA9">
        <w:rPr>
          <w:rFonts w:ascii="Book Antiqua" w:eastAsia="Book Antiqua" w:hAnsi="Book Antiqua" w:cs="Book Antiqua"/>
          <w:color w:val="000000"/>
        </w:rPr>
        <w:t>: 805-812 [PMID: 31422543 DOI: 10.1007/s12029-019-00284-z]</w:t>
      </w:r>
    </w:p>
    <w:p w14:paraId="5F88752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15 </w:t>
      </w:r>
      <w:r w:rsidRPr="00982AA9">
        <w:rPr>
          <w:rFonts w:ascii="Book Antiqua" w:eastAsia="Book Antiqua" w:hAnsi="Book Antiqua" w:cs="Book Antiqua"/>
          <w:b/>
          <w:bCs/>
          <w:color w:val="000000"/>
        </w:rPr>
        <w:t>Tfaily MA</w:t>
      </w:r>
      <w:r w:rsidRPr="00982AA9">
        <w:rPr>
          <w:rFonts w:ascii="Book Antiqua" w:eastAsia="Book Antiqua" w:hAnsi="Book Antiqua" w:cs="Book Antiqua"/>
          <w:color w:val="000000"/>
        </w:rPr>
        <w:t xml:space="preserve">, Naamani D, Kassir A, Sleiman S, Ouattara M, Moacdieh MP, Jaffa MA. Awareness of Colorectal Cancer and Attitudes Towards Its Screening Guidelines in Lebanon. </w:t>
      </w:r>
      <w:r w:rsidRPr="00982AA9">
        <w:rPr>
          <w:rFonts w:ascii="Book Antiqua" w:eastAsia="Book Antiqua" w:hAnsi="Book Antiqua" w:cs="Book Antiqua"/>
          <w:i/>
          <w:iCs/>
          <w:color w:val="000000"/>
        </w:rPr>
        <w:t>Ann Glob Health</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85</w:t>
      </w:r>
      <w:r w:rsidRPr="00982AA9">
        <w:rPr>
          <w:rFonts w:ascii="Book Antiqua" w:eastAsia="Book Antiqua" w:hAnsi="Book Antiqua" w:cs="Book Antiqua"/>
          <w:color w:val="000000"/>
        </w:rPr>
        <w:t xml:space="preserve"> [PMID: 31148437 DOI: 10.5334/aogh.2437]</w:t>
      </w:r>
    </w:p>
    <w:p w14:paraId="11028AD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16 Health RoLMoP. National Guidelines for Colorectal Cancer Early Detection. 2019</w:t>
      </w:r>
    </w:p>
    <w:p w14:paraId="2996479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17 </w:t>
      </w:r>
      <w:r w:rsidRPr="00982AA9">
        <w:rPr>
          <w:rFonts w:ascii="Book Antiqua" w:eastAsia="Book Antiqua" w:hAnsi="Book Antiqua" w:cs="Book Antiqua"/>
          <w:b/>
          <w:bCs/>
          <w:color w:val="000000"/>
        </w:rPr>
        <w:t>Vijan S</w:t>
      </w:r>
      <w:r w:rsidRPr="00982AA9">
        <w:rPr>
          <w:rFonts w:ascii="Book Antiqua" w:eastAsia="Book Antiqua" w:hAnsi="Book Antiqua" w:cs="Book Antiqua"/>
          <w:color w:val="000000"/>
        </w:rPr>
        <w:t xml:space="preserve">, Inadomi J, Hayward RA, Hofer TP, Fendrick AM. Projections of demand and capacity for colonoscopy related to increasing rates of colorectal cancer screening in the United States. </w:t>
      </w:r>
      <w:r w:rsidRPr="00982AA9">
        <w:rPr>
          <w:rFonts w:ascii="Book Antiqua" w:eastAsia="Book Antiqua" w:hAnsi="Book Antiqua" w:cs="Book Antiqua"/>
          <w:i/>
          <w:iCs/>
          <w:color w:val="000000"/>
        </w:rPr>
        <w:t>Aliment Pharmacol Ther</w:t>
      </w:r>
      <w:r w:rsidRPr="00982AA9">
        <w:rPr>
          <w:rFonts w:ascii="Book Antiqua" w:eastAsia="Book Antiqua" w:hAnsi="Book Antiqua" w:cs="Book Antiqua"/>
          <w:color w:val="000000"/>
        </w:rPr>
        <w:t xml:space="preserve"> 2004; </w:t>
      </w:r>
      <w:r w:rsidRPr="00982AA9">
        <w:rPr>
          <w:rFonts w:ascii="Book Antiqua" w:eastAsia="Book Antiqua" w:hAnsi="Book Antiqua" w:cs="Book Antiqua"/>
          <w:b/>
          <w:bCs/>
          <w:color w:val="000000"/>
        </w:rPr>
        <w:t>20</w:t>
      </w:r>
      <w:r w:rsidRPr="00982AA9">
        <w:rPr>
          <w:rFonts w:ascii="Book Antiqua" w:eastAsia="Book Antiqua" w:hAnsi="Book Antiqua" w:cs="Book Antiqua"/>
          <w:color w:val="000000"/>
        </w:rPr>
        <w:t>: 507-515 [PMID: 15339322 DOI: 10.1111/j.1365-2036.2004.01960.x]</w:t>
      </w:r>
    </w:p>
    <w:p w14:paraId="0545E0C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18 </w:t>
      </w:r>
      <w:r w:rsidRPr="00982AA9">
        <w:rPr>
          <w:rFonts w:ascii="Book Antiqua" w:eastAsia="Book Antiqua" w:hAnsi="Book Antiqua" w:cs="Book Antiqua"/>
          <w:b/>
          <w:bCs/>
          <w:color w:val="000000"/>
        </w:rPr>
        <w:t>Kastenberg D</w:t>
      </w:r>
      <w:r w:rsidRPr="00982AA9">
        <w:rPr>
          <w:rFonts w:ascii="Book Antiqua" w:eastAsia="Book Antiqua" w:hAnsi="Book Antiqua" w:cs="Book Antiqua"/>
          <w:color w:val="000000"/>
        </w:rPr>
        <w:t xml:space="preserve">, Bertiger G, Brogadir S. Bowel preparation quality scales for colonoscopy. </w:t>
      </w:r>
      <w:r w:rsidRPr="00982AA9">
        <w:rPr>
          <w:rFonts w:ascii="Book Antiqua" w:eastAsia="Book Antiqua" w:hAnsi="Book Antiqua" w:cs="Book Antiqua"/>
          <w:i/>
          <w:iCs/>
          <w:color w:val="000000"/>
        </w:rPr>
        <w:t>World 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24</w:t>
      </w:r>
      <w:r w:rsidRPr="00982AA9">
        <w:rPr>
          <w:rFonts w:ascii="Book Antiqua" w:eastAsia="Book Antiqua" w:hAnsi="Book Antiqua" w:cs="Book Antiqua"/>
          <w:color w:val="000000"/>
        </w:rPr>
        <w:t>: 2833-2843 [PMID: 30018478 DOI: 10.3748/wjg.v24.i26.2833]</w:t>
      </w:r>
    </w:p>
    <w:p w14:paraId="64CDC3A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19 </w:t>
      </w:r>
      <w:r w:rsidRPr="00982AA9">
        <w:rPr>
          <w:rFonts w:ascii="Book Antiqua" w:eastAsia="Book Antiqua" w:hAnsi="Book Antiqua" w:cs="Book Antiqua"/>
          <w:b/>
          <w:bCs/>
          <w:color w:val="000000"/>
        </w:rPr>
        <w:t>Bener A</w:t>
      </w:r>
      <w:r w:rsidRPr="00982AA9">
        <w:rPr>
          <w:rFonts w:ascii="Book Antiqua" w:eastAsia="Book Antiqua" w:hAnsi="Book Antiqua" w:cs="Book Antiqua"/>
          <w:color w:val="000000"/>
        </w:rPr>
        <w:t xml:space="preserve">, Moore MA, Ali R, El Ayoubi HR. Impacts of family history and lifestyle habits on colorectal cancer risk: a case-control study in Qatar. </w:t>
      </w:r>
      <w:r w:rsidRPr="00982AA9">
        <w:rPr>
          <w:rFonts w:ascii="Book Antiqua" w:eastAsia="Book Antiqua" w:hAnsi="Book Antiqua" w:cs="Book Antiqua"/>
          <w:i/>
          <w:iCs/>
          <w:color w:val="000000"/>
        </w:rPr>
        <w:t>Asian Pac J Cancer Prev</w:t>
      </w:r>
      <w:r w:rsidRPr="00982AA9">
        <w:rPr>
          <w:rFonts w:ascii="Book Antiqua" w:eastAsia="Book Antiqua" w:hAnsi="Book Antiqua" w:cs="Book Antiqua"/>
          <w:color w:val="000000"/>
        </w:rPr>
        <w:t xml:space="preserve"> 2010; </w:t>
      </w:r>
      <w:r w:rsidRPr="00982AA9">
        <w:rPr>
          <w:rFonts w:ascii="Book Antiqua" w:eastAsia="Book Antiqua" w:hAnsi="Book Antiqua" w:cs="Book Antiqua"/>
          <w:b/>
          <w:bCs/>
          <w:color w:val="000000"/>
        </w:rPr>
        <w:t>11</w:t>
      </w:r>
      <w:r w:rsidRPr="00982AA9">
        <w:rPr>
          <w:rFonts w:ascii="Book Antiqua" w:eastAsia="Book Antiqua" w:hAnsi="Book Antiqua" w:cs="Book Antiqua"/>
          <w:color w:val="000000"/>
        </w:rPr>
        <w:t>: 963-968 [PMID: 21133608]</w:t>
      </w:r>
    </w:p>
    <w:p w14:paraId="44D6E94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20 </w:t>
      </w:r>
      <w:r w:rsidRPr="00982AA9">
        <w:rPr>
          <w:rFonts w:ascii="Book Antiqua" w:eastAsia="Book Antiqua" w:hAnsi="Book Antiqua" w:cs="Book Antiqua"/>
          <w:b/>
          <w:bCs/>
          <w:color w:val="000000"/>
        </w:rPr>
        <w:t>Almurshed KS</w:t>
      </w:r>
      <w:r w:rsidRPr="00982AA9">
        <w:rPr>
          <w:rFonts w:ascii="Book Antiqua" w:eastAsia="Book Antiqua" w:hAnsi="Book Antiqua" w:cs="Book Antiqua"/>
          <w:color w:val="000000"/>
        </w:rPr>
        <w:t xml:space="preserve">. Colorectal cancer: case-control study of sociodemographic, lifestyle and anthropometric parameters in Riyadh. </w:t>
      </w:r>
      <w:r w:rsidRPr="00982AA9">
        <w:rPr>
          <w:rFonts w:ascii="Book Antiqua" w:eastAsia="Book Antiqua" w:hAnsi="Book Antiqua" w:cs="Book Antiqua"/>
          <w:i/>
          <w:iCs/>
          <w:color w:val="000000"/>
        </w:rPr>
        <w:t>East Mediterr Health J</w:t>
      </w:r>
      <w:r w:rsidRPr="00982AA9">
        <w:rPr>
          <w:rFonts w:ascii="Book Antiqua" w:eastAsia="Book Antiqua" w:hAnsi="Book Antiqua" w:cs="Book Antiqua"/>
          <w:color w:val="000000"/>
        </w:rPr>
        <w:t xml:space="preserve"> 2009; </w:t>
      </w:r>
      <w:r w:rsidRPr="00982AA9">
        <w:rPr>
          <w:rFonts w:ascii="Book Antiqua" w:eastAsia="Book Antiqua" w:hAnsi="Book Antiqua" w:cs="Book Antiqua"/>
          <w:b/>
          <w:bCs/>
          <w:color w:val="000000"/>
        </w:rPr>
        <w:t>15</w:t>
      </w:r>
      <w:r w:rsidRPr="00982AA9">
        <w:rPr>
          <w:rFonts w:ascii="Book Antiqua" w:eastAsia="Book Antiqua" w:hAnsi="Book Antiqua" w:cs="Book Antiqua"/>
          <w:color w:val="000000"/>
        </w:rPr>
        <w:t>: 817-826 [PMID: 20187533 DOI: 10.26719/2009.15.4.817]</w:t>
      </w:r>
    </w:p>
    <w:p w14:paraId="03C12BC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21 </w:t>
      </w:r>
      <w:r w:rsidRPr="00982AA9">
        <w:rPr>
          <w:rFonts w:ascii="Book Antiqua" w:eastAsia="Book Antiqua" w:hAnsi="Book Antiqua" w:cs="Book Antiqua"/>
          <w:b/>
          <w:bCs/>
          <w:color w:val="000000"/>
        </w:rPr>
        <w:t>Guesmi F</w:t>
      </w:r>
      <w:r w:rsidRPr="00982AA9">
        <w:rPr>
          <w:rFonts w:ascii="Book Antiqua" w:eastAsia="Book Antiqua" w:hAnsi="Book Antiqua" w:cs="Book Antiqua"/>
          <w:color w:val="000000"/>
        </w:rPr>
        <w:t xml:space="preserve">, Zoghlami A, Sghaiier D, Nouira R, Dziri C. [Alimentary factors predisposing to colorectal cancer risk: a prospective epidemiologic study]. </w:t>
      </w:r>
      <w:r w:rsidRPr="00982AA9">
        <w:rPr>
          <w:rFonts w:ascii="Book Antiqua" w:eastAsia="Book Antiqua" w:hAnsi="Book Antiqua" w:cs="Book Antiqua"/>
          <w:i/>
          <w:iCs/>
          <w:color w:val="000000"/>
        </w:rPr>
        <w:t>Tunis Med</w:t>
      </w:r>
      <w:r w:rsidRPr="00982AA9">
        <w:rPr>
          <w:rFonts w:ascii="Book Antiqua" w:eastAsia="Book Antiqua" w:hAnsi="Book Antiqua" w:cs="Book Antiqua"/>
          <w:color w:val="000000"/>
        </w:rPr>
        <w:t xml:space="preserve"> 2010; </w:t>
      </w:r>
      <w:r w:rsidRPr="00982AA9">
        <w:rPr>
          <w:rFonts w:ascii="Book Antiqua" w:eastAsia="Book Antiqua" w:hAnsi="Book Antiqua" w:cs="Book Antiqua"/>
          <w:b/>
          <w:bCs/>
          <w:color w:val="000000"/>
        </w:rPr>
        <w:t>88</w:t>
      </w:r>
      <w:r w:rsidRPr="00982AA9">
        <w:rPr>
          <w:rFonts w:ascii="Book Antiqua" w:eastAsia="Book Antiqua" w:hAnsi="Book Antiqua" w:cs="Book Antiqua"/>
          <w:color w:val="000000"/>
        </w:rPr>
        <w:t>: 184-189 [PMID: 20415192]</w:t>
      </w:r>
    </w:p>
    <w:p w14:paraId="24BA48D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22 </w:t>
      </w:r>
      <w:r w:rsidRPr="00982AA9">
        <w:rPr>
          <w:rFonts w:ascii="Book Antiqua" w:eastAsia="Book Antiqua" w:hAnsi="Book Antiqua" w:cs="Book Antiqua"/>
          <w:b/>
          <w:bCs/>
          <w:color w:val="000000"/>
        </w:rPr>
        <w:t>Sharara AI</w:t>
      </w:r>
      <w:r w:rsidRPr="00982AA9">
        <w:rPr>
          <w:rFonts w:ascii="Book Antiqua" w:eastAsia="Book Antiqua" w:hAnsi="Book Antiqua" w:cs="Book Antiqua"/>
          <w:color w:val="000000"/>
        </w:rPr>
        <w:t xml:space="preserve">, Harb AH. Development and validation of a scoring system to identify individuals at high risk for advanced colorectal neoplasms who should undergo colonoscopy screening.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2135-2136 [PMID: 24735793 DOI: 10.1016/j.cgh.2014.04.009]</w:t>
      </w:r>
    </w:p>
    <w:p w14:paraId="1989332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23 </w:t>
      </w:r>
      <w:r w:rsidRPr="00982AA9">
        <w:rPr>
          <w:rFonts w:ascii="Book Antiqua" w:eastAsia="Book Antiqua" w:hAnsi="Book Antiqua" w:cs="Book Antiqua"/>
          <w:b/>
          <w:bCs/>
          <w:color w:val="000000"/>
        </w:rPr>
        <w:t>Peng L</w:t>
      </w:r>
      <w:r w:rsidRPr="00982AA9">
        <w:rPr>
          <w:rFonts w:ascii="Book Antiqua" w:eastAsia="Book Antiqua" w:hAnsi="Book Antiqua" w:cs="Book Antiqua"/>
          <w:color w:val="000000"/>
        </w:rPr>
        <w:t xml:space="preserve">, Weigl K, Boakye D, Brenner H. Risk Scores for Predicting Advanced Colorectal Neoplasia in the Average-risk Population: A Systematic Review and Meta-analysis.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113</w:t>
      </w:r>
      <w:r w:rsidRPr="00982AA9">
        <w:rPr>
          <w:rFonts w:ascii="Book Antiqua" w:eastAsia="Book Antiqua" w:hAnsi="Book Antiqua" w:cs="Book Antiqua"/>
          <w:color w:val="000000"/>
        </w:rPr>
        <w:t>: 1788-1800 [PMID: 30315282 DOI: 10.1038/s41395-018-0209-2]</w:t>
      </w:r>
    </w:p>
    <w:p w14:paraId="3F7B365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24 </w:t>
      </w:r>
      <w:r w:rsidRPr="00982AA9">
        <w:rPr>
          <w:rFonts w:ascii="Book Antiqua" w:eastAsia="Book Antiqua" w:hAnsi="Book Antiqua" w:cs="Book Antiqua"/>
          <w:b/>
          <w:bCs/>
          <w:color w:val="000000"/>
        </w:rPr>
        <w:t>Jung YS</w:t>
      </w:r>
      <w:r w:rsidRPr="00982AA9">
        <w:rPr>
          <w:rFonts w:ascii="Book Antiqua" w:eastAsia="Book Antiqua" w:hAnsi="Book Antiqua" w:cs="Book Antiqua"/>
          <w:color w:val="000000"/>
        </w:rPr>
        <w:t xml:space="preserve">, Park CH, Kim NH, Lee MY, Park DI. Impact of Age on the Risk of Advanced Colorectal Neoplasia in a Young Population: An Analysis Using the Predicted Probability Model. </w:t>
      </w:r>
      <w:r w:rsidRPr="00982AA9">
        <w:rPr>
          <w:rFonts w:ascii="Book Antiqua" w:eastAsia="Book Antiqua" w:hAnsi="Book Antiqua" w:cs="Book Antiqua"/>
          <w:i/>
          <w:iCs/>
          <w:color w:val="000000"/>
        </w:rPr>
        <w:t>Dig Dis Sci</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62</w:t>
      </w:r>
      <w:r w:rsidRPr="00982AA9">
        <w:rPr>
          <w:rFonts w:ascii="Book Antiqua" w:eastAsia="Book Antiqua" w:hAnsi="Book Antiqua" w:cs="Book Antiqua"/>
          <w:color w:val="000000"/>
        </w:rPr>
        <w:t>: 2518-2525 [PMID: 28733868 DOI: 10.1007/s10620-017-4683-y]</w:t>
      </w:r>
    </w:p>
    <w:p w14:paraId="74E111D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25 </w:t>
      </w:r>
      <w:r w:rsidRPr="00982AA9">
        <w:rPr>
          <w:rFonts w:ascii="Book Antiqua" w:eastAsia="Book Antiqua" w:hAnsi="Book Antiqua" w:cs="Book Antiqua"/>
          <w:b/>
          <w:bCs/>
          <w:color w:val="000000"/>
        </w:rPr>
        <w:t>Betés M</w:t>
      </w:r>
      <w:r w:rsidRPr="00982AA9">
        <w:rPr>
          <w:rFonts w:ascii="Book Antiqua" w:eastAsia="Book Antiqua" w:hAnsi="Book Antiqua" w:cs="Book Antiqua"/>
          <w:color w:val="000000"/>
        </w:rPr>
        <w:t xml:space="preserve">, Muñoz-Navas MA, Duque JM, Angós R, Macías E, Súbtil JC, Herraiz M, De La Riva S, Delgado-Rodríguez M, Martínez-González MA. Use of colonoscopy as a primary screening test for colorectal cancer in average risk people.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2003; </w:t>
      </w:r>
      <w:r w:rsidRPr="00982AA9">
        <w:rPr>
          <w:rFonts w:ascii="Book Antiqua" w:eastAsia="Book Antiqua" w:hAnsi="Book Antiqua" w:cs="Book Antiqua"/>
          <w:b/>
          <w:bCs/>
          <w:color w:val="000000"/>
        </w:rPr>
        <w:t>98</w:t>
      </w:r>
      <w:r w:rsidRPr="00982AA9">
        <w:rPr>
          <w:rFonts w:ascii="Book Antiqua" w:eastAsia="Book Antiqua" w:hAnsi="Book Antiqua" w:cs="Book Antiqua"/>
          <w:color w:val="000000"/>
        </w:rPr>
        <w:t>: 2648-2654 [PMID: 14687811 DOI: 10.1111/j.1572-0241.2003.08771.x]</w:t>
      </w:r>
    </w:p>
    <w:p w14:paraId="7975EAD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26 </w:t>
      </w:r>
      <w:r w:rsidRPr="00982AA9">
        <w:rPr>
          <w:rFonts w:ascii="Book Antiqua" w:eastAsia="Book Antiqua" w:hAnsi="Book Antiqua" w:cs="Book Antiqua"/>
          <w:b/>
          <w:bCs/>
          <w:color w:val="000000"/>
        </w:rPr>
        <w:t>Sekiguchi M</w:t>
      </w:r>
      <w:r w:rsidRPr="00982AA9">
        <w:rPr>
          <w:rFonts w:ascii="Book Antiqua" w:eastAsia="Book Antiqua" w:hAnsi="Book Antiqua" w:cs="Book Antiqua"/>
          <w:color w:val="000000"/>
        </w:rPr>
        <w:t xml:space="preserve">, Kakugawa Y, Matsumoto M, Matsuda T. A scoring model for predicting advanced colorectal neoplasia in a screened population of asymptomatic Japanese individuals. </w:t>
      </w:r>
      <w:r w:rsidRPr="00982AA9">
        <w:rPr>
          <w:rFonts w:ascii="Book Antiqua" w:eastAsia="Book Antiqua" w:hAnsi="Book Antiqua" w:cs="Book Antiqua"/>
          <w:i/>
          <w:iCs/>
          <w:color w:val="000000"/>
        </w:rPr>
        <w:t>J Gastroenterol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53</w:t>
      </w:r>
      <w:r w:rsidRPr="00982AA9">
        <w:rPr>
          <w:rFonts w:ascii="Book Antiqua" w:eastAsia="Book Antiqua" w:hAnsi="Book Antiqua" w:cs="Book Antiqua"/>
          <w:color w:val="000000"/>
        </w:rPr>
        <w:t>: 1109-1119 [PMID: 29359244 DOI: 10.1007/s00535-018-1433-7]</w:t>
      </w:r>
    </w:p>
    <w:p w14:paraId="3BC06CC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27 </w:t>
      </w:r>
      <w:r w:rsidRPr="00982AA9">
        <w:rPr>
          <w:rFonts w:ascii="Book Antiqua" w:eastAsia="Book Antiqua" w:hAnsi="Book Antiqua" w:cs="Book Antiqua"/>
          <w:b/>
          <w:bCs/>
          <w:color w:val="000000"/>
        </w:rPr>
        <w:t>Cai QC</w:t>
      </w:r>
      <w:r w:rsidRPr="00982AA9">
        <w:rPr>
          <w:rFonts w:ascii="Book Antiqua" w:eastAsia="Book Antiqua" w:hAnsi="Book Antiqua" w:cs="Book Antiqua"/>
          <w:color w:val="000000"/>
        </w:rPr>
        <w:t xml:space="preserve">, Yu ED, Xiao Y, Bai WY, Chen X, He LP, Yang YX, Zhou PH, Jiang XL, Xu HM, Fan H, Ge ZZ, Lv NH, Huang ZG, Li YM, Ma SR, Chen J, Li YQ, Xu JM, Xiang P, Yang L, Lin FL, Li ZS. Derivation and validation of a prediction rule for estimating advanced colorectal neoplasm risk in average-risk Chinese. </w:t>
      </w:r>
      <w:r w:rsidRPr="00982AA9">
        <w:rPr>
          <w:rFonts w:ascii="Book Antiqua" w:eastAsia="Book Antiqua" w:hAnsi="Book Antiqua" w:cs="Book Antiqua"/>
          <w:i/>
          <w:iCs/>
          <w:color w:val="000000"/>
        </w:rPr>
        <w:t>Am J Epidemiol</w:t>
      </w:r>
      <w:r w:rsidRPr="00982AA9">
        <w:rPr>
          <w:rFonts w:ascii="Book Antiqua" w:eastAsia="Book Antiqua" w:hAnsi="Book Antiqua" w:cs="Book Antiqua"/>
          <w:color w:val="000000"/>
        </w:rPr>
        <w:t xml:space="preserve"> 2012; </w:t>
      </w:r>
      <w:r w:rsidRPr="00982AA9">
        <w:rPr>
          <w:rFonts w:ascii="Book Antiqua" w:eastAsia="Book Antiqua" w:hAnsi="Book Antiqua" w:cs="Book Antiqua"/>
          <w:b/>
          <w:bCs/>
          <w:color w:val="000000"/>
        </w:rPr>
        <w:t>175</w:t>
      </w:r>
      <w:r w:rsidRPr="00982AA9">
        <w:rPr>
          <w:rFonts w:ascii="Book Antiqua" w:eastAsia="Book Antiqua" w:hAnsi="Book Antiqua" w:cs="Book Antiqua"/>
          <w:color w:val="000000"/>
        </w:rPr>
        <w:t>: 584-593 [PMID: 22328705 DOI: 10.1093/aje/kwr337]</w:t>
      </w:r>
    </w:p>
    <w:p w14:paraId="6019698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28 </w:t>
      </w:r>
      <w:r w:rsidRPr="00982AA9">
        <w:rPr>
          <w:rFonts w:ascii="Book Antiqua" w:eastAsia="Book Antiqua" w:hAnsi="Book Antiqua" w:cs="Book Antiqua"/>
          <w:b/>
          <w:bCs/>
          <w:color w:val="000000"/>
        </w:rPr>
        <w:t>El-Roueiheb Z</w:t>
      </w:r>
      <w:r w:rsidRPr="00982AA9">
        <w:rPr>
          <w:rFonts w:ascii="Book Antiqua" w:eastAsia="Book Antiqua" w:hAnsi="Book Antiqua" w:cs="Book Antiqua"/>
          <w:color w:val="000000"/>
        </w:rPr>
        <w:t xml:space="preserve">, Tamim H, Kanj M, Jabbour S, Alayan I, Musharrafieh U. Cigarette and waterpipe smoking among Lebanese adolescents, a cross-sectional study, 2003-2004. </w:t>
      </w:r>
      <w:r w:rsidRPr="00982AA9">
        <w:rPr>
          <w:rFonts w:ascii="Book Antiqua" w:eastAsia="Book Antiqua" w:hAnsi="Book Antiqua" w:cs="Book Antiqua"/>
          <w:i/>
          <w:iCs/>
          <w:color w:val="000000"/>
        </w:rPr>
        <w:t>Nicotine Tob Res</w:t>
      </w:r>
      <w:r w:rsidRPr="00982AA9">
        <w:rPr>
          <w:rFonts w:ascii="Book Antiqua" w:eastAsia="Book Antiqua" w:hAnsi="Book Antiqua" w:cs="Book Antiqua"/>
          <w:color w:val="000000"/>
        </w:rPr>
        <w:t xml:space="preserve"> 2008; </w:t>
      </w:r>
      <w:r w:rsidRPr="00982AA9">
        <w:rPr>
          <w:rFonts w:ascii="Book Antiqua" w:eastAsia="Book Antiqua" w:hAnsi="Book Antiqua" w:cs="Book Antiqua"/>
          <w:b/>
          <w:bCs/>
          <w:color w:val="000000"/>
        </w:rPr>
        <w:t>10</w:t>
      </w:r>
      <w:r w:rsidRPr="00982AA9">
        <w:rPr>
          <w:rFonts w:ascii="Book Antiqua" w:eastAsia="Book Antiqua" w:hAnsi="Book Antiqua" w:cs="Book Antiqua"/>
          <w:color w:val="000000"/>
        </w:rPr>
        <w:t>: 309-314 [PMID: 18236295 DOI: 10.1080/14622200701825775]</w:t>
      </w:r>
    </w:p>
    <w:p w14:paraId="49F14C9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29 </w:t>
      </w:r>
      <w:r w:rsidRPr="00982AA9">
        <w:rPr>
          <w:rFonts w:ascii="Book Antiqua" w:eastAsia="Book Antiqua" w:hAnsi="Book Antiqua" w:cs="Book Antiqua"/>
          <w:b/>
          <w:bCs/>
          <w:color w:val="000000"/>
        </w:rPr>
        <w:t>Kaminski MF</w:t>
      </w:r>
      <w:r w:rsidRPr="00982AA9">
        <w:rPr>
          <w:rFonts w:ascii="Book Antiqua" w:eastAsia="Book Antiqua" w:hAnsi="Book Antiqua" w:cs="Book Antiqua"/>
          <w:color w:val="000000"/>
        </w:rPr>
        <w:t xml:space="preserve">, Polkowski M, Kraszewska E, Rupinski M, Butruk E, Regula J. A score to estimate the likelihood of detecting advanced colorectal neoplasia at colonoscopy.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63</w:t>
      </w:r>
      <w:r w:rsidRPr="00982AA9">
        <w:rPr>
          <w:rFonts w:ascii="Book Antiqua" w:eastAsia="Book Antiqua" w:hAnsi="Book Antiqua" w:cs="Book Antiqua"/>
          <w:color w:val="000000"/>
        </w:rPr>
        <w:t>: 1112-1119 [PMID: 24385598 DOI: 10.1136/gutjnl-2013-304965]</w:t>
      </w:r>
    </w:p>
    <w:p w14:paraId="4913DE5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30 </w:t>
      </w:r>
      <w:r w:rsidRPr="00982AA9">
        <w:rPr>
          <w:rFonts w:ascii="Book Antiqua" w:eastAsia="Book Antiqua" w:hAnsi="Book Antiqua" w:cs="Book Antiqua"/>
          <w:b/>
          <w:bCs/>
          <w:color w:val="000000"/>
        </w:rPr>
        <w:t>Omata F</w:t>
      </w:r>
      <w:r w:rsidRPr="00982AA9">
        <w:rPr>
          <w:rFonts w:ascii="Book Antiqua" w:eastAsia="Book Antiqua" w:hAnsi="Book Antiqua" w:cs="Book Antiqua"/>
          <w:color w:val="000000"/>
        </w:rPr>
        <w:t xml:space="preserve">, Deshpande GA, Ohde S, Mine T, Fukui T. The association between obesity and colorectal adenoma: systematic review and meta-analysis. </w:t>
      </w:r>
      <w:r w:rsidRPr="00982AA9">
        <w:rPr>
          <w:rFonts w:ascii="Book Antiqua" w:eastAsia="Book Antiqua" w:hAnsi="Book Antiqua" w:cs="Book Antiqua"/>
          <w:i/>
          <w:iCs/>
          <w:color w:val="000000"/>
        </w:rPr>
        <w:t>Scand J Gastroenterol</w:t>
      </w:r>
      <w:r w:rsidRPr="00982AA9">
        <w:rPr>
          <w:rFonts w:ascii="Book Antiqua" w:eastAsia="Book Antiqua" w:hAnsi="Book Antiqua" w:cs="Book Antiqua"/>
          <w:color w:val="000000"/>
        </w:rPr>
        <w:t xml:space="preserve"> 2013; </w:t>
      </w:r>
      <w:r w:rsidRPr="00982AA9">
        <w:rPr>
          <w:rFonts w:ascii="Book Antiqua" w:eastAsia="Book Antiqua" w:hAnsi="Book Antiqua" w:cs="Book Antiqua"/>
          <w:b/>
          <w:bCs/>
          <w:color w:val="000000"/>
        </w:rPr>
        <w:t>48</w:t>
      </w:r>
      <w:r w:rsidRPr="00982AA9">
        <w:rPr>
          <w:rFonts w:ascii="Book Antiqua" w:eastAsia="Book Antiqua" w:hAnsi="Book Antiqua" w:cs="Book Antiqua"/>
          <w:color w:val="000000"/>
        </w:rPr>
        <w:t>: 136-146 [PMID: 23130996 DOI: 10.3109/00365521.2012.737364]</w:t>
      </w:r>
    </w:p>
    <w:p w14:paraId="1A45DD9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31 </w:t>
      </w:r>
      <w:r w:rsidRPr="00982AA9">
        <w:rPr>
          <w:rFonts w:ascii="Book Antiqua" w:eastAsia="Book Antiqua" w:hAnsi="Book Antiqua" w:cs="Book Antiqua"/>
          <w:b/>
          <w:bCs/>
          <w:color w:val="000000"/>
        </w:rPr>
        <w:t>Lieberman DA</w:t>
      </w:r>
      <w:r w:rsidRPr="00982AA9">
        <w:rPr>
          <w:rFonts w:ascii="Book Antiqua" w:eastAsia="Book Antiqua" w:hAnsi="Book Antiqua" w:cs="Book Antiqua"/>
          <w:color w:val="000000"/>
        </w:rPr>
        <w:t xml:space="preserve">, Prindiville S, Weiss DG, Willett W; VA Cooperative Study Group 380. Risk factors for advanced colonic neoplasia and hyperplastic polyps in asymptomatic individuals. </w:t>
      </w:r>
      <w:r w:rsidRPr="00982AA9">
        <w:rPr>
          <w:rFonts w:ascii="Book Antiqua" w:eastAsia="Book Antiqua" w:hAnsi="Book Antiqua" w:cs="Book Antiqua"/>
          <w:i/>
          <w:iCs/>
          <w:color w:val="000000"/>
        </w:rPr>
        <w:t>JAMA</w:t>
      </w:r>
      <w:r w:rsidRPr="00982AA9">
        <w:rPr>
          <w:rFonts w:ascii="Book Antiqua" w:eastAsia="Book Antiqua" w:hAnsi="Book Antiqua" w:cs="Book Antiqua"/>
          <w:color w:val="000000"/>
        </w:rPr>
        <w:t xml:space="preserve"> 2003; </w:t>
      </w:r>
      <w:r w:rsidRPr="00982AA9">
        <w:rPr>
          <w:rFonts w:ascii="Book Antiqua" w:eastAsia="Book Antiqua" w:hAnsi="Book Antiqua" w:cs="Book Antiqua"/>
          <w:b/>
          <w:bCs/>
          <w:color w:val="000000"/>
        </w:rPr>
        <w:t>290</w:t>
      </w:r>
      <w:r w:rsidRPr="00982AA9">
        <w:rPr>
          <w:rFonts w:ascii="Book Antiqua" w:eastAsia="Book Antiqua" w:hAnsi="Book Antiqua" w:cs="Book Antiqua"/>
          <w:color w:val="000000"/>
        </w:rPr>
        <w:t>: 2959-2967 [PMID: 14665657 DOI: 10.1001/jama.290.22.2959]</w:t>
      </w:r>
    </w:p>
    <w:p w14:paraId="0552BAD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32 </w:t>
      </w:r>
      <w:r w:rsidRPr="00982AA9">
        <w:rPr>
          <w:rFonts w:ascii="Book Antiqua" w:eastAsia="Book Antiqua" w:hAnsi="Book Antiqua" w:cs="Book Antiqua"/>
          <w:b/>
          <w:bCs/>
          <w:color w:val="000000"/>
        </w:rPr>
        <w:t>Heitman SJ</w:t>
      </w:r>
      <w:r w:rsidRPr="00982AA9">
        <w:rPr>
          <w:rFonts w:ascii="Book Antiqua" w:eastAsia="Book Antiqua" w:hAnsi="Book Antiqua" w:cs="Book Antiqua"/>
          <w:color w:val="000000"/>
        </w:rPr>
        <w:t xml:space="preserve">, Ronksley PE, Hilsden RJ, Manns BJ, Rostom A, Hemmelgarn BR. Prevalence of adenomas and colorectal cancer in average risk individuals: a systematic </w:t>
      </w:r>
      <w:r w:rsidRPr="00982AA9">
        <w:rPr>
          <w:rFonts w:ascii="Book Antiqua" w:eastAsia="Book Antiqua" w:hAnsi="Book Antiqua" w:cs="Book Antiqua"/>
          <w:color w:val="000000"/>
        </w:rPr>
        <w:lastRenderedPageBreak/>
        <w:t xml:space="preserve">review and meta-analysis.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2009; </w:t>
      </w:r>
      <w:r w:rsidRPr="00982AA9">
        <w:rPr>
          <w:rFonts w:ascii="Book Antiqua" w:eastAsia="Book Antiqua" w:hAnsi="Book Antiqua" w:cs="Book Antiqua"/>
          <w:b/>
          <w:bCs/>
          <w:color w:val="000000"/>
        </w:rPr>
        <w:t>7</w:t>
      </w:r>
      <w:r w:rsidRPr="00982AA9">
        <w:rPr>
          <w:rFonts w:ascii="Book Antiqua" w:eastAsia="Book Antiqua" w:hAnsi="Book Antiqua" w:cs="Book Antiqua"/>
          <w:color w:val="000000"/>
        </w:rPr>
        <w:t>: 1272-1278 [PMID: 19523536 DOI: 10.1016/j.cgh.2009.05.032]</w:t>
      </w:r>
    </w:p>
    <w:p w14:paraId="51D72498"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33 </w:t>
      </w:r>
      <w:r w:rsidRPr="00982AA9">
        <w:rPr>
          <w:rFonts w:ascii="Book Antiqua" w:eastAsia="Book Antiqua" w:hAnsi="Book Antiqua" w:cs="Book Antiqua"/>
          <w:b/>
          <w:bCs/>
          <w:color w:val="000000"/>
        </w:rPr>
        <w:t>Chen G</w:t>
      </w:r>
      <w:r w:rsidRPr="00982AA9">
        <w:rPr>
          <w:rFonts w:ascii="Book Antiqua" w:eastAsia="Book Antiqua" w:hAnsi="Book Antiqua" w:cs="Book Antiqua"/>
          <w:color w:val="000000"/>
        </w:rPr>
        <w:t xml:space="preserve">, Mao B, Pan Q, Liu Q, Xu X, Ning Y. Prediction rule for estimating advanced colorectal neoplasm risk in average-risk populations in southern Jiangsu Province. </w:t>
      </w:r>
      <w:r w:rsidRPr="00982AA9">
        <w:rPr>
          <w:rFonts w:ascii="Book Antiqua" w:eastAsia="Book Antiqua" w:hAnsi="Book Antiqua" w:cs="Book Antiqua"/>
          <w:i/>
          <w:iCs/>
          <w:color w:val="000000"/>
        </w:rPr>
        <w:t>Chin J Cancer Res</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26</w:t>
      </w:r>
      <w:r w:rsidRPr="00982AA9">
        <w:rPr>
          <w:rFonts w:ascii="Book Antiqua" w:eastAsia="Book Antiqua" w:hAnsi="Book Antiqua" w:cs="Book Antiqua"/>
          <w:color w:val="000000"/>
        </w:rPr>
        <w:t>: 4-11 [PMID: 24653621 DOI: 10.3978/j.issn.1000-9604.2014.02.03]</w:t>
      </w:r>
    </w:p>
    <w:p w14:paraId="45A3CE8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34 </w:t>
      </w:r>
      <w:r w:rsidRPr="00982AA9">
        <w:rPr>
          <w:rFonts w:ascii="Book Antiqua" w:eastAsia="Book Antiqua" w:hAnsi="Book Antiqua" w:cs="Book Antiqua"/>
          <w:b/>
          <w:bCs/>
          <w:color w:val="000000"/>
        </w:rPr>
        <w:t>Hong SN</w:t>
      </w:r>
      <w:r w:rsidRPr="00982AA9">
        <w:rPr>
          <w:rFonts w:ascii="Book Antiqua" w:eastAsia="Book Antiqua" w:hAnsi="Book Antiqua" w:cs="Book Antiqua"/>
          <w:color w:val="000000"/>
        </w:rPr>
        <w:t xml:space="preserve">, Son HJ, Choi SK, Chang DK, Kim YH, Jung SH, Rhee PL. A prediction model for advanced colorectal neoplasia in an asymptomatic screening population. </w:t>
      </w:r>
      <w:r w:rsidRPr="00982AA9">
        <w:rPr>
          <w:rFonts w:ascii="Book Antiqua" w:eastAsia="Book Antiqua" w:hAnsi="Book Antiqua" w:cs="Book Antiqua"/>
          <w:i/>
          <w:iCs/>
          <w:color w:val="000000"/>
        </w:rPr>
        <w:t>PLoS One</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e0181040 [PMID: 28841657 DOI: 10.1371/journal.pone.0181040]</w:t>
      </w:r>
    </w:p>
    <w:p w14:paraId="3837262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35 </w:t>
      </w:r>
      <w:r w:rsidRPr="00982AA9">
        <w:rPr>
          <w:rFonts w:ascii="Book Antiqua" w:eastAsia="Book Antiqua" w:hAnsi="Book Antiqua" w:cs="Book Antiqua"/>
          <w:b/>
          <w:bCs/>
          <w:color w:val="000000"/>
        </w:rPr>
        <w:t>Imperiale TF</w:t>
      </w:r>
      <w:r w:rsidRPr="00982AA9">
        <w:rPr>
          <w:rFonts w:ascii="Book Antiqua" w:eastAsia="Book Antiqua" w:hAnsi="Book Antiqua" w:cs="Book Antiqua"/>
          <w:color w:val="000000"/>
        </w:rPr>
        <w:t xml:space="preserve">, Monahan PO, Stump TE, Glowinski EA, Ransohoff DF. Derivation and Validation of a Scoring System to Stratify Risk for Advanced Colorectal Neoplasia in Asymptomatic Adults: A Cross-sectional Study. </w:t>
      </w:r>
      <w:r w:rsidRPr="00982AA9">
        <w:rPr>
          <w:rFonts w:ascii="Book Antiqua" w:eastAsia="Book Antiqua" w:hAnsi="Book Antiqua" w:cs="Book Antiqua"/>
          <w:i/>
          <w:iCs/>
          <w:color w:val="000000"/>
        </w:rPr>
        <w:t>Ann Intern Med</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163</w:t>
      </w:r>
      <w:r w:rsidRPr="00982AA9">
        <w:rPr>
          <w:rFonts w:ascii="Book Antiqua" w:eastAsia="Book Antiqua" w:hAnsi="Book Antiqua" w:cs="Book Antiqua"/>
          <w:color w:val="000000"/>
        </w:rPr>
        <w:t>: 339-346 [PMID: 26259154 DOI: 10.7326/m14-1720]</w:t>
      </w:r>
    </w:p>
    <w:p w14:paraId="36BF6B7A"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36 </w:t>
      </w:r>
      <w:r w:rsidRPr="00982AA9">
        <w:rPr>
          <w:rFonts w:ascii="Book Antiqua" w:eastAsia="Book Antiqua" w:hAnsi="Book Antiqua" w:cs="Book Antiqua"/>
          <w:b/>
          <w:bCs/>
          <w:color w:val="000000"/>
        </w:rPr>
        <w:t>Imperiale TF</w:t>
      </w:r>
      <w:r w:rsidRPr="00982AA9">
        <w:rPr>
          <w:rFonts w:ascii="Book Antiqua" w:eastAsia="Book Antiqua" w:hAnsi="Book Antiqua" w:cs="Book Antiqua"/>
          <w:color w:val="000000"/>
        </w:rPr>
        <w:t xml:space="preserve">, Yu M, Monahan PO, Stump TE, Tabbey R, Glowinski E, Ransohoff DF. Risk of Advanced Neoplasia Using the National Cancer Institute's Colorectal Cancer Risk Assessment Tool. </w:t>
      </w:r>
      <w:r w:rsidRPr="00982AA9">
        <w:rPr>
          <w:rFonts w:ascii="Book Antiqua" w:eastAsia="Book Antiqua" w:hAnsi="Book Antiqua" w:cs="Book Antiqua"/>
          <w:i/>
          <w:iCs/>
          <w:color w:val="000000"/>
        </w:rPr>
        <w:t>J Natl Cancer Inst</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109</w:t>
      </w:r>
      <w:r w:rsidRPr="00982AA9">
        <w:rPr>
          <w:rFonts w:ascii="Book Antiqua" w:eastAsia="Book Antiqua" w:hAnsi="Book Antiqua" w:cs="Book Antiqua"/>
          <w:color w:val="000000"/>
        </w:rPr>
        <w:t xml:space="preserve"> [PMID: 27582444 DOI: 10.1093/jnci/djw181]</w:t>
      </w:r>
    </w:p>
    <w:p w14:paraId="688B01D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37 </w:t>
      </w:r>
      <w:r w:rsidRPr="00982AA9">
        <w:rPr>
          <w:rFonts w:ascii="Book Antiqua" w:eastAsia="Book Antiqua" w:hAnsi="Book Antiqua" w:cs="Book Antiqua"/>
          <w:b/>
          <w:bCs/>
          <w:color w:val="000000"/>
        </w:rPr>
        <w:t>Kim JY</w:t>
      </w:r>
      <w:r w:rsidRPr="00982AA9">
        <w:rPr>
          <w:rFonts w:ascii="Book Antiqua" w:eastAsia="Book Antiqua" w:hAnsi="Book Antiqua" w:cs="Book Antiqua"/>
          <w:color w:val="000000"/>
        </w:rPr>
        <w:t xml:space="preserve">, Choi S, Park T, Kim SK, Jung YS, Park JH, Kim HJ, Cho YK, Sohn CI, Jeon WK, Kim BI, Choi KY, Park DI. Development and validation of a scoring system for advanced colorectal neoplasm in young Korean subjects less than age 50 years. </w:t>
      </w:r>
      <w:r w:rsidRPr="00982AA9">
        <w:rPr>
          <w:rFonts w:ascii="Book Antiqua" w:eastAsia="Book Antiqua" w:hAnsi="Book Antiqua" w:cs="Book Antiqua"/>
          <w:i/>
          <w:iCs/>
          <w:color w:val="000000"/>
        </w:rPr>
        <w:t>Intest Res</w:t>
      </w:r>
      <w:r w:rsidRPr="00982AA9">
        <w:rPr>
          <w:rFonts w:ascii="Book Antiqua" w:eastAsia="Book Antiqua" w:hAnsi="Book Antiqua" w:cs="Book Antiqua"/>
          <w:color w:val="000000"/>
        </w:rPr>
        <w:t xml:space="preserve"> 2019; </w:t>
      </w:r>
      <w:r w:rsidRPr="00982AA9">
        <w:rPr>
          <w:rFonts w:ascii="Book Antiqua" w:eastAsia="Book Antiqua" w:hAnsi="Book Antiqua" w:cs="Book Antiqua"/>
          <w:b/>
          <w:bCs/>
          <w:color w:val="000000"/>
        </w:rPr>
        <w:t>17</w:t>
      </w:r>
      <w:r w:rsidRPr="00982AA9">
        <w:rPr>
          <w:rFonts w:ascii="Book Antiqua" w:eastAsia="Book Antiqua" w:hAnsi="Book Antiqua" w:cs="Book Antiqua"/>
          <w:color w:val="000000"/>
        </w:rPr>
        <w:t>: 253-264 [PMID: 30449080 DOI: 10.5217/ir.2018.00062]</w:t>
      </w:r>
    </w:p>
    <w:p w14:paraId="37D2326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38 </w:t>
      </w:r>
      <w:r w:rsidRPr="00982AA9">
        <w:rPr>
          <w:rFonts w:ascii="Book Antiqua" w:eastAsia="Book Antiqua" w:hAnsi="Book Antiqua" w:cs="Book Antiqua"/>
          <w:b/>
          <w:bCs/>
          <w:color w:val="000000"/>
        </w:rPr>
        <w:t>Ladabaum U</w:t>
      </w:r>
      <w:r w:rsidRPr="00982AA9">
        <w:rPr>
          <w:rFonts w:ascii="Book Antiqua" w:eastAsia="Book Antiqua" w:hAnsi="Book Antiqua" w:cs="Book Antiqua"/>
          <w:color w:val="000000"/>
        </w:rPr>
        <w:t xml:space="preserve">, Patel A, Mannalithara A, Sundaram V, Mitani A, Desai M. Predicting advanced neoplasia at colonoscopy in a diverse population with the National Cancer Institute colorectal cancer risk-assessment tool. </w:t>
      </w:r>
      <w:r w:rsidRPr="00982AA9">
        <w:rPr>
          <w:rFonts w:ascii="Book Antiqua" w:eastAsia="Book Antiqua" w:hAnsi="Book Antiqua" w:cs="Book Antiqua"/>
          <w:i/>
          <w:iCs/>
          <w:color w:val="000000"/>
        </w:rPr>
        <w:t>Cancer</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122</w:t>
      </w:r>
      <w:r w:rsidRPr="00982AA9">
        <w:rPr>
          <w:rFonts w:ascii="Book Antiqua" w:eastAsia="Book Antiqua" w:hAnsi="Book Antiqua" w:cs="Book Antiqua"/>
          <w:color w:val="000000"/>
        </w:rPr>
        <w:t>: 2663-2670 [PMID: 27219715 DOI: 10.1002/cncr.30096]</w:t>
      </w:r>
    </w:p>
    <w:p w14:paraId="15E4741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39 </w:t>
      </w:r>
      <w:r w:rsidRPr="00982AA9">
        <w:rPr>
          <w:rFonts w:ascii="Book Antiqua" w:eastAsia="Book Antiqua" w:hAnsi="Book Antiqua" w:cs="Book Antiqua"/>
          <w:b/>
          <w:bCs/>
          <w:color w:val="000000"/>
        </w:rPr>
        <w:t>Li W</w:t>
      </w:r>
      <w:r w:rsidRPr="00982AA9">
        <w:rPr>
          <w:rFonts w:ascii="Book Antiqua" w:eastAsia="Book Antiqua" w:hAnsi="Book Antiqua" w:cs="Book Antiqua"/>
          <w:color w:val="000000"/>
        </w:rPr>
        <w:t xml:space="preserve">, Zhang L, Hao J, Wu Y, Lu D, Zhao H, Wang Z, Xu T, Yang H, Qian J, Li J. Validity of APCS score as a risk prediction score for advanced colorectal neoplasia in Chinese asymptomatic subjects: A prospective colonoscopy study. </w:t>
      </w:r>
      <w:r w:rsidRPr="00982AA9">
        <w:rPr>
          <w:rFonts w:ascii="Book Antiqua" w:eastAsia="Book Antiqua" w:hAnsi="Book Antiqua" w:cs="Book Antiqua"/>
          <w:i/>
          <w:iCs/>
          <w:color w:val="000000"/>
        </w:rPr>
        <w:t>Medicine (Baltimore)</w:t>
      </w:r>
      <w:r w:rsidRPr="00982AA9">
        <w:rPr>
          <w:rFonts w:ascii="Book Antiqua" w:eastAsia="Book Antiqua" w:hAnsi="Book Antiqua" w:cs="Book Antiqua"/>
          <w:color w:val="000000"/>
        </w:rPr>
        <w:t xml:space="preserve"> 2016; </w:t>
      </w:r>
      <w:r w:rsidRPr="00982AA9">
        <w:rPr>
          <w:rFonts w:ascii="Book Antiqua" w:eastAsia="Book Antiqua" w:hAnsi="Book Antiqua" w:cs="Book Antiqua"/>
          <w:b/>
          <w:bCs/>
          <w:color w:val="000000"/>
        </w:rPr>
        <w:t>95</w:t>
      </w:r>
      <w:r w:rsidRPr="00982AA9">
        <w:rPr>
          <w:rFonts w:ascii="Book Antiqua" w:eastAsia="Book Antiqua" w:hAnsi="Book Antiqua" w:cs="Book Antiqua"/>
          <w:color w:val="000000"/>
        </w:rPr>
        <w:t>: e5123 [PMID: 27741134 DOI: 10.1097/md.0000000000005123]</w:t>
      </w:r>
    </w:p>
    <w:p w14:paraId="78461B39"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lastRenderedPageBreak/>
        <w:t xml:space="preserve">40 </w:t>
      </w:r>
      <w:r w:rsidRPr="00982AA9">
        <w:rPr>
          <w:rFonts w:ascii="Book Antiqua" w:eastAsia="Book Antiqua" w:hAnsi="Book Antiqua" w:cs="Book Antiqua"/>
          <w:b/>
          <w:bCs/>
          <w:color w:val="000000"/>
        </w:rPr>
        <w:t>Lin OS</w:t>
      </w:r>
      <w:r w:rsidRPr="00982AA9">
        <w:rPr>
          <w:rFonts w:ascii="Book Antiqua" w:eastAsia="Book Antiqua" w:hAnsi="Book Antiqua" w:cs="Book Antiqua"/>
          <w:color w:val="000000"/>
        </w:rPr>
        <w:t xml:space="preserve">, Kozarek RA, Schembre DB, Ayub K, Gluck M, Cantone N, Soon MS, Dominitz JA. Risk stratification for colon neoplasia: screening strategies using colonoscopy and computerized tomographic colonography. </w:t>
      </w:r>
      <w:r w:rsidRPr="00982AA9">
        <w:rPr>
          <w:rFonts w:ascii="Book Antiqua" w:eastAsia="Book Antiqua" w:hAnsi="Book Antiqua" w:cs="Book Antiqua"/>
          <w:i/>
          <w:iCs/>
          <w:color w:val="000000"/>
        </w:rPr>
        <w:t>Gastroenterology</w:t>
      </w:r>
      <w:r w:rsidRPr="00982AA9">
        <w:rPr>
          <w:rFonts w:ascii="Book Antiqua" w:eastAsia="Book Antiqua" w:hAnsi="Book Antiqua" w:cs="Book Antiqua"/>
          <w:color w:val="000000"/>
        </w:rPr>
        <w:t xml:space="preserve"> 2006; </w:t>
      </w:r>
      <w:r w:rsidRPr="00982AA9">
        <w:rPr>
          <w:rFonts w:ascii="Book Antiqua" w:eastAsia="Book Antiqua" w:hAnsi="Book Antiqua" w:cs="Book Antiqua"/>
          <w:b/>
          <w:bCs/>
          <w:color w:val="000000"/>
        </w:rPr>
        <w:t>131</w:t>
      </w:r>
      <w:r w:rsidRPr="00982AA9">
        <w:rPr>
          <w:rFonts w:ascii="Book Antiqua" w:eastAsia="Book Antiqua" w:hAnsi="Book Antiqua" w:cs="Book Antiqua"/>
          <w:color w:val="000000"/>
        </w:rPr>
        <w:t>: 1011-1019 [PMID: 17030171 DOI: 10.1053/j.gastro.2006.08.015]</w:t>
      </w:r>
    </w:p>
    <w:p w14:paraId="348F527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41 </w:t>
      </w:r>
      <w:r w:rsidRPr="00982AA9">
        <w:rPr>
          <w:rFonts w:ascii="Book Antiqua" w:eastAsia="Book Antiqua" w:hAnsi="Book Antiqua" w:cs="Book Antiqua"/>
          <w:b/>
          <w:bCs/>
          <w:color w:val="000000"/>
        </w:rPr>
        <w:t>Murchie B</w:t>
      </w:r>
      <w:r w:rsidRPr="00982AA9">
        <w:rPr>
          <w:rFonts w:ascii="Book Antiqua" w:eastAsia="Book Antiqua" w:hAnsi="Book Antiqua" w:cs="Book Antiqua"/>
          <w:color w:val="000000"/>
        </w:rPr>
        <w:t xml:space="preserve">, Tandon K, Hakim S, Shah K, O'Rourke C, Castro FJ. A New Scoring System to Predict the Risk for High-risk Adenoma and Comparison of Existing Risk Calculators. </w:t>
      </w:r>
      <w:r w:rsidRPr="00982AA9">
        <w:rPr>
          <w:rFonts w:ascii="Book Antiqua" w:eastAsia="Book Antiqua" w:hAnsi="Book Antiqua" w:cs="Book Antiqua"/>
          <w:i/>
          <w:iCs/>
          <w:color w:val="000000"/>
        </w:rPr>
        <w:t>J Clin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51</w:t>
      </w:r>
      <w:r w:rsidRPr="00982AA9">
        <w:rPr>
          <w:rFonts w:ascii="Book Antiqua" w:eastAsia="Book Antiqua" w:hAnsi="Book Antiqua" w:cs="Book Antiqua"/>
          <w:color w:val="000000"/>
        </w:rPr>
        <w:t>: 345-351 [PMID: 27322531 DOI: 10.1097/mcg.0000000000000576]</w:t>
      </w:r>
    </w:p>
    <w:p w14:paraId="795C7E1E"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42 </w:t>
      </w:r>
      <w:r w:rsidRPr="00982AA9">
        <w:rPr>
          <w:rFonts w:ascii="Book Antiqua" w:eastAsia="Book Antiqua" w:hAnsi="Book Antiqua" w:cs="Book Antiqua"/>
          <w:b/>
          <w:bCs/>
          <w:color w:val="000000"/>
        </w:rPr>
        <w:t>Park YM</w:t>
      </w:r>
      <w:r w:rsidRPr="00982AA9">
        <w:rPr>
          <w:rFonts w:ascii="Book Antiqua" w:eastAsia="Book Antiqua" w:hAnsi="Book Antiqua" w:cs="Book Antiqua"/>
          <w:color w:val="000000"/>
        </w:rPr>
        <w:t xml:space="preserve">, Kim HS, Park JJ, Baik SJ, Youn YH, Kim JH, Park H. A simple scoring model for advanced colorectal neoplasm in asymptomatic subjects aged 40-49 years. </w:t>
      </w:r>
      <w:r w:rsidRPr="00982AA9">
        <w:rPr>
          <w:rFonts w:ascii="Book Antiqua" w:eastAsia="Book Antiqua" w:hAnsi="Book Antiqua" w:cs="Book Antiqua"/>
          <w:i/>
          <w:iCs/>
          <w:color w:val="000000"/>
        </w:rPr>
        <w:t>BMC Gastroenterol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17</w:t>
      </w:r>
      <w:r w:rsidRPr="00982AA9">
        <w:rPr>
          <w:rFonts w:ascii="Book Antiqua" w:eastAsia="Book Antiqua" w:hAnsi="Book Antiqua" w:cs="Book Antiqua"/>
          <w:color w:val="000000"/>
        </w:rPr>
        <w:t>: 7 [PMID: 28068908 DOI: 10.1186/s12876-016-0562-9]</w:t>
      </w:r>
    </w:p>
    <w:p w14:paraId="6C5F36A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43 </w:t>
      </w:r>
      <w:r w:rsidRPr="00982AA9">
        <w:rPr>
          <w:rFonts w:ascii="Book Antiqua" w:eastAsia="Book Antiqua" w:hAnsi="Book Antiqua" w:cs="Book Antiqua"/>
          <w:b/>
          <w:bCs/>
          <w:color w:val="000000"/>
        </w:rPr>
        <w:t>Ruco A</w:t>
      </w:r>
      <w:r w:rsidRPr="00982AA9">
        <w:rPr>
          <w:rFonts w:ascii="Book Antiqua" w:eastAsia="Book Antiqua" w:hAnsi="Book Antiqua" w:cs="Book Antiqua"/>
          <w:color w:val="000000"/>
        </w:rPr>
        <w:t xml:space="preserve">, Stock D, Hilsden RJ, McGregor SE, Paszat LF, Saskin R, Rabeneck L. Evaluation of a clinical risk index for advanced colorectal neoplasia among a North American population of screening age. </w:t>
      </w:r>
      <w:r w:rsidRPr="00982AA9">
        <w:rPr>
          <w:rFonts w:ascii="Book Antiqua" w:eastAsia="Book Antiqua" w:hAnsi="Book Antiqua" w:cs="Book Antiqua"/>
          <w:i/>
          <w:iCs/>
          <w:color w:val="000000"/>
        </w:rPr>
        <w:t>BMC Gastroenterol</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15</w:t>
      </w:r>
      <w:r w:rsidRPr="00982AA9">
        <w:rPr>
          <w:rFonts w:ascii="Book Antiqua" w:eastAsia="Book Antiqua" w:hAnsi="Book Antiqua" w:cs="Book Antiqua"/>
          <w:color w:val="000000"/>
        </w:rPr>
        <w:t>: 162 [PMID: 26585867 DOI: 10.1186/s12876-015-0395-y]</w:t>
      </w:r>
    </w:p>
    <w:p w14:paraId="1BC0013B"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44 </w:t>
      </w:r>
      <w:r w:rsidRPr="00982AA9">
        <w:rPr>
          <w:rFonts w:ascii="Book Antiqua" w:eastAsia="Book Antiqua" w:hAnsi="Book Antiqua" w:cs="Book Antiqua"/>
          <w:b/>
          <w:bCs/>
          <w:color w:val="000000"/>
        </w:rPr>
        <w:t>Schroy PC 3rd</w:t>
      </w:r>
      <w:r w:rsidRPr="00982AA9">
        <w:rPr>
          <w:rFonts w:ascii="Book Antiqua" w:eastAsia="Book Antiqua" w:hAnsi="Book Antiqua" w:cs="Book Antiqua"/>
          <w:color w:val="000000"/>
        </w:rPr>
        <w:t xml:space="preserve">, Wong JB, O'Brien MJ, Chen CA, Griffith JL. A Risk Prediction Index for Advanced Colorectal Neoplasia at Screening Colonoscopy. </w:t>
      </w:r>
      <w:r w:rsidRPr="00982AA9">
        <w:rPr>
          <w:rFonts w:ascii="Book Antiqua" w:eastAsia="Book Antiqua" w:hAnsi="Book Antiqua" w:cs="Book Antiqua"/>
          <w:i/>
          <w:iCs/>
          <w:color w:val="000000"/>
        </w:rPr>
        <w:t>Am J Gastroenterol</w:t>
      </w:r>
      <w:r w:rsidRPr="00982AA9">
        <w:rPr>
          <w:rFonts w:ascii="Book Antiqua" w:eastAsia="Book Antiqua" w:hAnsi="Book Antiqua" w:cs="Book Antiqua"/>
          <w:color w:val="000000"/>
        </w:rPr>
        <w:t xml:space="preserve"> 2015; </w:t>
      </w:r>
      <w:r w:rsidRPr="00982AA9">
        <w:rPr>
          <w:rFonts w:ascii="Book Antiqua" w:eastAsia="Book Antiqua" w:hAnsi="Book Antiqua" w:cs="Book Antiqua"/>
          <w:b/>
          <w:bCs/>
          <w:color w:val="000000"/>
        </w:rPr>
        <w:t>110</w:t>
      </w:r>
      <w:r w:rsidRPr="00982AA9">
        <w:rPr>
          <w:rFonts w:ascii="Book Antiqua" w:eastAsia="Book Antiqua" w:hAnsi="Book Antiqua" w:cs="Book Antiqua"/>
          <w:color w:val="000000"/>
        </w:rPr>
        <w:t>: 1062-1071 [PMID: 26010311 DOI: 10.1038/ajg.2015.146]</w:t>
      </w:r>
    </w:p>
    <w:p w14:paraId="2FFBEB3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45 </w:t>
      </w:r>
      <w:r w:rsidRPr="00982AA9">
        <w:rPr>
          <w:rFonts w:ascii="Book Antiqua" w:eastAsia="Book Antiqua" w:hAnsi="Book Antiqua" w:cs="Book Antiqua"/>
          <w:b/>
          <w:bCs/>
          <w:color w:val="000000"/>
        </w:rPr>
        <w:t>Sung JJY</w:t>
      </w:r>
      <w:r w:rsidRPr="00982AA9">
        <w:rPr>
          <w:rFonts w:ascii="Book Antiqua" w:eastAsia="Book Antiqua" w:hAnsi="Book Antiqua" w:cs="Book Antiqua"/>
          <w:color w:val="000000"/>
        </w:rPr>
        <w:t xml:space="preserve">, Wong MCS, Lam TYT, Tsoi KKF, Chan VCW, Cheung W, Ching JYL. A modified colorectal screening score for prediction of advanced neoplasia: A prospective study of 5744 subjects. </w:t>
      </w:r>
      <w:r w:rsidRPr="00982AA9">
        <w:rPr>
          <w:rFonts w:ascii="Book Antiqua" w:eastAsia="Book Antiqua" w:hAnsi="Book Antiqua" w:cs="Book Antiqua"/>
          <w:i/>
          <w:iCs/>
          <w:color w:val="000000"/>
        </w:rPr>
        <w:t>J Gastroenterol Hepatol</w:t>
      </w:r>
      <w:r w:rsidRPr="00982AA9">
        <w:rPr>
          <w:rFonts w:ascii="Book Antiqua" w:eastAsia="Book Antiqua" w:hAnsi="Book Antiqua" w:cs="Book Antiqua"/>
          <w:color w:val="000000"/>
        </w:rPr>
        <w:t xml:space="preserve"> 2018; </w:t>
      </w:r>
      <w:r w:rsidRPr="00982AA9">
        <w:rPr>
          <w:rFonts w:ascii="Book Antiqua" w:eastAsia="Book Antiqua" w:hAnsi="Book Antiqua" w:cs="Book Antiqua"/>
          <w:b/>
          <w:bCs/>
          <w:color w:val="000000"/>
        </w:rPr>
        <w:t>33</w:t>
      </w:r>
      <w:r w:rsidRPr="00982AA9">
        <w:rPr>
          <w:rFonts w:ascii="Book Antiqua" w:eastAsia="Book Antiqua" w:hAnsi="Book Antiqua" w:cs="Book Antiqua"/>
          <w:color w:val="000000"/>
        </w:rPr>
        <w:t>: 187-194 [PMID: 28561279 DOI: 10.1111/jgh.13835]</w:t>
      </w:r>
    </w:p>
    <w:p w14:paraId="6E7B21A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46 </w:t>
      </w:r>
      <w:r w:rsidRPr="00982AA9">
        <w:rPr>
          <w:rFonts w:ascii="Book Antiqua" w:eastAsia="Book Antiqua" w:hAnsi="Book Antiqua" w:cs="Book Antiqua"/>
          <w:b/>
          <w:bCs/>
          <w:color w:val="000000"/>
        </w:rPr>
        <w:t>Tao S</w:t>
      </w:r>
      <w:r w:rsidRPr="00982AA9">
        <w:rPr>
          <w:rFonts w:ascii="Book Antiqua" w:eastAsia="Book Antiqua" w:hAnsi="Book Antiqua" w:cs="Book Antiqua"/>
          <w:color w:val="000000"/>
        </w:rPr>
        <w:t xml:space="preserve">, Hoffmeister M, Brenner H. Development and validation of a scoring system to identify individuals at high risk for advanced colorectal neoplasms who should undergo colonoscopy screening. </w:t>
      </w:r>
      <w:r w:rsidRPr="00982AA9">
        <w:rPr>
          <w:rFonts w:ascii="Book Antiqua" w:eastAsia="Book Antiqua" w:hAnsi="Book Antiqua" w:cs="Book Antiqua"/>
          <w:i/>
          <w:iCs/>
          <w:color w:val="000000"/>
        </w:rPr>
        <w:t>Clin Gastroenterol Hepatol</w:t>
      </w:r>
      <w:r w:rsidRPr="00982AA9">
        <w:rPr>
          <w:rFonts w:ascii="Book Antiqua" w:eastAsia="Book Antiqua" w:hAnsi="Book Antiqua" w:cs="Book Antiqua"/>
          <w:color w:val="000000"/>
        </w:rPr>
        <w:t xml:space="preserve"> 2014; </w:t>
      </w:r>
      <w:r w:rsidRPr="00982AA9">
        <w:rPr>
          <w:rFonts w:ascii="Book Antiqua" w:eastAsia="Book Antiqua" w:hAnsi="Book Antiqua" w:cs="Book Antiqua"/>
          <w:b/>
          <w:bCs/>
          <w:color w:val="000000"/>
        </w:rPr>
        <w:t>12</w:t>
      </w:r>
      <w:r w:rsidRPr="00982AA9">
        <w:rPr>
          <w:rFonts w:ascii="Book Antiqua" w:eastAsia="Book Antiqua" w:hAnsi="Book Antiqua" w:cs="Book Antiqua"/>
          <w:color w:val="000000"/>
        </w:rPr>
        <w:t>: 478-485 [PMID: 24022090 DOI: 10.1016/j.cgh.2013.08.042]</w:t>
      </w:r>
    </w:p>
    <w:p w14:paraId="04C5DB02"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47 </w:t>
      </w:r>
      <w:r w:rsidRPr="00982AA9">
        <w:rPr>
          <w:rFonts w:ascii="Book Antiqua" w:eastAsia="Book Antiqua" w:hAnsi="Book Antiqua" w:cs="Book Antiqua"/>
          <w:b/>
          <w:bCs/>
          <w:color w:val="000000"/>
        </w:rPr>
        <w:t>Yang HJ</w:t>
      </w:r>
      <w:r w:rsidRPr="00982AA9">
        <w:rPr>
          <w:rFonts w:ascii="Book Antiqua" w:eastAsia="Book Antiqua" w:hAnsi="Book Antiqua" w:cs="Book Antiqua"/>
          <w:color w:val="000000"/>
        </w:rPr>
        <w:t xml:space="preserve">, Choi S, Park SK, Jung YS, Choi KY, Park T, Kim JY, Park DI. Derivation and validation of a risk scoring model to predict advanced colorectal neoplasm in adults of </w:t>
      </w:r>
      <w:r w:rsidRPr="00982AA9">
        <w:rPr>
          <w:rFonts w:ascii="Book Antiqua" w:eastAsia="Book Antiqua" w:hAnsi="Book Antiqua" w:cs="Book Antiqua"/>
          <w:color w:val="000000"/>
        </w:rPr>
        <w:lastRenderedPageBreak/>
        <w:t xml:space="preserve">all ages. </w:t>
      </w:r>
      <w:r w:rsidRPr="00982AA9">
        <w:rPr>
          <w:rFonts w:ascii="Book Antiqua" w:eastAsia="Book Antiqua" w:hAnsi="Book Antiqua" w:cs="Book Antiqua"/>
          <w:i/>
          <w:iCs/>
          <w:color w:val="000000"/>
        </w:rPr>
        <w:t>J Gastroenterol Hepatol</w:t>
      </w:r>
      <w:r w:rsidRPr="00982AA9">
        <w:rPr>
          <w:rFonts w:ascii="Book Antiqua" w:eastAsia="Book Antiqua" w:hAnsi="Book Antiqua" w:cs="Book Antiqua"/>
          <w:color w:val="000000"/>
        </w:rPr>
        <w:t xml:space="preserve"> 2017; </w:t>
      </w:r>
      <w:r w:rsidRPr="00982AA9">
        <w:rPr>
          <w:rFonts w:ascii="Book Antiqua" w:eastAsia="Book Antiqua" w:hAnsi="Book Antiqua" w:cs="Book Antiqua"/>
          <w:b/>
          <w:bCs/>
          <w:color w:val="000000"/>
        </w:rPr>
        <w:t>32</w:t>
      </w:r>
      <w:r w:rsidRPr="00982AA9">
        <w:rPr>
          <w:rFonts w:ascii="Book Antiqua" w:eastAsia="Book Antiqua" w:hAnsi="Book Antiqua" w:cs="Book Antiqua"/>
          <w:color w:val="000000"/>
        </w:rPr>
        <w:t>: 1328-1335 [PMID: 28012211 DOI: 10.1111/jgh.13711]</w:t>
      </w:r>
    </w:p>
    <w:p w14:paraId="356F942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 xml:space="preserve">48 </w:t>
      </w:r>
      <w:r w:rsidRPr="00982AA9">
        <w:rPr>
          <w:rFonts w:ascii="Book Antiqua" w:eastAsia="Book Antiqua" w:hAnsi="Book Antiqua" w:cs="Book Antiqua"/>
          <w:b/>
          <w:bCs/>
          <w:color w:val="000000"/>
        </w:rPr>
        <w:t>Yeoh KG</w:t>
      </w:r>
      <w:r w:rsidRPr="00982AA9">
        <w:rPr>
          <w:rFonts w:ascii="Book Antiqua" w:eastAsia="Book Antiqua" w:hAnsi="Book Antiqua" w:cs="Book Antiqua"/>
          <w:color w:val="000000"/>
        </w:rPr>
        <w:t xml:space="preserve">, Ho KY, Chiu HM, Zhu F, Ching JY, Wu DC, Matsuda T, Byeon JS, Lee SK, Goh KL, Sollano J, Rerknimitr R, Leong R, Tsoi K, Lin JT, Sung JJ; Asia-Pacific Working Group on Colorectal Cancer. The Asia-Pacific Colorectal Screening score: a validated tool that stratifies risk for colorectal advanced neoplasia in asymptomatic Asian subjects. </w:t>
      </w:r>
      <w:r w:rsidRPr="00982AA9">
        <w:rPr>
          <w:rFonts w:ascii="Book Antiqua" w:eastAsia="Book Antiqua" w:hAnsi="Book Antiqua" w:cs="Book Antiqua"/>
          <w:i/>
          <w:iCs/>
          <w:color w:val="000000"/>
        </w:rPr>
        <w:t>Gut</w:t>
      </w:r>
      <w:r w:rsidRPr="00982AA9">
        <w:rPr>
          <w:rFonts w:ascii="Book Antiqua" w:eastAsia="Book Antiqua" w:hAnsi="Book Antiqua" w:cs="Book Antiqua"/>
          <w:color w:val="000000"/>
        </w:rPr>
        <w:t xml:space="preserve"> 2011; </w:t>
      </w:r>
      <w:r w:rsidRPr="00982AA9">
        <w:rPr>
          <w:rFonts w:ascii="Book Antiqua" w:eastAsia="Book Antiqua" w:hAnsi="Book Antiqua" w:cs="Book Antiqua"/>
          <w:b/>
          <w:bCs/>
          <w:color w:val="000000"/>
        </w:rPr>
        <w:t>60</w:t>
      </w:r>
      <w:r w:rsidRPr="00982AA9">
        <w:rPr>
          <w:rFonts w:ascii="Book Antiqua" w:eastAsia="Book Antiqua" w:hAnsi="Book Antiqua" w:cs="Book Antiqua"/>
          <w:color w:val="000000"/>
        </w:rPr>
        <w:t>: 1236-1241 [PMID: 21402615 DOI: 10.1136/gut.2010.221168]</w:t>
      </w:r>
    </w:p>
    <w:p w14:paraId="14934708" w14:textId="77777777" w:rsidR="00A77B3E" w:rsidRPr="00982AA9" w:rsidRDefault="00A77B3E" w:rsidP="00982AA9">
      <w:pPr>
        <w:spacing w:line="360" w:lineRule="auto"/>
        <w:jc w:val="both"/>
        <w:rPr>
          <w:rFonts w:ascii="Book Antiqua" w:hAnsi="Book Antiqua"/>
        </w:rPr>
        <w:sectPr w:rsidR="00A77B3E" w:rsidRPr="00982AA9">
          <w:pgSz w:w="12240" w:h="15840"/>
          <w:pgMar w:top="1440" w:right="1440" w:bottom="1440" w:left="1440" w:header="720" w:footer="720" w:gutter="0"/>
          <w:cols w:space="720"/>
          <w:docGrid w:linePitch="360"/>
        </w:sectPr>
      </w:pPr>
    </w:p>
    <w:p w14:paraId="7118AD7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lastRenderedPageBreak/>
        <w:t>Footnotes</w:t>
      </w:r>
    </w:p>
    <w:p w14:paraId="5AC454F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Institutional review board statement: </w:t>
      </w:r>
      <w:r w:rsidRPr="00982AA9">
        <w:rPr>
          <w:rFonts w:ascii="Book Antiqua" w:eastAsia="Book Antiqua" w:hAnsi="Book Antiqua" w:cs="Book Antiqua"/>
          <w:color w:val="000000"/>
        </w:rPr>
        <w:t>The study was reviewed and approved by the institutional review board of the American University of Beirut Medical Center (AUBMC).</w:t>
      </w:r>
    </w:p>
    <w:p w14:paraId="38FDAAA8" w14:textId="77777777" w:rsidR="00A77B3E" w:rsidRPr="00982AA9" w:rsidRDefault="00A77B3E" w:rsidP="00982AA9">
      <w:pPr>
        <w:spacing w:line="360" w:lineRule="auto"/>
        <w:jc w:val="both"/>
        <w:rPr>
          <w:rFonts w:ascii="Book Antiqua" w:hAnsi="Book Antiqua"/>
        </w:rPr>
      </w:pPr>
    </w:p>
    <w:p w14:paraId="7688B7B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Informed consent statement: </w:t>
      </w:r>
      <w:r w:rsidRPr="00982AA9">
        <w:rPr>
          <w:rFonts w:ascii="Book Antiqua" w:eastAsia="Book Antiqua" w:hAnsi="Book Antiqua" w:cs="Book Antiqua"/>
          <w:color w:val="000000"/>
        </w:rPr>
        <w:t>All</w:t>
      </w:r>
      <w:r w:rsidRPr="00982AA9">
        <w:rPr>
          <w:rFonts w:ascii="Book Antiqua" w:eastAsia="Book Antiqua" w:hAnsi="Book Antiqua" w:cs="Book Antiqua"/>
          <w:b/>
          <w:bCs/>
          <w:color w:val="000000"/>
        </w:rPr>
        <w:t xml:space="preserve"> </w:t>
      </w:r>
      <w:r w:rsidRPr="00982AA9">
        <w:rPr>
          <w:rFonts w:ascii="Book Antiqua" w:eastAsia="Book Antiqua" w:hAnsi="Book Antiqua" w:cs="Book Antiqua"/>
          <w:color w:val="000000"/>
        </w:rPr>
        <w:t>study participants or their legal guardian provided written consent prior to study enrollment.</w:t>
      </w:r>
    </w:p>
    <w:p w14:paraId="75FCA24C" w14:textId="77777777" w:rsidR="00A77B3E" w:rsidRPr="00982AA9" w:rsidRDefault="00A77B3E" w:rsidP="00982AA9">
      <w:pPr>
        <w:spacing w:line="360" w:lineRule="auto"/>
        <w:jc w:val="both"/>
        <w:rPr>
          <w:rFonts w:ascii="Book Antiqua" w:hAnsi="Book Antiqua"/>
        </w:rPr>
      </w:pPr>
    </w:p>
    <w:p w14:paraId="77EB2E13"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Conflict-of-interest statement: </w:t>
      </w:r>
      <w:r w:rsidRPr="00982AA9">
        <w:rPr>
          <w:rFonts w:ascii="Book Antiqua" w:eastAsia="Book Antiqua" w:hAnsi="Book Antiqua" w:cs="Book Antiqua"/>
          <w:color w:val="000000"/>
        </w:rPr>
        <w:t>The authors of this manuscript have no conflict of interest to disclose.</w:t>
      </w:r>
    </w:p>
    <w:p w14:paraId="14538178" w14:textId="77777777" w:rsidR="00A77B3E" w:rsidRPr="00982AA9" w:rsidRDefault="00A77B3E" w:rsidP="00982AA9">
      <w:pPr>
        <w:spacing w:line="360" w:lineRule="auto"/>
        <w:jc w:val="both"/>
        <w:rPr>
          <w:rFonts w:ascii="Book Antiqua" w:hAnsi="Book Antiqua"/>
        </w:rPr>
      </w:pPr>
    </w:p>
    <w:p w14:paraId="629AA81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Data sharing statement: </w:t>
      </w:r>
      <w:r w:rsidRPr="00982AA9">
        <w:rPr>
          <w:rFonts w:ascii="Book Antiqua" w:eastAsia="Book Antiqua" w:hAnsi="Book Antiqua" w:cs="Book Antiqua"/>
          <w:color w:val="000000"/>
        </w:rPr>
        <w:t>No additional data available.</w:t>
      </w:r>
    </w:p>
    <w:p w14:paraId="622F6FD7" w14:textId="77777777" w:rsidR="00A77B3E" w:rsidRPr="00982AA9" w:rsidRDefault="00A77B3E" w:rsidP="00982AA9">
      <w:pPr>
        <w:spacing w:line="360" w:lineRule="auto"/>
        <w:jc w:val="both"/>
        <w:rPr>
          <w:rFonts w:ascii="Book Antiqua" w:hAnsi="Book Antiqua"/>
        </w:rPr>
      </w:pPr>
    </w:p>
    <w:p w14:paraId="50E2841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bCs/>
          <w:color w:val="000000"/>
        </w:rPr>
        <w:t xml:space="preserve">Open-Access: </w:t>
      </w:r>
      <w:r w:rsidRPr="00982AA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F333CA" w14:textId="77777777" w:rsidR="00A77B3E" w:rsidRPr="00982AA9" w:rsidRDefault="00A77B3E" w:rsidP="00982AA9">
      <w:pPr>
        <w:spacing w:line="360" w:lineRule="auto"/>
        <w:jc w:val="both"/>
        <w:rPr>
          <w:rFonts w:ascii="Book Antiqua" w:hAnsi="Book Antiqua"/>
        </w:rPr>
      </w:pPr>
    </w:p>
    <w:p w14:paraId="39168B66"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Manuscript source: </w:t>
      </w:r>
      <w:r w:rsidRPr="00982AA9">
        <w:rPr>
          <w:rFonts w:ascii="Book Antiqua" w:eastAsia="Book Antiqua" w:hAnsi="Book Antiqua" w:cs="Book Antiqua"/>
          <w:color w:val="000000"/>
        </w:rPr>
        <w:t>Invited Manuscript</w:t>
      </w:r>
    </w:p>
    <w:p w14:paraId="30EE98AE" w14:textId="77777777" w:rsidR="00A77B3E" w:rsidRPr="00982AA9" w:rsidRDefault="00A77B3E" w:rsidP="00982AA9">
      <w:pPr>
        <w:spacing w:line="360" w:lineRule="auto"/>
        <w:jc w:val="both"/>
        <w:rPr>
          <w:rFonts w:ascii="Book Antiqua" w:hAnsi="Book Antiqua"/>
        </w:rPr>
      </w:pPr>
    </w:p>
    <w:p w14:paraId="4C640FC5"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Peer-review started: </w:t>
      </w:r>
      <w:r w:rsidRPr="00982AA9">
        <w:rPr>
          <w:rFonts w:ascii="Book Antiqua" w:eastAsia="Book Antiqua" w:hAnsi="Book Antiqua" w:cs="Book Antiqua"/>
          <w:color w:val="000000"/>
        </w:rPr>
        <w:t>April 17, 2020</w:t>
      </w:r>
    </w:p>
    <w:p w14:paraId="35BDDA20"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First decision: </w:t>
      </w:r>
      <w:r w:rsidRPr="00982AA9">
        <w:rPr>
          <w:rFonts w:ascii="Book Antiqua" w:eastAsia="Book Antiqua" w:hAnsi="Book Antiqua" w:cs="Book Antiqua"/>
          <w:color w:val="000000"/>
        </w:rPr>
        <w:t>May 15, 2020</w:t>
      </w:r>
    </w:p>
    <w:p w14:paraId="4F65C422" w14:textId="5A00ADA8"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Article in press: </w:t>
      </w:r>
      <w:r w:rsidR="00116D7F">
        <w:rPr>
          <w:rFonts w:ascii="Book Antiqua" w:hAnsi="Book Antiqua" w:cs="Arial"/>
          <w:color w:val="000000" w:themeColor="text1"/>
          <w:shd w:val="clear" w:color="auto" w:fill="FFFFFF"/>
        </w:rPr>
        <w:t>September 12, 2020</w:t>
      </w:r>
    </w:p>
    <w:p w14:paraId="0E222346" w14:textId="77777777" w:rsidR="00A77B3E" w:rsidRPr="00982AA9" w:rsidRDefault="00A77B3E" w:rsidP="00982AA9">
      <w:pPr>
        <w:spacing w:line="360" w:lineRule="auto"/>
        <w:jc w:val="both"/>
        <w:rPr>
          <w:rFonts w:ascii="Book Antiqua" w:hAnsi="Book Antiqua"/>
        </w:rPr>
      </w:pPr>
    </w:p>
    <w:p w14:paraId="4EAFDC8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Specialty type: </w:t>
      </w:r>
      <w:r w:rsidRPr="00982AA9">
        <w:rPr>
          <w:rFonts w:ascii="Book Antiqua" w:eastAsia="Book Antiqua" w:hAnsi="Book Antiqua" w:cs="Book Antiqua"/>
          <w:color w:val="000000"/>
        </w:rPr>
        <w:t>Gastroenterology and Hepatology</w:t>
      </w:r>
    </w:p>
    <w:p w14:paraId="4BAB949C"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t xml:space="preserve">Country/Territory of origin: </w:t>
      </w:r>
      <w:r w:rsidRPr="00982AA9">
        <w:rPr>
          <w:rFonts w:ascii="Book Antiqua" w:eastAsia="Book Antiqua" w:hAnsi="Book Antiqua" w:cs="Book Antiqua"/>
          <w:color w:val="000000"/>
        </w:rPr>
        <w:t>Lebanon</w:t>
      </w:r>
    </w:p>
    <w:p w14:paraId="10710AA7"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b/>
          <w:color w:val="000000"/>
        </w:rPr>
        <w:lastRenderedPageBreak/>
        <w:t>Peer-review report’s scientific quality classification</w:t>
      </w:r>
    </w:p>
    <w:p w14:paraId="5BB2644F"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A (Excellent): A</w:t>
      </w:r>
    </w:p>
    <w:p w14:paraId="65BF1B0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B (Very good): 0</w:t>
      </w:r>
    </w:p>
    <w:p w14:paraId="6F7C4D01"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C (Good): 0</w:t>
      </w:r>
    </w:p>
    <w:p w14:paraId="0EA3166D"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D (Fair): 0</w:t>
      </w:r>
    </w:p>
    <w:p w14:paraId="21A01F34" w14:textId="77777777" w:rsidR="00A77B3E" w:rsidRPr="00982AA9" w:rsidRDefault="00AC667B" w:rsidP="00982AA9">
      <w:pPr>
        <w:spacing w:line="360" w:lineRule="auto"/>
        <w:jc w:val="both"/>
        <w:rPr>
          <w:rFonts w:ascii="Book Antiqua" w:hAnsi="Book Antiqua"/>
        </w:rPr>
      </w:pPr>
      <w:r w:rsidRPr="00982AA9">
        <w:rPr>
          <w:rFonts w:ascii="Book Antiqua" w:eastAsia="Book Antiqua" w:hAnsi="Book Antiqua" w:cs="Book Antiqua"/>
          <w:color w:val="000000"/>
        </w:rPr>
        <w:t>Grade E (Poor): 0</w:t>
      </w:r>
    </w:p>
    <w:p w14:paraId="16D9CBEF" w14:textId="77777777" w:rsidR="00A77B3E" w:rsidRPr="00982AA9" w:rsidRDefault="00A77B3E" w:rsidP="00982AA9">
      <w:pPr>
        <w:spacing w:line="360" w:lineRule="auto"/>
        <w:jc w:val="both"/>
        <w:rPr>
          <w:rFonts w:ascii="Book Antiqua" w:hAnsi="Book Antiqua"/>
        </w:rPr>
      </w:pPr>
    </w:p>
    <w:p w14:paraId="3C715296" w14:textId="50DDFC2F" w:rsidR="005644B8" w:rsidRPr="00116D7F" w:rsidRDefault="00AC667B" w:rsidP="00982AA9">
      <w:pPr>
        <w:spacing w:line="360" w:lineRule="auto"/>
        <w:jc w:val="both"/>
        <w:rPr>
          <w:rFonts w:ascii="Book Antiqua" w:hAnsi="Book Antiqua" w:cs="Book Antiqua" w:hint="eastAsia"/>
          <w:b/>
          <w:color w:val="000000"/>
          <w:lang w:eastAsia="zh-CN"/>
        </w:rPr>
      </w:pPr>
      <w:r w:rsidRPr="00982AA9">
        <w:rPr>
          <w:rFonts w:ascii="Book Antiqua" w:eastAsia="Book Antiqua" w:hAnsi="Book Antiqua" w:cs="Book Antiqua"/>
          <w:b/>
          <w:color w:val="000000"/>
        </w:rPr>
        <w:t xml:space="preserve">P-Reviewer: </w:t>
      </w:r>
      <w:r w:rsidRPr="00982AA9">
        <w:rPr>
          <w:rFonts w:ascii="Book Antiqua" w:eastAsia="Book Antiqua" w:hAnsi="Book Antiqua" w:cs="Book Antiqua"/>
          <w:color w:val="000000"/>
        </w:rPr>
        <w:t>Zhao ZY</w:t>
      </w:r>
      <w:r w:rsidRPr="00982AA9">
        <w:rPr>
          <w:rFonts w:ascii="Book Antiqua" w:eastAsia="Book Antiqua" w:hAnsi="Book Antiqua" w:cs="Book Antiqua"/>
          <w:b/>
          <w:color w:val="000000"/>
        </w:rPr>
        <w:t xml:space="preserve"> S-Editor: </w:t>
      </w:r>
      <w:r w:rsidR="000931C1" w:rsidRPr="00982AA9">
        <w:rPr>
          <w:rFonts w:ascii="Book Antiqua" w:eastAsia="Book Antiqua" w:hAnsi="Book Antiqua" w:cs="Book Antiqua"/>
          <w:color w:val="000000"/>
        </w:rPr>
        <w:t>Liu</w:t>
      </w:r>
      <w:r w:rsidRPr="00982AA9">
        <w:rPr>
          <w:rFonts w:ascii="Book Antiqua" w:eastAsia="Book Antiqua" w:hAnsi="Book Antiqua" w:cs="Book Antiqua"/>
          <w:color w:val="000000"/>
        </w:rPr>
        <w:t xml:space="preserve"> JH</w:t>
      </w:r>
      <w:r w:rsidRPr="00982AA9">
        <w:rPr>
          <w:rFonts w:ascii="Book Antiqua" w:eastAsia="Book Antiqua" w:hAnsi="Book Antiqua" w:cs="Book Antiqua"/>
          <w:b/>
          <w:color w:val="000000"/>
        </w:rPr>
        <w:t xml:space="preserve"> L-Editor: </w:t>
      </w:r>
      <w:r w:rsidR="00116D7F">
        <w:rPr>
          <w:rFonts w:ascii="Book Antiqua" w:hAnsi="Book Antiqua" w:cs="Book Antiqua" w:hint="eastAsia"/>
          <w:b/>
          <w:color w:val="000000"/>
          <w:lang w:eastAsia="zh-CN"/>
        </w:rPr>
        <w:t xml:space="preserve">A </w:t>
      </w:r>
      <w:r w:rsidRPr="00982AA9">
        <w:rPr>
          <w:rFonts w:ascii="Book Antiqua" w:eastAsia="Book Antiqua" w:hAnsi="Book Antiqua" w:cs="Book Antiqua"/>
          <w:b/>
          <w:color w:val="000000"/>
        </w:rPr>
        <w:t xml:space="preserve"> P-Editor: </w:t>
      </w:r>
      <w:bookmarkStart w:id="2" w:name="_GoBack"/>
      <w:bookmarkEnd w:id="2"/>
      <w:r w:rsidR="00116D7F" w:rsidRPr="00116D7F">
        <w:rPr>
          <w:rFonts w:ascii="Book Antiqua" w:hAnsi="Book Antiqua" w:cs="Book Antiqua" w:hint="eastAsia"/>
          <w:color w:val="000000"/>
          <w:lang w:eastAsia="zh-CN"/>
        </w:rPr>
        <w:t>Ma YJ</w:t>
      </w:r>
    </w:p>
    <w:p w14:paraId="627A1843" w14:textId="77777777" w:rsidR="005644B8" w:rsidRPr="00982AA9" w:rsidRDefault="005644B8" w:rsidP="00982AA9">
      <w:pPr>
        <w:spacing w:line="360" w:lineRule="auto"/>
        <w:jc w:val="both"/>
        <w:rPr>
          <w:rFonts w:ascii="Book Antiqua" w:hAnsi="Book Antiqua"/>
          <w:b/>
        </w:rPr>
      </w:pPr>
      <w:r w:rsidRPr="00982AA9">
        <w:rPr>
          <w:rFonts w:ascii="Book Antiqua" w:eastAsia="Book Antiqua" w:hAnsi="Book Antiqua" w:cs="Book Antiqua"/>
          <w:b/>
          <w:color w:val="000000"/>
        </w:rPr>
        <w:br w:type="page"/>
      </w:r>
      <w:r w:rsidRPr="00982AA9">
        <w:rPr>
          <w:rFonts w:ascii="Book Antiqua" w:hAnsi="Book Antiqua"/>
          <w:b/>
        </w:rPr>
        <w:lastRenderedPageBreak/>
        <w:t>Figure Legends</w:t>
      </w:r>
    </w:p>
    <w:p w14:paraId="01019F08" w14:textId="77777777" w:rsidR="00A254B4" w:rsidRPr="00982AA9" w:rsidRDefault="00A254B4" w:rsidP="00982AA9">
      <w:pPr>
        <w:spacing w:line="360" w:lineRule="auto"/>
        <w:jc w:val="both"/>
        <w:rPr>
          <w:rFonts w:ascii="Book Antiqua" w:hAnsi="Book Antiqua"/>
        </w:rPr>
      </w:pPr>
    </w:p>
    <w:p w14:paraId="363E9D78" w14:textId="77777777" w:rsidR="00A254B4" w:rsidRPr="00982AA9" w:rsidRDefault="008039D5" w:rsidP="00982AA9">
      <w:pPr>
        <w:spacing w:line="360" w:lineRule="auto"/>
        <w:jc w:val="both"/>
        <w:rPr>
          <w:rFonts w:ascii="Book Antiqua" w:hAnsi="Book Antiqua"/>
          <w:noProof/>
          <w:lang w:eastAsia="zh-CN"/>
        </w:rPr>
      </w:pPr>
      <w:r w:rsidRPr="00982AA9">
        <w:rPr>
          <w:rFonts w:ascii="Book Antiqua" w:hAnsi="Book Antiqua"/>
          <w:noProof/>
        </w:rPr>
        <w:object w:dxaOrig="7060" w:dyaOrig="7240" w14:anchorId="3AD7D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3.5pt;height:362.5pt;mso-width-percent:0;mso-height-percent:0;mso-width-percent:0;mso-height-percent:0" o:ole="">
            <v:imagedata r:id="rId8" o:title=""/>
          </v:shape>
          <o:OLEObject Type="Embed" ProgID="Unknown" ShapeID="_x0000_i1025" DrawAspect="Content" ObjectID="_1662708184" r:id="rId9"/>
        </w:object>
      </w:r>
    </w:p>
    <w:p w14:paraId="1B2BDAD7" w14:textId="77777777" w:rsidR="005644B8" w:rsidRPr="00982AA9" w:rsidRDefault="005644B8" w:rsidP="00982AA9">
      <w:pPr>
        <w:spacing w:line="360" w:lineRule="auto"/>
        <w:jc w:val="both"/>
        <w:rPr>
          <w:rFonts w:ascii="Book Antiqua" w:hAnsi="Book Antiqua"/>
          <w:lang w:eastAsia="zh-CN"/>
        </w:rPr>
      </w:pPr>
      <w:r w:rsidRPr="00982AA9">
        <w:rPr>
          <w:rFonts w:ascii="Book Antiqua" w:hAnsi="Book Antiqua"/>
          <w:b/>
        </w:rPr>
        <w:t>Figure 1</w:t>
      </w:r>
      <w:r w:rsidRPr="00982AA9">
        <w:rPr>
          <w:rFonts w:ascii="Book Antiqua" w:hAnsi="Book Antiqua"/>
        </w:rPr>
        <w:t xml:space="preserve"> </w:t>
      </w:r>
      <w:r w:rsidRPr="00982AA9">
        <w:rPr>
          <w:rFonts w:ascii="Book Antiqua" w:hAnsi="Book Antiqua"/>
          <w:b/>
        </w:rPr>
        <w:t>Nomograms showing the predictive model.</w:t>
      </w:r>
      <w:r w:rsidRPr="00982AA9">
        <w:rPr>
          <w:rFonts w:ascii="Book Antiqua" w:hAnsi="Book Antiqua"/>
        </w:rPr>
        <w:t xml:space="preserve"> These nomograms are a function of age and show the risk of advanced neoplasia for (BMI &lt;</w:t>
      </w:r>
      <w:r w:rsidRPr="00982AA9">
        <w:rPr>
          <w:rFonts w:ascii="Book Antiqua" w:hAnsi="Book Antiqua"/>
          <w:lang w:eastAsia="zh-CN"/>
        </w:rPr>
        <w:t xml:space="preserve"> </w:t>
      </w:r>
      <w:r w:rsidRPr="00982AA9">
        <w:rPr>
          <w:rFonts w:ascii="Book Antiqua" w:hAnsi="Book Antiqua"/>
        </w:rPr>
        <w:t>25), overweight (BMI 25-29.9) and obese (BMI &gt; 30)</w:t>
      </w:r>
      <w:r w:rsidR="00726C9F" w:rsidRPr="00982AA9">
        <w:rPr>
          <w:rFonts w:ascii="Book Antiqua" w:hAnsi="Book Antiqua"/>
          <w:lang w:eastAsia="zh-CN"/>
        </w:rPr>
        <w:t>,</w:t>
      </w:r>
      <w:r w:rsidR="00D726D8" w:rsidRPr="00982AA9">
        <w:rPr>
          <w:rFonts w:ascii="Book Antiqua" w:eastAsia="Book Antiqua" w:hAnsi="Book Antiqua" w:cs="Book Antiqua"/>
          <w:color w:val="000000"/>
        </w:rPr>
        <w:t xml:space="preserve"> ROC</w:t>
      </w:r>
      <w:r w:rsidR="00D726D8" w:rsidRPr="00982AA9">
        <w:rPr>
          <w:rFonts w:ascii="Book Antiqua" w:hAnsi="Book Antiqua" w:cs="Book Antiqua"/>
          <w:color w:val="000000"/>
          <w:lang w:eastAsia="zh-CN"/>
        </w:rPr>
        <w:t xml:space="preserve">: </w:t>
      </w:r>
      <w:r w:rsidR="00D726D8" w:rsidRPr="00982AA9">
        <w:rPr>
          <w:rFonts w:ascii="Book Antiqua" w:eastAsia="Book Antiqua" w:hAnsi="Book Antiqua" w:cs="Book Antiqua"/>
          <w:color w:val="000000"/>
        </w:rPr>
        <w:t>Receiver</w:t>
      </w:r>
      <w:r w:rsidR="0005319D">
        <w:rPr>
          <w:rFonts w:ascii="Book Antiqua" w:eastAsia="Book Antiqua" w:hAnsi="Book Antiqua" w:cs="Book Antiqua"/>
          <w:color w:val="000000"/>
        </w:rPr>
        <w:t xml:space="preserve"> </w:t>
      </w:r>
      <w:r w:rsidR="0005319D" w:rsidRPr="00982AA9">
        <w:rPr>
          <w:rFonts w:ascii="Book Antiqua" w:eastAsia="Book Antiqua" w:hAnsi="Book Antiqua" w:cs="Book Antiqua"/>
          <w:color w:val="000000"/>
        </w:rPr>
        <w:t>operator</w:t>
      </w:r>
      <w:r w:rsidR="0005319D">
        <w:rPr>
          <w:rFonts w:ascii="Book Antiqua" w:eastAsia="Book Antiqua" w:hAnsi="Book Antiqua" w:cs="Book Antiqua"/>
          <w:color w:val="000000"/>
        </w:rPr>
        <w:t xml:space="preserve"> </w:t>
      </w:r>
      <w:r w:rsidR="0005319D" w:rsidRPr="00982AA9">
        <w:rPr>
          <w:rFonts w:ascii="Book Antiqua" w:eastAsia="Book Antiqua" w:hAnsi="Book Antiqua" w:cs="Book Antiqua"/>
          <w:color w:val="000000"/>
        </w:rPr>
        <w:t>characteristic</w:t>
      </w:r>
      <w:r w:rsidR="0005319D" w:rsidRPr="00982AA9">
        <w:rPr>
          <w:rFonts w:ascii="Book Antiqua" w:hAnsi="Book Antiqua" w:cs="Book Antiqua"/>
          <w:color w:val="000000"/>
          <w:lang w:eastAsia="zh-CN"/>
        </w:rPr>
        <w:t>.</w:t>
      </w:r>
    </w:p>
    <w:p w14:paraId="7C772BAA" w14:textId="77777777" w:rsidR="00F06391" w:rsidRPr="00982AA9" w:rsidRDefault="00A254B4" w:rsidP="00982AA9">
      <w:pPr>
        <w:spacing w:line="360" w:lineRule="auto"/>
        <w:jc w:val="both"/>
        <w:rPr>
          <w:rFonts w:ascii="Book Antiqua" w:hAnsi="Book Antiqua"/>
          <w:lang w:eastAsia="zh-CN"/>
        </w:rPr>
      </w:pPr>
      <w:r w:rsidRPr="00982AA9">
        <w:rPr>
          <w:rFonts w:ascii="Book Antiqua" w:hAnsi="Book Antiqua"/>
          <w:lang w:eastAsia="zh-CN"/>
        </w:rPr>
        <w:br w:type="page"/>
      </w:r>
    </w:p>
    <w:p w14:paraId="02D3167E" w14:textId="77777777" w:rsidR="00A254B4" w:rsidRPr="00982AA9" w:rsidRDefault="00320EA6" w:rsidP="00982AA9">
      <w:pPr>
        <w:spacing w:line="360" w:lineRule="auto"/>
        <w:jc w:val="both"/>
        <w:rPr>
          <w:rFonts w:ascii="Book Antiqua" w:eastAsia="等线" w:hAnsi="Book Antiqua"/>
          <w:lang w:eastAsia="zh-CN"/>
        </w:rPr>
      </w:pPr>
      <w:r w:rsidRPr="00982AA9">
        <w:rPr>
          <w:rFonts w:ascii="Book Antiqua" w:hAnsi="Book Antiqua"/>
          <w:noProof/>
          <w:lang w:eastAsia="zh-CN"/>
        </w:rPr>
        <w:lastRenderedPageBreak/>
        <w:drawing>
          <wp:inline distT="0" distB="0" distL="0" distR="0" wp14:anchorId="05DDF3BF" wp14:editId="2EDC95F8">
            <wp:extent cx="4572000" cy="3195638"/>
            <wp:effectExtent l="0" t="0" r="0" b="508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128B74" w14:textId="77777777" w:rsidR="0052131F" w:rsidRPr="0052131F" w:rsidRDefault="00A254B4" w:rsidP="0052131F">
      <w:pPr>
        <w:spacing w:line="360" w:lineRule="auto"/>
        <w:jc w:val="both"/>
        <w:rPr>
          <w:rFonts w:ascii="Book Antiqua" w:hAnsi="Book Antiqua"/>
          <w:bCs/>
        </w:rPr>
      </w:pPr>
      <w:r w:rsidRPr="00982AA9">
        <w:rPr>
          <w:rFonts w:ascii="Book Antiqua" w:hAnsi="Book Antiqua"/>
          <w:b/>
        </w:rPr>
        <w:t>Figure 2 Model calibration plot.</w:t>
      </w:r>
      <w:r w:rsidRPr="00982AA9">
        <w:rPr>
          <w:rFonts w:ascii="Book Antiqua" w:hAnsi="Book Antiqua"/>
        </w:rPr>
        <w:t xml:space="preserve"> Each data point represents the comparison of observed (y) to expected (x) rates of </w:t>
      </w:r>
      <w:r w:rsidR="00F06391" w:rsidRPr="00982AA9">
        <w:rPr>
          <w:rFonts w:ascii="Book Antiqua" w:hAnsi="Book Antiqua"/>
        </w:rPr>
        <w:t>advanced neoplasia</w:t>
      </w:r>
      <w:r w:rsidRPr="00982AA9">
        <w:rPr>
          <w:rFonts w:ascii="Book Antiqua" w:hAnsi="Book Antiqua"/>
        </w:rPr>
        <w:t xml:space="preserve"> in ten decile size groups (</w:t>
      </w:r>
      <w:r w:rsidRPr="00982AA9">
        <w:rPr>
          <w:rFonts w:ascii="Book Antiqua" w:hAnsi="Book Antiqua"/>
          <w:i/>
        </w:rPr>
        <w:t>n</w:t>
      </w:r>
      <w:r w:rsidRPr="00982AA9">
        <w:rPr>
          <w:rFonts w:ascii="Book Antiqua" w:hAnsi="Book Antiqua"/>
          <w:lang w:eastAsia="zh-CN"/>
        </w:rPr>
        <w:t xml:space="preserve"> </w:t>
      </w:r>
      <w:r w:rsidRPr="00982AA9">
        <w:rPr>
          <w:rFonts w:ascii="Book Antiqua" w:hAnsi="Book Antiqua"/>
        </w:rPr>
        <w:t>=</w:t>
      </w:r>
      <w:r w:rsidRPr="00982AA9">
        <w:rPr>
          <w:rFonts w:ascii="Book Antiqua" w:hAnsi="Book Antiqua"/>
          <w:lang w:eastAsia="zh-CN"/>
        </w:rPr>
        <w:t xml:space="preserve"> </w:t>
      </w:r>
      <w:r w:rsidRPr="00982AA9">
        <w:rPr>
          <w:rFonts w:ascii="Book Antiqua" w:hAnsi="Book Antiqua"/>
        </w:rPr>
        <w:t>98 each). The dashed line represents the linear trend with the corresponding line equation. (</w:t>
      </w:r>
      <w:r w:rsidRPr="00982AA9">
        <w:rPr>
          <w:rFonts w:ascii="Book Antiqua" w:hAnsi="Book Antiqua"/>
          <w:bCs/>
        </w:rPr>
        <w:t xml:space="preserve">linear trend of y = 0.9204x + 0.0041 ; </w:t>
      </w:r>
      <w:r w:rsidRPr="00982AA9">
        <w:rPr>
          <w:rFonts w:ascii="Book Antiqua" w:hAnsi="Book Antiqua"/>
          <w:bCs/>
          <w:i/>
        </w:rPr>
        <w:t>R</w:t>
      </w:r>
      <w:r w:rsidRPr="00982AA9">
        <w:rPr>
          <w:rFonts w:ascii="Book Antiqua" w:hAnsi="Book Antiqua"/>
          <w:bCs/>
          <w:vertAlign w:val="superscript"/>
        </w:rPr>
        <w:t xml:space="preserve">2 </w:t>
      </w:r>
      <w:r w:rsidRPr="00982AA9">
        <w:rPr>
          <w:rFonts w:ascii="Book Antiqua" w:hAnsi="Book Antiqua"/>
          <w:bCs/>
        </w:rPr>
        <w:t>= 0.8509)</w:t>
      </w:r>
      <w:r w:rsidR="005432A2" w:rsidRPr="00982AA9">
        <w:rPr>
          <w:rFonts w:ascii="Book Antiqua" w:hAnsi="Book Antiqua"/>
          <w:bCs/>
          <w:lang w:eastAsia="zh-CN"/>
        </w:rPr>
        <w:t>.</w:t>
      </w:r>
      <w:r w:rsidR="0052131F">
        <w:rPr>
          <w:rFonts w:ascii="Book Antiqua" w:hAnsi="Book Antiqua"/>
          <w:bCs/>
          <w:lang w:eastAsia="zh-CN"/>
        </w:rPr>
        <w:t xml:space="preserve"> AN: </w:t>
      </w:r>
      <w:r w:rsidR="0052131F" w:rsidRPr="0052131F">
        <w:rPr>
          <w:rFonts w:ascii="Book Antiqua" w:hAnsi="Book Antiqua"/>
          <w:bCs/>
        </w:rPr>
        <w:t>Advanced neoplasia.</w:t>
      </w:r>
    </w:p>
    <w:p w14:paraId="1D7CDD60" w14:textId="77777777" w:rsidR="00A254B4" w:rsidRPr="00982AA9" w:rsidRDefault="00A254B4" w:rsidP="00982AA9">
      <w:pPr>
        <w:spacing w:line="360" w:lineRule="auto"/>
        <w:jc w:val="both"/>
        <w:rPr>
          <w:rFonts w:ascii="Book Antiqua" w:hAnsi="Book Antiqua"/>
          <w:lang w:eastAsia="zh-CN"/>
        </w:rPr>
      </w:pPr>
    </w:p>
    <w:p w14:paraId="5A457C92" w14:textId="77777777" w:rsidR="005644B8" w:rsidRPr="00982AA9" w:rsidRDefault="00320EA6" w:rsidP="00982AA9">
      <w:pPr>
        <w:spacing w:line="360" w:lineRule="auto"/>
        <w:jc w:val="both"/>
        <w:rPr>
          <w:rFonts w:ascii="Book Antiqua" w:hAnsi="Book Antiqua"/>
          <w:lang w:eastAsia="zh-CN"/>
        </w:rPr>
      </w:pPr>
      <w:r w:rsidRPr="00982AA9">
        <w:rPr>
          <w:rFonts w:ascii="Book Antiqua" w:hAnsi="Book Antiqua"/>
          <w:lang w:eastAsia="zh-CN"/>
        </w:rPr>
        <w:br w:type="page"/>
      </w:r>
      <w:r w:rsidRPr="00982AA9">
        <w:rPr>
          <w:rFonts w:ascii="Book Antiqua" w:hAnsi="Book Antiqua"/>
          <w:noProof/>
          <w:lang w:eastAsia="zh-CN"/>
        </w:rPr>
        <w:lastRenderedPageBreak/>
        <w:drawing>
          <wp:inline distT="0" distB="0" distL="0" distR="0" wp14:anchorId="5F720BAE" wp14:editId="35370214">
            <wp:extent cx="5727700" cy="2144395"/>
            <wp:effectExtent l="0" t="0" r="0" b="1905"/>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144395"/>
                    </a:xfrm>
                    <a:prstGeom prst="rect">
                      <a:avLst/>
                    </a:prstGeom>
                  </pic:spPr>
                </pic:pic>
              </a:graphicData>
            </a:graphic>
          </wp:inline>
        </w:drawing>
      </w:r>
    </w:p>
    <w:p w14:paraId="36C8DEEE" w14:textId="77777777" w:rsidR="00320EA6" w:rsidRPr="00982AA9" w:rsidRDefault="00320EA6" w:rsidP="00982AA9">
      <w:pPr>
        <w:spacing w:line="360" w:lineRule="auto"/>
        <w:jc w:val="both"/>
        <w:rPr>
          <w:rFonts w:ascii="Book Antiqua" w:hAnsi="Book Antiqua"/>
          <w:b/>
        </w:rPr>
      </w:pPr>
      <w:r w:rsidRPr="00982AA9">
        <w:rPr>
          <w:rFonts w:ascii="Book Antiqua" w:hAnsi="Book Antiqua"/>
          <w:b/>
        </w:rPr>
        <w:t xml:space="preserve">Figure 3 Receiver </w:t>
      </w:r>
      <w:r w:rsidR="00D60632" w:rsidRPr="00982AA9">
        <w:rPr>
          <w:rFonts w:ascii="Book Antiqua" w:hAnsi="Book Antiqua"/>
          <w:b/>
        </w:rPr>
        <w:t>o</w:t>
      </w:r>
      <w:r w:rsidRPr="00982AA9">
        <w:rPr>
          <w:rFonts w:ascii="Book Antiqua" w:hAnsi="Book Antiqua"/>
          <w:b/>
        </w:rPr>
        <w:t xml:space="preserve">perator </w:t>
      </w:r>
      <w:r w:rsidR="00D60632" w:rsidRPr="00982AA9">
        <w:rPr>
          <w:rFonts w:ascii="Book Antiqua" w:hAnsi="Book Antiqua"/>
          <w:b/>
        </w:rPr>
        <w:t>c</w:t>
      </w:r>
      <w:r w:rsidRPr="00982AA9">
        <w:rPr>
          <w:rFonts w:ascii="Book Antiqua" w:hAnsi="Book Antiqua"/>
          <w:b/>
        </w:rPr>
        <w:t>urve (Area</w:t>
      </w:r>
      <w:r w:rsidR="00022EB1" w:rsidRPr="00982AA9">
        <w:rPr>
          <w:rFonts w:ascii="Book Antiqua" w:hAnsi="Book Antiqua"/>
          <w:b/>
        </w:rPr>
        <w:t xml:space="preserve"> under the curve</w:t>
      </w:r>
      <w:r w:rsidRPr="00982AA9">
        <w:rPr>
          <w:rFonts w:ascii="Book Antiqua" w:hAnsi="Book Antiqua"/>
          <w:b/>
        </w:rPr>
        <w:t xml:space="preserve"> = 0.73)</w:t>
      </w:r>
      <w:r w:rsidRPr="00982AA9">
        <w:rPr>
          <w:rFonts w:ascii="Book Antiqua" w:hAnsi="Book Antiqua"/>
          <w:b/>
          <w:lang w:eastAsia="zh-CN"/>
        </w:rPr>
        <w:t>.</w:t>
      </w:r>
      <w:r w:rsidRPr="00982AA9">
        <w:rPr>
          <w:rFonts w:ascii="Book Antiqua" w:hAnsi="Book Antiqua"/>
          <w:b/>
        </w:rPr>
        <w:t xml:space="preserve"> </w:t>
      </w:r>
    </w:p>
    <w:p w14:paraId="531D2DE5" w14:textId="77777777" w:rsidR="00415D7D" w:rsidRPr="00982AA9" w:rsidRDefault="00AF5651" w:rsidP="00982AA9">
      <w:pPr>
        <w:spacing w:line="360" w:lineRule="auto"/>
        <w:jc w:val="both"/>
        <w:rPr>
          <w:rFonts w:ascii="Book Antiqua" w:hAnsi="Book Antiqua"/>
          <w:color w:val="000000" w:themeColor="text1"/>
          <w:lang w:eastAsia="zh-CN"/>
        </w:rPr>
      </w:pPr>
      <w:r w:rsidRPr="00982AA9">
        <w:rPr>
          <w:rFonts w:ascii="Book Antiqua" w:hAnsi="Book Antiqua"/>
          <w:lang w:eastAsia="zh-CN"/>
        </w:rPr>
        <w:br w:type="page"/>
      </w:r>
      <w:r w:rsidR="008F4EA5" w:rsidRPr="00982AA9">
        <w:rPr>
          <w:rFonts w:ascii="Book Antiqua" w:hAnsi="Book Antiqua"/>
          <w:b/>
          <w:bCs/>
          <w:color w:val="000000" w:themeColor="text1"/>
        </w:rPr>
        <w:lastRenderedPageBreak/>
        <w:t xml:space="preserve">Table 1 Univariate analysis of clinical features and detection of advanced neoplasia </w:t>
      </w:r>
    </w:p>
    <w:tbl>
      <w:tblPr>
        <w:tblW w:w="9815" w:type="dxa"/>
        <w:tblInd w:w="250" w:type="dxa"/>
        <w:tblLayout w:type="fixed"/>
        <w:tblLook w:val="04A0" w:firstRow="1" w:lastRow="0" w:firstColumn="1" w:lastColumn="0" w:noHBand="0" w:noVBand="1"/>
      </w:tblPr>
      <w:tblGrid>
        <w:gridCol w:w="3011"/>
        <w:gridCol w:w="1563"/>
        <w:gridCol w:w="1852"/>
        <w:gridCol w:w="2221"/>
        <w:gridCol w:w="1168"/>
      </w:tblGrid>
      <w:tr w:rsidR="002C5BB9" w:rsidRPr="00982AA9" w14:paraId="65EFC12D" w14:textId="77777777" w:rsidTr="00E138DF">
        <w:trPr>
          <w:trHeight w:val="626"/>
        </w:trPr>
        <w:tc>
          <w:tcPr>
            <w:tcW w:w="3011" w:type="dxa"/>
            <w:tcBorders>
              <w:top w:val="single" w:sz="4" w:space="0" w:color="auto"/>
              <w:bottom w:val="single" w:sz="4" w:space="0" w:color="auto"/>
            </w:tcBorders>
            <w:shd w:val="clear" w:color="auto" w:fill="auto"/>
            <w:vAlign w:val="center"/>
            <w:hideMark/>
          </w:tcPr>
          <w:p w14:paraId="21769770"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Characteristic</w:t>
            </w:r>
          </w:p>
        </w:tc>
        <w:tc>
          <w:tcPr>
            <w:tcW w:w="1563" w:type="dxa"/>
            <w:tcBorders>
              <w:top w:val="single" w:sz="4" w:space="0" w:color="auto"/>
              <w:bottom w:val="single" w:sz="4" w:space="0" w:color="auto"/>
            </w:tcBorders>
            <w:shd w:val="clear" w:color="auto" w:fill="auto"/>
            <w:vAlign w:val="center"/>
            <w:hideMark/>
          </w:tcPr>
          <w:p w14:paraId="5D9C7715"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Total</w:t>
            </w:r>
          </w:p>
        </w:tc>
        <w:tc>
          <w:tcPr>
            <w:tcW w:w="1852" w:type="dxa"/>
            <w:tcBorders>
              <w:top w:val="single" w:sz="4" w:space="0" w:color="auto"/>
              <w:bottom w:val="single" w:sz="4" w:space="0" w:color="auto"/>
            </w:tcBorders>
            <w:shd w:val="clear" w:color="auto" w:fill="auto"/>
            <w:vAlign w:val="center"/>
            <w:hideMark/>
          </w:tcPr>
          <w:p w14:paraId="569140D6"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Absence of AN</w:t>
            </w:r>
          </w:p>
        </w:tc>
        <w:tc>
          <w:tcPr>
            <w:tcW w:w="2221" w:type="dxa"/>
            <w:tcBorders>
              <w:top w:val="single" w:sz="4" w:space="0" w:color="auto"/>
              <w:bottom w:val="single" w:sz="4" w:space="0" w:color="auto"/>
            </w:tcBorders>
            <w:shd w:val="clear" w:color="auto" w:fill="auto"/>
            <w:vAlign w:val="center"/>
            <w:hideMark/>
          </w:tcPr>
          <w:p w14:paraId="1D713446"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Presence of AN</w:t>
            </w:r>
          </w:p>
        </w:tc>
        <w:tc>
          <w:tcPr>
            <w:tcW w:w="1168" w:type="dxa"/>
            <w:tcBorders>
              <w:top w:val="single" w:sz="4" w:space="0" w:color="auto"/>
              <w:bottom w:val="single" w:sz="4" w:space="0" w:color="auto"/>
            </w:tcBorders>
            <w:shd w:val="clear" w:color="auto" w:fill="auto"/>
            <w:vAlign w:val="center"/>
            <w:hideMark/>
          </w:tcPr>
          <w:p w14:paraId="1AEF35CD" w14:textId="77777777" w:rsidR="002C5BB9" w:rsidRPr="00982AA9" w:rsidRDefault="002C5BB9"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hAnsi="Book Antiqua"/>
                <w:b/>
                <w:color w:val="000000" w:themeColor="text1"/>
              </w:rPr>
              <w:t xml:space="preserve"> value</w:t>
            </w:r>
          </w:p>
        </w:tc>
      </w:tr>
      <w:tr w:rsidR="002C5BB9" w:rsidRPr="00982AA9" w14:paraId="2AE4E58D" w14:textId="77777777" w:rsidTr="00E138DF">
        <w:trPr>
          <w:trHeight w:val="89"/>
        </w:trPr>
        <w:tc>
          <w:tcPr>
            <w:tcW w:w="3011" w:type="dxa"/>
            <w:tcBorders>
              <w:top w:val="single" w:sz="4" w:space="0" w:color="auto"/>
            </w:tcBorders>
            <w:shd w:val="clear" w:color="auto" w:fill="auto"/>
            <w:vAlign w:val="center"/>
            <w:hideMark/>
          </w:tcPr>
          <w:p w14:paraId="39D2D508" w14:textId="77777777" w:rsidR="002C5BB9" w:rsidRPr="00982AA9" w:rsidRDefault="002C5BB9" w:rsidP="00982AA9">
            <w:pPr>
              <w:spacing w:line="360" w:lineRule="auto"/>
              <w:jc w:val="both"/>
              <w:rPr>
                <w:rFonts w:ascii="Book Antiqua" w:hAnsi="Book Antiqua"/>
                <w:b/>
                <w:bCs/>
                <w:color w:val="000000" w:themeColor="text1"/>
              </w:rPr>
            </w:pPr>
          </w:p>
        </w:tc>
        <w:tc>
          <w:tcPr>
            <w:tcW w:w="1563" w:type="dxa"/>
            <w:tcBorders>
              <w:top w:val="single" w:sz="4" w:space="0" w:color="auto"/>
            </w:tcBorders>
            <w:shd w:val="clear" w:color="auto" w:fill="auto"/>
            <w:vAlign w:val="center"/>
            <w:hideMark/>
          </w:tcPr>
          <w:p w14:paraId="68436D25"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002C5BB9" w:rsidRPr="00982AA9">
              <w:rPr>
                <w:rFonts w:ascii="Book Antiqua" w:hAnsi="Book Antiqua"/>
                <w:color w:val="000000" w:themeColor="text1"/>
              </w:rPr>
              <w:t xml:space="preserve"> (%)</w:t>
            </w:r>
          </w:p>
        </w:tc>
        <w:tc>
          <w:tcPr>
            <w:tcW w:w="1852" w:type="dxa"/>
            <w:tcBorders>
              <w:top w:val="single" w:sz="4" w:space="0" w:color="auto"/>
            </w:tcBorders>
            <w:shd w:val="clear" w:color="auto" w:fill="auto"/>
            <w:vAlign w:val="center"/>
            <w:hideMark/>
          </w:tcPr>
          <w:p w14:paraId="7DBF0B17"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Pr="00982AA9">
              <w:rPr>
                <w:rFonts w:ascii="Book Antiqua" w:hAnsi="Book Antiqua"/>
                <w:color w:val="000000" w:themeColor="text1"/>
              </w:rPr>
              <w:t xml:space="preserve"> (%)</w:t>
            </w:r>
          </w:p>
        </w:tc>
        <w:tc>
          <w:tcPr>
            <w:tcW w:w="2221" w:type="dxa"/>
            <w:tcBorders>
              <w:top w:val="single" w:sz="4" w:space="0" w:color="auto"/>
            </w:tcBorders>
            <w:shd w:val="clear" w:color="auto" w:fill="auto"/>
            <w:vAlign w:val="center"/>
            <w:hideMark/>
          </w:tcPr>
          <w:p w14:paraId="25196BB7" w14:textId="77777777" w:rsidR="002C5BB9" w:rsidRPr="00982AA9" w:rsidRDefault="0088099F" w:rsidP="00982AA9">
            <w:pPr>
              <w:spacing w:line="360" w:lineRule="auto"/>
              <w:jc w:val="both"/>
              <w:rPr>
                <w:rFonts w:ascii="Book Antiqua" w:hAnsi="Book Antiqua"/>
                <w:color w:val="000000" w:themeColor="text1"/>
              </w:rPr>
            </w:pPr>
            <w:r w:rsidRPr="0088099F">
              <w:rPr>
                <w:rFonts w:ascii="Book Antiqua" w:hAnsi="Book Antiqua"/>
                <w:i/>
                <w:color w:val="000000" w:themeColor="text1"/>
              </w:rPr>
              <w:t>n</w:t>
            </w:r>
            <w:r w:rsidRPr="00982AA9">
              <w:rPr>
                <w:rFonts w:ascii="Book Antiqua" w:hAnsi="Book Antiqua"/>
                <w:color w:val="000000" w:themeColor="text1"/>
              </w:rPr>
              <w:t xml:space="preserve"> (%)</w:t>
            </w:r>
          </w:p>
        </w:tc>
        <w:tc>
          <w:tcPr>
            <w:tcW w:w="1168" w:type="dxa"/>
            <w:tcBorders>
              <w:top w:val="single" w:sz="4" w:space="0" w:color="auto"/>
            </w:tcBorders>
            <w:shd w:val="clear" w:color="auto" w:fill="auto"/>
            <w:vAlign w:val="center"/>
            <w:hideMark/>
          </w:tcPr>
          <w:p w14:paraId="5B4616C8"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6554800C" w14:textId="77777777" w:rsidTr="002C5BB9">
        <w:trPr>
          <w:trHeight w:val="89"/>
        </w:trPr>
        <w:tc>
          <w:tcPr>
            <w:tcW w:w="3011" w:type="dxa"/>
            <w:shd w:val="clear" w:color="auto" w:fill="auto"/>
            <w:vAlign w:val="center"/>
          </w:tcPr>
          <w:p w14:paraId="2A47257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Age (mean ± SD)</w:t>
            </w:r>
          </w:p>
        </w:tc>
        <w:tc>
          <w:tcPr>
            <w:tcW w:w="1563" w:type="dxa"/>
            <w:shd w:val="clear" w:color="auto" w:fill="auto"/>
            <w:vAlign w:val="center"/>
          </w:tcPr>
          <w:p w14:paraId="06753E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5AF98F0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61 ± 8</w:t>
            </w:r>
          </w:p>
        </w:tc>
        <w:tc>
          <w:tcPr>
            <w:tcW w:w="2221" w:type="dxa"/>
            <w:shd w:val="clear" w:color="auto" w:fill="auto"/>
            <w:vAlign w:val="center"/>
          </w:tcPr>
          <w:p w14:paraId="32F2061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63 ± 9</w:t>
            </w:r>
          </w:p>
        </w:tc>
        <w:tc>
          <w:tcPr>
            <w:tcW w:w="1168" w:type="dxa"/>
            <w:shd w:val="clear" w:color="auto" w:fill="auto"/>
            <w:vAlign w:val="bottom"/>
          </w:tcPr>
          <w:p w14:paraId="09DFAF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0.242</w:t>
            </w:r>
          </w:p>
        </w:tc>
      </w:tr>
      <w:tr w:rsidR="002C5BB9" w:rsidRPr="00982AA9" w14:paraId="08442D7D" w14:textId="77777777" w:rsidTr="002C5BB9">
        <w:trPr>
          <w:trHeight w:val="89"/>
        </w:trPr>
        <w:tc>
          <w:tcPr>
            <w:tcW w:w="3011" w:type="dxa"/>
            <w:shd w:val="clear" w:color="auto" w:fill="auto"/>
            <w:vAlign w:val="center"/>
          </w:tcPr>
          <w:p w14:paraId="75C1483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12FC497D"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739BFC4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60, 12</w:t>
            </w:r>
          </w:p>
        </w:tc>
        <w:tc>
          <w:tcPr>
            <w:tcW w:w="2221" w:type="dxa"/>
            <w:shd w:val="clear" w:color="auto" w:fill="auto"/>
            <w:vAlign w:val="center"/>
          </w:tcPr>
          <w:p w14:paraId="422A0EA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63, 13</w:t>
            </w:r>
          </w:p>
        </w:tc>
        <w:tc>
          <w:tcPr>
            <w:tcW w:w="1168" w:type="dxa"/>
            <w:shd w:val="clear" w:color="auto" w:fill="auto"/>
            <w:vAlign w:val="bottom"/>
          </w:tcPr>
          <w:p w14:paraId="6280F502"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05D019B" w14:textId="77777777" w:rsidTr="002C5BB9">
        <w:trPr>
          <w:trHeight w:val="84"/>
        </w:trPr>
        <w:tc>
          <w:tcPr>
            <w:tcW w:w="3011" w:type="dxa"/>
            <w:shd w:val="clear" w:color="auto" w:fill="auto"/>
            <w:vAlign w:val="center"/>
            <w:hideMark/>
          </w:tcPr>
          <w:p w14:paraId="3A91CD2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Male</w:t>
            </w:r>
          </w:p>
        </w:tc>
        <w:tc>
          <w:tcPr>
            <w:tcW w:w="1563" w:type="dxa"/>
            <w:shd w:val="clear" w:color="auto" w:fill="auto"/>
            <w:vAlign w:val="center"/>
          </w:tcPr>
          <w:p w14:paraId="0677581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479 (48.9)</w:t>
            </w:r>
          </w:p>
        </w:tc>
        <w:tc>
          <w:tcPr>
            <w:tcW w:w="1852" w:type="dxa"/>
            <w:shd w:val="clear" w:color="auto" w:fill="auto"/>
            <w:vAlign w:val="center"/>
          </w:tcPr>
          <w:p w14:paraId="2B7B097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448 (48.2)</w:t>
            </w:r>
          </w:p>
        </w:tc>
        <w:tc>
          <w:tcPr>
            <w:tcW w:w="2221" w:type="dxa"/>
            <w:shd w:val="clear" w:color="auto" w:fill="auto"/>
            <w:vAlign w:val="center"/>
          </w:tcPr>
          <w:p w14:paraId="2A26693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31(62.0)</w:t>
            </w:r>
          </w:p>
        </w:tc>
        <w:tc>
          <w:tcPr>
            <w:tcW w:w="1168" w:type="dxa"/>
            <w:shd w:val="clear" w:color="auto" w:fill="auto"/>
            <w:noWrap/>
            <w:vAlign w:val="bottom"/>
            <w:hideMark/>
          </w:tcPr>
          <w:p w14:paraId="1E9FB7D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0.07</w:t>
            </w:r>
          </w:p>
        </w:tc>
      </w:tr>
      <w:tr w:rsidR="002C5BB9" w:rsidRPr="00982AA9" w14:paraId="617DC784" w14:textId="77777777" w:rsidTr="002C5BB9">
        <w:trPr>
          <w:trHeight w:val="94"/>
        </w:trPr>
        <w:tc>
          <w:tcPr>
            <w:tcW w:w="3011" w:type="dxa"/>
            <w:shd w:val="clear" w:color="auto" w:fill="auto"/>
            <w:vAlign w:val="center"/>
            <w:hideMark/>
          </w:tcPr>
          <w:p w14:paraId="3B13883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Smoking</w:t>
            </w:r>
          </w:p>
        </w:tc>
        <w:tc>
          <w:tcPr>
            <w:tcW w:w="1563" w:type="dxa"/>
            <w:shd w:val="clear" w:color="auto" w:fill="auto"/>
            <w:vAlign w:val="center"/>
          </w:tcPr>
          <w:p w14:paraId="775DE8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460 (46.9)</w:t>
            </w:r>
          </w:p>
        </w:tc>
        <w:tc>
          <w:tcPr>
            <w:tcW w:w="1852" w:type="dxa"/>
            <w:shd w:val="clear" w:color="auto" w:fill="auto"/>
            <w:vAlign w:val="center"/>
          </w:tcPr>
          <w:p w14:paraId="68B5B7E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425 (45.7)</w:t>
            </w:r>
          </w:p>
        </w:tc>
        <w:tc>
          <w:tcPr>
            <w:tcW w:w="2221" w:type="dxa"/>
            <w:shd w:val="clear" w:color="auto" w:fill="auto"/>
            <w:vAlign w:val="center"/>
          </w:tcPr>
          <w:p w14:paraId="1E5D09D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35 (70.0)</w:t>
            </w:r>
          </w:p>
        </w:tc>
        <w:tc>
          <w:tcPr>
            <w:tcW w:w="1168" w:type="dxa"/>
            <w:shd w:val="clear" w:color="auto" w:fill="auto"/>
            <w:vAlign w:val="center"/>
            <w:hideMark/>
          </w:tcPr>
          <w:p w14:paraId="724F2650"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6EEFDD24" w14:textId="77777777" w:rsidTr="002C5BB9">
        <w:trPr>
          <w:trHeight w:val="333"/>
        </w:trPr>
        <w:tc>
          <w:tcPr>
            <w:tcW w:w="3011" w:type="dxa"/>
            <w:shd w:val="clear" w:color="auto" w:fill="auto"/>
            <w:vAlign w:val="center"/>
            <w:hideMark/>
          </w:tcPr>
          <w:p w14:paraId="315C07E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bowel movement</w:t>
            </w:r>
          </w:p>
        </w:tc>
        <w:tc>
          <w:tcPr>
            <w:tcW w:w="1563" w:type="dxa"/>
            <w:shd w:val="clear" w:color="auto" w:fill="auto"/>
            <w:vAlign w:val="center"/>
          </w:tcPr>
          <w:p w14:paraId="32A88A9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859 (87.7)</w:t>
            </w:r>
          </w:p>
        </w:tc>
        <w:tc>
          <w:tcPr>
            <w:tcW w:w="1852" w:type="dxa"/>
            <w:shd w:val="clear" w:color="auto" w:fill="auto"/>
            <w:vAlign w:val="center"/>
          </w:tcPr>
          <w:p w14:paraId="06DA13A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814 (87.6)</w:t>
            </w:r>
          </w:p>
        </w:tc>
        <w:tc>
          <w:tcPr>
            <w:tcW w:w="2221" w:type="dxa"/>
            <w:shd w:val="clear" w:color="auto" w:fill="auto"/>
            <w:vAlign w:val="center"/>
          </w:tcPr>
          <w:p w14:paraId="7731DCF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45 (90.0)</w:t>
            </w:r>
          </w:p>
        </w:tc>
        <w:tc>
          <w:tcPr>
            <w:tcW w:w="1168" w:type="dxa"/>
            <w:shd w:val="clear" w:color="auto" w:fill="auto"/>
            <w:noWrap/>
            <w:vAlign w:val="bottom"/>
            <w:hideMark/>
          </w:tcPr>
          <w:p w14:paraId="4EF6D90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0.62</w:t>
            </w:r>
          </w:p>
        </w:tc>
      </w:tr>
      <w:tr w:rsidR="002C5BB9" w:rsidRPr="00982AA9" w14:paraId="4785A721" w14:textId="77777777" w:rsidTr="002C5BB9">
        <w:trPr>
          <w:trHeight w:val="333"/>
        </w:trPr>
        <w:tc>
          <w:tcPr>
            <w:tcW w:w="3011" w:type="dxa"/>
            <w:shd w:val="clear" w:color="auto" w:fill="auto"/>
            <w:vAlign w:val="center"/>
            <w:hideMark/>
          </w:tcPr>
          <w:p w14:paraId="0303AFD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Caffeine</w:t>
            </w:r>
          </w:p>
        </w:tc>
        <w:tc>
          <w:tcPr>
            <w:tcW w:w="1563" w:type="dxa"/>
            <w:shd w:val="clear" w:color="auto" w:fill="auto"/>
            <w:vAlign w:val="center"/>
          </w:tcPr>
          <w:p w14:paraId="3F7E2F1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885 (90.3)</w:t>
            </w:r>
          </w:p>
        </w:tc>
        <w:tc>
          <w:tcPr>
            <w:tcW w:w="1852" w:type="dxa"/>
            <w:shd w:val="clear" w:color="auto" w:fill="auto"/>
            <w:vAlign w:val="center"/>
          </w:tcPr>
          <w:p w14:paraId="66E23B1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836 (89.9)</w:t>
            </w:r>
          </w:p>
        </w:tc>
        <w:tc>
          <w:tcPr>
            <w:tcW w:w="2221" w:type="dxa"/>
            <w:shd w:val="clear" w:color="auto" w:fill="auto"/>
            <w:vAlign w:val="center"/>
          </w:tcPr>
          <w:p w14:paraId="10028E4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49 (98.0)</w:t>
            </w:r>
          </w:p>
        </w:tc>
        <w:tc>
          <w:tcPr>
            <w:tcW w:w="1168" w:type="dxa"/>
            <w:shd w:val="clear" w:color="auto" w:fill="auto"/>
            <w:noWrap/>
            <w:vAlign w:val="bottom"/>
            <w:hideMark/>
          </w:tcPr>
          <w:p w14:paraId="4D18B28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0.06</w:t>
            </w:r>
          </w:p>
        </w:tc>
      </w:tr>
      <w:tr w:rsidR="002C5BB9" w:rsidRPr="00982AA9" w14:paraId="3124D3A7" w14:textId="77777777" w:rsidTr="002C5BB9">
        <w:trPr>
          <w:trHeight w:val="94"/>
        </w:trPr>
        <w:tc>
          <w:tcPr>
            <w:tcW w:w="3011" w:type="dxa"/>
            <w:shd w:val="clear" w:color="auto" w:fill="auto"/>
            <w:vAlign w:val="center"/>
            <w:hideMark/>
          </w:tcPr>
          <w:p w14:paraId="6D697E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Exercise</w:t>
            </w:r>
          </w:p>
        </w:tc>
        <w:tc>
          <w:tcPr>
            <w:tcW w:w="1563" w:type="dxa"/>
            <w:shd w:val="clear" w:color="auto" w:fill="auto"/>
            <w:vAlign w:val="center"/>
          </w:tcPr>
          <w:p w14:paraId="033126F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544 (55.5)</w:t>
            </w:r>
          </w:p>
        </w:tc>
        <w:tc>
          <w:tcPr>
            <w:tcW w:w="1852" w:type="dxa"/>
            <w:shd w:val="clear" w:color="auto" w:fill="auto"/>
            <w:vAlign w:val="center"/>
          </w:tcPr>
          <w:p w14:paraId="0FB135B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52 (56.5)</w:t>
            </w:r>
          </w:p>
        </w:tc>
        <w:tc>
          <w:tcPr>
            <w:tcW w:w="2221" w:type="dxa"/>
            <w:shd w:val="clear" w:color="auto" w:fill="auto"/>
            <w:vAlign w:val="center"/>
          </w:tcPr>
          <w:p w14:paraId="1C67633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 (38.0)</w:t>
            </w:r>
          </w:p>
        </w:tc>
        <w:tc>
          <w:tcPr>
            <w:tcW w:w="1168" w:type="dxa"/>
            <w:shd w:val="clear" w:color="auto" w:fill="auto"/>
            <w:noWrap/>
            <w:vAlign w:val="bottom"/>
            <w:hideMark/>
          </w:tcPr>
          <w:p w14:paraId="4556E1E4"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1E5C5738" w14:textId="77777777" w:rsidTr="002C5BB9">
        <w:trPr>
          <w:trHeight w:val="94"/>
        </w:trPr>
        <w:tc>
          <w:tcPr>
            <w:tcW w:w="3011" w:type="dxa"/>
            <w:shd w:val="clear" w:color="auto" w:fill="auto"/>
            <w:vAlign w:val="center"/>
            <w:hideMark/>
          </w:tcPr>
          <w:p w14:paraId="6CD86FC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Alcohol</w:t>
            </w:r>
          </w:p>
        </w:tc>
        <w:tc>
          <w:tcPr>
            <w:tcW w:w="1563" w:type="dxa"/>
            <w:shd w:val="clear" w:color="auto" w:fill="auto"/>
            <w:vAlign w:val="center"/>
          </w:tcPr>
          <w:p w14:paraId="464420E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491 (50.1)</w:t>
            </w:r>
          </w:p>
        </w:tc>
        <w:tc>
          <w:tcPr>
            <w:tcW w:w="1852" w:type="dxa"/>
            <w:shd w:val="clear" w:color="auto" w:fill="auto"/>
            <w:vAlign w:val="center"/>
          </w:tcPr>
          <w:p w14:paraId="3EAECCA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468 (50.3)</w:t>
            </w:r>
          </w:p>
        </w:tc>
        <w:tc>
          <w:tcPr>
            <w:tcW w:w="2221" w:type="dxa"/>
            <w:shd w:val="clear" w:color="auto" w:fill="auto"/>
            <w:vAlign w:val="center"/>
          </w:tcPr>
          <w:p w14:paraId="52EF00B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23 (46.0)</w:t>
            </w:r>
          </w:p>
        </w:tc>
        <w:tc>
          <w:tcPr>
            <w:tcW w:w="1168" w:type="dxa"/>
            <w:shd w:val="clear" w:color="auto" w:fill="auto"/>
            <w:noWrap/>
            <w:vAlign w:val="bottom"/>
            <w:hideMark/>
          </w:tcPr>
          <w:p w14:paraId="35FBF7C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0.55</w:t>
            </w:r>
          </w:p>
        </w:tc>
      </w:tr>
      <w:tr w:rsidR="002C5BB9" w:rsidRPr="00982AA9" w14:paraId="71B24256" w14:textId="77777777" w:rsidTr="002C5BB9">
        <w:trPr>
          <w:trHeight w:val="333"/>
        </w:trPr>
        <w:tc>
          <w:tcPr>
            <w:tcW w:w="3011" w:type="dxa"/>
            <w:shd w:val="clear" w:color="auto" w:fill="auto"/>
            <w:vAlign w:val="center"/>
            <w:hideMark/>
          </w:tcPr>
          <w:p w14:paraId="578ACA5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red meat consumption</w:t>
            </w:r>
          </w:p>
        </w:tc>
        <w:tc>
          <w:tcPr>
            <w:tcW w:w="1563" w:type="dxa"/>
            <w:shd w:val="clear" w:color="auto" w:fill="auto"/>
            <w:vAlign w:val="center"/>
          </w:tcPr>
          <w:p w14:paraId="02818B5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90 (9.2)</w:t>
            </w:r>
          </w:p>
        </w:tc>
        <w:tc>
          <w:tcPr>
            <w:tcW w:w="1852" w:type="dxa"/>
            <w:shd w:val="clear" w:color="auto" w:fill="auto"/>
            <w:vAlign w:val="center"/>
          </w:tcPr>
          <w:p w14:paraId="3ECBDF6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81 8.7)</w:t>
            </w:r>
          </w:p>
        </w:tc>
        <w:tc>
          <w:tcPr>
            <w:tcW w:w="2221" w:type="dxa"/>
            <w:shd w:val="clear" w:color="auto" w:fill="auto"/>
            <w:vAlign w:val="center"/>
          </w:tcPr>
          <w:p w14:paraId="2E4729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vAlign w:val="bottom"/>
          </w:tcPr>
          <w:p w14:paraId="7B0B0B02"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0.03</w:t>
            </w:r>
          </w:p>
        </w:tc>
      </w:tr>
      <w:tr w:rsidR="002C5BB9" w:rsidRPr="00982AA9" w14:paraId="033AD8FF" w14:textId="77777777" w:rsidTr="002C5BB9">
        <w:trPr>
          <w:trHeight w:val="94"/>
        </w:trPr>
        <w:tc>
          <w:tcPr>
            <w:tcW w:w="3011" w:type="dxa"/>
            <w:shd w:val="clear" w:color="auto" w:fill="auto"/>
            <w:vAlign w:val="center"/>
            <w:hideMark/>
          </w:tcPr>
          <w:p w14:paraId="5EA7CBC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poultry consumption</w:t>
            </w:r>
          </w:p>
        </w:tc>
        <w:tc>
          <w:tcPr>
            <w:tcW w:w="1563" w:type="dxa"/>
            <w:shd w:val="clear" w:color="auto" w:fill="auto"/>
            <w:vAlign w:val="center"/>
          </w:tcPr>
          <w:p w14:paraId="6640CEA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 (4.0)</w:t>
            </w:r>
          </w:p>
        </w:tc>
        <w:tc>
          <w:tcPr>
            <w:tcW w:w="1852" w:type="dxa"/>
            <w:shd w:val="clear" w:color="auto" w:fill="auto"/>
            <w:vAlign w:val="center"/>
          </w:tcPr>
          <w:p w14:paraId="5F45D70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37 (4.0)</w:t>
            </w:r>
          </w:p>
        </w:tc>
        <w:tc>
          <w:tcPr>
            <w:tcW w:w="2221" w:type="dxa"/>
            <w:shd w:val="clear" w:color="auto" w:fill="auto"/>
            <w:vAlign w:val="center"/>
          </w:tcPr>
          <w:p w14:paraId="155818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 (4.0)</w:t>
            </w:r>
          </w:p>
        </w:tc>
        <w:tc>
          <w:tcPr>
            <w:tcW w:w="1168" w:type="dxa"/>
            <w:shd w:val="clear" w:color="auto" w:fill="auto"/>
            <w:noWrap/>
            <w:vAlign w:val="bottom"/>
            <w:hideMark/>
          </w:tcPr>
          <w:p w14:paraId="6FBEBBE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0.99</w:t>
            </w:r>
          </w:p>
        </w:tc>
      </w:tr>
      <w:tr w:rsidR="002C5BB9" w:rsidRPr="00982AA9" w14:paraId="0FD54154" w14:textId="77777777" w:rsidTr="002C5BB9">
        <w:trPr>
          <w:trHeight w:val="333"/>
        </w:trPr>
        <w:tc>
          <w:tcPr>
            <w:tcW w:w="3011" w:type="dxa"/>
            <w:shd w:val="clear" w:color="auto" w:fill="auto"/>
            <w:vAlign w:val="center"/>
            <w:hideMark/>
          </w:tcPr>
          <w:p w14:paraId="03A366E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dairy consumption</w:t>
            </w:r>
          </w:p>
        </w:tc>
        <w:tc>
          <w:tcPr>
            <w:tcW w:w="1563" w:type="dxa"/>
            <w:shd w:val="clear" w:color="auto" w:fill="auto"/>
            <w:vAlign w:val="center"/>
          </w:tcPr>
          <w:p w14:paraId="2EAFBBE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744 (75.9)</w:t>
            </w:r>
          </w:p>
        </w:tc>
        <w:tc>
          <w:tcPr>
            <w:tcW w:w="1852" w:type="dxa"/>
            <w:shd w:val="clear" w:color="auto" w:fill="auto"/>
            <w:vAlign w:val="center"/>
          </w:tcPr>
          <w:p w14:paraId="26C98EA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703 (75.6)</w:t>
            </w:r>
          </w:p>
        </w:tc>
        <w:tc>
          <w:tcPr>
            <w:tcW w:w="2221" w:type="dxa"/>
            <w:shd w:val="clear" w:color="auto" w:fill="auto"/>
            <w:vAlign w:val="center"/>
          </w:tcPr>
          <w:p w14:paraId="1D71F77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 (82.0)</w:t>
            </w:r>
          </w:p>
        </w:tc>
        <w:tc>
          <w:tcPr>
            <w:tcW w:w="1168" w:type="dxa"/>
            <w:shd w:val="clear" w:color="auto" w:fill="auto"/>
            <w:vAlign w:val="center"/>
            <w:hideMark/>
          </w:tcPr>
          <w:p w14:paraId="382F762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0.30</w:t>
            </w:r>
          </w:p>
        </w:tc>
      </w:tr>
      <w:tr w:rsidR="002C5BB9" w:rsidRPr="00982AA9" w14:paraId="3730E0F2" w14:textId="77777777" w:rsidTr="002C5BB9">
        <w:trPr>
          <w:trHeight w:val="94"/>
        </w:trPr>
        <w:tc>
          <w:tcPr>
            <w:tcW w:w="3011" w:type="dxa"/>
            <w:shd w:val="clear" w:color="auto" w:fill="auto"/>
            <w:vAlign w:val="center"/>
            <w:hideMark/>
          </w:tcPr>
          <w:p w14:paraId="0337EC5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fruit/vegetable consumption</w:t>
            </w:r>
          </w:p>
        </w:tc>
        <w:tc>
          <w:tcPr>
            <w:tcW w:w="1563" w:type="dxa"/>
            <w:shd w:val="clear" w:color="auto" w:fill="auto"/>
            <w:vAlign w:val="center"/>
          </w:tcPr>
          <w:p w14:paraId="137186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909 (92.8)</w:t>
            </w:r>
          </w:p>
        </w:tc>
        <w:tc>
          <w:tcPr>
            <w:tcW w:w="1852" w:type="dxa"/>
            <w:shd w:val="clear" w:color="auto" w:fill="auto"/>
            <w:vAlign w:val="center"/>
          </w:tcPr>
          <w:p w14:paraId="054BCE8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865 (93.0)</w:t>
            </w:r>
          </w:p>
        </w:tc>
        <w:tc>
          <w:tcPr>
            <w:tcW w:w="2221" w:type="dxa"/>
            <w:shd w:val="clear" w:color="auto" w:fill="auto"/>
            <w:vAlign w:val="center"/>
          </w:tcPr>
          <w:p w14:paraId="483F83F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44 (88.0)</w:t>
            </w:r>
          </w:p>
        </w:tc>
        <w:tc>
          <w:tcPr>
            <w:tcW w:w="1168" w:type="dxa"/>
            <w:shd w:val="clear" w:color="auto" w:fill="auto"/>
            <w:vAlign w:val="center"/>
            <w:hideMark/>
          </w:tcPr>
          <w:p w14:paraId="47B6498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0.18</w:t>
            </w:r>
          </w:p>
        </w:tc>
      </w:tr>
      <w:tr w:rsidR="002C5BB9" w:rsidRPr="00982AA9" w14:paraId="67BB1185" w14:textId="77777777" w:rsidTr="002C5BB9">
        <w:trPr>
          <w:trHeight w:val="333"/>
        </w:trPr>
        <w:tc>
          <w:tcPr>
            <w:tcW w:w="3011" w:type="dxa"/>
            <w:shd w:val="clear" w:color="auto" w:fill="auto"/>
            <w:vAlign w:val="center"/>
            <w:hideMark/>
          </w:tcPr>
          <w:p w14:paraId="6932704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NSAID use</w:t>
            </w:r>
          </w:p>
        </w:tc>
        <w:tc>
          <w:tcPr>
            <w:tcW w:w="1563" w:type="dxa"/>
            <w:shd w:val="clear" w:color="auto" w:fill="auto"/>
            <w:vAlign w:val="center"/>
          </w:tcPr>
          <w:p w14:paraId="4F09BE1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177 (18.1)</w:t>
            </w:r>
          </w:p>
        </w:tc>
        <w:tc>
          <w:tcPr>
            <w:tcW w:w="1852" w:type="dxa"/>
            <w:shd w:val="clear" w:color="auto" w:fill="auto"/>
            <w:vAlign w:val="center"/>
          </w:tcPr>
          <w:p w14:paraId="43CD521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171 (18.4)</w:t>
            </w:r>
          </w:p>
        </w:tc>
        <w:tc>
          <w:tcPr>
            <w:tcW w:w="2221" w:type="dxa"/>
            <w:shd w:val="clear" w:color="auto" w:fill="auto"/>
            <w:vAlign w:val="center"/>
          </w:tcPr>
          <w:p w14:paraId="36D313D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 (12.0)</w:t>
            </w:r>
          </w:p>
        </w:tc>
        <w:tc>
          <w:tcPr>
            <w:tcW w:w="1168" w:type="dxa"/>
            <w:shd w:val="clear" w:color="auto" w:fill="auto"/>
            <w:noWrap/>
            <w:vAlign w:val="bottom"/>
            <w:hideMark/>
          </w:tcPr>
          <w:p w14:paraId="5AAE31D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1.31</w:t>
            </w:r>
          </w:p>
        </w:tc>
      </w:tr>
      <w:tr w:rsidR="002C5BB9" w:rsidRPr="00982AA9" w14:paraId="55A81623" w14:textId="77777777" w:rsidTr="002C5BB9">
        <w:trPr>
          <w:trHeight w:val="333"/>
        </w:trPr>
        <w:tc>
          <w:tcPr>
            <w:tcW w:w="3011" w:type="dxa"/>
            <w:shd w:val="clear" w:color="auto" w:fill="auto"/>
            <w:vAlign w:val="center"/>
            <w:hideMark/>
          </w:tcPr>
          <w:p w14:paraId="0E9C04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Aspirin use</w:t>
            </w:r>
          </w:p>
        </w:tc>
        <w:tc>
          <w:tcPr>
            <w:tcW w:w="1563" w:type="dxa"/>
            <w:shd w:val="clear" w:color="auto" w:fill="auto"/>
            <w:vAlign w:val="center"/>
          </w:tcPr>
          <w:p w14:paraId="125D771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312 (31.8)</w:t>
            </w:r>
          </w:p>
        </w:tc>
        <w:tc>
          <w:tcPr>
            <w:tcW w:w="1852" w:type="dxa"/>
            <w:shd w:val="clear" w:color="auto" w:fill="auto"/>
            <w:vAlign w:val="center"/>
          </w:tcPr>
          <w:p w14:paraId="26AE1F3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294 (31.6)</w:t>
            </w:r>
          </w:p>
        </w:tc>
        <w:tc>
          <w:tcPr>
            <w:tcW w:w="2221" w:type="dxa"/>
            <w:shd w:val="clear" w:color="auto" w:fill="auto"/>
            <w:vAlign w:val="center"/>
          </w:tcPr>
          <w:p w14:paraId="00EF8E5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(36.0)</w:t>
            </w:r>
          </w:p>
        </w:tc>
        <w:tc>
          <w:tcPr>
            <w:tcW w:w="1168" w:type="dxa"/>
            <w:shd w:val="clear" w:color="auto" w:fill="auto"/>
            <w:noWrap/>
            <w:vAlign w:val="bottom"/>
            <w:hideMark/>
          </w:tcPr>
          <w:p w14:paraId="01347CE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0.42</w:t>
            </w:r>
          </w:p>
        </w:tc>
      </w:tr>
      <w:tr w:rsidR="002C5BB9" w:rsidRPr="00982AA9" w14:paraId="1648A7C4" w14:textId="77777777" w:rsidTr="002C5BB9">
        <w:trPr>
          <w:trHeight w:val="109"/>
        </w:trPr>
        <w:tc>
          <w:tcPr>
            <w:tcW w:w="3011" w:type="dxa"/>
            <w:shd w:val="clear" w:color="auto" w:fill="auto"/>
            <w:vAlign w:val="center"/>
            <w:hideMark/>
          </w:tcPr>
          <w:p w14:paraId="2C6623D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Multi</w:t>
            </w:r>
            <w:r w:rsidRPr="00982AA9">
              <w:rPr>
                <w:rFonts w:ascii="Book Antiqua" w:hAnsi="Book Antiqua"/>
                <w:color w:val="000000" w:themeColor="text1"/>
                <w:lang w:eastAsia="zh-CN"/>
              </w:rPr>
              <w:t xml:space="preserve"> </w:t>
            </w:r>
            <w:r w:rsidRPr="00982AA9">
              <w:rPr>
                <w:rFonts w:ascii="Book Antiqua" w:hAnsi="Book Antiqua"/>
                <w:color w:val="000000" w:themeColor="text1"/>
              </w:rPr>
              <w:t>vitamin/antixoidant use</w:t>
            </w:r>
          </w:p>
        </w:tc>
        <w:tc>
          <w:tcPr>
            <w:tcW w:w="1563" w:type="dxa"/>
            <w:shd w:val="clear" w:color="auto" w:fill="auto"/>
            <w:vAlign w:val="center"/>
          </w:tcPr>
          <w:p w14:paraId="657A395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415 (42.3)</w:t>
            </w:r>
          </w:p>
        </w:tc>
        <w:tc>
          <w:tcPr>
            <w:tcW w:w="1852" w:type="dxa"/>
            <w:shd w:val="clear" w:color="auto" w:fill="auto"/>
            <w:vAlign w:val="center"/>
          </w:tcPr>
          <w:p w14:paraId="1CF67B9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397 (42.7)</w:t>
            </w:r>
          </w:p>
        </w:tc>
        <w:tc>
          <w:tcPr>
            <w:tcW w:w="2221" w:type="dxa"/>
            <w:shd w:val="clear" w:color="auto" w:fill="auto"/>
            <w:vAlign w:val="center"/>
          </w:tcPr>
          <w:p w14:paraId="36F070E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(36.0)</w:t>
            </w:r>
          </w:p>
        </w:tc>
        <w:tc>
          <w:tcPr>
            <w:tcW w:w="1168" w:type="dxa"/>
            <w:shd w:val="clear" w:color="auto" w:fill="auto"/>
            <w:noWrap/>
            <w:vAlign w:val="bottom"/>
            <w:hideMark/>
          </w:tcPr>
          <w:p w14:paraId="4127287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0.87</w:t>
            </w:r>
          </w:p>
        </w:tc>
      </w:tr>
      <w:tr w:rsidR="002C5BB9" w:rsidRPr="00982AA9" w14:paraId="0574AB67" w14:textId="77777777" w:rsidTr="002C5BB9">
        <w:trPr>
          <w:trHeight w:val="94"/>
        </w:trPr>
        <w:tc>
          <w:tcPr>
            <w:tcW w:w="3011" w:type="dxa"/>
            <w:shd w:val="clear" w:color="auto" w:fill="auto"/>
            <w:vAlign w:val="center"/>
            <w:hideMark/>
          </w:tcPr>
          <w:p w14:paraId="7C58BCB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Oral contraceptive pills/hormone replacement therapy used</w:t>
            </w:r>
          </w:p>
        </w:tc>
        <w:tc>
          <w:tcPr>
            <w:tcW w:w="1563" w:type="dxa"/>
            <w:shd w:val="clear" w:color="auto" w:fill="auto"/>
            <w:vAlign w:val="center"/>
          </w:tcPr>
          <w:p w14:paraId="734C2F9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126 (12.9)</w:t>
            </w:r>
          </w:p>
        </w:tc>
        <w:tc>
          <w:tcPr>
            <w:tcW w:w="1852" w:type="dxa"/>
            <w:shd w:val="clear" w:color="auto" w:fill="auto"/>
            <w:vAlign w:val="center"/>
          </w:tcPr>
          <w:p w14:paraId="4CC98FF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121 (13.0)</w:t>
            </w:r>
          </w:p>
        </w:tc>
        <w:tc>
          <w:tcPr>
            <w:tcW w:w="2221" w:type="dxa"/>
            <w:shd w:val="clear" w:color="auto" w:fill="auto"/>
            <w:vAlign w:val="center"/>
          </w:tcPr>
          <w:p w14:paraId="6BA5AD4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 (10.0)</w:t>
            </w:r>
          </w:p>
        </w:tc>
        <w:tc>
          <w:tcPr>
            <w:tcW w:w="1168" w:type="dxa"/>
            <w:shd w:val="clear" w:color="auto" w:fill="auto"/>
            <w:noWrap/>
            <w:vAlign w:val="bottom"/>
            <w:hideMark/>
          </w:tcPr>
          <w:p w14:paraId="4DF685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0.38</w:t>
            </w:r>
          </w:p>
        </w:tc>
      </w:tr>
      <w:tr w:rsidR="002C5BB9" w:rsidRPr="00982AA9" w14:paraId="3E7B98A6" w14:textId="77777777" w:rsidTr="002C5BB9">
        <w:trPr>
          <w:trHeight w:val="94"/>
        </w:trPr>
        <w:tc>
          <w:tcPr>
            <w:tcW w:w="3011" w:type="dxa"/>
            <w:shd w:val="clear" w:color="auto" w:fill="auto"/>
            <w:vAlign w:val="center"/>
            <w:hideMark/>
          </w:tcPr>
          <w:p w14:paraId="67E053C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Calcium supplementation</w:t>
            </w:r>
          </w:p>
        </w:tc>
        <w:tc>
          <w:tcPr>
            <w:tcW w:w="1563" w:type="dxa"/>
            <w:shd w:val="clear" w:color="auto" w:fill="auto"/>
            <w:vAlign w:val="center"/>
          </w:tcPr>
          <w:p w14:paraId="23FBC0F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429 (43.8)</w:t>
            </w:r>
          </w:p>
        </w:tc>
        <w:tc>
          <w:tcPr>
            <w:tcW w:w="1852" w:type="dxa"/>
            <w:shd w:val="clear" w:color="auto" w:fill="auto"/>
            <w:vAlign w:val="center"/>
          </w:tcPr>
          <w:p w14:paraId="0C26368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413 (44.4)</w:t>
            </w:r>
          </w:p>
        </w:tc>
        <w:tc>
          <w:tcPr>
            <w:tcW w:w="2221" w:type="dxa"/>
            <w:shd w:val="clear" w:color="auto" w:fill="auto"/>
            <w:vAlign w:val="center"/>
          </w:tcPr>
          <w:p w14:paraId="31074D8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16 (32.0)</w:t>
            </w:r>
          </w:p>
        </w:tc>
        <w:tc>
          <w:tcPr>
            <w:tcW w:w="1168" w:type="dxa"/>
            <w:shd w:val="clear" w:color="auto" w:fill="auto"/>
            <w:noWrap/>
            <w:vAlign w:val="bottom"/>
            <w:hideMark/>
          </w:tcPr>
          <w:p w14:paraId="00364ED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0.30</w:t>
            </w:r>
          </w:p>
        </w:tc>
      </w:tr>
      <w:tr w:rsidR="002C5BB9" w:rsidRPr="00982AA9" w14:paraId="5E603A1F" w14:textId="77777777" w:rsidTr="002C5BB9">
        <w:trPr>
          <w:trHeight w:val="88"/>
        </w:trPr>
        <w:tc>
          <w:tcPr>
            <w:tcW w:w="3011" w:type="dxa"/>
            <w:shd w:val="clear" w:color="auto" w:fill="auto"/>
            <w:vAlign w:val="center"/>
            <w:hideMark/>
          </w:tcPr>
          <w:p w14:paraId="269BEC8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Diabetes Mellitus</w:t>
            </w:r>
          </w:p>
        </w:tc>
        <w:tc>
          <w:tcPr>
            <w:tcW w:w="1563" w:type="dxa"/>
            <w:shd w:val="clear" w:color="auto" w:fill="auto"/>
            <w:vAlign w:val="center"/>
          </w:tcPr>
          <w:p w14:paraId="46CDBF3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80 (8.2)</w:t>
            </w:r>
          </w:p>
        </w:tc>
        <w:tc>
          <w:tcPr>
            <w:tcW w:w="1852" w:type="dxa"/>
            <w:shd w:val="clear" w:color="auto" w:fill="auto"/>
            <w:vAlign w:val="center"/>
          </w:tcPr>
          <w:p w14:paraId="5E2CDE4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74 (8.0)</w:t>
            </w:r>
          </w:p>
        </w:tc>
        <w:tc>
          <w:tcPr>
            <w:tcW w:w="2221" w:type="dxa"/>
            <w:shd w:val="clear" w:color="auto" w:fill="auto"/>
            <w:vAlign w:val="center"/>
          </w:tcPr>
          <w:p w14:paraId="7A58CA1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6 (12.0)</w:t>
            </w:r>
          </w:p>
        </w:tc>
        <w:tc>
          <w:tcPr>
            <w:tcW w:w="1168" w:type="dxa"/>
            <w:shd w:val="clear" w:color="auto" w:fill="auto"/>
            <w:noWrap/>
            <w:vAlign w:val="bottom"/>
            <w:hideMark/>
          </w:tcPr>
          <w:p w14:paraId="3B4EF02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1.04</w:t>
            </w:r>
          </w:p>
        </w:tc>
      </w:tr>
      <w:tr w:rsidR="002C5BB9" w:rsidRPr="00982AA9" w14:paraId="1CD4A418" w14:textId="77777777" w:rsidTr="002C5BB9">
        <w:trPr>
          <w:trHeight w:val="88"/>
        </w:trPr>
        <w:tc>
          <w:tcPr>
            <w:tcW w:w="8647" w:type="dxa"/>
            <w:gridSpan w:val="4"/>
            <w:shd w:val="clear" w:color="auto" w:fill="auto"/>
            <w:vAlign w:val="center"/>
          </w:tcPr>
          <w:p w14:paraId="2CA2A05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Body Mass Index (BMI)</w:t>
            </w:r>
          </w:p>
        </w:tc>
        <w:tc>
          <w:tcPr>
            <w:tcW w:w="1168" w:type="dxa"/>
            <w:shd w:val="clear" w:color="auto" w:fill="auto"/>
            <w:noWrap/>
            <w:vAlign w:val="bottom"/>
          </w:tcPr>
          <w:p w14:paraId="75ECE9DC"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0.01</w:t>
            </w:r>
          </w:p>
        </w:tc>
      </w:tr>
      <w:tr w:rsidR="002C5BB9" w:rsidRPr="00982AA9" w14:paraId="146A2EBD" w14:textId="77777777" w:rsidTr="002C5BB9">
        <w:trPr>
          <w:trHeight w:val="196"/>
        </w:trPr>
        <w:tc>
          <w:tcPr>
            <w:tcW w:w="3011" w:type="dxa"/>
            <w:shd w:val="clear" w:color="auto" w:fill="auto"/>
            <w:vAlign w:val="center"/>
          </w:tcPr>
          <w:p w14:paraId="24A7FA4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lastRenderedPageBreak/>
              <w:t>mean ± SD</w:t>
            </w:r>
          </w:p>
        </w:tc>
        <w:tc>
          <w:tcPr>
            <w:tcW w:w="1563" w:type="dxa"/>
            <w:shd w:val="clear" w:color="auto" w:fill="auto"/>
            <w:vAlign w:val="center"/>
          </w:tcPr>
          <w:p w14:paraId="5B3902D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352E701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26.7 ± 4.1</w:t>
            </w:r>
          </w:p>
        </w:tc>
        <w:tc>
          <w:tcPr>
            <w:tcW w:w="2221" w:type="dxa"/>
            <w:shd w:val="clear" w:color="auto" w:fill="auto"/>
            <w:vAlign w:val="center"/>
          </w:tcPr>
          <w:p w14:paraId="518EB32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28.4 ± 3.3</w:t>
            </w:r>
          </w:p>
        </w:tc>
        <w:tc>
          <w:tcPr>
            <w:tcW w:w="1168" w:type="dxa"/>
            <w:shd w:val="clear" w:color="auto" w:fill="auto"/>
            <w:noWrap/>
            <w:vAlign w:val="bottom"/>
          </w:tcPr>
          <w:p w14:paraId="6A7B39E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b/>
                <w:bCs/>
                <w:color w:val="000000" w:themeColor="text1"/>
              </w:rPr>
              <w:t>0.01</w:t>
            </w:r>
          </w:p>
        </w:tc>
      </w:tr>
      <w:tr w:rsidR="002C5BB9" w:rsidRPr="00982AA9" w14:paraId="4F545AFC" w14:textId="77777777" w:rsidTr="002C5BB9">
        <w:trPr>
          <w:trHeight w:val="196"/>
        </w:trPr>
        <w:tc>
          <w:tcPr>
            <w:tcW w:w="3011" w:type="dxa"/>
            <w:shd w:val="clear" w:color="auto" w:fill="auto"/>
            <w:vAlign w:val="center"/>
          </w:tcPr>
          <w:p w14:paraId="488FC2E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4E3410BF"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3E73558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26.7, 5.1</w:t>
            </w:r>
          </w:p>
        </w:tc>
        <w:tc>
          <w:tcPr>
            <w:tcW w:w="2221" w:type="dxa"/>
            <w:shd w:val="clear" w:color="auto" w:fill="auto"/>
            <w:vAlign w:val="center"/>
          </w:tcPr>
          <w:p w14:paraId="69A4728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28.5, 4.5</w:t>
            </w:r>
          </w:p>
        </w:tc>
        <w:tc>
          <w:tcPr>
            <w:tcW w:w="1168" w:type="dxa"/>
            <w:shd w:val="clear" w:color="auto" w:fill="auto"/>
            <w:noWrap/>
            <w:vAlign w:val="bottom"/>
          </w:tcPr>
          <w:p w14:paraId="64CAB37B"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1A49245F" w14:textId="77777777" w:rsidTr="002C5BB9">
        <w:trPr>
          <w:trHeight w:val="88"/>
        </w:trPr>
        <w:tc>
          <w:tcPr>
            <w:tcW w:w="3011" w:type="dxa"/>
            <w:shd w:val="clear" w:color="auto" w:fill="auto"/>
            <w:vAlign w:val="center"/>
          </w:tcPr>
          <w:p w14:paraId="72336590" w14:textId="77777777" w:rsidR="002C5BB9" w:rsidRPr="00982AA9" w:rsidRDefault="002C5BB9" w:rsidP="00982AA9">
            <w:pPr>
              <w:spacing w:line="360" w:lineRule="auto"/>
              <w:jc w:val="both"/>
              <w:rPr>
                <w:rFonts w:ascii="Book Antiqua" w:hAnsi="Book Antiqua"/>
                <w:color w:val="000000" w:themeColor="text1"/>
                <w:lang w:eastAsia="zh-CN"/>
              </w:rPr>
            </w:pPr>
            <w:r w:rsidRPr="00982AA9">
              <w:rPr>
                <w:rFonts w:ascii="Book Antiqua" w:hAnsi="Book Antiqua"/>
                <w:color w:val="000000" w:themeColor="text1"/>
              </w:rPr>
              <w:t>&lt;</w:t>
            </w:r>
            <w:r w:rsidR="00107A2B" w:rsidRPr="00982AA9">
              <w:rPr>
                <w:rFonts w:ascii="Book Antiqua" w:hAnsi="Book Antiqua"/>
                <w:color w:val="000000" w:themeColor="text1"/>
                <w:lang w:eastAsia="zh-CN"/>
              </w:rPr>
              <w:t xml:space="preserve"> </w:t>
            </w:r>
            <w:r w:rsidRPr="00982AA9">
              <w:rPr>
                <w:rFonts w:ascii="Book Antiqua" w:hAnsi="Book Antiqua"/>
                <w:color w:val="000000" w:themeColor="text1"/>
              </w:rPr>
              <w:t>25</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38CC345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330 (33.7)</w:t>
            </w:r>
          </w:p>
        </w:tc>
        <w:tc>
          <w:tcPr>
            <w:tcW w:w="1852" w:type="dxa"/>
            <w:shd w:val="clear" w:color="auto" w:fill="auto"/>
            <w:vAlign w:val="center"/>
          </w:tcPr>
          <w:p w14:paraId="0D01686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322 (34.6)</w:t>
            </w:r>
          </w:p>
        </w:tc>
        <w:tc>
          <w:tcPr>
            <w:tcW w:w="2221" w:type="dxa"/>
            <w:shd w:val="clear" w:color="auto" w:fill="auto"/>
            <w:vAlign w:val="center"/>
          </w:tcPr>
          <w:p w14:paraId="0A0E9C4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8 (16.0)</w:t>
            </w:r>
          </w:p>
        </w:tc>
        <w:tc>
          <w:tcPr>
            <w:tcW w:w="1168" w:type="dxa"/>
            <w:vMerge w:val="restart"/>
            <w:shd w:val="clear" w:color="auto" w:fill="auto"/>
            <w:noWrap/>
            <w:vAlign w:val="bottom"/>
          </w:tcPr>
          <w:p w14:paraId="6D8ECC86"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2602111B" w14:textId="77777777" w:rsidTr="002C5BB9">
        <w:trPr>
          <w:trHeight w:val="88"/>
        </w:trPr>
        <w:tc>
          <w:tcPr>
            <w:tcW w:w="3011" w:type="dxa"/>
            <w:shd w:val="clear" w:color="auto" w:fill="auto"/>
            <w:vAlign w:val="center"/>
          </w:tcPr>
          <w:p w14:paraId="030515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25-30</w:t>
            </w:r>
          </w:p>
        </w:tc>
        <w:tc>
          <w:tcPr>
            <w:tcW w:w="1563" w:type="dxa"/>
            <w:shd w:val="clear" w:color="auto" w:fill="auto"/>
            <w:vAlign w:val="center"/>
          </w:tcPr>
          <w:p w14:paraId="7511B49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454 (46.3)</w:t>
            </w:r>
          </w:p>
        </w:tc>
        <w:tc>
          <w:tcPr>
            <w:tcW w:w="1852" w:type="dxa"/>
            <w:shd w:val="clear" w:color="auto" w:fill="auto"/>
            <w:vAlign w:val="center"/>
          </w:tcPr>
          <w:p w14:paraId="43496E2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429 (46.1)</w:t>
            </w:r>
          </w:p>
        </w:tc>
        <w:tc>
          <w:tcPr>
            <w:tcW w:w="2221" w:type="dxa"/>
            <w:shd w:val="clear" w:color="auto" w:fill="auto"/>
            <w:vAlign w:val="center"/>
          </w:tcPr>
          <w:p w14:paraId="7313BD95"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25 (50.0)</w:t>
            </w:r>
          </w:p>
        </w:tc>
        <w:tc>
          <w:tcPr>
            <w:tcW w:w="1168" w:type="dxa"/>
            <w:vMerge/>
            <w:shd w:val="clear" w:color="auto" w:fill="auto"/>
            <w:noWrap/>
            <w:vAlign w:val="bottom"/>
          </w:tcPr>
          <w:p w14:paraId="575D0127"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68873AC4" w14:textId="77777777" w:rsidTr="002C5BB9">
        <w:trPr>
          <w:trHeight w:val="81"/>
        </w:trPr>
        <w:tc>
          <w:tcPr>
            <w:tcW w:w="3011" w:type="dxa"/>
            <w:shd w:val="clear" w:color="auto" w:fill="auto"/>
            <w:vAlign w:val="center"/>
          </w:tcPr>
          <w:p w14:paraId="38570DC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&gt;</w:t>
            </w:r>
            <w:r w:rsidRPr="00982AA9">
              <w:rPr>
                <w:rFonts w:ascii="Book Antiqua" w:hAnsi="Book Antiqua"/>
                <w:color w:val="000000" w:themeColor="text1"/>
                <w:lang w:eastAsia="zh-CN"/>
              </w:rPr>
              <w:t xml:space="preserve"> </w:t>
            </w:r>
            <w:r w:rsidRPr="00982AA9">
              <w:rPr>
                <w:rFonts w:ascii="Book Antiqua" w:hAnsi="Book Antiqua"/>
                <w:color w:val="000000" w:themeColor="text1"/>
              </w:rPr>
              <w:t>30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7EB8646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196 (20.0)</w:t>
            </w:r>
          </w:p>
        </w:tc>
        <w:tc>
          <w:tcPr>
            <w:tcW w:w="1852" w:type="dxa"/>
            <w:shd w:val="clear" w:color="auto" w:fill="auto"/>
            <w:vAlign w:val="center"/>
          </w:tcPr>
          <w:p w14:paraId="02EFDC5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179 (19.2)</w:t>
            </w:r>
          </w:p>
        </w:tc>
        <w:tc>
          <w:tcPr>
            <w:tcW w:w="2221" w:type="dxa"/>
            <w:shd w:val="clear" w:color="auto" w:fill="auto"/>
            <w:vAlign w:val="center"/>
          </w:tcPr>
          <w:p w14:paraId="46E3EBA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17 (34.0)</w:t>
            </w:r>
          </w:p>
        </w:tc>
        <w:tc>
          <w:tcPr>
            <w:tcW w:w="1168" w:type="dxa"/>
            <w:vMerge/>
            <w:shd w:val="clear" w:color="auto" w:fill="auto"/>
            <w:noWrap/>
            <w:vAlign w:val="bottom"/>
          </w:tcPr>
          <w:p w14:paraId="30D4A33D"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2F2D6437" w14:textId="77777777" w:rsidTr="002C5BB9">
        <w:trPr>
          <w:trHeight w:val="88"/>
        </w:trPr>
        <w:tc>
          <w:tcPr>
            <w:tcW w:w="8647" w:type="dxa"/>
            <w:gridSpan w:val="4"/>
            <w:shd w:val="clear" w:color="auto" w:fill="auto"/>
            <w:vAlign w:val="center"/>
          </w:tcPr>
          <w:p w14:paraId="26E668B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Pack years</w:t>
            </w:r>
          </w:p>
        </w:tc>
        <w:tc>
          <w:tcPr>
            <w:tcW w:w="1168" w:type="dxa"/>
            <w:shd w:val="clear" w:color="auto" w:fill="auto"/>
            <w:noWrap/>
            <w:vAlign w:val="center"/>
          </w:tcPr>
          <w:p w14:paraId="704C0374"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&lt;</w:t>
            </w:r>
            <w:r w:rsidR="00F1429A" w:rsidRPr="00982AA9">
              <w:rPr>
                <w:rFonts w:ascii="Book Antiqua" w:hAnsi="Book Antiqua"/>
                <w:b/>
                <w:bCs/>
                <w:color w:val="000000" w:themeColor="text1"/>
                <w:lang w:eastAsia="zh-CN"/>
              </w:rPr>
              <w:t xml:space="preserve"> </w:t>
            </w:r>
            <w:r w:rsidRPr="00982AA9">
              <w:rPr>
                <w:rFonts w:ascii="Book Antiqua" w:hAnsi="Book Antiqua"/>
                <w:b/>
                <w:bCs/>
                <w:color w:val="000000" w:themeColor="text1"/>
              </w:rPr>
              <w:t>0.01</w:t>
            </w:r>
          </w:p>
        </w:tc>
      </w:tr>
      <w:tr w:rsidR="002C5BB9" w:rsidRPr="00982AA9" w14:paraId="181DF931" w14:textId="77777777" w:rsidTr="002C5BB9">
        <w:trPr>
          <w:trHeight w:val="88"/>
        </w:trPr>
        <w:tc>
          <w:tcPr>
            <w:tcW w:w="3011" w:type="dxa"/>
            <w:shd w:val="clear" w:color="auto" w:fill="auto"/>
            <w:vAlign w:val="center"/>
          </w:tcPr>
          <w:p w14:paraId="7B6A5B2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mean ± SD</w:t>
            </w:r>
          </w:p>
        </w:tc>
        <w:tc>
          <w:tcPr>
            <w:tcW w:w="1563" w:type="dxa"/>
            <w:shd w:val="clear" w:color="auto" w:fill="auto"/>
            <w:vAlign w:val="center"/>
          </w:tcPr>
          <w:p w14:paraId="3A3905A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980 (100)</w:t>
            </w:r>
          </w:p>
        </w:tc>
        <w:tc>
          <w:tcPr>
            <w:tcW w:w="1852" w:type="dxa"/>
            <w:shd w:val="clear" w:color="auto" w:fill="auto"/>
            <w:vAlign w:val="center"/>
          </w:tcPr>
          <w:p w14:paraId="389B6B08"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13 ± 21</w:t>
            </w:r>
          </w:p>
        </w:tc>
        <w:tc>
          <w:tcPr>
            <w:tcW w:w="2221" w:type="dxa"/>
            <w:shd w:val="clear" w:color="auto" w:fill="auto"/>
            <w:vAlign w:val="center"/>
          </w:tcPr>
          <w:p w14:paraId="3D65D9B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29 ± 33</w:t>
            </w:r>
          </w:p>
        </w:tc>
        <w:tc>
          <w:tcPr>
            <w:tcW w:w="1168" w:type="dxa"/>
            <w:shd w:val="clear" w:color="auto" w:fill="auto"/>
            <w:noWrap/>
            <w:vAlign w:val="bottom"/>
          </w:tcPr>
          <w:p w14:paraId="075D0F3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b/>
                <w:bCs/>
                <w:color w:val="000000" w:themeColor="text1"/>
              </w:rPr>
              <w:t>&lt;</w:t>
            </w:r>
            <w:r w:rsidR="00F1429A" w:rsidRPr="00982AA9">
              <w:rPr>
                <w:rFonts w:ascii="Book Antiqua" w:hAnsi="Book Antiqua"/>
                <w:b/>
                <w:bCs/>
                <w:color w:val="000000" w:themeColor="text1"/>
                <w:lang w:eastAsia="zh-CN"/>
              </w:rPr>
              <w:t xml:space="preserve"> </w:t>
            </w:r>
            <w:r w:rsidRPr="00982AA9">
              <w:rPr>
                <w:rFonts w:ascii="Book Antiqua" w:hAnsi="Book Antiqua"/>
                <w:b/>
                <w:bCs/>
                <w:color w:val="000000" w:themeColor="text1"/>
              </w:rPr>
              <w:t>0.01</w:t>
            </w:r>
          </w:p>
        </w:tc>
      </w:tr>
      <w:tr w:rsidR="002C5BB9" w:rsidRPr="00982AA9" w14:paraId="30FFDA45" w14:textId="77777777" w:rsidTr="002C5BB9">
        <w:trPr>
          <w:trHeight w:val="88"/>
        </w:trPr>
        <w:tc>
          <w:tcPr>
            <w:tcW w:w="3011" w:type="dxa"/>
            <w:shd w:val="clear" w:color="auto" w:fill="auto"/>
            <w:vAlign w:val="center"/>
          </w:tcPr>
          <w:p w14:paraId="50ED8D7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563" w:type="dxa"/>
            <w:shd w:val="clear" w:color="auto" w:fill="auto"/>
            <w:vAlign w:val="center"/>
          </w:tcPr>
          <w:p w14:paraId="4458DEB4"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20647C61"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0, 20</w:t>
            </w:r>
          </w:p>
        </w:tc>
        <w:tc>
          <w:tcPr>
            <w:tcW w:w="2221" w:type="dxa"/>
            <w:shd w:val="clear" w:color="auto" w:fill="auto"/>
            <w:vAlign w:val="center"/>
          </w:tcPr>
          <w:p w14:paraId="4A0458A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18, 40</w:t>
            </w:r>
          </w:p>
        </w:tc>
        <w:tc>
          <w:tcPr>
            <w:tcW w:w="1168" w:type="dxa"/>
            <w:shd w:val="clear" w:color="auto" w:fill="auto"/>
            <w:noWrap/>
            <w:vAlign w:val="bottom"/>
          </w:tcPr>
          <w:p w14:paraId="23CAAA9C" w14:textId="77777777" w:rsidR="002C5BB9" w:rsidRPr="00982AA9" w:rsidRDefault="002C5BB9" w:rsidP="00982AA9">
            <w:pPr>
              <w:spacing w:line="360" w:lineRule="auto"/>
              <w:jc w:val="both"/>
              <w:rPr>
                <w:rFonts w:ascii="Book Antiqua" w:hAnsi="Book Antiqua"/>
                <w:b/>
                <w:bCs/>
                <w:color w:val="000000" w:themeColor="text1"/>
              </w:rPr>
            </w:pPr>
          </w:p>
        </w:tc>
      </w:tr>
      <w:tr w:rsidR="002C5BB9" w:rsidRPr="00982AA9" w14:paraId="4E011A73" w14:textId="77777777" w:rsidTr="002C5BB9">
        <w:trPr>
          <w:trHeight w:val="88"/>
        </w:trPr>
        <w:tc>
          <w:tcPr>
            <w:tcW w:w="3011" w:type="dxa"/>
            <w:shd w:val="clear" w:color="auto" w:fill="auto"/>
            <w:vAlign w:val="center"/>
          </w:tcPr>
          <w:p w14:paraId="62655A5D" w14:textId="77777777" w:rsidR="002C5BB9" w:rsidRPr="00982AA9" w:rsidRDefault="004A627F" w:rsidP="004A627F">
            <w:pPr>
              <w:spacing w:line="360" w:lineRule="auto"/>
              <w:jc w:val="both"/>
              <w:rPr>
                <w:rFonts w:ascii="Book Antiqua" w:hAnsi="Book Antiqua"/>
                <w:color w:val="000000" w:themeColor="text1"/>
              </w:rPr>
            </w:pPr>
            <w:r>
              <w:rPr>
                <w:rFonts w:ascii="Book Antiqua" w:hAnsi="Book Antiqua"/>
                <w:color w:val="000000" w:themeColor="text1"/>
              </w:rPr>
              <w:t>≤</w:t>
            </w:r>
            <w:r>
              <w:rPr>
                <w:rFonts w:ascii="Book Antiqua" w:hAnsi="Book Antiqua"/>
                <w:color w:val="000000" w:themeColor="text1"/>
                <w:lang w:eastAsia="zh-CN"/>
              </w:rPr>
              <w:t xml:space="preserve"> </w:t>
            </w:r>
            <w:r w:rsidR="002C5BB9" w:rsidRPr="00982AA9">
              <w:rPr>
                <w:rFonts w:ascii="Book Antiqua" w:hAnsi="Book Antiqua"/>
                <w:color w:val="000000" w:themeColor="text1"/>
              </w:rPr>
              <w:t>10</w:t>
            </w:r>
            <w:r w:rsidR="002C5BB9" w:rsidRPr="00982AA9">
              <w:rPr>
                <w:rFonts w:ascii="Book Antiqua" w:hAnsi="Book Antiqua"/>
                <w:color w:val="000000" w:themeColor="text1"/>
                <w:vertAlign w:val="superscript"/>
                <w:lang w:eastAsia="zh-CN"/>
              </w:rPr>
              <w:t>a</w:t>
            </w:r>
          </w:p>
        </w:tc>
        <w:tc>
          <w:tcPr>
            <w:tcW w:w="1563" w:type="dxa"/>
            <w:shd w:val="clear" w:color="auto" w:fill="auto"/>
            <w:vAlign w:val="center"/>
          </w:tcPr>
          <w:p w14:paraId="65487EB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520 (53.1)</w:t>
            </w:r>
          </w:p>
        </w:tc>
        <w:tc>
          <w:tcPr>
            <w:tcW w:w="1852" w:type="dxa"/>
            <w:shd w:val="clear" w:color="auto" w:fill="auto"/>
            <w:vAlign w:val="center"/>
          </w:tcPr>
          <w:p w14:paraId="2931557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505 (54.3)</w:t>
            </w:r>
          </w:p>
        </w:tc>
        <w:tc>
          <w:tcPr>
            <w:tcW w:w="2221" w:type="dxa"/>
            <w:shd w:val="clear" w:color="auto" w:fill="auto"/>
            <w:vAlign w:val="center"/>
          </w:tcPr>
          <w:p w14:paraId="64A9B30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15 (30.0)</w:t>
            </w:r>
          </w:p>
        </w:tc>
        <w:tc>
          <w:tcPr>
            <w:tcW w:w="1168" w:type="dxa"/>
            <w:vMerge w:val="restart"/>
            <w:shd w:val="clear" w:color="auto" w:fill="auto"/>
            <w:noWrap/>
            <w:vAlign w:val="bottom"/>
          </w:tcPr>
          <w:p w14:paraId="5D457E09"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42F020B7" w14:textId="77777777" w:rsidTr="002C5BB9">
        <w:trPr>
          <w:trHeight w:val="88"/>
        </w:trPr>
        <w:tc>
          <w:tcPr>
            <w:tcW w:w="3011" w:type="dxa"/>
            <w:shd w:val="clear" w:color="auto" w:fill="auto"/>
            <w:vAlign w:val="center"/>
          </w:tcPr>
          <w:p w14:paraId="1B609F4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11-40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64CBE13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331 (33.8)</w:t>
            </w:r>
          </w:p>
        </w:tc>
        <w:tc>
          <w:tcPr>
            <w:tcW w:w="1852" w:type="dxa"/>
            <w:shd w:val="clear" w:color="auto" w:fill="auto"/>
            <w:vAlign w:val="center"/>
          </w:tcPr>
          <w:p w14:paraId="7C8B6360"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311 (33.4)</w:t>
            </w:r>
          </w:p>
        </w:tc>
        <w:tc>
          <w:tcPr>
            <w:tcW w:w="2221" w:type="dxa"/>
            <w:shd w:val="clear" w:color="auto" w:fill="auto"/>
            <w:vAlign w:val="center"/>
          </w:tcPr>
          <w:p w14:paraId="0A7051C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20 (40.0)</w:t>
            </w:r>
          </w:p>
        </w:tc>
        <w:tc>
          <w:tcPr>
            <w:tcW w:w="1168" w:type="dxa"/>
            <w:vMerge/>
            <w:shd w:val="clear" w:color="auto" w:fill="auto"/>
            <w:noWrap/>
            <w:vAlign w:val="bottom"/>
          </w:tcPr>
          <w:p w14:paraId="11FD714C"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766672F" w14:textId="77777777" w:rsidTr="002C5BB9">
        <w:trPr>
          <w:trHeight w:val="88"/>
        </w:trPr>
        <w:tc>
          <w:tcPr>
            <w:tcW w:w="3011" w:type="dxa"/>
            <w:shd w:val="clear" w:color="auto" w:fill="auto"/>
            <w:vAlign w:val="center"/>
          </w:tcPr>
          <w:p w14:paraId="1123D77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&gt;</w:t>
            </w:r>
            <w:r w:rsidRPr="00982AA9">
              <w:rPr>
                <w:rFonts w:ascii="Book Antiqua" w:hAnsi="Book Antiqua"/>
                <w:color w:val="000000" w:themeColor="text1"/>
                <w:lang w:eastAsia="zh-CN"/>
              </w:rPr>
              <w:t xml:space="preserve"> </w:t>
            </w:r>
            <w:r w:rsidRPr="00982AA9">
              <w:rPr>
                <w:rFonts w:ascii="Book Antiqua" w:hAnsi="Book Antiqua"/>
                <w:color w:val="000000" w:themeColor="text1"/>
              </w:rPr>
              <w:t>40</w:t>
            </w:r>
            <w:r w:rsidRPr="00982AA9">
              <w:rPr>
                <w:rFonts w:ascii="Book Antiqua" w:hAnsi="Book Antiqua"/>
                <w:color w:val="000000" w:themeColor="text1"/>
                <w:vertAlign w:val="superscript"/>
                <w:lang w:eastAsia="zh-CN"/>
              </w:rPr>
              <w:t>a</w:t>
            </w:r>
          </w:p>
        </w:tc>
        <w:tc>
          <w:tcPr>
            <w:tcW w:w="1563" w:type="dxa"/>
            <w:shd w:val="clear" w:color="auto" w:fill="auto"/>
            <w:vAlign w:val="center"/>
          </w:tcPr>
          <w:p w14:paraId="270E831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129 (13.2)</w:t>
            </w:r>
          </w:p>
        </w:tc>
        <w:tc>
          <w:tcPr>
            <w:tcW w:w="1852" w:type="dxa"/>
            <w:shd w:val="clear" w:color="auto" w:fill="auto"/>
            <w:vAlign w:val="center"/>
          </w:tcPr>
          <w:p w14:paraId="72C706E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114 (12.3)</w:t>
            </w:r>
          </w:p>
        </w:tc>
        <w:tc>
          <w:tcPr>
            <w:tcW w:w="2221" w:type="dxa"/>
            <w:shd w:val="clear" w:color="auto" w:fill="auto"/>
            <w:vAlign w:val="center"/>
          </w:tcPr>
          <w:p w14:paraId="5860C30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15 (30.0)</w:t>
            </w:r>
          </w:p>
        </w:tc>
        <w:tc>
          <w:tcPr>
            <w:tcW w:w="1168" w:type="dxa"/>
            <w:vMerge/>
            <w:shd w:val="clear" w:color="auto" w:fill="auto"/>
            <w:noWrap/>
            <w:vAlign w:val="bottom"/>
          </w:tcPr>
          <w:p w14:paraId="1327C2BC"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7FC3DF98" w14:textId="77777777" w:rsidTr="002C5BB9">
        <w:trPr>
          <w:trHeight w:val="88"/>
        </w:trPr>
        <w:tc>
          <w:tcPr>
            <w:tcW w:w="3011" w:type="dxa"/>
            <w:shd w:val="clear" w:color="auto" w:fill="auto"/>
            <w:vAlign w:val="center"/>
          </w:tcPr>
          <w:p w14:paraId="2E915B74"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Frequency of</w:t>
            </w:r>
            <w:r w:rsidR="00FA10E2" w:rsidRPr="00982AA9">
              <w:rPr>
                <w:rFonts w:ascii="Book Antiqua" w:hAnsi="Book Antiqua"/>
                <w:color w:val="000000" w:themeColor="text1"/>
              </w:rPr>
              <w:t xml:space="preserve"> alcohol intake</w:t>
            </w:r>
          </w:p>
        </w:tc>
        <w:tc>
          <w:tcPr>
            <w:tcW w:w="1563" w:type="dxa"/>
            <w:shd w:val="clear" w:color="auto" w:fill="auto"/>
            <w:vAlign w:val="center"/>
          </w:tcPr>
          <w:p w14:paraId="196E41D7" w14:textId="77777777" w:rsidR="002C5BB9" w:rsidRPr="00982AA9" w:rsidRDefault="002C5BB9" w:rsidP="00982AA9">
            <w:pPr>
              <w:spacing w:line="360" w:lineRule="auto"/>
              <w:jc w:val="both"/>
              <w:rPr>
                <w:rFonts w:ascii="Book Antiqua" w:hAnsi="Book Antiqua"/>
                <w:color w:val="000000" w:themeColor="text1"/>
              </w:rPr>
            </w:pPr>
          </w:p>
        </w:tc>
        <w:tc>
          <w:tcPr>
            <w:tcW w:w="1852" w:type="dxa"/>
            <w:shd w:val="clear" w:color="auto" w:fill="auto"/>
            <w:vAlign w:val="center"/>
          </w:tcPr>
          <w:p w14:paraId="35E0A0A2" w14:textId="77777777" w:rsidR="002C5BB9" w:rsidRPr="00982AA9" w:rsidRDefault="002C5BB9" w:rsidP="00982AA9">
            <w:pPr>
              <w:spacing w:line="360" w:lineRule="auto"/>
              <w:jc w:val="both"/>
              <w:rPr>
                <w:rFonts w:ascii="Book Antiqua" w:hAnsi="Book Antiqua"/>
                <w:color w:val="000000" w:themeColor="text1"/>
              </w:rPr>
            </w:pPr>
          </w:p>
        </w:tc>
        <w:tc>
          <w:tcPr>
            <w:tcW w:w="2221" w:type="dxa"/>
            <w:shd w:val="clear" w:color="auto" w:fill="auto"/>
            <w:vAlign w:val="center"/>
          </w:tcPr>
          <w:p w14:paraId="057F444B" w14:textId="77777777" w:rsidR="002C5BB9" w:rsidRPr="00982AA9" w:rsidRDefault="002C5BB9" w:rsidP="00982AA9">
            <w:pPr>
              <w:spacing w:line="360" w:lineRule="auto"/>
              <w:jc w:val="both"/>
              <w:rPr>
                <w:rFonts w:ascii="Book Antiqua" w:hAnsi="Book Antiqua"/>
                <w:color w:val="000000" w:themeColor="text1"/>
              </w:rPr>
            </w:pPr>
          </w:p>
        </w:tc>
        <w:tc>
          <w:tcPr>
            <w:tcW w:w="1168" w:type="dxa"/>
            <w:shd w:val="clear" w:color="auto" w:fill="auto"/>
            <w:noWrap/>
            <w:vAlign w:val="bottom"/>
          </w:tcPr>
          <w:p w14:paraId="7E6B91C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0.8</w:t>
            </w:r>
          </w:p>
        </w:tc>
      </w:tr>
      <w:tr w:rsidR="002C5BB9" w:rsidRPr="00982AA9" w14:paraId="0EA2FC51" w14:textId="77777777" w:rsidTr="002C5BB9">
        <w:trPr>
          <w:trHeight w:val="88"/>
        </w:trPr>
        <w:tc>
          <w:tcPr>
            <w:tcW w:w="3011" w:type="dxa"/>
            <w:shd w:val="clear" w:color="auto" w:fill="auto"/>
            <w:vAlign w:val="center"/>
          </w:tcPr>
          <w:p w14:paraId="1865D0D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None</w:t>
            </w:r>
          </w:p>
        </w:tc>
        <w:tc>
          <w:tcPr>
            <w:tcW w:w="1563" w:type="dxa"/>
            <w:shd w:val="clear" w:color="auto" w:fill="auto"/>
          </w:tcPr>
          <w:p w14:paraId="150A97D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489 (49.9)</w:t>
            </w:r>
          </w:p>
        </w:tc>
        <w:tc>
          <w:tcPr>
            <w:tcW w:w="1852" w:type="dxa"/>
            <w:shd w:val="clear" w:color="auto" w:fill="auto"/>
          </w:tcPr>
          <w:p w14:paraId="5270AA2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462 (49.7)</w:t>
            </w:r>
          </w:p>
        </w:tc>
        <w:tc>
          <w:tcPr>
            <w:tcW w:w="2221" w:type="dxa"/>
            <w:shd w:val="clear" w:color="auto" w:fill="auto"/>
          </w:tcPr>
          <w:p w14:paraId="473BEB0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27 (54.0)</w:t>
            </w:r>
          </w:p>
        </w:tc>
        <w:tc>
          <w:tcPr>
            <w:tcW w:w="1168" w:type="dxa"/>
            <w:shd w:val="clear" w:color="auto" w:fill="auto"/>
            <w:noWrap/>
            <w:vAlign w:val="bottom"/>
          </w:tcPr>
          <w:p w14:paraId="60B4AECE"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34D75709" w14:textId="77777777" w:rsidTr="002C5BB9">
        <w:trPr>
          <w:trHeight w:val="88"/>
        </w:trPr>
        <w:tc>
          <w:tcPr>
            <w:tcW w:w="3011" w:type="dxa"/>
            <w:shd w:val="clear" w:color="auto" w:fill="auto"/>
            <w:vAlign w:val="center"/>
          </w:tcPr>
          <w:p w14:paraId="1DB65CF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&lt;</w:t>
            </w:r>
            <w:r w:rsidR="00FA10E2" w:rsidRPr="00982AA9">
              <w:rPr>
                <w:rFonts w:ascii="Book Antiqua" w:hAnsi="Book Antiqua"/>
                <w:color w:val="000000" w:themeColor="text1"/>
                <w:lang w:eastAsia="zh-CN"/>
              </w:rPr>
              <w:t xml:space="preserve"> </w:t>
            </w:r>
            <w:r w:rsidRPr="00982AA9">
              <w:rPr>
                <w:rFonts w:ascii="Book Antiqua" w:hAnsi="Book Antiqua"/>
                <w:color w:val="000000" w:themeColor="text1"/>
              </w:rPr>
              <w:t xml:space="preserve">1 </w:t>
            </w:r>
            <w:r w:rsidR="00FA10E2" w:rsidRPr="00982AA9">
              <w:rPr>
                <w:rFonts w:ascii="Book Antiqua" w:hAnsi="Book Antiqua"/>
                <w:color w:val="000000" w:themeColor="text1"/>
              </w:rPr>
              <w:t>drink daily</w:t>
            </w:r>
          </w:p>
        </w:tc>
        <w:tc>
          <w:tcPr>
            <w:tcW w:w="1563" w:type="dxa"/>
            <w:shd w:val="clear" w:color="auto" w:fill="auto"/>
          </w:tcPr>
          <w:p w14:paraId="7819F3C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391 (39.9)</w:t>
            </w:r>
          </w:p>
        </w:tc>
        <w:tc>
          <w:tcPr>
            <w:tcW w:w="1852" w:type="dxa"/>
            <w:shd w:val="clear" w:color="auto" w:fill="auto"/>
          </w:tcPr>
          <w:p w14:paraId="16AB11E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377 (40.5)</w:t>
            </w:r>
          </w:p>
        </w:tc>
        <w:tc>
          <w:tcPr>
            <w:tcW w:w="2221" w:type="dxa"/>
            <w:shd w:val="clear" w:color="auto" w:fill="auto"/>
          </w:tcPr>
          <w:p w14:paraId="3BD9E23E"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14 (28.0)</w:t>
            </w:r>
          </w:p>
        </w:tc>
        <w:tc>
          <w:tcPr>
            <w:tcW w:w="1168" w:type="dxa"/>
            <w:shd w:val="clear" w:color="auto" w:fill="auto"/>
            <w:noWrap/>
            <w:vAlign w:val="bottom"/>
          </w:tcPr>
          <w:p w14:paraId="30C947E1"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44F7C745" w14:textId="77777777" w:rsidTr="002C5BB9">
        <w:trPr>
          <w:trHeight w:val="88"/>
        </w:trPr>
        <w:tc>
          <w:tcPr>
            <w:tcW w:w="3011" w:type="dxa"/>
            <w:shd w:val="clear" w:color="auto" w:fill="auto"/>
            <w:vAlign w:val="center"/>
          </w:tcPr>
          <w:p w14:paraId="4432B502"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At </w:t>
            </w:r>
            <w:r w:rsidR="00FA10E2" w:rsidRPr="00982AA9">
              <w:rPr>
                <w:rFonts w:ascii="Book Antiqua" w:hAnsi="Book Antiqua"/>
                <w:color w:val="000000" w:themeColor="text1"/>
              </w:rPr>
              <w:t>least 1 drink daily</w:t>
            </w:r>
          </w:p>
        </w:tc>
        <w:tc>
          <w:tcPr>
            <w:tcW w:w="1563" w:type="dxa"/>
            <w:shd w:val="clear" w:color="auto" w:fill="auto"/>
          </w:tcPr>
          <w:p w14:paraId="6856E52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100 (10.2)</w:t>
            </w:r>
          </w:p>
        </w:tc>
        <w:tc>
          <w:tcPr>
            <w:tcW w:w="1852" w:type="dxa"/>
            <w:shd w:val="clear" w:color="auto" w:fill="auto"/>
          </w:tcPr>
          <w:p w14:paraId="68A27B7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91 (9.8)</w:t>
            </w:r>
          </w:p>
        </w:tc>
        <w:tc>
          <w:tcPr>
            <w:tcW w:w="2221" w:type="dxa"/>
            <w:shd w:val="clear" w:color="auto" w:fill="auto"/>
          </w:tcPr>
          <w:p w14:paraId="3C682E3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vAlign w:val="bottom"/>
          </w:tcPr>
          <w:p w14:paraId="03C202F3" w14:textId="77777777" w:rsidR="002C5BB9" w:rsidRPr="00982AA9" w:rsidRDefault="002C5BB9" w:rsidP="00982AA9">
            <w:pPr>
              <w:spacing w:line="360" w:lineRule="auto"/>
              <w:jc w:val="both"/>
              <w:rPr>
                <w:rFonts w:ascii="Book Antiqua" w:hAnsi="Book Antiqua"/>
                <w:color w:val="000000" w:themeColor="text1"/>
              </w:rPr>
            </w:pPr>
          </w:p>
        </w:tc>
      </w:tr>
      <w:tr w:rsidR="002C5BB9" w:rsidRPr="00982AA9" w14:paraId="56568234" w14:textId="77777777" w:rsidTr="002C5BB9">
        <w:trPr>
          <w:trHeight w:val="88"/>
        </w:trPr>
        <w:tc>
          <w:tcPr>
            <w:tcW w:w="3011" w:type="dxa"/>
            <w:shd w:val="clear" w:color="auto" w:fill="auto"/>
            <w:vAlign w:val="center"/>
          </w:tcPr>
          <w:p w14:paraId="70A4753C"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Daily </w:t>
            </w:r>
            <w:r w:rsidR="00FA10E2" w:rsidRPr="00982AA9">
              <w:rPr>
                <w:rFonts w:ascii="Book Antiqua" w:hAnsi="Book Antiqua"/>
                <w:color w:val="000000" w:themeColor="text1"/>
              </w:rPr>
              <w:t>alcohol consumption</w:t>
            </w:r>
          </w:p>
        </w:tc>
        <w:tc>
          <w:tcPr>
            <w:tcW w:w="1563" w:type="dxa"/>
            <w:shd w:val="clear" w:color="auto" w:fill="auto"/>
          </w:tcPr>
          <w:p w14:paraId="7032707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100 (10.2)</w:t>
            </w:r>
          </w:p>
        </w:tc>
        <w:tc>
          <w:tcPr>
            <w:tcW w:w="1852" w:type="dxa"/>
            <w:shd w:val="clear" w:color="auto" w:fill="auto"/>
          </w:tcPr>
          <w:p w14:paraId="5A114DD6"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91 (9.8)</w:t>
            </w:r>
          </w:p>
        </w:tc>
        <w:tc>
          <w:tcPr>
            <w:tcW w:w="2221" w:type="dxa"/>
            <w:shd w:val="clear" w:color="auto" w:fill="auto"/>
          </w:tcPr>
          <w:p w14:paraId="64E3E50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9 (18.0)</w:t>
            </w:r>
          </w:p>
        </w:tc>
        <w:tc>
          <w:tcPr>
            <w:tcW w:w="1168" w:type="dxa"/>
            <w:shd w:val="clear" w:color="auto" w:fill="auto"/>
            <w:noWrap/>
          </w:tcPr>
          <w:p w14:paraId="15D63907"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0.06</w:t>
            </w:r>
          </w:p>
        </w:tc>
      </w:tr>
      <w:tr w:rsidR="002C5BB9" w:rsidRPr="00982AA9" w14:paraId="5E09F62A" w14:textId="77777777" w:rsidTr="00E138DF">
        <w:trPr>
          <w:trHeight w:val="155"/>
        </w:trPr>
        <w:tc>
          <w:tcPr>
            <w:tcW w:w="4574" w:type="dxa"/>
            <w:gridSpan w:val="2"/>
            <w:shd w:val="clear" w:color="auto" w:fill="auto"/>
            <w:vAlign w:val="center"/>
          </w:tcPr>
          <w:p w14:paraId="4FCDFBBA"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Body</w:t>
            </w:r>
            <w:r w:rsidR="00FA10E2" w:rsidRPr="00982AA9">
              <w:rPr>
                <w:rFonts w:ascii="Book Antiqua" w:hAnsi="Book Antiqua"/>
                <w:color w:val="000000" w:themeColor="text1"/>
              </w:rPr>
              <w:t xml:space="preserve"> surface area (mean</w:t>
            </w:r>
            <w:r w:rsidRPr="00982AA9">
              <w:rPr>
                <w:rFonts w:ascii="Book Antiqua" w:hAnsi="Book Antiqua"/>
                <w:color w:val="000000" w:themeColor="text1"/>
              </w:rPr>
              <w:t xml:space="preserve"> ± SD)</w:t>
            </w:r>
          </w:p>
        </w:tc>
        <w:tc>
          <w:tcPr>
            <w:tcW w:w="1852" w:type="dxa"/>
            <w:shd w:val="clear" w:color="auto" w:fill="auto"/>
            <w:vAlign w:val="center"/>
          </w:tcPr>
          <w:p w14:paraId="2C3EEB8F"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 2.045</w:t>
            </w:r>
          </w:p>
        </w:tc>
        <w:tc>
          <w:tcPr>
            <w:tcW w:w="2221" w:type="dxa"/>
            <w:shd w:val="clear" w:color="auto" w:fill="auto"/>
            <w:vAlign w:val="center"/>
          </w:tcPr>
          <w:p w14:paraId="04DF9063"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1.9 ± </w:t>
            </w:r>
            <w:r w:rsidR="00524AB6" w:rsidRPr="00982AA9">
              <w:rPr>
                <w:rFonts w:ascii="Book Antiqua" w:hAnsi="Book Antiqua"/>
                <w:color w:val="000000" w:themeColor="text1"/>
              </w:rPr>
              <w:t>0</w:t>
            </w:r>
            <w:r w:rsidRPr="00982AA9">
              <w:rPr>
                <w:rFonts w:ascii="Book Antiqua" w:hAnsi="Book Antiqua"/>
                <w:color w:val="000000" w:themeColor="text1"/>
              </w:rPr>
              <w:t>.02</w:t>
            </w:r>
          </w:p>
        </w:tc>
        <w:tc>
          <w:tcPr>
            <w:tcW w:w="1168" w:type="dxa"/>
            <w:shd w:val="clear" w:color="auto" w:fill="auto"/>
            <w:noWrap/>
            <w:vAlign w:val="bottom"/>
          </w:tcPr>
          <w:p w14:paraId="0FB2EBBA" w14:textId="77777777" w:rsidR="002C5BB9" w:rsidRPr="00982AA9" w:rsidRDefault="002C5BB9"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0.02</w:t>
            </w:r>
          </w:p>
        </w:tc>
      </w:tr>
      <w:tr w:rsidR="002C5BB9" w:rsidRPr="00982AA9" w14:paraId="587239F8" w14:textId="77777777" w:rsidTr="00E138DF">
        <w:trPr>
          <w:trHeight w:val="155"/>
        </w:trPr>
        <w:tc>
          <w:tcPr>
            <w:tcW w:w="4574" w:type="dxa"/>
            <w:gridSpan w:val="2"/>
            <w:tcBorders>
              <w:bottom w:val="single" w:sz="4" w:space="0" w:color="auto"/>
            </w:tcBorders>
            <w:shd w:val="clear" w:color="auto" w:fill="auto"/>
            <w:vAlign w:val="center"/>
          </w:tcPr>
          <w:p w14:paraId="3F35A0EB"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Median, IQR</w:t>
            </w:r>
          </w:p>
        </w:tc>
        <w:tc>
          <w:tcPr>
            <w:tcW w:w="1852" w:type="dxa"/>
            <w:tcBorders>
              <w:bottom w:val="single" w:sz="4" w:space="0" w:color="auto"/>
            </w:tcBorders>
            <w:shd w:val="clear" w:color="auto" w:fill="auto"/>
            <w:vAlign w:val="center"/>
          </w:tcPr>
          <w:p w14:paraId="076B3449"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1.8, 0.28</w:t>
            </w:r>
          </w:p>
        </w:tc>
        <w:tc>
          <w:tcPr>
            <w:tcW w:w="2221" w:type="dxa"/>
            <w:tcBorders>
              <w:bottom w:val="single" w:sz="4" w:space="0" w:color="auto"/>
            </w:tcBorders>
            <w:shd w:val="clear" w:color="auto" w:fill="auto"/>
            <w:vAlign w:val="center"/>
          </w:tcPr>
          <w:p w14:paraId="36C190FD" w14:textId="77777777" w:rsidR="002C5BB9" w:rsidRPr="00982AA9" w:rsidRDefault="002C5BB9" w:rsidP="00982AA9">
            <w:pPr>
              <w:spacing w:line="360" w:lineRule="auto"/>
              <w:jc w:val="both"/>
              <w:rPr>
                <w:rFonts w:ascii="Book Antiqua" w:hAnsi="Book Antiqua"/>
                <w:color w:val="000000" w:themeColor="text1"/>
              </w:rPr>
            </w:pPr>
            <w:r w:rsidRPr="00982AA9">
              <w:rPr>
                <w:rFonts w:ascii="Book Antiqua" w:hAnsi="Book Antiqua"/>
                <w:color w:val="000000" w:themeColor="text1"/>
              </w:rPr>
              <w:t>1.9, 0.22</w:t>
            </w:r>
          </w:p>
        </w:tc>
        <w:tc>
          <w:tcPr>
            <w:tcW w:w="1168" w:type="dxa"/>
            <w:tcBorders>
              <w:bottom w:val="single" w:sz="4" w:space="0" w:color="auto"/>
            </w:tcBorders>
            <w:shd w:val="clear" w:color="auto" w:fill="auto"/>
            <w:noWrap/>
            <w:vAlign w:val="bottom"/>
          </w:tcPr>
          <w:p w14:paraId="3AE403CA" w14:textId="77777777" w:rsidR="002C5BB9" w:rsidRPr="00982AA9" w:rsidRDefault="002C5BB9" w:rsidP="00982AA9">
            <w:pPr>
              <w:spacing w:line="360" w:lineRule="auto"/>
              <w:jc w:val="both"/>
              <w:rPr>
                <w:rFonts w:ascii="Book Antiqua" w:hAnsi="Book Antiqua"/>
                <w:b/>
                <w:bCs/>
                <w:color w:val="000000" w:themeColor="text1"/>
              </w:rPr>
            </w:pPr>
          </w:p>
        </w:tc>
      </w:tr>
    </w:tbl>
    <w:p w14:paraId="3126B3EA" w14:textId="77777777" w:rsidR="00415D7D" w:rsidRPr="00982AA9" w:rsidRDefault="00FE6BBB" w:rsidP="00982AA9">
      <w:pPr>
        <w:spacing w:line="360" w:lineRule="auto"/>
        <w:jc w:val="both"/>
        <w:rPr>
          <w:rFonts w:ascii="Book Antiqua" w:hAnsi="Book Antiqua"/>
          <w:lang w:eastAsia="zh-CN"/>
        </w:rPr>
      </w:pPr>
      <w:r w:rsidRPr="00982AA9">
        <w:rPr>
          <w:rFonts w:ascii="Book Antiqua" w:hAnsi="Book Antiqua"/>
          <w:iCs/>
          <w:color w:val="000000"/>
          <w:vertAlign w:val="superscript"/>
          <w:lang w:eastAsia="zh-CN"/>
        </w:rPr>
        <w:t>a</w:t>
      </w:r>
      <w:r w:rsidRPr="00982AA9">
        <w:rPr>
          <w:rFonts w:ascii="Book Antiqua" w:hAnsi="Book Antiqua"/>
          <w:iCs/>
          <w:color w:val="000000"/>
        </w:rPr>
        <w:t>Indicates significance on posthoc analysis (</w:t>
      </w:r>
      <w:r w:rsidRPr="00982AA9">
        <w:rPr>
          <w:rFonts w:ascii="Book Antiqua" w:hAnsi="Book Antiqua"/>
          <w:i/>
          <w:iCs/>
          <w:color w:val="000000"/>
        </w:rPr>
        <w:t>P</w:t>
      </w:r>
      <w:r w:rsidRPr="00982AA9">
        <w:rPr>
          <w:rFonts w:ascii="Book Antiqua" w:hAnsi="Book Antiqua"/>
          <w:iCs/>
          <w:color w:val="000000"/>
          <w:lang w:eastAsia="zh-CN"/>
        </w:rPr>
        <w:t xml:space="preserve"> </w:t>
      </w:r>
      <w:r w:rsidRPr="00982AA9">
        <w:rPr>
          <w:rFonts w:ascii="Book Antiqua" w:hAnsi="Book Antiqua"/>
          <w:iCs/>
          <w:color w:val="000000"/>
        </w:rPr>
        <w:t>&lt;</w:t>
      </w:r>
      <w:r w:rsidRPr="00982AA9">
        <w:rPr>
          <w:rFonts w:ascii="Book Antiqua" w:hAnsi="Book Antiqua"/>
          <w:iCs/>
          <w:color w:val="000000"/>
          <w:lang w:eastAsia="zh-CN"/>
        </w:rPr>
        <w:t xml:space="preserve"> </w:t>
      </w:r>
      <w:r w:rsidRPr="00982AA9">
        <w:rPr>
          <w:rFonts w:ascii="Book Antiqua" w:hAnsi="Book Antiqua"/>
          <w:iCs/>
          <w:color w:val="000000"/>
        </w:rPr>
        <w:t>0.05)</w:t>
      </w:r>
      <w:r w:rsidR="00B54D8C" w:rsidRPr="00982AA9">
        <w:rPr>
          <w:rFonts w:ascii="Book Antiqua" w:hAnsi="Book Antiqua"/>
          <w:iCs/>
          <w:color w:val="000000"/>
          <w:lang w:eastAsia="zh-CN"/>
        </w:rPr>
        <w:t>,</w:t>
      </w:r>
      <w:r w:rsidR="00B54D8C" w:rsidRPr="00982AA9">
        <w:rPr>
          <w:rFonts w:ascii="Book Antiqua" w:hAnsi="Book Antiqua"/>
        </w:rPr>
        <w:t xml:space="preserve"> </w:t>
      </w:r>
      <w:r w:rsidR="00B54D8C" w:rsidRPr="00982AA9">
        <w:rPr>
          <w:rFonts w:ascii="Book Antiqua" w:hAnsi="Book Antiqua"/>
          <w:iCs/>
          <w:color w:val="000000"/>
          <w:lang w:eastAsia="zh-CN"/>
        </w:rPr>
        <w:t xml:space="preserve">AN: </w:t>
      </w:r>
      <w:r w:rsidR="00B54D8C" w:rsidRPr="00982AA9">
        <w:rPr>
          <w:rFonts w:ascii="Book Antiqua" w:hAnsi="Book Antiqua"/>
        </w:rPr>
        <w:t>Advanced neoplasia</w:t>
      </w:r>
      <w:r w:rsidR="00F336D8" w:rsidRPr="00982AA9">
        <w:rPr>
          <w:rFonts w:ascii="Book Antiqua" w:hAnsi="Book Antiqua"/>
          <w:lang w:eastAsia="zh-CN"/>
        </w:rPr>
        <w:t>.</w:t>
      </w:r>
    </w:p>
    <w:p w14:paraId="34D0E329" w14:textId="77777777" w:rsidR="00415D7D" w:rsidRPr="00982AA9" w:rsidRDefault="00415D7D" w:rsidP="00982AA9">
      <w:pPr>
        <w:spacing w:line="360" w:lineRule="auto"/>
        <w:jc w:val="both"/>
        <w:rPr>
          <w:rFonts w:ascii="Book Antiqua" w:hAnsi="Book Antiqua"/>
          <w:lang w:eastAsia="zh-CN"/>
        </w:rPr>
      </w:pPr>
    </w:p>
    <w:p w14:paraId="4CA77CDA" w14:textId="77777777" w:rsidR="00415D7D" w:rsidRPr="00982AA9" w:rsidRDefault="00415D7D" w:rsidP="00982AA9">
      <w:pPr>
        <w:spacing w:line="360" w:lineRule="auto"/>
        <w:jc w:val="both"/>
        <w:rPr>
          <w:rFonts w:ascii="Book Antiqua" w:hAnsi="Book Antiqua"/>
          <w:lang w:eastAsia="zh-CN"/>
        </w:rPr>
      </w:pPr>
    </w:p>
    <w:p w14:paraId="506D92AF" w14:textId="77777777" w:rsidR="00320EA6" w:rsidRPr="00982AA9" w:rsidRDefault="00415D7D" w:rsidP="00982AA9">
      <w:pPr>
        <w:spacing w:line="360" w:lineRule="auto"/>
        <w:jc w:val="both"/>
        <w:rPr>
          <w:rFonts w:ascii="Book Antiqua" w:hAnsi="Book Antiqua"/>
          <w:b/>
          <w:lang w:eastAsia="zh-CN"/>
        </w:rPr>
      </w:pPr>
      <w:r w:rsidRPr="00982AA9">
        <w:rPr>
          <w:rFonts w:ascii="Book Antiqua" w:hAnsi="Book Antiqua"/>
          <w:lang w:eastAsia="zh-CN"/>
        </w:rPr>
        <w:br w:type="page"/>
      </w:r>
      <w:r w:rsidR="00AF5651" w:rsidRPr="00982AA9">
        <w:rPr>
          <w:rFonts w:ascii="Book Antiqua" w:hAnsi="Book Antiqua"/>
          <w:b/>
          <w:lang w:eastAsia="zh-CN"/>
        </w:rPr>
        <w:lastRenderedPageBreak/>
        <w:t>Table 2 Binary logistic regression and internal validation</w:t>
      </w:r>
    </w:p>
    <w:tbl>
      <w:tblPr>
        <w:tblW w:w="11624" w:type="dxa"/>
        <w:tblInd w:w="-1281" w:type="dxa"/>
        <w:tblLook w:val="04A0" w:firstRow="1" w:lastRow="0" w:firstColumn="1" w:lastColumn="0" w:noHBand="0" w:noVBand="1"/>
      </w:tblPr>
      <w:tblGrid>
        <w:gridCol w:w="3124"/>
        <w:gridCol w:w="1717"/>
        <w:gridCol w:w="960"/>
        <w:gridCol w:w="960"/>
        <w:gridCol w:w="1710"/>
        <w:gridCol w:w="1150"/>
        <w:gridCol w:w="2003"/>
      </w:tblGrid>
      <w:tr w:rsidR="00AF5651" w:rsidRPr="00982AA9" w14:paraId="6E94D829" w14:textId="77777777" w:rsidTr="00DC6D38">
        <w:trPr>
          <w:trHeight w:val="315"/>
        </w:trPr>
        <w:tc>
          <w:tcPr>
            <w:tcW w:w="3124" w:type="dxa"/>
            <w:vMerge w:val="restart"/>
            <w:tcBorders>
              <w:top w:val="single" w:sz="4" w:space="0" w:color="auto"/>
              <w:bottom w:val="single" w:sz="4" w:space="0" w:color="auto"/>
            </w:tcBorders>
            <w:shd w:val="clear" w:color="auto" w:fill="auto"/>
            <w:vAlign w:val="center"/>
            <w:hideMark/>
          </w:tcPr>
          <w:p w14:paraId="16A11519" w14:textId="77777777" w:rsidR="00AF5651" w:rsidRPr="00982AA9" w:rsidRDefault="00AF5651" w:rsidP="00982AA9">
            <w:pPr>
              <w:spacing w:line="360" w:lineRule="auto"/>
              <w:jc w:val="both"/>
              <w:rPr>
                <w:rFonts w:ascii="Book Antiqua" w:hAnsi="Book Antiqua"/>
                <w:b/>
                <w:color w:val="000000" w:themeColor="text1"/>
                <w:lang w:eastAsia="zh-CN"/>
              </w:rPr>
            </w:pPr>
            <w:r w:rsidRPr="00982AA9">
              <w:rPr>
                <w:rFonts w:ascii="Book Antiqua" w:hAnsi="Book Antiqua"/>
                <w:b/>
                <w:color w:val="000000" w:themeColor="text1"/>
              </w:rPr>
              <w:t xml:space="preserve">Patient </w:t>
            </w:r>
            <w:r w:rsidR="00DC6D38" w:rsidRPr="00982AA9">
              <w:rPr>
                <w:rFonts w:ascii="Book Antiqua" w:hAnsi="Book Antiqua"/>
                <w:b/>
                <w:color w:val="000000" w:themeColor="text1"/>
              </w:rPr>
              <w:t>f</w:t>
            </w:r>
            <w:r w:rsidRPr="00982AA9">
              <w:rPr>
                <w:rFonts w:ascii="Book Antiqua" w:hAnsi="Book Antiqua"/>
                <w:b/>
                <w:color w:val="000000" w:themeColor="text1"/>
              </w:rPr>
              <w:t>actors</w:t>
            </w:r>
          </w:p>
        </w:tc>
        <w:tc>
          <w:tcPr>
            <w:tcW w:w="5347" w:type="dxa"/>
            <w:gridSpan w:val="4"/>
            <w:tcBorders>
              <w:top w:val="single" w:sz="4" w:space="0" w:color="auto"/>
              <w:bottom w:val="single" w:sz="4" w:space="0" w:color="auto"/>
            </w:tcBorders>
            <w:shd w:val="clear" w:color="auto" w:fill="auto"/>
            <w:vAlign w:val="bottom"/>
            <w:hideMark/>
          </w:tcPr>
          <w:p w14:paraId="3CB32B89" w14:textId="77777777" w:rsidR="00AF5651" w:rsidRPr="00982AA9" w:rsidRDefault="00AF5651"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 xml:space="preserve">Binary </w:t>
            </w:r>
            <w:r w:rsidR="00DC6D38" w:rsidRPr="00982AA9">
              <w:rPr>
                <w:rFonts w:ascii="Book Antiqua" w:hAnsi="Book Antiqua"/>
                <w:b/>
                <w:bCs/>
                <w:color w:val="000000" w:themeColor="text1"/>
              </w:rPr>
              <w:t>logistic regression</w:t>
            </w:r>
          </w:p>
        </w:tc>
        <w:tc>
          <w:tcPr>
            <w:tcW w:w="3153" w:type="dxa"/>
            <w:gridSpan w:val="2"/>
            <w:tcBorders>
              <w:top w:val="single" w:sz="4" w:space="0" w:color="auto"/>
              <w:left w:val="nil"/>
              <w:bottom w:val="single" w:sz="4" w:space="0" w:color="auto"/>
            </w:tcBorders>
            <w:shd w:val="clear" w:color="auto" w:fill="auto"/>
            <w:vAlign w:val="bottom"/>
            <w:hideMark/>
          </w:tcPr>
          <w:p w14:paraId="4099FD3D" w14:textId="77777777" w:rsidR="00AF5651" w:rsidRPr="00982AA9" w:rsidRDefault="00AF5651" w:rsidP="00982AA9">
            <w:pPr>
              <w:spacing w:line="360" w:lineRule="auto"/>
              <w:jc w:val="both"/>
              <w:rPr>
                <w:rFonts w:ascii="Book Antiqua" w:hAnsi="Book Antiqua"/>
                <w:b/>
                <w:bCs/>
                <w:color w:val="000000" w:themeColor="text1"/>
              </w:rPr>
            </w:pPr>
            <w:r w:rsidRPr="00982AA9">
              <w:rPr>
                <w:rFonts w:ascii="Book Antiqua" w:hAnsi="Book Antiqua"/>
                <w:b/>
                <w:bCs/>
                <w:color w:val="000000" w:themeColor="text1"/>
              </w:rPr>
              <w:t xml:space="preserve">1000 </w:t>
            </w:r>
            <w:r w:rsidR="00DC6D38" w:rsidRPr="00982AA9">
              <w:rPr>
                <w:rFonts w:ascii="Book Antiqua" w:hAnsi="Book Antiqua"/>
                <w:b/>
                <w:bCs/>
                <w:color w:val="000000" w:themeColor="text1"/>
              </w:rPr>
              <w:t>b</w:t>
            </w:r>
            <w:r w:rsidRPr="00982AA9">
              <w:rPr>
                <w:rFonts w:ascii="Book Antiqua" w:hAnsi="Book Antiqua"/>
                <w:b/>
                <w:bCs/>
                <w:color w:val="000000" w:themeColor="text1"/>
              </w:rPr>
              <w:t>ootstrap</w:t>
            </w:r>
          </w:p>
        </w:tc>
      </w:tr>
      <w:tr w:rsidR="00AF5651" w:rsidRPr="00982AA9" w14:paraId="13BE4F75" w14:textId="77777777" w:rsidTr="00DC6D38">
        <w:trPr>
          <w:trHeight w:val="330"/>
        </w:trPr>
        <w:tc>
          <w:tcPr>
            <w:tcW w:w="3124" w:type="dxa"/>
            <w:vMerge/>
            <w:tcBorders>
              <w:bottom w:val="single" w:sz="4" w:space="0" w:color="auto"/>
            </w:tcBorders>
            <w:shd w:val="clear" w:color="auto" w:fill="auto"/>
            <w:vAlign w:val="center"/>
            <w:hideMark/>
          </w:tcPr>
          <w:p w14:paraId="5F359647" w14:textId="77777777" w:rsidR="00AF5651" w:rsidRPr="00982AA9" w:rsidRDefault="00AF5651" w:rsidP="00982AA9">
            <w:pPr>
              <w:spacing w:line="360" w:lineRule="auto"/>
              <w:jc w:val="both"/>
              <w:rPr>
                <w:rFonts w:ascii="Book Antiqua" w:hAnsi="Book Antiqua"/>
                <w:b/>
                <w:color w:val="000000" w:themeColor="text1"/>
              </w:rPr>
            </w:pPr>
          </w:p>
        </w:tc>
        <w:tc>
          <w:tcPr>
            <w:tcW w:w="1717" w:type="dxa"/>
            <w:tcBorders>
              <w:top w:val="single" w:sz="4" w:space="0" w:color="auto"/>
              <w:bottom w:val="single" w:sz="4" w:space="0" w:color="auto"/>
            </w:tcBorders>
            <w:shd w:val="clear" w:color="auto" w:fill="auto"/>
            <w:vAlign w:val="center"/>
            <w:hideMark/>
          </w:tcPr>
          <w:p w14:paraId="25D30586"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β-coefficient</w:t>
            </w:r>
          </w:p>
        </w:tc>
        <w:tc>
          <w:tcPr>
            <w:tcW w:w="960" w:type="dxa"/>
            <w:tcBorders>
              <w:top w:val="single" w:sz="4" w:space="0" w:color="auto"/>
              <w:bottom w:val="single" w:sz="4" w:space="0" w:color="auto"/>
            </w:tcBorders>
            <w:shd w:val="clear" w:color="auto" w:fill="auto"/>
            <w:vAlign w:val="center"/>
            <w:hideMark/>
          </w:tcPr>
          <w:p w14:paraId="2B87B674" w14:textId="77777777" w:rsidR="00AF5651" w:rsidRPr="00982AA9" w:rsidRDefault="008215BA" w:rsidP="00982AA9">
            <w:pPr>
              <w:spacing w:line="360" w:lineRule="auto"/>
              <w:jc w:val="both"/>
              <w:rPr>
                <w:rFonts w:ascii="Book Antiqua" w:hAnsi="Book Antiqua"/>
                <w:b/>
                <w:color w:val="000000" w:themeColor="text1"/>
                <w:lang w:eastAsia="zh-CN"/>
              </w:rPr>
            </w:pPr>
            <w:r w:rsidRPr="00982AA9">
              <w:rPr>
                <w:rFonts w:ascii="Book Antiqua" w:hAnsi="Book Antiqua"/>
                <w:b/>
                <w:color w:val="000000" w:themeColor="text1"/>
              </w:rPr>
              <w:t>S</w:t>
            </w:r>
            <w:r w:rsidR="00AF5651" w:rsidRPr="00982AA9">
              <w:rPr>
                <w:rFonts w:ascii="Book Antiqua" w:hAnsi="Book Antiqua"/>
                <w:b/>
                <w:color w:val="000000" w:themeColor="text1"/>
              </w:rPr>
              <w:t>E</w:t>
            </w:r>
          </w:p>
        </w:tc>
        <w:tc>
          <w:tcPr>
            <w:tcW w:w="960" w:type="dxa"/>
            <w:tcBorders>
              <w:top w:val="single" w:sz="4" w:space="0" w:color="auto"/>
              <w:left w:val="nil"/>
              <w:bottom w:val="single" w:sz="4" w:space="0" w:color="auto"/>
            </w:tcBorders>
            <w:shd w:val="clear" w:color="auto" w:fill="auto"/>
            <w:vAlign w:val="center"/>
            <w:hideMark/>
          </w:tcPr>
          <w:p w14:paraId="106F52A4"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hAnsi="Book Antiqua"/>
                <w:b/>
                <w:color w:val="000000" w:themeColor="text1"/>
                <w:lang w:eastAsia="zh-CN"/>
              </w:rPr>
              <w:t xml:space="preserve"> </w:t>
            </w:r>
            <w:r w:rsidRPr="00982AA9">
              <w:rPr>
                <w:rFonts w:ascii="Book Antiqua" w:hAnsi="Book Antiqua"/>
                <w:b/>
                <w:color w:val="000000" w:themeColor="text1"/>
              </w:rPr>
              <w:t>value</w:t>
            </w:r>
          </w:p>
        </w:tc>
        <w:tc>
          <w:tcPr>
            <w:tcW w:w="1710" w:type="dxa"/>
            <w:tcBorders>
              <w:top w:val="single" w:sz="4" w:space="0" w:color="auto"/>
              <w:bottom w:val="single" w:sz="4" w:space="0" w:color="auto"/>
            </w:tcBorders>
            <w:shd w:val="clear" w:color="auto" w:fill="auto"/>
            <w:vAlign w:val="center"/>
            <w:hideMark/>
          </w:tcPr>
          <w:p w14:paraId="19C21088"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 xml:space="preserve">OR </w:t>
            </w:r>
            <w:r w:rsidR="00647E3D" w:rsidRPr="00982AA9">
              <w:rPr>
                <w:rFonts w:ascii="Book Antiqua" w:hAnsi="Book Antiqua"/>
                <w:b/>
                <w:color w:val="000000" w:themeColor="text1"/>
              </w:rPr>
              <w:t>(95%</w:t>
            </w:r>
            <w:r w:rsidRPr="00982AA9">
              <w:rPr>
                <w:rFonts w:ascii="Book Antiqua" w:hAnsi="Book Antiqua"/>
                <w:b/>
                <w:color w:val="000000" w:themeColor="text1"/>
              </w:rPr>
              <w:t>CI)</w:t>
            </w:r>
          </w:p>
        </w:tc>
        <w:tc>
          <w:tcPr>
            <w:tcW w:w="1150" w:type="dxa"/>
            <w:tcBorders>
              <w:top w:val="single" w:sz="4" w:space="0" w:color="auto"/>
              <w:bottom w:val="single" w:sz="4" w:space="0" w:color="auto"/>
            </w:tcBorders>
            <w:shd w:val="clear" w:color="auto" w:fill="auto"/>
            <w:vAlign w:val="center"/>
            <w:hideMark/>
          </w:tcPr>
          <w:p w14:paraId="4500F8AA"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i/>
                <w:color w:val="000000" w:themeColor="text1"/>
              </w:rPr>
              <w:t>P</w:t>
            </w:r>
            <w:r w:rsidRPr="00982AA9">
              <w:rPr>
                <w:rFonts w:ascii="Book Antiqua" w:eastAsia="等线" w:hAnsi="Book Antiqua"/>
                <w:b/>
                <w:color w:val="000000" w:themeColor="text1"/>
                <w:lang w:eastAsia="zh-CN"/>
              </w:rPr>
              <w:t xml:space="preserve"> </w:t>
            </w:r>
            <w:r w:rsidRPr="00982AA9">
              <w:rPr>
                <w:rFonts w:ascii="Book Antiqua" w:hAnsi="Book Antiqua"/>
                <w:b/>
                <w:color w:val="000000" w:themeColor="text1"/>
              </w:rPr>
              <w:t>value</w:t>
            </w:r>
          </w:p>
        </w:tc>
        <w:tc>
          <w:tcPr>
            <w:tcW w:w="2003" w:type="dxa"/>
            <w:tcBorders>
              <w:top w:val="single" w:sz="4" w:space="0" w:color="auto"/>
              <w:bottom w:val="single" w:sz="4" w:space="0" w:color="auto"/>
            </w:tcBorders>
            <w:shd w:val="clear" w:color="auto" w:fill="auto"/>
            <w:vAlign w:val="center"/>
            <w:hideMark/>
          </w:tcPr>
          <w:p w14:paraId="515061A1" w14:textId="77777777" w:rsidR="00AF5651" w:rsidRPr="00982AA9" w:rsidRDefault="00AF5651" w:rsidP="00982AA9">
            <w:pPr>
              <w:spacing w:line="360" w:lineRule="auto"/>
              <w:jc w:val="both"/>
              <w:rPr>
                <w:rFonts w:ascii="Book Antiqua" w:hAnsi="Book Antiqua"/>
                <w:b/>
                <w:color w:val="000000" w:themeColor="text1"/>
              </w:rPr>
            </w:pPr>
            <w:r w:rsidRPr="00982AA9">
              <w:rPr>
                <w:rFonts w:ascii="Book Antiqua" w:hAnsi="Book Antiqua"/>
                <w:b/>
                <w:color w:val="000000" w:themeColor="text1"/>
              </w:rPr>
              <w:t>AOR  (95%CI)</w:t>
            </w:r>
          </w:p>
        </w:tc>
      </w:tr>
      <w:tr w:rsidR="00AF5651" w:rsidRPr="00982AA9" w14:paraId="64677B27" w14:textId="77777777" w:rsidTr="00AF5651">
        <w:trPr>
          <w:trHeight w:val="360"/>
        </w:trPr>
        <w:tc>
          <w:tcPr>
            <w:tcW w:w="3124" w:type="dxa"/>
            <w:tcBorders>
              <w:top w:val="single" w:sz="4" w:space="0" w:color="auto"/>
            </w:tcBorders>
            <w:shd w:val="clear" w:color="auto" w:fill="auto"/>
            <w:vAlign w:val="bottom"/>
            <w:hideMark/>
          </w:tcPr>
          <w:p w14:paraId="06FAF98C" w14:textId="77777777" w:rsidR="00AF5651" w:rsidRPr="00982AA9" w:rsidRDefault="00D92A7B" w:rsidP="00982AA9">
            <w:pPr>
              <w:spacing w:line="360" w:lineRule="auto"/>
              <w:jc w:val="both"/>
              <w:rPr>
                <w:rFonts w:ascii="Book Antiqua" w:hAnsi="Book Antiqua"/>
                <w:color w:val="000000" w:themeColor="text1"/>
              </w:rPr>
            </w:pPr>
            <w:r>
              <w:rPr>
                <w:rFonts w:ascii="Book Antiqua" w:hAnsi="Book Antiqua"/>
                <w:color w:val="000000" w:themeColor="text1"/>
              </w:rPr>
              <w:t>Age (yr</w:t>
            </w:r>
            <w:r w:rsidR="00AF5651" w:rsidRPr="00982AA9">
              <w:rPr>
                <w:rFonts w:ascii="Book Antiqua" w:hAnsi="Book Antiqua"/>
                <w:color w:val="000000" w:themeColor="text1"/>
              </w:rPr>
              <w:t>)</w:t>
            </w:r>
          </w:p>
        </w:tc>
        <w:tc>
          <w:tcPr>
            <w:tcW w:w="1717" w:type="dxa"/>
            <w:tcBorders>
              <w:top w:val="single" w:sz="4" w:space="0" w:color="auto"/>
            </w:tcBorders>
            <w:shd w:val="clear" w:color="auto" w:fill="auto"/>
            <w:noWrap/>
            <w:vAlign w:val="center"/>
            <w:hideMark/>
          </w:tcPr>
          <w:p w14:paraId="6544329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0.035</w:t>
            </w:r>
          </w:p>
        </w:tc>
        <w:tc>
          <w:tcPr>
            <w:tcW w:w="960" w:type="dxa"/>
            <w:tcBorders>
              <w:top w:val="single" w:sz="4" w:space="0" w:color="auto"/>
            </w:tcBorders>
            <w:shd w:val="clear" w:color="auto" w:fill="auto"/>
            <w:noWrap/>
            <w:vAlign w:val="center"/>
            <w:hideMark/>
          </w:tcPr>
          <w:p w14:paraId="0456D18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0.018</w:t>
            </w:r>
          </w:p>
        </w:tc>
        <w:tc>
          <w:tcPr>
            <w:tcW w:w="960" w:type="dxa"/>
            <w:tcBorders>
              <w:top w:val="single" w:sz="4" w:space="0" w:color="auto"/>
              <w:left w:val="nil"/>
            </w:tcBorders>
            <w:shd w:val="clear" w:color="auto" w:fill="auto"/>
            <w:noWrap/>
            <w:vAlign w:val="center"/>
            <w:hideMark/>
          </w:tcPr>
          <w:p w14:paraId="11B12B1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1710" w:type="dxa"/>
            <w:tcBorders>
              <w:top w:val="single" w:sz="4" w:space="0" w:color="auto"/>
            </w:tcBorders>
            <w:shd w:val="clear" w:color="auto" w:fill="auto"/>
            <w:noWrap/>
            <w:vAlign w:val="center"/>
            <w:hideMark/>
          </w:tcPr>
          <w:p w14:paraId="54CF05A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1.04 (1-1.07)</w:t>
            </w:r>
          </w:p>
        </w:tc>
        <w:tc>
          <w:tcPr>
            <w:tcW w:w="1150" w:type="dxa"/>
            <w:tcBorders>
              <w:top w:val="single" w:sz="4" w:space="0" w:color="auto"/>
            </w:tcBorders>
            <w:shd w:val="clear" w:color="auto" w:fill="auto"/>
            <w:noWrap/>
            <w:vAlign w:val="center"/>
            <w:hideMark/>
          </w:tcPr>
          <w:p w14:paraId="2518613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0.047</w:t>
            </w:r>
          </w:p>
        </w:tc>
        <w:tc>
          <w:tcPr>
            <w:tcW w:w="2003" w:type="dxa"/>
            <w:tcBorders>
              <w:top w:val="single" w:sz="4" w:space="0" w:color="auto"/>
            </w:tcBorders>
            <w:shd w:val="clear" w:color="auto" w:fill="auto"/>
            <w:noWrap/>
            <w:vAlign w:val="center"/>
            <w:hideMark/>
          </w:tcPr>
          <w:p w14:paraId="3355248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1.04 (1-1.08)</w:t>
            </w:r>
          </w:p>
        </w:tc>
      </w:tr>
      <w:tr w:rsidR="00AF5651" w:rsidRPr="00982AA9" w14:paraId="78D40B7A" w14:textId="77777777" w:rsidTr="00AF5651">
        <w:trPr>
          <w:trHeight w:val="360"/>
        </w:trPr>
        <w:tc>
          <w:tcPr>
            <w:tcW w:w="3124" w:type="dxa"/>
            <w:shd w:val="clear" w:color="auto" w:fill="auto"/>
            <w:vAlign w:val="bottom"/>
            <w:hideMark/>
          </w:tcPr>
          <w:p w14:paraId="70EC69C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 xml:space="preserve">BMI </w:t>
            </w:r>
            <w:r w:rsidR="001B53EF" w:rsidRPr="00982AA9">
              <w:rPr>
                <w:rFonts w:ascii="Book Antiqua" w:hAnsi="Book Antiqua"/>
                <w:color w:val="000000" w:themeColor="text1"/>
              </w:rPr>
              <w:t>c</w:t>
            </w:r>
            <w:r w:rsidRPr="00982AA9">
              <w:rPr>
                <w:rFonts w:ascii="Book Antiqua" w:hAnsi="Book Antiqua"/>
                <w:color w:val="000000" w:themeColor="text1"/>
              </w:rPr>
              <w:t>ategory</w:t>
            </w:r>
          </w:p>
        </w:tc>
        <w:tc>
          <w:tcPr>
            <w:tcW w:w="1717" w:type="dxa"/>
            <w:shd w:val="clear" w:color="auto" w:fill="auto"/>
            <w:noWrap/>
            <w:vAlign w:val="center"/>
            <w:hideMark/>
          </w:tcPr>
          <w:p w14:paraId="38A2AC45"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noWrap/>
            <w:vAlign w:val="center"/>
            <w:hideMark/>
          </w:tcPr>
          <w:p w14:paraId="53B796BA"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451E383C" w14:textId="77777777" w:rsidR="00AF5651" w:rsidRPr="00982AA9" w:rsidRDefault="00AF5651" w:rsidP="00982AA9">
            <w:pPr>
              <w:spacing w:line="360" w:lineRule="auto"/>
              <w:jc w:val="both"/>
              <w:rPr>
                <w:rFonts w:ascii="Book Antiqua" w:hAnsi="Book Antiqua"/>
                <w:color w:val="000000" w:themeColor="text1"/>
                <w:lang w:eastAsia="zh-CN"/>
              </w:rPr>
            </w:pPr>
          </w:p>
        </w:tc>
        <w:tc>
          <w:tcPr>
            <w:tcW w:w="1710" w:type="dxa"/>
            <w:tcBorders>
              <w:top w:val="nil"/>
            </w:tcBorders>
            <w:shd w:val="clear" w:color="auto" w:fill="auto"/>
            <w:noWrap/>
            <w:vAlign w:val="center"/>
            <w:hideMark/>
          </w:tcPr>
          <w:p w14:paraId="33602765"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tcBorders>
            <w:shd w:val="clear" w:color="auto" w:fill="auto"/>
            <w:noWrap/>
            <w:vAlign w:val="center"/>
            <w:hideMark/>
          </w:tcPr>
          <w:p w14:paraId="0AD4201E"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noWrap/>
            <w:vAlign w:val="center"/>
            <w:hideMark/>
          </w:tcPr>
          <w:p w14:paraId="06E0CAE3"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7A8D3111" w14:textId="77777777" w:rsidTr="00AF5651">
        <w:trPr>
          <w:trHeight w:val="360"/>
        </w:trPr>
        <w:tc>
          <w:tcPr>
            <w:tcW w:w="3124" w:type="dxa"/>
            <w:shd w:val="clear" w:color="auto" w:fill="auto"/>
            <w:vAlign w:val="bottom"/>
            <w:hideMark/>
          </w:tcPr>
          <w:p w14:paraId="79C93D2E"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Normal (&lt;</w:t>
            </w:r>
            <w:r w:rsidRPr="00982AA9">
              <w:rPr>
                <w:rFonts w:ascii="Book Antiqua" w:hAnsi="Book Antiqua"/>
                <w:color w:val="000000" w:themeColor="text1"/>
                <w:lang w:eastAsia="zh-CN"/>
              </w:rPr>
              <w:t xml:space="preserve"> </w:t>
            </w:r>
            <w:r w:rsidRPr="00982AA9">
              <w:rPr>
                <w:rFonts w:ascii="Book Antiqua" w:hAnsi="Book Antiqua"/>
                <w:color w:val="000000" w:themeColor="text1"/>
              </w:rPr>
              <w:t>25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vAlign w:val="center"/>
            <w:hideMark/>
          </w:tcPr>
          <w:p w14:paraId="383D0346"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w:t>
            </w:r>
          </w:p>
        </w:tc>
        <w:tc>
          <w:tcPr>
            <w:tcW w:w="960" w:type="dxa"/>
            <w:shd w:val="clear" w:color="auto" w:fill="auto"/>
            <w:vAlign w:val="center"/>
            <w:hideMark/>
          </w:tcPr>
          <w:p w14:paraId="17B36E1F"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59945EFF"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0.018</w:t>
            </w:r>
          </w:p>
        </w:tc>
        <w:tc>
          <w:tcPr>
            <w:tcW w:w="1710" w:type="dxa"/>
            <w:tcBorders>
              <w:top w:val="nil"/>
            </w:tcBorders>
            <w:shd w:val="clear" w:color="auto" w:fill="auto"/>
            <w:noWrap/>
            <w:vAlign w:val="center"/>
            <w:hideMark/>
          </w:tcPr>
          <w:p w14:paraId="2C0D3E4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1.00 (ref)</w:t>
            </w:r>
          </w:p>
        </w:tc>
        <w:tc>
          <w:tcPr>
            <w:tcW w:w="1150" w:type="dxa"/>
            <w:tcBorders>
              <w:top w:val="nil"/>
            </w:tcBorders>
            <w:shd w:val="clear" w:color="auto" w:fill="auto"/>
            <w:vAlign w:val="center"/>
            <w:hideMark/>
          </w:tcPr>
          <w:p w14:paraId="131AAA8C"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010D694C"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416E81EC" w14:textId="77777777" w:rsidTr="00AF5651">
        <w:trPr>
          <w:trHeight w:val="360"/>
        </w:trPr>
        <w:tc>
          <w:tcPr>
            <w:tcW w:w="3124" w:type="dxa"/>
            <w:shd w:val="clear" w:color="auto" w:fill="auto"/>
            <w:vAlign w:val="bottom"/>
            <w:hideMark/>
          </w:tcPr>
          <w:p w14:paraId="15A05CAE"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Overweight (25-29.99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noWrap/>
            <w:vAlign w:val="center"/>
            <w:hideMark/>
          </w:tcPr>
          <w:p w14:paraId="441035D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0.794</w:t>
            </w:r>
          </w:p>
        </w:tc>
        <w:tc>
          <w:tcPr>
            <w:tcW w:w="960" w:type="dxa"/>
            <w:shd w:val="clear" w:color="auto" w:fill="auto"/>
            <w:noWrap/>
            <w:vAlign w:val="center"/>
            <w:hideMark/>
          </w:tcPr>
          <w:p w14:paraId="3CEE162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0.417</w:t>
            </w:r>
          </w:p>
        </w:tc>
        <w:tc>
          <w:tcPr>
            <w:tcW w:w="960" w:type="dxa"/>
            <w:tcBorders>
              <w:top w:val="nil"/>
              <w:left w:val="nil"/>
            </w:tcBorders>
            <w:shd w:val="clear" w:color="auto" w:fill="auto"/>
            <w:noWrap/>
            <w:vAlign w:val="center"/>
            <w:hideMark/>
          </w:tcPr>
          <w:p w14:paraId="14D5A87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0.057</w:t>
            </w:r>
          </w:p>
        </w:tc>
        <w:tc>
          <w:tcPr>
            <w:tcW w:w="1710" w:type="dxa"/>
            <w:tcBorders>
              <w:top w:val="nil"/>
            </w:tcBorders>
            <w:shd w:val="clear" w:color="auto" w:fill="auto"/>
            <w:noWrap/>
            <w:vAlign w:val="center"/>
            <w:hideMark/>
          </w:tcPr>
          <w:p w14:paraId="63ACE18D"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2.21 (0.98-5)</w:t>
            </w:r>
          </w:p>
        </w:tc>
        <w:tc>
          <w:tcPr>
            <w:tcW w:w="1150" w:type="dxa"/>
            <w:tcBorders>
              <w:top w:val="nil"/>
            </w:tcBorders>
            <w:shd w:val="clear" w:color="auto" w:fill="auto"/>
            <w:noWrap/>
            <w:vAlign w:val="center"/>
            <w:hideMark/>
          </w:tcPr>
          <w:p w14:paraId="7A55D5E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0.042</w:t>
            </w:r>
          </w:p>
        </w:tc>
        <w:tc>
          <w:tcPr>
            <w:tcW w:w="2003" w:type="dxa"/>
            <w:tcBorders>
              <w:top w:val="nil"/>
            </w:tcBorders>
            <w:shd w:val="clear" w:color="auto" w:fill="auto"/>
            <w:noWrap/>
            <w:vAlign w:val="center"/>
            <w:hideMark/>
          </w:tcPr>
          <w:p w14:paraId="49FB1C0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2.21 (1.09-6.49)</w:t>
            </w:r>
          </w:p>
        </w:tc>
      </w:tr>
      <w:tr w:rsidR="00AF5651" w:rsidRPr="00982AA9" w14:paraId="6F642DC6" w14:textId="77777777" w:rsidTr="00AF5651">
        <w:trPr>
          <w:trHeight w:val="360"/>
        </w:trPr>
        <w:tc>
          <w:tcPr>
            <w:tcW w:w="3124" w:type="dxa"/>
            <w:shd w:val="clear" w:color="auto" w:fill="auto"/>
            <w:vAlign w:val="bottom"/>
            <w:hideMark/>
          </w:tcPr>
          <w:p w14:paraId="477B049D"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Obese (≥</w:t>
            </w:r>
            <w:r w:rsidR="001B53EF">
              <w:rPr>
                <w:rFonts w:ascii="Book Antiqua" w:hAnsi="Book Antiqua"/>
                <w:color w:val="000000" w:themeColor="text1"/>
              </w:rPr>
              <w:t xml:space="preserve"> </w:t>
            </w:r>
            <w:r w:rsidRPr="00982AA9">
              <w:rPr>
                <w:rFonts w:ascii="Book Antiqua" w:hAnsi="Book Antiqua"/>
                <w:color w:val="000000" w:themeColor="text1"/>
              </w:rPr>
              <w:t>30 kg/m</w:t>
            </w:r>
            <w:r w:rsidRPr="00982AA9">
              <w:rPr>
                <w:rFonts w:ascii="Book Antiqua" w:hAnsi="Book Antiqua"/>
                <w:color w:val="000000" w:themeColor="text1"/>
                <w:vertAlign w:val="superscript"/>
              </w:rPr>
              <w:t>2</w:t>
            </w:r>
            <w:r w:rsidRPr="00982AA9">
              <w:rPr>
                <w:rFonts w:ascii="Book Antiqua" w:hAnsi="Book Antiqua"/>
                <w:color w:val="000000" w:themeColor="text1"/>
              </w:rPr>
              <w:t>)</w:t>
            </w:r>
          </w:p>
        </w:tc>
        <w:tc>
          <w:tcPr>
            <w:tcW w:w="1717" w:type="dxa"/>
            <w:shd w:val="clear" w:color="auto" w:fill="auto"/>
            <w:noWrap/>
            <w:vAlign w:val="center"/>
            <w:hideMark/>
          </w:tcPr>
          <w:p w14:paraId="556CD89F"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1.265</w:t>
            </w:r>
          </w:p>
        </w:tc>
        <w:tc>
          <w:tcPr>
            <w:tcW w:w="960" w:type="dxa"/>
            <w:shd w:val="clear" w:color="auto" w:fill="auto"/>
            <w:noWrap/>
            <w:vAlign w:val="center"/>
            <w:hideMark/>
          </w:tcPr>
          <w:p w14:paraId="4BBF209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0.447</w:t>
            </w:r>
          </w:p>
        </w:tc>
        <w:tc>
          <w:tcPr>
            <w:tcW w:w="960" w:type="dxa"/>
            <w:tcBorders>
              <w:top w:val="nil"/>
              <w:left w:val="nil"/>
            </w:tcBorders>
            <w:shd w:val="clear" w:color="auto" w:fill="auto"/>
            <w:noWrap/>
            <w:vAlign w:val="center"/>
            <w:hideMark/>
          </w:tcPr>
          <w:p w14:paraId="7E51BF47"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0.005</w:t>
            </w:r>
          </w:p>
        </w:tc>
        <w:tc>
          <w:tcPr>
            <w:tcW w:w="1710" w:type="dxa"/>
            <w:tcBorders>
              <w:top w:val="nil"/>
            </w:tcBorders>
            <w:shd w:val="clear" w:color="auto" w:fill="auto"/>
            <w:noWrap/>
            <w:vAlign w:val="center"/>
            <w:hideMark/>
          </w:tcPr>
          <w:p w14:paraId="21240E1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3.54 (1.48-8.51)</w:t>
            </w:r>
          </w:p>
        </w:tc>
        <w:tc>
          <w:tcPr>
            <w:tcW w:w="1150" w:type="dxa"/>
            <w:tcBorders>
              <w:top w:val="nil"/>
            </w:tcBorders>
            <w:shd w:val="clear" w:color="auto" w:fill="auto"/>
            <w:noWrap/>
            <w:vAlign w:val="center"/>
            <w:hideMark/>
          </w:tcPr>
          <w:p w14:paraId="7F3E4A2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0.004</w:t>
            </w:r>
          </w:p>
        </w:tc>
        <w:tc>
          <w:tcPr>
            <w:tcW w:w="2003" w:type="dxa"/>
            <w:tcBorders>
              <w:top w:val="nil"/>
            </w:tcBorders>
            <w:shd w:val="clear" w:color="auto" w:fill="auto"/>
            <w:noWrap/>
            <w:vAlign w:val="center"/>
            <w:hideMark/>
          </w:tcPr>
          <w:p w14:paraId="13B05972"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3.54 (1.5-11.32)</w:t>
            </w:r>
          </w:p>
        </w:tc>
      </w:tr>
      <w:tr w:rsidR="00AF5651" w:rsidRPr="00982AA9" w14:paraId="60FC012B" w14:textId="77777777" w:rsidTr="00AF5651">
        <w:trPr>
          <w:trHeight w:val="360"/>
        </w:trPr>
        <w:tc>
          <w:tcPr>
            <w:tcW w:w="3124" w:type="dxa"/>
            <w:shd w:val="clear" w:color="auto" w:fill="auto"/>
            <w:vAlign w:val="bottom"/>
            <w:hideMark/>
          </w:tcPr>
          <w:p w14:paraId="713CEA1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Smoking (packyears)</w:t>
            </w:r>
          </w:p>
        </w:tc>
        <w:tc>
          <w:tcPr>
            <w:tcW w:w="1717" w:type="dxa"/>
            <w:shd w:val="clear" w:color="auto" w:fill="auto"/>
            <w:vAlign w:val="center"/>
            <w:hideMark/>
          </w:tcPr>
          <w:p w14:paraId="48ED09DC"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vAlign w:val="center"/>
            <w:hideMark/>
          </w:tcPr>
          <w:p w14:paraId="48A01BDB"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41597FB8" w14:textId="77777777" w:rsidR="00AF5651" w:rsidRPr="00982AA9" w:rsidRDefault="00AF5651" w:rsidP="00982AA9">
            <w:pPr>
              <w:spacing w:line="360" w:lineRule="auto"/>
              <w:jc w:val="both"/>
              <w:rPr>
                <w:rFonts w:ascii="Book Antiqua" w:hAnsi="Book Antiqua"/>
                <w:color w:val="000000" w:themeColor="text1"/>
                <w:lang w:eastAsia="zh-CN"/>
              </w:rPr>
            </w:pPr>
          </w:p>
        </w:tc>
        <w:tc>
          <w:tcPr>
            <w:tcW w:w="1710" w:type="dxa"/>
            <w:tcBorders>
              <w:top w:val="nil"/>
            </w:tcBorders>
            <w:shd w:val="clear" w:color="auto" w:fill="auto"/>
            <w:noWrap/>
            <w:vAlign w:val="center"/>
            <w:hideMark/>
          </w:tcPr>
          <w:p w14:paraId="2185838C"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tcBorders>
            <w:shd w:val="clear" w:color="auto" w:fill="auto"/>
            <w:vAlign w:val="center"/>
            <w:hideMark/>
          </w:tcPr>
          <w:p w14:paraId="1A145333"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18C88DFE"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45EFAF3F" w14:textId="77777777" w:rsidTr="00AF5651">
        <w:trPr>
          <w:trHeight w:val="360"/>
        </w:trPr>
        <w:tc>
          <w:tcPr>
            <w:tcW w:w="3124" w:type="dxa"/>
            <w:shd w:val="clear" w:color="auto" w:fill="auto"/>
            <w:vAlign w:val="bottom"/>
            <w:hideMark/>
          </w:tcPr>
          <w:p w14:paraId="3EC5BBCB"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No</w:t>
            </w:r>
          </w:p>
        </w:tc>
        <w:tc>
          <w:tcPr>
            <w:tcW w:w="1717" w:type="dxa"/>
            <w:shd w:val="clear" w:color="auto" w:fill="auto"/>
            <w:vAlign w:val="center"/>
            <w:hideMark/>
          </w:tcPr>
          <w:p w14:paraId="42C2272C"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shd w:val="clear" w:color="auto" w:fill="auto"/>
            <w:vAlign w:val="center"/>
            <w:hideMark/>
          </w:tcPr>
          <w:p w14:paraId="2D65A751" w14:textId="77777777" w:rsidR="00AF5651" w:rsidRPr="00982AA9" w:rsidRDefault="00AF5651" w:rsidP="00982AA9">
            <w:pPr>
              <w:spacing w:line="360" w:lineRule="auto"/>
              <w:jc w:val="both"/>
              <w:rPr>
                <w:rFonts w:ascii="Book Antiqua" w:hAnsi="Book Antiqua"/>
                <w:color w:val="000000" w:themeColor="text1"/>
                <w:lang w:eastAsia="zh-CN"/>
              </w:rPr>
            </w:pPr>
          </w:p>
        </w:tc>
        <w:tc>
          <w:tcPr>
            <w:tcW w:w="960" w:type="dxa"/>
            <w:tcBorders>
              <w:top w:val="nil"/>
              <w:left w:val="nil"/>
            </w:tcBorders>
            <w:shd w:val="clear" w:color="auto" w:fill="auto"/>
            <w:noWrap/>
            <w:vAlign w:val="center"/>
            <w:hideMark/>
          </w:tcPr>
          <w:p w14:paraId="2FD08A3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0.002</w:t>
            </w:r>
          </w:p>
        </w:tc>
        <w:tc>
          <w:tcPr>
            <w:tcW w:w="1710" w:type="dxa"/>
            <w:tcBorders>
              <w:top w:val="nil"/>
            </w:tcBorders>
            <w:shd w:val="clear" w:color="auto" w:fill="auto"/>
            <w:noWrap/>
            <w:vAlign w:val="center"/>
            <w:hideMark/>
          </w:tcPr>
          <w:p w14:paraId="6E535E3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1.00 (ref)</w:t>
            </w:r>
          </w:p>
        </w:tc>
        <w:tc>
          <w:tcPr>
            <w:tcW w:w="1150" w:type="dxa"/>
            <w:tcBorders>
              <w:top w:val="nil"/>
            </w:tcBorders>
            <w:shd w:val="clear" w:color="auto" w:fill="auto"/>
            <w:vAlign w:val="center"/>
            <w:hideMark/>
          </w:tcPr>
          <w:p w14:paraId="0F53001D" w14:textId="77777777" w:rsidR="00AF5651" w:rsidRPr="00982AA9" w:rsidRDefault="00AF5651" w:rsidP="00982AA9">
            <w:pPr>
              <w:spacing w:line="360" w:lineRule="auto"/>
              <w:jc w:val="both"/>
              <w:rPr>
                <w:rFonts w:ascii="Book Antiqua" w:hAnsi="Book Antiqua"/>
                <w:color w:val="000000" w:themeColor="text1"/>
                <w:lang w:eastAsia="zh-CN"/>
              </w:rPr>
            </w:pPr>
          </w:p>
        </w:tc>
        <w:tc>
          <w:tcPr>
            <w:tcW w:w="2003" w:type="dxa"/>
            <w:tcBorders>
              <w:top w:val="nil"/>
            </w:tcBorders>
            <w:shd w:val="clear" w:color="auto" w:fill="auto"/>
            <w:vAlign w:val="center"/>
            <w:hideMark/>
          </w:tcPr>
          <w:p w14:paraId="7E38039E" w14:textId="77777777" w:rsidR="00AF5651" w:rsidRPr="00982AA9" w:rsidRDefault="00AF5651" w:rsidP="00982AA9">
            <w:pPr>
              <w:spacing w:line="360" w:lineRule="auto"/>
              <w:jc w:val="both"/>
              <w:rPr>
                <w:rFonts w:ascii="Book Antiqua" w:hAnsi="Book Antiqua"/>
                <w:color w:val="000000" w:themeColor="text1"/>
                <w:lang w:eastAsia="zh-CN"/>
              </w:rPr>
            </w:pPr>
          </w:p>
        </w:tc>
      </w:tr>
      <w:tr w:rsidR="00AF5651" w:rsidRPr="00982AA9" w14:paraId="2DF4DEBE" w14:textId="77777777" w:rsidTr="00AF5651">
        <w:trPr>
          <w:trHeight w:val="360"/>
        </w:trPr>
        <w:tc>
          <w:tcPr>
            <w:tcW w:w="3124" w:type="dxa"/>
            <w:shd w:val="clear" w:color="auto" w:fill="auto"/>
            <w:vAlign w:val="bottom"/>
            <w:hideMark/>
          </w:tcPr>
          <w:p w14:paraId="1722DEA1"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&lt;</w:t>
            </w:r>
            <w:r w:rsidRPr="00982AA9">
              <w:rPr>
                <w:rFonts w:ascii="Book Antiqua" w:hAnsi="Book Antiqua"/>
                <w:color w:val="000000" w:themeColor="text1"/>
                <w:lang w:eastAsia="zh-CN"/>
              </w:rPr>
              <w:t xml:space="preserve"> </w:t>
            </w:r>
            <w:r w:rsidRPr="00982AA9">
              <w:rPr>
                <w:rFonts w:ascii="Book Antiqua" w:hAnsi="Book Antiqua"/>
                <w:color w:val="000000" w:themeColor="text1"/>
              </w:rPr>
              <w:t>40 packyears</w:t>
            </w:r>
          </w:p>
        </w:tc>
        <w:tc>
          <w:tcPr>
            <w:tcW w:w="1717" w:type="dxa"/>
            <w:shd w:val="clear" w:color="auto" w:fill="auto"/>
            <w:noWrap/>
            <w:vAlign w:val="center"/>
            <w:hideMark/>
          </w:tcPr>
          <w:p w14:paraId="2FC378B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0.697</w:t>
            </w:r>
          </w:p>
        </w:tc>
        <w:tc>
          <w:tcPr>
            <w:tcW w:w="960" w:type="dxa"/>
            <w:shd w:val="clear" w:color="auto" w:fill="auto"/>
            <w:noWrap/>
            <w:vAlign w:val="center"/>
            <w:hideMark/>
          </w:tcPr>
          <w:p w14:paraId="78F9EC99"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0.353</w:t>
            </w:r>
          </w:p>
        </w:tc>
        <w:tc>
          <w:tcPr>
            <w:tcW w:w="960" w:type="dxa"/>
            <w:tcBorders>
              <w:top w:val="nil"/>
              <w:left w:val="nil"/>
            </w:tcBorders>
            <w:shd w:val="clear" w:color="auto" w:fill="auto"/>
            <w:noWrap/>
            <w:vAlign w:val="center"/>
            <w:hideMark/>
          </w:tcPr>
          <w:p w14:paraId="26F6A2A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1710" w:type="dxa"/>
            <w:tcBorders>
              <w:top w:val="nil"/>
            </w:tcBorders>
            <w:shd w:val="clear" w:color="auto" w:fill="auto"/>
            <w:noWrap/>
            <w:vAlign w:val="center"/>
            <w:hideMark/>
          </w:tcPr>
          <w:p w14:paraId="5ECB41FA"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2.01 (1.01-4.01)</w:t>
            </w:r>
          </w:p>
        </w:tc>
        <w:tc>
          <w:tcPr>
            <w:tcW w:w="1150" w:type="dxa"/>
            <w:tcBorders>
              <w:top w:val="nil"/>
            </w:tcBorders>
            <w:shd w:val="clear" w:color="auto" w:fill="auto"/>
            <w:noWrap/>
            <w:vAlign w:val="center"/>
            <w:hideMark/>
          </w:tcPr>
          <w:p w14:paraId="36AEF514"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0.048</w:t>
            </w:r>
          </w:p>
        </w:tc>
        <w:tc>
          <w:tcPr>
            <w:tcW w:w="2003" w:type="dxa"/>
            <w:tcBorders>
              <w:top w:val="nil"/>
            </w:tcBorders>
            <w:shd w:val="clear" w:color="auto" w:fill="auto"/>
            <w:noWrap/>
            <w:vAlign w:val="center"/>
            <w:hideMark/>
          </w:tcPr>
          <w:p w14:paraId="70FCD14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2.01 (0.95-4.37)</w:t>
            </w:r>
          </w:p>
        </w:tc>
      </w:tr>
      <w:tr w:rsidR="00AF5651" w:rsidRPr="00982AA9" w14:paraId="6A2D9BD5" w14:textId="77777777" w:rsidTr="00AF5651">
        <w:trPr>
          <w:trHeight w:val="360"/>
        </w:trPr>
        <w:tc>
          <w:tcPr>
            <w:tcW w:w="3124" w:type="dxa"/>
            <w:shd w:val="clear" w:color="auto" w:fill="auto"/>
            <w:vAlign w:val="bottom"/>
            <w:hideMark/>
          </w:tcPr>
          <w:p w14:paraId="2611EBFA" w14:textId="77777777" w:rsidR="00AF5651" w:rsidRPr="00982AA9" w:rsidRDefault="00AF5651" w:rsidP="001B53EF">
            <w:pPr>
              <w:spacing w:line="360" w:lineRule="auto"/>
              <w:ind w:firstLineChars="100" w:firstLine="240"/>
              <w:jc w:val="both"/>
              <w:rPr>
                <w:rFonts w:ascii="Book Antiqua" w:hAnsi="Book Antiqua"/>
                <w:color w:val="000000" w:themeColor="text1"/>
              </w:rPr>
            </w:pPr>
            <w:r w:rsidRPr="00982AA9">
              <w:rPr>
                <w:rFonts w:ascii="Book Antiqua" w:hAnsi="Book Antiqua"/>
                <w:color w:val="000000" w:themeColor="text1"/>
              </w:rPr>
              <w:t>≥</w:t>
            </w:r>
            <w:r w:rsidRPr="00982AA9">
              <w:rPr>
                <w:rFonts w:ascii="Book Antiqua" w:hAnsi="Book Antiqua"/>
                <w:color w:val="000000" w:themeColor="text1"/>
                <w:lang w:eastAsia="zh-CN"/>
              </w:rPr>
              <w:t xml:space="preserve"> </w:t>
            </w:r>
            <w:r w:rsidRPr="00982AA9">
              <w:rPr>
                <w:rFonts w:ascii="Book Antiqua" w:hAnsi="Book Antiqua"/>
                <w:color w:val="000000" w:themeColor="text1"/>
              </w:rPr>
              <w:t>40 packyears</w:t>
            </w:r>
          </w:p>
        </w:tc>
        <w:tc>
          <w:tcPr>
            <w:tcW w:w="1717" w:type="dxa"/>
            <w:shd w:val="clear" w:color="auto" w:fill="auto"/>
            <w:noWrap/>
            <w:vAlign w:val="center"/>
            <w:hideMark/>
          </w:tcPr>
          <w:p w14:paraId="18969E34"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1.376</w:t>
            </w:r>
          </w:p>
        </w:tc>
        <w:tc>
          <w:tcPr>
            <w:tcW w:w="960" w:type="dxa"/>
            <w:shd w:val="clear" w:color="auto" w:fill="auto"/>
            <w:noWrap/>
            <w:vAlign w:val="center"/>
            <w:hideMark/>
          </w:tcPr>
          <w:p w14:paraId="653FF63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0.385</w:t>
            </w:r>
          </w:p>
        </w:tc>
        <w:tc>
          <w:tcPr>
            <w:tcW w:w="960" w:type="dxa"/>
            <w:tcBorders>
              <w:top w:val="nil"/>
              <w:left w:val="nil"/>
            </w:tcBorders>
            <w:shd w:val="clear" w:color="auto" w:fill="auto"/>
            <w:noWrap/>
            <w:vAlign w:val="center"/>
            <w:hideMark/>
          </w:tcPr>
          <w:p w14:paraId="61D4DD0A"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0.000</w:t>
            </w:r>
          </w:p>
        </w:tc>
        <w:tc>
          <w:tcPr>
            <w:tcW w:w="1710" w:type="dxa"/>
            <w:tcBorders>
              <w:top w:val="nil"/>
            </w:tcBorders>
            <w:shd w:val="clear" w:color="auto" w:fill="auto"/>
            <w:noWrap/>
            <w:vAlign w:val="center"/>
            <w:hideMark/>
          </w:tcPr>
          <w:p w14:paraId="3E30B2A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3.96 (1.86-8.42)</w:t>
            </w:r>
          </w:p>
        </w:tc>
        <w:tc>
          <w:tcPr>
            <w:tcW w:w="1150" w:type="dxa"/>
            <w:tcBorders>
              <w:top w:val="nil"/>
            </w:tcBorders>
            <w:shd w:val="clear" w:color="auto" w:fill="auto"/>
            <w:noWrap/>
            <w:vAlign w:val="center"/>
            <w:hideMark/>
          </w:tcPr>
          <w:p w14:paraId="6D42B1B1"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0.001</w:t>
            </w:r>
          </w:p>
        </w:tc>
        <w:tc>
          <w:tcPr>
            <w:tcW w:w="2003" w:type="dxa"/>
            <w:tcBorders>
              <w:top w:val="nil"/>
            </w:tcBorders>
            <w:shd w:val="clear" w:color="auto" w:fill="auto"/>
            <w:noWrap/>
            <w:vAlign w:val="center"/>
            <w:hideMark/>
          </w:tcPr>
          <w:p w14:paraId="32A7CB4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3.96 (1.78-9.24)</w:t>
            </w:r>
          </w:p>
        </w:tc>
      </w:tr>
      <w:tr w:rsidR="00AF5651" w:rsidRPr="00982AA9" w14:paraId="6D236950" w14:textId="77777777" w:rsidTr="001B53EF">
        <w:trPr>
          <w:trHeight w:val="360"/>
        </w:trPr>
        <w:tc>
          <w:tcPr>
            <w:tcW w:w="3124" w:type="dxa"/>
            <w:shd w:val="clear" w:color="auto" w:fill="auto"/>
            <w:vAlign w:val="bottom"/>
            <w:hideMark/>
          </w:tcPr>
          <w:p w14:paraId="72C03A0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Daily red meat</w:t>
            </w:r>
          </w:p>
        </w:tc>
        <w:tc>
          <w:tcPr>
            <w:tcW w:w="1717" w:type="dxa"/>
            <w:shd w:val="clear" w:color="auto" w:fill="auto"/>
            <w:noWrap/>
            <w:vAlign w:val="center"/>
            <w:hideMark/>
          </w:tcPr>
          <w:p w14:paraId="538018B5"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0.702</w:t>
            </w:r>
          </w:p>
        </w:tc>
        <w:tc>
          <w:tcPr>
            <w:tcW w:w="960" w:type="dxa"/>
            <w:shd w:val="clear" w:color="auto" w:fill="auto"/>
            <w:noWrap/>
            <w:vAlign w:val="center"/>
            <w:hideMark/>
          </w:tcPr>
          <w:p w14:paraId="7440A7B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0.400</w:t>
            </w:r>
          </w:p>
        </w:tc>
        <w:tc>
          <w:tcPr>
            <w:tcW w:w="960" w:type="dxa"/>
            <w:tcBorders>
              <w:top w:val="nil"/>
              <w:left w:val="nil"/>
            </w:tcBorders>
            <w:shd w:val="clear" w:color="auto" w:fill="auto"/>
            <w:noWrap/>
            <w:vAlign w:val="center"/>
            <w:hideMark/>
          </w:tcPr>
          <w:p w14:paraId="6F6E76F6"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0.079</w:t>
            </w:r>
          </w:p>
        </w:tc>
        <w:tc>
          <w:tcPr>
            <w:tcW w:w="1710" w:type="dxa"/>
            <w:tcBorders>
              <w:top w:val="nil"/>
            </w:tcBorders>
            <w:shd w:val="clear" w:color="auto" w:fill="auto"/>
            <w:noWrap/>
            <w:vAlign w:val="center"/>
            <w:hideMark/>
          </w:tcPr>
          <w:p w14:paraId="7BD69BCC"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2.02 (0.92-4.42)</w:t>
            </w:r>
          </w:p>
        </w:tc>
        <w:tc>
          <w:tcPr>
            <w:tcW w:w="1150" w:type="dxa"/>
            <w:tcBorders>
              <w:top w:val="nil"/>
            </w:tcBorders>
            <w:shd w:val="clear" w:color="auto" w:fill="auto"/>
            <w:noWrap/>
            <w:vAlign w:val="center"/>
            <w:hideMark/>
          </w:tcPr>
          <w:p w14:paraId="7323D89E"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0.082</w:t>
            </w:r>
          </w:p>
        </w:tc>
        <w:tc>
          <w:tcPr>
            <w:tcW w:w="2003" w:type="dxa"/>
            <w:tcBorders>
              <w:top w:val="nil"/>
            </w:tcBorders>
            <w:shd w:val="clear" w:color="auto" w:fill="auto"/>
            <w:noWrap/>
            <w:vAlign w:val="center"/>
            <w:hideMark/>
          </w:tcPr>
          <w:p w14:paraId="413A1AD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2.02 (0.72-4.41)</w:t>
            </w:r>
          </w:p>
        </w:tc>
      </w:tr>
      <w:tr w:rsidR="00AF5651" w:rsidRPr="00982AA9" w14:paraId="7EB9C8CC" w14:textId="77777777" w:rsidTr="001B53EF">
        <w:trPr>
          <w:trHeight w:val="360"/>
        </w:trPr>
        <w:tc>
          <w:tcPr>
            <w:tcW w:w="3124" w:type="dxa"/>
            <w:tcBorders>
              <w:bottom w:val="single" w:sz="4" w:space="0" w:color="auto"/>
            </w:tcBorders>
            <w:shd w:val="clear" w:color="auto" w:fill="auto"/>
            <w:vAlign w:val="bottom"/>
            <w:hideMark/>
          </w:tcPr>
          <w:p w14:paraId="028C1468"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Constant</w:t>
            </w:r>
          </w:p>
        </w:tc>
        <w:tc>
          <w:tcPr>
            <w:tcW w:w="1717" w:type="dxa"/>
            <w:tcBorders>
              <w:bottom w:val="single" w:sz="4" w:space="0" w:color="auto"/>
            </w:tcBorders>
            <w:shd w:val="clear" w:color="auto" w:fill="auto"/>
            <w:noWrap/>
            <w:vAlign w:val="center"/>
            <w:hideMark/>
          </w:tcPr>
          <w:p w14:paraId="52F7947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-6.467</w:t>
            </w:r>
          </w:p>
        </w:tc>
        <w:tc>
          <w:tcPr>
            <w:tcW w:w="960" w:type="dxa"/>
            <w:tcBorders>
              <w:bottom w:val="single" w:sz="4" w:space="0" w:color="auto"/>
            </w:tcBorders>
            <w:shd w:val="clear" w:color="auto" w:fill="auto"/>
            <w:noWrap/>
            <w:vAlign w:val="center"/>
            <w:hideMark/>
          </w:tcPr>
          <w:p w14:paraId="7F06E23B"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1.213</w:t>
            </w:r>
          </w:p>
        </w:tc>
        <w:tc>
          <w:tcPr>
            <w:tcW w:w="960" w:type="dxa"/>
            <w:tcBorders>
              <w:top w:val="nil"/>
              <w:left w:val="nil"/>
              <w:bottom w:val="single" w:sz="4" w:space="0" w:color="auto"/>
            </w:tcBorders>
            <w:shd w:val="clear" w:color="auto" w:fill="auto"/>
            <w:noWrap/>
            <w:vAlign w:val="center"/>
            <w:hideMark/>
          </w:tcPr>
          <w:p w14:paraId="4621FC33"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0.000</w:t>
            </w:r>
          </w:p>
        </w:tc>
        <w:tc>
          <w:tcPr>
            <w:tcW w:w="1710" w:type="dxa"/>
            <w:tcBorders>
              <w:top w:val="nil"/>
              <w:bottom w:val="single" w:sz="4" w:space="0" w:color="auto"/>
            </w:tcBorders>
            <w:shd w:val="clear" w:color="auto" w:fill="auto"/>
            <w:noWrap/>
            <w:vAlign w:val="center"/>
            <w:hideMark/>
          </w:tcPr>
          <w:p w14:paraId="20D519A7" w14:textId="77777777" w:rsidR="00AF5651" w:rsidRPr="00982AA9" w:rsidRDefault="00AF5651" w:rsidP="00982AA9">
            <w:pPr>
              <w:spacing w:line="360" w:lineRule="auto"/>
              <w:jc w:val="both"/>
              <w:rPr>
                <w:rFonts w:ascii="Book Antiqua" w:hAnsi="Book Antiqua"/>
                <w:color w:val="000000" w:themeColor="text1"/>
                <w:lang w:eastAsia="zh-CN"/>
              </w:rPr>
            </w:pPr>
          </w:p>
        </w:tc>
        <w:tc>
          <w:tcPr>
            <w:tcW w:w="1150" w:type="dxa"/>
            <w:tcBorders>
              <w:top w:val="nil"/>
              <w:bottom w:val="single" w:sz="4" w:space="0" w:color="auto"/>
            </w:tcBorders>
            <w:shd w:val="clear" w:color="auto" w:fill="auto"/>
            <w:noWrap/>
            <w:vAlign w:val="center"/>
            <w:hideMark/>
          </w:tcPr>
          <w:p w14:paraId="2A45EF70" w14:textId="77777777" w:rsidR="00AF5651" w:rsidRPr="00982AA9" w:rsidRDefault="00AF5651" w:rsidP="00982AA9">
            <w:pPr>
              <w:spacing w:line="360" w:lineRule="auto"/>
              <w:jc w:val="both"/>
              <w:rPr>
                <w:rFonts w:ascii="Book Antiqua" w:hAnsi="Book Antiqua"/>
                <w:color w:val="000000" w:themeColor="text1"/>
              </w:rPr>
            </w:pPr>
            <w:r w:rsidRPr="00982AA9">
              <w:rPr>
                <w:rFonts w:ascii="Book Antiqua" w:hAnsi="Book Antiqua"/>
                <w:color w:val="000000" w:themeColor="text1"/>
              </w:rPr>
              <w:t>0.001</w:t>
            </w:r>
          </w:p>
        </w:tc>
        <w:tc>
          <w:tcPr>
            <w:tcW w:w="2003" w:type="dxa"/>
            <w:tcBorders>
              <w:top w:val="nil"/>
              <w:bottom w:val="single" w:sz="4" w:space="0" w:color="auto"/>
            </w:tcBorders>
            <w:shd w:val="clear" w:color="auto" w:fill="auto"/>
            <w:vAlign w:val="center"/>
            <w:hideMark/>
          </w:tcPr>
          <w:p w14:paraId="57FF785F" w14:textId="77777777" w:rsidR="00AF5651" w:rsidRPr="00982AA9" w:rsidRDefault="00AF5651" w:rsidP="00982AA9">
            <w:pPr>
              <w:spacing w:line="360" w:lineRule="auto"/>
              <w:jc w:val="both"/>
              <w:rPr>
                <w:rFonts w:ascii="Book Antiqua" w:hAnsi="Book Antiqua"/>
                <w:color w:val="000000" w:themeColor="text1"/>
                <w:lang w:eastAsia="zh-CN"/>
              </w:rPr>
            </w:pPr>
          </w:p>
        </w:tc>
      </w:tr>
    </w:tbl>
    <w:p w14:paraId="385936B7" w14:textId="77777777" w:rsidR="00AF5651" w:rsidRPr="00982AA9" w:rsidRDefault="008215BA" w:rsidP="00982AA9">
      <w:pPr>
        <w:spacing w:line="360" w:lineRule="auto"/>
        <w:jc w:val="both"/>
        <w:rPr>
          <w:rFonts w:ascii="Book Antiqua" w:hAnsi="Book Antiqua"/>
          <w:iCs/>
          <w:color w:val="000000" w:themeColor="text1"/>
          <w:lang w:eastAsia="zh-CN"/>
        </w:rPr>
      </w:pPr>
      <w:r w:rsidRPr="00982AA9">
        <w:rPr>
          <w:rFonts w:ascii="Book Antiqua" w:hAnsi="Book Antiqua"/>
          <w:iCs/>
          <w:color w:val="000000" w:themeColor="text1"/>
        </w:rPr>
        <w:t>S</w:t>
      </w:r>
      <w:r w:rsidR="00AF5651" w:rsidRPr="00982AA9">
        <w:rPr>
          <w:rFonts w:ascii="Book Antiqua" w:hAnsi="Book Antiqua"/>
          <w:iCs/>
          <w:color w:val="000000" w:themeColor="text1"/>
        </w:rPr>
        <w:t xml:space="preserve">E: </w:t>
      </w:r>
      <w:r w:rsidRPr="00982AA9">
        <w:rPr>
          <w:rFonts w:ascii="Book Antiqua" w:hAnsi="Book Antiqua"/>
          <w:iCs/>
          <w:color w:val="000000" w:themeColor="text1"/>
        </w:rPr>
        <w:t>S</w:t>
      </w:r>
      <w:r w:rsidR="00AF5651" w:rsidRPr="00982AA9">
        <w:rPr>
          <w:rFonts w:ascii="Book Antiqua" w:hAnsi="Book Antiqua"/>
          <w:iCs/>
          <w:color w:val="000000" w:themeColor="text1"/>
        </w:rPr>
        <w:t xml:space="preserve">tandard </w:t>
      </w:r>
      <w:r w:rsidRPr="00982AA9">
        <w:rPr>
          <w:rFonts w:ascii="Book Antiqua" w:hAnsi="Book Antiqua"/>
          <w:iCs/>
          <w:color w:val="000000" w:themeColor="text1"/>
        </w:rPr>
        <w:t>e</w:t>
      </w:r>
      <w:r w:rsidR="00AF5651" w:rsidRPr="00982AA9">
        <w:rPr>
          <w:rFonts w:ascii="Book Antiqua" w:hAnsi="Book Antiqua"/>
          <w:iCs/>
          <w:color w:val="000000" w:themeColor="text1"/>
        </w:rPr>
        <w:t xml:space="preserve">rror, OR: Odds </w:t>
      </w:r>
      <w:r w:rsidRPr="00982AA9">
        <w:rPr>
          <w:rFonts w:ascii="Book Antiqua" w:hAnsi="Book Antiqua"/>
          <w:iCs/>
          <w:color w:val="000000" w:themeColor="text1"/>
        </w:rPr>
        <w:t>r</w:t>
      </w:r>
      <w:r w:rsidR="00AF5651" w:rsidRPr="00982AA9">
        <w:rPr>
          <w:rFonts w:ascii="Book Antiqua" w:hAnsi="Book Antiqua"/>
          <w:iCs/>
          <w:color w:val="000000" w:themeColor="text1"/>
        </w:rPr>
        <w:t xml:space="preserve">atio, AOR: Adjusted </w:t>
      </w:r>
      <w:r w:rsidRPr="00982AA9">
        <w:rPr>
          <w:rFonts w:ascii="Book Antiqua" w:hAnsi="Book Antiqua"/>
          <w:iCs/>
          <w:color w:val="000000" w:themeColor="text1"/>
        </w:rPr>
        <w:t>o</w:t>
      </w:r>
      <w:r w:rsidR="00AF5651" w:rsidRPr="00982AA9">
        <w:rPr>
          <w:rFonts w:ascii="Book Antiqua" w:hAnsi="Book Antiqua"/>
          <w:iCs/>
          <w:color w:val="000000" w:themeColor="text1"/>
        </w:rPr>
        <w:t xml:space="preserve">dds </w:t>
      </w:r>
      <w:r w:rsidRPr="00982AA9">
        <w:rPr>
          <w:rFonts w:ascii="Book Antiqua" w:hAnsi="Book Antiqua"/>
          <w:iCs/>
          <w:color w:val="000000" w:themeColor="text1"/>
        </w:rPr>
        <w:t>r</w:t>
      </w:r>
      <w:r w:rsidR="00AF5651" w:rsidRPr="00982AA9">
        <w:rPr>
          <w:rFonts w:ascii="Book Antiqua" w:hAnsi="Book Antiqua"/>
          <w:iCs/>
          <w:color w:val="000000" w:themeColor="text1"/>
        </w:rPr>
        <w:t>atio</w:t>
      </w:r>
      <w:r w:rsidR="00F336D8" w:rsidRPr="00982AA9">
        <w:rPr>
          <w:rFonts w:ascii="Book Antiqua" w:hAnsi="Book Antiqua"/>
          <w:iCs/>
          <w:color w:val="000000" w:themeColor="text1"/>
          <w:lang w:eastAsia="zh-CN"/>
        </w:rPr>
        <w:t>.</w:t>
      </w:r>
    </w:p>
    <w:p w14:paraId="5194E704" w14:textId="77777777" w:rsidR="00AF5651" w:rsidRPr="00982AA9" w:rsidRDefault="00415D7D" w:rsidP="00982AA9">
      <w:pPr>
        <w:spacing w:line="360" w:lineRule="auto"/>
        <w:jc w:val="both"/>
        <w:rPr>
          <w:rFonts w:ascii="Book Antiqua" w:hAnsi="Book Antiqua" w:cs="Arial"/>
          <w:b/>
          <w:lang w:eastAsia="zh-CN"/>
        </w:rPr>
      </w:pPr>
      <w:r w:rsidRPr="00982AA9">
        <w:rPr>
          <w:rFonts w:ascii="Book Antiqua" w:hAnsi="Book Antiqua"/>
          <w:b/>
          <w:lang w:eastAsia="zh-CN"/>
        </w:rPr>
        <w:br w:type="page"/>
      </w:r>
      <w:r w:rsidR="00AC667B" w:rsidRPr="00982AA9">
        <w:rPr>
          <w:rFonts w:ascii="Book Antiqua" w:hAnsi="Book Antiqua" w:cs="Arial"/>
          <w:b/>
        </w:rPr>
        <w:lastRenderedPageBreak/>
        <w:t>Table 3 Existing risk prediction studies by design, age, exclusion of family history and previous colonoscopy</w:t>
      </w:r>
    </w:p>
    <w:tbl>
      <w:tblPr>
        <w:tblStyle w:val="ListTable6Colorful1"/>
        <w:tblpPr w:leftFromText="180" w:rightFromText="180" w:vertAnchor="page" w:horzAnchor="page" w:tblpX="1340" w:tblpY="2039"/>
        <w:tblW w:w="9215" w:type="dxa"/>
        <w:tblLayout w:type="fixed"/>
        <w:tblLook w:val="04A0" w:firstRow="1" w:lastRow="0" w:firstColumn="1" w:lastColumn="0" w:noHBand="0" w:noVBand="1"/>
      </w:tblPr>
      <w:tblGrid>
        <w:gridCol w:w="1418"/>
        <w:gridCol w:w="1134"/>
        <w:gridCol w:w="1660"/>
        <w:gridCol w:w="1510"/>
        <w:gridCol w:w="1245"/>
        <w:gridCol w:w="2248"/>
      </w:tblGrid>
      <w:tr w:rsidR="00AC667B" w:rsidRPr="00982AA9" w14:paraId="56D6472E" w14:textId="77777777" w:rsidTr="00C47845">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single" w:sz="4" w:space="0" w:color="auto"/>
              <w:right w:val="nil"/>
            </w:tcBorders>
            <w:shd w:val="clear" w:color="auto" w:fill="auto"/>
          </w:tcPr>
          <w:p w14:paraId="586F6ACE" w14:textId="77777777" w:rsidR="00AC667B" w:rsidRPr="00982AA9" w:rsidRDefault="00C34367" w:rsidP="00C47845">
            <w:pPr>
              <w:spacing w:line="360" w:lineRule="auto"/>
              <w:jc w:val="both"/>
              <w:rPr>
                <w:rFonts w:ascii="Book Antiqua" w:hAnsi="Book Antiqua" w:cs="Arial"/>
                <w:bCs w:val="0"/>
                <w:color w:val="auto"/>
              </w:rPr>
            </w:pPr>
            <w:r>
              <w:rPr>
                <w:rFonts w:ascii="Book Antiqua" w:hAnsi="Book Antiqua" w:cs="Arial"/>
                <w:bCs w:val="0"/>
                <w:color w:val="auto"/>
              </w:rPr>
              <w:lastRenderedPageBreak/>
              <w:t>Ref.</w:t>
            </w:r>
          </w:p>
        </w:tc>
        <w:tc>
          <w:tcPr>
            <w:tcW w:w="1134" w:type="dxa"/>
            <w:tcBorders>
              <w:top w:val="single" w:sz="4" w:space="0" w:color="auto"/>
              <w:left w:val="nil"/>
              <w:bottom w:val="single" w:sz="4" w:space="0" w:color="auto"/>
              <w:right w:val="nil"/>
            </w:tcBorders>
            <w:shd w:val="clear" w:color="auto" w:fill="auto"/>
          </w:tcPr>
          <w:p w14:paraId="45613F52"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 Design</w:t>
            </w:r>
          </w:p>
        </w:tc>
        <w:tc>
          <w:tcPr>
            <w:tcW w:w="1660" w:type="dxa"/>
            <w:tcBorders>
              <w:top w:val="single" w:sz="4" w:space="0" w:color="auto"/>
              <w:left w:val="nil"/>
              <w:bottom w:val="single" w:sz="4" w:space="0" w:color="auto"/>
              <w:right w:val="nil"/>
            </w:tcBorders>
            <w:shd w:val="clear" w:color="auto" w:fill="auto"/>
          </w:tcPr>
          <w:p w14:paraId="3EC70880"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Positive family history excluded</w:t>
            </w:r>
          </w:p>
        </w:tc>
        <w:tc>
          <w:tcPr>
            <w:tcW w:w="1510" w:type="dxa"/>
            <w:tcBorders>
              <w:top w:val="single" w:sz="4" w:space="0" w:color="auto"/>
              <w:left w:val="nil"/>
              <w:bottom w:val="single" w:sz="4" w:space="0" w:color="auto"/>
              <w:right w:val="nil"/>
            </w:tcBorders>
            <w:shd w:val="clear" w:color="auto" w:fill="auto"/>
          </w:tcPr>
          <w:p w14:paraId="749DFCED"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Age for inclusion </w:t>
            </w:r>
          </w:p>
        </w:tc>
        <w:tc>
          <w:tcPr>
            <w:tcW w:w="1245" w:type="dxa"/>
            <w:tcBorders>
              <w:top w:val="single" w:sz="4" w:space="0" w:color="auto"/>
              <w:left w:val="nil"/>
              <w:bottom w:val="single" w:sz="4" w:space="0" w:color="auto"/>
              <w:right w:val="nil"/>
            </w:tcBorders>
            <w:shd w:val="clear" w:color="auto" w:fill="auto"/>
          </w:tcPr>
          <w:p w14:paraId="6BFCF58C"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Mean </w:t>
            </w:r>
            <w:r w:rsidR="002C26E8" w:rsidRPr="00982AA9">
              <w:rPr>
                <w:rFonts w:ascii="Book Antiqua" w:hAnsi="Book Antiqua" w:cs="Arial"/>
                <w:color w:val="auto"/>
              </w:rPr>
              <w:t>a</w:t>
            </w:r>
            <w:r w:rsidRPr="00982AA9">
              <w:rPr>
                <w:rFonts w:ascii="Book Antiqua" w:hAnsi="Book Antiqua" w:cs="Arial"/>
                <w:color w:val="auto"/>
              </w:rPr>
              <w:t>ge</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(SD)</w:t>
            </w:r>
          </w:p>
        </w:tc>
        <w:tc>
          <w:tcPr>
            <w:tcW w:w="2248" w:type="dxa"/>
            <w:tcBorders>
              <w:top w:val="single" w:sz="4" w:space="0" w:color="auto"/>
              <w:left w:val="nil"/>
              <w:bottom w:val="single" w:sz="4" w:space="0" w:color="auto"/>
              <w:right w:val="nil"/>
            </w:tcBorders>
            <w:shd w:val="clear" w:color="auto" w:fill="auto"/>
          </w:tcPr>
          <w:p w14:paraId="6264F9F6" w14:textId="77777777" w:rsidR="00AC667B" w:rsidRPr="00982AA9" w:rsidRDefault="00AC667B" w:rsidP="00C478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Included only first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screening colonoscopy</w:t>
            </w:r>
          </w:p>
        </w:tc>
      </w:tr>
      <w:tr w:rsidR="00AC667B" w:rsidRPr="00982AA9" w14:paraId="3D522C71" w14:textId="77777777" w:rsidTr="00C478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il"/>
              <w:bottom w:val="nil"/>
              <w:right w:val="nil"/>
            </w:tcBorders>
            <w:shd w:val="clear" w:color="auto" w:fill="auto"/>
          </w:tcPr>
          <w:p w14:paraId="7575905E" w14:textId="77777777" w:rsidR="00AC667B" w:rsidRPr="00982AA9" w:rsidRDefault="00AC667B" w:rsidP="00C47845">
            <w:pPr>
              <w:spacing w:line="360" w:lineRule="auto"/>
              <w:jc w:val="both"/>
              <w:rPr>
                <w:rFonts w:ascii="Book Antiqua" w:hAnsi="Book Antiqua" w:cs="Arial"/>
                <w:b w:val="0"/>
                <w:bCs w:val="0"/>
                <w:color w:val="auto"/>
              </w:rPr>
            </w:pPr>
            <w:r w:rsidRPr="00982AA9">
              <w:rPr>
                <w:rFonts w:ascii="Book Antiqua" w:hAnsi="Book Antiqua" w:cs="Arial"/>
                <w:b w:val="0"/>
                <w:color w:val="auto"/>
              </w:rPr>
              <w:t xml:space="preserve">Betés </w:t>
            </w:r>
            <w:r w:rsidR="00C47845" w:rsidRPr="00C47845">
              <w:rPr>
                <w:rFonts w:ascii="Book Antiqua" w:hAnsi="Book Antiqua" w:cs="Arial"/>
                <w:b w:val="0"/>
                <w:i/>
                <w:color w:val="auto"/>
              </w:rPr>
              <w:t>et al</w:t>
            </w:r>
            <w:r w:rsidR="00C47845" w:rsidRPr="00982AA9">
              <w:rPr>
                <w:rFonts w:ascii="Book Antiqua" w:hAnsi="Book Antiqua" w:cs="Arial"/>
                <w:b w:val="0"/>
                <w:noProof/>
                <w:color w:val="auto"/>
                <w:vertAlign w:val="superscript"/>
              </w:rPr>
              <w:t>[25]</w:t>
            </w:r>
            <w:r w:rsidR="00C47845" w:rsidRPr="00C47845">
              <w:rPr>
                <w:rFonts w:ascii="Book Antiqua" w:hAnsi="Book Antiqua" w:cs="Arial"/>
                <w:b w:val="0"/>
                <w:noProof/>
                <w:color w:val="auto"/>
              </w:rPr>
              <w:t>,</w:t>
            </w:r>
            <w:r w:rsidR="00C47845" w:rsidRPr="00C47845">
              <w:rPr>
                <w:rFonts w:ascii="Book Antiqua" w:hAnsi="Book Antiqua" w:cs="Arial"/>
                <w:b w:val="0"/>
                <w:color w:val="auto"/>
              </w:rPr>
              <w:t xml:space="preserve"> </w:t>
            </w:r>
            <w:r w:rsidRPr="00982AA9">
              <w:rPr>
                <w:rFonts w:ascii="Book Antiqua" w:hAnsi="Book Antiqua" w:cs="Arial"/>
                <w:b w:val="0"/>
                <w:color w:val="auto"/>
              </w:rPr>
              <w:t>2003</w:t>
            </w:r>
          </w:p>
        </w:tc>
        <w:tc>
          <w:tcPr>
            <w:tcW w:w="1134" w:type="dxa"/>
            <w:tcBorders>
              <w:top w:val="single" w:sz="4" w:space="0" w:color="auto"/>
              <w:left w:val="nil"/>
              <w:bottom w:val="nil"/>
              <w:right w:val="nil"/>
            </w:tcBorders>
            <w:shd w:val="clear" w:color="auto" w:fill="auto"/>
          </w:tcPr>
          <w:p w14:paraId="3A304C20"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single" w:sz="4" w:space="0" w:color="auto"/>
              <w:left w:val="nil"/>
              <w:bottom w:val="nil"/>
              <w:right w:val="nil"/>
            </w:tcBorders>
            <w:shd w:val="clear" w:color="auto" w:fill="auto"/>
          </w:tcPr>
          <w:p w14:paraId="69E549B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single" w:sz="4" w:space="0" w:color="auto"/>
              <w:left w:val="nil"/>
              <w:bottom w:val="nil"/>
              <w:right w:val="nil"/>
            </w:tcBorders>
            <w:shd w:val="clear" w:color="auto" w:fill="auto"/>
          </w:tcPr>
          <w:p w14:paraId="1C4975A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single" w:sz="4" w:space="0" w:color="auto"/>
              <w:left w:val="nil"/>
              <w:bottom w:val="nil"/>
              <w:right w:val="nil"/>
            </w:tcBorders>
            <w:shd w:val="clear" w:color="auto" w:fill="auto"/>
          </w:tcPr>
          <w:p w14:paraId="49344E4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58 (8.6)</w:t>
            </w:r>
          </w:p>
        </w:tc>
        <w:tc>
          <w:tcPr>
            <w:tcW w:w="2248" w:type="dxa"/>
            <w:tcBorders>
              <w:top w:val="single" w:sz="4" w:space="0" w:color="auto"/>
              <w:left w:val="nil"/>
              <w:bottom w:val="nil"/>
              <w:right w:val="nil"/>
            </w:tcBorders>
            <w:shd w:val="clear" w:color="auto" w:fill="auto"/>
          </w:tcPr>
          <w:p w14:paraId="76ABF13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lang w:eastAsia="zh-CN"/>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CD9DC0A" w14:textId="77777777" w:rsidTr="00C47845">
        <w:trPr>
          <w:trHeight w:val="93"/>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47FB3F6" w14:textId="77777777" w:rsidR="00AC667B" w:rsidRPr="00982AA9" w:rsidRDefault="00AC667B" w:rsidP="005743FE">
            <w:pPr>
              <w:spacing w:line="360" w:lineRule="auto"/>
              <w:jc w:val="both"/>
              <w:rPr>
                <w:rFonts w:ascii="Book Antiqua" w:hAnsi="Book Antiqua" w:cs="Arial"/>
                <w:b w:val="0"/>
                <w:bCs w:val="0"/>
                <w:color w:val="auto"/>
              </w:rPr>
            </w:pPr>
            <w:r w:rsidRPr="00982AA9">
              <w:rPr>
                <w:rFonts w:ascii="Book Antiqua" w:hAnsi="Book Antiqua" w:cs="Arial"/>
                <w:b w:val="0"/>
                <w:color w:val="auto"/>
              </w:rPr>
              <w:t>Cai</w:t>
            </w:r>
            <w:r w:rsidR="005743FE" w:rsidRPr="00982AA9">
              <w:rPr>
                <w:rFonts w:ascii="Book Antiqua" w:hAnsi="Book Antiqua" w:cs="Arial"/>
                <w:b w:val="0"/>
                <w:color w:val="auto"/>
              </w:rPr>
              <w:t xml:space="preserve"> </w:t>
            </w:r>
            <w:r w:rsidR="005743FE" w:rsidRPr="00C47845">
              <w:rPr>
                <w:rFonts w:ascii="Book Antiqua" w:hAnsi="Book Antiqua" w:cs="Arial"/>
                <w:b w:val="0"/>
                <w:i/>
                <w:color w:val="auto"/>
              </w:rPr>
              <w:t>et al</w:t>
            </w:r>
            <w:r w:rsidR="005743FE" w:rsidRPr="00982AA9">
              <w:rPr>
                <w:rFonts w:ascii="Book Antiqua" w:hAnsi="Book Antiqua" w:cs="Arial"/>
                <w:b w:val="0"/>
                <w:noProof/>
                <w:color w:val="auto"/>
                <w:vertAlign w:val="superscript"/>
              </w:rPr>
              <w:t>[27]</w:t>
            </w:r>
            <w:r w:rsidR="005743FE" w:rsidRPr="00C47845">
              <w:rPr>
                <w:rFonts w:ascii="Book Antiqua" w:hAnsi="Book Antiqua" w:cs="Arial"/>
                <w:b w:val="0"/>
                <w:noProof/>
                <w:color w:val="auto"/>
              </w:rPr>
              <w:t>,</w:t>
            </w:r>
            <w:r w:rsidR="005743FE" w:rsidRPr="00C47845">
              <w:rPr>
                <w:rFonts w:ascii="Book Antiqua" w:hAnsi="Book Antiqua" w:cs="Arial"/>
                <w:b w:val="0"/>
                <w:color w:val="auto"/>
              </w:rPr>
              <w:t xml:space="preserve"> </w:t>
            </w:r>
            <w:r w:rsidRPr="00982AA9">
              <w:rPr>
                <w:rFonts w:ascii="Book Antiqua" w:hAnsi="Book Antiqua" w:cs="Arial"/>
                <w:b w:val="0"/>
                <w:color w:val="auto"/>
              </w:rPr>
              <w:t>2012</w:t>
            </w:r>
          </w:p>
        </w:tc>
        <w:tc>
          <w:tcPr>
            <w:tcW w:w="1134" w:type="dxa"/>
            <w:tcBorders>
              <w:top w:val="nil"/>
              <w:left w:val="nil"/>
              <w:bottom w:val="nil"/>
              <w:right w:val="nil"/>
            </w:tcBorders>
            <w:shd w:val="clear" w:color="auto" w:fill="auto"/>
          </w:tcPr>
          <w:p w14:paraId="02278DB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274FC9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1D0B663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nil"/>
              <w:left w:val="nil"/>
              <w:bottom w:val="nil"/>
              <w:right w:val="nil"/>
            </w:tcBorders>
            <w:shd w:val="clear" w:color="auto" w:fill="auto"/>
          </w:tcPr>
          <w:p w14:paraId="595DBE7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60 (11.1)</w:t>
            </w:r>
          </w:p>
        </w:tc>
        <w:tc>
          <w:tcPr>
            <w:tcW w:w="2248" w:type="dxa"/>
            <w:tcBorders>
              <w:top w:val="nil"/>
              <w:left w:val="nil"/>
              <w:bottom w:val="nil"/>
              <w:right w:val="nil"/>
            </w:tcBorders>
            <w:shd w:val="clear" w:color="auto" w:fill="auto"/>
          </w:tcPr>
          <w:p w14:paraId="7C601385"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28B2E0CF" w14:textId="77777777" w:rsidTr="00C4784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CDB35E4" w14:textId="77777777" w:rsidR="00AC667B" w:rsidRPr="00982AA9" w:rsidRDefault="00AC667B" w:rsidP="001C0DF4">
            <w:pPr>
              <w:spacing w:line="360" w:lineRule="auto"/>
              <w:jc w:val="both"/>
              <w:rPr>
                <w:rFonts w:ascii="Book Antiqua" w:hAnsi="Book Antiqua" w:cs="Arial"/>
                <w:b w:val="0"/>
                <w:bCs w:val="0"/>
                <w:color w:val="auto"/>
              </w:rPr>
            </w:pPr>
            <w:r w:rsidRPr="00982AA9">
              <w:rPr>
                <w:rFonts w:ascii="Book Antiqua" w:hAnsi="Book Antiqua" w:cs="Arial"/>
                <w:b w:val="0"/>
                <w:color w:val="auto"/>
              </w:rPr>
              <w:t>Chen</w:t>
            </w:r>
            <w:r w:rsidR="009C464A" w:rsidRPr="009C464A">
              <w:rPr>
                <w:rFonts w:ascii="Book Antiqua" w:eastAsiaTheme="minorEastAsia" w:hAnsi="Book Antiqua" w:cs="Arial" w:hint="eastAsia"/>
                <w:b w:val="0"/>
                <w:i/>
                <w:color w:val="auto"/>
                <w:lang w:eastAsia="zh-CN"/>
              </w:rPr>
              <w:t xml:space="preserve"> et</w:t>
            </w:r>
            <w:r w:rsidR="001C0DF4" w:rsidRPr="00C47845">
              <w:rPr>
                <w:rFonts w:ascii="Book Antiqua" w:hAnsi="Book Antiqua" w:cs="Arial"/>
                <w:b w:val="0"/>
                <w:i/>
                <w:color w:val="auto"/>
              </w:rPr>
              <w:t xml:space="preserve"> al</w:t>
            </w:r>
            <w:r w:rsidR="001C0DF4" w:rsidRPr="00982AA9">
              <w:rPr>
                <w:rFonts w:ascii="Book Antiqua" w:hAnsi="Book Antiqua" w:cs="Arial"/>
                <w:b w:val="0"/>
                <w:noProof/>
                <w:color w:val="auto"/>
                <w:vertAlign w:val="superscript"/>
              </w:rPr>
              <w:t>[33]</w:t>
            </w:r>
            <w:r w:rsidR="001C0DF4" w:rsidRPr="00C47845">
              <w:rPr>
                <w:rFonts w:ascii="Book Antiqua" w:hAnsi="Book Antiqua" w:cs="Arial"/>
                <w:b w:val="0"/>
                <w:noProof/>
                <w:color w:val="auto"/>
              </w:rPr>
              <w:t>,</w:t>
            </w:r>
            <w:r w:rsidR="001C0DF4" w:rsidRPr="00C47845">
              <w:rPr>
                <w:rFonts w:ascii="Book Antiqua" w:hAnsi="Book Antiqua" w:cs="Arial"/>
                <w:b w:val="0"/>
                <w:color w:val="auto"/>
              </w:rPr>
              <w:t xml:space="preserve"> </w:t>
            </w:r>
            <w:r w:rsidRPr="00982AA9">
              <w:rPr>
                <w:rFonts w:ascii="Book Antiqua" w:hAnsi="Book Antiqua" w:cs="Arial"/>
                <w:b w:val="0"/>
                <w:color w:val="auto"/>
              </w:rPr>
              <w:t>2014</w:t>
            </w:r>
          </w:p>
        </w:tc>
        <w:tc>
          <w:tcPr>
            <w:tcW w:w="1134" w:type="dxa"/>
            <w:tcBorders>
              <w:top w:val="nil"/>
              <w:left w:val="nil"/>
              <w:bottom w:val="nil"/>
              <w:right w:val="nil"/>
            </w:tcBorders>
            <w:shd w:val="clear" w:color="auto" w:fill="auto"/>
          </w:tcPr>
          <w:p w14:paraId="20AF1F8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7959649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7575F4C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40 </w:t>
            </w:r>
          </w:p>
        </w:tc>
        <w:tc>
          <w:tcPr>
            <w:tcW w:w="1245" w:type="dxa"/>
            <w:tcBorders>
              <w:top w:val="nil"/>
              <w:left w:val="nil"/>
              <w:bottom w:val="nil"/>
              <w:right w:val="nil"/>
            </w:tcBorders>
            <w:shd w:val="clear" w:color="auto" w:fill="auto"/>
          </w:tcPr>
          <w:p w14:paraId="493CB8BB"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62.7 (9.7)</w:t>
            </w:r>
          </w:p>
        </w:tc>
        <w:tc>
          <w:tcPr>
            <w:tcW w:w="2248" w:type="dxa"/>
            <w:tcBorders>
              <w:top w:val="nil"/>
              <w:left w:val="nil"/>
              <w:bottom w:val="nil"/>
              <w:right w:val="nil"/>
            </w:tcBorders>
            <w:shd w:val="clear" w:color="auto" w:fill="auto"/>
          </w:tcPr>
          <w:p w14:paraId="3987C58F"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00FA9C1"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1672137" w14:textId="77777777" w:rsidR="00AC667B" w:rsidRPr="00982AA9" w:rsidRDefault="00AC667B" w:rsidP="009C464A">
            <w:pPr>
              <w:spacing w:line="360" w:lineRule="auto"/>
              <w:jc w:val="both"/>
              <w:rPr>
                <w:rFonts w:ascii="Book Antiqua" w:hAnsi="Book Antiqua" w:cs="Arial"/>
                <w:b w:val="0"/>
                <w:bCs w:val="0"/>
                <w:color w:val="auto"/>
              </w:rPr>
            </w:pPr>
            <w:r w:rsidRPr="00982AA9">
              <w:rPr>
                <w:rFonts w:ascii="Book Antiqua" w:hAnsi="Book Antiqua" w:cs="Arial"/>
                <w:b w:val="0"/>
                <w:color w:val="auto"/>
              </w:rPr>
              <w:t xml:space="preserve">Hong </w:t>
            </w:r>
            <w:r w:rsidR="009C464A" w:rsidRPr="009C464A">
              <w:rPr>
                <w:rFonts w:ascii="Book Antiqua" w:eastAsiaTheme="minorEastAsia" w:hAnsi="Book Antiqua" w:cs="Arial" w:hint="eastAsia"/>
                <w:b w:val="0"/>
                <w:i/>
                <w:color w:val="auto"/>
                <w:lang w:eastAsia="zh-CN"/>
              </w:rPr>
              <w:t>et al</w:t>
            </w:r>
            <w:r w:rsidR="009C464A" w:rsidRPr="00982AA9">
              <w:rPr>
                <w:rFonts w:ascii="Book Antiqua" w:hAnsi="Book Antiqua" w:cs="Arial"/>
                <w:b w:val="0"/>
                <w:noProof/>
                <w:color w:val="auto"/>
                <w:vertAlign w:val="superscript"/>
              </w:rPr>
              <w:t>[34]</w:t>
            </w:r>
            <w:r w:rsidR="009C464A">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1C7227C7"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626CCD3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030A9619"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20 </w:t>
            </w:r>
          </w:p>
        </w:tc>
        <w:tc>
          <w:tcPr>
            <w:tcW w:w="1245" w:type="dxa"/>
            <w:tcBorders>
              <w:top w:val="nil"/>
              <w:left w:val="nil"/>
              <w:bottom w:val="nil"/>
              <w:right w:val="nil"/>
            </w:tcBorders>
            <w:shd w:val="clear" w:color="auto" w:fill="auto"/>
          </w:tcPr>
          <w:p w14:paraId="482CF70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49.9 (9.3)</w:t>
            </w:r>
          </w:p>
        </w:tc>
        <w:tc>
          <w:tcPr>
            <w:tcW w:w="2248" w:type="dxa"/>
            <w:tcBorders>
              <w:top w:val="nil"/>
              <w:left w:val="nil"/>
              <w:bottom w:val="nil"/>
              <w:right w:val="nil"/>
            </w:tcBorders>
            <w:shd w:val="clear" w:color="auto" w:fill="auto"/>
          </w:tcPr>
          <w:p w14:paraId="000CA481"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52449A79" w14:textId="77777777" w:rsidTr="00C4784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3F01020"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Imperiale</w:t>
            </w:r>
            <w:r w:rsidR="00F37592" w:rsidRPr="00982AA9">
              <w:rPr>
                <w:rFonts w:ascii="Book Antiqua" w:hAnsi="Book Antiqua" w:cs="Arial"/>
                <w:b w:val="0"/>
                <w:color w:val="auto"/>
              </w:rPr>
              <w:t xml:space="preserve"> </w:t>
            </w:r>
            <w:r w:rsidR="00F37592" w:rsidRPr="009C464A">
              <w:rPr>
                <w:rFonts w:ascii="Book Antiqua" w:eastAsiaTheme="minorEastAsia" w:hAnsi="Book Antiqua" w:cs="Arial" w:hint="eastAsia"/>
                <w:b w:val="0"/>
                <w:i/>
                <w:color w:val="auto"/>
                <w:lang w:eastAsia="zh-CN"/>
              </w:rPr>
              <w:t>et al</w:t>
            </w:r>
            <w:r w:rsidR="005D5EFB" w:rsidRPr="00982AA9">
              <w:rPr>
                <w:rFonts w:ascii="Book Antiqua" w:hAnsi="Book Antiqua" w:cs="Arial"/>
                <w:b w:val="0"/>
                <w:noProof/>
                <w:color w:val="auto"/>
                <w:vertAlign w:val="superscript"/>
              </w:rPr>
              <w:t>[35]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2015</w:t>
            </w:r>
          </w:p>
        </w:tc>
        <w:tc>
          <w:tcPr>
            <w:tcW w:w="1134" w:type="dxa"/>
            <w:tcBorders>
              <w:top w:val="nil"/>
              <w:left w:val="nil"/>
              <w:bottom w:val="nil"/>
              <w:right w:val="nil"/>
            </w:tcBorders>
            <w:shd w:val="clear" w:color="auto" w:fill="auto"/>
          </w:tcPr>
          <w:p w14:paraId="5BA7A04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8BC31B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76CCDBC0"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2C17488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57.3 (6.6)</w:t>
            </w:r>
          </w:p>
        </w:tc>
        <w:tc>
          <w:tcPr>
            <w:tcW w:w="2248" w:type="dxa"/>
            <w:tcBorders>
              <w:top w:val="nil"/>
              <w:left w:val="nil"/>
              <w:bottom w:val="nil"/>
              <w:right w:val="nil"/>
            </w:tcBorders>
            <w:shd w:val="clear" w:color="auto" w:fill="auto"/>
          </w:tcPr>
          <w:p w14:paraId="1445BBD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1948DE92" w14:textId="77777777" w:rsidTr="00C47845">
        <w:trPr>
          <w:trHeight w:val="10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CE6EC9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Imperiale</w:t>
            </w:r>
            <w:r w:rsidR="00F37592" w:rsidRPr="00982AA9">
              <w:rPr>
                <w:rFonts w:ascii="Book Antiqua" w:hAnsi="Book Antiqua" w:cs="Arial"/>
                <w:b w:val="0"/>
                <w:color w:val="auto"/>
              </w:rPr>
              <w:t xml:space="preserve"> </w:t>
            </w:r>
            <w:r w:rsidR="00F37592" w:rsidRPr="009C464A">
              <w:rPr>
                <w:rFonts w:ascii="Book Antiqua" w:eastAsiaTheme="minorEastAsia" w:hAnsi="Book Antiqua" w:cs="Arial" w:hint="eastAsia"/>
                <w:b w:val="0"/>
                <w:i/>
                <w:color w:val="auto"/>
                <w:lang w:eastAsia="zh-CN"/>
              </w:rPr>
              <w:t>et al</w:t>
            </w:r>
            <w:r w:rsidR="005D5EFB" w:rsidRPr="00982AA9">
              <w:rPr>
                <w:rFonts w:ascii="Book Antiqua" w:hAnsi="Book Antiqua" w:cs="Arial"/>
                <w:b w:val="0"/>
                <w:noProof/>
                <w:color w:val="auto"/>
                <w:vertAlign w:val="superscript"/>
              </w:rPr>
              <w:t>[36]</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2016</w:t>
            </w:r>
          </w:p>
        </w:tc>
        <w:tc>
          <w:tcPr>
            <w:tcW w:w="1134" w:type="dxa"/>
            <w:tcBorders>
              <w:top w:val="nil"/>
              <w:left w:val="nil"/>
              <w:bottom w:val="nil"/>
              <w:right w:val="nil"/>
            </w:tcBorders>
            <w:shd w:val="clear" w:color="auto" w:fill="auto"/>
          </w:tcPr>
          <w:p w14:paraId="320F7ED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17823FC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7AD63D56"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30-49</w:t>
            </w:r>
          </w:p>
        </w:tc>
        <w:tc>
          <w:tcPr>
            <w:tcW w:w="1245" w:type="dxa"/>
            <w:tcBorders>
              <w:top w:val="nil"/>
              <w:left w:val="nil"/>
              <w:bottom w:val="nil"/>
              <w:right w:val="nil"/>
            </w:tcBorders>
            <w:shd w:val="clear" w:color="auto" w:fill="auto"/>
          </w:tcPr>
          <w:p w14:paraId="07FC105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57.2 (6.6)</w:t>
            </w:r>
          </w:p>
        </w:tc>
        <w:tc>
          <w:tcPr>
            <w:tcW w:w="2248" w:type="dxa"/>
            <w:tcBorders>
              <w:top w:val="nil"/>
              <w:left w:val="nil"/>
              <w:bottom w:val="nil"/>
              <w:right w:val="nil"/>
            </w:tcBorders>
            <w:shd w:val="clear" w:color="auto" w:fill="auto"/>
          </w:tcPr>
          <w:p w14:paraId="6C0BBC6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color w:val="auto"/>
                <w:lang w:eastAsia="zh-CN"/>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5326072B" w14:textId="77777777" w:rsidTr="00C4784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B8F3E6A"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Jung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[24]</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615A24E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5A4674D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5BFCCAB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&lt;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0BF9EFA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38.9 (5.3)</w:t>
            </w:r>
          </w:p>
        </w:tc>
        <w:tc>
          <w:tcPr>
            <w:tcW w:w="2248" w:type="dxa"/>
            <w:tcBorders>
              <w:top w:val="nil"/>
              <w:left w:val="nil"/>
              <w:bottom w:val="nil"/>
              <w:right w:val="nil"/>
            </w:tcBorders>
            <w:shd w:val="clear" w:color="auto" w:fill="auto"/>
          </w:tcPr>
          <w:p w14:paraId="0E6BA85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5DFD70AC" w14:textId="77777777" w:rsidTr="00C47845">
        <w:trPr>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74EDD63C"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Kaminski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[29]</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2014</w:t>
            </w:r>
          </w:p>
        </w:tc>
        <w:tc>
          <w:tcPr>
            <w:tcW w:w="1134" w:type="dxa"/>
            <w:tcBorders>
              <w:top w:val="nil"/>
              <w:left w:val="nil"/>
              <w:bottom w:val="nil"/>
              <w:right w:val="nil"/>
            </w:tcBorders>
            <w:shd w:val="clear" w:color="auto" w:fill="auto"/>
          </w:tcPr>
          <w:p w14:paraId="63409EE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411DCFED"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2FBE8B2B"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3BEDC2D1"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55.6 (5.2)</w:t>
            </w:r>
          </w:p>
        </w:tc>
        <w:tc>
          <w:tcPr>
            <w:tcW w:w="2248" w:type="dxa"/>
            <w:tcBorders>
              <w:top w:val="nil"/>
              <w:left w:val="nil"/>
              <w:bottom w:val="nil"/>
              <w:right w:val="nil"/>
            </w:tcBorders>
            <w:shd w:val="clear" w:color="auto" w:fill="auto"/>
          </w:tcPr>
          <w:p w14:paraId="2B57AFBB"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296EC7CE" w14:textId="77777777" w:rsidTr="00C478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5ED86B3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Kim</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[37]</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2019</w:t>
            </w:r>
          </w:p>
        </w:tc>
        <w:tc>
          <w:tcPr>
            <w:tcW w:w="1134" w:type="dxa"/>
            <w:tcBorders>
              <w:top w:val="nil"/>
              <w:left w:val="nil"/>
              <w:bottom w:val="nil"/>
              <w:right w:val="nil"/>
            </w:tcBorders>
            <w:shd w:val="clear" w:color="auto" w:fill="auto"/>
          </w:tcPr>
          <w:p w14:paraId="2F96436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32A463C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67951E03"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&lt;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5EAD4CED"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38.9 (5.3)</w:t>
            </w:r>
          </w:p>
        </w:tc>
        <w:tc>
          <w:tcPr>
            <w:tcW w:w="2248" w:type="dxa"/>
            <w:tcBorders>
              <w:top w:val="nil"/>
              <w:left w:val="nil"/>
              <w:bottom w:val="nil"/>
              <w:right w:val="nil"/>
            </w:tcBorders>
            <w:shd w:val="clear" w:color="auto" w:fill="auto"/>
          </w:tcPr>
          <w:p w14:paraId="396D1942"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3A95ABDB" w14:textId="77777777" w:rsidTr="00C47845">
        <w:trPr>
          <w:trHeight w:val="26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9F3E09C"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t>Ladabaum</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[38]</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2016</w:t>
            </w:r>
          </w:p>
        </w:tc>
        <w:tc>
          <w:tcPr>
            <w:tcW w:w="1134" w:type="dxa"/>
            <w:tcBorders>
              <w:top w:val="nil"/>
              <w:left w:val="nil"/>
              <w:bottom w:val="nil"/>
              <w:right w:val="nil"/>
            </w:tcBorders>
            <w:shd w:val="clear" w:color="auto" w:fill="auto"/>
          </w:tcPr>
          <w:p w14:paraId="3BFC920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637B93E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16E4D716"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50-80 </w:t>
            </w:r>
          </w:p>
        </w:tc>
        <w:tc>
          <w:tcPr>
            <w:tcW w:w="1245" w:type="dxa"/>
            <w:tcBorders>
              <w:top w:val="nil"/>
              <w:left w:val="nil"/>
              <w:bottom w:val="nil"/>
              <w:right w:val="nil"/>
            </w:tcBorders>
            <w:shd w:val="clear" w:color="auto" w:fill="auto"/>
          </w:tcPr>
          <w:p w14:paraId="641C313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Median (IQR) 58 (52 – 65)</w:t>
            </w:r>
          </w:p>
        </w:tc>
        <w:tc>
          <w:tcPr>
            <w:tcW w:w="2248" w:type="dxa"/>
            <w:tcBorders>
              <w:top w:val="nil"/>
              <w:left w:val="nil"/>
              <w:bottom w:val="nil"/>
              <w:right w:val="nil"/>
            </w:tcBorders>
            <w:shd w:val="clear" w:color="auto" w:fill="auto"/>
          </w:tcPr>
          <w:p w14:paraId="289A17F4"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09B951CC" w14:textId="77777777" w:rsidTr="00C4784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1AEEBD96"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t>Li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[39]</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w:t>
            </w:r>
            <w:r w:rsidRPr="00982AA9">
              <w:rPr>
                <w:rFonts w:ascii="Book Antiqua" w:hAnsi="Book Antiqua" w:cs="Arial"/>
                <w:b w:val="0"/>
                <w:color w:val="auto"/>
              </w:rPr>
              <w:lastRenderedPageBreak/>
              <w:t>2016</w:t>
            </w:r>
          </w:p>
        </w:tc>
        <w:tc>
          <w:tcPr>
            <w:tcW w:w="1134" w:type="dxa"/>
            <w:tcBorders>
              <w:top w:val="nil"/>
              <w:left w:val="nil"/>
              <w:bottom w:val="nil"/>
              <w:right w:val="nil"/>
            </w:tcBorders>
            <w:shd w:val="clear" w:color="auto" w:fill="auto"/>
          </w:tcPr>
          <w:p w14:paraId="53EBF2D7"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lastRenderedPageBreak/>
              <w:t>Prospect</w:t>
            </w:r>
            <w:r w:rsidRPr="00982AA9">
              <w:rPr>
                <w:rFonts w:ascii="Book Antiqua" w:hAnsi="Book Antiqua" w:cs="Arial"/>
                <w:color w:val="auto"/>
              </w:rPr>
              <w:lastRenderedPageBreak/>
              <w:t>ive</w:t>
            </w:r>
          </w:p>
        </w:tc>
        <w:tc>
          <w:tcPr>
            <w:tcW w:w="1660" w:type="dxa"/>
            <w:tcBorders>
              <w:top w:val="nil"/>
              <w:left w:val="nil"/>
              <w:bottom w:val="nil"/>
              <w:right w:val="nil"/>
            </w:tcBorders>
            <w:shd w:val="clear" w:color="auto" w:fill="auto"/>
          </w:tcPr>
          <w:p w14:paraId="1DD009A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lastRenderedPageBreak/>
              <w:t>No</w:t>
            </w:r>
          </w:p>
        </w:tc>
        <w:tc>
          <w:tcPr>
            <w:tcW w:w="1510" w:type="dxa"/>
            <w:tcBorders>
              <w:top w:val="nil"/>
              <w:left w:val="nil"/>
              <w:bottom w:val="nil"/>
              <w:right w:val="nil"/>
            </w:tcBorders>
            <w:shd w:val="clear" w:color="auto" w:fill="auto"/>
          </w:tcPr>
          <w:p w14:paraId="510F4CEB"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40-75 </w:t>
            </w:r>
          </w:p>
        </w:tc>
        <w:tc>
          <w:tcPr>
            <w:tcW w:w="1245" w:type="dxa"/>
            <w:tcBorders>
              <w:top w:val="nil"/>
              <w:left w:val="nil"/>
              <w:bottom w:val="nil"/>
              <w:right w:val="nil"/>
            </w:tcBorders>
            <w:shd w:val="clear" w:color="auto" w:fill="auto"/>
          </w:tcPr>
          <w:p w14:paraId="5306B9DF"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52 (IQR </w:t>
            </w:r>
            <w:r w:rsidRPr="00982AA9">
              <w:rPr>
                <w:rFonts w:ascii="Book Antiqua" w:hAnsi="Book Antiqua" w:cs="Arial"/>
                <w:color w:val="auto"/>
              </w:rPr>
              <w:lastRenderedPageBreak/>
              <w:t>47 – 59)</w:t>
            </w:r>
          </w:p>
        </w:tc>
        <w:tc>
          <w:tcPr>
            <w:tcW w:w="2248" w:type="dxa"/>
            <w:tcBorders>
              <w:top w:val="nil"/>
              <w:left w:val="nil"/>
              <w:bottom w:val="nil"/>
              <w:right w:val="nil"/>
            </w:tcBorders>
            <w:shd w:val="clear" w:color="auto" w:fill="auto"/>
          </w:tcPr>
          <w:p w14:paraId="44158C6F"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lastRenderedPageBreak/>
              <w:t>No</w:t>
            </w:r>
          </w:p>
        </w:tc>
      </w:tr>
      <w:tr w:rsidR="00AC667B" w:rsidRPr="00982AA9" w14:paraId="3B27D442" w14:textId="77777777" w:rsidTr="00C47845">
        <w:trPr>
          <w:trHeight w:val="10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583BFE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lastRenderedPageBreak/>
              <w:t>Lin</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[40]</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2016</w:t>
            </w:r>
          </w:p>
        </w:tc>
        <w:tc>
          <w:tcPr>
            <w:tcW w:w="1134" w:type="dxa"/>
            <w:tcBorders>
              <w:top w:val="nil"/>
              <w:left w:val="nil"/>
              <w:bottom w:val="nil"/>
              <w:right w:val="nil"/>
            </w:tcBorders>
            <w:shd w:val="clear" w:color="auto" w:fill="auto"/>
          </w:tcPr>
          <w:p w14:paraId="4A669F25"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highlight w:val="lightGray"/>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5DF4232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Style w:val="apple-converted-space"/>
                <w:rFonts w:ascii="Book Antiqua" w:hAnsi="Book Antiqua" w:cs="Arial"/>
                <w:color w:val="auto"/>
                <w:highlight w:val="lightGray"/>
                <w:shd w:val="clear" w:color="auto" w:fill="FFFFFF"/>
              </w:rPr>
            </w:pPr>
            <w:r w:rsidRPr="00982AA9">
              <w:rPr>
                <w:rStyle w:val="apple-converted-space"/>
                <w:rFonts w:ascii="Book Antiqua" w:hAnsi="Book Antiqua" w:cs="Arial"/>
                <w:color w:val="auto"/>
                <w:shd w:val="clear" w:color="auto" w:fill="FFFFFF"/>
              </w:rPr>
              <w:t>No</w:t>
            </w:r>
          </w:p>
        </w:tc>
        <w:tc>
          <w:tcPr>
            <w:tcW w:w="1510" w:type="dxa"/>
            <w:tcBorders>
              <w:top w:val="nil"/>
              <w:left w:val="nil"/>
              <w:bottom w:val="nil"/>
              <w:right w:val="nil"/>
            </w:tcBorders>
            <w:shd w:val="clear" w:color="auto" w:fill="auto"/>
          </w:tcPr>
          <w:p w14:paraId="79F6AC9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left w:val="nil"/>
              <w:bottom w:val="nil"/>
              <w:right w:val="nil"/>
            </w:tcBorders>
            <w:shd w:val="clear" w:color="auto" w:fill="auto"/>
          </w:tcPr>
          <w:p w14:paraId="074934D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59.6 (8.1)</w:t>
            </w:r>
          </w:p>
        </w:tc>
        <w:tc>
          <w:tcPr>
            <w:tcW w:w="2248" w:type="dxa"/>
            <w:tcBorders>
              <w:top w:val="nil"/>
              <w:left w:val="nil"/>
              <w:bottom w:val="nil"/>
              <w:right w:val="nil"/>
            </w:tcBorders>
            <w:shd w:val="clear" w:color="auto" w:fill="auto"/>
          </w:tcPr>
          <w:p w14:paraId="1E7CF74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0453F84F" w14:textId="77777777" w:rsidTr="00C4784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0206C3EB"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Murchie</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[41]</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left w:val="nil"/>
              <w:bottom w:val="nil"/>
              <w:right w:val="nil"/>
            </w:tcBorders>
            <w:shd w:val="clear" w:color="auto" w:fill="auto"/>
          </w:tcPr>
          <w:p w14:paraId="5896BCF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29DC9BE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c>
          <w:tcPr>
            <w:tcW w:w="1510" w:type="dxa"/>
            <w:tcBorders>
              <w:top w:val="nil"/>
              <w:left w:val="nil"/>
              <w:bottom w:val="nil"/>
              <w:right w:val="nil"/>
            </w:tcBorders>
            <w:shd w:val="clear" w:color="auto" w:fill="auto"/>
          </w:tcPr>
          <w:p w14:paraId="0F56295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40-49 </w:t>
            </w:r>
          </w:p>
        </w:tc>
        <w:tc>
          <w:tcPr>
            <w:tcW w:w="1245" w:type="dxa"/>
            <w:tcBorders>
              <w:top w:val="nil"/>
              <w:left w:val="nil"/>
              <w:bottom w:val="nil"/>
              <w:right w:val="nil"/>
            </w:tcBorders>
            <w:shd w:val="clear" w:color="auto" w:fill="auto"/>
          </w:tcPr>
          <w:p w14:paraId="777DA7F4"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51.5</w:t>
            </w:r>
          </w:p>
        </w:tc>
        <w:tc>
          <w:tcPr>
            <w:tcW w:w="2248" w:type="dxa"/>
            <w:tcBorders>
              <w:top w:val="nil"/>
              <w:left w:val="nil"/>
              <w:bottom w:val="nil"/>
              <w:right w:val="nil"/>
            </w:tcBorders>
            <w:shd w:val="clear" w:color="auto" w:fill="auto"/>
          </w:tcPr>
          <w:p w14:paraId="2AA12D4F"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00F7994F"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2469A28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Park</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[42]</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r w:rsidRPr="00982AA9" w:rsidDel="007E2241">
              <w:rPr>
                <w:rFonts w:ascii="Book Antiqua" w:hAnsi="Book Antiqua" w:cs="Arial"/>
                <w:b w:val="0"/>
                <w:bCs w:val="0"/>
                <w:color w:val="auto"/>
              </w:rPr>
              <w:t xml:space="preserve"> </w:t>
            </w:r>
          </w:p>
        </w:tc>
        <w:tc>
          <w:tcPr>
            <w:tcW w:w="1134" w:type="dxa"/>
            <w:tcBorders>
              <w:top w:val="nil"/>
              <w:left w:val="nil"/>
              <w:bottom w:val="nil"/>
              <w:right w:val="nil"/>
            </w:tcBorders>
            <w:shd w:val="clear" w:color="auto" w:fill="auto"/>
          </w:tcPr>
          <w:p w14:paraId="038DC960"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71732CA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6A851F7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50-59 </w:t>
            </w:r>
          </w:p>
        </w:tc>
        <w:tc>
          <w:tcPr>
            <w:tcW w:w="1245" w:type="dxa"/>
            <w:tcBorders>
              <w:top w:val="nil"/>
              <w:left w:val="nil"/>
              <w:bottom w:val="nil"/>
              <w:right w:val="nil"/>
            </w:tcBorders>
            <w:shd w:val="clear" w:color="auto" w:fill="auto"/>
          </w:tcPr>
          <w:p w14:paraId="1016055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44.8 (2.8)</w:t>
            </w:r>
          </w:p>
        </w:tc>
        <w:tc>
          <w:tcPr>
            <w:tcW w:w="2248" w:type="dxa"/>
            <w:tcBorders>
              <w:top w:val="nil"/>
              <w:left w:val="nil"/>
              <w:bottom w:val="nil"/>
              <w:right w:val="nil"/>
            </w:tcBorders>
            <w:shd w:val="clear" w:color="auto" w:fill="auto"/>
          </w:tcPr>
          <w:p w14:paraId="37D8531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04EE7995" w14:textId="77777777" w:rsidTr="00C4784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35C10EEB" w14:textId="77777777" w:rsidR="00AC667B" w:rsidRPr="00982AA9" w:rsidRDefault="00AC667B" w:rsidP="005D5EFB">
            <w:pPr>
              <w:autoSpaceDE w:val="0"/>
              <w:autoSpaceDN w:val="0"/>
              <w:adjustRightInd w:val="0"/>
              <w:spacing w:line="360" w:lineRule="auto"/>
              <w:jc w:val="both"/>
              <w:rPr>
                <w:rFonts w:ascii="Book Antiqua" w:hAnsi="Book Antiqua" w:cs="Arial"/>
                <w:b w:val="0"/>
                <w:bCs w:val="0"/>
                <w:color w:val="auto"/>
              </w:rPr>
            </w:pPr>
            <w:r w:rsidRPr="00982AA9">
              <w:rPr>
                <w:rFonts w:ascii="Book Antiqua" w:hAnsi="Book Antiqua" w:cs="Arial"/>
                <w:b w:val="0"/>
                <w:color w:val="auto"/>
              </w:rPr>
              <w:t>Ruco</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[43]</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2015 </w:t>
            </w:r>
          </w:p>
        </w:tc>
        <w:tc>
          <w:tcPr>
            <w:tcW w:w="1134" w:type="dxa"/>
            <w:tcBorders>
              <w:top w:val="nil"/>
              <w:left w:val="nil"/>
              <w:bottom w:val="nil"/>
              <w:right w:val="nil"/>
            </w:tcBorders>
            <w:shd w:val="clear" w:color="auto" w:fill="auto"/>
          </w:tcPr>
          <w:p w14:paraId="4A660F1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85D8965"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476CCFB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50-74 </w:t>
            </w:r>
          </w:p>
        </w:tc>
        <w:tc>
          <w:tcPr>
            <w:tcW w:w="1245" w:type="dxa"/>
            <w:tcBorders>
              <w:top w:val="nil"/>
              <w:left w:val="nil"/>
              <w:bottom w:val="nil"/>
              <w:right w:val="nil"/>
            </w:tcBorders>
            <w:shd w:val="clear" w:color="auto" w:fill="auto"/>
          </w:tcPr>
          <w:p w14:paraId="346897A3"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58.3 (6.2)</w:t>
            </w:r>
          </w:p>
        </w:tc>
        <w:tc>
          <w:tcPr>
            <w:tcW w:w="2248" w:type="dxa"/>
            <w:tcBorders>
              <w:top w:val="nil"/>
              <w:left w:val="nil"/>
              <w:bottom w:val="nil"/>
              <w:right w:val="nil"/>
            </w:tcBorders>
            <w:shd w:val="clear" w:color="auto" w:fill="auto"/>
          </w:tcPr>
          <w:p w14:paraId="2B8E15FE"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2</w:t>
            </w:r>
          </w:p>
        </w:tc>
      </w:tr>
      <w:tr w:rsidR="00AC667B" w:rsidRPr="00982AA9" w14:paraId="759B79C7" w14:textId="77777777" w:rsidTr="00C47845">
        <w:trPr>
          <w:trHeight w:val="10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4BBB0778"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Schroy</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[44]</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2015</w:t>
            </w:r>
            <w:r w:rsidRPr="00982AA9" w:rsidDel="00DC32FF">
              <w:rPr>
                <w:rFonts w:ascii="Book Antiqua" w:hAnsi="Book Antiqua" w:cs="Arial"/>
                <w:b w:val="0"/>
                <w:color w:val="auto"/>
              </w:rPr>
              <w:t xml:space="preserve"> </w:t>
            </w:r>
          </w:p>
        </w:tc>
        <w:tc>
          <w:tcPr>
            <w:tcW w:w="1134" w:type="dxa"/>
            <w:tcBorders>
              <w:top w:val="nil"/>
              <w:left w:val="nil"/>
              <w:bottom w:val="nil"/>
              <w:right w:val="nil"/>
            </w:tcBorders>
            <w:shd w:val="clear" w:color="auto" w:fill="auto"/>
          </w:tcPr>
          <w:p w14:paraId="611A653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CAA4BB8"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vertAlign w:val="superscript"/>
              </w:rPr>
            </w:pPr>
            <w:r w:rsidRPr="00982AA9">
              <w:rPr>
                <w:rFonts w:ascii="Book Antiqua" w:hAnsi="Book Antiqua" w:cs="Arial"/>
                <w:color w:val="auto"/>
              </w:rPr>
              <w:t>Yes</w:t>
            </w:r>
            <w:r w:rsidRPr="00982AA9">
              <w:rPr>
                <w:rFonts w:ascii="Book Antiqua" w:hAnsi="Book Antiqua" w:cs="Arial"/>
                <w:color w:val="auto"/>
                <w:vertAlign w:val="superscript"/>
              </w:rPr>
              <w:t>†</w:t>
            </w:r>
          </w:p>
        </w:tc>
        <w:tc>
          <w:tcPr>
            <w:tcW w:w="1510" w:type="dxa"/>
            <w:tcBorders>
              <w:top w:val="nil"/>
              <w:left w:val="nil"/>
              <w:bottom w:val="nil"/>
              <w:right w:val="nil"/>
            </w:tcBorders>
            <w:shd w:val="clear" w:color="auto" w:fill="auto"/>
          </w:tcPr>
          <w:p w14:paraId="3C27B007" w14:textId="77777777" w:rsidR="00AC667B" w:rsidRPr="00982AA9" w:rsidRDefault="00AC667B" w:rsidP="00C47845">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50-79 </w:t>
            </w:r>
          </w:p>
        </w:tc>
        <w:tc>
          <w:tcPr>
            <w:tcW w:w="1245" w:type="dxa"/>
            <w:tcBorders>
              <w:top w:val="nil"/>
              <w:left w:val="nil"/>
              <w:bottom w:val="nil"/>
              <w:right w:val="nil"/>
            </w:tcBorders>
            <w:shd w:val="clear" w:color="auto" w:fill="auto"/>
          </w:tcPr>
          <w:p w14:paraId="5998E2B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 xml:space="preserve">74.7% aged 50-59 </w:t>
            </w:r>
          </w:p>
        </w:tc>
        <w:tc>
          <w:tcPr>
            <w:tcW w:w="2248" w:type="dxa"/>
            <w:tcBorders>
              <w:top w:val="nil"/>
              <w:left w:val="nil"/>
              <w:bottom w:val="nil"/>
              <w:right w:val="nil"/>
            </w:tcBorders>
            <w:shd w:val="clear" w:color="auto" w:fill="auto"/>
          </w:tcPr>
          <w:p w14:paraId="593F89EF"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63D03FE0" w14:textId="77777777" w:rsidTr="00C4784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689BACF8"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Sekiguchi</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[26]</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2018</w:t>
            </w:r>
          </w:p>
        </w:tc>
        <w:tc>
          <w:tcPr>
            <w:tcW w:w="1134" w:type="dxa"/>
            <w:tcBorders>
              <w:top w:val="nil"/>
              <w:left w:val="nil"/>
              <w:bottom w:val="nil"/>
              <w:right w:val="nil"/>
            </w:tcBorders>
            <w:shd w:val="clear" w:color="auto" w:fill="auto"/>
          </w:tcPr>
          <w:p w14:paraId="374792A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Retrospective</w:t>
            </w:r>
          </w:p>
        </w:tc>
        <w:tc>
          <w:tcPr>
            <w:tcW w:w="1660" w:type="dxa"/>
            <w:tcBorders>
              <w:top w:val="nil"/>
              <w:left w:val="nil"/>
              <w:bottom w:val="nil"/>
              <w:right w:val="nil"/>
            </w:tcBorders>
            <w:shd w:val="clear" w:color="auto" w:fill="auto"/>
          </w:tcPr>
          <w:p w14:paraId="4FD2652A"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557FDB3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40</w:t>
            </w:r>
          </w:p>
        </w:tc>
        <w:tc>
          <w:tcPr>
            <w:tcW w:w="1245" w:type="dxa"/>
            <w:tcBorders>
              <w:top w:val="nil"/>
              <w:left w:val="nil"/>
              <w:bottom w:val="nil"/>
              <w:right w:val="nil"/>
            </w:tcBorders>
            <w:shd w:val="clear" w:color="auto" w:fill="auto"/>
          </w:tcPr>
          <w:p w14:paraId="2508C5F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56 (40–88)</w:t>
            </w:r>
          </w:p>
        </w:tc>
        <w:tc>
          <w:tcPr>
            <w:tcW w:w="2248" w:type="dxa"/>
            <w:tcBorders>
              <w:top w:val="nil"/>
              <w:left w:val="nil"/>
              <w:bottom w:val="nil"/>
              <w:right w:val="nil"/>
            </w:tcBorders>
            <w:shd w:val="clear" w:color="auto" w:fill="auto"/>
          </w:tcPr>
          <w:p w14:paraId="5C9F3C1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r w:rsidR="00AC667B" w:rsidRPr="00982AA9" w14:paraId="3113CAC9" w14:textId="77777777" w:rsidTr="00C47845">
        <w:trPr>
          <w:trHeight w:val="9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472F5D33"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Sung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r w:rsidRPr="00982AA9" w:rsidDel="00DC32FF">
              <w:rPr>
                <w:rFonts w:ascii="Book Antiqua" w:hAnsi="Book Antiqua" w:cs="Arial"/>
                <w:b w:val="0"/>
                <w:color w:val="auto"/>
              </w:rPr>
              <w:t xml:space="preserve"> </w:t>
            </w:r>
          </w:p>
        </w:tc>
        <w:tc>
          <w:tcPr>
            <w:tcW w:w="1134" w:type="dxa"/>
            <w:tcBorders>
              <w:top w:val="nil"/>
              <w:left w:val="nil"/>
              <w:bottom w:val="nil"/>
              <w:right w:val="nil"/>
            </w:tcBorders>
            <w:shd w:val="clear" w:color="auto" w:fill="auto"/>
          </w:tcPr>
          <w:p w14:paraId="7F174BC9"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3BC34B31"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4E28634D"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50</w:t>
            </w:r>
          </w:p>
        </w:tc>
        <w:tc>
          <w:tcPr>
            <w:tcW w:w="1245" w:type="dxa"/>
            <w:tcBorders>
              <w:top w:val="nil"/>
              <w:left w:val="nil"/>
              <w:bottom w:val="nil"/>
              <w:right w:val="nil"/>
            </w:tcBorders>
            <w:shd w:val="clear" w:color="auto" w:fill="auto"/>
          </w:tcPr>
          <w:p w14:paraId="7E766C44"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57.6 (4.9)</w:t>
            </w:r>
          </w:p>
        </w:tc>
        <w:tc>
          <w:tcPr>
            <w:tcW w:w="2248" w:type="dxa"/>
            <w:tcBorders>
              <w:top w:val="nil"/>
              <w:left w:val="nil"/>
              <w:bottom w:val="nil"/>
              <w:right w:val="nil"/>
            </w:tcBorders>
            <w:shd w:val="clear" w:color="auto" w:fill="auto"/>
          </w:tcPr>
          <w:p w14:paraId="2024711B"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74E0F3EE" w14:textId="77777777" w:rsidTr="00C47845">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right w:val="nil"/>
            </w:tcBorders>
            <w:shd w:val="clear" w:color="auto" w:fill="auto"/>
          </w:tcPr>
          <w:p w14:paraId="5F5760C7" w14:textId="77777777" w:rsidR="00AC667B" w:rsidRPr="00982AA9" w:rsidRDefault="00AC667B" w:rsidP="00C47845">
            <w:pPr>
              <w:spacing w:line="360" w:lineRule="auto"/>
              <w:jc w:val="both"/>
              <w:rPr>
                <w:rFonts w:ascii="Book Antiqua" w:hAnsi="Book Antiqua" w:cs="Arial"/>
                <w:b w:val="0"/>
                <w:bCs w:val="0"/>
                <w:color w:val="auto"/>
              </w:rPr>
            </w:pPr>
            <w:r w:rsidRPr="00982AA9">
              <w:rPr>
                <w:rFonts w:ascii="Book Antiqua" w:hAnsi="Book Antiqua" w:cs="Arial"/>
                <w:b w:val="0"/>
                <w:color w:val="auto"/>
              </w:rPr>
              <w:t>Tao</w:t>
            </w:r>
            <w:r w:rsidR="00F37592" w:rsidRPr="009C464A">
              <w:rPr>
                <w:rFonts w:ascii="Book Antiqua" w:eastAsiaTheme="minorEastAsia" w:hAnsi="Book Antiqua" w:cs="Arial" w:hint="eastAsia"/>
                <w:b w:val="0"/>
                <w:i/>
                <w:color w:val="auto"/>
                <w:lang w:eastAsia="zh-CN"/>
              </w:rPr>
              <w:t xml:space="preserve"> et al</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 2014</w:t>
            </w:r>
            <w:r w:rsidRPr="00982AA9">
              <w:rPr>
                <w:rFonts w:ascii="Book Antiqua" w:hAnsi="Book Antiqua" w:cs="Arial"/>
                <w:b w:val="0"/>
                <w:noProof/>
                <w:color w:val="auto"/>
                <w:vertAlign w:val="superscript"/>
              </w:rPr>
              <w:t>[46]</w:t>
            </w:r>
          </w:p>
        </w:tc>
        <w:tc>
          <w:tcPr>
            <w:tcW w:w="1134" w:type="dxa"/>
            <w:tcBorders>
              <w:top w:val="nil"/>
              <w:left w:val="nil"/>
              <w:bottom w:val="nil"/>
              <w:right w:val="nil"/>
            </w:tcBorders>
            <w:shd w:val="clear" w:color="auto" w:fill="auto"/>
          </w:tcPr>
          <w:p w14:paraId="3628916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left w:val="nil"/>
              <w:bottom w:val="nil"/>
              <w:right w:val="nil"/>
            </w:tcBorders>
            <w:shd w:val="clear" w:color="auto" w:fill="auto"/>
          </w:tcPr>
          <w:p w14:paraId="4D5DFCF8"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left w:val="nil"/>
              <w:bottom w:val="nil"/>
              <w:right w:val="nil"/>
            </w:tcBorders>
            <w:shd w:val="clear" w:color="auto" w:fill="auto"/>
          </w:tcPr>
          <w:p w14:paraId="29BEA1EB"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55</w:t>
            </w:r>
          </w:p>
        </w:tc>
        <w:tc>
          <w:tcPr>
            <w:tcW w:w="1245" w:type="dxa"/>
            <w:tcBorders>
              <w:top w:val="nil"/>
              <w:left w:val="nil"/>
              <w:bottom w:val="nil"/>
              <w:right w:val="nil"/>
            </w:tcBorders>
            <w:shd w:val="clear" w:color="auto" w:fill="auto"/>
          </w:tcPr>
          <w:p w14:paraId="1156767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63.5 (6.7)</w:t>
            </w:r>
          </w:p>
        </w:tc>
        <w:tc>
          <w:tcPr>
            <w:tcW w:w="2248" w:type="dxa"/>
            <w:tcBorders>
              <w:top w:val="nil"/>
              <w:left w:val="nil"/>
              <w:bottom w:val="nil"/>
              <w:right w:val="nil"/>
            </w:tcBorders>
            <w:shd w:val="clear" w:color="auto" w:fill="auto"/>
          </w:tcPr>
          <w:p w14:paraId="3D0B484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3C7EBC9D" w14:textId="77777777" w:rsidTr="00C47845">
        <w:trPr>
          <w:trHeight w:val="195"/>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74FAE260"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Wong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[45]</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 xml:space="preserve">2016 </w:t>
            </w:r>
          </w:p>
        </w:tc>
        <w:tc>
          <w:tcPr>
            <w:tcW w:w="1134" w:type="dxa"/>
            <w:tcBorders>
              <w:top w:val="nil"/>
              <w:bottom w:val="nil"/>
            </w:tcBorders>
            <w:shd w:val="clear" w:color="auto" w:fill="auto"/>
          </w:tcPr>
          <w:p w14:paraId="57CB72E3"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bottom w:val="nil"/>
            </w:tcBorders>
            <w:shd w:val="clear" w:color="auto" w:fill="auto"/>
          </w:tcPr>
          <w:p w14:paraId="33034B9A"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bottom w:val="nil"/>
            </w:tcBorders>
            <w:shd w:val="clear" w:color="auto" w:fill="auto"/>
          </w:tcPr>
          <w:p w14:paraId="20782452" w14:textId="77777777" w:rsidR="00AC667B" w:rsidRPr="00982AA9" w:rsidRDefault="005529F9"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50</w:t>
            </w:r>
            <w:r w:rsidR="00AC667B" w:rsidRPr="00982AA9">
              <w:rPr>
                <w:rFonts w:ascii="Book Antiqua" w:hAnsi="Book Antiqua" w:cs="Arial"/>
                <w:color w:val="auto"/>
              </w:rPr>
              <w:t xml:space="preserve">-70 </w:t>
            </w:r>
          </w:p>
        </w:tc>
        <w:tc>
          <w:tcPr>
            <w:tcW w:w="1245" w:type="dxa"/>
            <w:tcBorders>
              <w:top w:val="nil"/>
              <w:bottom w:val="nil"/>
              <w:right w:val="nil"/>
            </w:tcBorders>
            <w:shd w:val="clear" w:color="auto" w:fill="auto"/>
          </w:tcPr>
          <w:p w14:paraId="3C161B4E"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57.7 (4.93)</w:t>
            </w:r>
          </w:p>
        </w:tc>
        <w:tc>
          <w:tcPr>
            <w:tcW w:w="2248" w:type="dxa"/>
            <w:tcBorders>
              <w:top w:val="nil"/>
              <w:left w:val="nil"/>
              <w:bottom w:val="nil"/>
              <w:right w:val="nil"/>
            </w:tcBorders>
            <w:shd w:val="clear" w:color="auto" w:fill="auto"/>
          </w:tcPr>
          <w:p w14:paraId="37225E0C"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r>
      <w:tr w:rsidR="00AC667B" w:rsidRPr="00982AA9" w14:paraId="391E2A96" w14:textId="77777777" w:rsidTr="00C478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6516AD19"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Yang</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[47]</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2017</w:t>
            </w:r>
          </w:p>
        </w:tc>
        <w:tc>
          <w:tcPr>
            <w:tcW w:w="1134" w:type="dxa"/>
            <w:tcBorders>
              <w:top w:val="nil"/>
              <w:bottom w:val="nil"/>
            </w:tcBorders>
            <w:shd w:val="clear" w:color="auto" w:fill="auto"/>
          </w:tcPr>
          <w:p w14:paraId="31FB7EA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p>
        </w:tc>
        <w:tc>
          <w:tcPr>
            <w:tcW w:w="1660" w:type="dxa"/>
            <w:tcBorders>
              <w:top w:val="nil"/>
              <w:bottom w:val="nil"/>
            </w:tcBorders>
            <w:shd w:val="clear" w:color="auto" w:fill="auto"/>
          </w:tcPr>
          <w:p w14:paraId="1836E66C"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No</w:t>
            </w:r>
          </w:p>
        </w:tc>
        <w:tc>
          <w:tcPr>
            <w:tcW w:w="1510" w:type="dxa"/>
            <w:tcBorders>
              <w:top w:val="nil"/>
              <w:bottom w:val="nil"/>
            </w:tcBorders>
            <w:shd w:val="clear" w:color="auto" w:fill="auto"/>
          </w:tcPr>
          <w:p w14:paraId="0D328C96"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Style w:val="apple-converted-space"/>
                <w:rFonts w:ascii="Book Antiqua" w:hAnsi="Book Antiqua" w:cs="Arial"/>
                <w:color w:val="auto"/>
              </w:rPr>
              <w:t xml:space="preserve">50 </w:t>
            </w:r>
          </w:p>
        </w:tc>
        <w:tc>
          <w:tcPr>
            <w:tcW w:w="1245" w:type="dxa"/>
            <w:tcBorders>
              <w:top w:val="nil"/>
              <w:bottom w:val="nil"/>
              <w:right w:val="nil"/>
            </w:tcBorders>
            <w:shd w:val="clear" w:color="auto" w:fill="auto"/>
          </w:tcPr>
          <w:p w14:paraId="674817AD"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41.6 (8.3)</w:t>
            </w:r>
          </w:p>
        </w:tc>
        <w:tc>
          <w:tcPr>
            <w:tcW w:w="2248" w:type="dxa"/>
            <w:tcBorders>
              <w:top w:val="nil"/>
              <w:left w:val="nil"/>
              <w:bottom w:val="nil"/>
              <w:right w:val="nil"/>
            </w:tcBorders>
            <w:shd w:val="clear" w:color="auto" w:fill="auto"/>
          </w:tcPr>
          <w:p w14:paraId="53C14919"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Style w:val="apple-converted-space"/>
                <w:rFonts w:ascii="Book Antiqua" w:hAnsi="Book Antiqua" w:cs="Arial"/>
                <w:color w:val="auto"/>
              </w:rPr>
            </w:pPr>
            <w:r w:rsidRPr="00982AA9">
              <w:rPr>
                <w:rStyle w:val="apple-converted-space"/>
                <w:rFonts w:ascii="Book Antiqua" w:hAnsi="Book Antiqua" w:cs="Arial"/>
                <w:color w:val="auto"/>
              </w:rPr>
              <w:t>Yes</w:t>
            </w:r>
          </w:p>
        </w:tc>
      </w:tr>
      <w:tr w:rsidR="00AC667B" w:rsidRPr="00982AA9" w14:paraId="23FD9DC6" w14:textId="77777777" w:rsidTr="00C47845">
        <w:trPr>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nil"/>
            </w:tcBorders>
            <w:shd w:val="clear" w:color="auto" w:fill="auto"/>
          </w:tcPr>
          <w:p w14:paraId="5554828D" w14:textId="77777777" w:rsidR="00AC667B" w:rsidRPr="00982AA9" w:rsidRDefault="00AC667B" w:rsidP="005D5EFB">
            <w:pPr>
              <w:spacing w:line="360" w:lineRule="auto"/>
              <w:jc w:val="both"/>
              <w:rPr>
                <w:rFonts w:ascii="Book Antiqua" w:hAnsi="Book Antiqua" w:cs="Arial"/>
                <w:b w:val="0"/>
                <w:bCs w:val="0"/>
                <w:color w:val="auto"/>
              </w:rPr>
            </w:pPr>
            <w:r w:rsidRPr="00982AA9">
              <w:rPr>
                <w:rFonts w:ascii="Book Antiqua" w:hAnsi="Book Antiqua" w:cs="Arial"/>
                <w:b w:val="0"/>
                <w:color w:val="auto"/>
              </w:rPr>
              <w:t>Yeoh</w:t>
            </w:r>
            <w:r w:rsidR="00F37592" w:rsidRPr="009C464A">
              <w:rPr>
                <w:rFonts w:ascii="Book Antiqua" w:eastAsiaTheme="minorEastAsia" w:hAnsi="Book Antiqua" w:cs="Arial" w:hint="eastAsia"/>
                <w:b w:val="0"/>
                <w:i/>
                <w:color w:val="auto"/>
                <w:lang w:eastAsia="zh-CN"/>
              </w:rPr>
              <w:t xml:space="preserve"> et al</w:t>
            </w:r>
            <w:r w:rsidR="005D5EFB" w:rsidRPr="00982AA9">
              <w:rPr>
                <w:rFonts w:ascii="Book Antiqua" w:hAnsi="Book Antiqua" w:cs="Arial"/>
                <w:b w:val="0"/>
                <w:noProof/>
                <w:color w:val="auto"/>
                <w:vertAlign w:val="superscript"/>
              </w:rPr>
              <w:t>[48]</w:t>
            </w:r>
            <w:r w:rsidR="00F37592">
              <w:rPr>
                <w:rFonts w:ascii="Book Antiqua" w:eastAsiaTheme="minorEastAsia" w:hAnsi="Book Antiqua" w:cs="Arial" w:hint="eastAsia"/>
                <w:b w:val="0"/>
                <w:color w:val="auto"/>
                <w:lang w:eastAsia="zh-CN"/>
              </w:rPr>
              <w:t xml:space="preserve">, </w:t>
            </w:r>
            <w:r w:rsidRPr="00982AA9">
              <w:rPr>
                <w:rFonts w:ascii="Book Antiqua" w:hAnsi="Book Antiqua" w:cs="Arial"/>
                <w:b w:val="0"/>
                <w:color w:val="auto"/>
              </w:rPr>
              <w:t>2011</w:t>
            </w:r>
          </w:p>
        </w:tc>
        <w:tc>
          <w:tcPr>
            <w:tcW w:w="1134" w:type="dxa"/>
            <w:tcBorders>
              <w:top w:val="nil"/>
              <w:bottom w:val="nil"/>
            </w:tcBorders>
            <w:shd w:val="clear" w:color="auto" w:fill="auto"/>
          </w:tcPr>
          <w:p w14:paraId="26212EB2" w14:textId="77777777" w:rsidR="00AC667B" w:rsidRPr="00982AA9" w:rsidRDefault="00AC667B" w:rsidP="00C4784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Prospective</w:t>
            </w:r>
          </w:p>
        </w:tc>
        <w:tc>
          <w:tcPr>
            <w:tcW w:w="1660" w:type="dxa"/>
            <w:tcBorders>
              <w:top w:val="nil"/>
              <w:bottom w:val="nil"/>
            </w:tcBorders>
            <w:shd w:val="clear" w:color="auto" w:fill="auto"/>
          </w:tcPr>
          <w:p w14:paraId="6209237A"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p>
        </w:tc>
        <w:tc>
          <w:tcPr>
            <w:tcW w:w="1510" w:type="dxa"/>
            <w:tcBorders>
              <w:top w:val="nil"/>
              <w:bottom w:val="nil"/>
            </w:tcBorders>
            <w:shd w:val="clear" w:color="auto" w:fill="auto"/>
          </w:tcPr>
          <w:p w14:paraId="13A2DDBC"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16 </w:t>
            </w:r>
          </w:p>
        </w:tc>
        <w:tc>
          <w:tcPr>
            <w:tcW w:w="1245" w:type="dxa"/>
            <w:tcBorders>
              <w:top w:val="nil"/>
              <w:bottom w:val="nil"/>
              <w:right w:val="nil"/>
            </w:tcBorders>
            <w:shd w:val="clear" w:color="auto" w:fill="auto"/>
          </w:tcPr>
          <w:p w14:paraId="6A2123AD"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54 (11.6)</w:t>
            </w:r>
          </w:p>
        </w:tc>
        <w:tc>
          <w:tcPr>
            <w:tcW w:w="2248" w:type="dxa"/>
            <w:tcBorders>
              <w:top w:val="nil"/>
              <w:left w:val="nil"/>
              <w:bottom w:val="nil"/>
              <w:right w:val="nil"/>
            </w:tcBorders>
            <w:shd w:val="clear" w:color="auto" w:fill="auto"/>
          </w:tcPr>
          <w:p w14:paraId="14628E66" w14:textId="77777777" w:rsidR="00AC667B" w:rsidRPr="00982AA9" w:rsidRDefault="00AC667B" w:rsidP="00C4784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No</w:t>
            </w:r>
            <w:r w:rsidR="00393F15" w:rsidRPr="00982AA9">
              <w:rPr>
                <w:rFonts w:ascii="Book Antiqua" w:eastAsiaTheme="minorEastAsia" w:hAnsi="Book Antiqua" w:cs="Arial"/>
                <w:color w:val="auto"/>
                <w:vertAlign w:val="superscript"/>
                <w:lang w:eastAsia="zh-CN"/>
              </w:rPr>
              <w:t>1</w:t>
            </w:r>
          </w:p>
        </w:tc>
      </w:tr>
      <w:tr w:rsidR="00AC667B" w:rsidRPr="00982AA9" w14:paraId="15247D1B" w14:textId="77777777" w:rsidTr="00C4784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18" w:type="dxa"/>
            <w:tcBorders>
              <w:top w:val="nil"/>
              <w:left w:val="nil"/>
              <w:bottom w:val="single" w:sz="4" w:space="0" w:color="auto"/>
            </w:tcBorders>
            <w:shd w:val="clear" w:color="auto" w:fill="auto"/>
          </w:tcPr>
          <w:p w14:paraId="539A69AE" w14:textId="77777777" w:rsidR="00AC667B" w:rsidRPr="00982AA9" w:rsidRDefault="00AC667B" w:rsidP="00C47845">
            <w:pPr>
              <w:spacing w:line="360" w:lineRule="auto"/>
              <w:jc w:val="both"/>
              <w:rPr>
                <w:rFonts w:ascii="Book Antiqua" w:hAnsi="Book Antiqua" w:cs="Arial"/>
                <w:color w:val="auto"/>
              </w:rPr>
            </w:pPr>
            <w:r w:rsidRPr="00982AA9">
              <w:rPr>
                <w:rFonts w:ascii="Book Antiqua" w:hAnsi="Book Antiqua" w:cs="Arial"/>
                <w:b w:val="0"/>
                <w:color w:val="auto"/>
              </w:rPr>
              <w:t xml:space="preserve">Current </w:t>
            </w:r>
            <w:r w:rsidR="005529F9" w:rsidRPr="00982AA9">
              <w:rPr>
                <w:rFonts w:ascii="Book Antiqua" w:hAnsi="Book Antiqua" w:cs="Arial"/>
                <w:b w:val="0"/>
                <w:color w:val="auto"/>
              </w:rPr>
              <w:t>s</w:t>
            </w:r>
            <w:r w:rsidRPr="00982AA9">
              <w:rPr>
                <w:rFonts w:ascii="Book Antiqua" w:hAnsi="Book Antiqua" w:cs="Arial"/>
                <w:b w:val="0"/>
                <w:color w:val="auto"/>
              </w:rPr>
              <w:t>tudy</w:t>
            </w:r>
          </w:p>
        </w:tc>
        <w:tc>
          <w:tcPr>
            <w:tcW w:w="1134" w:type="dxa"/>
            <w:tcBorders>
              <w:top w:val="nil"/>
              <w:bottom w:val="single" w:sz="4" w:space="0" w:color="auto"/>
            </w:tcBorders>
            <w:shd w:val="clear" w:color="auto" w:fill="auto"/>
          </w:tcPr>
          <w:p w14:paraId="65D50D41" w14:textId="77777777" w:rsidR="00AC667B" w:rsidRPr="00982AA9" w:rsidRDefault="00AC667B" w:rsidP="00C478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bCs/>
                <w:color w:val="auto"/>
              </w:rPr>
              <w:t>Prospective</w:t>
            </w:r>
          </w:p>
        </w:tc>
        <w:tc>
          <w:tcPr>
            <w:tcW w:w="1660" w:type="dxa"/>
            <w:tcBorders>
              <w:top w:val="nil"/>
              <w:bottom w:val="single" w:sz="4" w:space="0" w:color="auto"/>
            </w:tcBorders>
            <w:shd w:val="clear" w:color="auto" w:fill="auto"/>
          </w:tcPr>
          <w:p w14:paraId="396A56AC"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bCs/>
                <w:color w:val="auto"/>
              </w:rPr>
              <w:t>Yes</w:t>
            </w:r>
          </w:p>
        </w:tc>
        <w:tc>
          <w:tcPr>
            <w:tcW w:w="1510" w:type="dxa"/>
            <w:tcBorders>
              <w:top w:val="nil"/>
              <w:bottom w:val="single" w:sz="4" w:space="0" w:color="auto"/>
            </w:tcBorders>
            <w:shd w:val="clear" w:color="auto" w:fill="auto"/>
          </w:tcPr>
          <w:p w14:paraId="3F8BD914"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w:t>
            </w:r>
            <w:r w:rsidR="005529F9" w:rsidRPr="00982AA9">
              <w:rPr>
                <w:rFonts w:ascii="Book Antiqua" w:eastAsiaTheme="minorEastAsia" w:hAnsi="Book Antiqua" w:cs="Arial"/>
                <w:color w:val="auto"/>
                <w:lang w:eastAsia="zh-CN"/>
              </w:rPr>
              <w:t xml:space="preserve"> </w:t>
            </w:r>
            <w:r w:rsidRPr="00982AA9">
              <w:rPr>
                <w:rFonts w:ascii="Book Antiqua" w:hAnsi="Book Antiqua" w:cs="Arial"/>
                <w:color w:val="auto"/>
              </w:rPr>
              <w:t xml:space="preserve">50 </w:t>
            </w:r>
          </w:p>
        </w:tc>
        <w:tc>
          <w:tcPr>
            <w:tcW w:w="1245" w:type="dxa"/>
            <w:tcBorders>
              <w:top w:val="nil"/>
              <w:bottom w:val="single" w:sz="4" w:space="0" w:color="auto"/>
              <w:right w:val="nil"/>
            </w:tcBorders>
            <w:shd w:val="clear" w:color="auto" w:fill="auto"/>
          </w:tcPr>
          <w:p w14:paraId="7313B0E0"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61 (8)</w:t>
            </w:r>
          </w:p>
        </w:tc>
        <w:tc>
          <w:tcPr>
            <w:tcW w:w="2248" w:type="dxa"/>
            <w:tcBorders>
              <w:top w:val="nil"/>
              <w:left w:val="nil"/>
              <w:bottom w:val="single" w:sz="4" w:space="0" w:color="auto"/>
              <w:right w:val="nil"/>
            </w:tcBorders>
            <w:shd w:val="clear" w:color="auto" w:fill="auto"/>
          </w:tcPr>
          <w:p w14:paraId="55756EB2" w14:textId="77777777" w:rsidR="00AC667B" w:rsidRPr="00982AA9" w:rsidRDefault="00AC667B" w:rsidP="00C478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982AA9">
              <w:rPr>
                <w:rFonts w:ascii="Book Antiqua" w:hAnsi="Book Antiqua" w:cs="Arial"/>
                <w:color w:val="auto"/>
              </w:rPr>
              <w:t>Yes</w:t>
            </w:r>
          </w:p>
        </w:tc>
      </w:tr>
    </w:tbl>
    <w:p w14:paraId="33E03180" w14:textId="77777777" w:rsidR="005529F9" w:rsidRPr="00190C47" w:rsidRDefault="005529F9" w:rsidP="00982AA9">
      <w:pPr>
        <w:spacing w:line="360" w:lineRule="auto"/>
        <w:jc w:val="both"/>
        <w:rPr>
          <w:rFonts w:ascii="Book Antiqua" w:hAnsi="Book Antiqua" w:cs="Arial"/>
          <w:lang w:eastAsia="zh-CN"/>
        </w:rPr>
      </w:pPr>
      <w:r w:rsidRPr="00982AA9">
        <w:rPr>
          <w:rFonts w:ascii="Book Antiqua" w:hAnsi="Book Antiqua" w:cs="Arial"/>
        </w:rPr>
        <w:lastRenderedPageBreak/>
        <w:t xml:space="preserve">Participants with a family history of </w:t>
      </w:r>
      <w:r w:rsidR="0039629F" w:rsidRPr="00982AA9">
        <w:rPr>
          <w:rFonts w:ascii="Book Antiqua" w:hAnsi="Book Antiqua" w:cs="Arial"/>
        </w:rPr>
        <w:t>colorectal cancer</w:t>
      </w:r>
      <w:r w:rsidRPr="00982AA9">
        <w:rPr>
          <w:rFonts w:ascii="Book Antiqua" w:hAnsi="Book Antiqua" w:cs="Arial"/>
        </w:rPr>
        <w:t xml:space="preserve"> and/or colorectal polyps detected above the age of 60 were included. Those below the age of 60 were excluded.</w:t>
      </w:r>
      <w:r w:rsidRPr="00982AA9">
        <w:rPr>
          <w:rFonts w:ascii="Book Antiqua" w:eastAsia="等线" w:hAnsi="Book Antiqua" w:cs="Arial"/>
          <w:lang w:eastAsia="zh-CN"/>
        </w:rPr>
        <w:t xml:space="preserve"> </w:t>
      </w:r>
      <w:r w:rsidRPr="00982AA9">
        <w:rPr>
          <w:rFonts w:ascii="Book Antiqua" w:hAnsi="Book Antiqua" w:cs="Arial"/>
        </w:rPr>
        <w:t>Included subjects with prior colonoscopic screening (≥</w:t>
      </w:r>
      <w:r w:rsidRPr="00982AA9">
        <w:rPr>
          <w:rFonts w:ascii="Book Antiqua" w:hAnsi="Book Antiqua" w:cs="Arial"/>
          <w:lang w:eastAsia="zh-CN"/>
        </w:rPr>
        <w:t xml:space="preserve"> </w:t>
      </w:r>
      <w:r w:rsidR="007143B4">
        <w:rPr>
          <w:rFonts w:ascii="Book Antiqua" w:hAnsi="Book Antiqua" w:cs="Arial"/>
        </w:rPr>
        <w:t>5 y</w:t>
      </w:r>
      <w:r w:rsidRPr="00982AA9">
        <w:rPr>
          <w:rFonts w:ascii="Book Antiqua" w:hAnsi="Book Antiqua" w:cs="Arial"/>
        </w:rPr>
        <w:t>r</w:t>
      </w:r>
      <w:r w:rsidR="00393F15" w:rsidRPr="00982AA9">
        <w:rPr>
          <w:rFonts w:ascii="Book Antiqua" w:hAnsi="Book Antiqua" w:cs="Arial"/>
          <w:vertAlign w:val="superscript"/>
          <w:lang w:eastAsia="zh-CN"/>
        </w:rPr>
        <w:t>1</w:t>
      </w:r>
      <w:r w:rsidRPr="00982AA9">
        <w:rPr>
          <w:rFonts w:ascii="Book Antiqua" w:hAnsi="Book Antiqua" w:cs="Arial"/>
        </w:rPr>
        <w:t xml:space="preserve"> or ≥</w:t>
      </w:r>
      <w:r w:rsidRPr="00982AA9">
        <w:rPr>
          <w:rFonts w:ascii="Book Antiqua" w:hAnsi="Book Antiqua" w:cs="Arial"/>
          <w:lang w:eastAsia="zh-CN"/>
        </w:rPr>
        <w:t xml:space="preserve"> </w:t>
      </w:r>
      <w:r w:rsidR="007143B4">
        <w:rPr>
          <w:rFonts w:ascii="Book Antiqua" w:hAnsi="Book Antiqua" w:cs="Arial"/>
        </w:rPr>
        <w:t>10 y</w:t>
      </w:r>
      <w:r w:rsidRPr="00982AA9">
        <w:rPr>
          <w:rFonts w:ascii="Book Antiqua" w:hAnsi="Book Antiqua" w:cs="Arial"/>
        </w:rPr>
        <w:t>r</w:t>
      </w:r>
      <w:r w:rsidR="00393F15" w:rsidRPr="00982AA9">
        <w:rPr>
          <w:rFonts w:ascii="Book Antiqua" w:hAnsi="Book Antiqua" w:cs="Arial"/>
          <w:vertAlign w:val="superscript"/>
          <w:lang w:eastAsia="zh-CN"/>
        </w:rPr>
        <w:t>2</w:t>
      </w:r>
      <w:r w:rsidRPr="00982AA9">
        <w:rPr>
          <w:rFonts w:ascii="Book Antiqua" w:hAnsi="Book Antiqua" w:cs="Arial"/>
        </w:rPr>
        <w:t>).</w:t>
      </w:r>
    </w:p>
    <w:sectPr w:rsidR="005529F9" w:rsidRPr="00190C47" w:rsidSect="002C5B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5F9AF" w14:textId="77777777" w:rsidR="00657F7D" w:rsidRDefault="00657F7D" w:rsidP="003B65E1">
      <w:r>
        <w:separator/>
      </w:r>
    </w:p>
  </w:endnote>
  <w:endnote w:type="continuationSeparator" w:id="0">
    <w:p w14:paraId="4A5FE450" w14:textId="77777777" w:rsidR="00657F7D" w:rsidRDefault="00657F7D" w:rsidP="003B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94388"/>
      <w:docPartObj>
        <w:docPartGallery w:val="Page Numbers (Bottom of Page)"/>
        <w:docPartUnique/>
      </w:docPartObj>
    </w:sdtPr>
    <w:sdtEndPr/>
    <w:sdtContent>
      <w:sdt>
        <w:sdtPr>
          <w:id w:val="860082579"/>
          <w:docPartObj>
            <w:docPartGallery w:val="Page Numbers (Top of Page)"/>
            <w:docPartUnique/>
          </w:docPartObj>
        </w:sdtPr>
        <w:sdtEndPr/>
        <w:sdtContent>
          <w:p w14:paraId="07D322DF" w14:textId="77777777" w:rsidR="003B65E1" w:rsidRDefault="003B65E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16D7F">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16D7F">
              <w:rPr>
                <w:b/>
                <w:bCs/>
                <w:noProof/>
              </w:rPr>
              <w:t>35</w:t>
            </w:r>
            <w:r>
              <w:rPr>
                <w:b/>
                <w:bCs/>
                <w:sz w:val="24"/>
                <w:szCs w:val="24"/>
              </w:rPr>
              <w:fldChar w:fldCharType="end"/>
            </w:r>
          </w:p>
        </w:sdtContent>
      </w:sdt>
    </w:sdtContent>
  </w:sdt>
  <w:p w14:paraId="49ED8AD8" w14:textId="77777777" w:rsidR="003B65E1" w:rsidRDefault="003B65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7F594" w14:textId="77777777" w:rsidR="00657F7D" w:rsidRDefault="00657F7D" w:rsidP="003B65E1">
      <w:r>
        <w:separator/>
      </w:r>
    </w:p>
  </w:footnote>
  <w:footnote w:type="continuationSeparator" w:id="0">
    <w:p w14:paraId="49D69FF3" w14:textId="77777777" w:rsidR="00657F7D" w:rsidRDefault="00657F7D" w:rsidP="003B6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AF"/>
    <w:rsid w:val="00004D3E"/>
    <w:rsid w:val="00022EB1"/>
    <w:rsid w:val="00042D6F"/>
    <w:rsid w:val="00050333"/>
    <w:rsid w:val="00052EDB"/>
    <w:rsid w:val="0005319D"/>
    <w:rsid w:val="000605A2"/>
    <w:rsid w:val="000931C1"/>
    <w:rsid w:val="000950D2"/>
    <w:rsid w:val="00096E36"/>
    <w:rsid w:val="000C3CE0"/>
    <w:rsid w:val="000E5A04"/>
    <w:rsid w:val="000F3ECA"/>
    <w:rsid w:val="00107A2B"/>
    <w:rsid w:val="00110AF2"/>
    <w:rsid w:val="00116D7F"/>
    <w:rsid w:val="001279DF"/>
    <w:rsid w:val="001459C8"/>
    <w:rsid w:val="0015478E"/>
    <w:rsid w:val="00190C47"/>
    <w:rsid w:val="00196733"/>
    <w:rsid w:val="001B53EF"/>
    <w:rsid w:val="001C0DF4"/>
    <w:rsid w:val="001C2390"/>
    <w:rsid w:val="001C7D27"/>
    <w:rsid w:val="001E115E"/>
    <w:rsid w:val="002366D0"/>
    <w:rsid w:val="00243ED6"/>
    <w:rsid w:val="0024578A"/>
    <w:rsid w:val="002C26E8"/>
    <w:rsid w:val="002C5BB9"/>
    <w:rsid w:val="002D5702"/>
    <w:rsid w:val="003138FE"/>
    <w:rsid w:val="00314121"/>
    <w:rsid w:val="00315FCF"/>
    <w:rsid w:val="00317039"/>
    <w:rsid w:val="00320EA6"/>
    <w:rsid w:val="00323284"/>
    <w:rsid w:val="00330773"/>
    <w:rsid w:val="00350F07"/>
    <w:rsid w:val="00367220"/>
    <w:rsid w:val="0038368F"/>
    <w:rsid w:val="00393F15"/>
    <w:rsid w:val="0039629F"/>
    <w:rsid w:val="003A4550"/>
    <w:rsid w:val="003B65E1"/>
    <w:rsid w:val="003B6B68"/>
    <w:rsid w:val="003C699F"/>
    <w:rsid w:val="003E55AF"/>
    <w:rsid w:val="003F2822"/>
    <w:rsid w:val="003F2E8B"/>
    <w:rsid w:val="00403487"/>
    <w:rsid w:val="00415D7D"/>
    <w:rsid w:val="0042247F"/>
    <w:rsid w:val="00425627"/>
    <w:rsid w:val="004343F2"/>
    <w:rsid w:val="0043666A"/>
    <w:rsid w:val="004433C9"/>
    <w:rsid w:val="00446B21"/>
    <w:rsid w:val="00453F42"/>
    <w:rsid w:val="00454274"/>
    <w:rsid w:val="00470F7F"/>
    <w:rsid w:val="00481D28"/>
    <w:rsid w:val="0049403F"/>
    <w:rsid w:val="004A2735"/>
    <w:rsid w:val="004A627F"/>
    <w:rsid w:val="004B124B"/>
    <w:rsid w:val="004D66E5"/>
    <w:rsid w:val="0052131F"/>
    <w:rsid w:val="00524AB6"/>
    <w:rsid w:val="005432A2"/>
    <w:rsid w:val="005529F9"/>
    <w:rsid w:val="00554551"/>
    <w:rsid w:val="005644B8"/>
    <w:rsid w:val="005743FE"/>
    <w:rsid w:val="005844A9"/>
    <w:rsid w:val="005A261D"/>
    <w:rsid w:val="005C79DA"/>
    <w:rsid w:val="005D5EFB"/>
    <w:rsid w:val="005F625D"/>
    <w:rsid w:val="00602379"/>
    <w:rsid w:val="00602F8F"/>
    <w:rsid w:val="00605B98"/>
    <w:rsid w:val="00641EC4"/>
    <w:rsid w:val="00647E3D"/>
    <w:rsid w:val="00650614"/>
    <w:rsid w:val="00657F7D"/>
    <w:rsid w:val="0068448B"/>
    <w:rsid w:val="006865C8"/>
    <w:rsid w:val="006933CF"/>
    <w:rsid w:val="006D66AC"/>
    <w:rsid w:val="006E19EB"/>
    <w:rsid w:val="006F21E5"/>
    <w:rsid w:val="006F5039"/>
    <w:rsid w:val="006F7EF1"/>
    <w:rsid w:val="007143B4"/>
    <w:rsid w:val="007247DF"/>
    <w:rsid w:val="00726C9F"/>
    <w:rsid w:val="007331AB"/>
    <w:rsid w:val="00752719"/>
    <w:rsid w:val="007733C5"/>
    <w:rsid w:val="0078491D"/>
    <w:rsid w:val="00785179"/>
    <w:rsid w:val="007A77A8"/>
    <w:rsid w:val="007B0F96"/>
    <w:rsid w:val="007B1B68"/>
    <w:rsid w:val="007C2811"/>
    <w:rsid w:val="007C7DE9"/>
    <w:rsid w:val="007E3A6E"/>
    <w:rsid w:val="007F5590"/>
    <w:rsid w:val="008039D5"/>
    <w:rsid w:val="0081767A"/>
    <w:rsid w:val="008215BA"/>
    <w:rsid w:val="00834DDF"/>
    <w:rsid w:val="00855FBE"/>
    <w:rsid w:val="0086188C"/>
    <w:rsid w:val="00870179"/>
    <w:rsid w:val="0088099F"/>
    <w:rsid w:val="008A1936"/>
    <w:rsid w:val="008F4EA5"/>
    <w:rsid w:val="00927957"/>
    <w:rsid w:val="00982AA9"/>
    <w:rsid w:val="009C464A"/>
    <w:rsid w:val="009D5C77"/>
    <w:rsid w:val="00A1051F"/>
    <w:rsid w:val="00A254B4"/>
    <w:rsid w:val="00A55874"/>
    <w:rsid w:val="00A73183"/>
    <w:rsid w:val="00A77B3E"/>
    <w:rsid w:val="00A82C24"/>
    <w:rsid w:val="00AA4FC6"/>
    <w:rsid w:val="00AC3A48"/>
    <w:rsid w:val="00AC4F10"/>
    <w:rsid w:val="00AC667B"/>
    <w:rsid w:val="00AD4083"/>
    <w:rsid w:val="00AE298F"/>
    <w:rsid w:val="00AF5651"/>
    <w:rsid w:val="00B013C0"/>
    <w:rsid w:val="00B16978"/>
    <w:rsid w:val="00B44B06"/>
    <w:rsid w:val="00B502DC"/>
    <w:rsid w:val="00B54D8C"/>
    <w:rsid w:val="00B95166"/>
    <w:rsid w:val="00BC32EA"/>
    <w:rsid w:val="00BE036F"/>
    <w:rsid w:val="00BE0E45"/>
    <w:rsid w:val="00BE2D34"/>
    <w:rsid w:val="00BF0E73"/>
    <w:rsid w:val="00C22708"/>
    <w:rsid w:val="00C34367"/>
    <w:rsid w:val="00C47845"/>
    <w:rsid w:val="00C65C04"/>
    <w:rsid w:val="00C66102"/>
    <w:rsid w:val="00C6616B"/>
    <w:rsid w:val="00C671B7"/>
    <w:rsid w:val="00C70B19"/>
    <w:rsid w:val="00CA2A55"/>
    <w:rsid w:val="00CB1BF4"/>
    <w:rsid w:val="00CC0BAA"/>
    <w:rsid w:val="00CF7AD0"/>
    <w:rsid w:val="00D224F8"/>
    <w:rsid w:val="00D3374F"/>
    <w:rsid w:val="00D36F82"/>
    <w:rsid w:val="00D40601"/>
    <w:rsid w:val="00D60632"/>
    <w:rsid w:val="00D635CA"/>
    <w:rsid w:val="00D726D8"/>
    <w:rsid w:val="00D76235"/>
    <w:rsid w:val="00D92A7B"/>
    <w:rsid w:val="00DB6173"/>
    <w:rsid w:val="00DC13CA"/>
    <w:rsid w:val="00DC5108"/>
    <w:rsid w:val="00DC6D38"/>
    <w:rsid w:val="00DF5BE8"/>
    <w:rsid w:val="00E0177F"/>
    <w:rsid w:val="00E138DF"/>
    <w:rsid w:val="00E16056"/>
    <w:rsid w:val="00E45E63"/>
    <w:rsid w:val="00E4648F"/>
    <w:rsid w:val="00E54B21"/>
    <w:rsid w:val="00E7116F"/>
    <w:rsid w:val="00E748D4"/>
    <w:rsid w:val="00EA2620"/>
    <w:rsid w:val="00EF3E96"/>
    <w:rsid w:val="00EF52B5"/>
    <w:rsid w:val="00F06391"/>
    <w:rsid w:val="00F1429A"/>
    <w:rsid w:val="00F336D8"/>
    <w:rsid w:val="00F37592"/>
    <w:rsid w:val="00F466E8"/>
    <w:rsid w:val="00F55763"/>
    <w:rsid w:val="00F62C59"/>
    <w:rsid w:val="00F80ECE"/>
    <w:rsid w:val="00F927B1"/>
    <w:rsid w:val="00F96130"/>
    <w:rsid w:val="00FA10E2"/>
    <w:rsid w:val="00FE6B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5A7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254B4"/>
    <w:rPr>
      <w:sz w:val="18"/>
      <w:szCs w:val="18"/>
    </w:rPr>
  </w:style>
  <w:style w:type="character" w:customStyle="1" w:styleId="Char">
    <w:name w:val="批注框文本 Char"/>
    <w:basedOn w:val="a0"/>
    <w:link w:val="a3"/>
    <w:rsid w:val="00A254B4"/>
    <w:rPr>
      <w:sz w:val="18"/>
      <w:szCs w:val="18"/>
    </w:rPr>
  </w:style>
  <w:style w:type="character" w:customStyle="1" w:styleId="apple-converted-space">
    <w:name w:val="apple-converted-space"/>
    <w:basedOn w:val="a0"/>
    <w:rsid w:val="00AC667B"/>
  </w:style>
  <w:style w:type="table" w:customStyle="1" w:styleId="ListTable6Colorful1">
    <w:name w:val="List Table 6 Colorful1"/>
    <w:basedOn w:val="a1"/>
    <w:uiPriority w:val="51"/>
    <w:rsid w:val="00AC667B"/>
    <w:rPr>
      <w:rFonts w:asciiTheme="minorHAnsi" w:eastAsiaTheme="minorHAnsi" w:hAnsiTheme="minorHAnsi" w:cstheme="minorBidi"/>
      <w:color w:val="000000" w:themeColor="text1"/>
      <w:sz w:val="24"/>
      <w:szCs w:val="24"/>
      <w:lang w:val="uz-Cyrl-UZ"/>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C667B"/>
    <w:pPr>
      <w:autoSpaceDE w:val="0"/>
      <w:autoSpaceDN w:val="0"/>
      <w:adjustRightInd w:val="0"/>
    </w:pPr>
    <w:rPr>
      <w:rFonts w:eastAsiaTheme="minorHAnsi"/>
      <w:color w:val="000000"/>
      <w:sz w:val="24"/>
      <w:szCs w:val="24"/>
    </w:rPr>
  </w:style>
  <w:style w:type="paragraph" w:styleId="a4">
    <w:name w:val="header"/>
    <w:basedOn w:val="a"/>
    <w:link w:val="Char0"/>
    <w:rsid w:val="003B65E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B65E1"/>
    <w:rPr>
      <w:sz w:val="18"/>
      <w:szCs w:val="18"/>
    </w:rPr>
  </w:style>
  <w:style w:type="paragraph" w:styleId="a5">
    <w:name w:val="footer"/>
    <w:basedOn w:val="a"/>
    <w:link w:val="Char1"/>
    <w:uiPriority w:val="99"/>
    <w:rsid w:val="003B65E1"/>
    <w:pPr>
      <w:tabs>
        <w:tab w:val="center" w:pos="4153"/>
        <w:tab w:val="right" w:pos="8306"/>
      </w:tabs>
      <w:snapToGrid w:val="0"/>
    </w:pPr>
    <w:rPr>
      <w:sz w:val="18"/>
      <w:szCs w:val="18"/>
    </w:rPr>
  </w:style>
  <w:style w:type="character" w:customStyle="1" w:styleId="Char1">
    <w:name w:val="页脚 Char"/>
    <w:basedOn w:val="a0"/>
    <w:link w:val="a5"/>
    <w:uiPriority w:val="99"/>
    <w:rsid w:val="003B65E1"/>
    <w:rPr>
      <w:sz w:val="18"/>
      <w:szCs w:val="18"/>
    </w:rPr>
  </w:style>
  <w:style w:type="paragraph" w:styleId="a6">
    <w:name w:val="Normal (Web)"/>
    <w:basedOn w:val="a"/>
    <w:uiPriority w:val="99"/>
    <w:semiHidden/>
    <w:unhideWhenUsed/>
    <w:rsid w:val="0052131F"/>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254B4"/>
    <w:rPr>
      <w:sz w:val="18"/>
      <w:szCs w:val="18"/>
    </w:rPr>
  </w:style>
  <w:style w:type="character" w:customStyle="1" w:styleId="Char">
    <w:name w:val="批注框文本 Char"/>
    <w:basedOn w:val="a0"/>
    <w:link w:val="a3"/>
    <w:rsid w:val="00A254B4"/>
    <w:rPr>
      <w:sz w:val="18"/>
      <w:szCs w:val="18"/>
    </w:rPr>
  </w:style>
  <w:style w:type="character" w:customStyle="1" w:styleId="apple-converted-space">
    <w:name w:val="apple-converted-space"/>
    <w:basedOn w:val="a0"/>
    <w:rsid w:val="00AC667B"/>
  </w:style>
  <w:style w:type="table" w:customStyle="1" w:styleId="ListTable6Colorful1">
    <w:name w:val="List Table 6 Colorful1"/>
    <w:basedOn w:val="a1"/>
    <w:uiPriority w:val="51"/>
    <w:rsid w:val="00AC667B"/>
    <w:rPr>
      <w:rFonts w:asciiTheme="minorHAnsi" w:eastAsiaTheme="minorHAnsi" w:hAnsiTheme="minorHAnsi" w:cstheme="minorBidi"/>
      <w:color w:val="000000" w:themeColor="text1"/>
      <w:sz w:val="24"/>
      <w:szCs w:val="24"/>
      <w:lang w:val="uz-Cyrl-UZ"/>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C667B"/>
    <w:pPr>
      <w:autoSpaceDE w:val="0"/>
      <w:autoSpaceDN w:val="0"/>
      <w:adjustRightInd w:val="0"/>
    </w:pPr>
    <w:rPr>
      <w:rFonts w:eastAsiaTheme="minorHAnsi"/>
      <w:color w:val="000000"/>
      <w:sz w:val="24"/>
      <w:szCs w:val="24"/>
    </w:rPr>
  </w:style>
  <w:style w:type="paragraph" w:styleId="a4">
    <w:name w:val="header"/>
    <w:basedOn w:val="a"/>
    <w:link w:val="Char0"/>
    <w:rsid w:val="003B65E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B65E1"/>
    <w:rPr>
      <w:sz w:val="18"/>
      <w:szCs w:val="18"/>
    </w:rPr>
  </w:style>
  <w:style w:type="paragraph" w:styleId="a5">
    <w:name w:val="footer"/>
    <w:basedOn w:val="a"/>
    <w:link w:val="Char1"/>
    <w:uiPriority w:val="99"/>
    <w:rsid w:val="003B65E1"/>
    <w:pPr>
      <w:tabs>
        <w:tab w:val="center" w:pos="4153"/>
        <w:tab w:val="right" w:pos="8306"/>
      </w:tabs>
      <w:snapToGrid w:val="0"/>
    </w:pPr>
    <w:rPr>
      <w:sz w:val="18"/>
      <w:szCs w:val="18"/>
    </w:rPr>
  </w:style>
  <w:style w:type="character" w:customStyle="1" w:styleId="Char1">
    <w:name w:val="页脚 Char"/>
    <w:basedOn w:val="a0"/>
    <w:link w:val="a5"/>
    <w:uiPriority w:val="99"/>
    <w:rsid w:val="003B65E1"/>
    <w:rPr>
      <w:sz w:val="18"/>
      <w:szCs w:val="18"/>
    </w:rPr>
  </w:style>
  <w:style w:type="paragraph" w:styleId="a6">
    <w:name w:val="Normal (Web)"/>
    <w:basedOn w:val="a"/>
    <w:uiPriority w:val="99"/>
    <w:semiHidden/>
    <w:unhideWhenUsed/>
    <w:rsid w:val="0052131F"/>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354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Advanced neoplasia</a:t>
            </a:r>
          </a:p>
        </c:rich>
      </c:tx>
      <c:layout>
        <c:manualLayout>
          <c:xMode val="edge"/>
          <c:yMode val="edge"/>
          <c:x val="0.35551377952755908"/>
          <c:y val="1.1225614415650332E-2"/>
        </c:manualLayout>
      </c:layout>
      <c:overlay val="0"/>
      <c:spPr>
        <a:noFill/>
        <a:ln>
          <a:noFill/>
        </a:ln>
        <a:effectLst/>
      </c:spPr>
    </c:title>
    <c:autoTitleDeleted val="0"/>
    <c:plotArea>
      <c:layout>
        <c:manualLayout>
          <c:layoutTarget val="inner"/>
          <c:xMode val="edge"/>
          <c:yMode val="edge"/>
          <c:x val="0.2438864829396325"/>
          <c:y val="0.14856481481481484"/>
          <c:w val="0.5672941819772529"/>
          <c:h val="0.64140431425587008"/>
        </c:manualLayout>
      </c:layout>
      <c:scatterChart>
        <c:scatterStyle val="lineMarker"/>
        <c:varyColors val="0"/>
        <c:ser>
          <c:idx val="0"/>
          <c:order val="0"/>
          <c:tx>
            <c:strRef>
              <c:f>[Book1]Sheet1!$T$1</c:f>
              <c:strCache>
                <c:ptCount val="1"/>
                <c:pt idx="0">
                  <c:v>Observed</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427580927384076"/>
                  <c:y val="-5.494677432174733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[Book1]Sheet1!$S$2:$S$980</c:f>
              <c:numCache>
                <c:formatCode>General</c:formatCode>
                <c:ptCount val="979"/>
                <c:pt idx="0">
                  <c:v>1.0710000000000001E-2</c:v>
                </c:pt>
                <c:pt idx="1">
                  <c:v>1.754E-2</c:v>
                </c:pt>
                <c:pt idx="2">
                  <c:v>2.1839999999999998E-2</c:v>
                </c:pt>
                <c:pt idx="3">
                  <c:v>2.716E-2</c:v>
                </c:pt>
                <c:pt idx="4">
                  <c:v>3.4139999999999997E-2</c:v>
                </c:pt>
                <c:pt idx="5">
                  <c:v>4.1239999999999999E-2</c:v>
                </c:pt>
                <c:pt idx="6">
                  <c:v>5.1110000000000003E-2</c:v>
                </c:pt>
                <c:pt idx="7">
                  <c:v>6.6140000000000004E-2</c:v>
                </c:pt>
                <c:pt idx="8">
                  <c:v>8.8690000000000005E-2</c:v>
                </c:pt>
                <c:pt idx="9">
                  <c:v>0.15164</c:v>
                </c:pt>
              </c:numCache>
            </c:numRef>
          </c:xVal>
          <c:yVal>
            <c:numRef>
              <c:f>[Book1]Sheet1!$T$2:$T$980</c:f>
              <c:numCache>
                <c:formatCode>General</c:formatCode>
                <c:ptCount val="979"/>
                <c:pt idx="0">
                  <c:v>0</c:v>
                </c:pt>
                <c:pt idx="1">
                  <c:v>2.0400000000000001E-2</c:v>
                </c:pt>
                <c:pt idx="2">
                  <c:v>1.0200000000000001E-2</c:v>
                </c:pt>
                <c:pt idx="3">
                  <c:v>2.0400000000000001E-2</c:v>
                </c:pt>
                <c:pt idx="4">
                  <c:v>5.0999999999999997E-2</c:v>
                </c:pt>
                <c:pt idx="5">
                  <c:v>7.1400000000000005E-2</c:v>
                </c:pt>
                <c:pt idx="6">
                  <c:v>3.0599999999999999E-2</c:v>
                </c:pt>
                <c:pt idx="7">
                  <c:v>8.1600000000000006E-2</c:v>
                </c:pt>
                <c:pt idx="8">
                  <c:v>9.1800000000000007E-2</c:v>
                </c:pt>
                <c:pt idx="9">
                  <c:v>0.13270000000000001</c:v>
                </c:pt>
              </c:numCache>
            </c:numRef>
          </c:yVal>
          <c:smooth val="0"/>
          <c:extLst xmlns:c16r2="http://schemas.microsoft.com/office/drawing/2015/06/chart">
            <c:ext xmlns:c16="http://schemas.microsoft.com/office/drawing/2014/chart" uri="{C3380CC4-5D6E-409C-BE32-E72D297353CC}">
              <c16:uniqueId val="{00000002-BC66-4C40-ACF3-18782ECD4B83}"/>
            </c:ext>
          </c:extLst>
        </c:ser>
        <c:dLbls>
          <c:showLegendKey val="0"/>
          <c:showVal val="0"/>
          <c:showCatName val="0"/>
          <c:showSerName val="0"/>
          <c:showPercent val="0"/>
          <c:showBubbleSize val="0"/>
        </c:dLbls>
        <c:axId val="196098304"/>
        <c:axId val="196100480"/>
      </c:scatterChart>
      <c:valAx>
        <c:axId val="196098304"/>
        <c:scaling>
          <c:orientation val="minMax"/>
          <c:max val="0.1600000000000000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 probability AN (Expected)</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6100480"/>
        <c:crosses val="autoZero"/>
        <c:crossBetween val="midCat"/>
        <c:majorUnit val="4.0000000000000008E-2"/>
      </c:valAx>
      <c:valAx>
        <c:axId val="19610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 (Observed)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6098304"/>
        <c:crosses val="autoZero"/>
        <c:crossBetween val="midCat"/>
        <c:maj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0.09583</cdr:x>
      <cdr:y>0.47541</cdr:y>
    </cdr:from>
    <cdr:to>
      <cdr:x>0.29583</cdr:x>
      <cdr:y>0.76155</cdr:y>
    </cdr:to>
    <cdr:sp macro="" textlink="">
      <cdr:nvSpPr>
        <cdr:cNvPr id="3" name="TextBox 2"/>
        <cdr:cNvSpPr txBox="1"/>
      </cdr:nvSpPr>
      <cdr:spPr>
        <a:xfrm xmlns:a="http://schemas.openxmlformats.org/drawingml/2006/main">
          <a:off x="438150" y="15192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0.05625</cdr:x>
      <cdr:y>0.57079</cdr:y>
    </cdr:from>
    <cdr:to>
      <cdr:x>0.25625</cdr:x>
      <cdr:y>0.85693</cdr:y>
    </cdr:to>
    <cdr:sp macro="" textlink="">
      <cdr:nvSpPr>
        <cdr:cNvPr id="4" name="TextBox 3"/>
        <cdr:cNvSpPr txBox="1"/>
      </cdr:nvSpPr>
      <cdr:spPr>
        <a:xfrm xmlns:a="http://schemas.openxmlformats.org/drawingml/2006/main">
          <a:off x="257175" y="18240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0.075</cdr:x>
      <cdr:y>0.52608</cdr:y>
    </cdr:from>
    <cdr:to>
      <cdr:x>0.14375</cdr:x>
      <cdr:y>0.62742</cdr:y>
    </cdr:to>
    <cdr:sp macro="" textlink="">
      <cdr:nvSpPr>
        <cdr:cNvPr id="5" name="TextBox 4"/>
        <cdr:cNvSpPr txBox="1"/>
      </cdr:nvSpPr>
      <cdr:spPr>
        <a:xfrm xmlns:a="http://schemas.openxmlformats.org/drawingml/2006/main" rot="16200000">
          <a:off x="338138" y="1685924"/>
          <a:ext cx="323851"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2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7465</Words>
  <Characters>42553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 Sharara</dc:creator>
  <cp:lastModifiedBy>Lenovo</cp:lastModifiedBy>
  <cp:revision>4</cp:revision>
  <dcterms:created xsi:type="dcterms:W3CDTF">2020-09-11T21:50:00Z</dcterms:created>
  <dcterms:modified xsi:type="dcterms:W3CDTF">2020-09-27T02:36:00Z</dcterms:modified>
</cp:coreProperties>
</file>