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0" w:rsidRPr="009063AE" w:rsidRDefault="00513910" w:rsidP="00D25E57">
      <w:pPr>
        <w:spacing w:line="280" w:lineRule="exact"/>
        <w:rPr>
          <w:rFonts w:ascii="Book Antiqua" w:eastAsia="MS Mincho" w:hAnsi="Book Antiqua"/>
          <w:sz w:val="24"/>
          <w:lang w:eastAsia="ja-JP"/>
        </w:rPr>
      </w:pPr>
      <w:r>
        <w:rPr>
          <w:rFonts w:ascii="Book Antiqua" w:eastAsia="MS Mincho" w:hAnsi="Book Antiqua"/>
          <w:sz w:val="24"/>
          <w:lang w:eastAsia="ja-JP"/>
        </w:rPr>
        <w:t>November 5th</w:t>
      </w:r>
      <w:r w:rsidRPr="009063AE">
        <w:rPr>
          <w:rFonts w:ascii="Book Antiqua" w:hAnsi="Book Antiqua"/>
          <w:sz w:val="24"/>
        </w:rPr>
        <w:t>, 201</w:t>
      </w:r>
      <w:r w:rsidRPr="009063AE">
        <w:rPr>
          <w:rFonts w:ascii="Book Antiqua" w:eastAsia="MS Mincho" w:hAnsi="Book Antiqua"/>
          <w:sz w:val="24"/>
          <w:lang w:eastAsia="ja-JP"/>
        </w:rPr>
        <w:t>3</w:t>
      </w:r>
    </w:p>
    <w:p w:rsidR="00513910" w:rsidRPr="009063AE" w:rsidRDefault="00513910" w:rsidP="00D25E57">
      <w:pPr>
        <w:spacing w:line="280" w:lineRule="exact"/>
        <w:rPr>
          <w:rFonts w:ascii="Book Antiqua" w:hAnsi="Book Antiqua" w:cs="Arial"/>
          <w:sz w:val="24"/>
        </w:rPr>
      </w:pPr>
    </w:p>
    <w:p w:rsidR="00513910" w:rsidRPr="009063AE" w:rsidRDefault="00513910" w:rsidP="009063AE">
      <w:pPr>
        <w:tabs>
          <w:tab w:val="left" w:pos="1740"/>
        </w:tabs>
        <w:spacing w:line="280" w:lineRule="exact"/>
        <w:jc w:val="left"/>
        <w:rPr>
          <w:rFonts w:ascii="Book Antiqua" w:hAnsi="Book Antiqua" w:cs="Arial"/>
          <w:sz w:val="24"/>
        </w:rPr>
      </w:pPr>
      <w:r w:rsidRPr="009063AE">
        <w:rPr>
          <w:rFonts w:ascii="Book Antiqua" w:hAnsi="Book Antiqua" w:cs="Arial"/>
          <w:sz w:val="24"/>
        </w:rPr>
        <w:t>Dear Editor</w:t>
      </w:r>
      <w:r>
        <w:rPr>
          <w:rFonts w:ascii="Book Antiqua" w:hAnsi="Book Antiqua" w:cs="Arial"/>
          <w:sz w:val="24"/>
        </w:rPr>
        <w:t xml:space="preserve">s of </w:t>
      </w:r>
      <w:r w:rsidRPr="009063AE">
        <w:rPr>
          <w:rFonts w:ascii="Book Antiqua" w:hAnsi="Book Antiqua" w:cs="Arial"/>
          <w:i/>
          <w:sz w:val="24"/>
        </w:rPr>
        <w:t>World Journal of Gastroenterology</w:t>
      </w:r>
      <w:r w:rsidRPr="009063AE">
        <w:rPr>
          <w:rFonts w:ascii="Book Antiqua" w:hAnsi="Book Antiqua" w:cs="Arial"/>
          <w:sz w:val="24"/>
        </w:rPr>
        <w:t>,</w:t>
      </w:r>
      <w:r>
        <w:rPr>
          <w:rFonts w:ascii="Book Antiqua" w:hAnsi="Book Antiqua" w:cs="Arial"/>
          <w:sz w:val="24"/>
        </w:rPr>
        <w:tab/>
      </w:r>
    </w:p>
    <w:p w:rsidR="00513910" w:rsidRPr="009063AE" w:rsidRDefault="00513910" w:rsidP="00D25E57">
      <w:pPr>
        <w:spacing w:line="280" w:lineRule="exact"/>
        <w:rPr>
          <w:rFonts w:ascii="Book Antiqua" w:hAnsi="Book Antiqua" w:cs="Arial"/>
          <w:sz w:val="24"/>
        </w:rPr>
      </w:pPr>
    </w:p>
    <w:p w:rsidR="00513910" w:rsidRPr="009063AE" w:rsidRDefault="00513910" w:rsidP="00D25E57">
      <w:pPr>
        <w:spacing w:line="280" w:lineRule="exact"/>
        <w:rPr>
          <w:sz w:val="24"/>
        </w:rPr>
      </w:pPr>
      <w:r w:rsidRPr="009063AE">
        <w:rPr>
          <w:sz w:val="24"/>
        </w:rPr>
        <w:t>Please find enclosed the edited manuscript in Word format (</w:t>
      </w:r>
      <w:r w:rsidRPr="009063AE">
        <w:rPr>
          <w:rFonts w:eastAsia="MS Mincho"/>
          <w:sz w:val="24"/>
          <w:lang w:eastAsia="ja-JP"/>
        </w:rPr>
        <w:t>Uno Revised version</w:t>
      </w:r>
      <w:r w:rsidRPr="009063AE">
        <w:rPr>
          <w:sz w:val="24"/>
        </w:rPr>
        <w:t xml:space="preserve">: </w:t>
      </w:r>
      <w:r w:rsidRPr="009063AE">
        <w:rPr>
          <w:rFonts w:eastAsia="MS Mincho"/>
          <w:sz w:val="24"/>
          <w:lang w:eastAsia="ja-JP"/>
        </w:rPr>
        <w:t>5436</w:t>
      </w:r>
      <w:r w:rsidRPr="009063AE">
        <w:rPr>
          <w:sz w:val="24"/>
        </w:rPr>
        <w:t>-review.doc).</w:t>
      </w: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r w:rsidRPr="009063AE">
        <w:rPr>
          <w:b/>
          <w:bCs/>
          <w:sz w:val="24"/>
        </w:rPr>
        <w:t>Title:</w:t>
      </w:r>
      <w:r w:rsidRPr="009063AE">
        <w:rPr>
          <w:sz w:val="24"/>
        </w:rPr>
        <w:t xml:space="preserve"> Novel Role of Toll like Receptors in </w:t>
      </w:r>
      <w:r w:rsidRPr="009063AE">
        <w:rPr>
          <w:i/>
          <w:sz w:val="24"/>
        </w:rPr>
        <w:t>Helicobacter pylori</w:t>
      </w:r>
      <w:r w:rsidRPr="009063AE">
        <w:rPr>
          <w:sz w:val="24"/>
        </w:rPr>
        <w:t xml:space="preserve">-induced gastric malignancy </w:t>
      </w:r>
    </w:p>
    <w:p w:rsidR="00513910" w:rsidRPr="009063AE" w:rsidRDefault="00513910" w:rsidP="00D25E57">
      <w:pPr>
        <w:spacing w:line="280" w:lineRule="exact"/>
        <w:rPr>
          <w:sz w:val="24"/>
        </w:rPr>
      </w:pPr>
    </w:p>
    <w:p w:rsidR="00513910" w:rsidRPr="009063AE" w:rsidRDefault="00513910" w:rsidP="00D25E57">
      <w:pPr>
        <w:jc w:val="left"/>
        <w:rPr>
          <w:sz w:val="24"/>
        </w:rPr>
      </w:pPr>
      <w:r w:rsidRPr="009063AE">
        <w:rPr>
          <w:b/>
          <w:bCs/>
          <w:sz w:val="24"/>
        </w:rPr>
        <w:t xml:space="preserve">Author: </w:t>
      </w:r>
      <w:r w:rsidRPr="009063AE">
        <w:rPr>
          <w:sz w:val="24"/>
        </w:rPr>
        <w:t>Uno Kaname MD, PhD</w:t>
      </w:r>
      <w:proofErr w:type="gramStart"/>
      <w:r w:rsidRPr="009063AE">
        <w:rPr>
          <w:sz w:val="24"/>
        </w:rPr>
        <w:t>,</w:t>
      </w:r>
      <w:r w:rsidRPr="009063AE">
        <w:rPr>
          <w:sz w:val="24"/>
          <w:vertAlign w:val="superscript"/>
        </w:rPr>
        <w:t>1</w:t>
      </w:r>
      <w:proofErr w:type="gramEnd"/>
      <w:r w:rsidRPr="009063AE">
        <w:rPr>
          <w:sz w:val="24"/>
        </w:rPr>
        <w:t xml:space="preserve"> Kato </w:t>
      </w:r>
      <w:proofErr w:type="spellStart"/>
      <w:r w:rsidRPr="009063AE">
        <w:rPr>
          <w:sz w:val="24"/>
        </w:rPr>
        <w:t>Katsuaki</w:t>
      </w:r>
      <w:proofErr w:type="spellEnd"/>
      <w:r w:rsidRPr="009063AE">
        <w:rPr>
          <w:sz w:val="24"/>
        </w:rPr>
        <w:t xml:space="preserve"> MD, PhD,</w:t>
      </w:r>
      <w:r w:rsidRPr="009063AE">
        <w:rPr>
          <w:sz w:val="24"/>
          <w:vertAlign w:val="superscript"/>
        </w:rPr>
        <w:t>2</w:t>
      </w:r>
      <w:r w:rsidRPr="009063AE">
        <w:rPr>
          <w:sz w:val="24"/>
        </w:rPr>
        <w:t xml:space="preserve"> </w:t>
      </w:r>
      <w:proofErr w:type="spellStart"/>
      <w:r w:rsidRPr="009063AE">
        <w:rPr>
          <w:sz w:val="24"/>
        </w:rPr>
        <w:t>Shimosegawa</w:t>
      </w:r>
      <w:proofErr w:type="spellEnd"/>
      <w:r w:rsidRPr="009063AE">
        <w:rPr>
          <w:sz w:val="24"/>
        </w:rPr>
        <w:t xml:space="preserve"> </w:t>
      </w:r>
      <w:proofErr w:type="spellStart"/>
      <w:r w:rsidRPr="009063AE">
        <w:rPr>
          <w:sz w:val="24"/>
        </w:rPr>
        <w:t>Tooru</w:t>
      </w:r>
      <w:proofErr w:type="spellEnd"/>
      <w:r w:rsidRPr="009063AE">
        <w:rPr>
          <w:sz w:val="24"/>
        </w:rPr>
        <w:t xml:space="preserve"> Prof.</w:t>
      </w:r>
      <w:r w:rsidRPr="009063AE">
        <w:rPr>
          <w:sz w:val="24"/>
          <w:vertAlign w:val="superscript"/>
        </w:rPr>
        <w:t>1</w:t>
      </w:r>
    </w:p>
    <w:p w:rsidR="00513910" w:rsidRPr="009063AE" w:rsidRDefault="00513910" w:rsidP="00D25E57">
      <w:pPr>
        <w:spacing w:line="280" w:lineRule="exact"/>
        <w:rPr>
          <w:sz w:val="24"/>
        </w:rPr>
      </w:pPr>
    </w:p>
    <w:p w:rsidR="00513910" w:rsidRPr="009063AE" w:rsidRDefault="00513910" w:rsidP="00D25E57">
      <w:pPr>
        <w:spacing w:line="280" w:lineRule="exact"/>
        <w:rPr>
          <w:i/>
          <w:sz w:val="24"/>
        </w:rPr>
      </w:pPr>
      <w:r w:rsidRPr="009063AE">
        <w:rPr>
          <w:b/>
          <w:sz w:val="24"/>
        </w:rPr>
        <w:t xml:space="preserve">Name of Journal: </w:t>
      </w:r>
      <w:r w:rsidRPr="009063AE">
        <w:rPr>
          <w:i/>
          <w:sz w:val="24"/>
        </w:rPr>
        <w:t>World Journal of Gastroenterology</w:t>
      </w: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r w:rsidRPr="009063AE">
        <w:rPr>
          <w:b/>
          <w:bCs/>
          <w:sz w:val="24"/>
        </w:rPr>
        <w:t xml:space="preserve">ESPS Manuscript NO: </w:t>
      </w:r>
      <w:r w:rsidRPr="009063AE">
        <w:rPr>
          <w:rFonts w:eastAsia="MS Mincho"/>
          <w:b/>
          <w:bCs/>
          <w:sz w:val="24"/>
          <w:lang w:eastAsia="ja-JP"/>
        </w:rPr>
        <w:t>5436</w:t>
      </w: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r w:rsidRPr="009063AE">
        <w:rPr>
          <w:sz w:val="24"/>
        </w:rPr>
        <w:t>The manuscript has been improved according to the suggestions of reviewers:</w:t>
      </w:r>
    </w:p>
    <w:p w:rsidR="00513910" w:rsidRPr="009063AE" w:rsidRDefault="00513910" w:rsidP="00D25E57">
      <w:pPr>
        <w:spacing w:line="280" w:lineRule="exact"/>
        <w:rPr>
          <w:sz w:val="24"/>
        </w:rPr>
      </w:pPr>
      <w:r w:rsidRPr="009063AE">
        <w:rPr>
          <w:sz w:val="24"/>
        </w:rPr>
        <w:t>1 Format has been updated</w:t>
      </w: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r w:rsidRPr="009063AE">
        <w:rPr>
          <w:sz w:val="24"/>
        </w:rPr>
        <w:t>2 Revision has been made according to the suggestions of the reviewer</w:t>
      </w:r>
    </w:p>
    <w:p w:rsidR="00513910" w:rsidRPr="009063AE" w:rsidRDefault="00513910" w:rsidP="00333E35">
      <w:pPr>
        <w:spacing w:line="280" w:lineRule="exact"/>
        <w:ind w:firstLineChars="100" w:firstLine="241"/>
        <w:rPr>
          <w:rFonts w:eastAsia="MS Mincho"/>
          <w:b/>
          <w:sz w:val="24"/>
          <w:lang w:eastAsia="ja-JP"/>
        </w:rPr>
      </w:pPr>
      <w:r w:rsidRPr="009063AE">
        <w:rPr>
          <w:rFonts w:eastAsia="MS Mincho"/>
          <w:b/>
          <w:sz w:val="24"/>
          <w:lang w:eastAsia="ja-JP"/>
        </w:rPr>
        <w:t>Reviewer 1 (02536230)</w:t>
      </w:r>
    </w:p>
    <w:p w:rsidR="00513910" w:rsidRPr="009063AE" w:rsidRDefault="00513910" w:rsidP="003D06FA">
      <w:pPr>
        <w:spacing w:line="280" w:lineRule="exact"/>
        <w:ind w:left="720" w:hanging="500"/>
        <w:rPr>
          <w:rFonts w:eastAsia="MS Mincho"/>
          <w:sz w:val="24"/>
          <w:lang w:eastAsia="ja-JP"/>
        </w:rPr>
      </w:pPr>
      <w:r w:rsidRPr="009063AE">
        <w:rPr>
          <w:rFonts w:eastAsia="MS Mincho"/>
          <w:sz w:val="24"/>
          <w:lang w:eastAsia="ja-JP"/>
        </w:rPr>
        <w:t>(1)</w:t>
      </w:r>
      <w:r w:rsidRPr="009063AE">
        <w:rPr>
          <w:rFonts w:eastAsia="MS Mincho"/>
          <w:sz w:val="24"/>
          <w:lang w:eastAsia="ja-JP"/>
        </w:rPr>
        <w:tab/>
        <w:t xml:space="preserve"> As suggested, we added the sentences in the introduction, as follows. “</w:t>
      </w:r>
      <w:r w:rsidRPr="009063AE">
        <w:rPr>
          <w:sz w:val="24"/>
        </w:rPr>
        <w:t xml:space="preserve">In this review, we aim to clarify recent discoveries in </w:t>
      </w:r>
      <w:r>
        <w:rPr>
          <w:rFonts w:eastAsia="MS Mincho"/>
          <w:sz w:val="24"/>
          <w:lang w:eastAsia="ja-JP"/>
        </w:rPr>
        <w:t xml:space="preserve">a role </w:t>
      </w:r>
      <w:r w:rsidRPr="009063AE">
        <w:rPr>
          <w:sz w:val="24"/>
        </w:rPr>
        <w:t xml:space="preserve">of pattern recognition </w:t>
      </w:r>
      <w:r>
        <w:rPr>
          <w:rFonts w:eastAsia="MS Mincho"/>
          <w:sz w:val="24"/>
          <w:lang w:eastAsia="ja-JP"/>
        </w:rPr>
        <w:t xml:space="preserve">systems </w:t>
      </w:r>
      <w:r w:rsidRPr="009063AE">
        <w:rPr>
          <w:sz w:val="24"/>
        </w:rPr>
        <w:t xml:space="preserve">in the innate immunity against </w:t>
      </w:r>
      <w:r w:rsidRPr="009063AE">
        <w:rPr>
          <w:i/>
          <w:sz w:val="24"/>
        </w:rPr>
        <w:t>H. pylori</w:t>
      </w:r>
      <w:r w:rsidRPr="009063AE">
        <w:rPr>
          <w:sz w:val="24"/>
        </w:rPr>
        <w:t>-</w:t>
      </w:r>
      <w:r>
        <w:rPr>
          <w:rFonts w:eastAsia="MS Mincho"/>
          <w:sz w:val="24"/>
          <w:lang w:eastAsia="ja-JP"/>
        </w:rPr>
        <w:t>related carcinogenesis</w:t>
      </w:r>
      <w:r w:rsidRPr="009063AE">
        <w:rPr>
          <w:sz w:val="24"/>
        </w:rPr>
        <w:t>.</w:t>
      </w:r>
      <w:r w:rsidRPr="009063AE">
        <w:rPr>
          <w:rFonts w:eastAsia="MS Mincho"/>
          <w:sz w:val="24"/>
          <w:lang w:eastAsia="ja-JP"/>
        </w:rPr>
        <w:t>”</w:t>
      </w:r>
    </w:p>
    <w:p w:rsidR="00513910" w:rsidRPr="009063AE" w:rsidRDefault="00513910" w:rsidP="0029677C">
      <w:pPr>
        <w:spacing w:line="280" w:lineRule="exact"/>
        <w:ind w:left="659" w:hanging="420"/>
        <w:rPr>
          <w:sz w:val="24"/>
        </w:rPr>
      </w:pPr>
      <w:r w:rsidRPr="009063AE">
        <w:rPr>
          <w:sz w:val="24"/>
        </w:rPr>
        <w:t>(2)</w:t>
      </w:r>
      <w:r w:rsidRPr="009063AE">
        <w:rPr>
          <w:rFonts w:eastAsia="MS Mincho"/>
          <w:sz w:val="24"/>
          <w:lang w:eastAsia="ja-JP"/>
        </w:rPr>
        <w:tab/>
        <w:t xml:space="preserve">As suggested, we </w:t>
      </w:r>
      <w:r>
        <w:rPr>
          <w:rFonts w:eastAsia="MS Mincho"/>
          <w:sz w:val="24"/>
          <w:lang w:eastAsia="ja-JP"/>
        </w:rPr>
        <w:t>study previous studies of TLRs and confirm that t</w:t>
      </w:r>
      <w:r w:rsidRPr="0029677C">
        <w:rPr>
          <w:rFonts w:eastAsia="MS Mincho"/>
          <w:sz w:val="24"/>
          <w:lang w:eastAsia="ja-JP"/>
        </w:rPr>
        <w:t xml:space="preserve">hirteen TLRs have been discovered, 10 of which have been identified in humans </w:t>
      </w:r>
      <w:r w:rsidR="00333E35">
        <w:rPr>
          <w:rFonts w:eastAsia="MS Mincho" w:hint="eastAsia"/>
          <w:sz w:val="24"/>
          <w:lang w:eastAsia="ja-JP"/>
        </w:rPr>
        <w:t>so far</w:t>
      </w:r>
      <w:r>
        <w:rPr>
          <w:rFonts w:eastAsia="MS Mincho"/>
          <w:sz w:val="24"/>
          <w:lang w:eastAsia="ja-JP"/>
        </w:rPr>
        <w:t xml:space="preserve"> (</w:t>
      </w:r>
      <w:r w:rsidRPr="0029677C">
        <w:rPr>
          <w:rFonts w:eastAsia="MS Mincho"/>
          <w:sz w:val="24"/>
          <w:lang w:eastAsia="ja-JP"/>
        </w:rPr>
        <w:t xml:space="preserve">Nat Rev </w:t>
      </w:r>
      <w:proofErr w:type="spellStart"/>
      <w:r w:rsidRPr="0029677C">
        <w:rPr>
          <w:rFonts w:eastAsia="MS Mincho"/>
          <w:sz w:val="24"/>
          <w:lang w:eastAsia="ja-JP"/>
        </w:rPr>
        <w:t>Immunol</w:t>
      </w:r>
      <w:proofErr w:type="spellEnd"/>
      <w:r w:rsidRPr="0029677C">
        <w:rPr>
          <w:rFonts w:eastAsia="MS Mincho"/>
          <w:sz w:val="24"/>
          <w:lang w:eastAsia="ja-JP"/>
        </w:rPr>
        <w:t>. 2013 Aug</w:t>
      </w:r>
      <w:proofErr w:type="gramStart"/>
      <w:r w:rsidRPr="0029677C">
        <w:rPr>
          <w:rFonts w:eastAsia="MS Mincho"/>
          <w:sz w:val="24"/>
          <w:lang w:eastAsia="ja-JP"/>
        </w:rPr>
        <w:t>;13</w:t>
      </w:r>
      <w:proofErr w:type="gramEnd"/>
      <w:r w:rsidRPr="0029677C">
        <w:rPr>
          <w:rFonts w:eastAsia="MS Mincho"/>
          <w:sz w:val="24"/>
          <w:lang w:eastAsia="ja-JP"/>
        </w:rPr>
        <w:t xml:space="preserve">(8):551-65. </w:t>
      </w:r>
      <w:proofErr w:type="spellStart"/>
      <w:r w:rsidRPr="0029677C">
        <w:rPr>
          <w:rFonts w:eastAsia="MS Mincho"/>
          <w:sz w:val="24"/>
          <w:lang w:eastAsia="ja-JP"/>
        </w:rPr>
        <w:t>doi</w:t>
      </w:r>
      <w:proofErr w:type="spellEnd"/>
      <w:r w:rsidRPr="0029677C">
        <w:rPr>
          <w:rFonts w:eastAsia="MS Mincho"/>
          <w:sz w:val="24"/>
          <w:lang w:eastAsia="ja-JP"/>
        </w:rPr>
        <w:t>: 10.1038/nri3479.</w:t>
      </w:r>
      <w:r w:rsidRPr="0029677C">
        <w:t xml:space="preserve"> </w:t>
      </w:r>
      <w:r w:rsidRPr="0029677C">
        <w:rPr>
          <w:rFonts w:eastAsia="MS Mincho"/>
          <w:sz w:val="24"/>
          <w:lang w:eastAsia="ja-JP"/>
        </w:rPr>
        <w:t xml:space="preserve">Broz P, </w:t>
      </w:r>
      <w:proofErr w:type="spellStart"/>
      <w:r w:rsidRPr="0029677C">
        <w:rPr>
          <w:rFonts w:eastAsia="MS Mincho"/>
          <w:sz w:val="24"/>
          <w:lang w:eastAsia="ja-JP"/>
        </w:rPr>
        <w:t>Monack</w:t>
      </w:r>
      <w:proofErr w:type="spellEnd"/>
      <w:r w:rsidRPr="0029677C">
        <w:rPr>
          <w:rFonts w:eastAsia="MS Mincho"/>
          <w:sz w:val="24"/>
          <w:lang w:eastAsia="ja-JP"/>
        </w:rPr>
        <w:t xml:space="preserve"> DM</w:t>
      </w:r>
      <w:r>
        <w:rPr>
          <w:rFonts w:eastAsia="MS Mincho"/>
          <w:sz w:val="24"/>
          <w:lang w:eastAsia="ja-JP"/>
        </w:rPr>
        <w:t>,</w:t>
      </w:r>
      <w:r w:rsidRPr="0029677C">
        <w:rPr>
          <w:rFonts w:eastAsia="MS Mincho"/>
          <w:sz w:val="24"/>
          <w:lang w:eastAsia="ja-JP"/>
        </w:rPr>
        <w:t xml:space="preserve"> Newly described pattern recognition receptors team up against intracellular pathogens.</w:t>
      </w:r>
      <w:r>
        <w:rPr>
          <w:rFonts w:eastAsia="MS Mincho"/>
          <w:sz w:val="24"/>
          <w:lang w:eastAsia="ja-JP"/>
        </w:rPr>
        <w:t>)</w:t>
      </w:r>
      <w:r w:rsidRPr="009063AE">
        <w:rPr>
          <w:rFonts w:eastAsia="MS Mincho"/>
          <w:sz w:val="24"/>
          <w:lang w:eastAsia="ja-JP"/>
        </w:rPr>
        <w:t>”.</w:t>
      </w:r>
      <w:r>
        <w:rPr>
          <w:rFonts w:eastAsia="MS Mincho"/>
          <w:sz w:val="24"/>
          <w:lang w:eastAsia="ja-JP"/>
        </w:rPr>
        <w:t xml:space="preserve"> Based on these papers, we changed sentence, as follows, “Although </w:t>
      </w:r>
      <w:r w:rsidRPr="004F4BCC">
        <w:rPr>
          <w:rFonts w:eastAsia="MS Mincho"/>
          <w:sz w:val="24"/>
          <w:lang w:eastAsia="ja-JP"/>
        </w:rPr>
        <w:t>thirteen TLRs have been discovered in mammalian,</w:t>
      </w:r>
      <w:r>
        <w:rPr>
          <w:rFonts w:eastAsia="MS Mincho"/>
          <w:sz w:val="24"/>
          <w:lang w:eastAsia="ja-JP"/>
        </w:rPr>
        <w:t xml:space="preserve"> </w:t>
      </w:r>
      <w:r w:rsidR="00333E35">
        <w:rPr>
          <w:rFonts w:eastAsia="MS Mincho" w:hint="eastAsia"/>
          <w:sz w:val="24"/>
          <w:lang w:eastAsia="ja-JP"/>
        </w:rPr>
        <w:t>t</w:t>
      </w:r>
      <w:r w:rsidRPr="004F4BCC">
        <w:rPr>
          <w:rFonts w:eastAsia="MS Mincho"/>
          <w:sz w:val="24"/>
          <w:lang w:eastAsia="ja-JP"/>
        </w:rPr>
        <w:t>en types of TLRs have been identified in humans</w:t>
      </w:r>
      <w:r>
        <w:rPr>
          <w:rFonts w:eastAsia="MS Mincho"/>
          <w:sz w:val="24"/>
          <w:lang w:eastAsia="ja-JP"/>
        </w:rPr>
        <w:t>.”</w:t>
      </w:r>
    </w:p>
    <w:p w:rsidR="00513910" w:rsidRPr="009063AE" w:rsidRDefault="00513910" w:rsidP="003D06FA">
      <w:pPr>
        <w:spacing w:line="280" w:lineRule="exact"/>
        <w:ind w:left="720" w:hanging="500"/>
        <w:rPr>
          <w:rFonts w:eastAsia="MS Mincho"/>
          <w:sz w:val="24"/>
          <w:lang w:eastAsia="ja-JP"/>
        </w:rPr>
      </w:pPr>
      <w:r w:rsidRPr="009063AE">
        <w:rPr>
          <w:sz w:val="24"/>
        </w:rPr>
        <w:t>(3)</w:t>
      </w:r>
      <w:r w:rsidRPr="009063AE">
        <w:rPr>
          <w:rFonts w:eastAsia="MS Mincho"/>
          <w:sz w:val="24"/>
          <w:lang w:eastAsia="ja-JP"/>
        </w:rPr>
        <w:tab/>
        <w:t xml:space="preserve"> As suggested, we added a diagram of the roles of TLRs in </w:t>
      </w:r>
      <w:proofErr w:type="spellStart"/>
      <w:r w:rsidRPr="009063AE">
        <w:rPr>
          <w:rFonts w:eastAsia="MS Mincho"/>
          <w:sz w:val="24"/>
          <w:lang w:eastAsia="ja-JP"/>
        </w:rPr>
        <w:t>H.pylori</w:t>
      </w:r>
      <w:proofErr w:type="spellEnd"/>
      <w:r w:rsidRPr="009063AE">
        <w:rPr>
          <w:rFonts w:eastAsia="MS Mincho"/>
          <w:sz w:val="24"/>
          <w:lang w:eastAsia="ja-JP"/>
        </w:rPr>
        <w:t>-induced innate immunity (Figure2).</w:t>
      </w:r>
    </w:p>
    <w:p w:rsidR="00513910" w:rsidRPr="009063AE" w:rsidRDefault="00513910" w:rsidP="003D06FA">
      <w:pPr>
        <w:spacing w:line="280" w:lineRule="exact"/>
        <w:ind w:left="720" w:hanging="500"/>
        <w:rPr>
          <w:rFonts w:eastAsia="MS Mincho"/>
          <w:sz w:val="24"/>
          <w:lang w:eastAsia="ja-JP"/>
        </w:rPr>
      </w:pPr>
      <w:r w:rsidRPr="009063AE">
        <w:rPr>
          <w:rFonts w:eastAsia="MS Mincho"/>
          <w:sz w:val="24"/>
          <w:lang w:eastAsia="ja-JP"/>
        </w:rPr>
        <w:t>(4)</w:t>
      </w:r>
      <w:r w:rsidRPr="009063AE">
        <w:rPr>
          <w:rFonts w:eastAsia="MS Mincho"/>
          <w:sz w:val="24"/>
          <w:lang w:eastAsia="ja-JP"/>
        </w:rPr>
        <w:tab/>
        <w:t xml:space="preserve"> As suggested, we added a sentence in the head of “Gene polymorphisms of TLRs in gastric cancer”, as follows, “</w:t>
      </w:r>
      <w:r w:rsidRPr="00B2051E">
        <w:rPr>
          <w:rFonts w:eastAsia="MS Mincho"/>
          <w:sz w:val="24"/>
          <w:lang w:eastAsia="ja-JP"/>
        </w:rPr>
        <w:t xml:space="preserve">H. </w:t>
      </w:r>
      <w:proofErr w:type="gramStart"/>
      <w:r w:rsidRPr="00B2051E">
        <w:rPr>
          <w:rFonts w:eastAsia="MS Mincho"/>
          <w:sz w:val="24"/>
          <w:lang w:eastAsia="ja-JP"/>
        </w:rPr>
        <w:t>pylori is</w:t>
      </w:r>
      <w:proofErr w:type="gramEnd"/>
      <w:r w:rsidRPr="00B2051E">
        <w:rPr>
          <w:rFonts w:eastAsia="MS Mincho"/>
          <w:sz w:val="24"/>
          <w:lang w:eastAsia="ja-JP"/>
        </w:rPr>
        <w:t xml:space="preserve"> a major cause of gastric cancer, but only 1%–2% of H. pylori-infected individuals develop</w:t>
      </w:r>
      <w:r>
        <w:rPr>
          <w:rFonts w:eastAsia="MS Mincho"/>
          <w:sz w:val="24"/>
          <w:lang w:eastAsia="ja-JP"/>
        </w:rPr>
        <w:t>s</w:t>
      </w:r>
      <w:r w:rsidRPr="00B2051E">
        <w:rPr>
          <w:rFonts w:eastAsia="MS Mincho"/>
          <w:sz w:val="24"/>
          <w:lang w:eastAsia="ja-JP"/>
        </w:rPr>
        <w:t xml:space="preserve"> gastric cancer. [62] Recently a meta-analysis of large population-based cohort studies in </w:t>
      </w:r>
      <w:smartTag w:uri="urn:schemas-microsoft-com:office:smarttags" w:element="place">
        <w:r w:rsidRPr="00B2051E">
          <w:rPr>
            <w:rFonts w:eastAsia="MS Mincho"/>
            <w:sz w:val="24"/>
            <w:lang w:eastAsia="ja-JP"/>
          </w:rPr>
          <w:t>Europ</w:t>
        </w:r>
        <w:r>
          <w:rPr>
            <w:rFonts w:eastAsia="MS Mincho"/>
            <w:sz w:val="24"/>
            <w:lang w:eastAsia="ja-JP"/>
          </w:rPr>
          <w:t>e</w:t>
        </w:r>
      </w:smartTag>
      <w:r w:rsidRPr="00B2051E">
        <w:rPr>
          <w:rFonts w:eastAsia="MS Mincho"/>
          <w:sz w:val="24"/>
          <w:lang w:eastAsia="ja-JP"/>
        </w:rPr>
        <w:t xml:space="preserve"> revealed an association between a variation of TLR1 genetic loci (4p14) and H. pylori seroprevalence. [63] The study </w:t>
      </w:r>
      <w:r>
        <w:rPr>
          <w:rFonts w:eastAsia="MS Mincho"/>
          <w:sz w:val="24"/>
          <w:lang w:eastAsia="ja-JP"/>
        </w:rPr>
        <w:t>wa</w:t>
      </w:r>
      <w:r w:rsidRPr="00B2051E">
        <w:rPr>
          <w:rFonts w:eastAsia="MS Mincho"/>
          <w:sz w:val="24"/>
          <w:lang w:eastAsia="ja-JP"/>
        </w:rPr>
        <w:t xml:space="preserve">s conducted on white populations, therefore some sample bias should be considered on different races. </w:t>
      </w:r>
      <w:r>
        <w:rPr>
          <w:rFonts w:eastAsia="MS Mincho"/>
          <w:sz w:val="24"/>
          <w:lang w:eastAsia="ja-JP"/>
        </w:rPr>
        <w:t>However,</w:t>
      </w:r>
      <w:r w:rsidRPr="00B2051E">
        <w:rPr>
          <w:rFonts w:eastAsia="MS Mincho"/>
          <w:sz w:val="24"/>
          <w:lang w:eastAsia="ja-JP"/>
        </w:rPr>
        <w:t xml:space="preserve"> the polymorphisms of TLRs might play an important role in modulation of the direction and magnitude of the host response against the infection. This might also encourage a possible link between genetic polymorphisms of TLRs and </w:t>
      </w:r>
      <w:proofErr w:type="spellStart"/>
      <w:r w:rsidRPr="00B2051E">
        <w:rPr>
          <w:rFonts w:eastAsia="MS Mincho"/>
          <w:sz w:val="24"/>
          <w:lang w:eastAsia="ja-JP"/>
        </w:rPr>
        <w:t>H.pylori</w:t>
      </w:r>
      <w:proofErr w:type="spellEnd"/>
      <w:r w:rsidRPr="00B2051E">
        <w:rPr>
          <w:rFonts w:eastAsia="MS Mincho"/>
          <w:sz w:val="24"/>
          <w:lang w:eastAsia="ja-JP"/>
        </w:rPr>
        <w:t>-associated carcinogenesis. Recent studies revealed the presence of SNPs of TLRs and their relationships with gastric cancer development</w:t>
      </w:r>
      <w:r w:rsidR="00E24A8B">
        <w:rPr>
          <w:rFonts w:eastAsia="MS Mincho" w:hint="eastAsia"/>
          <w:sz w:val="24"/>
          <w:lang w:eastAsia="ja-JP"/>
        </w:rPr>
        <w:t xml:space="preserve"> </w:t>
      </w:r>
      <w:r w:rsidR="00E24A8B" w:rsidRPr="00B2051E">
        <w:rPr>
          <w:rFonts w:eastAsia="MS Mincho"/>
          <w:sz w:val="24"/>
          <w:lang w:eastAsia="ja-JP"/>
        </w:rPr>
        <w:t>(Table2</w:t>
      </w:r>
      <w:r w:rsidR="00E24A8B">
        <w:rPr>
          <w:rFonts w:eastAsia="MS Mincho"/>
          <w:sz w:val="24"/>
          <w:lang w:eastAsia="ja-JP"/>
        </w:rPr>
        <w:t>)</w:t>
      </w:r>
      <w:r w:rsidR="00E24A8B">
        <w:rPr>
          <w:rFonts w:eastAsia="MS Mincho" w:hint="eastAsia"/>
          <w:sz w:val="24"/>
          <w:lang w:eastAsia="ja-JP"/>
        </w:rPr>
        <w:t>. However</w:t>
      </w:r>
      <w:r w:rsidRPr="00B2051E">
        <w:rPr>
          <w:rFonts w:eastAsia="MS Mincho"/>
          <w:sz w:val="24"/>
          <w:lang w:eastAsia="ja-JP"/>
        </w:rPr>
        <w:t>, implications of single-nucleotide polymorphisms (SNPs) in genetic function have not been fully clarified</w:t>
      </w:r>
      <w:r w:rsidR="00E24A8B">
        <w:rPr>
          <w:rFonts w:eastAsia="MS Mincho" w:hint="eastAsia"/>
          <w:sz w:val="24"/>
          <w:lang w:eastAsia="ja-JP"/>
        </w:rPr>
        <w:t>.</w:t>
      </w:r>
      <w:r w:rsidR="00E24A8B">
        <w:rPr>
          <w:rFonts w:eastAsia="MS Mincho"/>
          <w:sz w:val="24"/>
          <w:lang w:eastAsia="ja-JP"/>
        </w:rPr>
        <w:t>”</w:t>
      </w:r>
      <w:r w:rsidRPr="00B2051E">
        <w:rPr>
          <w:rFonts w:eastAsia="MS Mincho"/>
          <w:sz w:val="24"/>
          <w:lang w:eastAsia="ja-JP"/>
        </w:rPr>
        <w:t xml:space="preserve"> </w:t>
      </w:r>
    </w:p>
    <w:p w:rsidR="00513910" w:rsidRPr="009063AE" w:rsidRDefault="00513910" w:rsidP="009063AE">
      <w:pPr>
        <w:spacing w:line="280" w:lineRule="exact"/>
        <w:ind w:firstLineChars="100" w:firstLine="240"/>
        <w:rPr>
          <w:rFonts w:eastAsia="MS Mincho"/>
          <w:sz w:val="24"/>
          <w:lang w:eastAsia="ja-JP"/>
        </w:rPr>
      </w:pPr>
    </w:p>
    <w:p w:rsidR="00513910" w:rsidRPr="009063AE" w:rsidRDefault="00513910" w:rsidP="00333E35">
      <w:pPr>
        <w:spacing w:line="280" w:lineRule="exact"/>
        <w:ind w:firstLineChars="100" w:firstLine="241"/>
        <w:rPr>
          <w:rFonts w:eastAsia="MS Mincho"/>
          <w:b/>
          <w:sz w:val="24"/>
          <w:lang w:eastAsia="ja-JP"/>
        </w:rPr>
      </w:pPr>
      <w:r w:rsidRPr="009063AE">
        <w:rPr>
          <w:rFonts w:eastAsia="MS Mincho"/>
          <w:b/>
          <w:sz w:val="24"/>
          <w:lang w:eastAsia="ja-JP"/>
        </w:rPr>
        <w:t>Reviewer 2 (00039368)</w:t>
      </w:r>
    </w:p>
    <w:p w:rsidR="00513910" w:rsidRDefault="00513910" w:rsidP="00B911F5">
      <w:pPr>
        <w:pStyle w:val="ListParagraph"/>
        <w:numPr>
          <w:ilvl w:val="0"/>
          <w:numId w:val="1"/>
        </w:numPr>
        <w:spacing w:line="280" w:lineRule="exact"/>
        <w:rPr>
          <w:rFonts w:eastAsia="MS Mincho"/>
          <w:sz w:val="24"/>
          <w:lang w:eastAsia="ja-JP"/>
        </w:rPr>
      </w:pPr>
      <w:r w:rsidRPr="00E24A8B">
        <w:rPr>
          <w:rFonts w:eastAsia="MS Mincho"/>
          <w:sz w:val="24"/>
          <w:lang w:eastAsia="ja-JP"/>
        </w:rPr>
        <w:lastRenderedPageBreak/>
        <w:t>As suggested, we added the sentences in the figure legends, as follows. “</w:t>
      </w:r>
      <w:r w:rsidR="00E24A8B" w:rsidRPr="00E24A8B">
        <w:rPr>
          <w:rFonts w:eastAsia="MS Mincho"/>
          <w:sz w:val="24"/>
          <w:lang w:eastAsia="ja-JP"/>
        </w:rPr>
        <w:t>Figure 1; intracellular signal propagation of human TLRs and corresponding ligands in innate immunity</w:t>
      </w:r>
      <w:r w:rsidR="00E24A8B" w:rsidRPr="00E24A8B">
        <w:rPr>
          <w:rFonts w:eastAsia="MS Mincho" w:hint="eastAsia"/>
          <w:sz w:val="24"/>
          <w:lang w:eastAsia="ja-JP"/>
        </w:rPr>
        <w:t xml:space="preserve">. </w:t>
      </w:r>
      <w:r w:rsidR="00E24A8B" w:rsidRPr="00E24A8B">
        <w:rPr>
          <w:rFonts w:eastAsia="MS Mincho"/>
          <w:sz w:val="24"/>
          <w:lang w:eastAsia="ja-JP"/>
        </w:rPr>
        <w:t>TLRs and ligands in human are revealed in the figure. Individual TLRs recognize specific PAMPs or DAMPs of corresponding ligands. TLR signaling is propagated by activation of its cytoplasmic TIR (Toll/IL-1 R) domain and cooperation with various adaptor molecules, such as MyD-88, TIRAP, TOLLIP, IRAK, TRAF, TRIF, and TRAM (abbreviations are summarized below). TLR signaling consists of two distinct pathways with MyD-88-dependent and independent fashions. 1) MyD-88-dependent pathway: The MyD88 dependent pathway is down-stream of TLR1, TLR2, TLR4, TLR5, TLR6, TLR7 and TLR9. This pathway leads to the production of proinflammatory cytokines and is triggered by the association of activated TIR domain and MyD-88, recruitment of IRAK1, IRAK4 and TRAF6 to TLR-MyD-88 complex and consequent phosphorylation of IRAK1 and TRAF6. The signal is propagated by these phosphorylated adaptor molecular complex to the down-stream MAP kinases-AP1 and IKK complex-NF-</w:t>
      </w:r>
      <w:proofErr w:type="spellStart"/>
      <w:r w:rsidR="00E24A8B" w:rsidRPr="00E24A8B">
        <w:rPr>
          <w:rFonts w:eastAsia="MS Mincho"/>
          <w:sz w:val="24"/>
          <w:lang w:eastAsia="ja-JP"/>
        </w:rPr>
        <w:t>κB</w:t>
      </w:r>
      <w:proofErr w:type="spellEnd"/>
      <w:r w:rsidR="00E24A8B" w:rsidRPr="00E24A8B">
        <w:rPr>
          <w:rFonts w:eastAsia="MS Mincho"/>
          <w:sz w:val="24"/>
          <w:lang w:eastAsia="ja-JP"/>
        </w:rPr>
        <w:t>. 2) MyD88-independent pathway: This is associated with the induction of INF-beta mediated by TLR3 or TLR4 activation. Intracellular signaling via MyD-88 independent pathway is propagated by the action of TRIF and TRAM as adaptor molecules. The signal consequently activates IKK pathway to produce INF-beta.”</w:t>
      </w:r>
      <w:r w:rsidR="00E24A8B" w:rsidRPr="00E24A8B">
        <w:rPr>
          <w:rFonts w:eastAsia="MS Mincho" w:hint="eastAsia"/>
          <w:sz w:val="24"/>
          <w:lang w:eastAsia="ja-JP"/>
        </w:rPr>
        <w:t xml:space="preserve"> </w:t>
      </w:r>
    </w:p>
    <w:p w:rsidR="00E24A8B" w:rsidRPr="00E24A8B" w:rsidRDefault="00E24A8B" w:rsidP="00E24A8B">
      <w:pPr>
        <w:pStyle w:val="ListParagraph"/>
        <w:spacing w:line="280" w:lineRule="exact"/>
        <w:ind w:left="790"/>
        <w:rPr>
          <w:rFonts w:eastAsia="MS Mincho"/>
          <w:sz w:val="24"/>
          <w:lang w:eastAsia="ja-JP"/>
        </w:rPr>
      </w:pPr>
    </w:p>
    <w:p w:rsidR="00513910" w:rsidRPr="009063AE" w:rsidRDefault="00513910" w:rsidP="00333E35">
      <w:pPr>
        <w:spacing w:line="280" w:lineRule="exact"/>
        <w:ind w:firstLineChars="100" w:firstLine="241"/>
        <w:rPr>
          <w:rFonts w:eastAsia="MS Mincho"/>
          <w:b/>
          <w:sz w:val="24"/>
          <w:lang w:eastAsia="ja-JP"/>
        </w:rPr>
      </w:pPr>
      <w:r w:rsidRPr="009063AE">
        <w:rPr>
          <w:rFonts w:eastAsia="MS Mincho"/>
          <w:b/>
          <w:sz w:val="24"/>
          <w:lang w:eastAsia="ja-JP"/>
        </w:rPr>
        <w:t>Reviewer 3 (01002233)</w:t>
      </w:r>
    </w:p>
    <w:p w:rsidR="00513910" w:rsidRPr="009063AE" w:rsidRDefault="00513910" w:rsidP="003D06FA">
      <w:pPr>
        <w:spacing w:line="280" w:lineRule="exact"/>
        <w:ind w:left="720" w:hanging="500"/>
        <w:rPr>
          <w:rFonts w:eastAsia="MS Mincho"/>
          <w:sz w:val="24"/>
          <w:lang w:eastAsia="ja-JP"/>
        </w:rPr>
      </w:pPr>
      <w:r w:rsidRPr="009063AE">
        <w:rPr>
          <w:rFonts w:eastAsia="MS Mincho"/>
          <w:sz w:val="24"/>
          <w:lang w:eastAsia="ja-JP"/>
        </w:rPr>
        <w:t>(1)</w:t>
      </w:r>
      <w:r w:rsidRPr="009063AE">
        <w:rPr>
          <w:rFonts w:eastAsia="MS Mincho"/>
          <w:sz w:val="24"/>
          <w:lang w:eastAsia="ja-JP"/>
        </w:rPr>
        <w:tab/>
        <w:t xml:space="preserve"> As suggested, we revised the sentences and added the reference, as followed, “</w:t>
      </w:r>
      <w:r w:rsidRPr="004F4BCC">
        <w:rPr>
          <w:rFonts w:eastAsia="MS Mincho"/>
          <w:sz w:val="24"/>
          <w:lang w:eastAsia="ja-JP"/>
        </w:rPr>
        <w:t>the stomach originally lacks intraepithelial T lymphocytes and a coordinating lymph system. [10]</w:t>
      </w:r>
      <w:r w:rsidRPr="009063AE">
        <w:rPr>
          <w:rFonts w:eastAsia="MS Mincho"/>
          <w:sz w:val="24"/>
          <w:lang w:eastAsia="ja-JP"/>
        </w:rPr>
        <w:t>”</w:t>
      </w:r>
    </w:p>
    <w:p w:rsidR="00E24A8B" w:rsidRPr="00E24A8B" w:rsidRDefault="00513910" w:rsidP="00E24A8B">
      <w:pPr>
        <w:pStyle w:val="ListParagraph"/>
        <w:numPr>
          <w:ilvl w:val="0"/>
          <w:numId w:val="1"/>
        </w:numPr>
        <w:spacing w:line="280" w:lineRule="exact"/>
        <w:rPr>
          <w:rFonts w:eastAsia="MS Mincho"/>
          <w:sz w:val="24"/>
          <w:lang w:eastAsia="ja-JP"/>
        </w:rPr>
      </w:pPr>
      <w:r w:rsidRPr="009063AE">
        <w:rPr>
          <w:rFonts w:eastAsia="MS Mincho"/>
          <w:sz w:val="24"/>
          <w:lang w:eastAsia="ja-JP"/>
        </w:rPr>
        <w:t>As suggested, we added the legends to make sure their roles, as follows. “</w:t>
      </w:r>
      <w:r w:rsidR="00E24A8B" w:rsidRPr="00E24A8B">
        <w:rPr>
          <w:rFonts w:eastAsia="MS Mincho"/>
          <w:sz w:val="24"/>
          <w:lang w:eastAsia="ja-JP"/>
        </w:rPr>
        <w:t xml:space="preserve">Figure 1; intracellular signal propagation of human TLRs and corresponding ligands in innate immunity </w:t>
      </w:r>
    </w:p>
    <w:p w:rsidR="00513910" w:rsidRPr="009063AE" w:rsidRDefault="00E24A8B" w:rsidP="00E24A8B">
      <w:pPr>
        <w:pStyle w:val="ListParagraph"/>
        <w:numPr>
          <w:ilvl w:val="0"/>
          <w:numId w:val="1"/>
        </w:numPr>
        <w:spacing w:line="280" w:lineRule="exact"/>
        <w:rPr>
          <w:rFonts w:eastAsia="MS Mincho"/>
          <w:sz w:val="24"/>
          <w:lang w:eastAsia="ja-JP"/>
        </w:rPr>
      </w:pPr>
      <w:r w:rsidRPr="00E24A8B">
        <w:rPr>
          <w:rFonts w:eastAsia="MS Mincho"/>
          <w:sz w:val="24"/>
          <w:lang w:eastAsia="ja-JP"/>
        </w:rPr>
        <w:t>TLRs and ligands in human are revealed in the figure. Individual TLRs recognize specific PAMPs or DAMPs of corresponding ligands. TLR signaling is propagated by activation of its cytoplasmic TIR (Toll/IL-1 R) domain and cooperation with various adaptor molecules, such as MyD-88, TIRAP, TOLLIP, IRAK, TRAF, TRIF, and TRAM (abbreviations are summarized below). TLR signaling consists of two distinct pathways with MyD-88-dependent and independent fashions. 1) MyD-88-dependent pathway: The MyD88 dependent pathway is down-stream of TLR1, TLR2, TLR4, TLR5, TLR6, TLR7 and TLR9. This pathway leads to the production of proinflammatory cytokines and is triggered by the association of activated TIR domain and MyD-88, recruitment of IRAK1, IRAK4 and TRAF6 to TLR-MyD-88 complex and consequent phosphorylation of IRAK1 and TRAF6. The signal is propagated by these phosphorylated adaptor molecular complex to the down-stream MAP kinases-AP1 and IKK complex-NF-</w:t>
      </w:r>
      <w:proofErr w:type="spellStart"/>
      <w:r w:rsidRPr="00E24A8B">
        <w:rPr>
          <w:rFonts w:eastAsia="MS Mincho"/>
          <w:sz w:val="24"/>
          <w:lang w:eastAsia="ja-JP"/>
        </w:rPr>
        <w:t>κB</w:t>
      </w:r>
      <w:proofErr w:type="spellEnd"/>
      <w:r w:rsidRPr="00E24A8B">
        <w:rPr>
          <w:rFonts w:eastAsia="MS Mincho"/>
          <w:sz w:val="24"/>
          <w:lang w:eastAsia="ja-JP"/>
        </w:rPr>
        <w:t>. 2) MyD88-independent pathway: This is associated with the induction of INF-beta mediated by TLR3 or TLR4 activation. Intracellular signaling via MyD-88 independent pathway is propagated by the action of TRIF and TRAM as adaptor molecules. The signal consequently activates IKK pathway to produce INF-beta.</w:t>
      </w:r>
      <w:r w:rsidR="00513910" w:rsidRPr="009063AE">
        <w:rPr>
          <w:rFonts w:eastAsia="MS Mincho"/>
          <w:sz w:val="24"/>
          <w:lang w:eastAsia="ja-JP"/>
        </w:rPr>
        <w:t>”</w:t>
      </w:r>
    </w:p>
    <w:p w:rsidR="00513910" w:rsidRPr="009063AE" w:rsidRDefault="00513910" w:rsidP="003D06FA">
      <w:pPr>
        <w:spacing w:line="280" w:lineRule="exact"/>
        <w:ind w:left="720" w:hanging="500"/>
        <w:rPr>
          <w:rFonts w:eastAsia="MS Mincho"/>
          <w:sz w:val="24"/>
          <w:lang w:eastAsia="ja-JP"/>
        </w:rPr>
      </w:pPr>
      <w:r w:rsidRPr="009063AE">
        <w:rPr>
          <w:sz w:val="24"/>
        </w:rPr>
        <w:t>(3)</w:t>
      </w:r>
      <w:r w:rsidRPr="009063AE">
        <w:rPr>
          <w:rFonts w:eastAsia="MS Mincho"/>
          <w:sz w:val="24"/>
          <w:lang w:eastAsia="ja-JP"/>
        </w:rPr>
        <w:tab/>
        <w:t xml:space="preserve"> As suggested, we revised the sentences, “</w:t>
      </w:r>
      <w:r w:rsidRPr="00B2051E">
        <w:rPr>
          <w:rFonts w:eastAsia="MS Mincho"/>
          <w:sz w:val="24"/>
          <w:lang w:eastAsia="ja-JP"/>
        </w:rPr>
        <w:t>Contrary to expectations, H. pylori-LPS is a weak stimulus of the immune response in comparison to LPS from other gram-negative bacteria owing to the unique structure of lipid core A of H. pylori-LPS [35, 36]</w:t>
      </w:r>
      <w:r w:rsidRPr="009063AE">
        <w:rPr>
          <w:rFonts w:eastAsia="MS Mincho"/>
          <w:sz w:val="24"/>
          <w:lang w:eastAsia="ja-JP"/>
        </w:rPr>
        <w:t>.”</w:t>
      </w:r>
    </w:p>
    <w:p w:rsidR="00513910" w:rsidRPr="009063AE" w:rsidRDefault="00513910" w:rsidP="00A93B05">
      <w:pPr>
        <w:spacing w:line="280" w:lineRule="exact"/>
        <w:ind w:left="720" w:hanging="500"/>
        <w:rPr>
          <w:rFonts w:eastAsia="MS Mincho"/>
          <w:sz w:val="24"/>
          <w:u w:val="single"/>
          <w:lang w:eastAsia="ja-JP"/>
        </w:rPr>
      </w:pPr>
      <w:r w:rsidRPr="009063AE">
        <w:rPr>
          <w:rFonts w:eastAsia="MS Mincho"/>
          <w:sz w:val="24"/>
          <w:lang w:eastAsia="ja-JP"/>
        </w:rPr>
        <w:lastRenderedPageBreak/>
        <w:t>(4)</w:t>
      </w:r>
      <w:r w:rsidRPr="009063AE">
        <w:rPr>
          <w:rFonts w:eastAsia="MS Mincho"/>
          <w:sz w:val="24"/>
          <w:lang w:eastAsia="ja-JP"/>
        </w:rPr>
        <w:tab/>
        <w:t xml:space="preserve"> As suggested, we added a reference</w:t>
      </w:r>
      <w:r w:rsidRPr="00333E35">
        <w:rPr>
          <w:rFonts w:eastAsia="MS Mincho"/>
          <w:sz w:val="24"/>
          <w:lang w:eastAsia="ja-JP"/>
        </w:rPr>
        <w:t xml:space="preserve">. </w:t>
      </w:r>
    </w:p>
    <w:p w:rsidR="00513910" w:rsidRPr="009063AE" w:rsidRDefault="00513910" w:rsidP="00250D8C">
      <w:pPr>
        <w:ind w:left="720" w:hanging="500"/>
        <w:rPr>
          <w:rFonts w:eastAsia="MS Mincho"/>
          <w:sz w:val="24"/>
          <w:lang w:eastAsia="ja-JP"/>
        </w:rPr>
      </w:pPr>
      <w:r w:rsidRPr="009063AE">
        <w:rPr>
          <w:rFonts w:eastAsia="MS Mincho"/>
          <w:sz w:val="24"/>
          <w:lang w:eastAsia="ja-JP"/>
        </w:rPr>
        <w:t>(5)</w:t>
      </w:r>
      <w:r w:rsidRPr="009063AE">
        <w:rPr>
          <w:rFonts w:eastAsia="MS Mincho"/>
          <w:sz w:val="24"/>
          <w:lang w:eastAsia="ja-JP"/>
        </w:rPr>
        <w:tab/>
        <w:t xml:space="preserve"> As suggested, we revised sentences by native English speaker</w:t>
      </w:r>
      <w:r>
        <w:rPr>
          <w:rFonts w:eastAsia="MS Mincho"/>
          <w:sz w:val="24"/>
          <w:lang w:eastAsia="ja-JP"/>
        </w:rPr>
        <w:t>, as follows</w:t>
      </w:r>
      <w:r w:rsidRPr="009063AE">
        <w:rPr>
          <w:rFonts w:eastAsia="MS Mincho"/>
          <w:sz w:val="24"/>
          <w:lang w:eastAsia="ja-JP"/>
        </w:rPr>
        <w:t xml:space="preserve">. </w:t>
      </w:r>
      <w:r>
        <w:rPr>
          <w:rFonts w:eastAsia="MS Mincho"/>
          <w:sz w:val="24"/>
          <w:lang w:eastAsia="ja-JP"/>
        </w:rPr>
        <w:t>“</w:t>
      </w:r>
      <w:r w:rsidRPr="00250D8C">
        <w:rPr>
          <w:rFonts w:eastAsia="MS Mincho"/>
          <w:sz w:val="24"/>
          <w:lang w:eastAsia="ja-JP"/>
        </w:rPr>
        <w:t>H. pylori is a major cause of gastric cancer, but only 1%–2% of H. pylori-infected individuals develop</w:t>
      </w:r>
      <w:r>
        <w:rPr>
          <w:rFonts w:eastAsia="MS Mincho"/>
          <w:sz w:val="24"/>
          <w:lang w:eastAsia="ja-JP"/>
        </w:rPr>
        <w:t>s</w:t>
      </w:r>
      <w:r w:rsidRPr="00250D8C">
        <w:rPr>
          <w:rFonts w:eastAsia="MS Mincho"/>
          <w:sz w:val="24"/>
          <w:lang w:eastAsia="ja-JP"/>
        </w:rPr>
        <w:t xml:space="preserve"> gastric cancer. [62] Recently a meta-analysis of large population-based cohort studies in </w:t>
      </w:r>
      <w:smartTag w:uri="urn:schemas-microsoft-com:office:smarttags" w:element="place">
        <w:r w:rsidRPr="00250D8C">
          <w:rPr>
            <w:rFonts w:eastAsia="MS Mincho"/>
            <w:sz w:val="24"/>
            <w:lang w:eastAsia="ja-JP"/>
          </w:rPr>
          <w:t>Europ</w:t>
        </w:r>
        <w:r>
          <w:rPr>
            <w:rFonts w:eastAsia="MS Mincho"/>
            <w:sz w:val="24"/>
            <w:lang w:eastAsia="ja-JP"/>
          </w:rPr>
          <w:t>e</w:t>
        </w:r>
      </w:smartTag>
      <w:r w:rsidRPr="00250D8C">
        <w:rPr>
          <w:rFonts w:eastAsia="MS Mincho"/>
          <w:sz w:val="24"/>
          <w:lang w:eastAsia="ja-JP"/>
        </w:rPr>
        <w:t xml:space="preserve"> revealed an association between a variation of TLR1 genetic loci (4p14) and H. pylori seroprevalence. [63] The study </w:t>
      </w:r>
      <w:r>
        <w:rPr>
          <w:rFonts w:eastAsia="MS Mincho"/>
          <w:sz w:val="24"/>
          <w:lang w:eastAsia="ja-JP"/>
        </w:rPr>
        <w:t>wa</w:t>
      </w:r>
      <w:r w:rsidRPr="00250D8C">
        <w:rPr>
          <w:rFonts w:eastAsia="MS Mincho"/>
          <w:sz w:val="24"/>
          <w:lang w:eastAsia="ja-JP"/>
        </w:rPr>
        <w:t xml:space="preserve">s conducted on white populations, therefore some sample bias should be considered on different races. </w:t>
      </w:r>
      <w:r>
        <w:rPr>
          <w:rFonts w:eastAsia="MS Mincho"/>
          <w:sz w:val="24"/>
          <w:lang w:eastAsia="ja-JP"/>
        </w:rPr>
        <w:t>However,</w:t>
      </w:r>
      <w:r w:rsidRPr="00250D8C">
        <w:rPr>
          <w:rFonts w:eastAsia="MS Mincho"/>
          <w:sz w:val="24"/>
          <w:lang w:eastAsia="ja-JP"/>
        </w:rPr>
        <w:t xml:space="preserve"> the polymorphisms of TLRs might play an important role in modulation of the direction and magnitude of the host response against the infection. This might also encourage a possible link between genetic polymorphisms of TLRs and </w:t>
      </w:r>
      <w:proofErr w:type="spellStart"/>
      <w:r w:rsidRPr="00250D8C">
        <w:rPr>
          <w:rFonts w:eastAsia="MS Mincho"/>
          <w:sz w:val="24"/>
          <w:lang w:eastAsia="ja-JP"/>
        </w:rPr>
        <w:t>H.pylori</w:t>
      </w:r>
      <w:proofErr w:type="spellEnd"/>
      <w:r w:rsidRPr="00250D8C">
        <w:rPr>
          <w:rFonts w:eastAsia="MS Mincho"/>
          <w:sz w:val="24"/>
          <w:lang w:eastAsia="ja-JP"/>
        </w:rPr>
        <w:t>-associated carcinogenesis. Recent studies revealed the presence of SNPs of TLRs and their relationships with gastric cancer development</w:t>
      </w:r>
      <w:r w:rsidR="00E24A8B" w:rsidRPr="00E24A8B">
        <w:rPr>
          <w:rFonts w:eastAsia="MS Mincho"/>
          <w:sz w:val="24"/>
          <w:lang w:eastAsia="ja-JP"/>
        </w:rPr>
        <w:t xml:space="preserve"> </w:t>
      </w:r>
      <w:r w:rsidR="00E24A8B">
        <w:rPr>
          <w:rFonts w:eastAsia="MS Mincho" w:hint="eastAsia"/>
          <w:sz w:val="24"/>
          <w:lang w:eastAsia="ja-JP"/>
        </w:rPr>
        <w:t>(</w:t>
      </w:r>
      <w:r w:rsidR="00E24A8B" w:rsidRPr="00250D8C">
        <w:rPr>
          <w:rFonts w:eastAsia="MS Mincho"/>
          <w:sz w:val="24"/>
          <w:lang w:eastAsia="ja-JP"/>
        </w:rPr>
        <w:t>Table2</w:t>
      </w:r>
      <w:r w:rsidR="00E24A8B">
        <w:rPr>
          <w:rFonts w:eastAsia="MS Mincho" w:hint="eastAsia"/>
          <w:sz w:val="24"/>
          <w:lang w:eastAsia="ja-JP"/>
        </w:rPr>
        <w:t>). However</w:t>
      </w:r>
      <w:r w:rsidRPr="00250D8C">
        <w:rPr>
          <w:rFonts w:eastAsia="MS Mincho"/>
          <w:sz w:val="24"/>
          <w:lang w:eastAsia="ja-JP"/>
        </w:rPr>
        <w:t>, implications of single-nucleotide polymorphisms (SNPs) in genetic function have not been fully clarified.</w:t>
      </w:r>
      <w:r>
        <w:rPr>
          <w:rFonts w:eastAsia="MS Mincho"/>
          <w:sz w:val="24"/>
          <w:lang w:eastAsia="ja-JP"/>
        </w:rPr>
        <w:t>”</w:t>
      </w:r>
    </w:p>
    <w:p w:rsidR="00513910" w:rsidRPr="009063AE" w:rsidRDefault="00513910" w:rsidP="00A93B05">
      <w:pPr>
        <w:ind w:firstLine="220"/>
        <w:rPr>
          <w:rFonts w:eastAsia="MS Mincho"/>
          <w:sz w:val="24"/>
          <w:lang w:eastAsia="ja-JP"/>
        </w:rPr>
      </w:pPr>
      <w:r w:rsidRPr="009063AE">
        <w:rPr>
          <w:rFonts w:eastAsia="MS Mincho"/>
          <w:sz w:val="24"/>
          <w:lang w:eastAsia="ja-JP"/>
        </w:rPr>
        <w:t>(6)</w:t>
      </w:r>
      <w:r w:rsidRPr="009063AE">
        <w:rPr>
          <w:rFonts w:eastAsia="MS Mincho"/>
          <w:sz w:val="24"/>
          <w:lang w:eastAsia="ja-JP"/>
        </w:rPr>
        <w:tab/>
        <w:t xml:space="preserve">We are sorry, and we ask another native English speaker to revise our manuscript. </w:t>
      </w:r>
    </w:p>
    <w:p w:rsidR="00513910" w:rsidRPr="009063AE" w:rsidRDefault="00513910" w:rsidP="003D06FA">
      <w:pPr>
        <w:spacing w:line="280" w:lineRule="exact"/>
        <w:rPr>
          <w:rFonts w:eastAsia="MS Mincho"/>
          <w:sz w:val="24"/>
          <w:u w:val="single"/>
          <w:lang w:eastAsia="ja-JP"/>
        </w:rPr>
      </w:pPr>
    </w:p>
    <w:p w:rsidR="00513910" w:rsidRPr="009063AE" w:rsidRDefault="00513910" w:rsidP="00D25E57">
      <w:pPr>
        <w:spacing w:line="280" w:lineRule="exact"/>
        <w:rPr>
          <w:sz w:val="24"/>
        </w:rPr>
      </w:pPr>
      <w:r w:rsidRPr="009063AE">
        <w:rPr>
          <w:sz w:val="24"/>
        </w:rPr>
        <w:t>3 References and typesetting were corrected</w:t>
      </w:r>
    </w:p>
    <w:p w:rsidR="00513910" w:rsidRPr="009063AE" w:rsidRDefault="00513910" w:rsidP="00D25E57">
      <w:pPr>
        <w:spacing w:line="280" w:lineRule="exact"/>
        <w:rPr>
          <w:spacing w:val="-10"/>
          <w:sz w:val="24"/>
        </w:rPr>
      </w:pPr>
    </w:p>
    <w:p w:rsidR="00513910" w:rsidRPr="009063AE" w:rsidRDefault="00513910" w:rsidP="00D25E57">
      <w:pPr>
        <w:spacing w:line="280" w:lineRule="exact"/>
        <w:rPr>
          <w:i/>
          <w:iCs/>
          <w:spacing w:val="-10"/>
          <w:sz w:val="24"/>
        </w:rPr>
      </w:pPr>
      <w:r w:rsidRPr="009063AE">
        <w:rPr>
          <w:spacing w:val="-10"/>
          <w:sz w:val="24"/>
        </w:rPr>
        <w:t xml:space="preserve">Thank you again for publishing our manuscript in the </w:t>
      </w:r>
      <w:r w:rsidRPr="009063AE">
        <w:rPr>
          <w:i/>
          <w:iCs/>
          <w:spacing w:val="-10"/>
          <w:sz w:val="24"/>
        </w:rPr>
        <w:t>World Journal of Gastroenterology.</w:t>
      </w: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p>
    <w:p w:rsidR="00513910" w:rsidRPr="009063AE" w:rsidRDefault="00513910" w:rsidP="00D25E57">
      <w:pPr>
        <w:spacing w:line="280" w:lineRule="exact"/>
        <w:rPr>
          <w:sz w:val="24"/>
        </w:rPr>
      </w:pPr>
      <w:r w:rsidRPr="009063AE">
        <w:rPr>
          <w:sz w:val="24"/>
        </w:rPr>
        <w:t>Sincerely yours,</w:t>
      </w:r>
    </w:p>
    <w:p w:rsidR="00513910" w:rsidRPr="009063AE" w:rsidRDefault="00513910" w:rsidP="009063AE">
      <w:pPr>
        <w:jc w:val="left"/>
        <w:rPr>
          <w:sz w:val="24"/>
        </w:rPr>
      </w:pPr>
    </w:p>
    <w:p w:rsidR="00EE4A77" w:rsidRDefault="00EE4A77" w:rsidP="009063AE">
      <w:pPr>
        <w:jc w:val="right"/>
        <w:rPr>
          <w:sz w:val="24"/>
        </w:rPr>
      </w:pPr>
    </w:p>
    <w:p w:rsidR="00EE4A77" w:rsidRDefault="00EE4A77" w:rsidP="009063AE">
      <w:pPr>
        <w:jc w:val="right"/>
        <w:rPr>
          <w:sz w:val="24"/>
        </w:rPr>
      </w:pPr>
    </w:p>
    <w:p w:rsidR="00513910" w:rsidRPr="009063AE" w:rsidRDefault="00513910" w:rsidP="009063AE">
      <w:pPr>
        <w:jc w:val="right"/>
        <w:rPr>
          <w:sz w:val="24"/>
        </w:rPr>
      </w:pPr>
      <w:proofErr w:type="spellStart"/>
      <w:r w:rsidRPr="009063AE">
        <w:rPr>
          <w:sz w:val="24"/>
        </w:rPr>
        <w:t>Kaname</w:t>
      </w:r>
      <w:proofErr w:type="spellEnd"/>
      <w:r w:rsidRPr="009063AE">
        <w:rPr>
          <w:sz w:val="24"/>
        </w:rPr>
        <w:t xml:space="preserve"> Uno </w:t>
      </w:r>
    </w:p>
    <w:p w:rsidR="00513910" w:rsidRPr="009063AE" w:rsidRDefault="00513910" w:rsidP="009063AE">
      <w:pPr>
        <w:jc w:val="right"/>
        <w:rPr>
          <w:sz w:val="24"/>
        </w:rPr>
      </w:pPr>
      <w:smartTag w:uri="urn:schemas-microsoft-com:office:smarttags" w:element="place">
        <w:smartTag w:uri="urn:schemas-microsoft-com:office:smarttags" w:element="place">
          <w:r w:rsidRPr="009063AE">
            <w:rPr>
              <w:sz w:val="24"/>
            </w:rPr>
            <w:t>Tohoku</w:t>
          </w:r>
        </w:smartTag>
        <w:r w:rsidRPr="009063AE">
          <w:rPr>
            <w:sz w:val="24"/>
          </w:rPr>
          <w:t xml:space="preserve"> </w:t>
        </w:r>
        <w:smartTag w:uri="urn:schemas-microsoft-com:office:smarttags" w:element="place">
          <w:r w:rsidRPr="009063AE">
            <w:rPr>
              <w:sz w:val="24"/>
            </w:rPr>
            <w:t>Univers</w:t>
          </w:r>
          <w:bookmarkStart w:id="0" w:name="_GoBack"/>
          <w:bookmarkEnd w:id="0"/>
          <w:r w:rsidRPr="009063AE">
            <w:rPr>
              <w:sz w:val="24"/>
            </w:rPr>
            <w:t>ity</w:t>
          </w:r>
        </w:smartTag>
      </w:smartTag>
      <w:r w:rsidRPr="009063AE">
        <w:rPr>
          <w:sz w:val="24"/>
        </w:rPr>
        <w:t>, Division of Gastroenterology</w:t>
      </w:r>
    </w:p>
    <w:p w:rsidR="00513910" w:rsidRPr="009063AE" w:rsidRDefault="00513910" w:rsidP="009063AE">
      <w:pPr>
        <w:jc w:val="right"/>
        <w:rPr>
          <w:sz w:val="24"/>
        </w:rPr>
      </w:pPr>
      <w:r w:rsidRPr="009063AE">
        <w:rPr>
          <w:sz w:val="24"/>
        </w:rPr>
        <w:t>Kaname@wa2.so-net.ne.jp</w:t>
      </w:r>
    </w:p>
    <w:p w:rsidR="00513910" w:rsidRPr="009063AE" w:rsidRDefault="00513910" w:rsidP="009063AE">
      <w:pPr>
        <w:jc w:val="right"/>
        <w:rPr>
          <w:sz w:val="24"/>
        </w:rPr>
      </w:pPr>
      <w:r w:rsidRPr="009063AE">
        <w:rPr>
          <w:sz w:val="24"/>
        </w:rPr>
        <w:t xml:space="preserve">Address; </w:t>
      </w:r>
      <w:proofErr w:type="spellStart"/>
      <w:r w:rsidRPr="009063AE">
        <w:rPr>
          <w:sz w:val="24"/>
        </w:rPr>
        <w:t>Seiryo-cho</w:t>
      </w:r>
      <w:proofErr w:type="spellEnd"/>
      <w:r w:rsidRPr="009063AE">
        <w:rPr>
          <w:sz w:val="24"/>
        </w:rPr>
        <w:t>, Aoba-</w:t>
      </w:r>
      <w:proofErr w:type="spellStart"/>
      <w:r w:rsidRPr="009063AE">
        <w:rPr>
          <w:sz w:val="24"/>
        </w:rPr>
        <w:t>ku</w:t>
      </w:r>
      <w:proofErr w:type="spellEnd"/>
      <w:r w:rsidRPr="009063AE">
        <w:rPr>
          <w:sz w:val="24"/>
        </w:rPr>
        <w:t xml:space="preserve">, </w:t>
      </w:r>
      <w:smartTag w:uri="urn:schemas-microsoft-com:office:smarttags" w:element="place">
        <w:r w:rsidRPr="009063AE">
          <w:rPr>
            <w:sz w:val="24"/>
          </w:rPr>
          <w:t>Sendai</w:t>
        </w:r>
      </w:smartTag>
      <w:r w:rsidRPr="009063AE">
        <w:rPr>
          <w:sz w:val="24"/>
        </w:rPr>
        <w:t xml:space="preserve">, Miyagi, 981-8574, </w:t>
      </w:r>
      <w:smartTag w:uri="urn:schemas-microsoft-com:office:smarttags" w:element="place">
        <w:r w:rsidRPr="009063AE">
          <w:rPr>
            <w:sz w:val="24"/>
          </w:rPr>
          <w:t>Japan</w:t>
        </w:r>
      </w:smartTag>
    </w:p>
    <w:p w:rsidR="00513910" w:rsidRPr="009063AE" w:rsidRDefault="00513910" w:rsidP="009063AE">
      <w:pPr>
        <w:jc w:val="right"/>
        <w:rPr>
          <w:sz w:val="24"/>
        </w:rPr>
      </w:pPr>
    </w:p>
    <w:p w:rsidR="00EE4A77" w:rsidRDefault="00EE4A77" w:rsidP="009063AE">
      <w:pPr>
        <w:jc w:val="right"/>
        <w:rPr>
          <w:sz w:val="24"/>
        </w:rPr>
      </w:pPr>
    </w:p>
    <w:p w:rsidR="00EE4A77" w:rsidRDefault="00EE4A77" w:rsidP="009063AE">
      <w:pPr>
        <w:jc w:val="right"/>
        <w:rPr>
          <w:sz w:val="24"/>
        </w:rPr>
      </w:pPr>
    </w:p>
    <w:p w:rsidR="00EE4A77" w:rsidRDefault="00EE4A77" w:rsidP="009063AE">
      <w:pPr>
        <w:jc w:val="right"/>
        <w:rPr>
          <w:sz w:val="24"/>
        </w:rPr>
      </w:pPr>
    </w:p>
    <w:p w:rsidR="00513910" w:rsidRPr="009063AE" w:rsidRDefault="00513910" w:rsidP="009063AE">
      <w:pPr>
        <w:jc w:val="right"/>
        <w:rPr>
          <w:sz w:val="24"/>
        </w:rPr>
      </w:pPr>
      <w:proofErr w:type="spellStart"/>
      <w:r w:rsidRPr="009063AE">
        <w:rPr>
          <w:sz w:val="24"/>
        </w:rPr>
        <w:t>Katsuaki</w:t>
      </w:r>
      <w:proofErr w:type="spellEnd"/>
      <w:r w:rsidRPr="009063AE">
        <w:rPr>
          <w:sz w:val="24"/>
        </w:rPr>
        <w:t xml:space="preserve"> Kato</w:t>
      </w:r>
    </w:p>
    <w:p w:rsidR="00513910" w:rsidRPr="009063AE" w:rsidRDefault="00513910" w:rsidP="009063AE">
      <w:pPr>
        <w:jc w:val="right"/>
        <w:rPr>
          <w:sz w:val="24"/>
        </w:rPr>
      </w:pPr>
      <w:r w:rsidRPr="009063AE">
        <w:rPr>
          <w:sz w:val="24"/>
        </w:rPr>
        <w:t>Miyagi Cancer Society, Center of cancer screening</w:t>
      </w:r>
    </w:p>
    <w:p w:rsidR="00513910" w:rsidRPr="009063AE" w:rsidRDefault="00513910" w:rsidP="009063AE">
      <w:pPr>
        <w:jc w:val="right"/>
        <w:rPr>
          <w:sz w:val="24"/>
        </w:rPr>
      </w:pPr>
      <w:r w:rsidRPr="009063AE">
        <w:rPr>
          <w:sz w:val="24"/>
        </w:rPr>
        <w:t>kkato@cat-v.ne.jp</w:t>
      </w:r>
    </w:p>
    <w:p w:rsidR="00513910" w:rsidRPr="009063AE" w:rsidRDefault="00513910" w:rsidP="009063AE">
      <w:pPr>
        <w:jc w:val="right"/>
        <w:rPr>
          <w:sz w:val="24"/>
        </w:rPr>
      </w:pPr>
      <w:r w:rsidRPr="009063AE">
        <w:rPr>
          <w:sz w:val="24"/>
        </w:rPr>
        <w:t xml:space="preserve">Address; 5-7-30, </w:t>
      </w:r>
      <w:proofErr w:type="spellStart"/>
      <w:r w:rsidRPr="009063AE">
        <w:rPr>
          <w:sz w:val="24"/>
        </w:rPr>
        <w:t>Kamisugi</w:t>
      </w:r>
      <w:proofErr w:type="spellEnd"/>
      <w:r w:rsidRPr="009063AE">
        <w:rPr>
          <w:sz w:val="24"/>
        </w:rPr>
        <w:t>, Aoba-</w:t>
      </w:r>
      <w:proofErr w:type="spellStart"/>
      <w:r w:rsidRPr="009063AE">
        <w:rPr>
          <w:sz w:val="24"/>
        </w:rPr>
        <w:t>ku</w:t>
      </w:r>
      <w:proofErr w:type="spellEnd"/>
      <w:r w:rsidRPr="009063AE">
        <w:rPr>
          <w:sz w:val="24"/>
        </w:rPr>
        <w:t xml:space="preserve">, </w:t>
      </w:r>
      <w:smartTag w:uri="urn:schemas-microsoft-com:office:smarttags" w:element="place">
        <w:r w:rsidRPr="009063AE">
          <w:rPr>
            <w:sz w:val="24"/>
          </w:rPr>
          <w:t>Sendai</w:t>
        </w:r>
      </w:smartTag>
      <w:r w:rsidRPr="009063AE">
        <w:rPr>
          <w:sz w:val="24"/>
        </w:rPr>
        <w:t xml:space="preserve">, Miyagi, 980-0011 </w:t>
      </w:r>
      <w:smartTag w:uri="urn:schemas-microsoft-com:office:smarttags" w:element="place">
        <w:r w:rsidRPr="009063AE">
          <w:rPr>
            <w:sz w:val="24"/>
          </w:rPr>
          <w:t>Japan</w:t>
        </w:r>
      </w:smartTag>
    </w:p>
    <w:p w:rsidR="00513910" w:rsidRPr="009063AE" w:rsidRDefault="00513910" w:rsidP="009063AE">
      <w:pPr>
        <w:jc w:val="right"/>
        <w:rPr>
          <w:sz w:val="24"/>
        </w:rPr>
      </w:pPr>
      <w:r w:rsidRPr="009063AE">
        <w:rPr>
          <w:sz w:val="24"/>
        </w:rPr>
        <w:t>Tel; +81 22-263-1525</w:t>
      </w:r>
    </w:p>
    <w:p w:rsidR="00513910" w:rsidRPr="009063AE" w:rsidRDefault="00513910"/>
    <w:sectPr w:rsidR="00513910" w:rsidRPr="009063AE" w:rsidSect="0039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521"/>
    <w:multiLevelType w:val="hybridMultilevel"/>
    <w:tmpl w:val="B128D478"/>
    <w:lvl w:ilvl="0" w:tplc="318C3E4C">
      <w:start w:val="1"/>
      <w:numFmt w:val="decimal"/>
      <w:lvlText w:val="(%1)"/>
      <w:lvlJc w:val="left"/>
      <w:pPr>
        <w:ind w:left="790" w:hanging="570"/>
      </w:pPr>
      <w:rPr>
        <w:rFonts w:cs="Times New Roman" w:hint="default"/>
        <w:u w:val="none"/>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E57"/>
    <w:rsid w:val="00065DEE"/>
    <w:rsid w:val="002163F4"/>
    <w:rsid w:val="00244BFD"/>
    <w:rsid w:val="00250D8C"/>
    <w:rsid w:val="0029677C"/>
    <w:rsid w:val="00333E35"/>
    <w:rsid w:val="003559CA"/>
    <w:rsid w:val="003903A5"/>
    <w:rsid w:val="003D06FA"/>
    <w:rsid w:val="004351E6"/>
    <w:rsid w:val="004F4BCC"/>
    <w:rsid w:val="00513910"/>
    <w:rsid w:val="005666CD"/>
    <w:rsid w:val="00572D86"/>
    <w:rsid w:val="005B6C3D"/>
    <w:rsid w:val="009063AE"/>
    <w:rsid w:val="009442F8"/>
    <w:rsid w:val="009A00F1"/>
    <w:rsid w:val="009B5BF0"/>
    <w:rsid w:val="00A80204"/>
    <w:rsid w:val="00A93B05"/>
    <w:rsid w:val="00B2051E"/>
    <w:rsid w:val="00B46750"/>
    <w:rsid w:val="00B911F5"/>
    <w:rsid w:val="00C15244"/>
    <w:rsid w:val="00C25D6C"/>
    <w:rsid w:val="00CD6DA0"/>
    <w:rsid w:val="00D25E57"/>
    <w:rsid w:val="00D854CE"/>
    <w:rsid w:val="00E174A5"/>
    <w:rsid w:val="00E24A8B"/>
    <w:rsid w:val="00EE4A77"/>
    <w:rsid w:val="00F2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57"/>
    <w:pPr>
      <w:widowControl w:val="0"/>
      <w:jc w:val="both"/>
    </w:pPr>
    <w:rPr>
      <w:rFonts w:ascii="Times New Roman" w:eastAsia="SimSun" w:hAnsi="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1F5"/>
    <w:pPr>
      <w:ind w:left="720"/>
      <w:contextualSpacing/>
    </w:pPr>
  </w:style>
  <w:style w:type="character" w:styleId="Emphasis">
    <w:name w:val="Emphasis"/>
    <w:basedOn w:val="DefaultParagraphFont"/>
    <w:uiPriority w:val="99"/>
    <w:qFormat/>
    <w:locked/>
    <w:rsid w:val="009063AE"/>
    <w:rPr>
      <w:rFonts w:cs="Times New Roman"/>
      <w:i/>
      <w:iCs/>
    </w:rPr>
  </w:style>
  <w:style w:type="paragraph" w:styleId="BalloonText">
    <w:name w:val="Balloon Text"/>
    <w:basedOn w:val="Normal"/>
    <w:link w:val="BalloonTextChar"/>
    <w:uiPriority w:val="99"/>
    <w:semiHidden/>
    <w:unhideWhenUsed/>
    <w:rsid w:val="00EE4A77"/>
    <w:rPr>
      <w:rFonts w:ascii="Tahoma" w:hAnsi="Tahoma" w:cs="Tahoma"/>
      <w:sz w:val="16"/>
      <w:szCs w:val="16"/>
    </w:rPr>
  </w:style>
  <w:style w:type="character" w:customStyle="1" w:styleId="BalloonTextChar">
    <w:name w:val="Balloon Text Char"/>
    <w:basedOn w:val="DefaultParagraphFont"/>
    <w:link w:val="BalloonText"/>
    <w:uiPriority w:val="99"/>
    <w:semiHidden/>
    <w:rsid w:val="00EE4A77"/>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Kaname  Uno</dc:creator>
  <cp:keywords/>
  <dc:description/>
  <cp:lastModifiedBy>Kaname  Uno</cp:lastModifiedBy>
  <cp:revision>12</cp:revision>
  <cp:lastPrinted>2013-11-05T15:49:00Z</cp:lastPrinted>
  <dcterms:created xsi:type="dcterms:W3CDTF">2013-10-21T20:38:00Z</dcterms:created>
  <dcterms:modified xsi:type="dcterms:W3CDTF">2013-11-05T15:49:00Z</dcterms:modified>
</cp:coreProperties>
</file>